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DA7F90F">
      <w:pPr>
        <w:spacing w:before="120" w:beforeLines="50" w:after="120" w:afterLines="50"/>
        <w:ind w:left="993"/>
        <w:jc w:val="left"/>
        <w:rPr>
          <w:rFonts w:ascii="宋体" w:hAnsi="宋体" w:eastAsia="宋体" w:cstheme="minorBidi"/>
          <w:kern w:val="2"/>
          <w:sz w:val="21"/>
          <w:szCs w:val="24"/>
          <w:lang w:val="en-US" w:eastAsia="zh-CN" w:bidi="ar-SA"/>
        </w:rPr>
      </w:pPr>
    </w:p>
    <w:p w14:paraId="19032086">
      <w:pPr>
        <w:spacing w:before="120" w:beforeLines="50" w:after="120" w:afterLines="50"/>
        <w:ind w:left="993"/>
        <w:jc w:val="left"/>
        <w:rPr>
          <w:rFonts w:ascii="宋体" w:hAnsi="宋体" w:eastAsia="宋体" w:cstheme="minorBidi"/>
          <w:kern w:val="2"/>
          <w:sz w:val="21"/>
          <w:szCs w:val="24"/>
          <w:lang w:val="en-US" w:eastAsia="zh-CN" w:bidi="ar-SA"/>
        </w:rPr>
      </w:pPr>
    </w:p>
    <w:sdt>
      <w:sdtPr>
        <w:rPr>
          <w:rFonts w:ascii="宋体" w:hAnsi="宋体" w:eastAsia="宋体" w:cstheme="minorBidi"/>
          <w:kern w:val="2"/>
          <w:sz w:val="21"/>
          <w:szCs w:val="24"/>
          <w:lang w:val="en-US" w:eastAsia="zh-CN" w:bidi="ar-SA"/>
        </w:rPr>
        <w:id w:val="147461736"/>
        <w15:color w:val="DBDBDB"/>
        <w:docPartObj>
          <w:docPartGallery w:val="Table of Contents"/>
          <w:docPartUnique/>
        </w:docPartObj>
      </w:sdtPr>
      <w:sdtEndPr>
        <w:rPr>
          <w:rFonts w:hint="eastAsia" w:ascii="等线" w:hAnsi="等线" w:eastAsia="宋体" w:cstheme="minorBidi"/>
          <w:b/>
          <w:color w:val="auto"/>
          <w:kern w:val="0"/>
          <w:sz w:val="21"/>
          <w:szCs w:val="20"/>
          <w:highlight w:val="none"/>
          <w:lang w:val="en-US" w:eastAsia="zh-CN" w:bidi="ar-SA"/>
        </w:rPr>
      </w:sdtEndPr>
      <w:sdtContent>
        <w:p w14:paraId="1F62AA08">
          <w:pPr>
            <w:spacing w:before="120" w:beforeLines="50" w:after="120" w:afterLines="50"/>
            <w:ind w:left="993"/>
            <w:jc w:val="left"/>
            <w:rPr>
              <w:rFonts w:ascii="宋体" w:hAnsi="宋体" w:eastAsia="宋体" w:cstheme="minorBidi"/>
              <w:kern w:val="2"/>
              <w:sz w:val="21"/>
              <w:szCs w:val="24"/>
              <w:lang w:val="en-US" w:eastAsia="zh-CN" w:bidi="ar-SA"/>
            </w:rPr>
          </w:pPr>
        </w:p>
        <w:p w14:paraId="461B5882">
          <w:pPr>
            <w:spacing w:before="120" w:beforeLines="50" w:after="120" w:afterLines="50"/>
            <w:ind w:left="993"/>
            <w:jc w:val="left"/>
            <w:rPr>
              <w:rFonts w:ascii="宋体" w:hAnsi="宋体" w:eastAsia="宋体" w:cstheme="minorBidi"/>
              <w:kern w:val="2"/>
              <w:sz w:val="21"/>
              <w:szCs w:val="24"/>
              <w:lang w:val="en-US" w:eastAsia="zh-CN" w:bidi="ar-SA"/>
            </w:rPr>
          </w:pPr>
        </w:p>
        <w:p w14:paraId="38E0E025">
          <w:pPr>
            <w:spacing w:before="120" w:beforeLines="50" w:after="120" w:afterLines="50"/>
            <w:ind w:left="0" w:leftChars="0" w:firstLine="0" w:firstLineChars="0"/>
            <w:jc w:val="center"/>
            <w:rPr>
              <w:rFonts w:hint="eastAsia" w:ascii="宋体" w:hAnsi="宋体" w:eastAsia="宋体" w:cs="宋体"/>
              <w:b/>
              <w:bCs/>
              <w:color w:val="auto"/>
              <w:spacing w:val="3"/>
              <w:sz w:val="44"/>
              <w:szCs w:val="44"/>
              <w:highlight w:val="none"/>
              <w:lang w:eastAsia="zh-CN"/>
            </w:rPr>
          </w:pPr>
          <w:r>
            <w:rPr>
              <w:rFonts w:hint="eastAsia" w:ascii="宋体" w:hAnsi="宋体" w:eastAsia="宋体" w:cs="宋体"/>
              <w:b/>
              <w:bCs/>
              <w:color w:val="auto"/>
              <w:spacing w:val="3"/>
              <w:sz w:val="44"/>
              <w:szCs w:val="44"/>
              <w:highlight w:val="none"/>
              <w:lang w:val="en-US" w:eastAsia="zh-CN"/>
            </w:rPr>
            <w:t>荔湾区葵蓬南保障性住房项目</w:t>
          </w:r>
        </w:p>
        <w:p w14:paraId="4336D3BB">
          <w:pPr>
            <w:spacing w:before="120" w:beforeLines="50" w:after="120" w:afterLines="50"/>
            <w:ind w:left="0" w:leftChars="0" w:firstLine="0" w:firstLineChars="0"/>
            <w:jc w:val="center"/>
            <w:rPr>
              <w:rFonts w:hint="default" w:ascii="宋体" w:hAnsi="宋体" w:eastAsia="宋体" w:cs="宋体"/>
              <w:b/>
              <w:bCs/>
              <w:color w:val="auto"/>
              <w:spacing w:val="3"/>
              <w:sz w:val="44"/>
              <w:szCs w:val="44"/>
              <w:highlight w:val="none"/>
              <w:lang w:val="en-US" w:eastAsia="zh-CN"/>
            </w:rPr>
          </w:pPr>
          <w:r>
            <w:rPr>
              <w:rFonts w:hint="eastAsia" w:cs="宋体"/>
              <w:b/>
              <w:bCs/>
              <w:color w:val="auto"/>
              <w:spacing w:val="3"/>
              <w:sz w:val="44"/>
              <w:szCs w:val="44"/>
              <w:highlight w:val="none"/>
              <w:lang w:val="en-US" w:eastAsia="zh-CN"/>
            </w:rPr>
            <w:t>精</w:t>
          </w:r>
          <w:r>
            <w:rPr>
              <w:rFonts w:hint="eastAsia" w:ascii="宋体" w:hAnsi="宋体" w:eastAsia="宋体" w:cs="宋体"/>
              <w:b/>
              <w:bCs/>
              <w:color w:val="auto"/>
              <w:spacing w:val="3"/>
              <w:sz w:val="44"/>
              <w:szCs w:val="44"/>
              <w:highlight w:val="none"/>
              <w:lang w:eastAsia="zh-CN"/>
            </w:rPr>
            <w:t>装修工程</w:t>
          </w:r>
          <w:r>
            <w:rPr>
              <w:rFonts w:hint="eastAsia" w:cs="宋体"/>
              <w:b/>
              <w:bCs/>
              <w:color w:val="auto"/>
              <w:spacing w:val="3"/>
              <w:sz w:val="44"/>
              <w:szCs w:val="44"/>
              <w:highlight w:val="none"/>
              <w:lang w:val="en-US" w:eastAsia="zh-CN"/>
            </w:rPr>
            <w:t>施工专业承包</w:t>
          </w:r>
        </w:p>
        <w:p w14:paraId="0D53F900">
          <w:pPr>
            <w:spacing w:before="120" w:beforeLines="50" w:after="120" w:afterLines="50"/>
            <w:jc w:val="center"/>
            <w:rPr>
              <w:color w:val="auto"/>
              <w:sz w:val="44"/>
              <w:szCs w:val="44"/>
              <w:highlight w:val="none"/>
              <w:lang w:eastAsia="zh-CN"/>
            </w:rPr>
          </w:pPr>
        </w:p>
        <w:p w14:paraId="648975F4">
          <w:pPr>
            <w:spacing w:before="120" w:beforeLines="50" w:after="120" w:afterLines="50"/>
            <w:jc w:val="center"/>
            <w:rPr>
              <w:color w:val="auto"/>
              <w:sz w:val="44"/>
              <w:szCs w:val="44"/>
              <w:highlight w:val="none"/>
              <w:lang w:eastAsia="zh-CN"/>
            </w:rPr>
          </w:pPr>
        </w:p>
        <w:p w14:paraId="087EFF0A">
          <w:pPr>
            <w:spacing w:before="120" w:beforeLines="50" w:after="120" w:afterLines="50"/>
            <w:jc w:val="center"/>
            <w:rPr>
              <w:color w:val="auto"/>
              <w:sz w:val="44"/>
              <w:szCs w:val="44"/>
              <w:highlight w:val="none"/>
              <w:lang w:eastAsia="zh-CN"/>
            </w:rPr>
          </w:pPr>
        </w:p>
        <w:p w14:paraId="5FCEB1EC">
          <w:pPr>
            <w:spacing w:before="120" w:beforeLines="50" w:after="120" w:afterLines="50"/>
            <w:ind w:left="0" w:leftChars="0" w:firstLine="0" w:firstLineChars="0"/>
            <w:jc w:val="center"/>
            <w:rPr>
              <w:rFonts w:ascii="宋体" w:hAnsi="宋体" w:eastAsia="宋体" w:cs="宋体"/>
              <w:color w:val="auto"/>
              <w:sz w:val="44"/>
              <w:szCs w:val="44"/>
              <w:highlight w:val="none"/>
              <w:lang w:eastAsia="zh-CN"/>
            </w:rPr>
          </w:pPr>
          <w:r>
            <w:rPr>
              <w:rFonts w:ascii="宋体" w:hAnsi="宋体" w:eastAsia="宋体" w:cs="宋体"/>
              <w:b/>
              <w:bCs/>
              <w:color w:val="auto"/>
              <w:spacing w:val="13"/>
              <w:sz w:val="44"/>
              <w:szCs w:val="44"/>
              <w:highlight w:val="none"/>
              <w:lang w:eastAsia="zh-CN"/>
            </w:rPr>
            <w:t>发包人</w:t>
          </w:r>
          <w:r>
            <w:rPr>
              <w:rFonts w:hint="eastAsia" w:cs="宋体"/>
              <w:b/>
              <w:bCs/>
              <w:color w:val="auto"/>
              <w:spacing w:val="13"/>
              <w:sz w:val="44"/>
              <w:szCs w:val="44"/>
              <w:highlight w:val="none"/>
              <w:lang w:val="en-US" w:eastAsia="zh-CN"/>
            </w:rPr>
            <w:t>技术</w:t>
          </w:r>
          <w:r>
            <w:rPr>
              <w:rFonts w:ascii="宋体" w:hAnsi="宋体" w:eastAsia="宋体" w:cs="宋体"/>
              <w:b/>
              <w:bCs/>
              <w:color w:val="auto"/>
              <w:spacing w:val="13"/>
              <w:sz w:val="44"/>
              <w:szCs w:val="44"/>
              <w:highlight w:val="none"/>
              <w:lang w:eastAsia="zh-CN"/>
            </w:rPr>
            <w:t>要求</w:t>
          </w:r>
        </w:p>
        <w:p w14:paraId="769ADF91">
          <w:pPr>
            <w:spacing w:before="120" w:beforeLines="50" w:after="120" w:afterLines="50"/>
            <w:rPr>
              <w:color w:val="auto"/>
              <w:highlight w:val="none"/>
              <w:lang w:eastAsia="zh-CN"/>
            </w:rPr>
          </w:pPr>
        </w:p>
        <w:p w14:paraId="77776DB4">
          <w:pPr>
            <w:spacing w:before="120" w:beforeLines="50" w:after="120" w:afterLines="50"/>
            <w:rPr>
              <w:color w:val="auto"/>
              <w:highlight w:val="none"/>
              <w:lang w:eastAsia="zh-CN"/>
            </w:rPr>
          </w:pPr>
        </w:p>
        <w:p w14:paraId="2E7FC06D">
          <w:pPr>
            <w:spacing w:before="120" w:beforeLines="50" w:after="120" w:afterLines="50"/>
            <w:rPr>
              <w:color w:val="auto"/>
              <w:highlight w:val="none"/>
              <w:lang w:eastAsia="zh-CN"/>
            </w:rPr>
          </w:pPr>
        </w:p>
        <w:p w14:paraId="7605EE16">
          <w:pPr>
            <w:spacing w:before="120" w:beforeLines="50" w:after="120" w:afterLines="50"/>
            <w:rPr>
              <w:color w:val="auto"/>
              <w:highlight w:val="none"/>
              <w:lang w:eastAsia="zh-CN"/>
            </w:rPr>
          </w:pPr>
        </w:p>
        <w:p w14:paraId="56670DF9">
          <w:pPr>
            <w:spacing w:before="120" w:beforeLines="50" w:after="120" w:afterLines="50"/>
            <w:rPr>
              <w:color w:val="auto"/>
              <w:highlight w:val="none"/>
              <w:lang w:eastAsia="zh-CN"/>
            </w:rPr>
          </w:pPr>
        </w:p>
        <w:p w14:paraId="7EDA3ABF">
          <w:pPr>
            <w:spacing w:before="120" w:beforeLines="50" w:after="120" w:afterLines="50"/>
            <w:jc w:val="center"/>
            <w:rPr>
              <w:color w:val="auto"/>
              <w:highlight w:val="none"/>
              <w:lang w:eastAsia="zh-CN"/>
            </w:rPr>
          </w:pPr>
          <w:r>
            <w:rPr>
              <w:rFonts w:ascii="宋体" w:hAnsi="宋体" w:eastAsia="宋体" w:cs="宋体"/>
              <w:color w:val="auto"/>
              <w:spacing w:val="9"/>
              <w:sz w:val="31"/>
              <w:szCs w:val="31"/>
              <w:highlight w:val="none"/>
              <w:lang w:eastAsia="zh-CN"/>
            </w:rPr>
            <w:t>招标单位：</w:t>
          </w:r>
          <w:r>
            <w:rPr>
              <w:rFonts w:hint="eastAsia" w:ascii="宋体" w:hAnsi="宋体" w:cs="宋体"/>
              <w:color w:val="auto"/>
              <w:spacing w:val="9"/>
              <w:sz w:val="31"/>
              <w:szCs w:val="31"/>
              <w:highlight w:val="none"/>
              <w:u w:val="single"/>
              <w:lang w:val="en-US" w:eastAsia="zh-CN"/>
            </w:rPr>
            <w:t>广州安居广汇置业有限公司</w:t>
          </w:r>
        </w:p>
        <w:p w14:paraId="0A0F49C4">
          <w:pPr>
            <w:pStyle w:val="2"/>
            <w:ind w:firstLine="3608" w:firstLineChars="1100"/>
            <w:rPr>
              <w:rFonts w:hint="eastAsia" w:ascii="宋体" w:hAnsi="宋体" w:eastAsia="宋体" w:cs="宋体"/>
              <w:color w:val="auto"/>
              <w:spacing w:val="9"/>
              <w:kern w:val="2"/>
              <w:sz w:val="31"/>
              <w:szCs w:val="31"/>
              <w:highlight w:val="none"/>
              <w:u w:val="single"/>
              <w:lang w:val="en-US" w:eastAsia="zh-CN" w:bidi="ar-SA"/>
            </w:rPr>
          </w:pPr>
          <w:r>
            <w:rPr>
              <w:rFonts w:hint="eastAsia" w:ascii="宋体" w:hAnsi="宋体" w:eastAsia="宋体" w:cs="宋体"/>
              <w:color w:val="auto"/>
              <w:spacing w:val="9"/>
              <w:kern w:val="2"/>
              <w:sz w:val="31"/>
              <w:szCs w:val="31"/>
              <w:highlight w:val="none"/>
              <w:u w:val="single"/>
              <w:lang w:val="en-US" w:eastAsia="zh-CN" w:bidi="ar-SA"/>
            </w:rPr>
            <w:t>中建三局集团有限公司</w:t>
          </w:r>
        </w:p>
        <w:p w14:paraId="6D048C6B">
          <w:pPr>
            <w:pStyle w:val="2"/>
            <w:rPr>
              <w:rFonts w:hint="default"/>
              <w:lang w:val="en-US" w:eastAsia="zh-CN"/>
            </w:rPr>
          </w:pPr>
        </w:p>
        <w:p w14:paraId="235B389A">
          <w:pPr>
            <w:spacing w:before="120" w:beforeLines="50" w:after="120" w:afterLines="50"/>
            <w:ind w:left="0" w:leftChars="0" w:firstLine="0" w:firstLineChars="0"/>
            <w:jc w:val="center"/>
            <w:rPr>
              <w:rFonts w:ascii="宋体" w:hAnsi="宋体" w:eastAsia="宋体" w:cs="宋体"/>
              <w:color w:val="auto"/>
              <w:spacing w:val="-5"/>
              <w:sz w:val="31"/>
              <w:szCs w:val="31"/>
              <w:highlight w:val="none"/>
              <w:lang w:eastAsia="zh-CN"/>
            </w:rPr>
          </w:pPr>
          <w:r>
            <w:rPr>
              <w:rFonts w:ascii="宋体" w:hAnsi="宋体" w:eastAsia="宋体" w:cs="宋体"/>
              <w:color w:val="auto"/>
              <w:spacing w:val="-5"/>
              <w:sz w:val="31"/>
              <w:szCs w:val="31"/>
              <w:highlight w:val="none"/>
              <w:lang w:eastAsia="zh-CN"/>
            </w:rPr>
            <w:t>日期：202</w:t>
          </w:r>
          <w:r>
            <w:rPr>
              <w:rFonts w:hint="eastAsia" w:cs="宋体"/>
              <w:color w:val="auto"/>
              <w:spacing w:val="-5"/>
              <w:sz w:val="31"/>
              <w:szCs w:val="31"/>
              <w:highlight w:val="none"/>
              <w:lang w:val="en-US" w:eastAsia="zh-CN"/>
            </w:rPr>
            <w:t>5</w:t>
          </w:r>
          <w:r>
            <w:rPr>
              <w:rFonts w:ascii="宋体" w:hAnsi="宋体" w:eastAsia="宋体" w:cs="宋体"/>
              <w:color w:val="auto"/>
              <w:spacing w:val="-56"/>
              <w:sz w:val="31"/>
              <w:szCs w:val="31"/>
              <w:highlight w:val="none"/>
              <w:lang w:eastAsia="zh-CN"/>
            </w:rPr>
            <w:t xml:space="preserve"> </w:t>
          </w:r>
          <w:r>
            <w:rPr>
              <w:rFonts w:ascii="宋体" w:hAnsi="宋体" w:eastAsia="宋体" w:cs="宋体"/>
              <w:color w:val="auto"/>
              <w:spacing w:val="-5"/>
              <w:sz w:val="31"/>
              <w:szCs w:val="31"/>
              <w:highlight w:val="none"/>
              <w:lang w:eastAsia="zh-CN"/>
            </w:rPr>
            <w:t>年</w:t>
          </w:r>
          <w:r>
            <w:rPr>
              <w:rFonts w:hint="eastAsia" w:cs="宋体"/>
              <w:color w:val="auto"/>
              <w:spacing w:val="-37"/>
              <w:sz w:val="31"/>
              <w:szCs w:val="31"/>
              <w:highlight w:val="none"/>
              <w:lang w:val="en-US" w:eastAsia="zh-CN"/>
            </w:rPr>
            <w:t>8</w:t>
          </w:r>
          <w:r>
            <w:rPr>
              <w:rFonts w:ascii="宋体" w:hAnsi="宋体" w:eastAsia="宋体" w:cs="宋体"/>
              <w:color w:val="auto"/>
              <w:spacing w:val="-5"/>
              <w:sz w:val="31"/>
              <w:szCs w:val="31"/>
              <w:highlight w:val="none"/>
              <w:lang w:eastAsia="zh-CN"/>
            </w:rPr>
            <w:t>月</w:t>
          </w:r>
        </w:p>
        <w:p w14:paraId="28C514FD">
          <w:pPr>
            <w:rPr>
              <w:rFonts w:ascii="宋体" w:hAnsi="宋体" w:eastAsia="宋体" w:cs="宋体"/>
              <w:color w:val="auto"/>
              <w:spacing w:val="-5"/>
              <w:sz w:val="31"/>
              <w:szCs w:val="31"/>
              <w:highlight w:val="none"/>
              <w:lang w:eastAsia="zh-CN"/>
            </w:rPr>
          </w:pPr>
          <w:r>
            <w:rPr>
              <w:rFonts w:ascii="宋体" w:hAnsi="宋体" w:eastAsia="宋体" w:cs="宋体"/>
              <w:color w:val="auto"/>
              <w:spacing w:val="-5"/>
              <w:sz w:val="31"/>
              <w:szCs w:val="31"/>
              <w:highlight w:val="none"/>
              <w:lang w:eastAsia="zh-CN"/>
            </w:rPr>
            <w:br w:type="page"/>
          </w:r>
        </w:p>
        <w:p w14:paraId="5E0B3B61">
          <w:pPr>
            <w:bidi w:val="0"/>
            <w:ind w:firstLine="422" w:firstLineChars="200"/>
            <w:rPr>
              <w:color w:val="auto"/>
              <w:highlight w:val="none"/>
            </w:rPr>
          </w:pPr>
        </w:p>
      </w:sdtContent>
    </w:sdt>
    <w:sdt>
      <w:sdtPr>
        <w:rPr>
          <w:rFonts w:ascii="宋体" w:hAnsi="宋体" w:eastAsia="宋体" w:cstheme="minorBidi"/>
          <w:color w:val="auto"/>
          <w:kern w:val="2"/>
          <w:sz w:val="21"/>
          <w:szCs w:val="24"/>
          <w:highlight w:val="none"/>
          <w:lang w:val="en-US" w:eastAsia="zh-CN" w:bidi="ar-SA"/>
        </w:rPr>
        <w:id w:val="147461636"/>
        <w15:color w:val="DBDBDB"/>
        <w:docPartObj>
          <w:docPartGallery w:val="Table of Contents"/>
          <w:docPartUnique/>
        </w:docPartObj>
      </w:sdtPr>
      <w:sdtEndPr>
        <w:rPr>
          <w:rFonts w:hint="eastAsia" w:ascii="宋体" w:hAnsi="宋体" w:eastAsia="宋体" w:cstheme="minorBidi"/>
          <w:color w:val="auto"/>
          <w:kern w:val="2"/>
          <w:sz w:val="24"/>
          <w:szCs w:val="24"/>
          <w:highlight w:val="none"/>
          <w:lang w:val="en-US" w:eastAsia="zh-CN" w:bidi="ar-SA"/>
        </w:rPr>
      </w:sdtEndPr>
      <w:sdtContent>
        <w:p w14:paraId="7BCC221A">
          <w:pPr>
            <w:spacing w:before="0" w:beforeLines="0" w:after="0" w:afterLines="0" w:line="240" w:lineRule="auto"/>
            <w:ind w:left="0" w:leftChars="0" w:right="0" w:rightChars="0" w:firstLine="0" w:firstLineChars="0"/>
            <w:jc w:val="center"/>
            <w:rPr>
              <w:color w:val="auto"/>
              <w:highlight w:val="none"/>
            </w:rPr>
          </w:pPr>
          <w:r>
            <w:rPr>
              <w:rFonts w:ascii="宋体" w:hAnsi="宋体" w:eastAsia="宋体"/>
              <w:color w:val="auto"/>
              <w:sz w:val="21"/>
              <w:highlight w:val="none"/>
            </w:rPr>
            <w:t>目录</w:t>
          </w:r>
        </w:p>
        <w:p w14:paraId="498C823A">
          <w:pPr>
            <w:pStyle w:val="17"/>
            <w:tabs>
              <w:tab w:val="right" w:leader="dot" w:pos="8645"/>
            </w:tabs>
            <w:rPr>
              <w:color w:val="auto"/>
              <w:highlight w:val="none"/>
            </w:rPr>
          </w:pPr>
          <w:r>
            <w:rPr>
              <w:rFonts w:hint="eastAsia" w:ascii="宋体" w:hAnsi="宋体" w:eastAsia="宋体" w:cstheme="minorBidi"/>
              <w:color w:val="auto"/>
              <w:kern w:val="2"/>
              <w:sz w:val="24"/>
              <w:szCs w:val="24"/>
              <w:highlight w:val="none"/>
              <w:lang w:val="en-US" w:eastAsia="zh-CN" w:bidi="ar-SA"/>
            </w:rPr>
            <w:fldChar w:fldCharType="begin"/>
          </w:r>
          <w:r>
            <w:rPr>
              <w:rFonts w:hint="eastAsia" w:ascii="宋体" w:hAnsi="宋体" w:eastAsia="宋体" w:cstheme="minorBidi"/>
              <w:color w:val="auto"/>
              <w:kern w:val="2"/>
              <w:sz w:val="24"/>
              <w:szCs w:val="24"/>
              <w:highlight w:val="none"/>
              <w:lang w:val="en-US" w:eastAsia="zh-CN" w:bidi="ar-SA"/>
            </w:rPr>
            <w:instrText xml:space="preserve">TOC \o "1-2" \h \u </w:instrText>
          </w:r>
          <w:r>
            <w:rPr>
              <w:rFonts w:hint="eastAsia" w:ascii="宋体" w:hAnsi="宋体" w:eastAsia="宋体" w:cstheme="minorBidi"/>
              <w:color w:val="auto"/>
              <w:kern w:val="2"/>
              <w:sz w:val="24"/>
              <w:szCs w:val="24"/>
              <w:highlight w:val="none"/>
              <w:lang w:val="en-US" w:eastAsia="zh-CN" w:bidi="ar-SA"/>
            </w:rPr>
            <w:fldChar w:fldCharType="separate"/>
          </w: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_Toc24472 </w:instrText>
          </w:r>
          <w:r>
            <w:rPr>
              <w:rFonts w:hint="eastAsia" w:ascii="宋体" w:hAnsi="宋体" w:eastAsia="宋体" w:cstheme="minorBidi"/>
              <w:color w:val="auto"/>
              <w:kern w:val="2"/>
              <w:szCs w:val="24"/>
              <w:highlight w:val="none"/>
              <w:lang w:val="en-US" w:eastAsia="zh-CN" w:bidi="ar-SA"/>
            </w:rPr>
            <w:fldChar w:fldCharType="separate"/>
          </w:r>
          <w:r>
            <w:rPr>
              <w:rFonts w:hint="default" w:ascii="宋体" w:hAnsi="宋体" w:eastAsia="宋体"/>
              <w:color w:val="auto"/>
              <w:highlight w:val="none"/>
            </w:rPr>
            <w:t xml:space="preserve">第1章 </w:t>
          </w:r>
          <w:r>
            <w:rPr>
              <w:rFonts w:hint="eastAsia" w:ascii="宋体" w:hAnsi="宋体" w:eastAsia="宋体"/>
              <w:color w:val="auto"/>
              <w:highlight w:val="none"/>
            </w:rPr>
            <w:t>工程概况</w:t>
          </w:r>
          <w:r>
            <w:rPr>
              <w:color w:val="auto"/>
              <w:highlight w:val="none"/>
            </w:rPr>
            <w:tab/>
          </w:r>
          <w:r>
            <w:rPr>
              <w:color w:val="auto"/>
              <w:highlight w:val="none"/>
            </w:rPr>
            <w:fldChar w:fldCharType="begin"/>
          </w:r>
          <w:r>
            <w:rPr>
              <w:color w:val="auto"/>
              <w:highlight w:val="none"/>
            </w:rPr>
            <w:instrText xml:space="preserve"> PAGEREF _Toc24472 \h </w:instrText>
          </w:r>
          <w:r>
            <w:rPr>
              <w:color w:val="auto"/>
              <w:highlight w:val="none"/>
            </w:rPr>
            <w:fldChar w:fldCharType="separate"/>
          </w:r>
          <w:r>
            <w:rPr>
              <w:color w:val="auto"/>
              <w:highlight w:val="none"/>
            </w:rPr>
            <w:t>5</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7B5F8593">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_Toc19143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1.1. 项目概况</w:t>
          </w:r>
          <w:r>
            <w:rPr>
              <w:color w:val="auto"/>
              <w:highlight w:val="none"/>
            </w:rPr>
            <w:tab/>
          </w:r>
          <w:r>
            <w:rPr>
              <w:color w:val="auto"/>
              <w:highlight w:val="none"/>
            </w:rPr>
            <w:fldChar w:fldCharType="begin"/>
          </w:r>
          <w:r>
            <w:rPr>
              <w:color w:val="auto"/>
              <w:highlight w:val="none"/>
            </w:rPr>
            <w:instrText xml:space="preserve"> PAGEREF _Toc19143 \h </w:instrText>
          </w:r>
          <w:r>
            <w:rPr>
              <w:color w:val="auto"/>
              <w:highlight w:val="none"/>
            </w:rPr>
            <w:fldChar w:fldCharType="separate"/>
          </w:r>
          <w:r>
            <w:rPr>
              <w:color w:val="auto"/>
              <w:highlight w:val="none"/>
            </w:rPr>
            <w:t>5</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3401798F">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_Toc27465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 xml:space="preserve">1.2. </w:t>
          </w:r>
          <w:r>
            <w:rPr>
              <w:rFonts w:hint="eastAsia"/>
              <w:color w:val="auto"/>
              <w:highlight w:val="none"/>
              <w:lang w:val="en-US" w:eastAsia="zh-CN"/>
            </w:rPr>
            <w:t>招标范围</w:t>
          </w:r>
          <w:r>
            <w:rPr>
              <w:color w:val="auto"/>
              <w:highlight w:val="none"/>
            </w:rPr>
            <w:tab/>
          </w:r>
          <w:r>
            <w:rPr>
              <w:color w:val="auto"/>
              <w:highlight w:val="none"/>
            </w:rPr>
            <w:fldChar w:fldCharType="begin"/>
          </w:r>
          <w:r>
            <w:rPr>
              <w:color w:val="auto"/>
              <w:highlight w:val="none"/>
            </w:rPr>
            <w:instrText xml:space="preserve"> PAGEREF _Toc27465 \h </w:instrText>
          </w:r>
          <w:r>
            <w:rPr>
              <w:color w:val="auto"/>
              <w:highlight w:val="none"/>
            </w:rPr>
            <w:fldChar w:fldCharType="separate"/>
          </w:r>
          <w:r>
            <w:rPr>
              <w:color w:val="auto"/>
              <w:highlight w:val="none"/>
            </w:rPr>
            <w:t>7</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4B81D945">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_Toc10437 </w:instrText>
          </w:r>
          <w:r>
            <w:rPr>
              <w:rFonts w:hint="eastAsia" w:ascii="宋体" w:hAnsi="宋体" w:eastAsia="宋体" w:cstheme="minorBidi"/>
              <w:color w:val="auto"/>
              <w:kern w:val="2"/>
              <w:szCs w:val="24"/>
              <w:highlight w:val="none"/>
              <w:lang w:val="en-US" w:eastAsia="zh-CN" w:bidi="ar-SA"/>
            </w:rPr>
            <w:fldChar w:fldCharType="separate"/>
          </w:r>
          <w:r>
            <w:rPr>
              <w:rFonts w:hint="eastAsia" w:ascii="Times New Roman" w:hAnsi="Times New Roman"/>
              <w:color w:val="auto"/>
              <w:highlight w:val="none"/>
              <w:lang w:val="en-US" w:eastAsia="zh-CN"/>
            </w:rPr>
            <w:t>1.3. 示范区、样板房情况</w:t>
          </w:r>
          <w:r>
            <w:rPr>
              <w:color w:val="auto"/>
              <w:highlight w:val="none"/>
            </w:rPr>
            <w:tab/>
          </w:r>
          <w:r>
            <w:rPr>
              <w:color w:val="auto"/>
              <w:highlight w:val="none"/>
            </w:rPr>
            <w:fldChar w:fldCharType="begin"/>
          </w:r>
          <w:r>
            <w:rPr>
              <w:color w:val="auto"/>
              <w:highlight w:val="none"/>
            </w:rPr>
            <w:instrText xml:space="preserve"> PAGEREF _Toc10437 \h </w:instrText>
          </w:r>
          <w:r>
            <w:rPr>
              <w:color w:val="auto"/>
              <w:highlight w:val="none"/>
            </w:rPr>
            <w:fldChar w:fldCharType="separate"/>
          </w:r>
          <w:r>
            <w:rPr>
              <w:color w:val="auto"/>
              <w:highlight w:val="none"/>
            </w:rPr>
            <w:t>7</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210878FD">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_Toc956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1.4. 工程</w:t>
          </w:r>
          <w:r>
            <w:rPr>
              <w:rFonts w:hint="eastAsia"/>
              <w:color w:val="auto"/>
              <w:highlight w:val="none"/>
              <w:lang w:val="en-US" w:eastAsia="zh-CN"/>
            </w:rPr>
            <w:t>重难点及管理要求</w:t>
          </w:r>
          <w:r>
            <w:rPr>
              <w:color w:val="auto"/>
              <w:highlight w:val="none"/>
            </w:rPr>
            <w:tab/>
          </w:r>
          <w:r>
            <w:rPr>
              <w:color w:val="auto"/>
              <w:highlight w:val="none"/>
            </w:rPr>
            <w:fldChar w:fldCharType="begin"/>
          </w:r>
          <w:r>
            <w:rPr>
              <w:color w:val="auto"/>
              <w:highlight w:val="none"/>
            </w:rPr>
            <w:instrText xml:space="preserve"> PAGEREF _Toc956 \h </w:instrText>
          </w:r>
          <w:r>
            <w:rPr>
              <w:color w:val="auto"/>
              <w:highlight w:val="none"/>
            </w:rPr>
            <w:fldChar w:fldCharType="separate"/>
          </w:r>
          <w:r>
            <w:rPr>
              <w:color w:val="auto"/>
              <w:highlight w:val="none"/>
            </w:rPr>
            <w:t>8</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33DF858F">
          <w:pPr>
            <w:pStyle w:val="17"/>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_Toc10050 </w:instrText>
          </w:r>
          <w:r>
            <w:rPr>
              <w:rFonts w:hint="eastAsia" w:ascii="宋体" w:hAnsi="宋体" w:eastAsia="宋体" w:cstheme="minorBidi"/>
              <w:color w:val="auto"/>
              <w:kern w:val="2"/>
              <w:szCs w:val="24"/>
              <w:highlight w:val="none"/>
              <w:lang w:val="en-US" w:eastAsia="zh-CN" w:bidi="ar-SA"/>
            </w:rPr>
            <w:fldChar w:fldCharType="separate"/>
          </w:r>
          <w:r>
            <w:rPr>
              <w:rFonts w:hint="default" w:ascii="宋体" w:hAnsi="宋体" w:eastAsia="宋体"/>
              <w:color w:val="auto"/>
              <w:highlight w:val="none"/>
            </w:rPr>
            <w:t xml:space="preserve">第2章 </w:t>
          </w:r>
          <w:r>
            <w:rPr>
              <w:rFonts w:hint="eastAsia" w:ascii="宋体" w:hAnsi="宋体" w:eastAsia="宋体"/>
              <w:color w:val="auto"/>
              <w:highlight w:val="none"/>
            </w:rPr>
            <w:t>工程目标</w:t>
          </w:r>
          <w:r>
            <w:rPr>
              <w:color w:val="auto"/>
              <w:highlight w:val="none"/>
            </w:rPr>
            <w:tab/>
          </w:r>
          <w:r>
            <w:rPr>
              <w:color w:val="auto"/>
              <w:highlight w:val="none"/>
            </w:rPr>
            <w:fldChar w:fldCharType="begin"/>
          </w:r>
          <w:r>
            <w:rPr>
              <w:color w:val="auto"/>
              <w:highlight w:val="none"/>
            </w:rPr>
            <w:instrText xml:space="preserve"> PAGEREF _Toc10050 \h </w:instrText>
          </w:r>
          <w:r>
            <w:rPr>
              <w:color w:val="auto"/>
              <w:highlight w:val="none"/>
            </w:rPr>
            <w:fldChar w:fldCharType="separate"/>
          </w:r>
          <w:r>
            <w:rPr>
              <w:color w:val="auto"/>
              <w:highlight w:val="none"/>
            </w:rPr>
            <w:t>15</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3B9382E6">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_Toc4955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2.1. 工程质量</w:t>
          </w:r>
          <w:r>
            <w:rPr>
              <w:color w:val="auto"/>
              <w:highlight w:val="none"/>
            </w:rPr>
            <w:t>目标</w:t>
          </w:r>
          <w:r>
            <w:rPr>
              <w:color w:val="auto"/>
              <w:highlight w:val="none"/>
            </w:rPr>
            <w:tab/>
          </w:r>
          <w:r>
            <w:rPr>
              <w:color w:val="auto"/>
              <w:highlight w:val="none"/>
            </w:rPr>
            <w:fldChar w:fldCharType="begin"/>
          </w:r>
          <w:r>
            <w:rPr>
              <w:color w:val="auto"/>
              <w:highlight w:val="none"/>
            </w:rPr>
            <w:instrText xml:space="preserve"> PAGEREF _Toc4955 \h </w:instrText>
          </w:r>
          <w:r>
            <w:rPr>
              <w:color w:val="auto"/>
              <w:highlight w:val="none"/>
            </w:rPr>
            <w:fldChar w:fldCharType="separate"/>
          </w:r>
          <w:r>
            <w:rPr>
              <w:color w:val="auto"/>
              <w:highlight w:val="none"/>
            </w:rPr>
            <w:t>15</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7EF040BE">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_Toc12095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2.2. 工程进度</w:t>
          </w:r>
          <w:r>
            <w:rPr>
              <w:color w:val="auto"/>
              <w:highlight w:val="none"/>
            </w:rPr>
            <w:t>目标</w:t>
          </w:r>
          <w:r>
            <w:rPr>
              <w:color w:val="auto"/>
              <w:highlight w:val="none"/>
            </w:rPr>
            <w:tab/>
          </w:r>
          <w:r>
            <w:rPr>
              <w:color w:val="auto"/>
              <w:highlight w:val="none"/>
            </w:rPr>
            <w:fldChar w:fldCharType="begin"/>
          </w:r>
          <w:r>
            <w:rPr>
              <w:color w:val="auto"/>
              <w:highlight w:val="none"/>
            </w:rPr>
            <w:instrText xml:space="preserve"> PAGEREF _Toc12095 \h </w:instrText>
          </w:r>
          <w:r>
            <w:rPr>
              <w:color w:val="auto"/>
              <w:highlight w:val="none"/>
            </w:rPr>
            <w:fldChar w:fldCharType="separate"/>
          </w:r>
          <w:r>
            <w:rPr>
              <w:color w:val="auto"/>
              <w:highlight w:val="none"/>
            </w:rPr>
            <w:t>15</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2BA99891">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_Toc20088 </w:instrText>
          </w:r>
          <w:r>
            <w:rPr>
              <w:rFonts w:hint="eastAsia" w:ascii="宋体" w:hAnsi="宋体" w:eastAsia="宋体" w:cstheme="minorBidi"/>
              <w:color w:val="auto"/>
              <w:kern w:val="2"/>
              <w:szCs w:val="24"/>
              <w:highlight w:val="none"/>
              <w:lang w:val="en-US" w:eastAsia="zh-CN" w:bidi="ar-SA"/>
            </w:rPr>
            <w:fldChar w:fldCharType="separate"/>
          </w:r>
          <w:r>
            <w:rPr>
              <w:rFonts w:hint="eastAsia" w:ascii="宋体" w:hAnsi="宋体" w:eastAsia="宋体" w:cs="宋体"/>
              <w:bCs w:val="0"/>
              <w:color w:val="auto"/>
              <w:kern w:val="2"/>
              <w:szCs w:val="32"/>
              <w:highlight w:val="none"/>
              <w:lang w:val="en-US" w:eastAsia="zh-CN" w:bidi="ar-SA"/>
            </w:rPr>
            <w:t>2.3. 职业健康安全管理目标和环境管理目标</w:t>
          </w:r>
          <w:r>
            <w:rPr>
              <w:color w:val="auto"/>
              <w:highlight w:val="none"/>
            </w:rPr>
            <w:tab/>
          </w:r>
          <w:r>
            <w:rPr>
              <w:color w:val="auto"/>
              <w:highlight w:val="none"/>
            </w:rPr>
            <w:fldChar w:fldCharType="begin"/>
          </w:r>
          <w:r>
            <w:rPr>
              <w:color w:val="auto"/>
              <w:highlight w:val="none"/>
            </w:rPr>
            <w:instrText xml:space="preserve"> PAGEREF _Toc20088 \h </w:instrText>
          </w:r>
          <w:r>
            <w:rPr>
              <w:color w:val="auto"/>
              <w:highlight w:val="none"/>
            </w:rPr>
            <w:fldChar w:fldCharType="separate"/>
          </w:r>
          <w:r>
            <w:rPr>
              <w:color w:val="auto"/>
              <w:highlight w:val="none"/>
            </w:rPr>
            <w:t>16</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0523F3D2">
          <w:pPr>
            <w:pStyle w:val="17"/>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_Toc7629 </w:instrText>
          </w:r>
          <w:r>
            <w:rPr>
              <w:rFonts w:hint="eastAsia" w:ascii="宋体" w:hAnsi="宋体" w:eastAsia="宋体" w:cstheme="minorBidi"/>
              <w:color w:val="auto"/>
              <w:kern w:val="2"/>
              <w:szCs w:val="24"/>
              <w:highlight w:val="none"/>
              <w:lang w:val="en-US" w:eastAsia="zh-CN" w:bidi="ar-SA"/>
            </w:rPr>
            <w:fldChar w:fldCharType="separate"/>
          </w:r>
          <w:r>
            <w:rPr>
              <w:rFonts w:hint="default" w:ascii="宋体" w:hAnsi="宋体" w:eastAsia="宋体"/>
              <w:color w:val="auto"/>
              <w:highlight w:val="none"/>
            </w:rPr>
            <w:t xml:space="preserve">第3章 </w:t>
          </w:r>
          <w:r>
            <w:rPr>
              <w:rFonts w:hint="eastAsia" w:ascii="宋体" w:hAnsi="宋体" w:eastAsia="宋体"/>
              <w:color w:val="auto"/>
              <w:highlight w:val="none"/>
            </w:rPr>
            <w:t>承包范围及界面划分</w:t>
          </w:r>
          <w:r>
            <w:rPr>
              <w:color w:val="auto"/>
              <w:highlight w:val="none"/>
            </w:rPr>
            <w:tab/>
          </w:r>
          <w:r>
            <w:rPr>
              <w:color w:val="auto"/>
              <w:highlight w:val="none"/>
            </w:rPr>
            <w:fldChar w:fldCharType="begin"/>
          </w:r>
          <w:r>
            <w:rPr>
              <w:color w:val="auto"/>
              <w:highlight w:val="none"/>
            </w:rPr>
            <w:instrText xml:space="preserve"> PAGEREF _Toc7629 \h </w:instrText>
          </w:r>
          <w:r>
            <w:rPr>
              <w:color w:val="auto"/>
              <w:highlight w:val="none"/>
            </w:rPr>
            <w:fldChar w:fldCharType="separate"/>
          </w:r>
          <w:r>
            <w:rPr>
              <w:color w:val="auto"/>
              <w:highlight w:val="none"/>
            </w:rPr>
            <w:t>17</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70DFC14F">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_Toc22466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3.1. 合约分判架构</w:t>
          </w:r>
          <w:r>
            <w:rPr>
              <w:color w:val="auto"/>
              <w:highlight w:val="none"/>
            </w:rPr>
            <w:tab/>
          </w:r>
          <w:r>
            <w:rPr>
              <w:color w:val="auto"/>
              <w:highlight w:val="none"/>
            </w:rPr>
            <w:fldChar w:fldCharType="begin"/>
          </w:r>
          <w:r>
            <w:rPr>
              <w:color w:val="auto"/>
              <w:highlight w:val="none"/>
            </w:rPr>
            <w:instrText xml:space="preserve"> PAGEREF _Toc22466 \h </w:instrText>
          </w:r>
          <w:r>
            <w:rPr>
              <w:color w:val="auto"/>
              <w:highlight w:val="none"/>
            </w:rPr>
            <w:fldChar w:fldCharType="separate"/>
          </w:r>
          <w:r>
            <w:rPr>
              <w:color w:val="auto"/>
              <w:highlight w:val="none"/>
            </w:rPr>
            <w:t>17</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4CD26699">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_Toc25912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3.2. 承包范围</w:t>
          </w:r>
          <w:r>
            <w:rPr>
              <w:color w:val="auto"/>
              <w:highlight w:val="none"/>
            </w:rPr>
            <w:tab/>
          </w:r>
          <w:r>
            <w:rPr>
              <w:color w:val="auto"/>
              <w:highlight w:val="none"/>
            </w:rPr>
            <w:fldChar w:fldCharType="begin"/>
          </w:r>
          <w:r>
            <w:rPr>
              <w:color w:val="auto"/>
              <w:highlight w:val="none"/>
            </w:rPr>
            <w:instrText xml:space="preserve"> PAGEREF _Toc25912 \h </w:instrText>
          </w:r>
          <w:r>
            <w:rPr>
              <w:color w:val="auto"/>
              <w:highlight w:val="none"/>
            </w:rPr>
            <w:fldChar w:fldCharType="separate"/>
          </w:r>
          <w:r>
            <w:rPr>
              <w:color w:val="auto"/>
              <w:highlight w:val="none"/>
            </w:rPr>
            <w:t>17</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3FD70D0A">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_Toc12611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3.3. 工作内容</w:t>
          </w:r>
          <w:r>
            <w:rPr>
              <w:color w:val="auto"/>
              <w:highlight w:val="none"/>
            </w:rPr>
            <w:tab/>
          </w:r>
          <w:r>
            <w:rPr>
              <w:color w:val="auto"/>
              <w:highlight w:val="none"/>
            </w:rPr>
            <w:fldChar w:fldCharType="begin"/>
          </w:r>
          <w:r>
            <w:rPr>
              <w:color w:val="auto"/>
              <w:highlight w:val="none"/>
            </w:rPr>
            <w:instrText xml:space="preserve"> PAGEREF _Toc12611 \h </w:instrText>
          </w:r>
          <w:r>
            <w:rPr>
              <w:color w:val="auto"/>
              <w:highlight w:val="none"/>
            </w:rPr>
            <w:fldChar w:fldCharType="separate"/>
          </w:r>
          <w:r>
            <w:rPr>
              <w:color w:val="auto"/>
              <w:highlight w:val="none"/>
            </w:rPr>
            <w:t>22</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532CDC69">
          <w:pPr>
            <w:pStyle w:val="17"/>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_Toc15503 </w:instrText>
          </w:r>
          <w:r>
            <w:rPr>
              <w:rFonts w:hint="eastAsia" w:ascii="宋体" w:hAnsi="宋体" w:eastAsia="宋体" w:cstheme="minorBidi"/>
              <w:color w:val="auto"/>
              <w:kern w:val="2"/>
              <w:szCs w:val="24"/>
              <w:highlight w:val="none"/>
              <w:lang w:val="en-US" w:eastAsia="zh-CN" w:bidi="ar-SA"/>
            </w:rPr>
            <w:fldChar w:fldCharType="separate"/>
          </w:r>
          <w:r>
            <w:rPr>
              <w:rFonts w:hint="default" w:ascii="宋体" w:hAnsi="宋体" w:eastAsia="宋体"/>
              <w:color w:val="auto"/>
              <w:highlight w:val="none"/>
            </w:rPr>
            <w:t xml:space="preserve">第4章 </w:t>
          </w:r>
          <w:r>
            <w:rPr>
              <w:rFonts w:hint="eastAsia" w:ascii="宋体" w:hAnsi="宋体" w:eastAsia="宋体"/>
              <w:color w:val="auto"/>
              <w:highlight w:val="none"/>
            </w:rPr>
            <w:t>协调配合要求</w:t>
          </w:r>
          <w:r>
            <w:rPr>
              <w:color w:val="auto"/>
              <w:highlight w:val="none"/>
            </w:rPr>
            <w:tab/>
          </w:r>
          <w:r>
            <w:rPr>
              <w:color w:val="auto"/>
              <w:highlight w:val="none"/>
            </w:rPr>
            <w:fldChar w:fldCharType="begin"/>
          </w:r>
          <w:r>
            <w:rPr>
              <w:color w:val="auto"/>
              <w:highlight w:val="none"/>
            </w:rPr>
            <w:instrText xml:space="preserve"> PAGEREF _Toc15503 \h </w:instrText>
          </w:r>
          <w:r>
            <w:rPr>
              <w:color w:val="auto"/>
              <w:highlight w:val="none"/>
            </w:rPr>
            <w:fldChar w:fldCharType="separate"/>
          </w:r>
          <w:r>
            <w:rPr>
              <w:color w:val="auto"/>
              <w:highlight w:val="none"/>
            </w:rPr>
            <w:t>28</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723DC633">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_Toc9809 </w:instrText>
          </w:r>
          <w:r>
            <w:rPr>
              <w:rFonts w:hint="eastAsia" w:ascii="宋体" w:hAnsi="宋体" w:eastAsia="宋体" w:cstheme="minorBidi"/>
              <w:color w:val="auto"/>
              <w:kern w:val="2"/>
              <w:szCs w:val="24"/>
              <w:highlight w:val="none"/>
              <w:lang w:val="en-US" w:eastAsia="zh-CN" w:bidi="ar-SA"/>
            </w:rPr>
            <w:fldChar w:fldCharType="separate"/>
          </w:r>
          <w:r>
            <w:rPr>
              <w:rFonts w:hint="default" w:ascii="宋体" w:hAnsi="宋体" w:eastAsia="宋体" w:cs="宋体"/>
              <w:color w:val="auto"/>
              <w:highlight w:val="none"/>
            </w:rPr>
            <w:t xml:space="preserve">4.1. </w:t>
          </w:r>
          <w:r>
            <w:rPr>
              <w:rFonts w:hint="eastAsia"/>
              <w:color w:val="auto"/>
              <w:highlight w:val="none"/>
            </w:rPr>
            <w:t>与发包人的协调配合</w:t>
          </w:r>
          <w:r>
            <w:rPr>
              <w:color w:val="auto"/>
              <w:highlight w:val="none"/>
            </w:rPr>
            <w:tab/>
          </w:r>
          <w:r>
            <w:rPr>
              <w:color w:val="auto"/>
              <w:highlight w:val="none"/>
            </w:rPr>
            <w:fldChar w:fldCharType="begin"/>
          </w:r>
          <w:r>
            <w:rPr>
              <w:color w:val="auto"/>
              <w:highlight w:val="none"/>
            </w:rPr>
            <w:instrText xml:space="preserve"> PAGEREF _Toc9809 \h </w:instrText>
          </w:r>
          <w:r>
            <w:rPr>
              <w:color w:val="auto"/>
              <w:highlight w:val="none"/>
            </w:rPr>
            <w:fldChar w:fldCharType="separate"/>
          </w:r>
          <w:r>
            <w:rPr>
              <w:color w:val="auto"/>
              <w:highlight w:val="none"/>
            </w:rPr>
            <w:t>28</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61699EB3">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_Toc30791 </w:instrText>
          </w:r>
          <w:r>
            <w:rPr>
              <w:rFonts w:hint="eastAsia" w:ascii="宋体" w:hAnsi="宋体" w:eastAsia="宋体" w:cstheme="minorBidi"/>
              <w:color w:val="auto"/>
              <w:kern w:val="2"/>
              <w:szCs w:val="24"/>
              <w:highlight w:val="none"/>
              <w:lang w:val="en-US" w:eastAsia="zh-CN" w:bidi="ar-SA"/>
            </w:rPr>
            <w:fldChar w:fldCharType="separate"/>
          </w:r>
          <w:r>
            <w:rPr>
              <w:rFonts w:hint="default" w:ascii="宋体" w:hAnsi="宋体" w:eastAsia="宋体" w:cs="宋体"/>
              <w:color w:val="auto"/>
              <w:highlight w:val="none"/>
            </w:rPr>
            <w:t xml:space="preserve">4.2. </w:t>
          </w:r>
          <w:r>
            <w:rPr>
              <w:rFonts w:hint="eastAsia"/>
              <w:color w:val="auto"/>
              <w:highlight w:val="none"/>
            </w:rPr>
            <w:t>与设计人的协调配合</w:t>
          </w:r>
          <w:r>
            <w:rPr>
              <w:color w:val="auto"/>
              <w:highlight w:val="none"/>
            </w:rPr>
            <w:tab/>
          </w:r>
          <w:r>
            <w:rPr>
              <w:color w:val="auto"/>
              <w:highlight w:val="none"/>
            </w:rPr>
            <w:fldChar w:fldCharType="begin"/>
          </w:r>
          <w:r>
            <w:rPr>
              <w:color w:val="auto"/>
              <w:highlight w:val="none"/>
            </w:rPr>
            <w:instrText xml:space="preserve"> PAGEREF _Toc30791 \h </w:instrText>
          </w:r>
          <w:r>
            <w:rPr>
              <w:color w:val="auto"/>
              <w:highlight w:val="none"/>
            </w:rPr>
            <w:fldChar w:fldCharType="separate"/>
          </w:r>
          <w:r>
            <w:rPr>
              <w:color w:val="auto"/>
              <w:highlight w:val="none"/>
            </w:rPr>
            <w:t>28</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014BCFCD">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_Toc32291 </w:instrText>
          </w:r>
          <w:r>
            <w:rPr>
              <w:rFonts w:hint="eastAsia" w:ascii="宋体" w:hAnsi="宋体" w:eastAsia="宋体" w:cstheme="minorBidi"/>
              <w:color w:val="auto"/>
              <w:kern w:val="2"/>
              <w:szCs w:val="24"/>
              <w:highlight w:val="none"/>
              <w:lang w:val="en-US" w:eastAsia="zh-CN" w:bidi="ar-SA"/>
            </w:rPr>
            <w:fldChar w:fldCharType="separate"/>
          </w:r>
          <w:r>
            <w:rPr>
              <w:rFonts w:hint="default" w:ascii="宋体" w:hAnsi="宋体" w:eastAsia="宋体" w:cs="宋体"/>
              <w:color w:val="auto"/>
              <w:highlight w:val="none"/>
            </w:rPr>
            <w:t xml:space="preserve">4.3. </w:t>
          </w:r>
          <w:r>
            <w:rPr>
              <w:rFonts w:hint="eastAsia"/>
              <w:color w:val="auto"/>
              <w:highlight w:val="none"/>
            </w:rPr>
            <w:t>与监理人的协调配合</w:t>
          </w:r>
          <w:r>
            <w:rPr>
              <w:color w:val="auto"/>
              <w:highlight w:val="none"/>
            </w:rPr>
            <w:tab/>
          </w:r>
          <w:r>
            <w:rPr>
              <w:color w:val="auto"/>
              <w:highlight w:val="none"/>
            </w:rPr>
            <w:fldChar w:fldCharType="begin"/>
          </w:r>
          <w:r>
            <w:rPr>
              <w:color w:val="auto"/>
              <w:highlight w:val="none"/>
            </w:rPr>
            <w:instrText xml:space="preserve"> PAGEREF _Toc32291 \h </w:instrText>
          </w:r>
          <w:r>
            <w:rPr>
              <w:color w:val="auto"/>
              <w:highlight w:val="none"/>
            </w:rPr>
            <w:fldChar w:fldCharType="separate"/>
          </w:r>
          <w:r>
            <w:rPr>
              <w:color w:val="auto"/>
              <w:highlight w:val="none"/>
            </w:rPr>
            <w:t>29</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0C4F65D4">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_Toc15622 </w:instrText>
          </w:r>
          <w:r>
            <w:rPr>
              <w:rFonts w:hint="eastAsia" w:ascii="宋体" w:hAnsi="宋体" w:eastAsia="宋体" w:cstheme="minorBidi"/>
              <w:color w:val="auto"/>
              <w:kern w:val="2"/>
              <w:szCs w:val="24"/>
              <w:highlight w:val="none"/>
              <w:lang w:val="en-US" w:eastAsia="zh-CN" w:bidi="ar-SA"/>
            </w:rPr>
            <w:fldChar w:fldCharType="separate"/>
          </w:r>
          <w:r>
            <w:rPr>
              <w:rFonts w:hint="default" w:ascii="宋体" w:hAnsi="宋体" w:eastAsia="宋体" w:cs="宋体"/>
              <w:color w:val="auto"/>
              <w:highlight w:val="none"/>
            </w:rPr>
            <w:t xml:space="preserve">4.4. </w:t>
          </w:r>
          <w:r>
            <w:rPr>
              <w:rFonts w:hint="eastAsia"/>
              <w:color w:val="auto"/>
              <w:highlight w:val="none"/>
            </w:rPr>
            <w:t>与总承包人的协调配合</w:t>
          </w:r>
          <w:r>
            <w:rPr>
              <w:color w:val="auto"/>
              <w:highlight w:val="none"/>
            </w:rPr>
            <w:tab/>
          </w:r>
          <w:r>
            <w:rPr>
              <w:color w:val="auto"/>
              <w:highlight w:val="none"/>
            </w:rPr>
            <w:fldChar w:fldCharType="begin"/>
          </w:r>
          <w:r>
            <w:rPr>
              <w:color w:val="auto"/>
              <w:highlight w:val="none"/>
            </w:rPr>
            <w:instrText xml:space="preserve"> PAGEREF _Toc15622 \h </w:instrText>
          </w:r>
          <w:r>
            <w:rPr>
              <w:color w:val="auto"/>
              <w:highlight w:val="none"/>
            </w:rPr>
            <w:fldChar w:fldCharType="separate"/>
          </w:r>
          <w:r>
            <w:rPr>
              <w:color w:val="auto"/>
              <w:highlight w:val="none"/>
            </w:rPr>
            <w:t>29</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30AC7E9E">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_Toc995 </w:instrText>
          </w:r>
          <w:r>
            <w:rPr>
              <w:rFonts w:hint="eastAsia" w:ascii="宋体" w:hAnsi="宋体" w:eastAsia="宋体" w:cstheme="minorBidi"/>
              <w:color w:val="auto"/>
              <w:kern w:val="2"/>
              <w:szCs w:val="24"/>
              <w:highlight w:val="none"/>
              <w:lang w:val="en-US" w:eastAsia="zh-CN" w:bidi="ar-SA"/>
            </w:rPr>
            <w:fldChar w:fldCharType="separate"/>
          </w:r>
          <w:r>
            <w:rPr>
              <w:rFonts w:hint="default" w:ascii="宋体" w:hAnsi="宋体" w:eastAsia="宋体" w:cs="宋体"/>
              <w:color w:val="auto"/>
              <w:highlight w:val="none"/>
            </w:rPr>
            <w:t xml:space="preserve">4.5. </w:t>
          </w:r>
          <w:r>
            <w:rPr>
              <w:rFonts w:hint="eastAsia"/>
              <w:color w:val="auto"/>
              <w:highlight w:val="none"/>
            </w:rPr>
            <w:t>装修</w:t>
          </w:r>
          <w:r>
            <w:rPr>
              <w:rFonts w:hint="eastAsia"/>
              <w:color w:val="auto"/>
              <w:highlight w:val="none"/>
              <w:lang w:eastAsia="zh-CN"/>
            </w:rPr>
            <w:t>专业承包人</w:t>
          </w:r>
          <w:r>
            <w:rPr>
              <w:rFonts w:hint="eastAsia"/>
              <w:color w:val="auto"/>
              <w:highlight w:val="none"/>
            </w:rPr>
            <w:t>对装修区域各单位的协调与管理要求</w:t>
          </w:r>
          <w:r>
            <w:rPr>
              <w:color w:val="auto"/>
              <w:highlight w:val="none"/>
            </w:rPr>
            <w:tab/>
          </w:r>
          <w:r>
            <w:rPr>
              <w:color w:val="auto"/>
              <w:highlight w:val="none"/>
            </w:rPr>
            <w:fldChar w:fldCharType="begin"/>
          </w:r>
          <w:r>
            <w:rPr>
              <w:color w:val="auto"/>
              <w:highlight w:val="none"/>
            </w:rPr>
            <w:instrText xml:space="preserve"> PAGEREF _Toc995 \h </w:instrText>
          </w:r>
          <w:r>
            <w:rPr>
              <w:color w:val="auto"/>
              <w:highlight w:val="none"/>
            </w:rPr>
            <w:fldChar w:fldCharType="separate"/>
          </w:r>
          <w:r>
            <w:rPr>
              <w:color w:val="auto"/>
              <w:highlight w:val="none"/>
            </w:rPr>
            <w:t>30</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1279C88E">
          <w:pPr>
            <w:pStyle w:val="17"/>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_Toc1513 </w:instrText>
          </w:r>
          <w:r>
            <w:rPr>
              <w:rFonts w:hint="eastAsia" w:ascii="宋体" w:hAnsi="宋体" w:eastAsia="宋体" w:cstheme="minorBidi"/>
              <w:color w:val="auto"/>
              <w:kern w:val="2"/>
              <w:szCs w:val="24"/>
              <w:highlight w:val="none"/>
              <w:lang w:val="en-US" w:eastAsia="zh-CN" w:bidi="ar-SA"/>
            </w:rPr>
            <w:fldChar w:fldCharType="separate"/>
          </w:r>
          <w:r>
            <w:rPr>
              <w:rFonts w:hint="default" w:ascii="宋体" w:hAnsi="宋体" w:eastAsia="宋体"/>
              <w:color w:val="auto"/>
              <w:highlight w:val="none"/>
            </w:rPr>
            <w:t xml:space="preserve">第5章 </w:t>
          </w:r>
          <w:r>
            <w:rPr>
              <w:rFonts w:hint="eastAsia" w:ascii="宋体" w:hAnsi="宋体" w:eastAsia="宋体"/>
              <w:color w:val="auto"/>
              <w:highlight w:val="none"/>
            </w:rPr>
            <w:t>项目组织架构及工作要求</w:t>
          </w:r>
          <w:r>
            <w:rPr>
              <w:color w:val="auto"/>
              <w:highlight w:val="none"/>
            </w:rPr>
            <w:tab/>
          </w:r>
          <w:r>
            <w:rPr>
              <w:color w:val="auto"/>
              <w:highlight w:val="none"/>
            </w:rPr>
            <w:fldChar w:fldCharType="begin"/>
          </w:r>
          <w:r>
            <w:rPr>
              <w:color w:val="auto"/>
              <w:highlight w:val="none"/>
            </w:rPr>
            <w:instrText xml:space="preserve"> PAGEREF _Toc1513 \h </w:instrText>
          </w:r>
          <w:r>
            <w:rPr>
              <w:color w:val="auto"/>
              <w:highlight w:val="none"/>
            </w:rPr>
            <w:fldChar w:fldCharType="separate"/>
          </w:r>
          <w:r>
            <w:rPr>
              <w:color w:val="auto"/>
              <w:highlight w:val="none"/>
            </w:rPr>
            <w:t>34</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51D79637">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_Toc6259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5.1. 项目</w:t>
          </w:r>
          <w:r>
            <w:rPr>
              <w:color w:val="auto"/>
              <w:highlight w:val="none"/>
            </w:rPr>
            <w:t>管理团队组织架构设置要求</w:t>
          </w:r>
          <w:r>
            <w:rPr>
              <w:color w:val="auto"/>
              <w:highlight w:val="none"/>
            </w:rPr>
            <w:tab/>
          </w:r>
          <w:r>
            <w:rPr>
              <w:color w:val="auto"/>
              <w:highlight w:val="none"/>
            </w:rPr>
            <w:fldChar w:fldCharType="begin"/>
          </w:r>
          <w:r>
            <w:rPr>
              <w:color w:val="auto"/>
              <w:highlight w:val="none"/>
            </w:rPr>
            <w:instrText xml:space="preserve"> PAGEREF _Toc6259 \h </w:instrText>
          </w:r>
          <w:r>
            <w:rPr>
              <w:color w:val="auto"/>
              <w:highlight w:val="none"/>
            </w:rPr>
            <w:fldChar w:fldCharType="separate"/>
          </w:r>
          <w:r>
            <w:rPr>
              <w:color w:val="auto"/>
              <w:highlight w:val="none"/>
            </w:rPr>
            <w:t>34</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296457B2">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_Toc437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 xml:space="preserve">5.2. </w:t>
          </w:r>
          <w:r>
            <w:rPr>
              <w:rFonts w:hint="eastAsia"/>
              <w:color w:val="auto"/>
              <w:highlight w:val="none"/>
              <w:lang w:eastAsia="zh-CN"/>
            </w:rPr>
            <w:t>项目</w:t>
          </w:r>
          <w:r>
            <w:rPr>
              <w:rFonts w:hint="eastAsia"/>
              <w:color w:val="auto"/>
              <w:highlight w:val="none"/>
              <w:lang w:val="en-US" w:eastAsia="zh-CN"/>
            </w:rPr>
            <w:t>经理</w:t>
          </w:r>
          <w:r>
            <w:rPr>
              <w:rFonts w:hint="eastAsia"/>
              <w:color w:val="auto"/>
              <w:highlight w:val="none"/>
            </w:rPr>
            <w:t>的要求</w:t>
          </w:r>
          <w:r>
            <w:rPr>
              <w:color w:val="auto"/>
              <w:highlight w:val="none"/>
            </w:rPr>
            <w:tab/>
          </w:r>
          <w:r>
            <w:rPr>
              <w:color w:val="auto"/>
              <w:highlight w:val="none"/>
            </w:rPr>
            <w:fldChar w:fldCharType="begin"/>
          </w:r>
          <w:r>
            <w:rPr>
              <w:color w:val="auto"/>
              <w:highlight w:val="none"/>
            </w:rPr>
            <w:instrText xml:space="preserve"> PAGEREF _Toc437 \h </w:instrText>
          </w:r>
          <w:r>
            <w:rPr>
              <w:color w:val="auto"/>
              <w:highlight w:val="none"/>
            </w:rPr>
            <w:fldChar w:fldCharType="separate"/>
          </w:r>
          <w:r>
            <w:rPr>
              <w:color w:val="auto"/>
              <w:highlight w:val="none"/>
            </w:rPr>
            <w:t>35</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7514AC0E">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_Toc25410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5.3. 项目关键岗位</w:t>
          </w:r>
          <w:r>
            <w:rPr>
              <w:color w:val="auto"/>
              <w:highlight w:val="none"/>
            </w:rPr>
            <w:t>的</w:t>
          </w:r>
          <w:r>
            <w:rPr>
              <w:rFonts w:hint="eastAsia"/>
              <w:color w:val="auto"/>
              <w:highlight w:val="none"/>
            </w:rPr>
            <w:t>管理要求</w:t>
          </w:r>
          <w:r>
            <w:rPr>
              <w:color w:val="auto"/>
              <w:highlight w:val="none"/>
            </w:rPr>
            <w:tab/>
          </w:r>
          <w:r>
            <w:rPr>
              <w:color w:val="auto"/>
              <w:highlight w:val="none"/>
            </w:rPr>
            <w:fldChar w:fldCharType="begin"/>
          </w:r>
          <w:r>
            <w:rPr>
              <w:color w:val="auto"/>
              <w:highlight w:val="none"/>
            </w:rPr>
            <w:instrText xml:space="preserve"> PAGEREF _Toc25410 \h </w:instrText>
          </w:r>
          <w:r>
            <w:rPr>
              <w:color w:val="auto"/>
              <w:highlight w:val="none"/>
            </w:rPr>
            <w:fldChar w:fldCharType="separate"/>
          </w:r>
          <w:r>
            <w:rPr>
              <w:color w:val="auto"/>
              <w:highlight w:val="none"/>
            </w:rPr>
            <w:t>36</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49ACDE7E">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_Toc9939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5.4. 对劳务队伍人员配置的要求</w:t>
          </w:r>
          <w:r>
            <w:rPr>
              <w:color w:val="auto"/>
              <w:highlight w:val="none"/>
            </w:rPr>
            <w:tab/>
          </w:r>
          <w:r>
            <w:rPr>
              <w:color w:val="auto"/>
              <w:highlight w:val="none"/>
            </w:rPr>
            <w:fldChar w:fldCharType="begin"/>
          </w:r>
          <w:r>
            <w:rPr>
              <w:color w:val="auto"/>
              <w:highlight w:val="none"/>
            </w:rPr>
            <w:instrText xml:space="preserve"> PAGEREF _Toc9939 \h </w:instrText>
          </w:r>
          <w:r>
            <w:rPr>
              <w:color w:val="auto"/>
              <w:highlight w:val="none"/>
            </w:rPr>
            <w:fldChar w:fldCharType="separate"/>
          </w:r>
          <w:r>
            <w:rPr>
              <w:color w:val="auto"/>
              <w:highlight w:val="none"/>
            </w:rPr>
            <w:t>37</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2D5B0483">
          <w:pPr>
            <w:pStyle w:val="17"/>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_Toc8931 </w:instrText>
          </w:r>
          <w:r>
            <w:rPr>
              <w:rFonts w:hint="eastAsia" w:ascii="宋体" w:hAnsi="宋体" w:eastAsia="宋体" w:cstheme="minorBidi"/>
              <w:color w:val="auto"/>
              <w:kern w:val="2"/>
              <w:szCs w:val="24"/>
              <w:highlight w:val="none"/>
              <w:lang w:val="en-US" w:eastAsia="zh-CN" w:bidi="ar-SA"/>
            </w:rPr>
            <w:fldChar w:fldCharType="separate"/>
          </w:r>
          <w:r>
            <w:rPr>
              <w:rFonts w:hint="default"/>
              <w:color w:val="auto"/>
              <w:highlight w:val="none"/>
            </w:rPr>
            <w:t xml:space="preserve">第6章 </w:t>
          </w:r>
          <w:r>
            <w:rPr>
              <w:rFonts w:hint="eastAsia"/>
              <w:color w:val="auto"/>
              <w:highlight w:val="none"/>
            </w:rPr>
            <w:t>施工</w:t>
          </w:r>
          <w:r>
            <w:rPr>
              <w:color w:val="auto"/>
              <w:highlight w:val="none"/>
            </w:rPr>
            <w:t>管理要求</w:t>
          </w:r>
          <w:r>
            <w:rPr>
              <w:color w:val="auto"/>
              <w:highlight w:val="none"/>
            </w:rPr>
            <w:tab/>
          </w:r>
          <w:r>
            <w:rPr>
              <w:color w:val="auto"/>
              <w:highlight w:val="none"/>
            </w:rPr>
            <w:fldChar w:fldCharType="begin"/>
          </w:r>
          <w:r>
            <w:rPr>
              <w:color w:val="auto"/>
              <w:highlight w:val="none"/>
            </w:rPr>
            <w:instrText xml:space="preserve"> PAGEREF _Toc8931 \h </w:instrText>
          </w:r>
          <w:r>
            <w:rPr>
              <w:color w:val="auto"/>
              <w:highlight w:val="none"/>
            </w:rPr>
            <w:fldChar w:fldCharType="separate"/>
          </w:r>
          <w:r>
            <w:rPr>
              <w:color w:val="auto"/>
              <w:highlight w:val="none"/>
            </w:rPr>
            <w:t>38</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4B8178F6">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_Toc7190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 xml:space="preserve">6.1 </w:t>
          </w:r>
          <w:r>
            <w:rPr>
              <w:color w:val="auto"/>
              <w:highlight w:val="none"/>
            </w:rPr>
            <w:t>质量管理要求</w:t>
          </w:r>
          <w:r>
            <w:rPr>
              <w:color w:val="auto"/>
              <w:highlight w:val="none"/>
            </w:rPr>
            <w:tab/>
          </w:r>
          <w:r>
            <w:rPr>
              <w:color w:val="auto"/>
              <w:highlight w:val="none"/>
            </w:rPr>
            <w:fldChar w:fldCharType="begin"/>
          </w:r>
          <w:r>
            <w:rPr>
              <w:color w:val="auto"/>
              <w:highlight w:val="none"/>
            </w:rPr>
            <w:instrText xml:space="preserve"> PAGEREF _Toc7190 \h </w:instrText>
          </w:r>
          <w:r>
            <w:rPr>
              <w:color w:val="auto"/>
              <w:highlight w:val="none"/>
            </w:rPr>
            <w:fldChar w:fldCharType="separate"/>
          </w:r>
          <w:r>
            <w:rPr>
              <w:color w:val="auto"/>
              <w:highlight w:val="none"/>
            </w:rPr>
            <w:t>38</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0E8ED91F">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_Toc25415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 xml:space="preserve">6.2 </w:t>
          </w:r>
          <w:r>
            <w:rPr>
              <w:color w:val="auto"/>
              <w:highlight w:val="none"/>
            </w:rPr>
            <w:t>进度管理要求</w:t>
          </w:r>
          <w:r>
            <w:rPr>
              <w:color w:val="auto"/>
              <w:highlight w:val="none"/>
            </w:rPr>
            <w:tab/>
          </w:r>
          <w:r>
            <w:rPr>
              <w:color w:val="auto"/>
              <w:highlight w:val="none"/>
            </w:rPr>
            <w:fldChar w:fldCharType="begin"/>
          </w:r>
          <w:r>
            <w:rPr>
              <w:color w:val="auto"/>
              <w:highlight w:val="none"/>
            </w:rPr>
            <w:instrText xml:space="preserve"> PAGEREF _Toc25415 \h </w:instrText>
          </w:r>
          <w:r>
            <w:rPr>
              <w:color w:val="auto"/>
              <w:highlight w:val="none"/>
            </w:rPr>
            <w:fldChar w:fldCharType="separate"/>
          </w:r>
          <w:r>
            <w:rPr>
              <w:color w:val="auto"/>
              <w:highlight w:val="none"/>
            </w:rPr>
            <w:t>60</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334245D6">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_Toc17543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 xml:space="preserve">6.3 </w:t>
          </w:r>
          <w:r>
            <w:rPr>
              <w:color w:val="auto"/>
              <w:highlight w:val="none"/>
            </w:rPr>
            <w:t>深化设计要求</w:t>
          </w:r>
          <w:r>
            <w:rPr>
              <w:color w:val="auto"/>
              <w:highlight w:val="none"/>
            </w:rPr>
            <w:tab/>
          </w:r>
          <w:r>
            <w:rPr>
              <w:color w:val="auto"/>
              <w:highlight w:val="none"/>
            </w:rPr>
            <w:fldChar w:fldCharType="begin"/>
          </w:r>
          <w:r>
            <w:rPr>
              <w:color w:val="auto"/>
              <w:highlight w:val="none"/>
            </w:rPr>
            <w:instrText xml:space="preserve"> PAGEREF _Toc17543 \h </w:instrText>
          </w:r>
          <w:r>
            <w:rPr>
              <w:color w:val="auto"/>
              <w:highlight w:val="none"/>
            </w:rPr>
            <w:fldChar w:fldCharType="separate"/>
          </w:r>
          <w:r>
            <w:rPr>
              <w:color w:val="auto"/>
              <w:highlight w:val="none"/>
            </w:rPr>
            <w:t>64</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7D526269">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_Toc20160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 xml:space="preserve">6.4 </w:t>
          </w:r>
          <w:r>
            <w:rPr>
              <w:rFonts w:hint="eastAsia"/>
              <w:color w:val="auto"/>
              <w:highlight w:val="none"/>
              <w:lang w:val="en-US" w:eastAsia="zh-CN"/>
            </w:rPr>
            <w:t>样板管理要求</w:t>
          </w:r>
          <w:r>
            <w:rPr>
              <w:color w:val="auto"/>
              <w:highlight w:val="none"/>
            </w:rPr>
            <w:tab/>
          </w:r>
          <w:r>
            <w:rPr>
              <w:color w:val="auto"/>
              <w:highlight w:val="none"/>
            </w:rPr>
            <w:fldChar w:fldCharType="begin"/>
          </w:r>
          <w:r>
            <w:rPr>
              <w:color w:val="auto"/>
              <w:highlight w:val="none"/>
            </w:rPr>
            <w:instrText xml:space="preserve"> PAGEREF _Toc20160 \h </w:instrText>
          </w:r>
          <w:r>
            <w:rPr>
              <w:color w:val="auto"/>
              <w:highlight w:val="none"/>
            </w:rPr>
            <w:fldChar w:fldCharType="separate"/>
          </w:r>
          <w:r>
            <w:rPr>
              <w:color w:val="auto"/>
              <w:highlight w:val="none"/>
            </w:rPr>
            <w:t>66</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6D357008">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_Toc28374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6.5 施工策划管理要求</w:t>
          </w:r>
          <w:r>
            <w:rPr>
              <w:color w:val="auto"/>
              <w:highlight w:val="none"/>
            </w:rPr>
            <w:tab/>
          </w:r>
          <w:r>
            <w:rPr>
              <w:color w:val="auto"/>
              <w:highlight w:val="none"/>
            </w:rPr>
            <w:fldChar w:fldCharType="begin"/>
          </w:r>
          <w:r>
            <w:rPr>
              <w:color w:val="auto"/>
              <w:highlight w:val="none"/>
            </w:rPr>
            <w:instrText xml:space="preserve"> PAGEREF _Toc28374 \h </w:instrText>
          </w:r>
          <w:r>
            <w:rPr>
              <w:color w:val="auto"/>
              <w:highlight w:val="none"/>
            </w:rPr>
            <w:fldChar w:fldCharType="separate"/>
          </w:r>
          <w:r>
            <w:rPr>
              <w:color w:val="auto"/>
              <w:highlight w:val="none"/>
            </w:rPr>
            <w:t>67</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0EC0CAB8">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_Toc14402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6.6 工序交接</w:t>
          </w:r>
          <w:r>
            <w:rPr>
              <w:color w:val="auto"/>
              <w:highlight w:val="none"/>
            </w:rPr>
            <w:t>管理要求</w:t>
          </w:r>
          <w:r>
            <w:rPr>
              <w:color w:val="auto"/>
              <w:highlight w:val="none"/>
            </w:rPr>
            <w:tab/>
          </w:r>
          <w:r>
            <w:rPr>
              <w:color w:val="auto"/>
              <w:highlight w:val="none"/>
            </w:rPr>
            <w:fldChar w:fldCharType="begin"/>
          </w:r>
          <w:r>
            <w:rPr>
              <w:color w:val="auto"/>
              <w:highlight w:val="none"/>
            </w:rPr>
            <w:instrText xml:space="preserve"> PAGEREF _Toc14402 \h </w:instrText>
          </w:r>
          <w:r>
            <w:rPr>
              <w:color w:val="auto"/>
              <w:highlight w:val="none"/>
            </w:rPr>
            <w:fldChar w:fldCharType="separate"/>
          </w:r>
          <w:r>
            <w:rPr>
              <w:color w:val="auto"/>
              <w:highlight w:val="none"/>
            </w:rPr>
            <w:t>68</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164E507E">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_Toc27942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 xml:space="preserve">6.7 </w:t>
          </w:r>
          <w:r>
            <w:rPr>
              <w:color w:val="auto"/>
              <w:highlight w:val="none"/>
            </w:rPr>
            <w:t>工作面交接管理要求</w:t>
          </w:r>
          <w:r>
            <w:rPr>
              <w:color w:val="auto"/>
              <w:highlight w:val="none"/>
            </w:rPr>
            <w:tab/>
          </w:r>
          <w:r>
            <w:rPr>
              <w:color w:val="auto"/>
              <w:highlight w:val="none"/>
            </w:rPr>
            <w:fldChar w:fldCharType="begin"/>
          </w:r>
          <w:r>
            <w:rPr>
              <w:color w:val="auto"/>
              <w:highlight w:val="none"/>
            </w:rPr>
            <w:instrText xml:space="preserve"> PAGEREF _Toc27942 \h </w:instrText>
          </w:r>
          <w:r>
            <w:rPr>
              <w:color w:val="auto"/>
              <w:highlight w:val="none"/>
            </w:rPr>
            <w:fldChar w:fldCharType="separate"/>
          </w:r>
          <w:r>
            <w:rPr>
              <w:color w:val="auto"/>
              <w:highlight w:val="none"/>
            </w:rPr>
            <w:t>68</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421B3284">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_Toc12406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 xml:space="preserve">6.8 </w:t>
          </w:r>
          <w:r>
            <w:rPr>
              <w:color w:val="auto"/>
              <w:highlight w:val="none"/>
            </w:rPr>
            <w:t>成品保护要求</w:t>
          </w:r>
          <w:r>
            <w:rPr>
              <w:color w:val="auto"/>
              <w:highlight w:val="none"/>
            </w:rPr>
            <w:tab/>
          </w:r>
          <w:r>
            <w:rPr>
              <w:color w:val="auto"/>
              <w:highlight w:val="none"/>
            </w:rPr>
            <w:fldChar w:fldCharType="begin"/>
          </w:r>
          <w:r>
            <w:rPr>
              <w:color w:val="auto"/>
              <w:highlight w:val="none"/>
            </w:rPr>
            <w:instrText xml:space="preserve"> PAGEREF _Toc12406 \h </w:instrText>
          </w:r>
          <w:r>
            <w:rPr>
              <w:color w:val="auto"/>
              <w:highlight w:val="none"/>
            </w:rPr>
            <w:fldChar w:fldCharType="separate"/>
          </w:r>
          <w:r>
            <w:rPr>
              <w:color w:val="auto"/>
              <w:highlight w:val="none"/>
            </w:rPr>
            <w:t>69</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1587F2A6">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_Toc16449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6.9 甲供物资</w:t>
          </w:r>
          <w:r>
            <w:rPr>
              <w:color w:val="auto"/>
              <w:highlight w:val="none"/>
            </w:rPr>
            <w:t>管理要求</w:t>
          </w:r>
          <w:r>
            <w:rPr>
              <w:rFonts w:hint="eastAsia"/>
              <w:color w:val="auto"/>
              <w:highlight w:val="none"/>
              <w:lang w:eastAsia="zh-CN"/>
            </w:rPr>
            <w:t>（</w:t>
          </w:r>
          <w:r>
            <w:rPr>
              <w:rFonts w:hint="eastAsia"/>
              <w:color w:val="auto"/>
              <w:highlight w:val="none"/>
              <w:lang w:val="en-US" w:eastAsia="zh-CN"/>
            </w:rPr>
            <w:t>如有</w:t>
          </w:r>
          <w:r>
            <w:rPr>
              <w:rFonts w:hint="eastAsia"/>
              <w:color w:val="auto"/>
              <w:highlight w:val="none"/>
              <w:lang w:eastAsia="zh-CN"/>
            </w:rPr>
            <w:t>）</w:t>
          </w:r>
          <w:r>
            <w:rPr>
              <w:color w:val="auto"/>
              <w:highlight w:val="none"/>
            </w:rPr>
            <w:tab/>
          </w:r>
          <w:r>
            <w:rPr>
              <w:color w:val="auto"/>
              <w:highlight w:val="none"/>
            </w:rPr>
            <w:fldChar w:fldCharType="begin"/>
          </w:r>
          <w:r>
            <w:rPr>
              <w:color w:val="auto"/>
              <w:highlight w:val="none"/>
            </w:rPr>
            <w:instrText xml:space="preserve"> PAGEREF _Toc16449 \h </w:instrText>
          </w:r>
          <w:r>
            <w:rPr>
              <w:color w:val="auto"/>
              <w:highlight w:val="none"/>
            </w:rPr>
            <w:fldChar w:fldCharType="separate"/>
          </w:r>
          <w:r>
            <w:rPr>
              <w:color w:val="auto"/>
              <w:highlight w:val="none"/>
            </w:rPr>
            <w:t>70</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1FA4D88B">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_Toc17563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6.10 乙</w:t>
          </w:r>
          <w:r>
            <w:rPr>
              <w:color w:val="auto"/>
              <w:highlight w:val="none"/>
            </w:rPr>
            <w:t>供</w:t>
          </w:r>
          <w:r>
            <w:rPr>
              <w:rFonts w:hint="eastAsia"/>
              <w:color w:val="auto"/>
              <w:highlight w:val="none"/>
            </w:rPr>
            <w:t>物资</w:t>
          </w:r>
          <w:r>
            <w:rPr>
              <w:color w:val="auto"/>
              <w:highlight w:val="none"/>
            </w:rPr>
            <w:t>管理要求</w:t>
          </w:r>
          <w:r>
            <w:rPr>
              <w:color w:val="auto"/>
              <w:highlight w:val="none"/>
            </w:rPr>
            <w:tab/>
          </w:r>
          <w:r>
            <w:rPr>
              <w:color w:val="auto"/>
              <w:highlight w:val="none"/>
            </w:rPr>
            <w:fldChar w:fldCharType="begin"/>
          </w:r>
          <w:r>
            <w:rPr>
              <w:color w:val="auto"/>
              <w:highlight w:val="none"/>
            </w:rPr>
            <w:instrText xml:space="preserve"> PAGEREF _Toc17563 \h </w:instrText>
          </w:r>
          <w:r>
            <w:rPr>
              <w:color w:val="auto"/>
              <w:highlight w:val="none"/>
            </w:rPr>
            <w:fldChar w:fldCharType="separate"/>
          </w:r>
          <w:r>
            <w:rPr>
              <w:color w:val="auto"/>
              <w:highlight w:val="none"/>
            </w:rPr>
            <w:t>71</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05A2E588">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_Toc6533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 xml:space="preserve">6.11 </w:t>
          </w:r>
          <w:r>
            <w:rPr>
              <w:color w:val="auto"/>
              <w:highlight w:val="none"/>
            </w:rPr>
            <w:t>劳务队伍</w:t>
          </w:r>
          <w:r>
            <w:rPr>
              <w:rFonts w:hint="eastAsia"/>
              <w:color w:val="auto"/>
              <w:highlight w:val="none"/>
            </w:rPr>
            <w:t>选择</w:t>
          </w:r>
          <w:r>
            <w:rPr>
              <w:color w:val="auto"/>
              <w:highlight w:val="none"/>
            </w:rPr>
            <w:t>要求</w:t>
          </w:r>
          <w:r>
            <w:rPr>
              <w:color w:val="auto"/>
              <w:highlight w:val="none"/>
            </w:rPr>
            <w:tab/>
          </w:r>
          <w:r>
            <w:rPr>
              <w:color w:val="auto"/>
              <w:highlight w:val="none"/>
            </w:rPr>
            <w:fldChar w:fldCharType="begin"/>
          </w:r>
          <w:r>
            <w:rPr>
              <w:color w:val="auto"/>
              <w:highlight w:val="none"/>
            </w:rPr>
            <w:instrText xml:space="preserve"> PAGEREF _Toc6533 \h </w:instrText>
          </w:r>
          <w:r>
            <w:rPr>
              <w:color w:val="auto"/>
              <w:highlight w:val="none"/>
            </w:rPr>
            <w:fldChar w:fldCharType="separate"/>
          </w:r>
          <w:r>
            <w:rPr>
              <w:color w:val="auto"/>
              <w:highlight w:val="none"/>
            </w:rPr>
            <w:t>73</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5C08CC76">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_Toc15699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 xml:space="preserve">6.12 </w:t>
          </w:r>
          <w:r>
            <w:rPr>
              <w:rFonts w:hint="eastAsia"/>
              <w:color w:val="auto"/>
              <w:highlight w:val="none"/>
              <w:lang w:val="en-US" w:eastAsia="zh-CN"/>
            </w:rPr>
            <w:t>竣工</w:t>
          </w:r>
          <w:r>
            <w:rPr>
              <w:rFonts w:hint="eastAsia"/>
              <w:color w:val="auto"/>
              <w:highlight w:val="none"/>
            </w:rPr>
            <w:t>验收及移交要求</w:t>
          </w:r>
          <w:r>
            <w:rPr>
              <w:color w:val="auto"/>
              <w:highlight w:val="none"/>
            </w:rPr>
            <w:tab/>
          </w:r>
          <w:r>
            <w:rPr>
              <w:color w:val="auto"/>
              <w:highlight w:val="none"/>
            </w:rPr>
            <w:fldChar w:fldCharType="begin"/>
          </w:r>
          <w:r>
            <w:rPr>
              <w:color w:val="auto"/>
              <w:highlight w:val="none"/>
            </w:rPr>
            <w:instrText xml:space="preserve"> PAGEREF _Toc15699 \h </w:instrText>
          </w:r>
          <w:r>
            <w:rPr>
              <w:color w:val="auto"/>
              <w:highlight w:val="none"/>
            </w:rPr>
            <w:fldChar w:fldCharType="separate"/>
          </w:r>
          <w:r>
            <w:rPr>
              <w:color w:val="auto"/>
              <w:highlight w:val="none"/>
            </w:rPr>
            <w:t>73</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3A9BC446">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_Toc9402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6.13 检测与试验要求</w:t>
          </w:r>
          <w:r>
            <w:rPr>
              <w:color w:val="auto"/>
              <w:highlight w:val="none"/>
            </w:rPr>
            <w:tab/>
          </w:r>
          <w:r>
            <w:rPr>
              <w:color w:val="auto"/>
              <w:highlight w:val="none"/>
            </w:rPr>
            <w:fldChar w:fldCharType="begin"/>
          </w:r>
          <w:r>
            <w:rPr>
              <w:color w:val="auto"/>
              <w:highlight w:val="none"/>
            </w:rPr>
            <w:instrText xml:space="preserve"> PAGEREF _Toc9402 \h </w:instrText>
          </w:r>
          <w:r>
            <w:rPr>
              <w:color w:val="auto"/>
              <w:highlight w:val="none"/>
            </w:rPr>
            <w:fldChar w:fldCharType="separate"/>
          </w:r>
          <w:r>
            <w:rPr>
              <w:color w:val="auto"/>
              <w:highlight w:val="none"/>
            </w:rPr>
            <w:t>75</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291C8683">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_Toc6530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6.14 治污减霾要求</w:t>
          </w:r>
          <w:r>
            <w:rPr>
              <w:color w:val="auto"/>
              <w:highlight w:val="none"/>
            </w:rPr>
            <w:tab/>
          </w:r>
          <w:r>
            <w:rPr>
              <w:color w:val="auto"/>
              <w:highlight w:val="none"/>
            </w:rPr>
            <w:fldChar w:fldCharType="begin"/>
          </w:r>
          <w:r>
            <w:rPr>
              <w:color w:val="auto"/>
              <w:highlight w:val="none"/>
            </w:rPr>
            <w:instrText xml:space="preserve"> PAGEREF _Toc6530 \h </w:instrText>
          </w:r>
          <w:r>
            <w:rPr>
              <w:color w:val="auto"/>
              <w:highlight w:val="none"/>
            </w:rPr>
            <w:fldChar w:fldCharType="separate"/>
          </w:r>
          <w:r>
            <w:rPr>
              <w:color w:val="auto"/>
              <w:highlight w:val="none"/>
            </w:rPr>
            <w:t>75</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3E708BFC">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_Toc22157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lang w:eastAsia="zh-CN"/>
            </w:rPr>
            <w:t>6.15 绿色施工管理要求</w:t>
          </w:r>
          <w:r>
            <w:rPr>
              <w:color w:val="auto"/>
              <w:highlight w:val="none"/>
            </w:rPr>
            <w:tab/>
          </w:r>
          <w:r>
            <w:rPr>
              <w:color w:val="auto"/>
              <w:highlight w:val="none"/>
            </w:rPr>
            <w:fldChar w:fldCharType="begin"/>
          </w:r>
          <w:r>
            <w:rPr>
              <w:color w:val="auto"/>
              <w:highlight w:val="none"/>
            </w:rPr>
            <w:instrText xml:space="preserve"> PAGEREF _Toc22157 \h </w:instrText>
          </w:r>
          <w:r>
            <w:rPr>
              <w:color w:val="auto"/>
              <w:highlight w:val="none"/>
            </w:rPr>
            <w:fldChar w:fldCharType="separate"/>
          </w:r>
          <w:r>
            <w:rPr>
              <w:color w:val="auto"/>
              <w:highlight w:val="none"/>
            </w:rPr>
            <w:t>75</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086B169D">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_Toc19186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lang w:val="en-US" w:eastAsia="zh-CN"/>
            </w:rPr>
            <w:t>6.16 专业承包人履约要求</w:t>
          </w:r>
          <w:r>
            <w:rPr>
              <w:color w:val="auto"/>
              <w:highlight w:val="none"/>
            </w:rPr>
            <w:tab/>
          </w:r>
          <w:r>
            <w:rPr>
              <w:color w:val="auto"/>
              <w:highlight w:val="none"/>
            </w:rPr>
            <w:fldChar w:fldCharType="begin"/>
          </w:r>
          <w:r>
            <w:rPr>
              <w:color w:val="auto"/>
              <w:highlight w:val="none"/>
            </w:rPr>
            <w:instrText xml:space="preserve"> PAGEREF _Toc19186 \h </w:instrText>
          </w:r>
          <w:r>
            <w:rPr>
              <w:color w:val="auto"/>
              <w:highlight w:val="none"/>
            </w:rPr>
            <w:fldChar w:fldCharType="separate"/>
          </w:r>
          <w:r>
            <w:rPr>
              <w:color w:val="auto"/>
              <w:highlight w:val="none"/>
            </w:rPr>
            <w:t>76</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16A2DA80">
          <w:pPr>
            <w:pStyle w:val="17"/>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_Toc12837 </w:instrText>
          </w:r>
          <w:r>
            <w:rPr>
              <w:rFonts w:hint="eastAsia" w:ascii="宋体" w:hAnsi="宋体" w:eastAsia="宋体" w:cstheme="minorBidi"/>
              <w:color w:val="auto"/>
              <w:kern w:val="2"/>
              <w:szCs w:val="24"/>
              <w:highlight w:val="none"/>
              <w:lang w:val="en-US" w:eastAsia="zh-CN" w:bidi="ar-SA"/>
            </w:rPr>
            <w:fldChar w:fldCharType="separate"/>
          </w:r>
          <w:r>
            <w:rPr>
              <w:rFonts w:hint="default"/>
              <w:color w:val="auto"/>
              <w:highlight w:val="none"/>
            </w:rPr>
            <w:t xml:space="preserve">第7章 </w:t>
          </w:r>
          <w:r>
            <w:rPr>
              <w:rFonts w:hint="eastAsia"/>
              <w:color w:val="auto"/>
              <w:highlight w:val="none"/>
            </w:rPr>
            <w:t>技术要求</w:t>
          </w:r>
          <w:r>
            <w:rPr>
              <w:color w:val="auto"/>
              <w:highlight w:val="none"/>
            </w:rPr>
            <w:tab/>
          </w:r>
          <w:r>
            <w:rPr>
              <w:color w:val="auto"/>
              <w:highlight w:val="none"/>
            </w:rPr>
            <w:fldChar w:fldCharType="begin"/>
          </w:r>
          <w:r>
            <w:rPr>
              <w:color w:val="auto"/>
              <w:highlight w:val="none"/>
            </w:rPr>
            <w:instrText xml:space="preserve"> PAGEREF _Toc12837 \h </w:instrText>
          </w:r>
          <w:r>
            <w:rPr>
              <w:color w:val="auto"/>
              <w:highlight w:val="none"/>
            </w:rPr>
            <w:fldChar w:fldCharType="separate"/>
          </w:r>
          <w:r>
            <w:rPr>
              <w:color w:val="auto"/>
              <w:highlight w:val="none"/>
            </w:rPr>
            <w:t>77</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7AF32527">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_Toc6809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 xml:space="preserve">7.1 </w:t>
          </w:r>
          <w:r>
            <w:rPr>
              <w:color w:val="auto"/>
              <w:highlight w:val="none"/>
            </w:rPr>
            <w:t>技术规范和标准</w:t>
          </w:r>
          <w:r>
            <w:rPr>
              <w:color w:val="auto"/>
              <w:highlight w:val="none"/>
            </w:rPr>
            <w:tab/>
          </w:r>
          <w:r>
            <w:rPr>
              <w:color w:val="auto"/>
              <w:highlight w:val="none"/>
            </w:rPr>
            <w:fldChar w:fldCharType="begin"/>
          </w:r>
          <w:r>
            <w:rPr>
              <w:color w:val="auto"/>
              <w:highlight w:val="none"/>
            </w:rPr>
            <w:instrText xml:space="preserve"> PAGEREF _Toc6809 \h </w:instrText>
          </w:r>
          <w:r>
            <w:rPr>
              <w:color w:val="auto"/>
              <w:highlight w:val="none"/>
            </w:rPr>
            <w:fldChar w:fldCharType="separate"/>
          </w:r>
          <w:r>
            <w:rPr>
              <w:color w:val="auto"/>
              <w:highlight w:val="none"/>
            </w:rPr>
            <w:t>77</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4903F033">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_Toc1415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7.2 测量放线技术要求</w:t>
          </w:r>
          <w:r>
            <w:rPr>
              <w:color w:val="auto"/>
              <w:highlight w:val="none"/>
            </w:rPr>
            <w:tab/>
          </w:r>
          <w:r>
            <w:rPr>
              <w:color w:val="auto"/>
              <w:highlight w:val="none"/>
            </w:rPr>
            <w:fldChar w:fldCharType="begin"/>
          </w:r>
          <w:r>
            <w:rPr>
              <w:color w:val="auto"/>
              <w:highlight w:val="none"/>
            </w:rPr>
            <w:instrText xml:space="preserve"> PAGEREF _Toc1415 \h </w:instrText>
          </w:r>
          <w:r>
            <w:rPr>
              <w:color w:val="auto"/>
              <w:highlight w:val="none"/>
            </w:rPr>
            <w:fldChar w:fldCharType="separate"/>
          </w:r>
          <w:r>
            <w:rPr>
              <w:color w:val="auto"/>
              <w:highlight w:val="none"/>
            </w:rPr>
            <w:t>77</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433353A9">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_Toc7312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7.3 吊顶工程技术要求</w:t>
          </w:r>
          <w:r>
            <w:rPr>
              <w:color w:val="auto"/>
              <w:highlight w:val="none"/>
            </w:rPr>
            <w:tab/>
          </w:r>
          <w:r>
            <w:rPr>
              <w:color w:val="auto"/>
              <w:highlight w:val="none"/>
            </w:rPr>
            <w:fldChar w:fldCharType="begin"/>
          </w:r>
          <w:r>
            <w:rPr>
              <w:color w:val="auto"/>
              <w:highlight w:val="none"/>
            </w:rPr>
            <w:instrText xml:space="preserve"> PAGEREF _Toc7312 \h </w:instrText>
          </w:r>
          <w:r>
            <w:rPr>
              <w:color w:val="auto"/>
              <w:highlight w:val="none"/>
            </w:rPr>
            <w:fldChar w:fldCharType="separate"/>
          </w:r>
          <w:r>
            <w:rPr>
              <w:color w:val="auto"/>
              <w:highlight w:val="none"/>
            </w:rPr>
            <w:t>78</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24780B83">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_Toc16872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7.4 地面铺贴石材技术要求</w:t>
          </w:r>
          <w:r>
            <w:rPr>
              <w:color w:val="auto"/>
              <w:highlight w:val="none"/>
            </w:rPr>
            <w:tab/>
          </w:r>
          <w:r>
            <w:rPr>
              <w:color w:val="auto"/>
              <w:highlight w:val="none"/>
            </w:rPr>
            <w:fldChar w:fldCharType="begin"/>
          </w:r>
          <w:r>
            <w:rPr>
              <w:color w:val="auto"/>
              <w:highlight w:val="none"/>
            </w:rPr>
            <w:instrText xml:space="preserve"> PAGEREF _Toc16872 \h </w:instrText>
          </w:r>
          <w:r>
            <w:rPr>
              <w:color w:val="auto"/>
              <w:highlight w:val="none"/>
            </w:rPr>
            <w:fldChar w:fldCharType="separate"/>
          </w:r>
          <w:r>
            <w:rPr>
              <w:color w:val="auto"/>
              <w:highlight w:val="none"/>
            </w:rPr>
            <w:t>80</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6E914417">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_Toc31922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7.5 地面铺贴瓷砖技术要求</w:t>
          </w:r>
          <w:r>
            <w:rPr>
              <w:color w:val="auto"/>
              <w:highlight w:val="none"/>
            </w:rPr>
            <w:tab/>
          </w:r>
          <w:r>
            <w:rPr>
              <w:color w:val="auto"/>
              <w:highlight w:val="none"/>
            </w:rPr>
            <w:fldChar w:fldCharType="begin"/>
          </w:r>
          <w:r>
            <w:rPr>
              <w:color w:val="auto"/>
              <w:highlight w:val="none"/>
            </w:rPr>
            <w:instrText xml:space="preserve"> PAGEREF _Toc31922 \h </w:instrText>
          </w:r>
          <w:r>
            <w:rPr>
              <w:color w:val="auto"/>
              <w:highlight w:val="none"/>
            </w:rPr>
            <w:fldChar w:fldCharType="separate"/>
          </w:r>
          <w:r>
            <w:rPr>
              <w:color w:val="auto"/>
              <w:highlight w:val="none"/>
            </w:rPr>
            <w:t>82</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40A59F15">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_Toc19792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7.6 墙面抹灰地面找平技术要求</w:t>
          </w:r>
          <w:r>
            <w:rPr>
              <w:color w:val="auto"/>
              <w:highlight w:val="none"/>
            </w:rPr>
            <w:tab/>
          </w:r>
          <w:r>
            <w:rPr>
              <w:color w:val="auto"/>
              <w:highlight w:val="none"/>
            </w:rPr>
            <w:fldChar w:fldCharType="begin"/>
          </w:r>
          <w:r>
            <w:rPr>
              <w:color w:val="auto"/>
              <w:highlight w:val="none"/>
            </w:rPr>
            <w:instrText xml:space="preserve"> PAGEREF _Toc19792 \h </w:instrText>
          </w:r>
          <w:r>
            <w:rPr>
              <w:color w:val="auto"/>
              <w:highlight w:val="none"/>
            </w:rPr>
            <w:fldChar w:fldCharType="separate"/>
          </w:r>
          <w:r>
            <w:rPr>
              <w:color w:val="auto"/>
              <w:highlight w:val="none"/>
            </w:rPr>
            <w:t>83</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735DA38A">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_Toc5173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7.7 轻钢龙骨隔墙技术要求</w:t>
          </w:r>
          <w:r>
            <w:rPr>
              <w:color w:val="auto"/>
              <w:highlight w:val="none"/>
            </w:rPr>
            <w:tab/>
          </w:r>
          <w:r>
            <w:rPr>
              <w:color w:val="auto"/>
              <w:highlight w:val="none"/>
            </w:rPr>
            <w:fldChar w:fldCharType="begin"/>
          </w:r>
          <w:r>
            <w:rPr>
              <w:color w:val="auto"/>
              <w:highlight w:val="none"/>
            </w:rPr>
            <w:instrText xml:space="preserve"> PAGEREF _Toc5173 \h </w:instrText>
          </w:r>
          <w:r>
            <w:rPr>
              <w:color w:val="auto"/>
              <w:highlight w:val="none"/>
            </w:rPr>
            <w:fldChar w:fldCharType="separate"/>
          </w:r>
          <w:r>
            <w:rPr>
              <w:color w:val="auto"/>
              <w:highlight w:val="none"/>
            </w:rPr>
            <w:t>85</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223AE59E">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_Toc8762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7.8 墙面铺贴石材技术要求</w:t>
          </w:r>
          <w:r>
            <w:rPr>
              <w:color w:val="auto"/>
              <w:highlight w:val="none"/>
            </w:rPr>
            <w:tab/>
          </w:r>
          <w:r>
            <w:rPr>
              <w:color w:val="auto"/>
              <w:highlight w:val="none"/>
            </w:rPr>
            <w:fldChar w:fldCharType="begin"/>
          </w:r>
          <w:r>
            <w:rPr>
              <w:color w:val="auto"/>
              <w:highlight w:val="none"/>
            </w:rPr>
            <w:instrText xml:space="preserve"> PAGEREF _Toc8762 \h </w:instrText>
          </w:r>
          <w:r>
            <w:rPr>
              <w:color w:val="auto"/>
              <w:highlight w:val="none"/>
            </w:rPr>
            <w:fldChar w:fldCharType="separate"/>
          </w:r>
          <w:r>
            <w:rPr>
              <w:color w:val="auto"/>
              <w:highlight w:val="none"/>
            </w:rPr>
            <w:t>86</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44336334">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_Toc26941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7.9 墙面铺贴瓷砖技术要求</w:t>
          </w:r>
          <w:r>
            <w:rPr>
              <w:color w:val="auto"/>
              <w:highlight w:val="none"/>
            </w:rPr>
            <w:tab/>
          </w:r>
          <w:r>
            <w:rPr>
              <w:color w:val="auto"/>
              <w:highlight w:val="none"/>
            </w:rPr>
            <w:fldChar w:fldCharType="begin"/>
          </w:r>
          <w:r>
            <w:rPr>
              <w:color w:val="auto"/>
              <w:highlight w:val="none"/>
            </w:rPr>
            <w:instrText xml:space="preserve"> PAGEREF _Toc26941 \h </w:instrText>
          </w:r>
          <w:r>
            <w:rPr>
              <w:color w:val="auto"/>
              <w:highlight w:val="none"/>
            </w:rPr>
            <w:fldChar w:fldCharType="separate"/>
          </w:r>
          <w:r>
            <w:rPr>
              <w:color w:val="auto"/>
              <w:highlight w:val="none"/>
            </w:rPr>
            <w:t>87</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3D755963">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_Toc13676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7.10 墙面干挂石材技术要求</w:t>
          </w:r>
          <w:r>
            <w:rPr>
              <w:color w:val="auto"/>
              <w:highlight w:val="none"/>
            </w:rPr>
            <w:tab/>
          </w:r>
          <w:r>
            <w:rPr>
              <w:color w:val="auto"/>
              <w:highlight w:val="none"/>
            </w:rPr>
            <w:fldChar w:fldCharType="begin"/>
          </w:r>
          <w:r>
            <w:rPr>
              <w:color w:val="auto"/>
              <w:highlight w:val="none"/>
            </w:rPr>
            <w:instrText xml:space="preserve"> PAGEREF _Toc13676 \h </w:instrText>
          </w:r>
          <w:r>
            <w:rPr>
              <w:color w:val="auto"/>
              <w:highlight w:val="none"/>
            </w:rPr>
            <w:fldChar w:fldCharType="separate"/>
          </w:r>
          <w:r>
            <w:rPr>
              <w:color w:val="auto"/>
              <w:highlight w:val="none"/>
            </w:rPr>
            <w:t>88</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5CC1006A">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_Toc20452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7.11 乳胶漆涂饰工程技术要求</w:t>
          </w:r>
          <w:r>
            <w:rPr>
              <w:color w:val="auto"/>
              <w:highlight w:val="none"/>
            </w:rPr>
            <w:tab/>
          </w:r>
          <w:r>
            <w:rPr>
              <w:color w:val="auto"/>
              <w:highlight w:val="none"/>
            </w:rPr>
            <w:fldChar w:fldCharType="begin"/>
          </w:r>
          <w:r>
            <w:rPr>
              <w:color w:val="auto"/>
              <w:highlight w:val="none"/>
            </w:rPr>
            <w:instrText xml:space="preserve"> PAGEREF _Toc20452 \h </w:instrText>
          </w:r>
          <w:r>
            <w:rPr>
              <w:color w:val="auto"/>
              <w:highlight w:val="none"/>
            </w:rPr>
            <w:fldChar w:fldCharType="separate"/>
          </w:r>
          <w:r>
            <w:rPr>
              <w:color w:val="auto"/>
              <w:highlight w:val="none"/>
            </w:rPr>
            <w:t>90</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428D4704">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_Toc7005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7.12 金属板饰面板安装技术要求</w:t>
          </w:r>
          <w:r>
            <w:rPr>
              <w:color w:val="auto"/>
              <w:highlight w:val="none"/>
            </w:rPr>
            <w:tab/>
          </w:r>
          <w:r>
            <w:rPr>
              <w:color w:val="auto"/>
              <w:highlight w:val="none"/>
            </w:rPr>
            <w:fldChar w:fldCharType="begin"/>
          </w:r>
          <w:r>
            <w:rPr>
              <w:color w:val="auto"/>
              <w:highlight w:val="none"/>
            </w:rPr>
            <w:instrText xml:space="preserve"> PAGEREF _Toc7005 \h </w:instrText>
          </w:r>
          <w:r>
            <w:rPr>
              <w:color w:val="auto"/>
              <w:highlight w:val="none"/>
            </w:rPr>
            <w:fldChar w:fldCharType="separate"/>
          </w:r>
          <w:r>
            <w:rPr>
              <w:color w:val="auto"/>
              <w:highlight w:val="none"/>
            </w:rPr>
            <w:t>91</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12B84265">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_Toc24705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7.13 玻璃安装技术要求</w:t>
          </w:r>
          <w:r>
            <w:rPr>
              <w:color w:val="auto"/>
              <w:highlight w:val="none"/>
            </w:rPr>
            <w:tab/>
          </w:r>
          <w:r>
            <w:rPr>
              <w:color w:val="auto"/>
              <w:highlight w:val="none"/>
            </w:rPr>
            <w:fldChar w:fldCharType="begin"/>
          </w:r>
          <w:r>
            <w:rPr>
              <w:color w:val="auto"/>
              <w:highlight w:val="none"/>
            </w:rPr>
            <w:instrText xml:space="preserve"> PAGEREF _Toc24705 \h </w:instrText>
          </w:r>
          <w:r>
            <w:rPr>
              <w:color w:val="auto"/>
              <w:highlight w:val="none"/>
            </w:rPr>
            <w:fldChar w:fldCharType="separate"/>
          </w:r>
          <w:r>
            <w:rPr>
              <w:color w:val="auto"/>
              <w:highlight w:val="none"/>
            </w:rPr>
            <w:t>92</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3CF219C8">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_Toc29144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7.14 镜面安装技术要求</w:t>
          </w:r>
          <w:r>
            <w:rPr>
              <w:color w:val="auto"/>
              <w:highlight w:val="none"/>
            </w:rPr>
            <w:tab/>
          </w:r>
          <w:r>
            <w:rPr>
              <w:color w:val="auto"/>
              <w:highlight w:val="none"/>
            </w:rPr>
            <w:fldChar w:fldCharType="begin"/>
          </w:r>
          <w:r>
            <w:rPr>
              <w:color w:val="auto"/>
              <w:highlight w:val="none"/>
            </w:rPr>
            <w:instrText xml:space="preserve"> PAGEREF _Toc29144 \h </w:instrText>
          </w:r>
          <w:r>
            <w:rPr>
              <w:color w:val="auto"/>
              <w:highlight w:val="none"/>
            </w:rPr>
            <w:fldChar w:fldCharType="separate"/>
          </w:r>
          <w:r>
            <w:rPr>
              <w:color w:val="auto"/>
              <w:highlight w:val="none"/>
            </w:rPr>
            <w:t>92</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34491C4B">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_Toc21821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7.15 踢脚板安装技术要求</w:t>
          </w:r>
          <w:r>
            <w:rPr>
              <w:color w:val="auto"/>
              <w:highlight w:val="none"/>
            </w:rPr>
            <w:tab/>
          </w:r>
          <w:r>
            <w:rPr>
              <w:color w:val="auto"/>
              <w:highlight w:val="none"/>
            </w:rPr>
            <w:fldChar w:fldCharType="begin"/>
          </w:r>
          <w:r>
            <w:rPr>
              <w:color w:val="auto"/>
              <w:highlight w:val="none"/>
            </w:rPr>
            <w:instrText xml:space="preserve"> PAGEREF _Toc21821 \h </w:instrText>
          </w:r>
          <w:r>
            <w:rPr>
              <w:color w:val="auto"/>
              <w:highlight w:val="none"/>
            </w:rPr>
            <w:fldChar w:fldCharType="separate"/>
          </w:r>
          <w:r>
            <w:rPr>
              <w:color w:val="auto"/>
              <w:highlight w:val="none"/>
            </w:rPr>
            <w:t>93</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56C3ACDE">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_Toc30662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7.16 玻璃门安装技术要求</w:t>
          </w:r>
          <w:r>
            <w:rPr>
              <w:color w:val="auto"/>
              <w:highlight w:val="none"/>
            </w:rPr>
            <w:tab/>
          </w:r>
          <w:r>
            <w:rPr>
              <w:color w:val="auto"/>
              <w:highlight w:val="none"/>
            </w:rPr>
            <w:fldChar w:fldCharType="begin"/>
          </w:r>
          <w:r>
            <w:rPr>
              <w:color w:val="auto"/>
              <w:highlight w:val="none"/>
            </w:rPr>
            <w:instrText xml:space="preserve"> PAGEREF _Toc30662 \h </w:instrText>
          </w:r>
          <w:r>
            <w:rPr>
              <w:color w:val="auto"/>
              <w:highlight w:val="none"/>
            </w:rPr>
            <w:fldChar w:fldCharType="separate"/>
          </w:r>
          <w:r>
            <w:rPr>
              <w:color w:val="auto"/>
              <w:highlight w:val="none"/>
            </w:rPr>
            <w:t>94</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5349ABC5">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_Toc12593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7.17 木饰面安装技术要求</w:t>
          </w:r>
          <w:r>
            <w:rPr>
              <w:color w:val="auto"/>
              <w:highlight w:val="none"/>
            </w:rPr>
            <w:tab/>
          </w:r>
          <w:r>
            <w:rPr>
              <w:color w:val="auto"/>
              <w:highlight w:val="none"/>
            </w:rPr>
            <w:fldChar w:fldCharType="begin"/>
          </w:r>
          <w:r>
            <w:rPr>
              <w:color w:val="auto"/>
              <w:highlight w:val="none"/>
            </w:rPr>
            <w:instrText xml:space="preserve"> PAGEREF _Toc12593 \h </w:instrText>
          </w:r>
          <w:r>
            <w:rPr>
              <w:color w:val="auto"/>
              <w:highlight w:val="none"/>
            </w:rPr>
            <w:fldChar w:fldCharType="separate"/>
          </w:r>
          <w:r>
            <w:rPr>
              <w:color w:val="auto"/>
              <w:highlight w:val="none"/>
            </w:rPr>
            <w:t>94</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561A0104">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_Toc19528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7.18 淋浴房玻璃隔断安装工程技术要求</w:t>
          </w:r>
          <w:r>
            <w:rPr>
              <w:color w:val="auto"/>
              <w:highlight w:val="none"/>
            </w:rPr>
            <w:tab/>
          </w:r>
          <w:r>
            <w:rPr>
              <w:color w:val="auto"/>
              <w:highlight w:val="none"/>
            </w:rPr>
            <w:fldChar w:fldCharType="begin"/>
          </w:r>
          <w:r>
            <w:rPr>
              <w:color w:val="auto"/>
              <w:highlight w:val="none"/>
            </w:rPr>
            <w:instrText xml:space="preserve"> PAGEREF _Toc19528 \h </w:instrText>
          </w:r>
          <w:r>
            <w:rPr>
              <w:color w:val="auto"/>
              <w:highlight w:val="none"/>
            </w:rPr>
            <w:fldChar w:fldCharType="separate"/>
          </w:r>
          <w:r>
            <w:rPr>
              <w:color w:val="auto"/>
              <w:highlight w:val="none"/>
            </w:rPr>
            <w:t>95</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4F192EF1">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_Toc26027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7.19 木地板铺装工程技术要求</w:t>
          </w:r>
          <w:r>
            <w:rPr>
              <w:color w:val="auto"/>
              <w:highlight w:val="none"/>
            </w:rPr>
            <w:tab/>
          </w:r>
          <w:r>
            <w:rPr>
              <w:color w:val="auto"/>
              <w:highlight w:val="none"/>
            </w:rPr>
            <w:fldChar w:fldCharType="begin"/>
          </w:r>
          <w:r>
            <w:rPr>
              <w:color w:val="auto"/>
              <w:highlight w:val="none"/>
            </w:rPr>
            <w:instrText xml:space="preserve"> PAGEREF _Toc26027 \h </w:instrText>
          </w:r>
          <w:r>
            <w:rPr>
              <w:color w:val="auto"/>
              <w:highlight w:val="none"/>
            </w:rPr>
            <w:fldChar w:fldCharType="separate"/>
          </w:r>
          <w:r>
            <w:rPr>
              <w:color w:val="auto"/>
              <w:highlight w:val="none"/>
            </w:rPr>
            <w:t>95</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1E163C2D">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_Toc22398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7.20 龙头、花洒等五金安装技术要求</w:t>
          </w:r>
          <w:r>
            <w:rPr>
              <w:color w:val="auto"/>
              <w:highlight w:val="none"/>
            </w:rPr>
            <w:tab/>
          </w:r>
          <w:r>
            <w:rPr>
              <w:color w:val="auto"/>
              <w:highlight w:val="none"/>
            </w:rPr>
            <w:fldChar w:fldCharType="begin"/>
          </w:r>
          <w:r>
            <w:rPr>
              <w:color w:val="auto"/>
              <w:highlight w:val="none"/>
            </w:rPr>
            <w:instrText xml:space="preserve"> PAGEREF _Toc22398 \h </w:instrText>
          </w:r>
          <w:r>
            <w:rPr>
              <w:color w:val="auto"/>
              <w:highlight w:val="none"/>
            </w:rPr>
            <w:fldChar w:fldCharType="separate"/>
          </w:r>
          <w:r>
            <w:rPr>
              <w:color w:val="auto"/>
              <w:highlight w:val="none"/>
            </w:rPr>
            <w:t>96</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54418A5D">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_Toc3649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7.21 浴缸、台盆等洁具安装技术要求</w:t>
          </w:r>
          <w:r>
            <w:rPr>
              <w:color w:val="auto"/>
              <w:highlight w:val="none"/>
            </w:rPr>
            <w:tab/>
          </w:r>
          <w:r>
            <w:rPr>
              <w:color w:val="auto"/>
              <w:highlight w:val="none"/>
            </w:rPr>
            <w:fldChar w:fldCharType="begin"/>
          </w:r>
          <w:r>
            <w:rPr>
              <w:color w:val="auto"/>
              <w:highlight w:val="none"/>
            </w:rPr>
            <w:instrText xml:space="preserve"> PAGEREF _Toc3649 \h </w:instrText>
          </w:r>
          <w:r>
            <w:rPr>
              <w:color w:val="auto"/>
              <w:highlight w:val="none"/>
            </w:rPr>
            <w:fldChar w:fldCharType="separate"/>
          </w:r>
          <w:r>
            <w:rPr>
              <w:color w:val="auto"/>
              <w:highlight w:val="none"/>
            </w:rPr>
            <w:t>96</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1789B92A">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_Toc12979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7.22 电气工程技术要求</w:t>
          </w:r>
          <w:r>
            <w:rPr>
              <w:color w:val="auto"/>
              <w:highlight w:val="none"/>
            </w:rPr>
            <w:tab/>
          </w:r>
          <w:r>
            <w:rPr>
              <w:color w:val="auto"/>
              <w:highlight w:val="none"/>
            </w:rPr>
            <w:fldChar w:fldCharType="begin"/>
          </w:r>
          <w:r>
            <w:rPr>
              <w:color w:val="auto"/>
              <w:highlight w:val="none"/>
            </w:rPr>
            <w:instrText xml:space="preserve"> PAGEREF _Toc12979 \h </w:instrText>
          </w:r>
          <w:r>
            <w:rPr>
              <w:color w:val="auto"/>
              <w:highlight w:val="none"/>
            </w:rPr>
            <w:fldChar w:fldCharType="separate"/>
          </w:r>
          <w:r>
            <w:rPr>
              <w:color w:val="auto"/>
              <w:highlight w:val="none"/>
            </w:rPr>
            <w:t>97</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0DF1FC58">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_Toc25310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7.23 格栅面层吊顶施工技术要求</w:t>
          </w:r>
          <w:r>
            <w:rPr>
              <w:color w:val="auto"/>
              <w:highlight w:val="none"/>
            </w:rPr>
            <w:tab/>
          </w:r>
          <w:r>
            <w:rPr>
              <w:color w:val="auto"/>
              <w:highlight w:val="none"/>
            </w:rPr>
            <w:fldChar w:fldCharType="begin"/>
          </w:r>
          <w:r>
            <w:rPr>
              <w:color w:val="auto"/>
              <w:highlight w:val="none"/>
            </w:rPr>
            <w:instrText xml:space="preserve"> PAGEREF _Toc25310 \h </w:instrText>
          </w:r>
          <w:r>
            <w:rPr>
              <w:color w:val="auto"/>
              <w:highlight w:val="none"/>
            </w:rPr>
            <w:fldChar w:fldCharType="separate"/>
          </w:r>
          <w:r>
            <w:rPr>
              <w:color w:val="auto"/>
              <w:highlight w:val="none"/>
            </w:rPr>
            <w:t>106</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276F1916">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_Toc21192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7.24 地胶施工技术要求</w:t>
          </w:r>
          <w:r>
            <w:rPr>
              <w:color w:val="auto"/>
              <w:highlight w:val="none"/>
            </w:rPr>
            <w:tab/>
          </w:r>
          <w:r>
            <w:rPr>
              <w:color w:val="auto"/>
              <w:highlight w:val="none"/>
            </w:rPr>
            <w:fldChar w:fldCharType="begin"/>
          </w:r>
          <w:r>
            <w:rPr>
              <w:color w:val="auto"/>
              <w:highlight w:val="none"/>
            </w:rPr>
            <w:instrText xml:space="preserve"> PAGEREF _Toc21192 \h </w:instrText>
          </w:r>
          <w:r>
            <w:rPr>
              <w:color w:val="auto"/>
              <w:highlight w:val="none"/>
            </w:rPr>
            <w:fldChar w:fldCharType="separate"/>
          </w:r>
          <w:r>
            <w:rPr>
              <w:color w:val="auto"/>
              <w:highlight w:val="none"/>
            </w:rPr>
            <w:t>107</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1661089D">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_Toc14071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 xml:space="preserve">7.25 </w:t>
          </w:r>
          <w:r>
            <w:rPr>
              <w:rFonts w:hint="eastAsia"/>
              <w:color w:val="auto"/>
              <w:highlight w:val="none"/>
              <w:lang w:val="en-US" w:eastAsia="zh-CN"/>
            </w:rPr>
            <w:t>入户门工程</w:t>
          </w:r>
          <w:r>
            <w:rPr>
              <w:color w:val="auto"/>
              <w:highlight w:val="none"/>
            </w:rPr>
            <w:tab/>
          </w:r>
          <w:r>
            <w:rPr>
              <w:color w:val="auto"/>
              <w:highlight w:val="none"/>
            </w:rPr>
            <w:fldChar w:fldCharType="begin"/>
          </w:r>
          <w:r>
            <w:rPr>
              <w:color w:val="auto"/>
              <w:highlight w:val="none"/>
            </w:rPr>
            <w:instrText xml:space="preserve"> PAGEREF _Toc14071 \h </w:instrText>
          </w:r>
          <w:r>
            <w:rPr>
              <w:color w:val="auto"/>
              <w:highlight w:val="none"/>
            </w:rPr>
            <w:fldChar w:fldCharType="separate"/>
          </w:r>
          <w:r>
            <w:rPr>
              <w:color w:val="auto"/>
              <w:highlight w:val="none"/>
            </w:rPr>
            <w:t>109</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4E8462AA">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_Toc3857 </w:instrText>
          </w:r>
          <w:r>
            <w:rPr>
              <w:rFonts w:hint="eastAsia" w:ascii="宋体" w:hAnsi="宋体" w:eastAsia="宋体" w:cstheme="minorBidi"/>
              <w:color w:val="auto"/>
              <w:kern w:val="2"/>
              <w:szCs w:val="24"/>
              <w:highlight w:val="none"/>
              <w:lang w:val="en-US" w:eastAsia="zh-CN" w:bidi="ar-SA"/>
            </w:rPr>
            <w:fldChar w:fldCharType="separate"/>
          </w:r>
          <w:r>
            <w:rPr>
              <w:rFonts w:hint="eastAsia" w:eastAsia="宋体"/>
              <w:color w:val="auto"/>
              <w:highlight w:val="none"/>
              <w:lang w:val="en-US" w:eastAsia="zh-CN"/>
            </w:rPr>
            <w:t xml:space="preserve">7.26 </w:t>
          </w:r>
          <w:r>
            <w:rPr>
              <w:rFonts w:hint="eastAsia"/>
              <w:color w:val="auto"/>
              <w:highlight w:val="none"/>
              <w:lang w:val="en-US" w:eastAsia="zh-CN"/>
            </w:rPr>
            <w:t>户内门工程</w:t>
          </w:r>
          <w:r>
            <w:rPr>
              <w:color w:val="auto"/>
              <w:highlight w:val="none"/>
            </w:rPr>
            <w:tab/>
          </w:r>
          <w:r>
            <w:rPr>
              <w:color w:val="auto"/>
              <w:highlight w:val="none"/>
            </w:rPr>
            <w:fldChar w:fldCharType="begin"/>
          </w:r>
          <w:r>
            <w:rPr>
              <w:color w:val="auto"/>
              <w:highlight w:val="none"/>
            </w:rPr>
            <w:instrText xml:space="preserve"> PAGEREF _Toc3857 \h </w:instrText>
          </w:r>
          <w:r>
            <w:rPr>
              <w:color w:val="auto"/>
              <w:highlight w:val="none"/>
            </w:rPr>
            <w:fldChar w:fldCharType="separate"/>
          </w:r>
          <w:r>
            <w:rPr>
              <w:color w:val="auto"/>
              <w:highlight w:val="none"/>
            </w:rPr>
            <w:t>110</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100D8939">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_Toc22396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7.27 脚手架工程</w:t>
          </w:r>
          <w:r>
            <w:rPr>
              <w:color w:val="auto"/>
              <w:highlight w:val="none"/>
            </w:rPr>
            <w:tab/>
          </w:r>
          <w:r>
            <w:rPr>
              <w:color w:val="auto"/>
              <w:highlight w:val="none"/>
            </w:rPr>
            <w:fldChar w:fldCharType="begin"/>
          </w:r>
          <w:r>
            <w:rPr>
              <w:color w:val="auto"/>
              <w:highlight w:val="none"/>
            </w:rPr>
            <w:instrText xml:space="preserve"> PAGEREF _Toc22396 \h </w:instrText>
          </w:r>
          <w:r>
            <w:rPr>
              <w:color w:val="auto"/>
              <w:highlight w:val="none"/>
            </w:rPr>
            <w:fldChar w:fldCharType="separate"/>
          </w:r>
          <w:r>
            <w:rPr>
              <w:color w:val="auto"/>
              <w:highlight w:val="none"/>
            </w:rPr>
            <w:t>110</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6870950B">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_Toc12292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7.28 硬包施工技术要求</w:t>
          </w:r>
          <w:r>
            <w:rPr>
              <w:color w:val="auto"/>
              <w:highlight w:val="none"/>
            </w:rPr>
            <w:tab/>
          </w:r>
          <w:r>
            <w:rPr>
              <w:color w:val="auto"/>
              <w:highlight w:val="none"/>
            </w:rPr>
            <w:fldChar w:fldCharType="begin"/>
          </w:r>
          <w:r>
            <w:rPr>
              <w:color w:val="auto"/>
              <w:highlight w:val="none"/>
            </w:rPr>
            <w:instrText xml:space="preserve"> PAGEREF _Toc12292 \h </w:instrText>
          </w:r>
          <w:r>
            <w:rPr>
              <w:color w:val="auto"/>
              <w:highlight w:val="none"/>
            </w:rPr>
            <w:fldChar w:fldCharType="separate"/>
          </w:r>
          <w:r>
            <w:rPr>
              <w:color w:val="auto"/>
              <w:highlight w:val="none"/>
            </w:rPr>
            <w:t>111</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176F6A83">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_Toc25925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7.29 橱柜安装</w:t>
          </w:r>
          <w:r>
            <w:rPr>
              <w:rFonts w:hint="eastAsia"/>
              <w:color w:val="auto"/>
              <w:highlight w:val="none"/>
              <w:lang w:val="en-US" w:eastAsia="zh-CN"/>
            </w:rPr>
            <w:t>工程</w:t>
          </w:r>
          <w:r>
            <w:rPr>
              <w:color w:val="auto"/>
              <w:highlight w:val="none"/>
            </w:rPr>
            <w:tab/>
          </w:r>
          <w:r>
            <w:rPr>
              <w:color w:val="auto"/>
              <w:highlight w:val="none"/>
            </w:rPr>
            <w:fldChar w:fldCharType="begin"/>
          </w:r>
          <w:r>
            <w:rPr>
              <w:color w:val="auto"/>
              <w:highlight w:val="none"/>
            </w:rPr>
            <w:instrText xml:space="preserve"> PAGEREF _Toc25925 \h </w:instrText>
          </w:r>
          <w:r>
            <w:rPr>
              <w:color w:val="auto"/>
              <w:highlight w:val="none"/>
            </w:rPr>
            <w:fldChar w:fldCharType="separate"/>
          </w:r>
          <w:r>
            <w:rPr>
              <w:color w:val="auto"/>
              <w:highlight w:val="none"/>
            </w:rPr>
            <w:t>113</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0A4F5A0C">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_Toc19556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7.30 二次机电工程</w:t>
          </w:r>
          <w:r>
            <w:rPr>
              <w:color w:val="auto"/>
              <w:highlight w:val="none"/>
            </w:rPr>
            <w:tab/>
          </w:r>
          <w:r>
            <w:rPr>
              <w:color w:val="auto"/>
              <w:highlight w:val="none"/>
            </w:rPr>
            <w:fldChar w:fldCharType="begin"/>
          </w:r>
          <w:r>
            <w:rPr>
              <w:color w:val="auto"/>
              <w:highlight w:val="none"/>
            </w:rPr>
            <w:instrText xml:space="preserve"> PAGEREF _Toc19556 \h </w:instrText>
          </w:r>
          <w:r>
            <w:rPr>
              <w:color w:val="auto"/>
              <w:highlight w:val="none"/>
            </w:rPr>
            <w:fldChar w:fldCharType="separate"/>
          </w:r>
          <w:r>
            <w:rPr>
              <w:color w:val="auto"/>
              <w:highlight w:val="none"/>
            </w:rPr>
            <w:t>114</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3EBD42F5">
          <w:pPr>
            <w:pStyle w:val="17"/>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_Toc30739 </w:instrText>
          </w:r>
          <w:r>
            <w:rPr>
              <w:rFonts w:hint="eastAsia" w:ascii="宋体" w:hAnsi="宋体" w:eastAsia="宋体" w:cstheme="minorBidi"/>
              <w:color w:val="auto"/>
              <w:kern w:val="2"/>
              <w:szCs w:val="24"/>
              <w:highlight w:val="none"/>
              <w:lang w:val="en-US" w:eastAsia="zh-CN" w:bidi="ar-SA"/>
            </w:rPr>
            <w:fldChar w:fldCharType="separate"/>
          </w:r>
          <w:r>
            <w:rPr>
              <w:rFonts w:hint="default"/>
              <w:color w:val="auto"/>
              <w:highlight w:val="none"/>
            </w:rPr>
            <w:t xml:space="preserve">第8章 </w:t>
          </w:r>
          <w:r>
            <w:rPr>
              <w:rFonts w:hint="eastAsia"/>
              <w:color w:val="auto"/>
              <w:highlight w:val="none"/>
              <w:lang w:eastAsia="zh-CN"/>
            </w:rPr>
            <w:t>安全</w:t>
          </w:r>
          <w:r>
            <w:rPr>
              <w:rFonts w:hint="eastAsia"/>
              <w:color w:val="auto"/>
              <w:highlight w:val="none"/>
            </w:rPr>
            <w:t>管理规定</w:t>
          </w:r>
          <w:r>
            <w:rPr>
              <w:color w:val="auto"/>
              <w:highlight w:val="none"/>
            </w:rPr>
            <w:tab/>
          </w:r>
          <w:r>
            <w:rPr>
              <w:color w:val="auto"/>
              <w:highlight w:val="none"/>
            </w:rPr>
            <w:fldChar w:fldCharType="begin"/>
          </w:r>
          <w:r>
            <w:rPr>
              <w:color w:val="auto"/>
              <w:highlight w:val="none"/>
            </w:rPr>
            <w:instrText xml:space="preserve"> PAGEREF _Toc30739 \h </w:instrText>
          </w:r>
          <w:r>
            <w:rPr>
              <w:color w:val="auto"/>
              <w:highlight w:val="none"/>
            </w:rPr>
            <w:fldChar w:fldCharType="separate"/>
          </w:r>
          <w:r>
            <w:rPr>
              <w:color w:val="auto"/>
              <w:highlight w:val="none"/>
            </w:rPr>
            <w:t>129</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14E37541">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_Toc12499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 xml:space="preserve">8.1 </w:t>
          </w:r>
          <w:r>
            <w:rPr>
              <w:rFonts w:hint="eastAsia"/>
              <w:color w:val="auto"/>
              <w:highlight w:val="none"/>
              <w:lang w:eastAsia="zh-CN"/>
            </w:rPr>
            <w:t>安全</w:t>
          </w:r>
          <w:r>
            <w:rPr>
              <w:rFonts w:hint="eastAsia"/>
              <w:color w:val="auto"/>
              <w:highlight w:val="none"/>
            </w:rPr>
            <w:t>管理权利与义务</w:t>
          </w:r>
          <w:r>
            <w:rPr>
              <w:color w:val="auto"/>
              <w:highlight w:val="none"/>
            </w:rPr>
            <w:tab/>
          </w:r>
          <w:r>
            <w:rPr>
              <w:color w:val="auto"/>
              <w:highlight w:val="none"/>
            </w:rPr>
            <w:fldChar w:fldCharType="begin"/>
          </w:r>
          <w:r>
            <w:rPr>
              <w:color w:val="auto"/>
              <w:highlight w:val="none"/>
            </w:rPr>
            <w:instrText xml:space="preserve"> PAGEREF _Toc12499 \h </w:instrText>
          </w:r>
          <w:r>
            <w:rPr>
              <w:color w:val="auto"/>
              <w:highlight w:val="none"/>
            </w:rPr>
            <w:fldChar w:fldCharType="separate"/>
          </w:r>
          <w:r>
            <w:rPr>
              <w:color w:val="auto"/>
              <w:highlight w:val="none"/>
            </w:rPr>
            <w:t>129</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3A2F7B7B">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_Toc30294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 xml:space="preserve">8.2 </w:t>
          </w:r>
          <w:r>
            <w:rPr>
              <w:rFonts w:hint="eastAsia"/>
              <w:color w:val="auto"/>
              <w:highlight w:val="none"/>
              <w:lang w:eastAsia="zh-CN"/>
            </w:rPr>
            <w:t>专业承包人安全</w:t>
          </w:r>
          <w:r>
            <w:rPr>
              <w:rFonts w:hint="eastAsia"/>
              <w:color w:val="auto"/>
              <w:highlight w:val="none"/>
            </w:rPr>
            <w:t>责任落实的要求</w:t>
          </w:r>
          <w:r>
            <w:rPr>
              <w:color w:val="auto"/>
              <w:highlight w:val="none"/>
            </w:rPr>
            <w:tab/>
          </w:r>
          <w:r>
            <w:rPr>
              <w:color w:val="auto"/>
              <w:highlight w:val="none"/>
            </w:rPr>
            <w:fldChar w:fldCharType="begin"/>
          </w:r>
          <w:r>
            <w:rPr>
              <w:color w:val="auto"/>
              <w:highlight w:val="none"/>
            </w:rPr>
            <w:instrText xml:space="preserve"> PAGEREF _Toc30294 \h </w:instrText>
          </w:r>
          <w:r>
            <w:rPr>
              <w:color w:val="auto"/>
              <w:highlight w:val="none"/>
            </w:rPr>
            <w:fldChar w:fldCharType="separate"/>
          </w:r>
          <w:r>
            <w:rPr>
              <w:color w:val="auto"/>
              <w:highlight w:val="none"/>
            </w:rPr>
            <w:t>131</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52BC221B">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_Toc11509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 xml:space="preserve">8.3 </w:t>
          </w:r>
          <w:r>
            <w:rPr>
              <w:rFonts w:hint="eastAsia"/>
              <w:color w:val="auto"/>
              <w:highlight w:val="none"/>
              <w:lang w:eastAsia="zh-CN"/>
            </w:rPr>
            <w:t>安全</w:t>
          </w:r>
          <w:r>
            <w:rPr>
              <w:rFonts w:hint="eastAsia"/>
              <w:color w:val="auto"/>
              <w:highlight w:val="none"/>
            </w:rPr>
            <w:t>管理组织及人员要求</w:t>
          </w:r>
          <w:r>
            <w:rPr>
              <w:color w:val="auto"/>
              <w:highlight w:val="none"/>
            </w:rPr>
            <w:tab/>
          </w:r>
          <w:r>
            <w:rPr>
              <w:color w:val="auto"/>
              <w:highlight w:val="none"/>
            </w:rPr>
            <w:fldChar w:fldCharType="begin"/>
          </w:r>
          <w:r>
            <w:rPr>
              <w:color w:val="auto"/>
              <w:highlight w:val="none"/>
            </w:rPr>
            <w:instrText xml:space="preserve"> PAGEREF _Toc11509 \h </w:instrText>
          </w:r>
          <w:r>
            <w:rPr>
              <w:color w:val="auto"/>
              <w:highlight w:val="none"/>
            </w:rPr>
            <w:fldChar w:fldCharType="separate"/>
          </w:r>
          <w:r>
            <w:rPr>
              <w:color w:val="auto"/>
              <w:highlight w:val="none"/>
            </w:rPr>
            <w:t>132</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1A38C4A8">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_Toc12371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8.4 安全生产管理协议</w:t>
          </w:r>
          <w:r>
            <w:rPr>
              <w:color w:val="auto"/>
              <w:highlight w:val="none"/>
            </w:rPr>
            <w:tab/>
          </w:r>
          <w:r>
            <w:rPr>
              <w:color w:val="auto"/>
              <w:highlight w:val="none"/>
            </w:rPr>
            <w:fldChar w:fldCharType="begin"/>
          </w:r>
          <w:r>
            <w:rPr>
              <w:color w:val="auto"/>
              <w:highlight w:val="none"/>
            </w:rPr>
            <w:instrText xml:space="preserve"> PAGEREF _Toc12371 \h </w:instrText>
          </w:r>
          <w:r>
            <w:rPr>
              <w:color w:val="auto"/>
              <w:highlight w:val="none"/>
            </w:rPr>
            <w:fldChar w:fldCharType="separate"/>
          </w:r>
          <w:r>
            <w:rPr>
              <w:color w:val="auto"/>
              <w:highlight w:val="none"/>
            </w:rPr>
            <w:t>133</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194F21C3">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_Toc14972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8.5 应急与事故管理</w:t>
          </w:r>
          <w:r>
            <w:rPr>
              <w:color w:val="auto"/>
              <w:highlight w:val="none"/>
            </w:rPr>
            <w:tab/>
          </w:r>
          <w:r>
            <w:rPr>
              <w:color w:val="auto"/>
              <w:highlight w:val="none"/>
            </w:rPr>
            <w:fldChar w:fldCharType="begin"/>
          </w:r>
          <w:r>
            <w:rPr>
              <w:color w:val="auto"/>
              <w:highlight w:val="none"/>
            </w:rPr>
            <w:instrText xml:space="preserve"> PAGEREF _Toc14972 \h </w:instrText>
          </w:r>
          <w:r>
            <w:rPr>
              <w:color w:val="auto"/>
              <w:highlight w:val="none"/>
            </w:rPr>
            <w:fldChar w:fldCharType="separate"/>
          </w:r>
          <w:r>
            <w:rPr>
              <w:color w:val="auto"/>
              <w:highlight w:val="none"/>
            </w:rPr>
            <w:t>133</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5FBFAAFF">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_Toc359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8.6 保险</w:t>
          </w:r>
          <w:r>
            <w:rPr>
              <w:color w:val="auto"/>
              <w:highlight w:val="none"/>
            </w:rPr>
            <w:tab/>
          </w:r>
          <w:r>
            <w:rPr>
              <w:color w:val="auto"/>
              <w:highlight w:val="none"/>
            </w:rPr>
            <w:fldChar w:fldCharType="begin"/>
          </w:r>
          <w:r>
            <w:rPr>
              <w:color w:val="auto"/>
              <w:highlight w:val="none"/>
            </w:rPr>
            <w:instrText xml:space="preserve"> PAGEREF _Toc359 \h </w:instrText>
          </w:r>
          <w:r>
            <w:rPr>
              <w:color w:val="auto"/>
              <w:highlight w:val="none"/>
            </w:rPr>
            <w:fldChar w:fldCharType="separate"/>
          </w:r>
          <w:r>
            <w:rPr>
              <w:color w:val="auto"/>
              <w:highlight w:val="none"/>
            </w:rPr>
            <w:t>134</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6FDFE5F0">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_Toc21984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8.7 劳务管理</w:t>
          </w:r>
          <w:r>
            <w:rPr>
              <w:color w:val="auto"/>
              <w:highlight w:val="none"/>
            </w:rPr>
            <w:tab/>
          </w:r>
          <w:r>
            <w:rPr>
              <w:color w:val="auto"/>
              <w:highlight w:val="none"/>
            </w:rPr>
            <w:fldChar w:fldCharType="begin"/>
          </w:r>
          <w:r>
            <w:rPr>
              <w:color w:val="auto"/>
              <w:highlight w:val="none"/>
            </w:rPr>
            <w:instrText xml:space="preserve"> PAGEREF _Toc21984 \h </w:instrText>
          </w:r>
          <w:r>
            <w:rPr>
              <w:color w:val="auto"/>
              <w:highlight w:val="none"/>
            </w:rPr>
            <w:fldChar w:fldCharType="separate"/>
          </w:r>
          <w:r>
            <w:rPr>
              <w:color w:val="auto"/>
              <w:highlight w:val="none"/>
            </w:rPr>
            <w:t>134</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31DD5C26">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_Toc4218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8.8 安全文明施工</w:t>
          </w:r>
          <w:r>
            <w:rPr>
              <w:color w:val="auto"/>
              <w:highlight w:val="none"/>
            </w:rPr>
            <w:tab/>
          </w:r>
          <w:r>
            <w:rPr>
              <w:color w:val="auto"/>
              <w:highlight w:val="none"/>
            </w:rPr>
            <w:fldChar w:fldCharType="begin"/>
          </w:r>
          <w:r>
            <w:rPr>
              <w:color w:val="auto"/>
              <w:highlight w:val="none"/>
            </w:rPr>
            <w:instrText xml:space="preserve"> PAGEREF _Toc4218 \h </w:instrText>
          </w:r>
          <w:r>
            <w:rPr>
              <w:color w:val="auto"/>
              <w:highlight w:val="none"/>
            </w:rPr>
            <w:fldChar w:fldCharType="separate"/>
          </w:r>
          <w:r>
            <w:rPr>
              <w:color w:val="auto"/>
              <w:highlight w:val="none"/>
            </w:rPr>
            <w:t>134</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6AA928A1">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_Toc23951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8.9 消防安全</w:t>
          </w:r>
          <w:r>
            <w:rPr>
              <w:color w:val="auto"/>
              <w:highlight w:val="none"/>
            </w:rPr>
            <w:tab/>
          </w:r>
          <w:r>
            <w:rPr>
              <w:color w:val="auto"/>
              <w:highlight w:val="none"/>
            </w:rPr>
            <w:fldChar w:fldCharType="begin"/>
          </w:r>
          <w:r>
            <w:rPr>
              <w:color w:val="auto"/>
              <w:highlight w:val="none"/>
            </w:rPr>
            <w:instrText xml:space="preserve"> PAGEREF _Toc23951 \h </w:instrText>
          </w:r>
          <w:r>
            <w:rPr>
              <w:color w:val="auto"/>
              <w:highlight w:val="none"/>
            </w:rPr>
            <w:fldChar w:fldCharType="separate"/>
          </w:r>
          <w:r>
            <w:rPr>
              <w:color w:val="auto"/>
              <w:highlight w:val="none"/>
            </w:rPr>
            <w:t>137</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6938CFB2">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_Toc20696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rPr>
            <w:t>8.10 安保管理</w:t>
          </w:r>
          <w:r>
            <w:rPr>
              <w:color w:val="auto"/>
              <w:highlight w:val="none"/>
            </w:rPr>
            <w:tab/>
          </w:r>
          <w:r>
            <w:rPr>
              <w:color w:val="auto"/>
              <w:highlight w:val="none"/>
            </w:rPr>
            <w:fldChar w:fldCharType="begin"/>
          </w:r>
          <w:r>
            <w:rPr>
              <w:color w:val="auto"/>
              <w:highlight w:val="none"/>
            </w:rPr>
            <w:instrText xml:space="preserve"> PAGEREF _Toc20696 \h </w:instrText>
          </w:r>
          <w:r>
            <w:rPr>
              <w:color w:val="auto"/>
              <w:highlight w:val="none"/>
            </w:rPr>
            <w:fldChar w:fldCharType="separate"/>
          </w:r>
          <w:r>
            <w:rPr>
              <w:color w:val="auto"/>
              <w:highlight w:val="none"/>
            </w:rPr>
            <w:t>138</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47556BDA">
          <w:pPr>
            <w:pStyle w:val="17"/>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_Toc13266 </w:instrText>
          </w:r>
          <w:r>
            <w:rPr>
              <w:rFonts w:hint="eastAsia" w:ascii="宋体" w:hAnsi="宋体" w:eastAsia="宋体" w:cstheme="minorBidi"/>
              <w:color w:val="auto"/>
              <w:kern w:val="2"/>
              <w:szCs w:val="24"/>
              <w:highlight w:val="none"/>
              <w:lang w:val="en-US" w:eastAsia="zh-CN" w:bidi="ar-SA"/>
            </w:rPr>
            <w:fldChar w:fldCharType="separate"/>
          </w:r>
          <w:r>
            <w:rPr>
              <w:rFonts w:hint="default"/>
              <w:color w:val="auto"/>
              <w:highlight w:val="none"/>
              <w:lang w:eastAsia="zh-CN"/>
            </w:rPr>
            <w:t xml:space="preserve">第9章 </w:t>
          </w:r>
          <w:r>
            <w:rPr>
              <w:rFonts w:hint="eastAsia"/>
              <w:color w:val="auto"/>
              <w:highlight w:val="none"/>
              <w:lang w:eastAsia="zh-CN"/>
            </w:rPr>
            <w:t>质保期责任</w:t>
          </w:r>
          <w:r>
            <w:rPr>
              <w:color w:val="auto"/>
              <w:highlight w:val="none"/>
            </w:rPr>
            <w:tab/>
          </w:r>
          <w:r>
            <w:rPr>
              <w:color w:val="auto"/>
              <w:highlight w:val="none"/>
            </w:rPr>
            <w:fldChar w:fldCharType="begin"/>
          </w:r>
          <w:r>
            <w:rPr>
              <w:color w:val="auto"/>
              <w:highlight w:val="none"/>
            </w:rPr>
            <w:instrText xml:space="preserve"> PAGEREF _Toc13266 \h </w:instrText>
          </w:r>
          <w:r>
            <w:rPr>
              <w:color w:val="auto"/>
              <w:highlight w:val="none"/>
            </w:rPr>
            <w:fldChar w:fldCharType="separate"/>
          </w:r>
          <w:r>
            <w:rPr>
              <w:color w:val="auto"/>
              <w:highlight w:val="none"/>
            </w:rPr>
            <w:t>139</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6FE4C255">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_Toc12047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lang w:val="en-US" w:eastAsia="zh-CN"/>
            </w:rPr>
            <w:t>9.1 质保期责任</w:t>
          </w:r>
          <w:r>
            <w:rPr>
              <w:color w:val="auto"/>
              <w:highlight w:val="none"/>
            </w:rPr>
            <w:tab/>
          </w:r>
          <w:r>
            <w:rPr>
              <w:color w:val="auto"/>
              <w:highlight w:val="none"/>
            </w:rPr>
            <w:fldChar w:fldCharType="begin"/>
          </w:r>
          <w:r>
            <w:rPr>
              <w:color w:val="auto"/>
              <w:highlight w:val="none"/>
            </w:rPr>
            <w:instrText xml:space="preserve"> PAGEREF _Toc12047 \h </w:instrText>
          </w:r>
          <w:r>
            <w:rPr>
              <w:color w:val="auto"/>
              <w:highlight w:val="none"/>
            </w:rPr>
            <w:fldChar w:fldCharType="separate"/>
          </w:r>
          <w:r>
            <w:rPr>
              <w:color w:val="auto"/>
              <w:highlight w:val="none"/>
            </w:rPr>
            <w:t>139</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698F7857">
          <w:pPr>
            <w:pStyle w:val="17"/>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_Toc200 </w:instrText>
          </w:r>
          <w:r>
            <w:rPr>
              <w:rFonts w:hint="eastAsia" w:ascii="宋体" w:hAnsi="宋体" w:eastAsia="宋体" w:cstheme="minorBidi"/>
              <w:color w:val="auto"/>
              <w:kern w:val="2"/>
              <w:szCs w:val="24"/>
              <w:highlight w:val="none"/>
              <w:lang w:val="en-US" w:eastAsia="zh-CN" w:bidi="ar-SA"/>
            </w:rPr>
            <w:fldChar w:fldCharType="separate"/>
          </w:r>
          <w:r>
            <w:rPr>
              <w:rFonts w:hint="default"/>
              <w:color w:val="auto"/>
              <w:highlight w:val="none"/>
              <w:lang w:val="en-US" w:eastAsia="zh-CN"/>
            </w:rPr>
            <w:t xml:space="preserve">第10章 </w:t>
          </w:r>
          <w:r>
            <w:rPr>
              <w:rFonts w:hint="eastAsia"/>
              <w:color w:val="auto"/>
              <w:highlight w:val="none"/>
              <w:lang w:val="en-US" w:eastAsia="zh-CN"/>
            </w:rPr>
            <w:t>附件</w:t>
          </w:r>
          <w:r>
            <w:rPr>
              <w:color w:val="auto"/>
              <w:highlight w:val="none"/>
            </w:rPr>
            <w:tab/>
          </w:r>
          <w:r>
            <w:rPr>
              <w:color w:val="auto"/>
              <w:highlight w:val="none"/>
            </w:rPr>
            <w:fldChar w:fldCharType="begin"/>
          </w:r>
          <w:r>
            <w:rPr>
              <w:color w:val="auto"/>
              <w:highlight w:val="none"/>
            </w:rPr>
            <w:instrText xml:space="preserve"> PAGEREF _Toc200 \h </w:instrText>
          </w:r>
          <w:r>
            <w:rPr>
              <w:color w:val="auto"/>
              <w:highlight w:val="none"/>
            </w:rPr>
            <w:fldChar w:fldCharType="separate"/>
          </w:r>
          <w:r>
            <w:rPr>
              <w:color w:val="auto"/>
              <w:highlight w:val="none"/>
            </w:rPr>
            <w:t>141</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0E02292D">
          <w:pPr>
            <w:pStyle w:val="19"/>
            <w:tabs>
              <w:tab w:val="right" w:leader="dot" w:pos="8645"/>
            </w:tabs>
            <w:rPr>
              <w:color w:val="auto"/>
              <w:highlight w:val="none"/>
            </w:rPr>
          </w:pPr>
          <w:r>
            <w:rPr>
              <w:rFonts w:hint="eastAsia" w:ascii="宋体" w:hAnsi="宋体" w:eastAsia="宋体" w:cstheme="minorBidi"/>
              <w:color w:val="auto"/>
              <w:kern w:val="2"/>
              <w:szCs w:val="24"/>
              <w:highlight w:val="none"/>
              <w:lang w:val="en-US" w:eastAsia="zh-CN" w:bidi="ar-SA"/>
            </w:rPr>
            <w:fldChar w:fldCharType="begin"/>
          </w:r>
          <w:r>
            <w:rPr>
              <w:rFonts w:hint="eastAsia" w:ascii="宋体" w:hAnsi="宋体" w:eastAsia="宋体" w:cstheme="minorBidi"/>
              <w:color w:val="auto"/>
              <w:kern w:val="2"/>
              <w:szCs w:val="24"/>
              <w:highlight w:val="none"/>
              <w:lang w:val="en-US" w:eastAsia="zh-CN" w:bidi="ar-SA"/>
            </w:rPr>
            <w:instrText xml:space="preserve"> HYPERLINK \l _Toc29059 </w:instrText>
          </w:r>
          <w:r>
            <w:rPr>
              <w:rFonts w:hint="eastAsia" w:ascii="宋体" w:hAnsi="宋体" w:eastAsia="宋体" w:cstheme="minorBidi"/>
              <w:color w:val="auto"/>
              <w:kern w:val="2"/>
              <w:szCs w:val="24"/>
              <w:highlight w:val="none"/>
              <w:lang w:val="en-US" w:eastAsia="zh-CN" w:bidi="ar-SA"/>
            </w:rPr>
            <w:fldChar w:fldCharType="separate"/>
          </w:r>
          <w:r>
            <w:rPr>
              <w:rFonts w:hint="eastAsia"/>
              <w:color w:val="auto"/>
              <w:highlight w:val="none"/>
              <w:lang w:val="en-US" w:eastAsia="zh-CN"/>
            </w:rPr>
            <w:t>10.1 附件</w:t>
          </w:r>
          <w:r>
            <w:rPr>
              <w:color w:val="auto"/>
              <w:highlight w:val="none"/>
            </w:rPr>
            <w:tab/>
          </w:r>
          <w:r>
            <w:rPr>
              <w:color w:val="auto"/>
              <w:highlight w:val="none"/>
            </w:rPr>
            <w:fldChar w:fldCharType="begin"/>
          </w:r>
          <w:r>
            <w:rPr>
              <w:color w:val="auto"/>
              <w:highlight w:val="none"/>
            </w:rPr>
            <w:instrText xml:space="preserve"> PAGEREF _Toc29059 \h </w:instrText>
          </w:r>
          <w:r>
            <w:rPr>
              <w:color w:val="auto"/>
              <w:highlight w:val="none"/>
            </w:rPr>
            <w:fldChar w:fldCharType="separate"/>
          </w:r>
          <w:r>
            <w:rPr>
              <w:color w:val="auto"/>
              <w:highlight w:val="none"/>
            </w:rPr>
            <w:t>141</w:t>
          </w:r>
          <w:r>
            <w:rPr>
              <w:color w:val="auto"/>
              <w:highlight w:val="none"/>
            </w:rPr>
            <w:fldChar w:fldCharType="end"/>
          </w:r>
          <w:r>
            <w:rPr>
              <w:rFonts w:hint="eastAsia" w:ascii="宋体" w:hAnsi="宋体" w:eastAsia="宋体" w:cstheme="minorBidi"/>
              <w:color w:val="auto"/>
              <w:kern w:val="2"/>
              <w:szCs w:val="24"/>
              <w:highlight w:val="none"/>
              <w:lang w:val="en-US" w:eastAsia="zh-CN" w:bidi="ar-SA"/>
            </w:rPr>
            <w:fldChar w:fldCharType="end"/>
          </w:r>
        </w:p>
        <w:p w14:paraId="7B9FC8F5">
          <w:pPr>
            <w:bidi w:val="0"/>
            <w:rPr>
              <w:rFonts w:hint="eastAsia" w:ascii="宋体" w:hAnsi="宋体" w:eastAsia="宋体" w:cstheme="minorBidi"/>
              <w:color w:val="auto"/>
              <w:kern w:val="2"/>
              <w:sz w:val="24"/>
              <w:szCs w:val="24"/>
              <w:highlight w:val="none"/>
              <w:lang w:val="en-US" w:eastAsia="zh-CN" w:bidi="ar-SA"/>
            </w:rPr>
          </w:pPr>
          <w:r>
            <w:rPr>
              <w:rFonts w:hint="eastAsia" w:ascii="宋体" w:hAnsi="宋体" w:eastAsia="宋体" w:cstheme="minorBidi"/>
              <w:color w:val="auto"/>
              <w:kern w:val="2"/>
              <w:szCs w:val="24"/>
              <w:highlight w:val="none"/>
              <w:lang w:val="en-US" w:eastAsia="zh-CN" w:bidi="ar-SA"/>
            </w:rPr>
            <w:fldChar w:fldCharType="end"/>
          </w:r>
        </w:p>
      </w:sdtContent>
    </w:sdt>
    <w:p w14:paraId="432C0F68">
      <w:pPr>
        <w:pStyle w:val="2"/>
        <w:rPr>
          <w:rFonts w:hint="eastAsia"/>
          <w:color w:val="auto"/>
          <w:highlight w:val="none"/>
          <w:lang w:val="en-US" w:eastAsia="zh-CN"/>
        </w:rPr>
      </w:pPr>
    </w:p>
    <w:p w14:paraId="75457DD4">
      <w:pPr>
        <w:rPr>
          <w:color w:val="auto"/>
          <w:highlight w:val="none"/>
        </w:rPr>
      </w:pPr>
      <w:bookmarkStart w:id="0" w:name="_Toc27926"/>
      <w:bookmarkStart w:id="1" w:name="_Toc28419"/>
      <w:bookmarkStart w:id="2" w:name="_Toc24679"/>
      <w:r>
        <w:rPr>
          <w:rFonts w:hint="eastAsia"/>
          <w:color w:val="auto"/>
          <w:highlight w:val="none"/>
        </w:rPr>
        <w:br w:type="page"/>
      </w:r>
    </w:p>
    <w:bookmarkEnd w:id="0"/>
    <w:bookmarkEnd w:id="1"/>
    <w:bookmarkEnd w:id="2"/>
    <w:p w14:paraId="20C4D53A">
      <w:pPr>
        <w:pStyle w:val="3"/>
        <w:bidi w:val="0"/>
        <w:rPr>
          <w:rFonts w:hint="eastAsia" w:ascii="宋体" w:hAnsi="宋体" w:eastAsia="宋体"/>
          <w:color w:val="auto"/>
          <w:highlight w:val="none"/>
        </w:rPr>
      </w:pPr>
      <w:bookmarkStart w:id="3" w:name="_Toc24472"/>
      <w:bookmarkStart w:id="4" w:name="_Toc153907543"/>
      <w:bookmarkStart w:id="5" w:name="_Toc488931135"/>
      <w:bookmarkStart w:id="6" w:name="_Toc369280913"/>
      <w:bookmarkStart w:id="7" w:name="_Toc153907554"/>
      <w:bookmarkStart w:id="8" w:name="_Toc169722210"/>
      <w:bookmarkStart w:id="9" w:name="_Toc10341"/>
      <w:bookmarkStart w:id="10" w:name="_Toc22301"/>
      <w:bookmarkStart w:id="11" w:name="_Toc14210"/>
      <w:bookmarkStart w:id="12" w:name="_Toc5611"/>
      <w:bookmarkStart w:id="13" w:name="_Toc11055"/>
      <w:bookmarkStart w:id="14" w:name="_Toc31769"/>
      <w:bookmarkStart w:id="15" w:name="_Toc11953"/>
      <w:bookmarkStart w:id="16" w:name="_Toc20751"/>
      <w:bookmarkStart w:id="17" w:name="_Toc28296"/>
      <w:bookmarkStart w:id="18" w:name="_Toc3566"/>
      <w:r>
        <w:rPr>
          <w:rFonts w:hint="eastAsia" w:ascii="宋体" w:hAnsi="宋体" w:eastAsia="宋体"/>
          <w:color w:val="auto"/>
          <w:highlight w:val="none"/>
        </w:rPr>
        <w:t>工程概况</w:t>
      </w:r>
      <w:bookmarkEnd w:id="3"/>
      <w:bookmarkEnd w:id="4"/>
      <w:bookmarkEnd w:id="5"/>
    </w:p>
    <w:p w14:paraId="710AFF6A">
      <w:pPr>
        <w:pStyle w:val="4"/>
        <w:widowControl/>
        <w:numPr>
          <w:ilvl w:val="0"/>
          <w:numId w:val="3"/>
        </w:numPr>
        <w:spacing w:before="120" w:after="120" w:line="240" w:lineRule="auto"/>
        <w:ind w:left="0" w:firstLine="0" w:firstLineChars="0"/>
        <w:rPr>
          <w:color w:val="auto"/>
          <w:highlight w:val="none"/>
        </w:rPr>
      </w:pPr>
      <w:bookmarkStart w:id="19" w:name="_Toc19143"/>
      <w:bookmarkStart w:id="20" w:name="_Toc153907544"/>
      <w:bookmarkStart w:id="21" w:name="_Toc488931136"/>
      <w:r>
        <w:rPr>
          <w:rFonts w:hint="eastAsia"/>
          <w:color w:val="auto"/>
          <w:highlight w:val="none"/>
        </w:rPr>
        <w:t>项目概况</w:t>
      </w:r>
      <w:bookmarkEnd w:id="19"/>
      <w:bookmarkEnd w:id="20"/>
      <w:bookmarkEnd w:id="21"/>
    </w:p>
    <w:p w14:paraId="2879670A">
      <w:pPr>
        <w:pStyle w:val="5"/>
        <w:pageBreakBefore w:val="0"/>
        <w:widowControl/>
        <w:numPr>
          <w:ilvl w:val="2"/>
          <w:numId w:val="4"/>
        </w:numPr>
        <w:kinsoku/>
        <w:wordWrap/>
        <w:overflowPunct/>
        <w:topLinePunct w:val="0"/>
        <w:autoSpaceDE/>
        <w:autoSpaceDN/>
        <w:bidi w:val="0"/>
        <w:adjustRightInd/>
        <w:snapToGrid/>
        <w:spacing w:before="0" w:beforeLines="0" w:after="0" w:afterLines="0" w:line="360" w:lineRule="auto"/>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工程</w:t>
      </w:r>
      <w:r>
        <w:rPr>
          <w:rFonts w:hint="eastAsia" w:ascii="宋体" w:hAnsi="宋体" w:eastAsia="宋体" w:cs="宋体"/>
          <w:color w:val="auto"/>
          <w:sz w:val="24"/>
          <w:szCs w:val="24"/>
          <w:highlight w:val="none"/>
          <w:lang w:val="en-US" w:eastAsia="zh-CN"/>
        </w:rPr>
        <w:t>项目名称</w:t>
      </w:r>
    </w:p>
    <w:p w14:paraId="74622EF4">
      <w:pPr>
        <w:keepNext w:val="0"/>
        <w:keepLines w:val="0"/>
        <w:pageBreakBefore w:val="0"/>
        <w:widowControl/>
        <w:kinsoku/>
        <w:wordWrap/>
        <w:overflowPunct/>
        <w:topLinePunct w:val="0"/>
        <w:autoSpaceDE/>
        <w:autoSpaceDN/>
        <w:bidi w:val="0"/>
        <w:adjustRightInd/>
        <w:snapToGrid/>
        <w:spacing w:line="360" w:lineRule="auto"/>
        <w:ind w:left="568" w:leftChars="236" w:hanging="2" w:hangingChars="1"/>
        <w:textAlignment w:val="auto"/>
        <w:rPr>
          <w:rFonts w:hint="eastAsia" w:ascii="宋体" w:hAnsi="宋体" w:eastAsia="宋体" w:cs="宋体"/>
          <w:b w:val="0"/>
          <w:bCs/>
          <w:color w:val="auto"/>
          <w:kern w:val="2"/>
          <w:sz w:val="24"/>
          <w:szCs w:val="24"/>
          <w:highlight w:val="none"/>
          <w:lang w:val="en-US" w:eastAsia="zh-CN" w:bidi="ar"/>
        </w:rPr>
      </w:pPr>
      <w:r>
        <w:rPr>
          <w:rFonts w:hint="eastAsia" w:ascii="宋体" w:hAnsi="宋体" w:eastAsia="宋体" w:cs="宋体"/>
          <w:b w:val="0"/>
          <w:bCs/>
          <w:color w:val="auto"/>
          <w:kern w:val="2"/>
          <w:sz w:val="24"/>
          <w:szCs w:val="24"/>
          <w:highlight w:val="none"/>
          <w:lang w:val="en-US" w:eastAsia="zh-CN" w:bidi="ar"/>
        </w:rPr>
        <w:t>荔湾区葵蓬南保障性住房项目</w:t>
      </w:r>
      <w:r>
        <w:rPr>
          <w:rFonts w:hint="eastAsia" w:cs="宋体"/>
          <w:b w:val="0"/>
          <w:bCs/>
          <w:color w:val="auto"/>
          <w:kern w:val="2"/>
          <w:sz w:val="24"/>
          <w:szCs w:val="24"/>
          <w:highlight w:val="none"/>
          <w:lang w:val="en-US" w:eastAsia="zh-CN" w:bidi="ar"/>
        </w:rPr>
        <w:t>精装修施工专业承包</w:t>
      </w:r>
      <w:r>
        <w:rPr>
          <w:rFonts w:hint="eastAsia" w:ascii="宋体" w:hAnsi="宋体" w:eastAsia="宋体" w:cs="宋体"/>
          <w:b w:val="0"/>
          <w:bCs/>
          <w:color w:val="auto"/>
          <w:kern w:val="2"/>
          <w:sz w:val="24"/>
          <w:szCs w:val="24"/>
          <w:highlight w:val="none"/>
          <w:lang w:val="en-US" w:eastAsia="zh-CN" w:bidi="ar"/>
        </w:rPr>
        <w:t>。</w:t>
      </w:r>
    </w:p>
    <w:p w14:paraId="7A14F677">
      <w:pPr>
        <w:pStyle w:val="5"/>
        <w:pageBreakBefore w:val="0"/>
        <w:widowControl/>
        <w:numPr>
          <w:ilvl w:val="2"/>
          <w:numId w:val="4"/>
        </w:numPr>
        <w:kinsoku/>
        <w:wordWrap/>
        <w:overflowPunct/>
        <w:topLinePunct w:val="0"/>
        <w:autoSpaceDE/>
        <w:autoSpaceDN/>
        <w:bidi w:val="0"/>
        <w:adjustRightInd/>
        <w:snapToGrid/>
        <w:spacing w:before="0" w:beforeLines="0" w:after="0" w:afterLines="0" w:line="360" w:lineRule="auto"/>
        <w:textAlignment w:val="auto"/>
        <w:rPr>
          <w:rFonts w:hint="eastAsia" w:ascii="宋体" w:hAnsi="宋体" w:eastAsia="宋体" w:cs="宋体"/>
          <w:b w:val="0"/>
          <w:bCs/>
          <w:color w:val="auto"/>
          <w:kern w:val="2"/>
          <w:sz w:val="24"/>
          <w:szCs w:val="24"/>
          <w:highlight w:val="none"/>
          <w:lang w:val="en-US" w:eastAsia="zh-CN" w:bidi="ar-SA"/>
        </w:rPr>
      </w:pPr>
      <w:r>
        <w:rPr>
          <w:rFonts w:hint="eastAsia" w:ascii="宋体" w:hAnsi="宋体" w:eastAsia="宋体" w:cs="宋体"/>
          <w:b w:val="0"/>
          <w:bCs/>
          <w:color w:val="auto"/>
          <w:kern w:val="2"/>
          <w:sz w:val="24"/>
          <w:szCs w:val="24"/>
          <w:highlight w:val="none"/>
          <w:lang w:val="en-US" w:eastAsia="zh-CN" w:bidi="ar-SA"/>
        </w:rPr>
        <w:t>项目地址</w:t>
      </w:r>
    </w:p>
    <w:p w14:paraId="408C47D5">
      <w:pPr>
        <w:keepNext w:val="0"/>
        <w:keepLines w:val="0"/>
        <w:pageBreakBefore w:val="0"/>
        <w:widowControl/>
        <w:kinsoku/>
        <w:wordWrap/>
        <w:overflowPunct/>
        <w:topLinePunct w:val="0"/>
        <w:autoSpaceDE/>
        <w:autoSpaceDN/>
        <w:bidi w:val="0"/>
        <w:adjustRightInd/>
        <w:snapToGrid/>
        <w:spacing w:line="360" w:lineRule="auto"/>
        <w:ind w:left="564" w:leftChars="235" w:firstLine="0" w:firstLineChars="0"/>
        <w:textAlignment w:val="auto"/>
        <w:rPr>
          <w:rFonts w:hint="eastAsia" w:ascii="宋体" w:hAnsi="宋体" w:eastAsia="宋体" w:cs="宋体"/>
          <w:color w:val="auto"/>
          <w:sz w:val="24"/>
          <w:szCs w:val="24"/>
          <w:highlight w:val="none"/>
          <w:lang w:val="en-US" w:eastAsia="zh-CN"/>
        </w:rPr>
      </w:pPr>
      <w:r>
        <w:rPr>
          <w:rFonts w:hint="eastAsia" w:cs="宋体"/>
          <w:bCs/>
          <w:color w:val="auto"/>
          <w:spacing w:val="0"/>
          <w:sz w:val="24"/>
          <w:szCs w:val="24"/>
          <w:highlight w:val="none"/>
          <w:u w:val="none" w:color="auto"/>
          <w:lang w:val="en-US" w:eastAsia="zh-CN" w:bidi="ar"/>
        </w:rPr>
        <w:t>广州市荔湾区茶滘街道牛肚湾涌以东，嵘都南街以南、广佛河以北</w:t>
      </w:r>
      <w:r>
        <w:rPr>
          <w:rFonts w:hint="eastAsia" w:ascii="宋体" w:hAnsi="宋体" w:eastAsia="宋体" w:cs="宋体"/>
          <w:bCs/>
          <w:color w:val="auto"/>
          <w:spacing w:val="0"/>
          <w:sz w:val="24"/>
          <w:szCs w:val="24"/>
          <w:highlight w:val="none"/>
          <w:u w:val="none" w:color="auto"/>
          <w:lang w:eastAsia="zh-CN" w:bidi="ar"/>
        </w:rPr>
        <w:t>。</w:t>
      </w:r>
    </w:p>
    <w:p w14:paraId="14A2FFCE">
      <w:pPr>
        <w:pStyle w:val="5"/>
        <w:pageBreakBefore w:val="0"/>
        <w:widowControl/>
        <w:numPr>
          <w:ilvl w:val="2"/>
          <w:numId w:val="4"/>
        </w:numPr>
        <w:kinsoku/>
        <w:wordWrap/>
        <w:overflowPunct/>
        <w:topLinePunct w:val="0"/>
        <w:autoSpaceDE/>
        <w:autoSpaceDN/>
        <w:bidi w:val="0"/>
        <w:adjustRightInd/>
        <w:snapToGrid/>
        <w:spacing w:before="0" w:beforeLines="0" w:after="0" w:afterLines="0" w:line="360" w:lineRule="auto"/>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工程规模</w:t>
      </w:r>
    </w:p>
    <w:p w14:paraId="5290B6B7">
      <w:pPr>
        <w:keepNext w:val="0"/>
        <w:keepLines w:val="0"/>
        <w:pageBreakBefore w:val="0"/>
        <w:widowControl/>
        <w:kinsoku/>
        <w:wordWrap/>
        <w:overflowPunct/>
        <w:topLinePunct w:val="0"/>
        <w:autoSpaceDE/>
        <w:autoSpaceDN/>
        <w:bidi w:val="0"/>
        <w:adjustRightInd/>
        <w:snapToGrid/>
        <w:spacing w:line="360" w:lineRule="auto"/>
        <w:ind w:left="564" w:leftChars="235" w:firstLine="0" w:firstLineChars="0"/>
        <w:textAlignment w:val="auto"/>
        <w:rPr>
          <w:rFonts w:hint="eastAsia" w:ascii="宋体" w:hAnsi="宋体" w:eastAsia="宋体" w:cs="宋体"/>
          <w:bCs/>
          <w:color w:val="auto"/>
          <w:spacing w:val="0"/>
          <w:sz w:val="24"/>
          <w:szCs w:val="24"/>
          <w:highlight w:val="none"/>
          <w:u w:val="none" w:color="auto"/>
          <w:lang w:bidi="ar"/>
        </w:rPr>
      </w:pPr>
      <w:r>
        <w:rPr>
          <w:rFonts w:hint="eastAsia" w:ascii="宋体" w:hAnsi="宋体" w:eastAsia="宋体" w:cs="宋体"/>
          <w:bCs/>
          <w:color w:val="auto"/>
          <w:spacing w:val="0"/>
          <w:sz w:val="24"/>
          <w:szCs w:val="24"/>
          <w:highlight w:val="none"/>
          <w:u w:val="none" w:color="auto"/>
          <w:lang w:bidi="ar"/>
        </w:rPr>
        <w:t>项目规模：</w:t>
      </w:r>
      <w:r>
        <w:rPr>
          <w:rFonts w:hint="eastAsia" w:cs="宋体"/>
          <w:bCs/>
          <w:color w:val="auto"/>
          <w:spacing w:val="0"/>
          <w:sz w:val="24"/>
          <w:szCs w:val="24"/>
          <w:highlight w:val="none"/>
          <w:u w:val="none" w:color="auto"/>
          <w:lang w:val="en-US" w:eastAsia="zh-CN" w:bidi="ar"/>
        </w:rPr>
        <w:t>项目</w:t>
      </w:r>
      <w:r>
        <w:rPr>
          <w:rFonts w:hint="eastAsia" w:ascii="宋体" w:hAnsi="宋体" w:eastAsia="宋体" w:cs="宋体"/>
          <w:bCs/>
          <w:color w:val="auto"/>
          <w:spacing w:val="0"/>
          <w:sz w:val="24"/>
          <w:szCs w:val="24"/>
          <w:highlight w:val="none"/>
          <w:u w:val="none" w:color="auto"/>
          <w:lang w:bidi="ar"/>
        </w:rPr>
        <w:t>总用地面积44523.31㎡，可建设用地面积31437.36㎡，道路用地面积13085.95㎡。绿地率&gt;35%，建筑密度&lt;30%，容积率≤5.11，计容建筑面积109071.25㎡，总建筑面积约154401.82㎡ (不含综合体和门楼建筑面积)</w:t>
      </w:r>
      <w:r>
        <w:rPr>
          <w:rFonts w:hint="eastAsia" w:cs="宋体"/>
          <w:bCs/>
          <w:color w:val="auto"/>
          <w:spacing w:val="0"/>
          <w:sz w:val="24"/>
          <w:szCs w:val="24"/>
          <w:highlight w:val="none"/>
          <w:u w:val="none" w:color="auto"/>
          <w:lang w:eastAsia="zh-CN" w:bidi="ar"/>
        </w:rPr>
        <w:t>，</w:t>
      </w:r>
      <w:r>
        <w:rPr>
          <w:rFonts w:hint="eastAsia" w:ascii="宋体" w:hAnsi="宋体" w:eastAsia="宋体" w:cs="宋体"/>
          <w:bCs/>
          <w:color w:val="auto"/>
          <w:spacing w:val="0"/>
          <w:sz w:val="24"/>
          <w:szCs w:val="24"/>
          <w:highlight w:val="none"/>
          <w:u w:val="none" w:color="auto"/>
          <w:lang w:bidi="ar"/>
        </w:rPr>
        <w:t>精装修建筑面积118938.703㎡。建筑高度149.90米，层数为49层，该项目的建设规模及指标最终以政府相关部门的批复</w:t>
      </w:r>
      <w:r>
        <w:rPr>
          <w:rFonts w:hint="eastAsia" w:cs="宋体"/>
          <w:bCs/>
          <w:color w:val="auto"/>
          <w:spacing w:val="0"/>
          <w:sz w:val="24"/>
          <w:szCs w:val="24"/>
          <w:highlight w:val="none"/>
          <w:u w:val="none" w:color="auto"/>
          <w:lang w:eastAsia="zh-CN" w:bidi="ar"/>
        </w:rPr>
        <w:t>、</w:t>
      </w:r>
      <w:r>
        <w:rPr>
          <w:rFonts w:hint="eastAsia" w:ascii="宋体" w:hAnsi="宋体" w:eastAsia="宋体" w:cs="宋体"/>
          <w:bCs/>
          <w:color w:val="auto"/>
          <w:spacing w:val="0"/>
          <w:sz w:val="24"/>
          <w:szCs w:val="24"/>
          <w:highlight w:val="none"/>
          <w:u w:val="none" w:color="auto"/>
          <w:lang w:bidi="ar"/>
        </w:rPr>
        <w:t>发包人选定方案</w:t>
      </w:r>
      <w:r>
        <w:rPr>
          <w:rFonts w:hint="eastAsia" w:cs="宋体"/>
          <w:bCs/>
          <w:color w:val="auto"/>
          <w:spacing w:val="0"/>
          <w:sz w:val="24"/>
          <w:szCs w:val="24"/>
          <w:highlight w:val="none"/>
          <w:u w:val="none" w:color="auto"/>
          <w:lang w:val="en-US" w:eastAsia="zh-CN" w:bidi="ar"/>
        </w:rPr>
        <w:t>及发包人下发的图纸</w:t>
      </w:r>
      <w:r>
        <w:rPr>
          <w:rFonts w:hint="eastAsia" w:ascii="宋体" w:hAnsi="宋体" w:eastAsia="宋体" w:cs="宋体"/>
          <w:bCs/>
          <w:color w:val="auto"/>
          <w:spacing w:val="0"/>
          <w:sz w:val="24"/>
          <w:szCs w:val="24"/>
          <w:highlight w:val="none"/>
          <w:u w:val="none" w:color="auto"/>
          <w:lang w:bidi="ar"/>
        </w:rPr>
        <w:t>为准，发包人有权根据批复意见进行调整，</w:t>
      </w:r>
      <w:r>
        <w:rPr>
          <w:rFonts w:hint="eastAsia" w:cs="宋体"/>
          <w:bCs/>
          <w:color w:val="auto"/>
          <w:spacing w:val="0"/>
          <w:sz w:val="24"/>
          <w:szCs w:val="24"/>
          <w:highlight w:val="none"/>
          <w:u w:val="none" w:color="auto"/>
          <w:lang w:val="en-US" w:eastAsia="zh-CN" w:bidi="ar"/>
        </w:rPr>
        <w:t>专业</w:t>
      </w:r>
      <w:r>
        <w:rPr>
          <w:rFonts w:hint="eastAsia" w:ascii="宋体" w:hAnsi="宋体" w:eastAsia="宋体" w:cs="宋体"/>
          <w:bCs/>
          <w:color w:val="auto"/>
          <w:spacing w:val="0"/>
          <w:sz w:val="24"/>
          <w:szCs w:val="24"/>
          <w:highlight w:val="none"/>
          <w:u w:val="none" w:color="auto"/>
          <w:lang w:bidi="ar"/>
        </w:rPr>
        <w:t>承包人应</w:t>
      </w:r>
      <w:r>
        <w:rPr>
          <w:rFonts w:hint="eastAsia" w:cs="宋体"/>
          <w:bCs/>
          <w:color w:val="auto"/>
          <w:spacing w:val="0"/>
          <w:sz w:val="24"/>
          <w:szCs w:val="24"/>
          <w:highlight w:val="none"/>
          <w:u w:val="none" w:color="auto"/>
          <w:lang w:val="en-US" w:eastAsia="zh-CN" w:bidi="ar"/>
        </w:rPr>
        <w:t>给</w:t>
      </w:r>
      <w:r>
        <w:rPr>
          <w:rFonts w:hint="eastAsia" w:ascii="宋体" w:hAnsi="宋体" w:eastAsia="宋体" w:cs="宋体"/>
          <w:bCs/>
          <w:color w:val="auto"/>
          <w:spacing w:val="0"/>
          <w:sz w:val="24"/>
          <w:szCs w:val="24"/>
          <w:highlight w:val="none"/>
          <w:u w:val="none" w:color="auto"/>
          <w:lang w:bidi="ar"/>
        </w:rPr>
        <w:t>予以支持。</w:t>
      </w:r>
    </w:p>
    <w:p w14:paraId="3EB5A12C">
      <w:pPr>
        <w:pStyle w:val="27"/>
        <w:bidi w:val="0"/>
        <w:rPr>
          <w:color w:val="auto"/>
          <w:highlight w:val="none"/>
        </w:rPr>
      </w:pPr>
      <w:r>
        <w:rPr>
          <w:color w:val="auto"/>
          <w:highlight w:val="none"/>
        </w:rPr>
        <w:drawing>
          <wp:inline distT="0" distB="0" distL="114300" distR="114300">
            <wp:extent cx="4256405" cy="3765550"/>
            <wp:effectExtent l="0" t="0" r="127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4"/>
                    <a:stretch>
                      <a:fillRect/>
                    </a:stretch>
                  </pic:blipFill>
                  <pic:spPr>
                    <a:xfrm>
                      <a:off x="0" y="0"/>
                      <a:ext cx="4256405" cy="3765550"/>
                    </a:xfrm>
                    <a:prstGeom prst="rect">
                      <a:avLst/>
                    </a:prstGeom>
                    <a:noFill/>
                    <a:ln>
                      <a:noFill/>
                    </a:ln>
                  </pic:spPr>
                </pic:pic>
              </a:graphicData>
            </a:graphic>
          </wp:inline>
        </w:drawing>
      </w:r>
    </w:p>
    <w:p w14:paraId="4A2E8E36">
      <w:pPr>
        <w:pStyle w:val="5"/>
        <w:keepNext w:val="0"/>
        <w:keepLines/>
        <w:pageBreakBefore w:val="0"/>
        <w:widowControl/>
        <w:numPr>
          <w:ilvl w:val="2"/>
          <w:numId w:val="4"/>
        </w:numPr>
        <w:kinsoku/>
        <w:wordWrap/>
        <w:overflowPunct/>
        <w:topLinePunct w:val="0"/>
        <w:autoSpaceDE/>
        <w:autoSpaceDN/>
        <w:bidi w:val="0"/>
        <w:adjustRightInd/>
        <w:snapToGrid/>
        <w:spacing w:before="0" w:beforeLines="50" w:after="0" w:afterLines="0" w:line="360" w:lineRule="auto"/>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现场情况</w:t>
      </w:r>
    </w:p>
    <w:p w14:paraId="3DDDEE7E">
      <w:pPr>
        <w:pStyle w:val="27"/>
        <w:bidi w:val="0"/>
        <w:rPr>
          <w:color w:val="auto"/>
          <w:highlight w:val="none"/>
        </w:rPr>
      </w:pPr>
      <w:r>
        <w:rPr>
          <w:color w:val="auto"/>
          <w:highlight w:val="none"/>
        </w:rPr>
        <w:drawing>
          <wp:inline distT="0" distB="0" distL="114300" distR="114300">
            <wp:extent cx="4806315" cy="2544445"/>
            <wp:effectExtent l="0" t="0" r="3810" b="825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5"/>
                    <a:srcRect b="5894"/>
                    <a:stretch>
                      <a:fillRect/>
                    </a:stretch>
                  </pic:blipFill>
                  <pic:spPr>
                    <a:xfrm>
                      <a:off x="0" y="0"/>
                      <a:ext cx="4806315" cy="2544445"/>
                    </a:xfrm>
                    <a:prstGeom prst="rect">
                      <a:avLst/>
                    </a:prstGeom>
                    <a:noFill/>
                    <a:ln>
                      <a:noFill/>
                    </a:ln>
                  </pic:spPr>
                </pic:pic>
              </a:graphicData>
            </a:graphic>
          </wp:inline>
        </w:drawing>
      </w:r>
    </w:p>
    <w:p w14:paraId="279623E6">
      <w:pPr>
        <w:keepNext w:val="0"/>
        <w:keepLines w:val="0"/>
        <w:pageBreakBefore w:val="0"/>
        <w:widowControl/>
        <w:kinsoku/>
        <w:wordWrap/>
        <w:overflowPunct/>
        <w:topLinePunct w:val="0"/>
        <w:autoSpaceDE/>
        <w:autoSpaceDN/>
        <w:bidi w:val="0"/>
        <w:adjustRightInd/>
        <w:snapToGrid/>
        <w:spacing w:line="360" w:lineRule="auto"/>
        <w:ind w:left="568" w:leftChars="236" w:hanging="2" w:hangingChars="1"/>
        <w:jc w:val="center"/>
        <w:textAlignment w:val="auto"/>
        <w:rPr>
          <w:rFonts w:hint="eastAsia"/>
          <w:color w:val="auto"/>
          <w:highlight w:val="none"/>
          <w:lang w:eastAsia="zh-CN"/>
        </w:rPr>
      </w:pPr>
      <w:r>
        <w:rPr>
          <w:rFonts w:hint="eastAsia"/>
          <w:color w:val="auto"/>
          <w:highlight w:val="none"/>
          <w:lang w:eastAsia="zh-CN"/>
        </w:rPr>
        <w:t>项目地块周边环境</w:t>
      </w:r>
    </w:p>
    <w:p w14:paraId="70A1700A">
      <w:pPr>
        <w:keepNext w:val="0"/>
        <w:keepLines w:val="0"/>
        <w:pageBreakBefore w:val="0"/>
        <w:widowControl/>
        <w:kinsoku/>
        <w:wordWrap/>
        <w:overflowPunct/>
        <w:topLinePunct w:val="0"/>
        <w:autoSpaceDE/>
        <w:autoSpaceDN/>
        <w:bidi w:val="0"/>
        <w:adjustRightInd/>
        <w:snapToGrid/>
        <w:spacing w:line="360" w:lineRule="auto"/>
        <w:ind w:left="568" w:leftChars="236" w:hanging="2" w:hangingChars="1"/>
        <w:textAlignment w:val="auto"/>
        <w:rPr>
          <w:rFonts w:hint="eastAsia" w:ascii="宋体" w:hAnsi="宋体" w:eastAsia="宋体" w:cs="宋体"/>
          <w:bCs/>
          <w:color w:val="auto"/>
          <w:kern w:val="44"/>
          <w:highlight w:val="none"/>
          <w:lang w:val="en-US" w:eastAsia="zh-CN"/>
        </w:rPr>
      </w:pPr>
      <w:r>
        <w:rPr>
          <w:rFonts w:hint="eastAsia" w:ascii="宋体" w:hAnsi="宋体" w:eastAsia="宋体" w:cs="宋体"/>
          <w:bCs/>
          <w:color w:val="auto"/>
          <w:kern w:val="44"/>
          <w:highlight w:val="none"/>
          <w:lang w:val="en-US" w:eastAsia="zh-CN"/>
        </w:rPr>
        <w:t>1.1.4.</w:t>
      </w:r>
      <w:r>
        <w:rPr>
          <w:rFonts w:hint="eastAsia" w:cs="宋体"/>
          <w:bCs/>
          <w:color w:val="auto"/>
          <w:kern w:val="44"/>
          <w:highlight w:val="none"/>
          <w:lang w:val="en-US" w:eastAsia="zh-CN"/>
        </w:rPr>
        <w:t>1</w:t>
      </w:r>
      <w:r>
        <w:rPr>
          <w:rFonts w:hint="eastAsia" w:ascii="宋体" w:hAnsi="宋体" w:eastAsia="宋体" w:cs="宋体"/>
          <w:bCs/>
          <w:color w:val="auto"/>
          <w:kern w:val="44"/>
          <w:highlight w:val="none"/>
          <w:lang w:val="en-US" w:eastAsia="zh-CN"/>
        </w:rPr>
        <w:t>发包人不向承包人提供生活用地及用房。项目现场不具备设置办公区的条件，要求承包人自行考虑在红线外租赁场地及施工临时用房。</w:t>
      </w:r>
    </w:p>
    <w:p w14:paraId="01C29C7F">
      <w:pPr>
        <w:pStyle w:val="33"/>
        <w:keepNext w:val="0"/>
        <w:keepLines w:val="0"/>
        <w:pageBreakBefore w:val="0"/>
        <w:widowControl/>
        <w:numPr>
          <w:ilvl w:val="0"/>
          <w:numId w:val="0"/>
        </w:numPr>
        <w:kinsoku/>
        <w:wordWrap/>
        <w:overflowPunct/>
        <w:topLinePunct w:val="0"/>
        <w:autoSpaceDE/>
        <w:autoSpaceDN/>
        <w:bidi w:val="0"/>
        <w:adjustRightInd/>
        <w:snapToGrid/>
        <w:spacing w:line="360" w:lineRule="auto"/>
        <w:ind w:leftChars="200"/>
        <w:textAlignment w:val="auto"/>
        <w:rPr>
          <w:color w:val="auto"/>
          <w:spacing w:val="-1"/>
          <w:sz w:val="24"/>
          <w:szCs w:val="24"/>
          <w:highlight w:val="none"/>
        </w:rPr>
      </w:pPr>
      <w:r>
        <w:rPr>
          <w:rFonts w:hint="eastAsia" w:ascii="宋体" w:hAnsi="宋体" w:eastAsia="宋体" w:cs="宋体"/>
          <w:bCs/>
          <w:color w:val="auto"/>
          <w:kern w:val="44"/>
          <w:highlight w:val="none"/>
          <w:lang w:val="en-US" w:eastAsia="zh-CN"/>
        </w:rPr>
        <w:t>1.1.4.</w:t>
      </w:r>
      <w:r>
        <w:rPr>
          <w:rFonts w:hint="eastAsia" w:cs="宋体"/>
          <w:bCs/>
          <w:color w:val="auto"/>
          <w:kern w:val="44"/>
          <w:highlight w:val="none"/>
          <w:lang w:val="en-US" w:eastAsia="zh-CN"/>
        </w:rPr>
        <w:t>2</w:t>
      </w:r>
      <w:r>
        <w:rPr>
          <w:color w:val="auto"/>
          <w:spacing w:val="-1"/>
          <w:sz w:val="24"/>
          <w:szCs w:val="24"/>
          <w:highlight w:val="none"/>
        </w:rPr>
        <w:t>现场临水临电</w:t>
      </w:r>
    </w:p>
    <w:p w14:paraId="0EE0C4AC">
      <w:pPr>
        <w:pStyle w:val="33"/>
        <w:keepNext w:val="0"/>
        <w:keepLines w:val="0"/>
        <w:pageBreakBefore w:val="0"/>
        <w:widowControl/>
        <w:numPr>
          <w:ilvl w:val="0"/>
          <w:numId w:val="0"/>
        </w:numPr>
        <w:kinsoku/>
        <w:wordWrap/>
        <w:overflowPunct/>
        <w:topLinePunct w:val="0"/>
        <w:autoSpaceDE/>
        <w:autoSpaceDN/>
        <w:bidi w:val="0"/>
        <w:adjustRightInd/>
        <w:snapToGrid/>
        <w:spacing w:line="360" w:lineRule="auto"/>
        <w:ind w:leftChars="200"/>
        <w:textAlignment w:val="auto"/>
        <w:rPr>
          <w:rFonts w:hint="eastAsia" w:ascii="宋体" w:hAnsi="宋体" w:eastAsia="宋体" w:cs="宋体"/>
          <w:bCs/>
          <w:color w:val="auto"/>
          <w:kern w:val="44"/>
          <w:highlight w:val="none"/>
          <w:lang w:val="en-US" w:eastAsia="zh-CN"/>
        </w:rPr>
      </w:pPr>
      <w:r>
        <w:rPr>
          <w:rFonts w:hint="eastAsia" w:eastAsia="宋体"/>
          <w:color w:val="auto"/>
          <w:spacing w:val="-1"/>
          <w:sz w:val="24"/>
          <w:szCs w:val="24"/>
          <w:highlight w:val="none"/>
          <w:lang w:eastAsia="zh-CN"/>
        </w:rPr>
        <w:t>（</w:t>
      </w:r>
      <w:r>
        <w:rPr>
          <w:rFonts w:hint="eastAsia" w:eastAsia="宋体"/>
          <w:color w:val="auto"/>
          <w:spacing w:val="-1"/>
          <w:sz w:val="24"/>
          <w:szCs w:val="24"/>
          <w:highlight w:val="none"/>
          <w:lang w:val="en-US" w:eastAsia="zh-CN"/>
        </w:rPr>
        <w:t>1</w:t>
      </w:r>
      <w:r>
        <w:rPr>
          <w:rFonts w:hint="eastAsia" w:eastAsia="宋体"/>
          <w:color w:val="auto"/>
          <w:spacing w:val="-1"/>
          <w:sz w:val="24"/>
          <w:szCs w:val="24"/>
          <w:highlight w:val="none"/>
          <w:lang w:eastAsia="zh-CN"/>
        </w:rPr>
        <w:t>）</w:t>
      </w:r>
      <w:r>
        <w:rPr>
          <w:rFonts w:hint="eastAsia" w:ascii="宋体" w:hAnsi="宋体" w:eastAsia="宋体" w:cs="宋体"/>
          <w:bCs/>
          <w:color w:val="auto"/>
          <w:kern w:val="44"/>
          <w:highlight w:val="none"/>
          <w:lang w:val="en-US" w:eastAsia="zh-CN"/>
        </w:rPr>
        <w:t>现场需要用电时，用电单位必须提前提出书面申请，经总承包方单位批准</w:t>
      </w:r>
      <w:r>
        <w:rPr>
          <w:rFonts w:hint="eastAsia" w:ascii="宋体" w:hAnsi="宋体" w:eastAsia="宋体" w:cs="宋体"/>
          <w:color w:val="auto"/>
          <w:sz w:val="24"/>
          <w:szCs w:val="24"/>
          <w:highlight w:val="none"/>
        </w:rPr>
        <w:t>审核后确定二级配电箱的接口位置、数量</w:t>
      </w:r>
      <w:r>
        <w:rPr>
          <w:rFonts w:hint="eastAsia" w:ascii="宋体" w:hAnsi="宋体" w:eastAsia="宋体" w:cs="宋体"/>
          <w:bCs/>
          <w:color w:val="auto"/>
          <w:kern w:val="44"/>
          <w:highlight w:val="none"/>
          <w:lang w:val="en-US" w:eastAsia="zh-CN"/>
        </w:rPr>
        <w:t>，</w:t>
      </w:r>
      <w:r>
        <w:rPr>
          <w:rFonts w:hint="eastAsia" w:ascii="宋体" w:hAnsi="宋体" w:eastAsia="宋体" w:cs="宋体"/>
          <w:color w:val="auto"/>
          <w:sz w:val="24"/>
          <w:szCs w:val="24"/>
          <w:highlight w:val="none"/>
        </w:rPr>
        <w:t>从二级配电箱出口位置至施工用电点位的电线电缆，由承包人按照临电方案要求铺设。</w:t>
      </w:r>
      <w:r>
        <w:rPr>
          <w:rFonts w:hint="eastAsia" w:ascii="宋体" w:hAnsi="宋体" w:eastAsia="宋体" w:cs="宋体"/>
          <w:bCs/>
          <w:color w:val="auto"/>
          <w:kern w:val="44"/>
          <w:highlight w:val="none"/>
          <w:lang w:val="en-US" w:eastAsia="zh-CN"/>
        </w:rPr>
        <w:t>严禁乱拉乱接电源，严禁非电工拆装电气设备。施工用电用毕后，应由施工现场用电负责人通知维护电工，进行拆除。</w:t>
      </w:r>
    </w:p>
    <w:p w14:paraId="15AEF589">
      <w:pPr>
        <w:pStyle w:val="33"/>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76" w:firstLineChars="200"/>
        <w:textAlignment w:val="auto"/>
        <w:rPr>
          <w:rFonts w:hint="eastAsia" w:ascii="宋体" w:hAnsi="宋体" w:eastAsia="宋体"/>
          <w:b w:val="0"/>
          <w:bCs w:val="0"/>
          <w:color w:val="auto"/>
          <w:spacing w:val="-1"/>
          <w:sz w:val="24"/>
          <w:szCs w:val="24"/>
          <w:highlight w:val="none"/>
          <w:lang w:val="en-US" w:eastAsia="zh-CN"/>
        </w:rPr>
      </w:pPr>
      <w:r>
        <w:rPr>
          <w:rFonts w:hint="eastAsia" w:ascii="宋体" w:hAnsi="宋体" w:eastAsia="宋体"/>
          <w:color w:val="auto"/>
          <w:spacing w:val="-1"/>
          <w:sz w:val="24"/>
          <w:szCs w:val="24"/>
          <w:highlight w:val="none"/>
          <w:lang w:val="en-US" w:eastAsia="zh-CN"/>
        </w:rPr>
        <w:t>（2）现场总承包</w:t>
      </w:r>
      <w:r>
        <w:rPr>
          <w:rFonts w:hint="eastAsia"/>
          <w:color w:val="auto"/>
          <w:spacing w:val="-1"/>
          <w:sz w:val="24"/>
          <w:szCs w:val="24"/>
          <w:highlight w:val="none"/>
          <w:lang w:val="en-US" w:eastAsia="zh-CN"/>
        </w:rPr>
        <w:t>人</w:t>
      </w:r>
      <w:r>
        <w:rPr>
          <w:rFonts w:hint="eastAsia" w:ascii="宋体" w:hAnsi="宋体" w:eastAsia="宋体"/>
          <w:color w:val="auto"/>
          <w:spacing w:val="-1"/>
          <w:sz w:val="24"/>
          <w:szCs w:val="24"/>
          <w:highlight w:val="none"/>
          <w:lang w:val="en-US" w:eastAsia="zh-CN"/>
        </w:rPr>
        <w:t>临时照明只设置在楼梯间，不提供精装区照明，所有精装区施工位置照明需</w:t>
      </w:r>
      <w:r>
        <w:rPr>
          <w:rFonts w:hint="eastAsia"/>
          <w:color w:val="auto"/>
          <w:spacing w:val="-1"/>
          <w:sz w:val="24"/>
          <w:szCs w:val="24"/>
          <w:highlight w:val="none"/>
          <w:lang w:val="en-US" w:eastAsia="zh-CN"/>
        </w:rPr>
        <w:t>专业承包人</w:t>
      </w:r>
      <w:r>
        <w:rPr>
          <w:rFonts w:hint="eastAsia" w:ascii="宋体" w:hAnsi="宋体" w:eastAsia="宋体"/>
          <w:color w:val="auto"/>
          <w:spacing w:val="-1"/>
          <w:sz w:val="24"/>
          <w:szCs w:val="24"/>
          <w:highlight w:val="none"/>
          <w:lang w:val="en-US" w:eastAsia="zh-CN"/>
        </w:rPr>
        <w:t>自行配置</w:t>
      </w:r>
      <w:r>
        <w:rPr>
          <w:rFonts w:hint="eastAsia"/>
          <w:color w:val="auto"/>
          <w:spacing w:val="-1"/>
          <w:sz w:val="24"/>
          <w:szCs w:val="24"/>
          <w:highlight w:val="none"/>
          <w:lang w:val="en-US" w:eastAsia="zh-CN"/>
        </w:rPr>
        <w:t>并承担相应的费用</w:t>
      </w:r>
      <w:r>
        <w:rPr>
          <w:rFonts w:hint="eastAsia" w:ascii="宋体" w:hAnsi="宋体" w:eastAsia="宋体"/>
          <w:color w:val="auto"/>
          <w:spacing w:val="-1"/>
          <w:sz w:val="24"/>
          <w:szCs w:val="24"/>
          <w:highlight w:val="none"/>
          <w:lang w:val="en-US" w:eastAsia="zh-CN"/>
        </w:rPr>
        <w:t>，临时照明设置需采用钢</w:t>
      </w:r>
      <w:r>
        <w:rPr>
          <w:rFonts w:hint="eastAsia" w:ascii="宋体" w:hAnsi="宋体" w:eastAsia="宋体"/>
          <w:b w:val="0"/>
          <w:bCs w:val="0"/>
          <w:color w:val="auto"/>
          <w:spacing w:val="-1"/>
          <w:sz w:val="24"/>
          <w:szCs w:val="24"/>
          <w:highlight w:val="none"/>
          <w:lang w:val="en-US" w:eastAsia="zh-CN"/>
        </w:rPr>
        <w:t>线外包塑料护套固定在墙体上，照明灯具采用LED灯带在钢线绳上进行绑扎。临时配电三级箱电缆不准拖地，钢丝外包塑料护套墙体进行固定，悬挂电缆的S钩需做绝缘处理，电缆线悬挂在S钩上。每层均需设置临时照明，照度必须满足现场施工，严格执行《建筑与市政工程施工现场临时用电安全技术标准》</w:t>
      </w:r>
      <w:r>
        <w:rPr>
          <w:rFonts w:hint="eastAsia"/>
          <w:b w:val="0"/>
          <w:bCs w:val="0"/>
          <w:color w:val="auto"/>
          <w:spacing w:val="-1"/>
          <w:sz w:val="24"/>
          <w:szCs w:val="24"/>
          <w:highlight w:val="none"/>
          <w:lang w:val="en-US" w:eastAsia="zh-CN"/>
        </w:rPr>
        <w:t>(</w:t>
      </w:r>
      <w:r>
        <w:rPr>
          <w:rFonts w:hint="eastAsia" w:ascii="宋体" w:hAnsi="宋体" w:eastAsia="宋体"/>
          <w:b w:val="0"/>
          <w:bCs w:val="0"/>
          <w:color w:val="auto"/>
          <w:spacing w:val="-1"/>
          <w:sz w:val="24"/>
          <w:szCs w:val="24"/>
          <w:highlight w:val="none"/>
          <w:lang w:val="en-US" w:eastAsia="zh-CN"/>
        </w:rPr>
        <w:t>JGJ/T46-2024</w:t>
      </w:r>
      <w:r>
        <w:rPr>
          <w:rFonts w:hint="eastAsia"/>
          <w:b w:val="0"/>
          <w:bCs w:val="0"/>
          <w:color w:val="auto"/>
          <w:spacing w:val="-1"/>
          <w:sz w:val="24"/>
          <w:szCs w:val="24"/>
          <w:highlight w:val="none"/>
          <w:lang w:val="en-US" w:eastAsia="zh-CN"/>
        </w:rPr>
        <w:t>)</w:t>
      </w:r>
      <w:r>
        <w:rPr>
          <w:rFonts w:hint="eastAsia" w:ascii="宋体" w:hAnsi="宋体" w:eastAsia="宋体"/>
          <w:b w:val="0"/>
          <w:bCs w:val="0"/>
          <w:color w:val="auto"/>
          <w:spacing w:val="-1"/>
          <w:sz w:val="24"/>
          <w:szCs w:val="24"/>
          <w:highlight w:val="none"/>
          <w:lang w:val="en-US" w:eastAsia="zh-CN"/>
        </w:rPr>
        <w:t>、《建设工程施工现场供用电安全规范》GB50194-2014、《建设工程施工现场消防安全技术规范》GB50720-2011，如现场临时照明照度不足，将由总承包</w:t>
      </w:r>
      <w:r>
        <w:rPr>
          <w:rFonts w:hint="eastAsia"/>
          <w:b w:val="0"/>
          <w:bCs w:val="0"/>
          <w:color w:val="auto"/>
          <w:spacing w:val="-1"/>
          <w:sz w:val="24"/>
          <w:szCs w:val="24"/>
          <w:highlight w:val="none"/>
          <w:lang w:val="en-US" w:eastAsia="zh-CN"/>
        </w:rPr>
        <w:t>人</w:t>
      </w:r>
      <w:r>
        <w:rPr>
          <w:rFonts w:hint="eastAsia" w:ascii="宋体" w:hAnsi="宋体" w:eastAsia="宋体"/>
          <w:b w:val="0"/>
          <w:bCs w:val="0"/>
          <w:color w:val="auto"/>
          <w:spacing w:val="-1"/>
          <w:sz w:val="24"/>
          <w:szCs w:val="24"/>
          <w:highlight w:val="none"/>
          <w:lang w:val="en-US" w:eastAsia="zh-CN"/>
        </w:rPr>
        <w:t>代工，产生的费用从</w:t>
      </w:r>
      <w:r>
        <w:rPr>
          <w:rFonts w:hint="eastAsia"/>
          <w:b w:val="0"/>
          <w:bCs w:val="0"/>
          <w:color w:val="auto"/>
          <w:spacing w:val="-1"/>
          <w:sz w:val="24"/>
          <w:szCs w:val="24"/>
          <w:highlight w:val="none"/>
          <w:lang w:val="en-US" w:eastAsia="zh-CN"/>
        </w:rPr>
        <w:t>专业承包人工程费用中</w:t>
      </w:r>
      <w:r>
        <w:rPr>
          <w:rFonts w:hint="eastAsia" w:ascii="宋体" w:hAnsi="宋体" w:eastAsia="宋体"/>
          <w:b w:val="0"/>
          <w:bCs w:val="0"/>
          <w:color w:val="auto"/>
          <w:spacing w:val="-1"/>
          <w:sz w:val="24"/>
          <w:szCs w:val="24"/>
          <w:highlight w:val="none"/>
          <w:lang w:val="en-US" w:eastAsia="zh-CN"/>
        </w:rPr>
        <w:t>扣除。</w:t>
      </w:r>
    </w:p>
    <w:p w14:paraId="78B054EE">
      <w:pPr>
        <w:pStyle w:val="33"/>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76" w:firstLineChars="200"/>
        <w:textAlignment w:val="auto"/>
        <w:rPr>
          <w:rFonts w:hint="eastAsia" w:ascii="宋体" w:hAnsi="宋体" w:eastAsia="宋体"/>
          <w:color w:val="auto"/>
          <w:spacing w:val="-1"/>
          <w:sz w:val="24"/>
          <w:szCs w:val="24"/>
          <w:highlight w:val="none"/>
          <w:lang w:val="en-US" w:eastAsia="zh-CN"/>
        </w:rPr>
      </w:pPr>
      <w:r>
        <w:rPr>
          <w:rFonts w:hint="eastAsia" w:ascii="宋体" w:hAnsi="宋体" w:eastAsia="宋体"/>
          <w:b w:val="0"/>
          <w:bCs w:val="0"/>
          <w:color w:val="auto"/>
          <w:spacing w:val="-1"/>
          <w:sz w:val="24"/>
          <w:szCs w:val="24"/>
          <w:highlight w:val="none"/>
          <w:lang w:val="en-US" w:eastAsia="zh-CN"/>
        </w:rPr>
        <w:t>（3）施工期间总承包人在现场周围布置若干临水接驳点，同时按照施工要求设置每栋楼的每个楼层临水接驳点设置一个。从接驳点至施工现场的临水管线由专</w:t>
      </w:r>
      <w:r>
        <w:rPr>
          <w:rFonts w:hint="eastAsia"/>
          <w:b w:val="0"/>
          <w:bCs w:val="0"/>
          <w:color w:val="auto"/>
          <w:spacing w:val="-1"/>
          <w:sz w:val="24"/>
          <w:szCs w:val="24"/>
          <w:highlight w:val="none"/>
          <w:lang w:val="en-US" w:eastAsia="zh-CN"/>
        </w:rPr>
        <w:t>业</w:t>
      </w:r>
      <w:r>
        <w:rPr>
          <w:rFonts w:hint="eastAsia" w:ascii="宋体" w:hAnsi="宋体" w:eastAsia="宋体"/>
          <w:b w:val="0"/>
          <w:bCs w:val="0"/>
          <w:color w:val="auto"/>
          <w:spacing w:val="-1"/>
          <w:sz w:val="24"/>
          <w:szCs w:val="24"/>
          <w:highlight w:val="none"/>
          <w:lang w:val="en-US" w:eastAsia="zh-CN"/>
        </w:rPr>
        <w:t>承包人按照总承包人的临水方案要求铺设，施工用水的排放按照要求排放至指定地点。</w:t>
      </w:r>
    </w:p>
    <w:p w14:paraId="4D525F1E">
      <w:pPr>
        <w:pStyle w:val="33"/>
        <w:keepNext w:val="0"/>
        <w:keepLines w:val="0"/>
        <w:pageBreakBefore w:val="0"/>
        <w:widowControl/>
        <w:numPr>
          <w:ilvl w:val="0"/>
          <w:numId w:val="0"/>
        </w:numPr>
        <w:kinsoku/>
        <w:wordWrap/>
        <w:overflowPunct/>
        <w:topLinePunct w:val="0"/>
        <w:autoSpaceDE/>
        <w:autoSpaceDN/>
        <w:bidi w:val="0"/>
        <w:adjustRightInd/>
        <w:snapToGrid/>
        <w:spacing w:line="360" w:lineRule="auto"/>
        <w:ind w:leftChars="200"/>
        <w:textAlignment w:val="auto"/>
        <w:rPr>
          <w:rFonts w:hint="eastAsia" w:ascii="宋体" w:hAnsi="宋体" w:eastAsia="宋体"/>
          <w:color w:val="auto"/>
          <w:spacing w:val="-1"/>
          <w:sz w:val="24"/>
          <w:szCs w:val="24"/>
          <w:highlight w:val="none"/>
          <w:lang w:val="en-US" w:eastAsia="zh-CN"/>
        </w:rPr>
      </w:pPr>
      <w:r>
        <w:rPr>
          <w:rFonts w:hint="eastAsia" w:ascii="宋体" w:hAnsi="宋体" w:eastAsia="宋体"/>
          <w:color w:val="auto"/>
          <w:spacing w:val="-1"/>
          <w:sz w:val="24"/>
          <w:szCs w:val="24"/>
          <w:highlight w:val="none"/>
          <w:lang w:val="en-US" w:eastAsia="zh-CN"/>
        </w:rPr>
        <w:t>（4）施工过程中的临时用水用电需遵从总承包单位、监理单位及发包人的管理。</w:t>
      </w:r>
    </w:p>
    <w:p w14:paraId="07E7FC02">
      <w:pPr>
        <w:pStyle w:val="33"/>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78" w:firstLineChars="200"/>
        <w:textAlignment w:val="auto"/>
        <w:rPr>
          <w:rFonts w:hint="default" w:ascii="宋体" w:hAnsi="宋体" w:eastAsia="宋体"/>
          <w:b/>
          <w:bCs/>
          <w:color w:val="auto"/>
          <w:spacing w:val="-1"/>
          <w:sz w:val="24"/>
          <w:szCs w:val="24"/>
          <w:highlight w:val="none"/>
          <w:lang w:val="en-US" w:eastAsia="zh-CN"/>
        </w:rPr>
      </w:pPr>
      <w:r>
        <w:rPr>
          <w:rFonts w:hint="eastAsia"/>
          <w:b/>
          <w:bCs/>
          <w:color w:val="auto"/>
          <w:spacing w:val="-1"/>
          <w:sz w:val="24"/>
          <w:szCs w:val="24"/>
          <w:highlight w:val="none"/>
          <w:lang w:val="en-US" w:eastAsia="zh-CN"/>
        </w:rPr>
        <w:t>（5）专业承包人自行承担自身精装修施工过程中的全部水费、电费。专业承包人施工过程中产生的水费、电费由专业承包人支付给总承包人，由总承包人向有关部门缴纳施工用水、用电的费用，直至项目集中交付完成。</w:t>
      </w:r>
    </w:p>
    <w:p w14:paraId="7F07F9C5">
      <w:pPr>
        <w:pStyle w:val="33"/>
        <w:keepNext w:val="0"/>
        <w:keepLines w:val="0"/>
        <w:pageBreakBefore w:val="0"/>
        <w:widowControl/>
        <w:numPr>
          <w:ilvl w:val="0"/>
          <w:numId w:val="0"/>
        </w:numPr>
        <w:kinsoku/>
        <w:wordWrap/>
        <w:overflowPunct/>
        <w:topLinePunct w:val="0"/>
        <w:autoSpaceDE/>
        <w:autoSpaceDN/>
        <w:bidi w:val="0"/>
        <w:adjustRightInd/>
        <w:snapToGrid/>
        <w:spacing w:line="360" w:lineRule="auto"/>
        <w:ind w:leftChars="200"/>
        <w:textAlignment w:val="auto"/>
        <w:rPr>
          <w:rFonts w:hint="default"/>
          <w:b/>
          <w:bCs/>
          <w:color w:val="auto"/>
          <w:spacing w:val="-1"/>
          <w:sz w:val="24"/>
          <w:szCs w:val="24"/>
          <w:highlight w:val="none"/>
          <w:lang w:val="en-US" w:eastAsia="zh-CN"/>
        </w:rPr>
      </w:pPr>
      <w:r>
        <w:rPr>
          <w:rFonts w:hint="eastAsia"/>
          <w:b/>
          <w:bCs/>
          <w:color w:val="auto"/>
          <w:spacing w:val="-1"/>
          <w:sz w:val="24"/>
          <w:szCs w:val="24"/>
          <w:highlight w:val="none"/>
          <w:lang w:val="en-US" w:eastAsia="zh-CN"/>
        </w:rPr>
        <w:t>（6）承包人需服从总承包人对项目总平面的管理，若使用材料堆场等总平面区域，承包人需结合自身需求向总承包人提出申请，经总承包人及发包人同意后方可实施，目前各阶段总平面布置详见【附件A-1】《施工现场阶段性平面布置图》。</w:t>
      </w:r>
    </w:p>
    <w:p w14:paraId="3BE46B3D">
      <w:pPr>
        <w:pStyle w:val="5"/>
        <w:pageBreakBefore w:val="0"/>
        <w:widowControl/>
        <w:numPr>
          <w:ilvl w:val="2"/>
          <w:numId w:val="4"/>
        </w:numPr>
        <w:kinsoku/>
        <w:wordWrap/>
        <w:overflowPunct/>
        <w:topLinePunct w:val="0"/>
        <w:autoSpaceDE/>
        <w:autoSpaceDN/>
        <w:bidi w:val="0"/>
        <w:adjustRightInd/>
        <w:snapToGrid/>
        <w:spacing w:before="0" w:beforeLines="0" w:after="0" w:afterLines="0" w:line="360" w:lineRule="auto"/>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主要参建单位：</w:t>
      </w:r>
    </w:p>
    <w:p w14:paraId="7B86DF26">
      <w:pPr>
        <w:keepNext w:val="0"/>
        <w:keepLines w:val="0"/>
        <w:pageBreakBefore w:val="0"/>
        <w:widowControl/>
        <w:kinsoku/>
        <w:wordWrap/>
        <w:overflowPunct/>
        <w:topLinePunct w:val="0"/>
        <w:autoSpaceDE/>
        <w:autoSpaceDN/>
        <w:bidi w:val="0"/>
        <w:adjustRightInd/>
        <w:snapToGrid/>
        <w:spacing w:line="360" w:lineRule="auto"/>
        <w:ind w:left="568" w:leftChars="236" w:hanging="2" w:hangingChars="1"/>
        <w:textAlignment w:val="auto"/>
        <w:rPr>
          <w:rFonts w:hint="eastAsia" w:ascii="宋体" w:hAnsi="宋体" w:eastAsia="宋体" w:cs="宋体"/>
          <w:bCs/>
          <w:color w:val="auto"/>
          <w:kern w:val="44"/>
          <w:highlight w:val="none"/>
          <w:lang w:val="en-US" w:eastAsia="zh-CN"/>
        </w:rPr>
      </w:pPr>
      <w:bookmarkStart w:id="22" w:name="_Toc488931138"/>
      <w:bookmarkStart w:id="23" w:name="_Toc153907546"/>
      <w:r>
        <w:rPr>
          <w:rFonts w:hint="eastAsia" w:cs="宋体"/>
          <w:bCs/>
          <w:color w:val="auto"/>
          <w:kern w:val="44"/>
          <w:highlight w:val="none"/>
          <w:lang w:val="en-US" w:eastAsia="zh-CN"/>
        </w:rPr>
        <w:t>建设单位</w:t>
      </w:r>
      <w:r>
        <w:rPr>
          <w:rFonts w:hint="eastAsia" w:ascii="宋体" w:hAnsi="宋体" w:eastAsia="宋体" w:cs="宋体"/>
          <w:bCs/>
          <w:color w:val="auto"/>
          <w:kern w:val="44"/>
          <w:highlight w:val="none"/>
          <w:lang w:val="en-US" w:eastAsia="zh-CN"/>
        </w:rPr>
        <w:t>：广州安居广汇置业有限公司</w:t>
      </w:r>
    </w:p>
    <w:p w14:paraId="5131DD8E">
      <w:pPr>
        <w:keepNext w:val="0"/>
        <w:keepLines w:val="0"/>
        <w:pageBreakBefore w:val="0"/>
        <w:widowControl/>
        <w:kinsoku/>
        <w:wordWrap/>
        <w:overflowPunct/>
        <w:topLinePunct w:val="0"/>
        <w:autoSpaceDE/>
        <w:autoSpaceDN/>
        <w:bidi w:val="0"/>
        <w:adjustRightInd/>
        <w:snapToGrid/>
        <w:spacing w:line="360" w:lineRule="auto"/>
        <w:ind w:left="568" w:leftChars="236" w:hanging="2" w:hangingChars="1"/>
        <w:textAlignment w:val="auto"/>
        <w:rPr>
          <w:rFonts w:hint="eastAsia" w:ascii="宋体" w:hAnsi="宋体" w:eastAsia="宋体" w:cs="宋体"/>
          <w:bCs/>
          <w:color w:val="auto"/>
          <w:kern w:val="44"/>
          <w:highlight w:val="none"/>
          <w:lang w:val="en-US" w:eastAsia="zh-CN"/>
        </w:rPr>
      </w:pPr>
      <w:r>
        <w:rPr>
          <w:rFonts w:hint="eastAsia" w:ascii="宋体" w:hAnsi="宋体" w:eastAsia="宋体" w:cs="宋体"/>
          <w:bCs/>
          <w:color w:val="auto"/>
          <w:kern w:val="44"/>
          <w:highlight w:val="none"/>
          <w:lang w:val="en-US" w:eastAsia="zh-CN"/>
        </w:rPr>
        <w:t>监理单位：广州市东建工程建设监理有限公司</w:t>
      </w:r>
    </w:p>
    <w:p w14:paraId="3A40CEA3">
      <w:pPr>
        <w:keepNext w:val="0"/>
        <w:keepLines w:val="0"/>
        <w:pageBreakBefore w:val="0"/>
        <w:widowControl/>
        <w:kinsoku/>
        <w:wordWrap/>
        <w:overflowPunct/>
        <w:topLinePunct w:val="0"/>
        <w:autoSpaceDE/>
        <w:autoSpaceDN/>
        <w:bidi w:val="0"/>
        <w:adjustRightInd/>
        <w:snapToGrid/>
        <w:spacing w:line="360" w:lineRule="auto"/>
        <w:ind w:left="568" w:leftChars="236" w:hanging="2" w:hangingChars="1"/>
        <w:textAlignment w:val="auto"/>
        <w:rPr>
          <w:rFonts w:hint="eastAsia" w:ascii="宋体" w:hAnsi="宋体" w:eastAsia="宋体" w:cs="宋体"/>
          <w:bCs/>
          <w:color w:val="auto"/>
          <w:kern w:val="44"/>
          <w:highlight w:val="none"/>
          <w:lang w:val="en-US" w:eastAsia="zh-CN"/>
        </w:rPr>
      </w:pPr>
      <w:r>
        <w:rPr>
          <w:rFonts w:hint="eastAsia" w:ascii="宋体" w:hAnsi="宋体" w:eastAsia="宋体" w:cs="宋体"/>
          <w:bCs/>
          <w:color w:val="auto"/>
          <w:kern w:val="44"/>
          <w:highlight w:val="none"/>
          <w:lang w:val="en-US" w:eastAsia="zh-CN"/>
        </w:rPr>
        <w:t>基坑支护设计施工单位：（主）中建三局集团有限公司、（成）广州珠江外资建筑设计院有限公司</w:t>
      </w:r>
    </w:p>
    <w:p w14:paraId="27D1CB9F">
      <w:pPr>
        <w:pStyle w:val="2"/>
        <w:rPr>
          <w:rFonts w:hint="default" w:ascii="宋体" w:hAnsi="宋体" w:eastAsia="宋体" w:cs="宋体"/>
          <w:bCs/>
          <w:color w:val="auto"/>
          <w:kern w:val="44"/>
          <w:sz w:val="24"/>
          <w:szCs w:val="24"/>
          <w:highlight w:val="yellow"/>
          <w:lang w:val="en-US" w:eastAsia="zh-CN" w:bidi="ar-SA"/>
        </w:rPr>
      </w:pPr>
      <w:r>
        <w:rPr>
          <w:rFonts w:hint="eastAsia" w:ascii="宋体" w:hAnsi="宋体" w:eastAsia="宋体" w:cs="宋体"/>
          <w:bCs/>
          <w:color w:val="auto"/>
          <w:kern w:val="44"/>
          <w:sz w:val="24"/>
          <w:szCs w:val="24"/>
          <w:highlight w:val="yellow"/>
          <w:lang w:val="en-US" w:eastAsia="zh-CN" w:bidi="ar-SA"/>
        </w:rPr>
        <w:t>总承包单位</w:t>
      </w:r>
      <w:r>
        <w:rPr>
          <w:rFonts w:hint="eastAsia" w:ascii="宋体" w:hAnsi="宋体" w:eastAsia="宋体" w:cs="宋体"/>
          <w:bCs/>
          <w:color w:val="auto"/>
          <w:kern w:val="44"/>
          <w:sz w:val="24"/>
          <w:szCs w:val="24"/>
          <w:highlight w:val="yellow"/>
          <w:lang w:val="en-US" w:eastAsia="zh-CN" w:bidi="ar-SA"/>
        </w:rPr>
        <w:t>：中建三局集团有限公司</w:t>
      </w:r>
    </w:p>
    <w:p w14:paraId="77678B94">
      <w:pPr>
        <w:keepNext w:val="0"/>
        <w:keepLines w:val="0"/>
        <w:pageBreakBefore w:val="0"/>
        <w:widowControl/>
        <w:kinsoku/>
        <w:wordWrap/>
        <w:overflowPunct/>
        <w:topLinePunct w:val="0"/>
        <w:autoSpaceDE/>
        <w:autoSpaceDN/>
        <w:bidi w:val="0"/>
        <w:adjustRightInd/>
        <w:snapToGrid/>
        <w:spacing w:line="360" w:lineRule="auto"/>
        <w:ind w:left="568" w:leftChars="236" w:hanging="2" w:hangingChars="1"/>
        <w:textAlignment w:val="auto"/>
        <w:rPr>
          <w:rFonts w:hint="eastAsia" w:ascii="宋体" w:hAnsi="宋体" w:eastAsia="宋体" w:cs="宋体"/>
          <w:bCs/>
          <w:color w:val="auto"/>
          <w:kern w:val="44"/>
          <w:highlight w:val="none"/>
          <w:lang w:val="en-US" w:eastAsia="zh-CN"/>
        </w:rPr>
      </w:pPr>
      <w:r>
        <w:rPr>
          <w:rFonts w:hint="eastAsia" w:ascii="宋体" w:hAnsi="宋体" w:eastAsia="宋体" w:cs="宋体"/>
          <w:bCs/>
          <w:color w:val="auto"/>
          <w:kern w:val="44"/>
          <w:highlight w:val="none"/>
          <w:lang w:val="en-US" w:eastAsia="zh-CN"/>
        </w:rPr>
        <w:t>工程设计单位：中恒建筑设计院（广州）有限公司</w:t>
      </w:r>
    </w:p>
    <w:p w14:paraId="15FE66E5">
      <w:pPr>
        <w:keepNext w:val="0"/>
        <w:keepLines w:val="0"/>
        <w:pageBreakBefore w:val="0"/>
        <w:widowControl/>
        <w:kinsoku/>
        <w:wordWrap/>
        <w:overflowPunct/>
        <w:topLinePunct w:val="0"/>
        <w:autoSpaceDE/>
        <w:autoSpaceDN/>
        <w:bidi w:val="0"/>
        <w:adjustRightInd/>
        <w:snapToGrid/>
        <w:spacing w:line="360" w:lineRule="auto"/>
        <w:ind w:left="568" w:leftChars="236" w:hanging="2" w:hangingChars="1"/>
        <w:textAlignment w:val="auto"/>
        <w:rPr>
          <w:rFonts w:hint="eastAsia" w:ascii="宋体" w:hAnsi="宋体" w:eastAsia="宋体" w:cs="宋体"/>
          <w:bCs/>
          <w:color w:val="auto"/>
          <w:kern w:val="44"/>
          <w:highlight w:val="none"/>
          <w:lang w:val="en-US" w:eastAsia="zh-CN"/>
        </w:rPr>
      </w:pPr>
      <w:r>
        <w:rPr>
          <w:rFonts w:hint="eastAsia" w:ascii="宋体" w:hAnsi="宋体" w:eastAsia="宋体" w:cs="宋体"/>
          <w:bCs/>
          <w:color w:val="auto"/>
          <w:kern w:val="44"/>
          <w:highlight w:val="none"/>
          <w:lang w:val="en-US" w:eastAsia="zh-CN"/>
        </w:rPr>
        <w:t>勘察单位：广东省建筑设计研究院集团股份有限公司</w:t>
      </w:r>
    </w:p>
    <w:bookmarkEnd w:id="22"/>
    <w:bookmarkEnd w:id="23"/>
    <w:p w14:paraId="09E675CE">
      <w:pPr>
        <w:pStyle w:val="4"/>
        <w:widowControl/>
        <w:numPr>
          <w:ilvl w:val="0"/>
          <w:numId w:val="3"/>
        </w:numPr>
        <w:spacing w:before="120" w:after="120" w:line="240" w:lineRule="auto"/>
        <w:ind w:left="0" w:firstLine="0" w:firstLineChars="0"/>
        <w:rPr>
          <w:bCs/>
          <w:color w:val="auto"/>
          <w:highlight w:val="none"/>
        </w:rPr>
      </w:pPr>
      <w:bookmarkStart w:id="24" w:name="_Toc27465"/>
      <w:r>
        <w:rPr>
          <w:rFonts w:hint="eastAsia"/>
          <w:color w:val="auto"/>
          <w:highlight w:val="none"/>
          <w:lang w:val="en-US" w:eastAsia="zh-CN"/>
        </w:rPr>
        <w:t>招标范围</w:t>
      </w:r>
      <w:bookmarkEnd w:id="24"/>
      <w:r>
        <w:rPr>
          <w:color w:val="auto"/>
          <w:highlight w:val="none"/>
        </w:rPr>
        <w:t xml:space="preserve"> </w:t>
      </w:r>
    </w:p>
    <w:p w14:paraId="39E6B9CA">
      <w:pPr>
        <w:pStyle w:val="13"/>
        <w:spacing w:before="101" w:line="299" w:lineRule="auto"/>
        <w:ind w:left="22" w:right="482" w:firstLine="488"/>
        <w:jc w:val="both"/>
        <w:outlineLvl w:val="2"/>
        <w:rPr>
          <w:rFonts w:hint="default" w:ascii="宋体" w:hAnsi="宋体" w:eastAsia="宋体" w:cs="宋体"/>
          <w:color w:val="auto"/>
          <w:spacing w:val="3"/>
          <w:sz w:val="24"/>
          <w:szCs w:val="24"/>
          <w:highlight w:val="none"/>
          <w:lang w:val="en-US" w:eastAsia="zh-CN"/>
        </w:rPr>
      </w:pPr>
      <w:bookmarkStart w:id="25" w:name="_Toc153907547"/>
      <w:r>
        <w:rPr>
          <w:rFonts w:hint="eastAsia" w:ascii="宋体" w:hAnsi="宋体" w:eastAsia="宋体" w:cs="宋体"/>
          <w:color w:val="auto"/>
          <w:spacing w:val="3"/>
          <w:sz w:val="24"/>
          <w:szCs w:val="24"/>
          <w:highlight w:val="none"/>
          <w:lang w:val="en-US" w:eastAsia="zh-CN"/>
        </w:rPr>
        <w:t>1.2.1本次工程招标范围为项目</w:t>
      </w:r>
      <w:r>
        <w:rPr>
          <w:rFonts w:hint="eastAsia" w:ascii="宋体" w:hAnsi="宋体" w:eastAsia="宋体" w:cs="宋体"/>
          <w:color w:val="auto"/>
          <w:spacing w:val="3"/>
          <w:sz w:val="24"/>
          <w:szCs w:val="24"/>
          <w:highlight w:val="yellow"/>
          <w:lang w:val="en-US" w:eastAsia="zh-CN"/>
        </w:rPr>
        <w:t>1#-5#楼（1#-4#楼为住宅、5#楼为地上停车楼）</w:t>
      </w:r>
      <w:r>
        <w:rPr>
          <w:rFonts w:hint="eastAsia" w:ascii="宋体" w:hAnsi="宋体" w:eastAsia="宋体" w:cs="宋体"/>
          <w:color w:val="auto"/>
          <w:spacing w:val="3"/>
          <w:sz w:val="24"/>
          <w:szCs w:val="24"/>
          <w:highlight w:val="none"/>
          <w:lang w:val="en-US" w:eastAsia="zh-CN"/>
        </w:rPr>
        <w:t>精装修工程（具体以</w:t>
      </w:r>
      <w:r>
        <w:rPr>
          <w:rFonts w:hint="eastAsia" w:ascii="宋体" w:hAnsi="宋体" w:eastAsia="宋体" w:cs="宋体"/>
          <w:color w:val="auto"/>
          <w:spacing w:val="3"/>
          <w:sz w:val="24"/>
          <w:szCs w:val="24"/>
          <w:highlight w:val="none"/>
          <w:lang w:val="en-US" w:eastAsia="zh-CN"/>
        </w:rPr>
        <w:t>施工图纸</w:t>
      </w:r>
      <w:r>
        <w:rPr>
          <w:rFonts w:hint="eastAsia" w:ascii="宋体" w:hAnsi="宋体" w:eastAsia="宋体" w:cs="宋体"/>
          <w:color w:val="auto"/>
          <w:spacing w:val="3"/>
          <w:sz w:val="24"/>
          <w:szCs w:val="24"/>
          <w:highlight w:val="none"/>
          <w:lang w:val="en-US" w:eastAsia="zh-CN"/>
        </w:rPr>
        <w:t>及清单范围为准）。</w:t>
      </w:r>
    </w:p>
    <w:p w14:paraId="63ACA884">
      <w:pPr>
        <w:pStyle w:val="13"/>
        <w:spacing w:before="101" w:line="299" w:lineRule="auto"/>
        <w:ind w:left="22" w:right="482" w:firstLine="488"/>
        <w:jc w:val="both"/>
        <w:outlineLvl w:val="2"/>
        <w:rPr>
          <w:rFonts w:hint="eastAsia" w:ascii="宋体" w:hAnsi="宋体" w:eastAsia="宋体" w:cs="宋体"/>
          <w:color w:val="auto"/>
          <w:spacing w:val="3"/>
          <w:sz w:val="24"/>
          <w:szCs w:val="24"/>
          <w:highlight w:val="none"/>
          <w:lang w:val="en-US" w:eastAsia="zh-CN"/>
        </w:rPr>
      </w:pPr>
      <w:r>
        <w:rPr>
          <w:rFonts w:hint="eastAsia" w:ascii="宋体" w:hAnsi="宋体" w:eastAsia="宋体" w:cs="宋体"/>
          <w:color w:val="auto"/>
          <w:spacing w:val="3"/>
          <w:sz w:val="24"/>
          <w:szCs w:val="24"/>
          <w:highlight w:val="none"/>
          <w:lang w:val="en-US" w:eastAsia="zh-CN"/>
        </w:rPr>
        <w:t>1.2.2本次工程招标范围内精装修工程部分工程内容需在项目竣工验收后对</w:t>
      </w:r>
      <w:r>
        <w:rPr>
          <w:rFonts w:hint="eastAsia" w:cs="宋体"/>
          <w:color w:val="auto"/>
          <w:spacing w:val="3"/>
          <w:sz w:val="24"/>
          <w:szCs w:val="24"/>
          <w:highlight w:val="none"/>
          <w:lang w:val="en-US" w:eastAsia="zh-CN"/>
        </w:rPr>
        <w:t>根据项目交付图纸</w:t>
      </w:r>
      <w:r>
        <w:rPr>
          <w:rFonts w:hint="eastAsia" w:ascii="宋体" w:hAnsi="宋体" w:eastAsia="宋体" w:cs="宋体"/>
          <w:color w:val="auto"/>
          <w:spacing w:val="3"/>
          <w:sz w:val="24"/>
          <w:szCs w:val="24"/>
          <w:highlight w:val="none"/>
          <w:lang w:val="en-US" w:eastAsia="zh-CN"/>
        </w:rPr>
        <w:t>进行二次改造（具体以后续施工图纸及清单范围为准）。</w:t>
      </w:r>
    </w:p>
    <w:p w14:paraId="6566867A">
      <w:pPr>
        <w:pStyle w:val="4"/>
        <w:widowControl/>
        <w:numPr>
          <w:ilvl w:val="0"/>
          <w:numId w:val="3"/>
        </w:numPr>
        <w:spacing w:before="120" w:after="120" w:line="240" w:lineRule="auto"/>
        <w:ind w:left="0" w:firstLine="0" w:firstLineChars="0"/>
        <w:rPr>
          <w:rFonts w:hint="eastAsia" w:ascii="Times New Roman" w:hAnsi="Times New Roman"/>
          <w:color w:val="auto"/>
          <w:highlight w:val="none"/>
          <w:lang w:val="en-US" w:eastAsia="zh-CN"/>
        </w:rPr>
      </w:pPr>
      <w:bookmarkStart w:id="26" w:name="_Toc10437"/>
      <w:bookmarkStart w:id="27" w:name="_Toc13164"/>
      <w:bookmarkStart w:id="28" w:name="_Toc169722188"/>
      <w:bookmarkStart w:id="29" w:name="_Toc22348"/>
      <w:bookmarkStart w:id="30" w:name="_Toc488931139"/>
      <w:bookmarkStart w:id="31" w:name="_Toc20778"/>
      <w:bookmarkStart w:id="32" w:name="_Toc594"/>
      <w:r>
        <w:rPr>
          <w:rFonts w:hint="eastAsia" w:ascii="Times New Roman" w:hAnsi="Times New Roman"/>
          <w:color w:val="auto"/>
          <w:highlight w:val="none"/>
          <w:lang w:val="en-US" w:eastAsia="zh-CN"/>
        </w:rPr>
        <w:t>示范区、样板房情况</w:t>
      </w:r>
      <w:bookmarkEnd w:id="26"/>
      <w:bookmarkEnd w:id="27"/>
      <w:bookmarkEnd w:id="28"/>
      <w:bookmarkEnd w:id="29"/>
      <w:bookmarkEnd w:id="30"/>
      <w:bookmarkEnd w:id="31"/>
      <w:bookmarkEnd w:id="32"/>
    </w:p>
    <w:p w14:paraId="2B548D32">
      <w:pPr>
        <w:pStyle w:val="13"/>
        <w:spacing w:before="101" w:line="299" w:lineRule="auto"/>
        <w:ind w:left="22" w:right="482" w:firstLine="488"/>
        <w:jc w:val="both"/>
        <w:outlineLvl w:val="2"/>
        <w:rPr>
          <w:rFonts w:hint="eastAsia" w:ascii="宋体" w:hAnsi="宋体" w:eastAsia="宋体" w:cs="宋体"/>
          <w:color w:val="auto"/>
          <w:spacing w:val="3"/>
          <w:sz w:val="24"/>
          <w:szCs w:val="24"/>
          <w:highlight w:val="none"/>
          <w:lang w:val="en-US" w:eastAsia="zh-CN"/>
        </w:rPr>
      </w:pPr>
      <w:r>
        <w:rPr>
          <w:rFonts w:hint="eastAsia" w:ascii="宋体" w:hAnsi="宋体" w:eastAsia="宋体" w:cs="宋体"/>
          <w:color w:val="auto"/>
          <w:spacing w:val="3"/>
          <w:sz w:val="24"/>
          <w:szCs w:val="24"/>
          <w:highlight w:val="none"/>
          <w:lang w:val="en-US" w:eastAsia="zh-CN"/>
        </w:rPr>
        <w:t>1.3.1承包单位需根据项目示范区策划、实施情况配合完善项目实体样板房展示，示范区实施</w:t>
      </w:r>
      <w:r>
        <w:rPr>
          <w:rFonts w:hint="eastAsia" w:cs="宋体"/>
          <w:color w:val="auto"/>
          <w:spacing w:val="3"/>
          <w:sz w:val="24"/>
          <w:szCs w:val="24"/>
          <w:highlight w:val="none"/>
          <w:lang w:val="en-US" w:eastAsia="zh-CN"/>
        </w:rPr>
        <w:t>的</w:t>
      </w:r>
      <w:r>
        <w:rPr>
          <w:rFonts w:hint="eastAsia" w:ascii="宋体" w:hAnsi="宋体" w:eastAsia="宋体" w:cs="宋体"/>
          <w:color w:val="auto"/>
          <w:spacing w:val="3"/>
          <w:sz w:val="24"/>
          <w:szCs w:val="24"/>
          <w:highlight w:val="none"/>
          <w:lang w:val="en-US" w:eastAsia="zh-CN"/>
        </w:rPr>
        <w:t>最终位置在项目示范区、样板房实施过程中根据发包</w:t>
      </w:r>
      <w:r>
        <w:rPr>
          <w:rFonts w:hint="eastAsia" w:cs="宋体"/>
          <w:color w:val="auto"/>
          <w:spacing w:val="3"/>
          <w:sz w:val="24"/>
          <w:szCs w:val="24"/>
          <w:highlight w:val="none"/>
          <w:lang w:val="en-US" w:eastAsia="zh-CN"/>
        </w:rPr>
        <w:t>人</w:t>
      </w:r>
      <w:r>
        <w:rPr>
          <w:rFonts w:hint="eastAsia" w:ascii="宋体" w:hAnsi="宋体" w:eastAsia="宋体" w:cs="宋体"/>
          <w:color w:val="auto"/>
          <w:spacing w:val="3"/>
          <w:sz w:val="24"/>
          <w:szCs w:val="24"/>
          <w:highlight w:val="none"/>
          <w:lang w:val="en-US" w:eastAsia="zh-CN"/>
        </w:rPr>
        <w:t>具体要求确认，承包人应做好实体样板展示的深化设计、施工、协调配合及运营等工作，所有的费用包含在投标报价内。</w:t>
      </w:r>
    </w:p>
    <w:p w14:paraId="1614E419">
      <w:pPr>
        <w:pStyle w:val="13"/>
        <w:spacing w:before="101" w:line="299" w:lineRule="auto"/>
        <w:ind w:left="22" w:right="482" w:firstLine="488"/>
        <w:jc w:val="both"/>
        <w:outlineLvl w:val="2"/>
        <w:rPr>
          <w:rFonts w:hint="default" w:ascii="Arial"/>
          <w:color w:val="auto"/>
          <w:sz w:val="21"/>
          <w:highlight w:val="none"/>
          <w:lang w:val="en-US"/>
        </w:rPr>
      </w:pPr>
      <w:r>
        <w:rPr>
          <w:rFonts w:hint="eastAsia" w:ascii="宋体" w:hAnsi="宋体" w:eastAsia="宋体" w:cs="宋体"/>
          <w:color w:val="auto"/>
          <w:spacing w:val="3"/>
          <w:sz w:val="24"/>
          <w:szCs w:val="24"/>
          <w:highlight w:val="none"/>
          <w:lang w:val="en-US" w:eastAsia="zh-CN"/>
        </w:rPr>
        <w:t>1.3.2</w:t>
      </w:r>
      <w:r>
        <w:rPr>
          <w:rFonts w:hint="eastAsia" w:cs="宋体"/>
          <w:color w:val="auto"/>
          <w:spacing w:val="3"/>
          <w:sz w:val="24"/>
          <w:szCs w:val="24"/>
          <w:highlight w:val="none"/>
          <w:lang w:val="en-US" w:eastAsia="zh-CN"/>
        </w:rPr>
        <w:t>项目精装修工程户内</w:t>
      </w:r>
      <w:r>
        <w:rPr>
          <w:rFonts w:hint="eastAsia" w:ascii="宋体" w:hAnsi="宋体" w:eastAsia="宋体" w:cs="宋体"/>
          <w:color w:val="auto"/>
          <w:spacing w:val="3"/>
          <w:sz w:val="24"/>
          <w:szCs w:val="24"/>
          <w:highlight w:val="none"/>
          <w:lang w:val="en-US" w:eastAsia="zh-CN"/>
        </w:rPr>
        <w:t>各户型</w:t>
      </w:r>
      <w:r>
        <w:rPr>
          <w:rFonts w:hint="eastAsia" w:cs="宋体"/>
          <w:color w:val="auto"/>
          <w:spacing w:val="3"/>
          <w:sz w:val="24"/>
          <w:szCs w:val="24"/>
          <w:highlight w:val="none"/>
          <w:lang w:val="en-US" w:eastAsia="zh-CN"/>
        </w:rPr>
        <w:t>、公区、大堂(大堂及拓展区)</w:t>
      </w:r>
      <w:r>
        <w:rPr>
          <w:rFonts w:hint="eastAsia" w:ascii="宋体" w:hAnsi="宋体" w:eastAsia="宋体" w:cs="宋体"/>
          <w:color w:val="auto"/>
          <w:spacing w:val="3"/>
          <w:sz w:val="24"/>
          <w:szCs w:val="24"/>
          <w:highlight w:val="none"/>
          <w:lang w:val="en-US" w:eastAsia="zh-CN"/>
        </w:rPr>
        <w:t>需提前施工实体样板间</w:t>
      </w:r>
      <w:r>
        <w:rPr>
          <w:rFonts w:hint="eastAsia" w:cs="宋体"/>
          <w:color w:val="auto"/>
          <w:spacing w:val="3"/>
          <w:sz w:val="24"/>
          <w:szCs w:val="24"/>
          <w:highlight w:val="none"/>
          <w:lang w:val="en-US" w:eastAsia="zh-CN"/>
        </w:rPr>
        <w:t>、样板层</w:t>
      </w:r>
      <w:r>
        <w:rPr>
          <w:rFonts w:hint="eastAsia" w:ascii="宋体" w:hAnsi="宋体" w:eastAsia="宋体" w:cs="宋体"/>
          <w:color w:val="auto"/>
          <w:spacing w:val="3"/>
          <w:sz w:val="24"/>
          <w:szCs w:val="24"/>
          <w:highlight w:val="none"/>
          <w:lang w:val="en-US" w:eastAsia="zh-CN"/>
        </w:rPr>
        <w:t>（含交付样板、工艺样板、成品保护样板等）</w:t>
      </w:r>
      <w:r>
        <w:rPr>
          <w:rFonts w:hint="eastAsia" w:cs="宋体"/>
          <w:color w:val="auto"/>
          <w:spacing w:val="3"/>
          <w:sz w:val="24"/>
          <w:szCs w:val="24"/>
          <w:highlight w:val="none"/>
          <w:lang w:val="en-US" w:eastAsia="zh-CN"/>
        </w:rPr>
        <w:t>，承包人须按照发包人关于样板间的方案设计和时间节点要求，统筹组织专业工程施工单位完成样板间装修。发包人有权根据实际情况调整样板间的装修方案及设计文件，承包人须无条件执行并完成相关做法调整(不限次数),直至按发包人确认的方案及设计文件完成样板间装修，相关费用已综合考虑在投标 报价中，不另行计价及支付。</w:t>
      </w:r>
    </w:p>
    <w:bookmarkEnd w:id="25"/>
    <w:p w14:paraId="2D79BA19">
      <w:pPr>
        <w:pStyle w:val="4"/>
        <w:widowControl/>
        <w:numPr>
          <w:ilvl w:val="0"/>
          <w:numId w:val="3"/>
        </w:numPr>
        <w:spacing w:before="120" w:after="120" w:line="240" w:lineRule="auto"/>
        <w:ind w:left="0" w:firstLine="0" w:firstLineChars="0"/>
        <w:rPr>
          <w:color w:val="auto"/>
          <w:highlight w:val="none"/>
        </w:rPr>
      </w:pPr>
      <w:bookmarkStart w:id="33" w:name="_Toc153907548"/>
      <w:bookmarkStart w:id="34" w:name="_Toc956"/>
      <w:r>
        <w:rPr>
          <w:rFonts w:hint="eastAsia"/>
          <w:color w:val="auto"/>
          <w:highlight w:val="none"/>
        </w:rPr>
        <w:t>工程</w:t>
      </w:r>
      <w:bookmarkEnd w:id="33"/>
      <w:r>
        <w:rPr>
          <w:rFonts w:hint="eastAsia"/>
          <w:color w:val="auto"/>
          <w:highlight w:val="none"/>
          <w:lang w:val="en-US" w:eastAsia="zh-CN"/>
        </w:rPr>
        <w:t>重难点及管理要求</w:t>
      </w:r>
      <w:bookmarkEnd w:id="34"/>
    </w:p>
    <w:p w14:paraId="35C9B78F">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1.4.1项目现有出入口及临时道路设置在规划市政道路上，承包商需充分考虑后续北侧市政规划道路施工对项目工程建设的的影响，不限于因修建市政道路导致现场无进出施工道路影响材料、机械设备进出等。以上相关工作承包商投标报价须在开办费用综合考虑，后期不予进行费用调整且不得因此影响工程进度。</w:t>
      </w:r>
    </w:p>
    <w:p w14:paraId="203E5736">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1.4.2各楼栋后续施工电梯均为室外双笼电梯，现阶段考虑施工电梯不下地下室，且每栋楼仅布置了1台施工电梯，材料运输及垂直运输运力紧张，需主要考虑夜间进行材料运输，确保正常施工需要，同时，楼层内材料运输对室内精装施工影响较大；因施工电梯无法下地下室，结合室外回填、室内正式电梯启用及地下室地坪的施工计划，材料堆场需配合完成多次转换，以上实际情况投标时需综合考虑报价；</w:t>
      </w:r>
    </w:p>
    <w:p w14:paraId="45F26D6D">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1.4.3本项目项目北侧位于广南联络线高铁保护范围，东侧位于110KV、220KV高压线保护范围。专业承包人需充分广铁保护、高压线保护对精装修施工运输、材料堆场造成的影响，由此产生的措施费用在报价中综合考虑。</w:t>
      </w:r>
    </w:p>
    <w:p w14:paraId="67D92B40">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1.4.4平立面、楼面穿插，成品保护难度大</w:t>
      </w:r>
    </w:p>
    <w:p w14:paraId="729B3872">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本项目住宅均为精装交付，在精装竣备精装交付的前提下，项目拟采取 N-20 穿插体系（即结构完成至 20 层时标准层精装穿插施工），施工质量控制难度大，成品不易保护。本工程竣工图纸和交付图存在部分差别，项目存在竣工验收后的二次改造工程，承包人需要提前考虑竣工验收前后因二次改造工程对精装修施工造成的影响，尤其是二次改造部分的施工及二次改造的施工动线、二次改造区域及二次改造影响区域的成品保护难度大，承包人在投标报价时需充分考虑，并做好现场二次改造施工策划及组织施工工作，后期不予因二次改造工程造成的成品保护费增加进行费用调整且不得因此影响工程进度。</w:t>
      </w:r>
    </w:p>
    <w:p w14:paraId="0A471E08">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1.4.5项目质量、进度、安全要求高</w:t>
      </w:r>
    </w:p>
    <w:p w14:paraId="2B028C70">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default"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本项目精装修工程后续将根据第三方评估方案进行项目过程检、交付检，项目过程检、交付检目标较高，对项目进度、质量和安全文明的要求较高，项目精装修过程中需针对项目高质量、高要求落实专项策划并组织实施。项目为销售型保障性住房项目，且为项目现房销售，承包人在项目中标后需全过程落实项目高品质质量管理的相关要求，位需充分考虑达到目标所采取的措施。</w:t>
      </w:r>
    </w:p>
    <w:p w14:paraId="302A78D2">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承包人应遵循发包人聘请的第三方评估标准，过程评估及交付评估体系以现行公布为准，不高于国家级奖项创优执行标，评估标准详见附件【附件B-2】项目第三方评估方案。</w:t>
      </w:r>
    </w:p>
    <w:p w14:paraId="720FF93C">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1.4.6精装修进场后按照合同约定时间完成图纸深化及样板封样工作，同时批 量施工前需要完成工艺工法样板间和交付样板间验收合格后方可进行大面积施工。</w:t>
      </w:r>
    </w:p>
    <w:p w14:paraId="119D0CEE">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1.4.7承包人进场后需要对移交工作面认真检查，对有问题的部分在交接单中注明，如未注明的后续整改将由承包人负责。</w:t>
      </w:r>
    </w:p>
    <w:p w14:paraId="796C52C3">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default"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1.4.8为提高交付品质承包人须按发包人要求对装修范围内的各房间、厨房、卫生间、阳台等精装修区域的交付品质进行提升，如户内增加设备标识等内容承包商投标报价时需综合考虑，后期不予进行费用调整。</w:t>
      </w:r>
    </w:p>
    <w:p w14:paraId="52A5B48A">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1.4.9门窗洞口按照设计图纸、规范要求工作面移交后，专业承包人未在交接单中注明存在的问题导致后续门窗安装后存在门窗无法正常开启的现象，由专业承包人负责对洞口周边进行剔除维修整改并承担该部分费用。</w:t>
      </w:r>
    </w:p>
    <w:p w14:paraId="6D57B350">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1.4.10公区电梯前室顶棚预留点位与精装设计点位若有偏差，需顶棚开槽变更点位，此部分费用请考虑到投标报价中。</w:t>
      </w:r>
    </w:p>
    <w:p w14:paraId="14F6B09F">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1.4.11干挂施工工艺墙面龙骨由施工单位结合现场情况进行深化（大堂墙面及 公区一层暗门），并经由发包人设计、项目部同意后方可施工，并保证施工质量，此部分产生的相关费用需在投标报价中考虑。</w:t>
      </w:r>
    </w:p>
    <w:p w14:paraId="4E0E334F">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1.4.12吊顶内反支撑由施工单位结合现场情况进行深化，并经由发包人设计、发包人项目部同意后方可施工，并保证施工质量。</w:t>
      </w:r>
    </w:p>
    <w:p w14:paraId="4F92223D">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1.4.13精装修施工图纸深化、优化、相关补充设计工作及木门、固定柜下单前的 配合量尺、提供尺寸数据及复核等。</w:t>
      </w:r>
    </w:p>
    <w:p w14:paraId="28F93030">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1.4.14成品保护需严格按照成品保护要求进行，如有破损需要及时修复，所有保护均需保留至开荒保洁，以上所有成品保护均需打样并经由发包人项目部同意后方可大面积施工。</w:t>
      </w:r>
    </w:p>
    <w:p w14:paraId="12602273">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1.4.15承包商投标前对现场进行踏勘充分了解顶棚和墙体开裂，结构墙与砌筑墙体交接位置需满做绷带抗开裂加强处理，且叠合板后浇带处两侧需设置 200mm 宽高强网格布，此部分由精装单位在大白施工前处理完成。</w:t>
      </w:r>
    </w:p>
    <w:p w14:paraId="7E7EBF13">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1.4.16淋浴区需要设置止水钢板(要求 3mm厚热镀锌钢板)，高度不能低于卫生间 地面成活标高（高出干区地面高度*10-15*mm），两侧需要入墙固定（入墙 20mm）。</w:t>
      </w:r>
    </w:p>
    <w:p w14:paraId="4A02EFE2">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1.4.17精装修施工前将卫生间及厨房的排水管进行统一移交（尺寸统一并在允许偏差内），移交后如排水尺寸出现偏差导致坐便安装不符合交付检查要求， 此部分的施工由精装修负责；总包移交后全部室内排水管线均由精装修单位负责 维护，如发生堵塞，此部分相关排堵工作由精装修单位自行负责，产生的相关费用由精装修单位自行考虑、承担。</w:t>
      </w:r>
    </w:p>
    <w:p w14:paraId="499F4741">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1.4.18所有乙供材料需要满足国家规范、满足合同要求、满足公司要求、满足图纸要求，如未按要求供应产生的一切损失由施工单位承担，技术要求中有推荐品 牌要求，请详细阅读，在进场前需对涉及的所有材料进行送样封存，所有乙供材的检测及相关要求（含费用）均由精装修单位进行负责。</w:t>
      </w:r>
    </w:p>
    <w:p w14:paraId="2CA54A08">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1.4.19精装修施工期间，因未关窗造成的雨水浸泡等产生的一切损失，由精装修 单位全部承担并负责整改。</w:t>
      </w:r>
    </w:p>
    <w:p w14:paraId="5519F1D3">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1.4.20精装材料的送检及性能要求需满足第三方检要求。</w:t>
      </w:r>
    </w:p>
    <w:p w14:paraId="6EF7F521">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1.4.21负责因精装设计引起的调整，含外呼预留洞口的开洞及原预留洞口的封 堵。</w:t>
      </w:r>
    </w:p>
    <w:p w14:paraId="52D9759C">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1.4.22精装施工保洁要求严格按照相关要求，需综合考虑项目过程检及其他三方检查中必要的保洁配合工作，请自行在投标报价中综合考虑。精装修楼栋范围内的户内及公区装修保洁由精装承包人负责实施。须达到移交后直接使用的要求，包含多次初开荒（满足各类检查及验收要求）及不少于2次开荒保洁，初开荒为过程检前、政府检查及竣工验收前、内部验房前，包括但不限于室内天花、墙面、地面、门窗、柜体等清洁，达到查验销项条件，且有木地板、房间初保洁标准需达到精保洁要求，避免破坏墙面、地面成品，承包人投标时，综合考虑此费用;一次开荒保洁为交付评估前，二次开荒保洁为交付给小业主前，二次开荒保洁都必须达到交付标准，均包含在合同总价中。开荒保洁标准详见【附件B-8】开荒保洁要求。</w:t>
      </w:r>
    </w:p>
    <w:p w14:paraId="396CE9B6">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1.4.23由于天然石材颜色、纹理有变化，为保证同一空间，同一平面所安装的 板材颜色，纹路基本一致，达到良好的装饰效果，除荒料锯切大板之前进行荒料 规划外，从每一块荒料上所切出的大板中，挑出代表性的大板按颜色渐变的顺序排列，分色，并用文字标明</w:t>
      </w:r>
      <w:r>
        <w:rPr>
          <w:rFonts w:hint="eastAsia" w:ascii="宋体" w:hAnsi="宋体" w:eastAsia="宋体" w:cs="宋体"/>
          <w:color w:val="auto"/>
          <w:highlight w:val="none"/>
          <w:lang w:val="en-US" w:eastAsia="zh-CN"/>
        </w:rPr>
        <w:fldChar w:fldCharType="begin"/>
      </w:r>
      <w:r>
        <w:rPr>
          <w:rFonts w:hint="eastAsia" w:ascii="宋体" w:hAnsi="宋体" w:eastAsia="宋体" w:cs="宋体"/>
          <w:color w:val="auto"/>
          <w:highlight w:val="none"/>
          <w:lang w:val="en-US" w:eastAsia="zh-CN"/>
        </w:rPr>
        <w:instrText xml:space="preserve"> HYPERLINK "http://china.stonebtb.com/industry/content.aspx?id=11784" </w:instrText>
      </w:r>
      <w:r>
        <w:rPr>
          <w:rFonts w:hint="eastAsia" w:ascii="宋体" w:hAnsi="宋体" w:eastAsia="宋体" w:cs="宋体"/>
          <w:color w:val="auto"/>
          <w:highlight w:val="none"/>
          <w:lang w:val="en-US" w:eastAsia="zh-CN"/>
        </w:rPr>
        <w:fldChar w:fldCharType="separate"/>
      </w:r>
      <w:r>
        <w:rPr>
          <w:rFonts w:hint="eastAsia" w:ascii="宋体" w:hAnsi="宋体" w:eastAsia="宋体" w:cs="宋体"/>
          <w:color w:val="auto"/>
          <w:highlight w:val="none"/>
          <w:lang w:val="en-US" w:eastAsia="zh-CN"/>
        </w:rPr>
        <w:t>荒料</w:t>
      </w:r>
      <w:r>
        <w:rPr>
          <w:rFonts w:hint="eastAsia" w:ascii="宋体" w:hAnsi="宋体" w:eastAsia="宋体" w:cs="宋体"/>
          <w:color w:val="auto"/>
          <w:highlight w:val="none"/>
          <w:lang w:val="en-US" w:eastAsia="zh-CN"/>
        </w:rPr>
        <w:fldChar w:fldCharType="end"/>
      </w:r>
      <w:r>
        <w:rPr>
          <w:rFonts w:hint="eastAsia" w:ascii="宋体" w:hAnsi="宋体" w:eastAsia="宋体" w:cs="宋体"/>
          <w:color w:val="auto"/>
          <w:highlight w:val="none"/>
          <w:lang w:val="en-US" w:eastAsia="zh-CN"/>
        </w:rPr>
        <w:t>号，颜色的深浅，用浓、中、浅区分。当石材的颜色分类很多时，则用 A1、A2、A3……区分，进一步调整规划用料，确保同一空间、同一平面所安装的板材颜色、纹路基本一致，必要时大板抛光采用正反抛光 保证纹理效果；</w:t>
      </w:r>
    </w:p>
    <w:p w14:paraId="02DFEB8F">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当加工所要选取的石材颜色，纹路差异较大，石材的表面还存在其它缺陷时， 则需对石材分割进行取板，在石材的板面上用铅笔标示出分界切割线。取板后， 用图将板面尺寸及编号分布情况画出。工艺人员或取板人员用文字和图的形式表示所取得板用于加工工程中的哪个部位。按规划锯切出来的板材在磨边和异型加工前仍然要排板，重分色。并标示出磨边方向以免磨边和异型加工时弄混已调整好的颜色及纹路。</w:t>
      </w:r>
    </w:p>
    <w:p w14:paraId="3B306967">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1.4.24现场石材及瓷砖不允许设置加工厂，均需异地加工。</w:t>
      </w:r>
    </w:p>
    <w:p w14:paraId="44874FC6">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1.4.25充分考虑现场与非现场的材料、设备的储备、运输,可能会因为道路或者场地的变化产生多次倒运，无论倒运次数多少，距离长短，所产生的费用均含在投标报价中。因现场运输问题，进不去施工现场时，统一卸货至工地大门或者场外设置临时堆场，后续转运至场地内。</w:t>
      </w:r>
    </w:p>
    <w:p w14:paraId="7507C645">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1.4.26所有户内、公区总承包单位工作面移交后，精装修单位负责看管及维护、使用，时间截止到交付。</w:t>
      </w:r>
    </w:p>
    <w:p w14:paraId="2E8C4595">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1.4.27同相关专业施工单位配合，进行各专业同装修相关的整合设计工作，进行前期与土建移交时作业面的质量数据测量、整理。</w:t>
      </w:r>
    </w:p>
    <w:p w14:paraId="37CD459E">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1.4.28施工单位在与总承包移交基础线（一米线、轴线、洞口尺寸等）后需要逐层复合，确认无误后方可进行施工，若因复核不到位产生的后续问题由精装单位负责。</w:t>
      </w:r>
    </w:p>
    <w:p w14:paraId="1992E6FC">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1.4.29投标文件中的检查标准在施工过程中有可能会发生变化，在投标报价时充分考虑其变化带来的成本变化，部分检查标准高于国家标准要求的，精装单位需 充分考虑此部分高标准可能产生的费用，后期不再给与增加费用。</w:t>
      </w:r>
    </w:p>
    <w:p w14:paraId="0B3CAA61">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1.4.30专业承包人负责对整个精装修施工区域的安保措施，包括安保设备（锁具、人员、监控、探测器等手段）。每个楼栋需安排人24小时值守并负责保管该栋楼的入户门钥匙，如有人员需要施工需积极配合入户门的开启及关闭。对于接收后的甲供材（如有），如有丢失，由专业承包人承担损失，并立即进行下单补货，不能耽误现场施工进展。</w:t>
      </w:r>
    </w:p>
    <w:p w14:paraId="009E20AC">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bookmarkStart w:id="35" w:name="_Hlk150192367"/>
      <w:r>
        <w:rPr>
          <w:rFonts w:hint="eastAsia" w:ascii="宋体" w:hAnsi="宋体" w:eastAsia="宋体" w:cs="宋体"/>
          <w:color w:val="auto"/>
          <w:highlight w:val="none"/>
          <w:lang w:val="en-US" w:eastAsia="zh-CN"/>
        </w:rPr>
        <w:t>1.4.3</w:t>
      </w:r>
      <w:r>
        <w:rPr>
          <w:rFonts w:hint="eastAsia" w:cs="宋体"/>
          <w:color w:val="auto"/>
          <w:highlight w:val="none"/>
          <w:lang w:val="en-US" w:eastAsia="zh-CN"/>
        </w:rPr>
        <w:t>1</w:t>
      </w:r>
      <w:r>
        <w:rPr>
          <w:rFonts w:hint="eastAsia" w:ascii="宋体" w:hAnsi="宋体" w:eastAsia="宋体" w:cs="宋体"/>
          <w:color w:val="auto"/>
          <w:highlight w:val="none"/>
          <w:lang w:val="en-US" w:eastAsia="zh-CN"/>
        </w:rPr>
        <w:t>工作面移交后楼栋及楼层内垃圾由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负责管理，精装修垃圾运至总承包人指定垃圾堆放点；在全面户内精装修阶段，由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督促其他</w:t>
      </w:r>
      <w:r>
        <w:rPr>
          <w:rFonts w:hint="eastAsia" w:cs="宋体"/>
          <w:color w:val="auto"/>
          <w:highlight w:val="none"/>
          <w:lang w:val="en-US" w:eastAsia="zh-CN"/>
        </w:rPr>
        <w:t>专业</w:t>
      </w:r>
      <w:r>
        <w:rPr>
          <w:rFonts w:hint="eastAsia" w:ascii="宋体" w:hAnsi="宋体" w:eastAsia="宋体" w:cs="宋体"/>
          <w:color w:val="auto"/>
          <w:highlight w:val="none"/>
          <w:lang w:val="en-US" w:eastAsia="zh-CN"/>
        </w:rPr>
        <w:t>承包人负责将垃圾清理集中至垃圾收集点，在精装范围内的垃圾无法找到责任单位的由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负责清运至垃圾堆放点。</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将垃圾清理集中运至就近的废物收集点后并对自身的垃圾分别进行外运处理，并保证垃圾不过夜。</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应结合工程实际，服从</w:t>
      </w:r>
      <w:r>
        <w:rPr>
          <w:rFonts w:ascii="Segoe UI" w:hAnsi="Segoe UI" w:eastAsia="Segoe UI" w:cs="Segoe UI"/>
          <w:i w:val="0"/>
          <w:iCs w:val="0"/>
          <w:caps w:val="0"/>
          <w:color w:val="auto"/>
          <w:spacing w:val="0"/>
          <w:sz w:val="24"/>
          <w:szCs w:val="24"/>
          <w:highlight w:val="none"/>
          <w:shd w:val="clear" w:fill="FFFFFF"/>
        </w:rPr>
        <w:t>总承包人对建筑垃圾的管理要求，包括但不限于临时堆放场地设置、运输路线规划及分类存放等，并严格落实文明施工相关标准</w:t>
      </w:r>
      <w:r>
        <w:rPr>
          <w:rFonts w:hint="eastAsia" w:ascii="宋体" w:hAnsi="宋体" w:eastAsia="宋体" w:cs="宋体"/>
          <w:color w:val="auto"/>
          <w:highlight w:val="none"/>
          <w:lang w:val="en-US" w:eastAsia="zh-CN"/>
        </w:rPr>
        <w:t>，</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承担自身垃圾清理外运所产生的费用。</w:t>
      </w:r>
    </w:p>
    <w:p w14:paraId="43995D03">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1.4.3</w:t>
      </w:r>
      <w:r>
        <w:rPr>
          <w:rFonts w:hint="eastAsia" w:cs="宋体"/>
          <w:color w:val="auto"/>
          <w:highlight w:val="none"/>
          <w:lang w:val="en-US" w:eastAsia="zh-CN"/>
        </w:rPr>
        <w:t>2</w:t>
      </w:r>
      <w:r>
        <w:rPr>
          <w:rFonts w:hint="eastAsia" w:ascii="宋体" w:hAnsi="宋体" w:eastAsia="宋体" w:cs="宋体"/>
          <w:color w:val="auto"/>
          <w:highlight w:val="none"/>
          <w:lang w:val="en-US" w:eastAsia="zh-CN"/>
        </w:rPr>
        <w:t>室内窗户（玻璃及型材）、栏杆需增加成品保护，窗户、栏杆移交至精装修施工管理后玻璃、型材、拉杆上在原有成品保护基础上，</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需进行二次保护，由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根据承工程建设进度需要及时进行拆除，并负责移交后照管保护，如产生破坏</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找到责任单位，责任单位承担，未找到则由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负责，此部分产生的相关费用需要在投标报价中考虑。</w:t>
      </w:r>
    </w:p>
    <w:p w14:paraId="1F4EBCFE">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1.4.3</w:t>
      </w:r>
      <w:r>
        <w:rPr>
          <w:rFonts w:hint="eastAsia" w:cs="宋体"/>
          <w:color w:val="auto"/>
          <w:highlight w:val="none"/>
          <w:lang w:val="en-US" w:eastAsia="zh-CN"/>
        </w:rPr>
        <w:t>3</w:t>
      </w:r>
      <w:r>
        <w:rPr>
          <w:rFonts w:hint="eastAsia" w:ascii="宋体" w:hAnsi="宋体" w:eastAsia="宋体" w:cs="宋体"/>
          <w:color w:val="auto"/>
          <w:highlight w:val="none"/>
          <w:lang w:val="en-US" w:eastAsia="zh-CN"/>
        </w:rPr>
        <w:t>室内电梯投入使用时将移交</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负责管理，另需要综合考虑电梯提前验收下证的跨年，即检验满12个月的电梯年检费用。</w:t>
      </w:r>
    </w:p>
    <w:p w14:paraId="55EDB318">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1.4.3</w:t>
      </w:r>
      <w:r>
        <w:rPr>
          <w:rFonts w:hint="eastAsia" w:cs="宋体"/>
          <w:color w:val="auto"/>
          <w:highlight w:val="none"/>
          <w:lang w:val="en-US" w:eastAsia="zh-CN"/>
        </w:rPr>
        <w:t>4</w:t>
      </w:r>
      <w:r>
        <w:rPr>
          <w:rFonts w:hint="eastAsia" w:ascii="宋体" w:hAnsi="宋体" w:eastAsia="宋体" w:cs="宋体"/>
          <w:color w:val="auto"/>
          <w:highlight w:val="none"/>
          <w:lang w:val="en-US" w:eastAsia="zh-CN"/>
        </w:rPr>
        <w:t>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与电梯单位签订临时电梯使用协议，</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负责电梯使用之日起至项目交付的使用及看管，</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负责电梯使用期间所产生的所有费用截止项目交付时止（临时梯期间保养费、司机开梯费和大修费等费用）。并无偿提供给各专业承包使用，不得收取任何费用。并负责电梯日常照管工作，电梯损坏，如</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发现责任单位，损坏维修费由责任单位承担，如未发现责任单位，由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无条件负责维修并承担相关费用。电梯使用过程中易损件交付前统一更换成新品。</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不得对室内电梯使用费用问题在中标后向</w:t>
      </w:r>
      <w:r>
        <w:rPr>
          <w:rFonts w:hint="eastAsia" w:cs="宋体"/>
          <w:color w:val="auto"/>
          <w:highlight w:val="none"/>
          <w:lang w:val="en-US" w:eastAsia="zh-CN"/>
        </w:rPr>
        <w:t>发包人</w:t>
      </w:r>
      <w:r>
        <w:rPr>
          <w:rFonts w:hint="eastAsia" w:ascii="宋体" w:hAnsi="宋体" w:eastAsia="宋体" w:cs="宋体"/>
          <w:color w:val="auto"/>
          <w:highlight w:val="none"/>
          <w:lang w:val="en-US" w:eastAsia="zh-CN"/>
        </w:rPr>
        <w:t>方提出索赔，电梯使用移交物业前电梯年检费报价中考虑。以上费用请</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综合考虑。</w:t>
      </w:r>
    </w:p>
    <w:p w14:paraId="39A54BAF">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1.4.3</w:t>
      </w:r>
      <w:r>
        <w:rPr>
          <w:rFonts w:hint="eastAsia" w:cs="宋体"/>
          <w:color w:val="auto"/>
          <w:highlight w:val="none"/>
          <w:lang w:val="en-US" w:eastAsia="zh-CN"/>
        </w:rPr>
        <w:t>5</w:t>
      </w:r>
      <w:r>
        <w:rPr>
          <w:rFonts w:hint="eastAsia" w:ascii="宋体" w:hAnsi="宋体" w:eastAsia="宋体" w:cs="宋体"/>
          <w:color w:val="auto"/>
          <w:highlight w:val="none"/>
          <w:lang w:val="en-US" w:eastAsia="zh-CN"/>
        </w:rPr>
        <w:t>楼内电梯由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统一管理，室外施工电梯拆除后的垂直运输使用室内电梯，具体使用时间以</w:t>
      </w:r>
      <w:r>
        <w:rPr>
          <w:rFonts w:hint="eastAsia" w:cs="宋体"/>
          <w:color w:val="auto"/>
          <w:highlight w:val="none"/>
          <w:lang w:val="en-US" w:eastAsia="zh-CN"/>
        </w:rPr>
        <w:t>发包人</w:t>
      </w:r>
      <w:r>
        <w:rPr>
          <w:rFonts w:hint="eastAsia" w:ascii="宋体" w:hAnsi="宋体" w:eastAsia="宋体" w:cs="宋体"/>
          <w:color w:val="auto"/>
          <w:highlight w:val="none"/>
          <w:lang w:val="en-US" w:eastAsia="zh-CN"/>
        </w:rPr>
        <w:t>通知为准。</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统一管理电梯期间，对于总承包人及其它专业承包人提出的垂直运输需求（包括夜间运输需求）须无条件提供便利，不得拒绝。</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须根据招标文件在投标过程中提交详细的垂直运输方案（包括运输时间），并保证此方案能够满足精装修施工期间本标段内所有工作之需要，中标后不得以垂直运输为理由影响施工工期和质量及其它总分包单位对于室内电梯的使用需求。每栋楼电梯必须保证满负荷使用，电梯均要配置一名专业电梯操作员。不得以任何理由减少电梯使用个数及人员配置，如未按要求配置，相应费用我司将予以扣除，并进行违约处理，电梯取证后并移交</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后，由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进行施工期间成品保护及维护，在交付前根据</w:t>
      </w:r>
      <w:r>
        <w:rPr>
          <w:rFonts w:hint="eastAsia" w:cs="宋体"/>
          <w:color w:val="auto"/>
          <w:highlight w:val="none"/>
          <w:lang w:val="en-US" w:eastAsia="zh-CN"/>
        </w:rPr>
        <w:t>发包人</w:t>
      </w:r>
      <w:r>
        <w:rPr>
          <w:rFonts w:hint="eastAsia" w:ascii="宋体" w:hAnsi="宋体" w:eastAsia="宋体" w:cs="宋体"/>
          <w:color w:val="auto"/>
          <w:highlight w:val="none"/>
          <w:lang w:val="en-US" w:eastAsia="zh-CN"/>
        </w:rPr>
        <w:t>要求时间拆除施工成品保护，进行电梯轿厢地面装修（若有），并进行交付阶段成品保护，交付成品保护材料也由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提供并安装，交付物业及小业主前进行轿厢二次成品保护采用使用8mm厚以上有色亚克力板。如因保护不到位对电梯造成的破坏由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负责。</w:t>
      </w:r>
    </w:p>
    <w:p w14:paraId="5952FF36">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1.4.3</w:t>
      </w:r>
      <w:r>
        <w:rPr>
          <w:rFonts w:hint="eastAsia" w:cs="宋体"/>
          <w:color w:val="auto"/>
          <w:highlight w:val="none"/>
          <w:lang w:val="en-US" w:eastAsia="zh-CN"/>
        </w:rPr>
        <w:t>6</w:t>
      </w:r>
      <w:r>
        <w:rPr>
          <w:rFonts w:hint="eastAsia" w:ascii="宋体" w:hAnsi="宋体" w:eastAsia="宋体" w:cs="宋体"/>
          <w:color w:val="auto"/>
          <w:highlight w:val="none"/>
          <w:lang w:val="en-US" w:eastAsia="zh-CN"/>
        </w:rPr>
        <w:t>施工过程中存在大量的交叉作业，如总承包人与</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与其他专业承包人等，在投标报价中需要充分考虑因交叉施工所产生的额外费用。</w:t>
      </w:r>
    </w:p>
    <w:p w14:paraId="37989655">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1.4.3</w:t>
      </w:r>
      <w:r>
        <w:rPr>
          <w:rFonts w:hint="eastAsia" w:cs="宋体"/>
          <w:color w:val="auto"/>
          <w:highlight w:val="none"/>
          <w:lang w:val="en-US" w:eastAsia="zh-CN"/>
        </w:rPr>
        <w:t>7</w:t>
      </w:r>
      <w:r>
        <w:rPr>
          <w:rFonts w:hint="eastAsia" w:ascii="宋体" w:hAnsi="宋体" w:eastAsia="宋体" w:cs="宋体"/>
          <w:color w:val="auto"/>
          <w:highlight w:val="none"/>
          <w:lang w:val="en-US" w:eastAsia="zh-CN"/>
        </w:rPr>
        <w:t>总承包人负责提供施工用临时水、电接驳点位。每单元提供一个水电接驳点位，二级配电箱后接线由装修单位负责。【根据项目实际确定</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电缆、二级配电箱及三级配电箱的落位要求】</w:t>
      </w:r>
    </w:p>
    <w:p w14:paraId="699B038A">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1.4.3</w:t>
      </w:r>
      <w:r>
        <w:rPr>
          <w:rFonts w:hint="eastAsia" w:cs="宋体"/>
          <w:color w:val="auto"/>
          <w:highlight w:val="none"/>
          <w:lang w:val="en-US" w:eastAsia="zh-CN"/>
        </w:rPr>
        <w:t>8</w:t>
      </w:r>
      <w:r>
        <w:rPr>
          <w:rFonts w:hint="eastAsia" w:ascii="宋体" w:hAnsi="宋体" w:eastAsia="宋体" w:cs="宋体"/>
          <w:color w:val="auto"/>
          <w:highlight w:val="none"/>
          <w:lang w:val="en-US" w:eastAsia="zh-CN"/>
        </w:rPr>
        <w:t>现场动火施工必须严格遵守总承包人管理，遵守现场动火施工管理制度。</w:t>
      </w:r>
    </w:p>
    <w:p w14:paraId="2B0E10F5">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1.4.3</w:t>
      </w:r>
      <w:r>
        <w:rPr>
          <w:rFonts w:hint="eastAsia" w:cs="宋体"/>
          <w:color w:val="auto"/>
          <w:highlight w:val="none"/>
          <w:lang w:val="en-US" w:eastAsia="zh-CN"/>
        </w:rPr>
        <w:t>9专业承包人</w:t>
      </w:r>
      <w:r>
        <w:rPr>
          <w:rFonts w:hint="eastAsia" w:ascii="宋体" w:hAnsi="宋体" w:eastAsia="宋体" w:cs="宋体"/>
          <w:color w:val="auto"/>
          <w:highlight w:val="none"/>
          <w:lang w:val="en-US" w:eastAsia="zh-CN"/>
        </w:rPr>
        <w:t>进场需服从总承包人的管理，包括但不限于进场要求管理、安全文明施工管理、现场着装管理及材料堆放管理等，施工过程中如果不服从管理，</w:t>
      </w:r>
      <w:r>
        <w:rPr>
          <w:rFonts w:hint="eastAsia" w:cs="宋体"/>
          <w:color w:val="auto"/>
          <w:highlight w:val="none"/>
          <w:lang w:val="en-US" w:eastAsia="zh-CN"/>
        </w:rPr>
        <w:t>总承包人</w:t>
      </w:r>
      <w:r>
        <w:rPr>
          <w:rFonts w:hint="eastAsia" w:ascii="宋体" w:hAnsi="宋体" w:eastAsia="宋体" w:cs="宋体"/>
          <w:color w:val="auto"/>
          <w:highlight w:val="none"/>
          <w:lang w:val="en-US" w:eastAsia="zh-CN"/>
        </w:rPr>
        <w:t>经</w:t>
      </w:r>
      <w:r>
        <w:rPr>
          <w:rFonts w:hint="eastAsia" w:cs="宋体"/>
          <w:color w:val="auto"/>
          <w:highlight w:val="none"/>
          <w:lang w:val="en-US" w:eastAsia="zh-CN"/>
        </w:rPr>
        <w:t>发包人</w:t>
      </w:r>
      <w:r>
        <w:rPr>
          <w:rFonts w:hint="eastAsia" w:ascii="宋体" w:hAnsi="宋体" w:eastAsia="宋体" w:cs="宋体"/>
          <w:color w:val="auto"/>
          <w:highlight w:val="none"/>
          <w:lang w:val="en-US" w:eastAsia="zh-CN"/>
        </w:rPr>
        <w:t>同意后可对其罚款，罚款金额依照</w:t>
      </w:r>
      <w:r>
        <w:rPr>
          <w:rFonts w:hint="eastAsia" w:cs="宋体"/>
          <w:color w:val="auto"/>
          <w:highlight w:val="none"/>
          <w:lang w:val="en-US" w:eastAsia="zh-CN"/>
        </w:rPr>
        <w:t>总承包人</w:t>
      </w:r>
      <w:r>
        <w:rPr>
          <w:rFonts w:hint="eastAsia" w:ascii="宋体" w:hAnsi="宋体" w:eastAsia="宋体" w:cs="宋体"/>
          <w:color w:val="auto"/>
          <w:highlight w:val="none"/>
          <w:lang w:val="en-US" w:eastAsia="zh-CN"/>
        </w:rPr>
        <w:t>现场管理制度进行处罚，并在</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工程进度款中扣除。</w:t>
      </w:r>
    </w:p>
    <w:p w14:paraId="768BF727">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default"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w:t>
      </w:r>
      <w:r>
        <w:rPr>
          <w:rFonts w:hint="eastAsia" w:cs="宋体"/>
          <w:color w:val="auto"/>
          <w:highlight w:val="none"/>
          <w:lang w:val="en-US" w:eastAsia="zh-CN"/>
        </w:rPr>
        <w:t>40</w:t>
      </w:r>
      <w:r>
        <w:rPr>
          <w:rFonts w:hint="eastAsia" w:ascii="宋体" w:hAnsi="宋体" w:eastAsia="宋体" w:cs="宋体"/>
          <w:color w:val="auto"/>
          <w:highlight w:val="none"/>
          <w:lang w:val="en-US" w:eastAsia="zh-CN"/>
        </w:rPr>
        <w:t>本项目进入货量装修施工后，</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对精装修承包范围的施工现场承担全部管理责任（其他专业承包人材料自行照管自身合同范围内的材料），如发生现场材料丢失或损坏、已完工程被破坏，且找不到确定的责任单位或责任人，则全部由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承担一切损失。总承包人在精装修工程施工过程中</w:t>
      </w:r>
      <w:r>
        <w:rPr>
          <w:rFonts w:hint="eastAsia" w:cs="宋体"/>
          <w:color w:val="auto"/>
          <w:highlight w:val="none"/>
          <w:lang w:val="en-US" w:eastAsia="zh-CN"/>
        </w:rPr>
        <w:t>按施工总承包合同约定</w:t>
      </w:r>
      <w:r>
        <w:rPr>
          <w:rFonts w:hint="eastAsia" w:ascii="宋体" w:hAnsi="宋体" w:eastAsia="宋体" w:cs="宋体"/>
          <w:color w:val="auto"/>
          <w:highlight w:val="none"/>
          <w:lang w:val="en-US" w:eastAsia="zh-CN"/>
        </w:rPr>
        <w:t>承担</w:t>
      </w:r>
      <w:r>
        <w:rPr>
          <w:rFonts w:hint="eastAsia" w:cs="宋体"/>
          <w:color w:val="auto"/>
          <w:highlight w:val="none"/>
          <w:lang w:val="en-US" w:eastAsia="zh-CN"/>
        </w:rPr>
        <w:t>相应的</w:t>
      </w:r>
      <w:r>
        <w:rPr>
          <w:rFonts w:hint="eastAsia" w:ascii="宋体" w:hAnsi="宋体" w:eastAsia="宋体" w:cs="宋体"/>
          <w:color w:val="auto"/>
          <w:highlight w:val="none"/>
          <w:lang w:val="en-US" w:eastAsia="zh-CN"/>
        </w:rPr>
        <w:t>总承包管理责任。</w:t>
      </w:r>
    </w:p>
    <w:p w14:paraId="31D2CC72">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w:t>
      </w:r>
      <w:r>
        <w:rPr>
          <w:rFonts w:hint="eastAsia" w:cs="宋体"/>
          <w:color w:val="auto"/>
          <w:highlight w:val="none"/>
          <w:lang w:val="en-US" w:eastAsia="zh-CN"/>
        </w:rPr>
        <w:t>41专业承包人</w:t>
      </w:r>
      <w:r>
        <w:rPr>
          <w:rFonts w:hint="eastAsia" w:ascii="宋体" w:hAnsi="宋体" w:eastAsia="宋体" w:cs="宋体"/>
          <w:color w:val="auto"/>
          <w:highlight w:val="none"/>
          <w:lang w:val="en-US" w:eastAsia="zh-CN"/>
        </w:rPr>
        <w:t>负责对精装修工程范围内已移交栏杆、强弱电箱、强弱电线、可视对讲的设备及材料等作全面的看管，以防盗窃、损坏或损失，如发生上述问题，全部由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负责。</w:t>
      </w:r>
    </w:p>
    <w:p w14:paraId="6F47945A">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color w:val="auto"/>
          <w:highlight w:val="none"/>
          <w:lang w:val="en-US" w:eastAsia="zh-CN"/>
        </w:rPr>
      </w:pPr>
      <w:r>
        <w:rPr>
          <w:rFonts w:hint="eastAsia" w:ascii="宋体" w:hAnsi="宋体" w:eastAsia="宋体" w:cs="宋体"/>
          <w:color w:val="auto"/>
          <w:highlight w:val="none"/>
          <w:lang w:val="en-US" w:eastAsia="zh-CN"/>
        </w:rPr>
        <w:t>1.4.4</w:t>
      </w:r>
      <w:r>
        <w:rPr>
          <w:rFonts w:hint="eastAsia" w:cs="宋体"/>
          <w:color w:val="auto"/>
          <w:highlight w:val="none"/>
          <w:lang w:val="en-US" w:eastAsia="zh-CN"/>
        </w:rPr>
        <w:t>2整个精装修施工过程中，专业承包人负责统筹精装修施工区域内的安全管理，含对入户门钥匙的管控，及对现场安全文明施工管理及成品保护等事宜；总承包人在精装修施工界面内区域按施工总承包合同约定承担相应的总承包管理责任。</w:t>
      </w:r>
    </w:p>
    <w:p w14:paraId="49917522">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1.4.4</w:t>
      </w:r>
      <w:r>
        <w:rPr>
          <w:rFonts w:hint="eastAsia" w:cs="宋体"/>
          <w:color w:val="auto"/>
          <w:highlight w:val="none"/>
          <w:lang w:val="en-US" w:eastAsia="zh-CN"/>
        </w:rPr>
        <w:t>3</w:t>
      </w:r>
      <w:r>
        <w:rPr>
          <w:rFonts w:hint="eastAsia" w:ascii="宋体" w:hAnsi="宋体" w:eastAsia="宋体" w:cs="宋体"/>
          <w:color w:val="auto"/>
          <w:highlight w:val="none"/>
          <w:lang w:val="en-US" w:eastAsia="zh-CN"/>
        </w:rPr>
        <w:t>根据项目管理要求，若项目交付前需进行外墙、外窗淋水试验，</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需配合总承包人的淋水试验，起到照管责任，对于淋水过程中可能造成的乳胶漆等水泡及污染情况，</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需及时进行恢复，不得耽误工程进度。（有责任单位需责任单位承担，未找到责任单位则由装修单位无偿修复）</w:t>
      </w:r>
    </w:p>
    <w:p w14:paraId="1329E6AE">
      <w:pPr>
        <w:pStyle w:val="2"/>
        <w:keepNext w:val="0"/>
        <w:keepLines w:val="0"/>
        <w:pageBreakBefore w:val="0"/>
        <w:widowControl w:val="0"/>
        <w:kinsoku/>
        <w:wordWrap/>
        <w:overflowPunct/>
        <w:topLinePunct w:val="0"/>
        <w:autoSpaceDE/>
        <w:autoSpaceDN/>
        <w:bidi w:val="0"/>
        <w:adjustRightInd/>
        <w:snapToGrid w:val="0"/>
        <w:textAlignment w:val="auto"/>
        <w:rPr>
          <w:rFonts w:hint="eastAsia" w:ascii="宋体" w:hAnsi="宋体" w:eastAsia="宋体" w:cs="宋体"/>
          <w:color w:val="auto"/>
          <w:highlight w:val="none"/>
          <w:lang w:val="en-US" w:eastAsia="zh-CN"/>
        </w:rPr>
      </w:pPr>
      <w:r>
        <w:rPr>
          <w:rFonts w:hint="eastAsia" w:ascii="宋体" w:hAnsi="宋体" w:eastAsia="宋体" w:cs="宋体"/>
          <w:color w:val="auto"/>
          <w:kern w:val="2"/>
          <w:sz w:val="24"/>
          <w:szCs w:val="24"/>
          <w:highlight w:val="none"/>
          <w:lang w:val="en-US" w:eastAsia="zh-CN" w:bidi="ar-SA"/>
        </w:rPr>
        <w:t>1.4.4</w:t>
      </w:r>
      <w:r>
        <w:rPr>
          <w:rFonts w:hint="eastAsia" w:hAnsi="宋体" w:cs="宋体"/>
          <w:color w:val="auto"/>
          <w:kern w:val="2"/>
          <w:sz w:val="24"/>
          <w:szCs w:val="24"/>
          <w:highlight w:val="none"/>
          <w:lang w:val="en-US" w:eastAsia="zh-CN" w:bidi="ar-SA"/>
        </w:rPr>
        <w:t>4专业承包人</w:t>
      </w:r>
      <w:r>
        <w:rPr>
          <w:rFonts w:hint="eastAsia" w:ascii="宋体" w:hAnsi="宋体" w:eastAsia="宋体" w:cs="宋体"/>
          <w:color w:val="auto"/>
          <w:kern w:val="2"/>
          <w:sz w:val="24"/>
          <w:szCs w:val="24"/>
          <w:highlight w:val="none"/>
          <w:lang w:val="en-US" w:eastAsia="zh-CN" w:bidi="ar-SA"/>
        </w:rPr>
        <w:t>需在每栋楼设置两个移动厕所；并配置专职清理人员，每日清洁所需费用考虑在投标报价内。</w:t>
      </w:r>
    </w:p>
    <w:p w14:paraId="0CFAD43E">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1.4.4</w:t>
      </w:r>
      <w:r>
        <w:rPr>
          <w:rFonts w:hint="eastAsia" w:cs="宋体"/>
          <w:color w:val="auto"/>
          <w:highlight w:val="none"/>
          <w:lang w:val="en-US" w:eastAsia="zh-CN"/>
        </w:rPr>
        <w:t>5</w:t>
      </w:r>
      <w:r>
        <w:rPr>
          <w:rFonts w:hint="eastAsia" w:ascii="宋体" w:hAnsi="宋体" w:eastAsia="宋体" w:cs="宋体"/>
          <w:color w:val="auto"/>
          <w:highlight w:val="none"/>
          <w:lang w:val="en-US" w:eastAsia="zh-CN"/>
        </w:rPr>
        <w:t>若本工程竣工图纸和交付图存在部分差别，项目存在竣工验收后的二次改造工程，</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需要提前考虑竣工验收前后因二次改造工程对精装修施工造成的影响，包含不限于二次改造部分的施工及二次改造的施工动线、二次改造区域及二次改造影响区域的成品保护等，并做好现场二次改造施工组织工作，后期不予因二次改造工程造成的成品保护费增加进行费用调整且不得因此影响工程进度。</w:t>
      </w:r>
    </w:p>
    <w:p w14:paraId="162F3377">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eastAsia" w:ascii="宋体" w:hAnsi="宋体" w:eastAsia="宋体" w:cs="宋体"/>
          <w:color w:val="auto"/>
          <w:highlight w:val="none"/>
          <w:lang w:val="zh-CN" w:eastAsia="zh-CN"/>
        </w:rPr>
      </w:pPr>
      <w:r>
        <w:rPr>
          <w:rFonts w:hint="eastAsia" w:ascii="宋体" w:hAnsi="宋体" w:eastAsia="宋体" w:cs="宋体"/>
          <w:color w:val="auto"/>
          <w:highlight w:val="none"/>
          <w:lang w:val="en-US" w:eastAsia="zh-CN"/>
        </w:rPr>
        <w:t>1.4.4</w:t>
      </w:r>
      <w:r>
        <w:rPr>
          <w:rFonts w:hint="eastAsia" w:cs="宋体"/>
          <w:color w:val="auto"/>
          <w:highlight w:val="none"/>
          <w:lang w:val="en-US" w:eastAsia="zh-CN"/>
        </w:rPr>
        <w:t>6</w:t>
      </w:r>
      <w:r>
        <w:rPr>
          <w:rFonts w:hint="eastAsia" w:ascii="宋体" w:hAnsi="宋体" w:eastAsia="宋体" w:cs="宋体"/>
          <w:color w:val="auto"/>
          <w:highlight w:val="none"/>
          <w:lang w:val="zh-CN" w:eastAsia="zh-CN"/>
        </w:rPr>
        <w:t>临时仓库：原则上施工现场不允许搭设临时仓库，如有特殊需要在发包人及总承包人同意的情况下，</w:t>
      </w:r>
      <w:r>
        <w:rPr>
          <w:rFonts w:hint="eastAsia" w:cs="宋体"/>
          <w:color w:val="auto"/>
          <w:highlight w:val="none"/>
          <w:lang w:val="en-US" w:eastAsia="zh-CN"/>
        </w:rPr>
        <w:t>专业承包人</w:t>
      </w:r>
      <w:r>
        <w:rPr>
          <w:rFonts w:hint="eastAsia" w:ascii="宋体" w:hAnsi="宋体" w:eastAsia="宋体" w:cs="宋体"/>
          <w:color w:val="auto"/>
          <w:highlight w:val="none"/>
          <w:lang w:val="zh-CN" w:eastAsia="zh-CN"/>
        </w:rPr>
        <w:t>可设置符合消防等各项管理规定的临时仓库，关于临时仓库及周边范围内的管理由</w:t>
      </w:r>
      <w:r>
        <w:rPr>
          <w:rFonts w:hint="eastAsia" w:cs="宋体"/>
          <w:color w:val="auto"/>
          <w:highlight w:val="none"/>
          <w:lang w:val="en-US" w:eastAsia="zh-CN"/>
        </w:rPr>
        <w:t>专业承包人</w:t>
      </w:r>
      <w:r>
        <w:rPr>
          <w:rFonts w:hint="eastAsia" w:ascii="宋体" w:hAnsi="宋体" w:eastAsia="宋体" w:cs="宋体"/>
          <w:color w:val="auto"/>
          <w:highlight w:val="none"/>
          <w:lang w:val="zh-CN" w:eastAsia="zh-CN"/>
        </w:rPr>
        <w:t>自行负责，临时仓库搭建及管理等所产生的全部费用已包含在投标总价当中。因材料二次搬运产生的费用</w:t>
      </w:r>
      <w:r>
        <w:rPr>
          <w:rFonts w:hint="eastAsia" w:cs="宋体"/>
          <w:color w:val="auto"/>
          <w:highlight w:val="none"/>
          <w:lang w:val="zh-CN" w:eastAsia="zh-CN"/>
        </w:rPr>
        <w:t>专业承包人</w:t>
      </w:r>
      <w:r>
        <w:rPr>
          <w:rFonts w:hint="eastAsia" w:ascii="宋体" w:hAnsi="宋体" w:eastAsia="宋体" w:cs="宋体"/>
          <w:color w:val="auto"/>
          <w:highlight w:val="none"/>
          <w:lang w:val="zh-CN" w:eastAsia="zh-CN"/>
        </w:rPr>
        <w:t>需在投标时予以考虑。</w:t>
      </w:r>
    </w:p>
    <w:p w14:paraId="57783A11">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rFonts w:hint="default"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1.4.47根据项目工作计划安排，项目样板层/样板间施工与后续批量精装修工程施工时间间隔较长，专业承包人需充分考虑样板层、样板间施工与大面精装修施工的时间间隔导致管理人员、施工作业人员的多次进出场对专业承包人造成的影响。</w:t>
      </w:r>
    </w:p>
    <w:bookmarkEnd w:id="35"/>
    <w:p w14:paraId="1607DA29">
      <w:pPr>
        <w:rPr>
          <w:rFonts w:hint="eastAsia" w:ascii="宋体" w:hAnsi="宋体" w:eastAsia="宋体"/>
          <w:color w:val="auto"/>
          <w:highlight w:val="none"/>
        </w:rPr>
      </w:pPr>
      <w:bookmarkStart w:id="36" w:name="_Toc153907549"/>
      <w:bookmarkStart w:id="37" w:name="_Toc488931141"/>
      <w:r>
        <w:rPr>
          <w:rFonts w:hint="eastAsia" w:ascii="宋体" w:hAnsi="宋体" w:eastAsia="宋体"/>
          <w:color w:val="auto"/>
          <w:highlight w:val="none"/>
        </w:rPr>
        <w:br w:type="page"/>
      </w:r>
    </w:p>
    <w:p w14:paraId="6F5D1F6D">
      <w:pPr>
        <w:pStyle w:val="3"/>
        <w:bidi w:val="0"/>
        <w:rPr>
          <w:rFonts w:hint="eastAsia" w:ascii="宋体" w:hAnsi="宋体" w:eastAsia="宋体"/>
          <w:color w:val="auto"/>
          <w:highlight w:val="none"/>
        </w:rPr>
      </w:pPr>
      <w:bookmarkStart w:id="38" w:name="_Toc10050"/>
      <w:r>
        <w:rPr>
          <w:rFonts w:hint="eastAsia" w:ascii="宋体" w:hAnsi="宋体" w:eastAsia="宋体"/>
          <w:color w:val="auto"/>
          <w:highlight w:val="none"/>
        </w:rPr>
        <w:t>工程目标</w:t>
      </w:r>
      <w:bookmarkEnd w:id="36"/>
      <w:bookmarkEnd w:id="37"/>
      <w:bookmarkEnd w:id="38"/>
    </w:p>
    <w:p w14:paraId="20348EDC">
      <w:pPr>
        <w:pStyle w:val="4"/>
        <w:widowControl/>
        <w:numPr>
          <w:ilvl w:val="0"/>
          <w:numId w:val="5"/>
        </w:numPr>
        <w:spacing w:before="120" w:after="120" w:line="240" w:lineRule="auto"/>
        <w:ind w:left="0" w:firstLine="0" w:firstLineChars="0"/>
        <w:rPr>
          <w:color w:val="auto"/>
          <w:highlight w:val="none"/>
        </w:rPr>
      </w:pPr>
      <w:bookmarkStart w:id="39" w:name="_Toc4955"/>
      <w:bookmarkStart w:id="40" w:name="_Toc488931142"/>
      <w:bookmarkStart w:id="41" w:name="_Toc153907550"/>
      <w:r>
        <w:rPr>
          <w:rFonts w:hint="eastAsia"/>
          <w:color w:val="auto"/>
          <w:highlight w:val="none"/>
        </w:rPr>
        <w:t>工程质量</w:t>
      </w:r>
      <w:r>
        <w:rPr>
          <w:color w:val="auto"/>
          <w:highlight w:val="none"/>
        </w:rPr>
        <w:t>目标</w:t>
      </w:r>
      <w:bookmarkEnd w:id="39"/>
      <w:bookmarkEnd w:id="40"/>
      <w:bookmarkEnd w:id="41"/>
    </w:p>
    <w:p w14:paraId="6C3772C4">
      <w:pPr>
        <w:bidi w:val="0"/>
        <w:rPr>
          <w:rFonts w:hint="eastAsia"/>
          <w:bCs/>
          <w:color w:val="auto"/>
          <w:highlight w:val="none"/>
          <w:lang w:val="zh-CN"/>
        </w:rPr>
      </w:pPr>
      <w:r>
        <w:rPr>
          <w:rFonts w:hint="eastAsia"/>
          <w:bCs/>
          <w:color w:val="auto"/>
          <w:highlight w:val="none"/>
          <w:lang w:val="zh-CN"/>
        </w:rPr>
        <w:t>2.1.1符合现行国家、行业及地方质量验收规范。</w:t>
      </w:r>
    </w:p>
    <w:p w14:paraId="474F1671">
      <w:pPr>
        <w:bidi w:val="0"/>
        <w:rPr>
          <w:rFonts w:hint="eastAsia"/>
          <w:bCs/>
          <w:color w:val="auto"/>
          <w:highlight w:val="none"/>
          <w:lang w:val="zh-CN"/>
        </w:rPr>
      </w:pPr>
      <w:r>
        <w:rPr>
          <w:rFonts w:hint="eastAsia"/>
          <w:bCs/>
          <w:color w:val="auto"/>
          <w:highlight w:val="none"/>
          <w:lang w:val="zh-CN"/>
        </w:rPr>
        <w:t>2.1.2在发包人组织的在建项目第三方评估中精装修过程评估检查成绩不低于87分，精装修交付评估检查成绩不低于87分，评估检查阶段不得出现安全质量红线，评估体系标准详见【附件B-2】项目第三方评估方案。</w:t>
      </w:r>
    </w:p>
    <w:p w14:paraId="43F0F94A">
      <w:pPr>
        <w:bidi w:val="0"/>
        <w:rPr>
          <w:rFonts w:hint="eastAsia"/>
          <w:bCs/>
          <w:color w:val="auto"/>
          <w:highlight w:val="none"/>
          <w:lang w:val="zh-CN"/>
        </w:rPr>
      </w:pPr>
      <w:r>
        <w:rPr>
          <w:rFonts w:hint="eastAsia"/>
          <w:bCs/>
          <w:color w:val="auto"/>
          <w:highlight w:val="none"/>
          <w:lang w:val="zh-CN"/>
        </w:rPr>
        <w:t>备注：本技术要求所述的《【附件B-2】项目第三方评估方案》中介绍的检查内容不排除存在更新、调整的可能，检查标准及规则发包人有权根据当季度实际情况进行调整修改。发包人将在检查启动前对专业承包人进行文件宣贯交底，专业承包人应按照最新检查文件执行；</w:t>
      </w:r>
    </w:p>
    <w:p w14:paraId="0BC5594C">
      <w:pPr>
        <w:bidi w:val="0"/>
        <w:rPr>
          <w:rFonts w:hint="default"/>
          <w:color w:val="auto"/>
          <w:highlight w:val="none"/>
          <w:lang w:val="en-US" w:eastAsia="zh-CN"/>
        </w:rPr>
      </w:pPr>
      <w:r>
        <w:rPr>
          <w:rFonts w:hint="eastAsia"/>
          <w:bCs/>
          <w:color w:val="auto"/>
          <w:highlight w:val="none"/>
          <w:lang w:val="zh-CN"/>
        </w:rPr>
        <w:t>2.1.3按照《建设工程质量管理条例》和国家、广东省、广州市相关法律法规规范要求进行质量评定和组织验收，符合设计标准，并通过有关政府建设工程验收主管部门的竣工验收达到合格标准，配合总承包人取得：必须取得广州市建设工程优质奖，必须取得广东省建设工程优质奖</w:t>
      </w:r>
      <w:r>
        <w:rPr>
          <w:rFonts w:hint="default"/>
          <w:color w:val="auto"/>
          <w:highlight w:val="none"/>
        </w:rPr>
        <w:t>。</w:t>
      </w:r>
    </w:p>
    <w:p w14:paraId="6B23DBAD">
      <w:pPr>
        <w:pStyle w:val="4"/>
        <w:widowControl/>
        <w:numPr>
          <w:ilvl w:val="0"/>
          <w:numId w:val="5"/>
        </w:numPr>
        <w:spacing w:before="120" w:after="120" w:line="240" w:lineRule="auto"/>
        <w:ind w:firstLineChars="0"/>
        <w:rPr>
          <w:color w:val="auto"/>
          <w:highlight w:val="none"/>
        </w:rPr>
      </w:pPr>
      <w:bookmarkStart w:id="42" w:name="_Toc153907551"/>
      <w:bookmarkStart w:id="43" w:name="_Toc488931143"/>
      <w:bookmarkStart w:id="44" w:name="_Toc12095"/>
      <w:r>
        <w:rPr>
          <w:rFonts w:hint="eastAsia"/>
          <w:color w:val="auto"/>
          <w:highlight w:val="none"/>
        </w:rPr>
        <w:t>工程进度</w:t>
      </w:r>
      <w:r>
        <w:rPr>
          <w:color w:val="auto"/>
          <w:highlight w:val="none"/>
        </w:rPr>
        <w:t>目标</w:t>
      </w:r>
      <w:bookmarkEnd w:id="42"/>
      <w:bookmarkEnd w:id="43"/>
      <w:bookmarkEnd w:id="44"/>
    </w:p>
    <w:p w14:paraId="034D85A5">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color w:val="auto"/>
          <w:kern w:val="2"/>
          <w:sz w:val="24"/>
          <w:szCs w:val="24"/>
          <w:highlight w:val="none"/>
        </w:rPr>
      </w:pPr>
      <w:bookmarkStart w:id="45" w:name="_Hlk150861360"/>
      <w:r>
        <w:rPr>
          <w:rFonts w:hint="eastAsia" w:ascii="宋体" w:hAnsi="宋体" w:eastAsia="宋体" w:cs="宋体"/>
          <w:color w:val="auto"/>
          <w:kern w:val="2"/>
          <w:sz w:val="24"/>
          <w:szCs w:val="24"/>
          <w:highlight w:val="none"/>
          <w:lang w:val="en-US" w:eastAsia="zh-CN" w:bidi="ar"/>
        </w:rPr>
        <w:t>（1）本工程具体开工日期以总监理工程师发出的开工令为准。</w:t>
      </w:r>
    </w:p>
    <w:p w14:paraId="6BF1BC62">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color w:val="auto"/>
          <w:sz w:val="24"/>
          <w:szCs w:val="24"/>
          <w:highlight w:val="none"/>
          <w:lang w:val="en-US"/>
        </w:rPr>
      </w:pPr>
      <w:r>
        <w:rPr>
          <w:rFonts w:hint="eastAsia" w:ascii="宋体" w:hAnsi="宋体" w:eastAsia="宋体" w:cs="宋体"/>
          <w:color w:val="auto"/>
          <w:spacing w:val="-1"/>
          <w:sz w:val="24"/>
          <w:szCs w:val="24"/>
          <w:highlight w:val="none"/>
          <w:lang w:eastAsia="zh-CN"/>
        </w:rPr>
        <w:t>（</w:t>
      </w:r>
      <w:r>
        <w:rPr>
          <w:rFonts w:hint="eastAsia" w:ascii="宋体" w:hAnsi="宋体" w:eastAsia="宋体" w:cs="宋体"/>
          <w:color w:val="auto"/>
          <w:spacing w:val="-1"/>
          <w:sz w:val="24"/>
          <w:szCs w:val="24"/>
          <w:highlight w:val="none"/>
          <w:lang w:val="en-US" w:eastAsia="zh-CN"/>
        </w:rPr>
        <w:t>2</w:t>
      </w:r>
      <w:r>
        <w:rPr>
          <w:rFonts w:hint="eastAsia" w:ascii="宋体" w:hAnsi="宋体" w:eastAsia="宋体" w:cs="宋体"/>
          <w:color w:val="auto"/>
          <w:spacing w:val="-1"/>
          <w:sz w:val="24"/>
          <w:szCs w:val="24"/>
          <w:highlight w:val="none"/>
          <w:lang w:eastAsia="zh-CN"/>
        </w:rPr>
        <w:t>）</w:t>
      </w:r>
      <w:r>
        <w:rPr>
          <w:rFonts w:hint="eastAsia" w:ascii="宋体" w:hAnsi="宋体" w:eastAsia="宋体" w:cs="宋体"/>
          <w:color w:val="auto"/>
          <w:spacing w:val="-1"/>
          <w:sz w:val="24"/>
          <w:szCs w:val="24"/>
          <w:highlight w:val="none"/>
        </w:rPr>
        <w:t>本项目工程关键节点计划</w:t>
      </w:r>
      <w:r>
        <w:rPr>
          <w:rFonts w:hint="eastAsia" w:ascii="宋体" w:hAnsi="宋体" w:eastAsia="宋体" w:cs="宋体"/>
          <w:color w:val="auto"/>
          <w:kern w:val="2"/>
          <w:sz w:val="24"/>
          <w:szCs w:val="24"/>
          <w:highlight w:val="none"/>
          <w:lang w:val="en-US" w:eastAsia="zh-CN" w:bidi="ar"/>
        </w:rPr>
        <w:t>（实施时间按照发包人的具体要求为准）</w:t>
      </w:r>
    </w:p>
    <w:tbl>
      <w:tblPr>
        <w:tblStyle w:val="26"/>
        <w:tblW w:w="8724"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900"/>
        <w:gridCol w:w="2882"/>
        <w:gridCol w:w="2721"/>
        <w:gridCol w:w="2221"/>
      </w:tblGrid>
      <w:tr w14:paraId="08EB547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10" w:hRule="atLeast"/>
          <w:jc w:val="center"/>
        </w:trPr>
        <w:tc>
          <w:tcPr>
            <w:tcW w:w="900" w:type="dxa"/>
            <w:vAlign w:val="center"/>
          </w:tcPr>
          <w:p w14:paraId="5022CB25">
            <w:pPr>
              <w:pStyle w:val="14"/>
              <w:bidi w:val="0"/>
              <w:rPr>
                <w:rFonts w:hint="eastAsia"/>
                <w:color w:val="auto"/>
                <w:highlight w:val="none"/>
                <w:lang w:val="en-US" w:eastAsia="zh-CN"/>
              </w:rPr>
            </w:pPr>
            <w:r>
              <w:rPr>
                <w:rFonts w:hint="default"/>
                <w:color w:val="auto"/>
                <w:highlight w:val="none"/>
                <w:lang w:val="en-US" w:eastAsia="zh-CN"/>
              </w:rPr>
              <w:t>序号</w:t>
            </w:r>
          </w:p>
        </w:tc>
        <w:tc>
          <w:tcPr>
            <w:tcW w:w="2882" w:type="dxa"/>
            <w:vAlign w:val="center"/>
          </w:tcPr>
          <w:p w14:paraId="45DA76AE">
            <w:pPr>
              <w:pStyle w:val="14"/>
              <w:bidi w:val="0"/>
              <w:rPr>
                <w:rFonts w:hint="eastAsia"/>
                <w:color w:val="auto"/>
                <w:highlight w:val="none"/>
                <w:lang w:val="en-US" w:eastAsia="zh-CN"/>
              </w:rPr>
            </w:pPr>
            <w:r>
              <w:rPr>
                <w:rFonts w:hint="default"/>
                <w:color w:val="auto"/>
                <w:highlight w:val="none"/>
                <w:lang w:val="en-US" w:eastAsia="zh-CN"/>
              </w:rPr>
              <w:t>节点</w:t>
            </w:r>
          </w:p>
        </w:tc>
        <w:tc>
          <w:tcPr>
            <w:tcW w:w="2721" w:type="dxa"/>
            <w:vAlign w:val="center"/>
          </w:tcPr>
          <w:p w14:paraId="42EDA22A">
            <w:pPr>
              <w:pStyle w:val="14"/>
              <w:bidi w:val="0"/>
              <w:rPr>
                <w:rFonts w:hint="eastAsia"/>
                <w:color w:val="auto"/>
                <w:highlight w:val="none"/>
                <w:lang w:val="en-US" w:eastAsia="zh-CN"/>
              </w:rPr>
            </w:pPr>
            <w:r>
              <w:rPr>
                <w:rFonts w:hint="default"/>
                <w:color w:val="auto"/>
                <w:highlight w:val="none"/>
                <w:lang w:val="en-US" w:eastAsia="zh-CN"/>
              </w:rPr>
              <w:t>工期要求</w:t>
            </w:r>
          </w:p>
        </w:tc>
        <w:tc>
          <w:tcPr>
            <w:tcW w:w="2221" w:type="dxa"/>
            <w:vAlign w:val="center"/>
          </w:tcPr>
          <w:p w14:paraId="3735F634">
            <w:pPr>
              <w:pStyle w:val="14"/>
              <w:bidi w:val="0"/>
              <w:rPr>
                <w:rFonts w:hint="eastAsia"/>
                <w:color w:val="auto"/>
                <w:highlight w:val="none"/>
                <w:lang w:val="en-US" w:eastAsia="zh-CN"/>
              </w:rPr>
            </w:pPr>
            <w:r>
              <w:rPr>
                <w:rFonts w:hint="default"/>
                <w:color w:val="auto"/>
                <w:highlight w:val="none"/>
                <w:lang w:val="en-US" w:eastAsia="zh-CN"/>
              </w:rPr>
              <w:t>备注</w:t>
            </w:r>
          </w:p>
        </w:tc>
      </w:tr>
      <w:tr w14:paraId="34AE734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jc w:val="center"/>
        </w:trPr>
        <w:tc>
          <w:tcPr>
            <w:tcW w:w="900" w:type="dxa"/>
            <w:vAlign w:val="center"/>
          </w:tcPr>
          <w:p w14:paraId="0B9D23F8">
            <w:pPr>
              <w:pStyle w:val="14"/>
              <w:bidi w:val="0"/>
              <w:rPr>
                <w:rFonts w:hint="eastAsia" w:ascii="宋体" w:hAnsi="宋体" w:eastAsia="宋体" w:cs="宋体"/>
                <w:color w:val="auto"/>
                <w:highlight w:val="none"/>
                <w:lang w:val="en-US" w:eastAsia="zh-CN"/>
              </w:rPr>
            </w:pPr>
            <w:r>
              <w:rPr>
                <w:rFonts w:hint="default" w:ascii="宋体" w:hAnsi="宋体" w:eastAsia="宋体" w:cs="宋体"/>
                <w:color w:val="auto"/>
                <w:highlight w:val="none"/>
                <w:lang w:val="en-US" w:eastAsia="zh-CN"/>
              </w:rPr>
              <w:t>1</w:t>
            </w:r>
          </w:p>
        </w:tc>
        <w:tc>
          <w:tcPr>
            <w:tcW w:w="2882" w:type="dxa"/>
            <w:vAlign w:val="center"/>
          </w:tcPr>
          <w:p w14:paraId="75FF2769">
            <w:pPr>
              <w:pStyle w:val="14"/>
              <w:bidi w:val="0"/>
              <w:rPr>
                <w:rFonts w:hint="default" w:ascii="宋体" w:hAnsi="宋体" w:eastAsia="宋体" w:cs="宋体"/>
                <w:color w:val="auto"/>
                <w:highlight w:val="none"/>
                <w:lang w:val="en-US" w:eastAsia="zh-CN"/>
              </w:rPr>
            </w:pPr>
            <w:r>
              <w:rPr>
                <w:rFonts w:hint="default" w:ascii="宋体" w:hAnsi="宋体" w:eastAsia="宋体" w:cs="宋体"/>
                <w:color w:val="auto"/>
                <w:highlight w:val="none"/>
                <w:lang w:val="en-US" w:eastAsia="zh-CN"/>
              </w:rPr>
              <w:t>开工</w:t>
            </w:r>
          </w:p>
          <w:p w14:paraId="70C3C649">
            <w:pPr>
              <w:pStyle w:val="14"/>
              <w:bidi w:val="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w:t>
            </w:r>
            <w:r>
              <w:rPr>
                <w:rFonts w:hint="default" w:ascii="宋体" w:hAnsi="宋体" w:eastAsia="宋体" w:cs="宋体"/>
                <w:color w:val="auto"/>
                <w:highlight w:val="none"/>
                <w:lang w:val="en-US" w:eastAsia="zh-CN"/>
              </w:rPr>
              <w:t>精装修工程首个流水段开工</w:t>
            </w:r>
            <w:r>
              <w:rPr>
                <w:rFonts w:hint="eastAsia" w:ascii="宋体" w:hAnsi="宋体" w:eastAsia="宋体" w:cs="宋体"/>
                <w:color w:val="auto"/>
                <w:highlight w:val="none"/>
                <w:lang w:val="en-US" w:eastAsia="zh-CN"/>
              </w:rPr>
              <w:t>）</w:t>
            </w:r>
          </w:p>
        </w:tc>
        <w:tc>
          <w:tcPr>
            <w:tcW w:w="2721" w:type="dxa"/>
            <w:vAlign w:val="center"/>
          </w:tcPr>
          <w:p w14:paraId="317A7099">
            <w:pPr>
              <w:pStyle w:val="14"/>
              <w:bidi w:val="0"/>
              <w:rPr>
                <w:rFonts w:hint="eastAsia" w:ascii="宋体" w:hAnsi="宋体" w:eastAsia="宋体" w:cs="宋体"/>
                <w:color w:val="auto"/>
                <w:highlight w:val="none"/>
                <w:lang w:val="en-US" w:eastAsia="zh-CN"/>
              </w:rPr>
            </w:pPr>
            <w:r>
              <w:rPr>
                <w:rFonts w:hint="default" w:ascii="宋体" w:hAnsi="宋体" w:eastAsia="宋体" w:cs="宋体"/>
                <w:color w:val="auto"/>
                <w:highlight w:val="none"/>
                <w:lang w:val="en-US" w:eastAsia="zh-CN"/>
              </w:rPr>
              <w:t>2026年</w:t>
            </w:r>
            <w:r>
              <w:rPr>
                <w:rFonts w:hint="eastAsia" w:ascii="宋体" w:hAnsi="宋体" w:eastAsia="宋体" w:cs="宋体"/>
                <w:color w:val="auto"/>
                <w:highlight w:val="none"/>
                <w:lang w:val="en-US" w:eastAsia="zh-CN"/>
              </w:rPr>
              <w:t>4</w:t>
            </w:r>
            <w:r>
              <w:rPr>
                <w:rFonts w:hint="default" w:ascii="宋体" w:hAnsi="宋体" w:eastAsia="宋体" w:cs="宋体"/>
                <w:color w:val="auto"/>
                <w:highlight w:val="none"/>
                <w:lang w:val="en-US" w:eastAsia="zh-CN"/>
              </w:rPr>
              <w:t>月</w:t>
            </w:r>
            <w:r>
              <w:rPr>
                <w:rFonts w:hint="eastAsia" w:ascii="宋体" w:hAnsi="宋体" w:eastAsia="宋体" w:cs="宋体"/>
                <w:color w:val="auto"/>
                <w:highlight w:val="none"/>
                <w:lang w:val="en-US" w:eastAsia="zh-CN"/>
              </w:rPr>
              <w:t>9</w:t>
            </w:r>
            <w:r>
              <w:rPr>
                <w:rFonts w:hint="default" w:ascii="宋体" w:hAnsi="宋体" w:eastAsia="宋体" w:cs="宋体"/>
                <w:color w:val="auto"/>
                <w:highlight w:val="none"/>
                <w:lang w:val="en-US" w:eastAsia="zh-CN"/>
              </w:rPr>
              <w:t>日</w:t>
            </w:r>
          </w:p>
        </w:tc>
        <w:tc>
          <w:tcPr>
            <w:tcW w:w="2221" w:type="dxa"/>
            <w:vAlign w:val="center"/>
          </w:tcPr>
          <w:p w14:paraId="6133CC93">
            <w:pPr>
              <w:pStyle w:val="14"/>
              <w:bidi w:val="0"/>
              <w:rPr>
                <w:rFonts w:hint="eastAsia" w:ascii="宋体" w:hAnsi="宋体" w:eastAsia="宋体" w:cs="宋体"/>
                <w:color w:val="auto"/>
                <w:highlight w:val="none"/>
                <w:lang w:val="en-US" w:eastAsia="zh-CN"/>
              </w:rPr>
            </w:pPr>
            <w:r>
              <w:rPr>
                <w:rFonts w:hint="default" w:ascii="宋体" w:hAnsi="宋体" w:eastAsia="宋体" w:cs="宋体"/>
                <w:color w:val="auto"/>
                <w:highlight w:val="none"/>
                <w:lang w:val="en-US" w:eastAsia="zh-CN"/>
              </w:rPr>
              <w:t>具体开工日期以总监理工程师发出的正式为准</w:t>
            </w:r>
          </w:p>
        </w:tc>
      </w:tr>
      <w:tr w14:paraId="2C09C57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47" w:hRule="atLeast"/>
          <w:jc w:val="center"/>
        </w:trPr>
        <w:tc>
          <w:tcPr>
            <w:tcW w:w="900" w:type="dxa"/>
            <w:vAlign w:val="center"/>
          </w:tcPr>
          <w:p w14:paraId="32E2054D">
            <w:pPr>
              <w:pStyle w:val="14"/>
              <w:bidi w:val="0"/>
              <w:rPr>
                <w:rFonts w:hint="eastAsia" w:ascii="宋体" w:hAnsi="宋体" w:eastAsia="宋体" w:cs="宋体"/>
                <w:color w:val="auto"/>
                <w:highlight w:val="none"/>
                <w:lang w:val="en-US" w:eastAsia="zh-CN"/>
              </w:rPr>
            </w:pPr>
            <w:r>
              <w:rPr>
                <w:rFonts w:hint="default" w:ascii="宋体" w:hAnsi="宋体" w:eastAsia="宋体" w:cs="宋体"/>
                <w:color w:val="auto"/>
                <w:highlight w:val="none"/>
                <w:lang w:val="en-US" w:eastAsia="zh-CN"/>
              </w:rPr>
              <w:t>2</w:t>
            </w:r>
          </w:p>
        </w:tc>
        <w:tc>
          <w:tcPr>
            <w:tcW w:w="2882" w:type="dxa"/>
            <w:vAlign w:val="center"/>
          </w:tcPr>
          <w:p w14:paraId="358B5603">
            <w:pPr>
              <w:pStyle w:val="14"/>
              <w:bidi w:val="0"/>
              <w:rPr>
                <w:rFonts w:hint="eastAsia" w:ascii="宋体" w:hAnsi="宋体" w:eastAsia="宋体" w:cs="宋体"/>
                <w:color w:val="auto"/>
                <w:highlight w:val="none"/>
                <w:lang w:val="en-US" w:eastAsia="zh-CN"/>
              </w:rPr>
            </w:pPr>
            <w:r>
              <w:rPr>
                <w:rFonts w:hint="default" w:ascii="宋体" w:hAnsi="宋体" w:eastAsia="宋体" w:cs="宋体"/>
                <w:color w:val="auto"/>
                <w:highlight w:val="none"/>
                <w:lang w:val="en-US" w:eastAsia="zh-CN"/>
              </w:rPr>
              <w:t>工艺样板及实体交付样板施工</w:t>
            </w:r>
          </w:p>
        </w:tc>
        <w:tc>
          <w:tcPr>
            <w:tcW w:w="2721" w:type="dxa"/>
            <w:vAlign w:val="center"/>
          </w:tcPr>
          <w:p w14:paraId="6F44692E">
            <w:pPr>
              <w:pStyle w:val="14"/>
              <w:bidi w:val="0"/>
              <w:rPr>
                <w:rFonts w:hint="eastAsia" w:ascii="宋体" w:hAnsi="宋体" w:eastAsia="宋体" w:cs="宋体"/>
                <w:color w:val="auto"/>
                <w:highlight w:val="none"/>
                <w:lang w:val="en-US" w:eastAsia="zh-CN"/>
              </w:rPr>
            </w:pPr>
            <w:r>
              <w:rPr>
                <w:rFonts w:hint="default" w:ascii="宋体" w:hAnsi="宋体" w:eastAsia="宋体" w:cs="宋体"/>
                <w:color w:val="auto"/>
                <w:highlight w:val="none"/>
                <w:lang w:val="en-US" w:eastAsia="zh-CN"/>
              </w:rPr>
              <w:t>样板房/样板层工作面移交后60天完成</w:t>
            </w:r>
          </w:p>
        </w:tc>
        <w:tc>
          <w:tcPr>
            <w:tcW w:w="2221" w:type="dxa"/>
            <w:vAlign w:val="center"/>
          </w:tcPr>
          <w:p w14:paraId="274C44C1">
            <w:pPr>
              <w:pStyle w:val="14"/>
              <w:bidi w:val="0"/>
              <w:rPr>
                <w:rFonts w:hint="eastAsia" w:ascii="宋体" w:hAnsi="宋体" w:eastAsia="宋体" w:cs="宋体"/>
                <w:color w:val="auto"/>
                <w:highlight w:val="none"/>
                <w:lang w:val="en-US" w:eastAsia="zh-CN"/>
              </w:rPr>
            </w:pPr>
          </w:p>
        </w:tc>
      </w:tr>
      <w:tr w14:paraId="1CA00A5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0" w:hRule="atLeast"/>
          <w:jc w:val="center"/>
        </w:trPr>
        <w:tc>
          <w:tcPr>
            <w:tcW w:w="900" w:type="dxa"/>
            <w:vAlign w:val="center"/>
          </w:tcPr>
          <w:p w14:paraId="7882D703">
            <w:pPr>
              <w:pStyle w:val="14"/>
              <w:bidi w:val="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3</w:t>
            </w:r>
          </w:p>
        </w:tc>
        <w:tc>
          <w:tcPr>
            <w:tcW w:w="2882" w:type="dxa"/>
            <w:vAlign w:val="center"/>
          </w:tcPr>
          <w:p w14:paraId="75602516">
            <w:pPr>
              <w:pStyle w:val="14"/>
              <w:bidi w:val="0"/>
              <w:rPr>
                <w:rFonts w:hint="eastAsia" w:ascii="宋体" w:hAnsi="宋体" w:eastAsia="宋体" w:cs="宋体"/>
                <w:color w:val="auto"/>
                <w:highlight w:val="none"/>
                <w:lang w:val="en-US" w:eastAsia="zh-CN"/>
              </w:rPr>
            </w:pPr>
            <w:r>
              <w:rPr>
                <w:rFonts w:hint="default" w:ascii="宋体" w:hAnsi="宋体" w:eastAsia="宋体" w:cs="宋体"/>
                <w:color w:val="auto"/>
                <w:highlight w:val="none"/>
                <w:lang w:val="en-US" w:eastAsia="zh-CN"/>
              </w:rPr>
              <w:t>精装修工程湿作业完成</w:t>
            </w:r>
          </w:p>
        </w:tc>
        <w:tc>
          <w:tcPr>
            <w:tcW w:w="2721" w:type="dxa"/>
            <w:vAlign w:val="center"/>
          </w:tcPr>
          <w:p w14:paraId="0E4F2653">
            <w:pPr>
              <w:pStyle w:val="14"/>
              <w:bidi w:val="0"/>
              <w:rPr>
                <w:rFonts w:hint="eastAsia" w:ascii="宋体" w:hAnsi="宋体" w:eastAsia="宋体" w:cs="宋体"/>
                <w:color w:val="auto"/>
                <w:highlight w:val="none"/>
                <w:lang w:val="en-US" w:eastAsia="zh-CN"/>
              </w:rPr>
            </w:pPr>
            <w:r>
              <w:rPr>
                <w:rFonts w:hint="default" w:ascii="宋体" w:hAnsi="宋体" w:eastAsia="宋体" w:cs="宋体"/>
                <w:color w:val="auto"/>
                <w:highlight w:val="none"/>
                <w:lang w:val="en-US" w:eastAsia="zh-CN"/>
              </w:rPr>
              <w:t>2027年</w:t>
            </w:r>
            <w:r>
              <w:rPr>
                <w:rFonts w:hint="eastAsia" w:ascii="宋体" w:hAnsi="宋体" w:eastAsia="宋体" w:cs="宋体"/>
                <w:color w:val="auto"/>
                <w:highlight w:val="none"/>
                <w:lang w:val="en-US" w:eastAsia="zh-CN"/>
              </w:rPr>
              <w:t>1</w:t>
            </w:r>
            <w:r>
              <w:rPr>
                <w:rFonts w:hint="default" w:ascii="宋体" w:hAnsi="宋体" w:eastAsia="宋体" w:cs="宋体"/>
                <w:color w:val="auto"/>
                <w:highlight w:val="none"/>
                <w:lang w:val="en-US" w:eastAsia="zh-CN"/>
              </w:rPr>
              <w:t>月</w:t>
            </w:r>
            <w:r>
              <w:rPr>
                <w:rFonts w:hint="eastAsia" w:ascii="宋体" w:hAnsi="宋体" w:eastAsia="宋体" w:cs="宋体"/>
                <w:color w:val="auto"/>
                <w:highlight w:val="none"/>
                <w:lang w:val="en-US" w:eastAsia="zh-CN"/>
              </w:rPr>
              <w:t>14</w:t>
            </w:r>
            <w:r>
              <w:rPr>
                <w:rFonts w:hint="default" w:ascii="宋体" w:hAnsi="宋体" w:eastAsia="宋体" w:cs="宋体"/>
                <w:color w:val="auto"/>
                <w:highlight w:val="none"/>
                <w:lang w:val="en-US" w:eastAsia="zh-CN"/>
              </w:rPr>
              <w:t>日</w:t>
            </w:r>
          </w:p>
        </w:tc>
        <w:tc>
          <w:tcPr>
            <w:tcW w:w="2221" w:type="dxa"/>
            <w:vAlign w:val="center"/>
          </w:tcPr>
          <w:p w14:paraId="2B1FDD40">
            <w:pPr>
              <w:pStyle w:val="14"/>
              <w:bidi w:val="0"/>
              <w:rPr>
                <w:rFonts w:hint="eastAsia" w:ascii="宋体" w:hAnsi="宋体" w:eastAsia="宋体" w:cs="宋体"/>
                <w:color w:val="auto"/>
                <w:highlight w:val="none"/>
                <w:lang w:val="en-US" w:eastAsia="zh-CN"/>
              </w:rPr>
            </w:pPr>
          </w:p>
        </w:tc>
      </w:tr>
      <w:tr w14:paraId="22B3F8D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0" w:hRule="atLeast"/>
          <w:jc w:val="center"/>
        </w:trPr>
        <w:tc>
          <w:tcPr>
            <w:tcW w:w="900" w:type="dxa"/>
            <w:vAlign w:val="center"/>
          </w:tcPr>
          <w:p w14:paraId="3D000870">
            <w:pPr>
              <w:pStyle w:val="14"/>
              <w:bidi w:val="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4</w:t>
            </w:r>
          </w:p>
        </w:tc>
        <w:tc>
          <w:tcPr>
            <w:tcW w:w="2882" w:type="dxa"/>
            <w:vAlign w:val="center"/>
          </w:tcPr>
          <w:p w14:paraId="7FFFCAF4">
            <w:pPr>
              <w:pStyle w:val="14"/>
              <w:bidi w:val="0"/>
              <w:rPr>
                <w:rFonts w:hint="eastAsia" w:ascii="宋体" w:hAnsi="宋体" w:eastAsia="宋体" w:cs="宋体"/>
                <w:color w:val="auto"/>
                <w:highlight w:val="none"/>
                <w:lang w:val="en-US" w:eastAsia="zh-CN"/>
              </w:rPr>
            </w:pPr>
            <w:r>
              <w:rPr>
                <w:rFonts w:hint="default" w:ascii="宋体" w:hAnsi="宋体" w:eastAsia="宋体" w:cs="宋体"/>
                <w:color w:val="auto"/>
                <w:highlight w:val="none"/>
                <w:lang w:val="en-US" w:eastAsia="zh-CN"/>
              </w:rPr>
              <w:t>精装修工程完工</w:t>
            </w:r>
          </w:p>
        </w:tc>
        <w:tc>
          <w:tcPr>
            <w:tcW w:w="2721" w:type="dxa"/>
            <w:vAlign w:val="center"/>
          </w:tcPr>
          <w:p w14:paraId="7161C10C">
            <w:pPr>
              <w:pStyle w:val="14"/>
              <w:bidi w:val="0"/>
              <w:rPr>
                <w:rFonts w:hint="eastAsia" w:ascii="宋体" w:hAnsi="宋体" w:eastAsia="宋体" w:cs="宋体"/>
                <w:color w:val="auto"/>
                <w:highlight w:val="none"/>
                <w:lang w:val="en-US" w:eastAsia="zh-CN"/>
              </w:rPr>
            </w:pPr>
            <w:r>
              <w:rPr>
                <w:rFonts w:hint="default" w:ascii="宋体" w:hAnsi="宋体" w:eastAsia="宋体" w:cs="宋体"/>
                <w:color w:val="auto"/>
                <w:highlight w:val="none"/>
                <w:lang w:val="en-US" w:eastAsia="zh-CN"/>
              </w:rPr>
              <w:t>2027年</w:t>
            </w:r>
            <w:r>
              <w:rPr>
                <w:rFonts w:hint="eastAsia" w:ascii="宋体" w:hAnsi="宋体" w:eastAsia="宋体" w:cs="宋体"/>
                <w:color w:val="auto"/>
                <w:highlight w:val="none"/>
                <w:lang w:val="en-US" w:eastAsia="zh-CN"/>
              </w:rPr>
              <w:t>7</w:t>
            </w:r>
            <w:r>
              <w:rPr>
                <w:rFonts w:hint="default" w:ascii="宋体" w:hAnsi="宋体" w:eastAsia="宋体" w:cs="宋体"/>
                <w:color w:val="auto"/>
                <w:highlight w:val="none"/>
                <w:lang w:val="en-US" w:eastAsia="zh-CN"/>
              </w:rPr>
              <w:t>月</w:t>
            </w:r>
            <w:r>
              <w:rPr>
                <w:rFonts w:hint="eastAsia" w:ascii="宋体" w:hAnsi="宋体" w:eastAsia="宋体" w:cs="宋体"/>
                <w:color w:val="auto"/>
                <w:highlight w:val="none"/>
                <w:lang w:val="en-US" w:eastAsia="zh-CN"/>
              </w:rPr>
              <w:t>3</w:t>
            </w:r>
            <w:r>
              <w:rPr>
                <w:rFonts w:hint="default" w:ascii="宋体" w:hAnsi="宋体" w:eastAsia="宋体" w:cs="宋体"/>
                <w:color w:val="auto"/>
                <w:highlight w:val="none"/>
                <w:lang w:val="en-US" w:eastAsia="zh-CN"/>
              </w:rPr>
              <w:t>日</w:t>
            </w:r>
          </w:p>
        </w:tc>
        <w:tc>
          <w:tcPr>
            <w:tcW w:w="2221" w:type="dxa"/>
            <w:vAlign w:val="center"/>
          </w:tcPr>
          <w:p w14:paraId="1FFD9FA9">
            <w:pPr>
              <w:pStyle w:val="14"/>
              <w:bidi w:val="0"/>
              <w:rPr>
                <w:rFonts w:hint="default" w:ascii="宋体" w:hAnsi="宋体" w:eastAsia="宋体" w:cs="宋体"/>
                <w:color w:val="auto"/>
                <w:highlight w:val="none"/>
                <w:lang w:val="en-US" w:eastAsia="zh-CN"/>
              </w:rPr>
            </w:pPr>
          </w:p>
        </w:tc>
      </w:tr>
      <w:tr w14:paraId="7F5A05E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9" w:hRule="atLeast"/>
          <w:jc w:val="center"/>
        </w:trPr>
        <w:tc>
          <w:tcPr>
            <w:tcW w:w="900" w:type="dxa"/>
            <w:shd w:val="clear" w:color="auto" w:fill="auto"/>
            <w:vAlign w:val="center"/>
          </w:tcPr>
          <w:p w14:paraId="408A53CC">
            <w:pPr>
              <w:pStyle w:val="14"/>
              <w:bidi w:val="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5</w:t>
            </w:r>
          </w:p>
        </w:tc>
        <w:tc>
          <w:tcPr>
            <w:tcW w:w="2882" w:type="dxa"/>
            <w:shd w:val="clear" w:color="auto" w:fill="auto"/>
            <w:vAlign w:val="center"/>
          </w:tcPr>
          <w:p w14:paraId="46BBE6CD">
            <w:pPr>
              <w:pStyle w:val="14"/>
              <w:bidi w:val="0"/>
              <w:rPr>
                <w:rFonts w:hint="eastAsia" w:ascii="宋体" w:hAnsi="宋体" w:eastAsia="宋体" w:cs="宋体"/>
                <w:color w:val="auto"/>
                <w:highlight w:val="none"/>
                <w:lang w:val="en-US" w:eastAsia="zh-CN"/>
              </w:rPr>
            </w:pPr>
            <w:r>
              <w:rPr>
                <w:rFonts w:hint="default" w:ascii="宋体" w:hAnsi="宋体" w:eastAsia="宋体" w:cs="宋体"/>
                <w:color w:val="auto"/>
                <w:highlight w:val="none"/>
                <w:lang w:val="en-US" w:eastAsia="zh-CN"/>
              </w:rPr>
              <w:t>竣工验收</w:t>
            </w:r>
          </w:p>
        </w:tc>
        <w:tc>
          <w:tcPr>
            <w:tcW w:w="2721" w:type="dxa"/>
            <w:shd w:val="clear" w:color="auto" w:fill="auto"/>
            <w:vAlign w:val="center"/>
          </w:tcPr>
          <w:p w14:paraId="41391FB9">
            <w:pPr>
              <w:pStyle w:val="14"/>
              <w:bidi w:val="0"/>
              <w:rPr>
                <w:rFonts w:hint="eastAsia" w:ascii="宋体" w:hAnsi="宋体" w:eastAsia="宋体" w:cs="宋体"/>
                <w:color w:val="auto"/>
                <w:highlight w:val="none"/>
                <w:lang w:val="en-US" w:eastAsia="zh-CN"/>
              </w:rPr>
            </w:pPr>
            <w:r>
              <w:rPr>
                <w:rFonts w:hint="default" w:ascii="宋体" w:hAnsi="宋体" w:eastAsia="宋体" w:cs="宋体"/>
                <w:color w:val="auto"/>
                <w:highlight w:val="none"/>
                <w:lang w:val="en-US" w:eastAsia="zh-CN"/>
              </w:rPr>
              <w:t>2027年</w:t>
            </w:r>
            <w:r>
              <w:rPr>
                <w:rFonts w:hint="eastAsia" w:ascii="宋体" w:hAnsi="宋体" w:eastAsia="宋体" w:cs="宋体"/>
                <w:color w:val="auto"/>
                <w:highlight w:val="none"/>
                <w:lang w:val="en-US" w:eastAsia="zh-CN"/>
              </w:rPr>
              <w:t>9</w:t>
            </w:r>
            <w:r>
              <w:rPr>
                <w:rFonts w:hint="default" w:ascii="宋体" w:hAnsi="宋体" w:eastAsia="宋体" w:cs="宋体"/>
                <w:color w:val="auto"/>
                <w:highlight w:val="none"/>
                <w:lang w:val="en-US" w:eastAsia="zh-CN"/>
              </w:rPr>
              <w:t>月</w:t>
            </w:r>
            <w:r>
              <w:rPr>
                <w:rFonts w:hint="eastAsia" w:ascii="宋体" w:hAnsi="宋体" w:eastAsia="宋体" w:cs="宋体"/>
                <w:color w:val="auto"/>
                <w:highlight w:val="none"/>
                <w:lang w:val="en-US" w:eastAsia="zh-CN"/>
              </w:rPr>
              <w:t>1</w:t>
            </w:r>
            <w:r>
              <w:rPr>
                <w:rFonts w:hint="default" w:ascii="宋体" w:hAnsi="宋体" w:eastAsia="宋体" w:cs="宋体"/>
                <w:color w:val="auto"/>
                <w:highlight w:val="none"/>
                <w:lang w:val="en-US" w:eastAsia="zh-CN"/>
              </w:rPr>
              <w:t>日</w:t>
            </w:r>
          </w:p>
        </w:tc>
        <w:tc>
          <w:tcPr>
            <w:tcW w:w="2221" w:type="dxa"/>
            <w:shd w:val="clear" w:color="auto" w:fill="auto"/>
            <w:vAlign w:val="center"/>
          </w:tcPr>
          <w:p w14:paraId="462535A6">
            <w:pPr>
              <w:pStyle w:val="14"/>
              <w:bidi w:val="0"/>
              <w:rPr>
                <w:rFonts w:hint="default" w:ascii="宋体" w:hAnsi="宋体" w:eastAsia="宋体" w:cs="宋体"/>
                <w:color w:val="auto"/>
                <w:highlight w:val="none"/>
                <w:lang w:val="en-US" w:eastAsia="zh-CN"/>
              </w:rPr>
            </w:pPr>
          </w:p>
        </w:tc>
      </w:tr>
      <w:tr w14:paraId="3A4EA43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8" w:hRule="atLeast"/>
          <w:jc w:val="center"/>
        </w:trPr>
        <w:tc>
          <w:tcPr>
            <w:tcW w:w="900" w:type="dxa"/>
            <w:shd w:val="clear" w:color="auto" w:fill="auto"/>
            <w:vAlign w:val="center"/>
          </w:tcPr>
          <w:p w14:paraId="71828612">
            <w:pPr>
              <w:pStyle w:val="14"/>
              <w:bidi w:val="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6</w:t>
            </w:r>
          </w:p>
        </w:tc>
        <w:tc>
          <w:tcPr>
            <w:tcW w:w="2882" w:type="dxa"/>
            <w:shd w:val="clear" w:color="auto" w:fill="auto"/>
            <w:vAlign w:val="center"/>
          </w:tcPr>
          <w:p w14:paraId="2CF5BCD2">
            <w:pPr>
              <w:pStyle w:val="14"/>
              <w:bidi w:val="0"/>
              <w:rPr>
                <w:rFonts w:hint="eastAsia" w:ascii="宋体" w:hAnsi="宋体" w:eastAsia="宋体" w:cs="宋体"/>
                <w:color w:val="auto"/>
                <w:highlight w:val="none"/>
                <w:lang w:val="en-US" w:eastAsia="zh-CN"/>
              </w:rPr>
            </w:pPr>
            <w:r>
              <w:rPr>
                <w:rFonts w:hint="default" w:ascii="宋体" w:hAnsi="宋体" w:eastAsia="宋体" w:cs="宋体"/>
                <w:color w:val="auto"/>
                <w:highlight w:val="none"/>
                <w:lang w:val="en-US" w:eastAsia="zh-CN"/>
              </w:rPr>
              <w:t>改造完成(若有)</w:t>
            </w:r>
          </w:p>
        </w:tc>
        <w:tc>
          <w:tcPr>
            <w:tcW w:w="2721" w:type="dxa"/>
            <w:shd w:val="clear" w:color="auto" w:fill="auto"/>
            <w:vAlign w:val="center"/>
          </w:tcPr>
          <w:p w14:paraId="4421D4B2">
            <w:pPr>
              <w:pStyle w:val="14"/>
              <w:bidi w:val="0"/>
              <w:rPr>
                <w:rFonts w:hint="eastAsia" w:ascii="宋体" w:hAnsi="宋体" w:eastAsia="宋体" w:cs="宋体"/>
                <w:color w:val="auto"/>
                <w:highlight w:val="none"/>
                <w:lang w:val="en-US" w:eastAsia="zh-CN"/>
              </w:rPr>
            </w:pPr>
            <w:r>
              <w:rPr>
                <w:rFonts w:hint="default" w:ascii="宋体" w:hAnsi="宋体" w:eastAsia="宋体" w:cs="宋体"/>
                <w:color w:val="auto"/>
                <w:highlight w:val="none"/>
                <w:lang w:val="en-US" w:eastAsia="zh-CN"/>
              </w:rPr>
              <w:t>2028年</w:t>
            </w:r>
            <w:r>
              <w:rPr>
                <w:rFonts w:hint="eastAsia" w:ascii="宋体" w:hAnsi="宋体" w:eastAsia="宋体" w:cs="宋体"/>
                <w:color w:val="auto"/>
                <w:highlight w:val="none"/>
                <w:lang w:val="en-US" w:eastAsia="zh-CN"/>
              </w:rPr>
              <w:t>6</w:t>
            </w:r>
            <w:r>
              <w:rPr>
                <w:rFonts w:hint="default" w:ascii="宋体" w:hAnsi="宋体" w:eastAsia="宋体" w:cs="宋体"/>
                <w:color w:val="auto"/>
                <w:highlight w:val="none"/>
                <w:lang w:val="en-US" w:eastAsia="zh-CN"/>
              </w:rPr>
              <w:t>月</w:t>
            </w:r>
            <w:r>
              <w:rPr>
                <w:rFonts w:hint="eastAsia" w:ascii="宋体" w:hAnsi="宋体" w:eastAsia="宋体" w:cs="宋体"/>
                <w:color w:val="auto"/>
                <w:highlight w:val="none"/>
                <w:lang w:val="en-US" w:eastAsia="zh-CN"/>
              </w:rPr>
              <w:t>1</w:t>
            </w:r>
            <w:r>
              <w:rPr>
                <w:rFonts w:hint="default" w:ascii="宋体" w:hAnsi="宋体" w:eastAsia="宋体" w:cs="宋体"/>
                <w:color w:val="auto"/>
                <w:highlight w:val="none"/>
                <w:lang w:val="en-US" w:eastAsia="zh-CN"/>
              </w:rPr>
              <w:t>日</w:t>
            </w:r>
          </w:p>
        </w:tc>
        <w:tc>
          <w:tcPr>
            <w:tcW w:w="2221" w:type="dxa"/>
            <w:shd w:val="clear" w:color="auto" w:fill="auto"/>
            <w:vAlign w:val="center"/>
          </w:tcPr>
          <w:p w14:paraId="2860D86C">
            <w:pPr>
              <w:pStyle w:val="14"/>
              <w:bidi w:val="0"/>
              <w:rPr>
                <w:rFonts w:hint="eastAsia" w:ascii="宋体" w:hAnsi="宋体" w:eastAsia="宋体" w:cs="宋体"/>
                <w:color w:val="auto"/>
                <w:highlight w:val="none"/>
                <w:lang w:val="en-US" w:eastAsia="zh-CN"/>
              </w:rPr>
            </w:pPr>
          </w:p>
        </w:tc>
      </w:tr>
      <w:tr w14:paraId="059DC2D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8" w:hRule="atLeast"/>
          <w:jc w:val="center"/>
        </w:trPr>
        <w:tc>
          <w:tcPr>
            <w:tcW w:w="900" w:type="dxa"/>
            <w:shd w:val="clear" w:color="auto" w:fill="auto"/>
            <w:vAlign w:val="center"/>
          </w:tcPr>
          <w:p w14:paraId="03D6179E">
            <w:pPr>
              <w:pStyle w:val="14"/>
              <w:bidi w:val="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w:t>
            </w:r>
          </w:p>
        </w:tc>
        <w:tc>
          <w:tcPr>
            <w:tcW w:w="2882" w:type="dxa"/>
            <w:shd w:val="clear" w:color="auto" w:fill="auto"/>
            <w:vAlign w:val="center"/>
          </w:tcPr>
          <w:p w14:paraId="7357E26F">
            <w:pPr>
              <w:pStyle w:val="14"/>
              <w:bidi w:val="0"/>
              <w:rPr>
                <w:rFonts w:hint="eastAsia" w:ascii="宋体" w:hAnsi="宋体" w:eastAsia="宋体" w:cs="宋体"/>
                <w:color w:val="auto"/>
                <w:highlight w:val="none"/>
                <w:lang w:val="en-US" w:eastAsia="zh-CN"/>
              </w:rPr>
            </w:pPr>
            <w:r>
              <w:rPr>
                <w:rFonts w:hint="default" w:ascii="宋体" w:hAnsi="宋体" w:eastAsia="宋体" w:cs="宋体"/>
                <w:color w:val="auto"/>
                <w:highlight w:val="none"/>
                <w:lang w:val="en-US" w:eastAsia="zh-CN"/>
              </w:rPr>
              <w:t>交付(暂定)</w:t>
            </w:r>
          </w:p>
        </w:tc>
        <w:tc>
          <w:tcPr>
            <w:tcW w:w="2721" w:type="dxa"/>
            <w:shd w:val="clear" w:color="auto" w:fill="auto"/>
            <w:vAlign w:val="center"/>
          </w:tcPr>
          <w:p w14:paraId="6AC428EB">
            <w:pPr>
              <w:pStyle w:val="14"/>
              <w:bidi w:val="0"/>
              <w:rPr>
                <w:rFonts w:hint="eastAsia" w:ascii="宋体" w:hAnsi="宋体" w:eastAsia="宋体" w:cs="宋体"/>
                <w:color w:val="auto"/>
                <w:highlight w:val="none"/>
                <w:lang w:val="en-US" w:eastAsia="zh-CN"/>
              </w:rPr>
            </w:pPr>
            <w:r>
              <w:rPr>
                <w:rFonts w:hint="default" w:ascii="宋体" w:hAnsi="宋体" w:eastAsia="宋体" w:cs="宋体"/>
                <w:color w:val="auto"/>
                <w:highlight w:val="none"/>
                <w:lang w:val="en-US" w:eastAsia="zh-CN"/>
              </w:rPr>
              <w:t>2028年</w:t>
            </w:r>
            <w:r>
              <w:rPr>
                <w:rFonts w:hint="eastAsia" w:ascii="宋体" w:hAnsi="宋体" w:eastAsia="宋体" w:cs="宋体"/>
                <w:color w:val="auto"/>
                <w:highlight w:val="none"/>
                <w:lang w:val="en-US" w:eastAsia="zh-CN"/>
              </w:rPr>
              <w:t>9</w:t>
            </w:r>
            <w:r>
              <w:rPr>
                <w:rFonts w:hint="default" w:ascii="宋体" w:hAnsi="宋体" w:eastAsia="宋体" w:cs="宋体"/>
                <w:color w:val="auto"/>
                <w:highlight w:val="none"/>
                <w:lang w:val="en-US" w:eastAsia="zh-CN"/>
              </w:rPr>
              <w:t>月</w:t>
            </w:r>
            <w:r>
              <w:rPr>
                <w:rFonts w:hint="eastAsia" w:ascii="宋体" w:hAnsi="宋体" w:eastAsia="宋体" w:cs="宋体"/>
                <w:color w:val="auto"/>
                <w:highlight w:val="none"/>
                <w:lang w:val="en-US" w:eastAsia="zh-CN"/>
              </w:rPr>
              <w:t>1</w:t>
            </w:r>
            <w:r>
              <w:rPr>
                <w:rFonts w:hint="default" w:ascii="宋体" w:hAnsi="宋体" w:eastAsia="宋体" w:cs="宋体"/>
                <w:color w:val="auto"/>
                <w:highlight w:val="none"/>
                <w:lang w:val="en-US" w:eastAsia="zh-CN"/>
              </w:rPr>
              <w:t>日</w:t>
            </w:r>
          </w:p>
        </w:tc>
        <w:tc>
          <w:tcPr>
            <w:tcW w:w="2221" w:type="dxa"/>
            <w:shd w:val="clear" w:color="auto" w:fill="auto"/>
            <w:vAlign w:val="center"/>
          </w:tcPr>
          <w:p w14:paraId="359FB9FE">
            <w:pPr>
              <w:pStyle w:val="14"/>
              <w:bidi w:val="0"/>
              <w:rPr>
                <w:rFonts w:hint="default" w:ascii="宋体" w:hAnsi="宋体" w:eastAsia="宋体" w:cs="宋体"/>
                <w:color w:val="auto"/>
                <w:highlight w:val="none"/>
                <w:lang w:val="en-US" w:eastAsia="zh-CN"/>
              </w:rPr>
            </w:pPr>
            <w:r>
              <w:rPr>
                <w:rFonts w:hint="default" w:ascii="宋体" w:hAnsi="宋体" w:eastAsia="宋体" w:cs="宋体"/>
                <w:color w:val="auto"/>
                <w:highlight w:val="none"/>
                <w:lang w:val="en-US" w:eastAsia="zh-CN"/>
              </w:rPr>
              <w:t>交付时间暂定，具备以发包人与小业主约定的交付时间为准</w:t>
            </w:r>
          </w:p>
        </w:tc>
      </w:tr>
    </w:tbl>
    <w:p w14:paraId="7961308A">
      <w:pPr>
        <w:keepNext w:val="0"/>
        <w:keepLines w:val="0"/>
        <w:pageBreakBefore w:val="0"/>
        <w:widowControl w:val="0"/>
        <w:numPr>
          <w:ilvl w:val="0"/>
          <w:numId w:val="6"/>
        </w:numPr>
        <w:kinsoku/>
        <w:wordWrap/>
        <w:overflowPunct/>
        <w:topLinePunct w:val="0"/>
        <w:autoSpaceDE/>
        <w:autoSpaceDN/>
        <w:bidi w:val="0"/>
        <w:adjustRightInd/>
        <w:snapToGrid w:val="0"/>
        <w:spacing w:before="0" w:beforeLines="50"/>
        <w:ind w:left="568" w:leftChars="236" w:hanging="2" w:hangingChars="1"/>
        <w:textAlignment w:val="auto"/>
        <w:rPr>
          <w:rFonts w:hint="eastAsia" w:ascii="宋体" w:hAnsi="宋体" w:eastAsia="宋体" w:cs="宋体"/>
          <w:color w:val="auto"/>
          <w:spacing w:val="-1"/>
          <w:sz w:val="24"/>
          <w:szCs w:val="24"/>
          <w:highlight w:val="none"/>
          <w:lang w:val="en-US" w:eastAsia="zh-CN"/>
        </w:rPr>
      </w:pPr>
      <w:r>
        <w:rPr>
          <w:rFonts w:hint="eastAsia" w:ascii="宋体" w:hAnsi="宋体" w:eastAsia="宋体" w:cs="宋体"/>
          <w:color w:val="auto"/>
          <w:spacing w:val="-1"/>
          <w:sz w:val="24"/>
          <w:szCs w:val="24"/>
          <w:highlight w:val="none"/>
          <w:lang w:val="en-US" w:eastAsia="zh-CN"/>
        </w:rPr>
        <w:t>精装修工程完工</w:t>
      </w:r>
      <w:r>
        <w:rPr>
          <w:rFonts w:hint="eastAsia" w:cs="宋体"/>
          <w:color w:val="auto"/>
          <w:spacing w:val="-1"/>
          <w:sz w:val="24"/>
          <w:szCs w:val="24"/>
          <w:highlight w:val="none"/>
          <w:lang w:val="en-US" w:eastAsia="zh-CN"/>
        </w:rPr>
        <w:t>时间满足工程关键节点计划工期要求的同时且不得超过总承包单位主体结构封顶后285天的精装修工程完工的相对工期要求。</w:t>
      </w:r>
    </w:p>
    <w:p w14:paraId="304018A9">
      <w:pPr>
        <w:keepNext w:val="0"/>
        <w:keepLines w:val="0"/>
        <w:pageBreakBefore w:val="0"/>
        <w:widowControl w:val="0"/>
        <w:numPr>
          <w:ilvl w:val="0"/>
          <w:numId w:val="6"/>
        </w:numPr>
        <w:kinsoku/>
        <w:wordWrap/>
        <w:overflowPunct/>
        <w:topLinePunct w:val="0"/>
        <w:autoSpaceDE/>
        <w:autoSpaceDN/>
        <w:bidi w:val="0"/>
        <w:adjustRightInd/>
        <w:snapToGrid w:val="0"/>
        <w:spacing w:before="0" w:beforeLines="50"/>
        <w:ind w:left="568" w:leftChars="236" w:hanging="2" w:hangingChars="1"/>
        <w:textAlignment w:val="auto"/>
        <w:rPr>
          <w:rFonts w:hint="eastAsia"/>
          <w:color w:val="auto"/>
          <w:highlight w:val="none"/>
          <w:lang w:val="en-US" w:eastAsia="zh-CN"/>
        </w:rPr>
      </w:pPr>
      <w:r>
        <w:rPr>
          <w:rFonts w:hint="eastAsia" w:ascii="宋体" w:hAnsi="宋体" w:eastAsia="宋体" w:cs="宋体"/>
          <w:color w:val="auto"/>
          <w:sz w:val="24"/>
          <w:szCs w:val="24"/>
          <w:highlight w:val="none"/>
          <w:lang w:val="en-US" w:eastAsia="zh-CN"/>
        </w:rPr>
        <w:t>若项目因工作面移交滞后、样板房确认滞后影响精装修工程，项目精装修竣工验收前需完成的精装修工程的完工时间不得超过</w:t>
      </w:r>
      <w:r>
        <w:rPr>
          <w:rFonts w:hint="eastAsia" w:ascii="宋体" w:hAnsi="宋体" w:eastAsia="宋体" w:cs="宋体"/>
          <w:color w:val="auto"/>
          <w:spacing w:val="-1"/>
          <w:sz w:val="24"/>
          <w:szCs w:val="24"/>
          <w:highlight w:val="none"/>
        </w:rPr>
        <w:t>关键节点计划</w:t>
      </w:r>
      <w:r>
        <w:rPr>
          <w:rFonts w:hint="eastAsia" w:ascii="宋体" w:hAnsi="宋体" w:eastAsia="宋体" w:cs="宋体"/>
          <w:color w:val="auto"/>
          <w:spacing w:val="-1"/>
          <w:sz w:val="24"/>
          <w:szCs w:val="24"/>
          <w:highlight w:val="none"/>
          <w:lang w:val="en-US" w:eastAsia="zh-CN"/>
        </w:rPr>
        <w:t>约定的精装修工程完工。</w:t>
      </w:r>
    </w:p>
    <w:p w14:paraId="18F3F5AD">
      <w:pPr>
        <w:numPr>
          <w:ilvl w:val="0"/>
          <w:numId w:val="6"/>
        </w:numPr>
        <w:ind w:left="568" w:leftChars="236" w:hanging="2" w:hangingChars="1"/>
        <w:rPr>
          <w:rFonts w:hint="eastAsia" w:ascii="宋体" w:hAnsi="宋体" w:eastAsia="宋体" w:cs="宋体"/>
          <w:color w:val="auto"/>
          <w:szCs w:val="21"/>
          <w:highlight w:val="none"/>
          <w:lang w:eastAsia="zh-CN"/>
        </w:rPr>
      </w:pPr>
      <w:r>
        <w:rPr>
          <w:rFonts w:hint="eastAsia" w:ascii="宋体" w:hAnsi="宋体" w:eastAsia="宋体" w:cs="宋体"/>
          <w:bCs/>
          <w:color w:val="auto"/>
          <w:sz w:val="24"/>
          <w:szCs w:val="24"/>
          <w:highlight w:val="none"/>
        </w:rPr>
        <w:t>发包人根据工程实施情况，有权对本合同工程工期进行适当调整，</w:t>
      </w:r>
      <w:r>
        <w:rPr>
          <w:rFonts w:hint="eastAsia" w:cs="宋体"/>
          <w:bCs/>
          <w:color w:val="auto"/>
          <w:sz w:val="24"/>
          <w:szCs w:val="24"/>
          <w:highlight w:val="none"/>
          <w:lang w:val="en-US" w:eastAsia="zh-CN"/>
        </w:rPr>
        <w:t>承</w:t>
      </w:r>
      <w:r>
        <w:rPr>
          <w:rFonts w:hint="eastAsia" w:ascii="宋体" w:hAnsi="宋体" w:eastAsia="宋体" w:cs="宋体"/>
          <w:color w:val="auto"/>
          <w:sz w:val="24"/>
          <w:szCs w:val="24"/>
          <w:highlight w:val="none"/>
        </w:rPr>
        <w:t>包人需充分考虑并无条件接受</w:t>
      </w:r>
      <w:r>
        <w:rPr>
          <w:rFonts w:hint="eastAsia" w:ascii="宋体" w:hAnsi="宋体" w:eastAsia="宋体" w:cs="宋体"/>
          <w:color w:val="auto"/>
          <w:sz w:val="24"/>
          <w:szCs w:val="24"/>
          <w:highlight w:val="none"/>
          <w:lang w:eastAsia="zh-CN"/>
        </w:rPr>
        <w:t>，相关费用需考虑在投标总价内。</w:t>
      </w:r>
    </w:p>
    <w:bookmarkEnd w:id="45"/>
    <w:p w14:paraId="35BA4627">
      <w:pPr>
        <w:keepNext/>
        <w:keepLines/>
        <w:pageBreakBefore w:val="0"/>
        <w:widowControl/>
        <w:numPr>
          <w:ilvl w:val="0"/>
          <w:numId w:val="5"/>
        </w:numPr>
        <w:kinsoku/>
        <w:wordWrap/>
        <w:overflowPunct/>
        <w:topLinePunct w:val="0"/>
        <w:autoSpaceDE/>
        <w:autoSpaceDN/>
        <w:bidi w:val="0"/>
        <w:adjustRightInd/>
        <w:snapToGrid/>
        <w:spacing w:before="0" w:beforeLines="0" w:after="0" w:afterLines="0" w:line="360" w:lineRule="auto"/>
        <w:ind w:left="420" w:hanging="420"/>
        <w:textAlignment w:val="auto"/>
        <w:outlineLvl w:val="1"/>
        <w:rPr>
          <w:rFonts w:hint="eastAsia" w:ascii="宋体" w:hAnsi="宋体" w:eastAsia="宋体" w:cs="宋体"/>
          <w:b/>
          <w:bCs w:val="0"/>
          <w:color w:val="auto"/>
          <w:kern w:val="2"/>
          <w:sz w:val="24"/>
          <w:szCs w:val="32"/>
          <w:highlight w:val="none"/>
          <w:lang w:val="en-US" w:eastAsia="zh-CN" w:bidi="ar-SA"/>
        </w:rPr>
      </w:pPr>
      <w:bookmarkStart w:id="46" w:name="_Toc20088"/>
      <w:bookmarkStart w:id="47" w:name="_Toc3996"/>
      <w:r>
        <w:rPr>
          <w:rFonts w:hint="eastAsia" w:ascii="宋体" w:hAnsi="宋体" w:eastAsia="宋体" w:cs="宋体"/>
          <w:b/>
          <w:bCs w:val="0"/>
          <w:color w:val="auto"/>
          <w:kern w:val="2"/>
          <w:sz w:val="24"/>
          <w:szCs w:val="32"/>
          <w:highlight w:val="none"/>
          <w:lang w:val="en-US" w:eastAsia="zh-CN" w:bidi="ar-SA"/>
        </w:rPr>
        <w:t>职业健康安全管理目标和环境管理目标</w:t>
      </w:r>
      <w:bookmarkEnd w:id="46"/>
      <w:bookmarkEnd w:id="47"/>
    </w:p>
    <w:p w14:paraId="4DA04492">
      <w:pPr>
        <w:widowControl/>
        <w:snapToGrid/>
        <w:spacing w:line="360" w:lineRule="auto"/>
        <w:ind w:firstLine="480" w:firstLineChars="0"/>
        <w:jc w:val="left"/>
        <w:rPr>
          <w:rFonts w:hint="default" w:ascii="宋体" w:hAnsi="宋体" w:eastAsia="宋体"/>
          <w:color w:val="auto"/>
          <w:highlight w:val="none"/>
        </w:rPr>
      </w:pPr>
      <w:r>
        <w:rPr>
          <w:rFonts w:hint="eastAsia" w:ascii="宋体" w:hAnsi="宋体" w:eastAsia="宋体"/>
          <w:color w:val="auto"/>
          <w:highlight w:val="none"/>
          <w:lang w:val="en-US" w:eastAsia="zh-CN"/>
        </w:rPr>
        <w:t>2.3.1</w:t>
      </w:r>
      <w:r>
        <w:rPr>
          <w:rFonts w:hint="default" w:ascii="宋体" w:hAnsi="宋体" w:eastAsia="宋体"/>
          <w:color w:val="auto"/>
          <w:highlight w:val="none"/>
        </w:rPr>
        <w:t>职业健康安全管理目标：事故隐患排查治理覆盖率100%，一般事故隐患整改率100%，重大事故隐患挂牌督办率100%、整改率100%；安全生产非法违法行为举报投诉查办率达到100%。</w:t>
      </w:r>
    </w:p>
    <w:p w14:paraId="13229028">
      <w:pPr>
        <w:widowControl/>
        <w:snapToGrid/>
        <w:spacing w:line="360" w:lineRule="auto"/>
        <w:ind w:firstLine="480" w:firstLineChars="0"/>
        <w:jc w:val="left"/>
        <w:rPr>
          <w:rFonts w:hint="default" w:ascii="宋体" w:hAnsi="宋体" w:eastAsia="宋体"/>
          <w:color w:val="auto"/>
          <w:highlight w:val="none"/>
        </w:rPr>
      </w:pPr>
      <w:r>
        <w:rPr>
          <w:rFonts w:hint="default" w:ascii="宋体" w:hAnsi="宋体" w:eastAsia="宋体"/>
          <w:color w:val="auto"/>
          <w:highlight w:val="none"/>
          <w:lang w:val="en-US" w:eastAsia="zh-CN"/>
        </w:rPr>
        <w:t>（1）</w:t>
      </w:r>
      <w:r>
        <w:rPr>
          <w:rFonts w:hint="default" w:ascii="宋体" w:hAnsi="宋体" w:eastAsia="宋体"/>
          <w:color w:val="auto"/>
          <w:highlight w:val="none"/>
        </w:rPr>
        <w:t>杜绝发生一般事故等级及以上的伤亡事故且工伤责任事故死亡人数为零。</w:t>
      </w:r>
    </w:p>
    <w:p w14:paraId="63C6181D">
      <w:pPr>
        <w:widowControl/>
        <w:snapToGrid/>
        <w:spacing w:line="360" w:lineRule="auto"/>
        <w:ind w:firstLine="480" w:firstLineChars="0"/>
        <w:jc w:val="left"/>
        <w:rPr>
          <w:rFonts w:hint="default" w:ascii="宋体" w:hAnsi="宋体" w:eastAsia="宋体"/>
          <w:color w:val="auto"/>
          <w:highlight w:val="none"/>
          <w:lang w:val="en-US" w:eastAsia="zh-CN"/>
        </w:rPr>
      </w:pPr>
      <w:r>
        <w:rPr>
          <w:rFonts w:hint="default" w:ascii="宋体" w:hAnsi="宋体" w:eastAsia="宋体"/>
          <w:color w:val="auto"/>
          <w:highlight w:val="none"/>
          <w:lang w:val="en-US" w:eastAsia="zh-CN"/>
        </w:rPr>
        <w:t>（2）零负面舆情影响事件、零群体性事件。</w:t>
      </w:r>
    </w:p>
    <w:p w14:paraId="7920E5A3">
      <w:pPr>
        <w:widowControl/>
        <w:snapToGrid/>
        <w:spacing w:line="360" w:lineRule="auto"/>
        <w:ind w:firstLine="480" w:firstLineChars="0"/>
        <w:jc w:val="left"/>
        <w:rPr>
          <w:rFonts w:hint="default" w:ascii="宋体" w:hAnsi="宋体" w:eastAsia="宋体"/>
          <w:color w:val="auto"/>
          <w:highlight w:val="none"/>
          <w:lang w:val="en-US" w:eastAsia="zh-CN"/>
        </w:rPr>
      </w:pPr>
      <w:r>
        <w:rPr>
          <w:rFonts w:hint="default" w:ascii="宋体" w:hAnsi="宋体" w:eastAsia="宋体"/>
          <w:color w:val="auto"/>
          <w:highlight w:val="none"/>
          <w:lang w:val="en-US" w:eastAsia="zh-CN"/>
        </w:rPr>
        <w:t>（3）项目不发生疫情，杜绝疫情扩散感染，</w:t>
      </w:r>
      <w:r>
        <w:rPr>
          <w:rFonts w:hint="default" w:ascii="宋体" w:hAnsi="宋体" w:eastAsia="宋体"/>
          <w:color w:val="auto"/>
          <w:highlight w:val="none"/>
        </w:rPr>
        <w:t>杜绝群体性卫生事件发生。</w:t>
      </w:r>
    </w:p>
    <w:p w14:paraId="5070C148">
      <w:pPr>
        <w:keepNext w:val="0"/>
        <w:keepLines w:val="0"/>
        <w:pageBreakBefore w:val="0"/>
        <w:widowControl w:val="0"/>
        <w:kinsoku/>
        <w:wordWrap/>
        <w:overflowPunct/>
        <w:topLinePunct w:val="0"/>
        <w:autoSpaceDE/>
        <w:autoSpaceDN/>
        <w:bidi w:val="0"/>
        <w:snapToGrid/>
        <w:spacing w:line="360" w:lineRule="auto"/>
        <w:ind w:firstLine="480" w:firstLineChars="0"/>
        <w:jc w:val="left"/>
        <w:rPr>
          <w:rFonts w:hint="default" w:ascii="宋体" w:hAnsi="宋体" w:eastAsia="宋体"/>
          <w:color w:val="auto"/>
          <w:highlight w:val="none"/>
        </w:rPr>
      </w:pPr>
      <w:r>
        <w:rPr>
          <w:rFonts w:hint="default" w:ascii="宋体" w:hAnsi="宋体" w:eastAsia="宋体"/>
          <w:color w:val="auto"/>
          <w:highlight w:val="none"/>
          <w:lang w:eastAsia="zh-CN"/>
        </w:rPr>
        <w:t>（</w:t>
      </w:r>
      <w:r>
        <w:rPr>
          <w:rFonts w:hint="default" w:ascii="宋体" w:hAnsi="宋体" w:eastAsia="宋体"/>
          <w:color w:val="auto"/>
          <w:highlight w:val="none"/>
          <w:lang w:val="en-US" w:eastAsia="zh-CN"/>
        </w:rPr>
        <w:t>4</w:t>
      </w:r>
      <w:r>
        <w:rPr>
          <w:rFonts w:hint="default" w:ascii="宋体" w:hAnsi="宋体" w:eastAsia="宋体"/>
          <w:color w:val="auto"/>
          <w:highlight w:val="none"/>
          <w:lang w:eastAsia="zh-CN"/>
        </w:rPr>
        <w:t>）</w:t>
      </w:r>
      <w:r>
        <w:rPr>
          <w:rFonts w:hint="default" w:ascii="宋体" w:hAnsi="宋体" w:eastAsia="宋体"/>
          <w:color w:val="auto"/>
          <w:highlight w:val="none"/>
          <w:lang w:val="en-US" w:eastAsia="zh-CN"/>
        </w:rPr>
        <w:t>配合总承包</w:t>
      </w:r>
      <w:r>
        <w:rPr>
          <w:rFonts w:hint="eastAsia"/>
          <w:color w:val="auto"/>
          <w:highlight w:val="none"/>
          <w:lang w:val="en-US" w:eastAsia="zh-CN"/>
        </w:rPr>
        <w:t>人取得：确保达到广州市建设工程安全生产标准化管理水平评价AAA级标准</w:t>
      </w:r>
      <w:r>
        <w:rPr>
          <w:rFonts w:hint="default" w:ascii="宋体" w:hAnsi="宋体" w:eastAsia="宋体"/>
          <w:color w:val="auto"/>
          <w:highlight w:val="none"/>
        </w:rPr>
        <w:t>。</w:t>
      </w:r>
    </w:p>
    <w:p w14:paraId="5348F5BA">
      <w:pPr>
        <w:widowControl/>
        <w:snapToGrid/>
        <w:spacing w:line="360" w:lineRule="auto"/>
        <w:ind w:firstLine="480" w:firstLineChars="0"/>
        <w:jc w:val="left"/>
        <w:rPr>
          <w:rFonts w:hint="eastAsia" w:ascii="宋体" w:hAnsi="宋体" w:eastAsia="宋体"/>
          <w:color w:val="auto"/>
          <w:highlight w:val="none"/>
          <w:lang w:val="en-US" w:eastAsia="zh-CN"/>
        </w:rPr>
      </w:pPr>
      <w:r>
        <w:rPr>
          <w:rFonts w:hint="eastAsia" w:ascii="宋体" w:hAnsi="宋体" w:eastAsia="宋体"/>
          <w:color w:val="auto"/>
          <w:highlight w:val="none"/>
          <w:lang w:val="en-US" w:eastAsia="zh-CN"/>
        </w:rPr>
        <w:t>2.3.2环境管理目标：</w:t>
      </w:r>
    </w:p>
    <w:p w14:paraId="7E795013">
      <w:pPr>
        <w:widowControl/>
        <w:numPr>
          <w:ilvl w:val="0"/>
          <w:numId w:val="7"/>
        </w:numPr>
        <w:tabs>
          <w:tab w:val="left" w:pos="40"/>
        </w:tabs>
        <w:ind w:firstLine="480"/>
        <w:jc w:val="left"/>
        <w:rPr>
          <w:bCs/>
          <w:color w:val="auto"/>
          <w:highlight w:val="none"/>
          <w:lang w:val="zh-CN"/>
        </w:rPr>
      </w:pPr>
      <w:r>
        <w:rPr>
          <w:rFonts w:hint="eastAsia" w:eastAsia="宋体"/>
          <w:color w:val="auto"/>
          <w:highlight w:val="none"/>
        </w:rPr>
        <w:t>严格执行《广州市建设工程文明施工管理规定》（广州市人民政府令第158号）、《广州市建设工程现场文明施工管理办法》（穗建质〔2008〕937号）、《关于进一步加强我区建设工地文明施工管理的通知》（穗开规建〔2006〕74号）、《广州市城乡建设委员会关于印发广州市加强建筑工地环保管理工作方案的通知》(穗建质〔2014〕754号) 、《广州市提升建设工程安全文明施工管理水平的工作指引》（穗建质〔2017〕815号）、《广州市建设工程安全文明施工规程（试行版）》（穗建质〔2021) 316 号）、《危险性较大的分部分项工程安全管理规定》(中华人民共和国住房和城乡建设部令第37号)、《关于加强建设工程安全生产管理 落实建设各方主体责任的暂行规定》（穗建规字〔2020〕34号）、《广州市住房和城乡建设委员会关于印发建设工程扬尘防治“6个100%”管理标准细化措施的通知》（穗建质〔2018〕1394号）、广州市住房和城乡建设局关于印发广州市房屋建筑工程安全防护指导图集（防高坠篇）的通知、《广州市建设工程绿色施工围蔽指导图集（V2.0版）》（穗建质〔2020〕1号）和《广东省建筑垃圾管理条例》（广东省第十三届人民代表大会常务委员会公告第126号） 等国家、省、市现行标准、规定和文件要求。严格按照国家、省市最新颁布的法律法规、规章制度及建设行政主管部门最新发布的相关文件等执行，杜绝环境破坏、环境污染和水体污染事故等。以上文件要求不一致的，以后发布文件为准，若相关部门发布有关施工围蔽新文件规定的，按新规定执行，费用不予增加。</w:t>
      </w:r>
    </w:p>
    <w:p w14:paraId="5C97C196">
      <w:pPr>
        <w:rPr>
          <w:rFonts w:hint="eastAsia" w:ascii="宋体" w:hAnsi="宋体" w:eastAsia="宋体"/>
          <w:color w:val="auto"/>
          <w:highlight w:val="none"/>
        </w:rPr>
      </w:pPr>
      <w:bookmarkStart w:id="48" w:name="_Toc153907553"/>
      <w:bookmarkStart w:id="49" w:name="_Toc488931145"/>
      <w:r>
        <w:rPr>
          <w:rFonts w:hint="eastAsia" w:ascii="宋体" w:hAnsi="宋体" w:eastAsia="宋体"/>
          <w:color w:val="auto"/>
          <w:highlight w:val="none"/>
        </w:rPr>
        <w:br w:type="page"/>
      </w:r>
    </w:p>
    <w:p w14:paraId="043875E8">
      <w:pPr>
        <w:pStyle w:val="3"/>
        <w:bidi w:val="0"/>
        <w:rPr>
          <w:rFonts w:hint="eastAsia" w:ascii="宋体" w:hAnsi="宋体" w:eastAsia="宋体"/>
          <w:color w:val="auto"/>
          <w:highlight w:val="none"/>
        </w:rPr>
      </w:pPr>
      <w:bookmarkStart w:id="50" w:name="_Toc7629"/>
      <w:r>
        <w:rPr>
          <w:rFonts w:hint="eastAsia" w:ascii="宋体" w:hAnsi="宋体" w:eastAsia="宋体"/>
          <w:color w:val="auto"/>
          <w:highlight w:val="none"/>
        </w:rPr>
        <w:t>承包范围及界面划分</w:t>
      </w:r>
      <w:bookmarkEnd w:id="48"/>
      <w:bookmarkEnd w:id="49"/>
      <w:bookmarkEnd w:id="50"/>
    </w:p>
    <w:bookmarkEnd w:id="6"/>
    <w:p w14:paraId="425A5E3C">
      <w:pPr>
        <w:pStyle w:val="4"/>
        <w:keepNext w:val="0"/>
        <w:keepLines w:val="0"/>
        <w:pageBreakBefore w:val="0"/>
        <w:widowControl w:val="0"/>
        <w:numPr>
          <w:ilvl w:val="0"/>
          <w:numId w:val="8"/>
        </w:numPr>
        <w:kinsoku/>
        <w:wordWrap/>
        <w:overflowPunct/>
        <w:topLinePunct w:val="0"/>
        <w:autoSpaceDE/>
        <w:autoSpaceDN/>
        <w:bidi w:val="0"/>
        <w:spacing w:before="120" w:after="120" w:line="240" w:lineRule="auto"/>
        <w:ind w:firstLineChars="0"/>
        <w:rPr>
          <w:color w:val="auto"/>
          <w:highlight w:val="none"/>
        </w:rPr>
      </w:pPr>
      <w:bookmarkStart w:id="51" w:name="_Toc17606"/>
      <w:bookmarkStart w:id="52" w:name="_Toc22466"/>
      <w:r>
        <w:rPr>
          <w:rFonts w:hint="eastAsia"/>
          <w:color w:val="auto"/>
          <w:highlight w:val="none"/>
        </w:rPr>
        <w:t>合约分判架构</w:t>
      </w:r>
      <w:bookmarkEnd w:id="51"/>
      <w:bookmarkEnd w:id="52"/>
    </w:p>
    <w:p w14:paraId="0FE544BB">
      <w:pPr>
        <w:keepNext w:val="0"/>
        <w:keepLines w:val="0"/>
        <w:pageBreakBefore w:val="0"/>
        <w:widowControl w:val="0"/>
        <w:kinsoku/>
        <w:wordWrap/>
        <w:overflowPunct/>
        <w:topLinePunct w:val="0"/>
        <w:autoSpaceDE/>
        <w:autoSpaceDN/>
        <w:bidi w:val="0"/>
        <w:adjustRightInd/>
        <w:snapToGrid w:val="0"/>
        <w:spacing w:line="360" w:lineRule="auto"/>
        <w:ind w:left="0" w:right="0" w:hanging="16"/>
        <w:textAlignment w:val="auto"/>
        <w:outlineLvl w:val="2"/>
        <w:rPr>
          <w:rFonts w:hint="eastAsia" w:ascii="宋体" w:hAnsi="宋体" w:eastAsia="宋体" w:cs="宋体"/>
          <w:color w:val="auto"/>
          <w:spacing w:val="-3"/>
          <w:sz w:val="24"/>
          <w:szCs w:val="24"/>
          <w:highlight w:val="none"/>
          <w:lang w:val="en-US" w:eastAsia="zh-CN"/>
        </w:rPr>
      </w:pPr>
      <w:r>
        <w:rPr>
          <w:rFonts w:hint="eastAsia" w:ascii="宋体" w:hAnsi="宋体" w:eastAsia="宋体" w:cs="宋体"/>
          <w:color w:val="auto"/>
          <w:spacing w:val="-3"/>
          <w:sz w:val="24"/>
          <w:szCs w:val="24"/>
          <w:highlight w:val="none"/>
          <w:lang w:val="en-US" w:eastAsia="zh-CN"/>
        </w:rPr>
        <w:t>3.1.1结合总承包人前期招标合同界面分判</w:t>
      </w:r>
      <w:r>
        <w:rPr>
          <w:rFonts w:hint="eastAsia" w:ascii="宋体" w:hAnsi="宋体" w:eastAsia="宋体" w:cs="宋体"/>
          <w:color w:val="auto"/>
          <w:spacing w:val="0"/>
          <w:sz w:val="24"/>
          <w:szCs w:val="24"/>
          <w:highlight w:val="none"/>
          <w:lang w:val="en-US" w:eastAsia="zh-CN"/>
        </w:rPr>
        <w:t>并结合项目工程建设需求</w:t>
      </w:r>
      <w:r>
        <w:rPr>
          <w:rFonts w:hint="eastAsia" w:ascii="宋体" w:hAnsi="宋体" w:eastAsia="宋体" w:cs="宋体"/>
          <w:color w:val="auto"/>
          <w:spacing w:val="-3"/>
          <w:sz w:val="24"/>
          <w:szCs w:val="24"/>
          <w:highlight w:val="none"/>
        </w:rPr>
        <w:t>最终确定的项目</w:t>
      </w:r>
      <w:r>
        <w:rPr>
          <w:rFonts w:hint="eastAsia" w:ascii="宋体" w:hAnsi="宋体" w:eastAsia="宋体" w:cs="宋体"/>
          <w:color w:val="auto"/>
          <w:spacing w:val="-3"/>
          <w:sz w:val="24"/>
          <w:szCs w:val="24"/>
          <w:highlight w:val="none"/>
          <w:lang w:val="en-US" w:eastAsia="zh-CN"/>
        </w:rPr>
        <w:t>精装修工程</w:t>
      </w:r>
      <w:r>
        <w:rPr>
          <w:rFonts w:hint="eastAsia" w:ascii="宋体" w:hAnsi="宋体" w:eastAsia="宋体" w:cs="宋体"/>
          <w:color w:val="auto"/>
          <w:spacing w:val="-3"/>
          <w:sz w:val="24"/>
          <w:szCs w:val="24"/>
          <w:highlight w:val="none"/>
        </w:rPr>
        <w:t>合约分判架构</w:t>
      </w:r>
      <w:r>
        <w:rPr>
          <w:rFonts w:hint="eastAsia" w:ascii="宋体" w:hAnsi="宋体" w:eastAsia="宋体" w:cs="宋体"/>
          <w:color w:val="auto"/>
          <w:spacing w:val="-4"/>
          <w:sz w:val="24"/>
          <w:szCs w:val="24"/>
          <w:highlight w:val="none"/>
        </w:rPr>
        <w:t>。</w:t>
      </w:r>
      <w:r>
        <w:rPr>
          <w:rFonts w:hint="eastAsia" w:ascii="宋体" w:hAnsi="宋体" w:eastAsia="宋体" w:cs="宋体"/>
          <w:color w:val="auto"/>
          <w:spacing w:val="-3"/>
          <w:sz w:val="24"/>
          <w:szCs w:val="24"/>
          <w:highlight w:val="none"/>
        </w:rPr>
        <w:t>详见</w:t>
      </w:r>
      <w:r>
        <w:rPr>
          <w:rFonts w:hint="eastAsia" w:ascii="宋体" w:hAnsi="宋体" w:eastAsia="宋体" w:cs="宋体"/>
          <w:color w:val="auto"/>
          <w:spacing w:val="-3"/>
          <w:sz w:val="24"/>
          <w:szCs w:val="24"/>
          <w:highlight w:val="none"/>
          <w:lang w:eastAsia="zh-CN"/>
        </w:rPr>
        <w:t>【</w:t>
      </w:r>
      <w:r>
        <w:rPr>
          <w:rFonts w:hint="eastAsia" w:ascii="宋体" w:hAnsi="宋体" w:eastAsia="宋体" w:cs="宋体"/>
          <w:color w:val="auto"/>
          <w:spacing w:val="-3"/>
          <w:sz w:val="24"/>
          <w:szCs w:val="24"/>
          <w:highlight w:val="none"/>
          <w:lang w:val="en-US" w:eastAsia="zh-CN"/>
        </w:rPr>
        <w:t>附件</w:t>
      </w:r>
      <w:r>
        <w:rPr>
          <w:rFonts w:hint="eastAsia" w:ascii="宋体" w:hAnsi="宋体" w:eastAsia="宋体" w:cs="宋体"/>
          <w:color w:val="auto"/>
          <w:spacing w:val="-3"/>
          <w:sz w:val="24"/>
          <w:szCs w:val="24"/>
          <w:highlight w:val="none"/>
        </w:rPr>
        <w:t>B-</w:t>
      </w:r>
      <w:r>
        <w:rPr>
          <w:rFonts w:hint="eastAsia" w:ascii="宋体" w:hAnsi="宋体" w:eastAsia="宋体" w:cs="宋体"/>
          <w:color w:val="auto"/>
          <w:spacing w:val="-3"/>
          <w:sz w:val="24"/>
          <w:szCs w:val="24"/>
          <w:highlight w:val="none"/>
          <w:lang w:val="en-US" w:eastAsia="zh-CN"/>
        </w:rPr>
        <w:t>1</w:t>
      </w:r>
      <w:r>
        <w:rPr>
          <w:rFonts w:hint="eastAsia" w:ascii="宋体" w:hAnsi="宋体" w:eastAsia="宋体" w:cs="宋体"/>
          <w:color w:val="auto"/>
          <w:spacing w:val="-3"/>
          <w:sz w:val="24"/>
          <w:szCs w:val="24"/>
          <w:highlight w:val="none"/>
          <w:lang w:eastAsia="zh-CN"/>
        </w:rPr>
        <w:t>】</w:t>
      </w:r>
      <w:r>
        <w:rPr>
          <w:rFonts w:hint="eastAsia" w:ascii="宋体" w:hAnsi="宋体" w:eastAsia="宋体" w:cs="宋体"/>
          <w:color w:val="auto"/>
          <w:highlight w:val="none"/>
          <w:lang w:val="en-US" w:eastAsia="zh-CN"/>
        </w:rPr>
        <w:t>精装修合约界面分判》</w:t>
      </w:r>
      <w:r>
        <w:rPr>
          <w:rFonts w:hint="eastAsia" w:ascii="宋体" w:hAnsi="宋体" w:eastAsia="宋体" w:cs="宋体"/>
          <w:color w:val="auto"/>
          <w:spacing w:val="-3"/>
          <w:sz w:val="24"/>
          <w:szCs w:val="24"/>
          <w:highlight w:val="none"/>
          <w:lang w:val="en-US" w:eastAsia="zh-CN"/>
        </w:rPr>
        <w:t>。</w:t>
      </w:r>
    </w:p>
    <w:p w14:paraId="767C618D">
      <w:pPr>
        <w:keepNext w:val="0"/>
        <w:keepLines w:val="0"/>
        <w:pageBreakBefore w:val="0"/>
        <w:widowControl w:val="0"/>
        <w:kinsoku/>
        <w:wordWrap/>
        <w:overflowPunct/>
        <w:topLinePunct w:val="0"/>
        <w:autoSpaceDE/>
        <w:autoSpaceDN/>
        <w:bidi w:val="0"/>
        <w:adjustRightInd/>
        <w:snapToGrid w:val="0"/>
        <w:spacing w:line="360" w:lineRule="auto"/>
        <w:ind w:left="0" w:right="0" w:hanging="16"/>
        <w:textAlignment w:val="auto"/>
        <w:outlineLvl w:val="2"/>
        <w:rPr>
          <w:rFonts w:hint="eastAsia" w:ascii="宋体" w:hAnsi="宋体" w:eastAsia="宋体" w:cs="宋体"/>
          <w:color w:val="auto"/>
          <w:sz w:val="24"/>
          <w:szCs w:val="24"/>
          <w:highlight w:val="none"/>
          <w:lang w:val="en-US" w:eastAsia="zh-CN"/>
        </w:rPr>
      </w:pPr>
      <w:r>
        <w:rPr>
          <w:rFonts w:hint="eastAsia" w:ascii="宋体" w:hAnsi="宋体" w:eastAsia="宋体" w:cs="宋体"/>
          <w:color w:val="auto"/>
          <w:spacing w:val="-3"/>
          <w:sz w:val="24"/>
          <w:szCs w:val="24"/>
          <w:highlight w:val="none"/>
          <w:lang w:val="en-US" w:eastAsia="zh-CN"/>
        </w:rPr>
        <w:t>3.1.2发包人根据项目实际情况及工程建设需要有权的对</w:t>
      </w:r>
      <w:r>
        <w:rPr>
          <w:rFonts w:hint="eastAsia" w:cs="宋体"/>
          <w:color w:val="auto"/>
          <w:spacing w:val="-3"/>
          <w:sz w:val="24"/>
          <w:szCs w:val="24"/>
          <w:highlight w:val="none"/>
          <w:lang w:val="en-US" w:eastAsia="zh-CN"/>
        </w:rPr>
        <w:t>专业承包人</w:t>
      </w:r>
      <w:r>
        <w:rPr>
          <w:rFonts w:hint="eastAsia" w:ascii="宋体" w:hAnsi="宋体" w:eastAsia="宋体" w:cs="宋体"/>
          <w:color w:val="auto"/>
          <w:spacing w:val="-3"/>
          <w:sz w:val="24"/>
          <w:szCs w:val="24"/>
          <w:highlight w:val="none"/>
          <w:lang w:val="en-US" w:eastAsia="zh-CN"/>
        </w:rPr>
        <w:t>的承包范围工作界面进行调整，</w:t>
      </w:r>
      <w:r>
        <w:rPr>
          <w:rFonts w:hint="eastAsia" w:cs="宋体"/>
          <w:color w:val="auto"/>
          <w:spacing w:val="-3"/>
          <w:sz w:val="24"/>
          <w:szCs w:val="24"/>
          <w:highlight w:val="none"/>
          <w:lang w:val="en-US" w:eastAsia="zh-CN"/>
        </w:rPr>
        <w:t>专业承包人</w:t>
      </w:r>
      <w:r>
        <w:rPr>
          <w:rFonts w:hint="eastAsia" w:ascii="宋体" w:hAnsi="宋体" w:eastAsia="宋体" w:cs="宋体"/>
          <w:color w:val="auto"/>
          <w:spacing w:val="-3"/>
          <w:sz w:val="24"/>
          <w:szCs w:val="24"/>
          <w:highlight w:val="none"/>
          <w:lang w:val="en-US" w:eastAsia="zh-CN"/>
        </w:rPr>
        <w:t>不得拒绝。</w:t>
      </w:r>
    </w:p>
    <w:p w14:paraId="2FAD7605">
      <w:pPr>
        <w:pStyle w:val="4"/>
        <w:keepNext w:val="0"/>
        <w:keepLines w:val="0"/>
        <w:pageBreakBefore w:val="0"/>
        <w:widowControl w:val="0"/>
        <w:numPr>
          <w:ilvl w:val="0"/>
          <w:numId w:val="8"/>
        </w:numPr>
        <w:kinsoku/>
        <w:wordWrap/>
        <w:overflowPunct/>
        <w:topLinePunct w:val="0"/>
        <w:autoSpaceDE/>
        <w:autoSpaceDN/>
        <w:bidi w:val="0"/>
        <w:spacing w:before="120" w:after="120" w:line="240" w:lineRule="auto"/>
        <w:ind w:firstLineChars="0"/>
        <w:rPr>
          <w:rFonts w:hint="eastAsia"/>
          <w:color w:val="auto"/>
          <w:highlight w:val="none"/>
        </w:rPr>
      </w:pPr>
      <w:bookmarkStart w:id="53" w:name="_Toc1892"/>
      <w:bookmarkStart w:id="54" w:name="_Toc23088"/>
      <w:bookmarkStart w:id="55" w:name="_Toc14787"/>
      <w:bookmarkStart w:id="56" w:name="_Toc25912"/>
      <w:bookmarkStart w:id="57" w:name="_Toc23855"/>
      <w:bookmarkStart w:id="58" w:name="_Toc14150"/>
      <w:r>
        <w:rPr>
          <w:rFonts w:hint="eastAsia"/>
          <w:color w:val="auto"/>
          <w:highlight w:val="none"/>
        </w:rPr>
        <w:t>承包范围</w:t>
      </w:r>
      <w:bookmarkEnd w:id="53"/>
      <w:bookmarkEnd w:id="54"/>
      <w:bookmarkEnd w:id="55"/>
      <w:bookmarkEnd w:id="56"/>
      <w:bookmarkEnd w:id="57"/>
      <w:bookmarkEnd w:id="58"/>
    </w:p>
    <w:p w14:paraId="14404B2E">
      <w:pPr>
        <w:keepNext w:val="0"/>
        <w:keepLines w:val="0"/>
        <w:pageBreakBefore w:val="0"/>
        <w:widowControl w:val="0"/>
        <w:kinsoku/>
        <w:wordWrap/>
        <w:overflowPunct/>
        <w:topLinePunct w:val="0"/>
        <w:autoSpaceDE/>
        <w:autoSpaceDN/>
        <w:bidi w:val="0"/>
        <w:rPr>
          <w:rFonts w:hint="eastAsia"/>
          <w:color w:val="auto"/>
          <w:highlight w:val="none"/>
        </w:rPr>
      </w:pPr>
      <w:r>
        <w:rPr>
          <w:rFonts w:hint="eastAsia"/>
          <w:color w:val="auto"/>
          <w:highlight w:val="none"/>
        </w:rPr>
        <w:t>以下所述的工程范围及介绍只是概括的，并不能视为完整无缺的。</w:t>
      </w:r>
      <w:r>
        <w:rPr>
          <w:rFonts w:hint="eastAsia"/>
          <w:color w:val="auto"/>
          <w:highlight w:val="none"/>
          <w:lang w:eastAsia="zh-CN"/>
        </w:rPr>
        <w:t>专业承包人</w:t>
      </w:r>
      <w:r>
        <w:rPr>
          <w:rFonts w:hint="eastAsia"/>
          <w:color w:val="auto"/>
          <w:highlight w:val="none"/>
        </w:rPr>
        <w:t>应充分研究合同文件，包括投标须知、合同条款、工料规范及工程量清单，特别是按图纸去完全了解本工程的实际范围。</w:t>
      </w:r>
    </w:p>
    <w:p w14:paraId="7CDC51E5">
      <w:pPr>
        <w:keepNext w:val="0"/>
        <w:keepLines w:val="0"/>
        <w:pageBreakBefore w:val="0"/>
        <w:widowControl w:val="0"/>
        <w:suppressLineNumbers w:val="0"/>
        <w:kinsoku/>
        <w:wordWrap/>
        <w:overflowPunct/>
        <w:topLinePunct w:val="0"/>
        <w:autoSpaceDE/>
        <w:autoSpaceDN/>
        <w:bidi w:val="0"/>
        <w:spacing w:before="0" w:beforeAutospacing="0" w:after="0" w:afterAutospacing="0" w:line="360" w:lineRule="auto"/>
        <w:ind w:left="0" w:right="0" w:firstLine="480" w:firstLineChars="200"/>
        <w:jc w:val="both"/>
        <w:outlineLvl w:val="2"/>
        <w:rPr>
          <w:rFonts w:hint="eastAsia"/>
          <w:color w:val="auto"/>
          <w:highlight w:val="none"/>
          <w:lang w:val="en-US" w:eastAsia="zh-CN"/>
        </w:rPr>
      </w:pPr>
      <w:r>
        <w:rPr>
          <w:rFonts w:hint="eastAsia"/>
          <w:color w:val="auto"/>
          <w:highlight w:val="none"/>
          <w:lang w:val="en-US" w:eastAsia="zh-CN"/>
        </w:rPr>
        <w:t>3.2.1承包范围</w:t>
      </w:r>
    </w:p>
    <w:p w14:paraId="32F50E16">
      <w:pPr>
        <w:keepNext w:val="0"/>
        <w:keepLines w:val="0"/>
        <w:pageBreakBefore w:val="0"/>
        <w:widowControl w:val="0"/>
        <w:suppressLineNumbers w:val="0"/>
        <w:kinsoku/>
        <w:wordWrap/>
        <w:overflowPunct/>
        <w:topLinePunct w:val="0"/>
        <w:autoSpaceDE/>
        <w:autoSpaceDN/>
        <w:bidi w:val="0"/>
        <w:spacing w:before="0" w:beforeAutospacing="0" w:after="0" w:afterAutospacing="0" w:line="360" w:lineRule="auto"/>
        <w:ind w:left="0" w:right="0" w:firstLine="480" w:firstLineChars="200"/>
        <w:jc w:val="both"/>
        <w:rPr>
          <w:rFonts w:hint="eastAsia"/>
          <w:color w:val="auto"/>
          <w:highlight w:val="none"/>
          <w:lang w:val="en-US" w:eastAsia="zh-CN"/>
        </w:rPr>
      </w:pPr>
      <w:r>
        <w:rPr>
          <w:rFonts w:hint="eastAsia"/>
          <w:color w:val="auto"/>
          <w:highlight w:val="none"/>
          <w:lang w:val="en-US" w:eastAsia="zh-CN"/>
        </w:rPr>
        <w:t>专业承包人需按照相关规范、施工图纸及发包人要求完成本项目内</w:t>
      </w:r>
      <w:r>
        <w:rPr>
          <w:rFonts w:hint="eastAsia"/>
          <w:color w:val="auto"/>
          <w:highlight w:val="yellow"/>
          <w:lang w:val="en-US" w:eastAsia="zh-CN"/>
        </w:rPr>
        <w:t>1#-5#楼（1#-4#楼为住宅、5#楼为地上停车楼）</w:t>
      </w:r>
      <w:r>
        <w:rPr>
          <w:rFonts w:hint="eastAsia"/>
          <w:color w:val="auto"/>
          <w:highlight w:val="none"/>
          <w:lang w:val="en-US" w:eastAsia="zh-CN"/>
        </w:rPr>
        <w:t>精装修工程，包含不限于</w:t>
      </w:r>
      <w:r>
        <w:rPr>
          <w:rFonts w:hint="eastAsia"/>
          <w:color w:val="auto"/>
          <w:highlight w:val="yellow"/>
          <w:lang w:val="en-US" w:eastAsia="zh-CN"/>
        </w:rPr>
        <w:t>1#楼-5#楼</w:t>
      </w:r>
      <w:r>
        <w:rPr>
          <w:rFonts w:hint="eastAsia"/>
          <w:color w:val="auto"/>
          <w:highlight w:val="none"/>
          <w:lang w:val="en-US" w:eastAsia="zh-CN"/>
        </w:rPr>
        <w:t>公共区域(地下大堂、首层大堂(大堂及拓展区)、标准层电梯厅及走廊、电梯轿厢、架空层、避难层等公共区域)、功能区域、小区出入口(小区门头)饰面工程、住宅户内精装修工程、室外风雨连廊及会客厅廊架、</w:t>
      </w:r>
      <w:bookmarkStart w:id="654" w:name="_GoBack"/>
      <w:r>
        <w:rPr>
          <w:rFonts w:hint="default"/>
          <w:color w:val="auto"/>
          <w:highlight w:val="yellow"/>
          <w:lang w:val="en-US" w:eastAsia="zh-CN"/>
        </w:rPr>
        <w:t>按改造图纸对不涉及主体结构的已有非承重墙体、门窗、地面等的拆除改造工作</w:t>
      </w:r>
      <w:bookmarkEnd w:id="654"/>
      <w:r>
        <w:rPr>
          <w:rFonts w:hint="eastAsia"/>
          <w:color w:val="auto"/>
          <w:highlight w:val="none"/>
          <w:lang w:val="en-US" w:eastAsia="zh-CN"/>
        </w:rPr>
        <w:t>及其他为完成此项工作的所包含的所有工作，含承包范围内的材料采购供应及安装等工作(具体以本项目招标文件、施工图纸、工程量清单及施工合同约定为准)。工作内容包括但不限于：公共区和功能区精装修工程、小区出入口(小区门头)饰面工程、室外风雨连廊及会客厅廊架工程、住宅户内精装修工程、住宅户内门工程、木地板工程、住宅橱柜工程、住宅厨房电器工程、住宅固定柜体工程、住宅智能家居系统工程、住宅淋浴隔断工程、住宅入户门电子门锁工程、厨房推拉门、住宅入户门工程、隔音降噪工程等精装修工程及精装修工程所涉及的墙地砖、室内灯具、洁具五金、住宅厨房水槽龙头、住宅户内壁纸、住宅全屋wifi系统、开关插座、乳胶漆、集成吊顶（含暖风机及浴霸）、石材等精装修材料的供应、安装等工作。</w:t>
      </w:r>
    </w:p>
    <w:p w14:paraId="5925FA13">
      <w:pPr>
        <w:keepNext w:val="0"/>
        <w:keepLines w:val="0"/>
        <w:pageBreakBefore w:val="0"/>
        <w:widowControl w:val="0"/>
        <w:kinsoku/>
        <w:wordWrap/>
        <w:overflowPunct/>
        <w:topLinePunct w:val="0"/>
        <w:autoSpaceDE/>
        <w:autoSpaceDN/>
        <w:bidi w:val="0"/>
        <w:outlineLvl w:val="2"/>
        <w:rPr>
          <w:rFonts w:hint="eastAsia"/>
          <w:color w:val="auto"/>
          <w:highlight w:val="none"/>
          <w:lang w:val="en-US" w:eastAsia="zh-CN"/>
        </w:rPr>
      </w:pPr>
      <w:r>
        <w:rPr>
          <w:rFonts w:hint="eastAsia"/>
          <w:color w:val="auto"/>
          <w:highlight w:val="none"/>
          <w:lang w:val="en-US" w:eastAsia="zh-CN"/>
        </w:rPr>
        <w:t>3.2.2承包范围其他特殊要求：</w:t>
      </w:r>
    </w:p>
    <w:p w14:paraId="3FA64913">
      <w:pPr>
        <w:keepNext w:val="0"/>
        <w:keepLines w:val="0"/>
        <w:pageBreakBefore w:val="0"/>
        <w:widowControl w:val="0"/>
        <w:kinsoku/>
        <w:wordWrap/>
        <w:overflowPunct/>
        <w:topLinePunct w:val="0"/>
        <w:autoSpaceDE/>
        <w:autoSpaceDN/>
        <w:bidi w:val="0"/>
        <w:outlineLvl w:val="3"/>
        <w:rPr>
          <w:rFonts w:hint="default"/>
          <w:color w:val="auto"/>
          <w:highlight w:val="none"/>
          <w:lang w:val="en-US" w:eastAsia="zh-CN"/>
        </w:rPr>
      </w:pPr>
      <w:r>
        <w:rPr>
          <w:rFonts w:hint="eastAsia"/>
          <w:color w:val="auto"/>
          <w:highlight w:val="none"/>
          <w:lang w:val="en-US" w:eastAsia="zh-CN"/>
        </w:rPr>
        <w:t>3.2.2.1项目竣工验收后涉及的二次改造工程如墙体及地面装修层的拆除、外运、混凝土反坎施工、墙体砌筑工程、抹灰工程、机电预留预埋工程、二次机电工程、门类工程等工作由专业承包人负责在竣工验收后根据最终交付图纸进行施工，总承包人负责建筑外立面门窗、阳台改房间的外立面门窗、客厅改造门、阳台外挂花池改造、新增外立面门窗及新增的建筑外立面墙体、新增外立面墙体的外立面装修(含外立面外墙外侧抹灰、外立面外墙外侧防水、外立面外墙外侧涂料、外立面外墙外侧面砖等)。</w:t>
      </w:r>
    </w:p>
    <w:p w14:paraId="274BF4FF">
      <w:pPr>
        <w:keepNext w:val="0"/>
        <w:keepLines w:val="0"/>
        <w:pageBreakBefore w:val="0"/>
        <w:widowControl w:val="0"/>
        <w:kinsoku/>
        <w:wordWrap/>
        <w:overflowPunct/>
        <w:topLinePunct w:val="0"/>
        <w:autoSpaceDE/>
        <w:autoSpaceDN/>
        <w:bidi w:val="0"/>
        <w:outlineLvl w:val="3"/>
        <w:rPr>
          <w:rFonts w:hint="eastAsia"/>
          <w:color w:val="auto"/>
          <w:highlight w:val="none"/>
          <w:lang w:val="en-US" w:eastAsia="zh-CN"/>
        </w:rPr>
      </w:pPr>
      <w:r>
        <w:rPr>
          <w:rFonts w:hint="eastAsia"/>
          <w:color w:val="auto"/>
          <w:highlight w:val="none"/>
          <w:lang w:val="en-US" w:eastAsia="zh-CN"/>
        </w:rPr>
        <w:t>3.2.2.2本工程竣工图纸和交付图存在部分差别，项目存在竣工验收后的二次改造工程，专业承包人需根据项目竣工验收前的竣工图纸及竣工验收后的二次改造图纸提前考虑竣工验收前后因二次改造工程对精装修施工造成的影响，包含不限于二次改造部分的施工及二次改造的施工动线、二次改造区域及二次改造影响区域的成品保护等，做好项目精装修工程全过程的施工专项策划及成品保护专项策划，并做好现场精装修施工、成品保护等工作，</w:t>
      </w:r>
      <w:r>
        <w:rPr>
          <w:rFonts w:hint="eastAsia" w:ascii="宋体" w:hAnsi="宋体" w:eastAsia="宋体" w:cs="宋体"/>
          <w:color w:val="auto"/>
          <w:highlight w:val="none"/>
          <w:lang w:val="en-US" w:eastAsia="zh-CN"/>
        </w:rPr>
        <w:t>后期不予因二次改造工程造成的成品保护费增加进行费用调整且不得因此影响工程进度。</w:t>
      </w:r>
      <w:r>
        <w:rPr>
          <w:rFonts w:hint="eastAsia"/>
          <w:color w:val="auto"/>
          <w:highlight w:val="none"/>
          <w:lang w:val="en-US" w:eastAsia="zh-CN"/>
        </w:rPr>
        <w:t>。</w:t>
      </w:r>
    </w:p>
    <w:p w14:paraId="38E40677">
      <w:pPr>
        <w:keepNext w:val="0"/>
        <w:keepLines w:val="0"/>
        <w:pageBreakBefore w:val="0"/>
        <w:widowControl w:val="0"/>
        <w:kinsoku/>
        <w:wordWrap/>
        <w:overflowPunct/>
        <w:topLinePunct w:val="0"/>
        <w:autoSpaceDE/>
        <w:autoSpaceDN/>
        <w:bidi w:val="0"/>
        <w:adjustRightInd/>
        <w:snapToGrid w:val="0"/>
        <w:textAlignment w:val="auto"/>
        <w:outlineLvl w:val="3"/>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3.2.2.3为确保项目后期精装交付呈现效果，</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需精准进行楼层精装放线，总承包人合同范围内的线盒、面板等总承包人根据</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放线结果进行统一调整</w:t>
      </w:r>
      <w:r>
        <w:rPr>
          <w:rFonts w:hint="eastAsia" w:cs="宋体"/>
          <w:color w:val="auto"/>
          <w:highlight w:val="none"/>
          <w:lang w:val="en-US" w:eastAsia="zh-CN"/>
        </w:rPr>
        <w:t>(谁施工谁负责的原则)</w:t>
      </w:r>
      <w:r>
        <w:rPr>
          <w:rFonts w:hint="eastAsia" w:ascii="宋体" w:hAnsi="宋体" w:eastAsia="宋体" w:cs="宋体"/>
          <w:color w:val="auto"/>
          <w:highlight w:val="none"/>
          <w:lang w:val="en-US" w:eastAsia="zh-CN"/>
        </w:rPr>
        <w:t>，确保线盒、面板等位置精准、高度统一、间距适中等高品质要求。</w:t>
      </w:r>
    </w:p>
    <w:p w14:paraId="2B370832">
      <w:pPr>
        <w:keepNext w:val="0"/>
        <w:keepLines w:val="0"/>
        <w:pageBreakBefore w:val="0"/>
        <w:widowControl w:val="0"/>
        <w:kinsoku/>
        <w:wordWrap/>
        <w:overflowPunct/>
        <w:topLinePunct w:val="0"/>
        <w:autoSpaceDE/>
        <w:autoSpaceDN/>
        <w:bidi w:val="0"/>
        <w:adjustRightInd/>
        <w:snapToGrid w:val="0"/>
        <w:textAlignment w:val="auto"/>
        <w:outlineLvl w:val="3"/>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3.2.2.4</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负责公区、功能区及户内精装修区域开关面板的供应工作，总承包人负责其承包范围内的弱电智能化等工程设施、面板(材料由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供应)、线缆的供应、安装、调试工作。</w:t>
      </w:r>
    </w:p>
    <w:p w14:paraId="010A7E8C">
      <w:pPr>
        <w:keepNext w:val="0"/>
        <w:keepLines w:val="0"/>
        <w:pageBreakBefore w:val="0"/>
        <w:widowControl w:val="0"/>
        <w:kinsoku/>
        <w:wordWrap/>
        <w:overflowPunct/>
        <w:topLinePunct w:val="0"/>
        <w:autoSpaceDE/>
        <w:autoSpaceDN/>
        <w:bidi w:val="0"/>
        <w:adjustRightInd/>
        <w:snapToGrid w:val="0"/>
        <w:textAlignment w:val="auto"/>
        <w:outlineLvl w:val="3"/>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3.2.2.5</w:t>
      </w:r>
      <w:r>
        <w:rPr>
          <w:rFonts w:hint="eastAsia" w:cs="宋体"/>
          <w:color w:val="auto"/>
          <w:highlight w:val="none"/>
          <w:lang w:val="en-US" w:eastAsia="zh-CN"/>
        </w:rPr>
        <w:t>专业承包人在工作面移交时需加强交接检查，</w:t>
      </w:r>
      <w:r>
        <w:rPr>
          <w:rFonts w:hint="eastAsia" w:ascii="宋体" w:hAnsi="宋体" w:eastAsia="宋体" w:cs="宋体"/>
          <w:color w:val="auto"/>
          <w:highlight w:val="none"/>
          <w:lang w:val="en-US" w:eastAsia="zh-CN"/>
        </w:rPr>
        <w:t>精装修工程范围内的楼栋、楼层、房</w:t>
      </w:r>
      <w:r>
        <w:rPr>
          <w:rFonts w:hint="eastAsia" w:cs="宋体"/>
          <w:color w:val="auto"/>
          <w:highlight w:val="none"/>
          <w:lang w:val="en-US" w:eastAsia="zh-CN"/>
        </w:rPr>
        <w:t>间</w:t>
      </w:r>
      <w:r>
        <w:rPr>
          <w:rFonts w:hint="eastAsia" w:ascii="宋体" w:hAnsi="宋体" w:eastAsia="宋体" w:cs="宋体"/>
          <w:color w:val="auto"/>
          <w:highlight w:val="none"/>
          <w:lang w:val="en-US" w:eastAsia="zh-CN"/>
        </w:rPr>
        <w:t>等与总承包人进行工作面移交后，若涉水房间出现渗漏由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负责维修；</w:t>
      </w:r>
    </w:p>
    <w:p w14:paraId="2E95A51F">
      <w:pPr>
        <w:keepNext w:val="0"/>
        <w:keepLines w:val="0"/>
        <w:pageBreakBefore w:val="0"/>
        <w:widowControl w:val="0"/>
        <w:kinsoku/>
        <w:wordWrap/>
        <w:overflowPunct/>
        <w:topLinePunct w:val="0"/>
        <w:autoSpaceDE/>
        <w:autoSpaceDN/>
        <w:bidi w:val="0"/>
        <w:adjustRightInd/>
        <w:snapToGrid w:val="0"/>
        <w:textAlignment w:val="auto"/>
        <w:outlineLvl w:val="3"/>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3.2.2.6入户门的墙面防碰撞措施，请</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在投标报价时综合考虑。</w:t>
      </w:r>
    </w:p>
    <w:p w14:paraId="36FA31F7">
      <w:pPr>
        <w:keepNext w:val="0"/>
        <w:keepLines w:val="0"/>
        <w:pageBreakBefore w:val="0"/>
        <w:widowControl w:val="0"/>
        <w:kinsoku/>
        <w:wordWrap/>
        <w:overflowPunct/>
        <w:topLinePunct w:val="0"/>
        <w:autoSpaceDE/>
        <w:autoSpaceDN/>
        <w:bidi w:val="0"/>
        <w:adjustRightInd/>
        <w:snapToGrid w:val="0"/>
        <w:textAlignment w:val="auto"/>
        <w:outlineLvl w:val="3"/>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3.2.2.7所有精装修范围内的打胶收边收口由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负责实施，与其他</w:t>
      </w:r>
      <w:r>
        <w:rPr>
          <w:rFonts w:hint="eastAsia" w:cs="宋体"/>
          <w:color w:val="auto"/>
          <w:highlight w:val="none"/>
          <w:lang w:val="en-US" w:eastAsia="zh-CN"/>
        </w:rPr>
        <w:t>专业</w:t>
      </w:r>
      <w:r>
        <w:rPr>
          <w:rFonts w:hint="eastAsia" w:ascii="宋体" w:hAnsi="宋体" w:eastAsia="宋体" w:cs="宋体"/>
          <w:color w:val="auto"/>
          <w:highlight w:val="none"/>
          <w:lang w:val="en-US" w:eastAsia="zh-CN"/>
        </w:rPr>
        <w:t>承包人交接区域的收边收口界面分判参照</w:t>
      </w:r>
      <w:r>
        <w:rPr>
          <w:rFonts w:hint="eastAsia" w:ascii="宋体" w:hAnsi="宋体" w:eastAsia="宋体" w:cs="宋体"/>
          <w:color w:val="auto"/>
          <w:spacing w:val="-3"/>
          <w:sz w:val="24"/>
          <w:szCs w:val="24"/>
          <w:highlight w:val="none"/>
        </w:rPr>
        <w:t>附件</w:t>
      </w:r>
      <w:r>
        <w:rPr>
          <w:rFonts w:hint="eastAsia" w:ascii="宋体" w:hAnsi="宋体" w:eastAsia="宋体" w:cs="宋体"/>
          <w:color w:val="auto"/>
          <w:spacing w:val="-3"/>
          <w:sz w:val="24"/>
          <w:szCs w:val="24"/>
          <w:highlight w:val="none"/>
          <w:lang w:eastAsia="zh-CN"/>
        </w:rPr>
        <w:t>《【</w:t>
      </w:r>
      <w:r>
        <w:rPr>
          <w:rFonts w:hint="eastAsia" w:ascii="宋体" w:hAnsi="宋体" w:eastAsia="宋体" w:cs="宋体"/>
          <w:color w:val="auto"/>
          <w:spacing w:val="-3"/>
          <w:sz w:val="24"/>
          <w:szCs w:val="24"/>
          <w:highlight w:val="none"/>
          <w:lang w:val="en-US" w:eastAsia="zh-CN"/>
        </w:rPr>
        <w:t>附件</w:t>
      </w:r>
      <w:r>
        <w:rPr>
          <w:rFonts w:hint="eastAsia" w:ascii="宋体" w:hAnsi="宋体" w:eastAsia="宋体" w:cs="宋体"/>
          <w:color w:val="auto"/>
          <w:spacing w:val="-3"/>
          <w:sz w:val="24"/>
          <w:szCs w:val="24"/>
          <w:highlight w:val="none"/>
        </w:rPr>
        <w:t>B-</w:t>
      </w:r>
      <w:r>
        <w:rPr>
          <w:rFonts w:hint="eastAsia" w:ascii="宋体" w:hAnsi="宋体" w:eastAsia="宋体" w:cs="宋体"/>
          <w:color w:val="auto"/>
          <w:spacing w:val="-3"/>
          <w:sz w:val="24"/>
          <w:szCs w:val="24"/>
          <w:highlight w:val="none"/>
          <w:lang w:val="en-US" w:eastAsia="zh-CN"/>
        </w:rPr>
        <w:t>1</w:t>
      </w:r>
      <w:r>
        <w:rPr>
          <w:rFonts w:hint="eastAsia" w:ascii="宋体" w:hAnsi="宋体" w:eastAsia="宋体" w:cs="宋体"/>
          <w:color w:val="auto"/>
          <w:spacing w:val="-3"/>
          <w:sz w:val="24"/>
          <w:szCs w:val="24"/>
          <w:highlight w:val="none"/>
          <w:lang w:eastAsia="zh-CN"/>
        </w:rPr>
        <w:t>】</w:t>
      </w:r>
      <w:r>
        <w:rPr>
          <w:rFonts w:hint="eastAsia" w:ascii="宋体" w:hAnsi="宋体" w:eastAsia="宋体" w:cs="宋体"/>
          <w:color w:val="auto"/>
          <w:highlight w:val="none"/>
          <w:lang w:val="en-US" w:eastAsia="zh-CN"/>
        </w:rPr>
        <w:t>精装修合约界面分判》相关内容执行。</w:t>
      </w:r>
    </w:p>
    <w:p w14:paraId="493B94B2">
      <w:pPr>
        <w:keepNext w:val="0"/>
        <w:keepLines w:val="0"/>
        <w:pageBreakBefore w:val="0"/>
        <w:widowControl w:val="0"/>
        <w:kinsoku/>
        <w:wordWrap/>
        <w:overflowPunct/>
        <w:topLinePunct w:val="0"/>
        <w:autoSpaceDE/>
        <w:autoSpaceDN/>
        <w:bidi w:val="0"/>
        <w:adjustRightInd/>
        <w:snapToGrid w:val="0"/>
        <w:textAlignment w:val="auto"/>
        <w:outlineLvl w:val="3"/>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3.2.2.8室内电梯施工阶段装修保护由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负责实施，后期移交物业、小业主阶段的电梯装修保护也由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负责实施，以上费用请</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在报价时综合考虑。</w:t>
      </w:r>
    </w:p>
    <w:p w14:paraId="099DB5AA">
      <w:pPr>
        <w:keepNext w:val="0"/>
        <w:keepLines w:val="0"/>
        <w:pageBreakBefore w:val="0"/>
        <w:widowControl w:val="0"/>
        <w:kinsoku/>
        <w:wordWrap/>
        <w:overflowPunct/>
        <w:topLinePunct w:val="0"/>
        <w:autoSpaceDE/>
        <w:autoSpaceDN/>
        <w:bidi w:val="0"/>
        <w:adjustRightInd/>
        <w:snapToGrid w:val="0"/>
        <w:textAlignment w:val="auto"/>
        <w:outlineLvl w:val="3"/>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3.2.2.9精装修楼栋范围内的户内及公区装修保洁由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负责实施。</w:t>
      </w:r>
    </w:p>
    <w:p w14:paraId="4DD58876">
      <w:pPr>
        <w:keepNext w:val="0"/>
        <w:keepLines w:val="0"/>
        <w:pageBreakBefore w:val="0"/>
        <w:widowControl w:val="0"/>
        <w:kinsoku/>
        <w:wordWrap/>
        <w:overflowPunct/>
        <w:topLinePunct w:val="0"/>
        <w:autoSpaceDE/>
        <w:autoSpaceDN/>
        <w:bidi w:val="0"/>
        <w:adjustRightInd/>
        <w:snapToGrid w:val="0"/>
        <w:textAlignment w:val="auto"/>
        <w:outlineLvl w:val="3"/>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3.2.2.10厨电软管由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负责供应及安装，并在投标报价中考虑清楚。</w:t>
      </w:r>
    </w:p>
    <w:p w14:paraId="47C2A059">
      <w:pPr>
        <w:keepNext w:val="0"/>
        <w:keepLines w:val="0"/>
        <w:pageBreakBefore w:val="0"/>
        <w:widowControl w:val="0"/>
        <w:kinsoku/>
        <w:wordWrap/>
        <w:overflowPunct/>
        <w:topLinePunct w:val="0"/>
        <w:autoSpaceDE/>
        <w:autoSpaceDN/>
        <w:bidi w:val="0"/>
        <w:adjustRightInd/>
        <w:snapToGrid w:val="0"/>
        <w:textAlignment w:val="auto"/>
        <w:outlineLvl w:val="3"/>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3.2.2.11厨房、卫生间等其他位置的所有包管施工由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负责实施。</w:t>
      </w:r>
    </w:p>
    <w:p w14:paraId="13AF2329">
      <w:pPr>
        <w:keepNext w:val="0"/>
        <w:keepLines w:val="0"/>
        <w:pageBreakBefore w:val="0"/>
        <w:widowControl w:val="0"/>
        <w:kinsoku/>
        <w:wordWrap/>
        <w:overflowPunct/>
        <w:topLinePunct w:val="0"/>
        <w:autoSpaceDE/>
        <w:autoSpaceDN/>
        <w:bidi w:val="0"/>
        <w:adjustRightInd/>
        <w:snapToGrid w:val="0"/>
        <w:textAlignment w:val="auto"/>
        <w:outlineLvl w:val="3"/>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3.2.2.12</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需对入户门的门扇、门框、门槛进行有效的成品保护，并在投标报价时综合考虑。</w:t>
      </w:r>
    </w:p>
    <w:p w14:paraId="7F5117A7">
      <w:pPr>
        <w:keepNext w:val="0"/>
        <w:keepLines w:val="0"/>
        <w:pageBreakBefore w:val="0"/>
        <w:widowControl w:val="0"/>
        <w:kinsoku/>
        <w:wordWrap/>
        <w:overflowPunct/>
        <w:topLinePunct w:val="0"/>
        <w:autoSpaceDE/>
        <w:autoSpaceDN/>
        <w:bidi w:val="0"/>
        <w:adjustRightInd/>
        <w:snapToGrid w:val="0"/>
        <w:textAlignment w:val="auto"/>
        <w:outlineLvl w:val="3"/>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3.2.2.13</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负责厨房内明露燃气管道的包管装饰的供应及施工。</w:t>
      </w:r>
    </w:p>
    <w:p w14:paraId="1764903B">
      <w:pPr>
        <w:keepNext w:val="0"/>
        <w:keepLines w:val="0"/>
        <w:pageBreakBefore w:val="0"/>
        <w:widowControl w:val="0"/>
        <w:kinsoku/>
        <w:wordWrap/>
        <w:overflowPunct/>
        <w:topLinePunct w:val="0"/>
        <w:autoSpaceDE/>
        <w:autoSpaceDN/>
        <w:bidi w:val="0"/>
        <w:adjustRightInd/>
        <w:snapToGrid w:val="0"/>
        <w:textAlignment w:val="auto"/>
        <w:outlineLvl w:val="3"/>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3.2.2.14户内门洞因土建</w:t>
      </w:r>
      <w:r>
        <w:rPr>
          <w:rFonts w:hint="eastAsia" w:cs="宋体"/>
          <w:color w:val="auto"/>
          <w:highlight w:val="none"/>
          <w:lang w:val="en-US" w:eastAsia="zh-CN"/>
        </w:rPr>
        <w:t>图纸</w:t>
      </w:r>
      <w:r>
        <w:rPr>
          <w:rFonts w:hint="eastAsia" w:ascii="宋体" w:hAnsi="宋体" w:eastAsia="宋体" w:cs="宋体"/>
          <w:color w:val="auto"/>
          <w:highlight w:val="none"/>
          <w:lang w:val="en-US" w:eastAsia="zh-CN"/>
        </w:rPr>
        <w:t>预留洞口与精装</w:t>
      </w:r>
      <w:r>
        <w:rPr>
          <w:rFonts w:hint="eastAsia" w:cs="宋体"/>
          <w:color w:val="auto"/>
          <w:highlight w:val="none"/>
          <w:lang w:val="en-US" w:eastAsia="zh-CN"/>
        </w:rPr>
        <w:t>修图纸</w:t>
      </w:r>
      <w:r>
        <w:rPr>
          <w:rFonts w:hint="eastAsia" w:ascii="宋体" w:hAnsi="宋体" w:eastAsia="宋体" w:cs="宋体"/>
          <w:color w:val="auto"/>
          <w:highlight w:val="none"/>
          <w:lang w:val="en-US" w:eastAsia="zh-CN"/>
        </w:rPr>
        <w:t>洞口尺寸</w:t>
      </w:r>
      <w:r>
        <w:rPr>
          <w:rFonts w:hint="eastAsia" w:cs="宋体"/>
          <w:color w:val="auto"/>
          <w:highlight w:val="none"/>
          <w:lang w:val="en-US" w:eastAsia="zh-CN"/>
        </w:rPr>
        <w:t>差别</w:t>
      </w:r>
      <w:r>
        <w:rPr>
          <w:rFonts w:hint="eastAsia" w:ascii="宋体" w:hAnsi="宋体" w:eastAsia="宋体" w:cs="宋体"/>
          <w:color w:val="auto"/>
          <w:highlight w:val="none"/>
          <w:lang w:val="en-US" w:eastAsia="zh-CN"/>
        </w:rPr>
        <w:t>在</w:t>
      </w:r>
      <w:r>
        <w:rPr>
          <w:rFonts w:hint="eastAsia" w:cs="宋体"/>
          <w:color w:val="auto"/>
          <w:highlight w:val="none"/>
          <w:lang w:val="en-US" w:eastAsia="zh-CN"/>
        </w:rPr>
        <w:t>2</w:t>
      </w:r>
      <w:r>
        <w:rPr>
          <w:rFonts w:hint="eastAsia" w:ascii="宋体" w:hAnsi="宋体" w:eastAsia="宋体" w:cs="宋体"/>
          <w:color w:val="auto"/>
          <w:highlight w:val="none"/>
          <w:lang w:val="en-US" w:eastAsia="zh-CN"/>
        </w:rPr>
        <w:t>cm内</w:t>
      </w:r>
      <w:r>
        <w:rPr>
          <w:rFonts w:hint="eastAsia" w:cs="宋体"/>
          <w:color w:val="auto"/>
          <w:highlight w:val="none"/>
          <w:lang w:val="en-US" w:eastAsia="zh-CN"/>
        </w:rPr>
        <w:t>(上下左右尺寸差别)</w:t>
      </w:r>
      <w:r>
        <w:rPr>
          <w:rFonts w:hint="eastAsia" w:ascii="宋体" w:hAnsi="宋体" w:eastAsia="宋体" w:cs="宋体"/>
          <w:color w:val="auto"/>
          <w:highlight w:val="none"/>
          <w:lang w:val="en-US" w:eastAsia="zh-CN"/>
        </w:rPr>
        <w:t>，洞口尺寸</w:t>
      </w:r>
      <w:r>
        <w:rPr>
          <w:rFonts w:hint="eastAsia" w:cs="宋体"/>
          <w:color w:val="auto"/>
          <w:highlight w:val="none"/>
          <w:lang w:val="en-US" w:eastAsia="zh-CN"/>
        </w:rPr>
        <w:t>因图纸差别的处理工作</w:t>
      </w:r>
      <w:r>
        <w:rPr>
          <w:rFonts w:hint="eastAsia" w:ascii="宋体" w:hAnsi="宋体" w:eastAsia="宋体" w:cs="宋体"/>
          <w:color w:val="auto"/>
          <w:highlight w:val="none"/>
          <w:lang w:val="en-US" w:eastAsia="zh-CN"/>
        </w:rPr>
        <w:t>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负责实施，相关费用请</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在投标报价中充分考虑。</w:t>
      </w:r>
      <w:r>
        <w:rPr>
          <w:rFonts w:hint="eastAsia" w:ascii="宋体" w:hAnsi="宋体" w:eastAsia="宋体" w:cs="宋体"/>
          <w:b/>
          <w:bCs/>
          <w:color w:val="auto"/>
          <w:highlight w:val="none"/>
          <w:lang w:val="en-US" w:eastAsia="zh-CN"/>
        </w:rPr>
        <w:t>（具体做法及施工范围详见精装修图纸）。</w:t>
      </w:r>
    </w:p>
    <w:p w14:paraId="579BB634">
      <w:pPr>
        <w:keepNext w:val="0"/>
        <w:keepLines w:val="0"/>
        <w:pageBreakBefore w:val="0"/>
        <w:widowControl w:val="0"/>
        <w:kinsoku/>
        <w:wordWrap/>
        <w:overflowPunct/>
        <w:topLinePunct w:val="0"/>
        <w:autoSpaceDE/>
        <w:autoSpaceDN/>
        <w:bidi w:val="0"/>
        <w:adjustRightInd/>
        <w:snapToGrid w:val="0"/>
        <w:textAlignment w:val="auto"/>
        <w:outlineLvl w:val="3"/>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3.2.2.15</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需要负责瓷砖墙面设备安装的玻璃钻头开孔（需使用专用开孔器），需要在投标报价中考虑。</w:t>
      </w:r>
    </w:p>
    <w:p w14:paraId="2590F996">
      <w:pPr>
        <w:keepNext w:val="0"/>
        <w:keepLines w:val="0"/>
        <w:pageBreakBefore w:val="0"/>
        <w:widowControl w:val="0"/>
        <w:kinsoku/>
        <w:wordWrap/>
        <w:overflowPunct/>
        <w:topLinePunct w:val="0"/>
        <w:autoSpaceDE/>
        <w:autoSpaceDN/>
        <w:bidi w:val="0"/>
        <w:adjustRightInd/>
        <w:snapToGrid w:val="0"/>
        <w:textAlignment w:val="auto"/>
        <w:outlineLvl w:val="3"/>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3.2.2.16负责户内电话网络有线电视标识牌及强电箱内元器件的标签纸标识，相关费用请</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在投标报价中充分考虑。</w:t>
      </w:r>
    </w:p>
    <w:p w14:paraId="04AA76EC">
      <w:pPr>
        <w:keepNext w:val="0"/>
        <w:keepLines w:val="0"/>
        <w:pageBreakBefore w:val="0"/>
        <w:widowControl w:val="0"/>
        <w:kinsoku/>
        <w:wordWrap/>
        <w:overflowPunct/>
        <w:topLinePunct w:val="0"/>
        <w:autoSpaceDE/>
        <w:autoSpaceDN/>
        <w:bidi w:val="0"/>
        <w:adjustRightInd/>
        <w:snapToGrid w:val="0"/>
        <w:textAlignment w:val="auto"/>
        <w:outlineLvl w:val="3"/>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3.2.2.17一楼大堂（大堂及拓展区）、所有的电梯前室、入户门前室区域、地下室前室以及归家动线等部分总承包人只负责预留电源接驳点位，从电源接驳点至终端点位的管线（包括吊顶内管线）及所有灯具（包括蓄电池）都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负责，如果回路不足，也需要</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从配电箱重新布管。</w:t>
      </w:r>
    </w:p>
    <w:p w14:paraId="348B7D2A">
      <w:pPr>
        <w:keepNext w:val="0"/>
        <w:keepLines w:val="0"/>
        <w:pageBreakBefore w:val="0"/>
        <w:widowControl w:val="0"/>
        <w:kinsoku/>
        <w:wordWrap/>
        <w:overflowPunct/>
        <w:topLinePunct w:val="0"/>
        <w:autoSpaceDE/>
        <w:autoSpaceDN/>
        <w:bidi w:val="0"/>
        <w:adjustRightInd/>
        <w:snapToGrid w:val="0"/>
        <w:textAlignment w:val="auto"/>
        <w:outlineLvl w:val="3"/>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3.2.2.18本工程瓷砖需集中加工，如存在各别特殊尺寸，现场需水刀切割，禁止无齿锯切割，同时厨卫地漏瓷砖及开关插座面板瓷砖需倒角后再上墙。</w:t>
      </w:r>
    </w:p>
    <w:p w14:paraId="6749B1CA">
      <w:pPr>
        <w:keepNext w:val="0"/>
        <w:keepLines w:val="0"/>
        <w:pageBreakBefore w:val="0"/>
        <w:widowControl w:val="0"/>
        <w:kinsoku/>
        <w:wordWrap/>
        <w:overflowPunct/>
        <w:topLinePunct w:val="0"/>
        <w:autoSpaceDE/>
        <w:autoSpaceDN/>
        <w:bidi w:val="0"/>
        <w:adjustRightInd/>
        <w:snapToGrid w:val="0"/>
        <w:textAlignment w:val="auto"/>
        <w:outlineLvl w:val="3"/>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3.2.2.19配合燃气公司完成燃气立管卡子的瓷砖钻孔及修复工作以及燃气立管施工过程中的成品保护工作，负责燃气热水器开孔工作。（无论瓷砖破坏还是墙体污染，包括燃气立管破坏防水、地热及地砖均需</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无条件配合完成维修）</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负责吊顶处烟感的二次安装，需要在报价中考虑。</w:t>
      </w:r>
    </w:p>
    <w:p w14:paraId="1E557643">
      <w:pPr>
        <w:keepNext w:val="0"/>
        <w:keepLines w:val="0"/>
        <w:pageBreakBefore w:val="0"/>
        <w:widowControl w:val="0"/>
        <w:kinsoku/>
        <w:wordWrap/>
        <w:overflowPunct/>
        <w:topLinePunct w:val="0"/>
        <w:autoSpaceDE/>
        <w:autoSpaceDN/>
        <w:bidi w:val="0"/>
        <w:adjustRightInd/>
        <w:snapToGrid w:val="0"/>
        <w:textAlignment w:val="auto"/>
        <w:outlineLvl w:val="3"/>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3.2.2.20卫生间淋浴区墙砖与地面石材围边接缝，石材围边与挡水石、抽槽板接缝需采用双组分大理石同色美缝剂填缝，需要在报价中综合考虑。</w:t>
      </w:r>
    </w:p>
    <w:p w14:paraId="6E2DB583">
      <w:pPr>
        <w:keepNext w:val="0"/>
        <w:keepLines w:val="0"/>
        <w:pageBreakBefore w:val="0"/>
        <w:widowControl w:val="0"/>
        <w:kinsoku/>
        <w:wordWrap/>
        <w:overflowPunct/>
        <w:topLinePunct w:val="0"/>
        <w:autoSpaceDE/>
        <w:autoSpaceDN/>
        <w:bidi w:val="0"/>
        <w:adjustRightInd/>
        <w:snapToGrid w:val="0"/>
        <w:textAlignment w:val="auto"/>
        <w:outlineLvl w:val="3"/>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3.2.2.21项目精装修工程施工所产生的建筑垃圾由</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负责，且需满足如下管理要求：</w:t>
      </w:r>
    </w:p>
    <w:p w14:paraId="6DD83ECE">
      <w:pPr>
        <w:keepNext w:val="0"/>
        <w:keepLines w:val="0"/>
        <w:pageBreakBefore w:val="0"/>
        <w:widowControl w:val="0"/>
        <w:kinsoku/>
        <w:wordWrap/>
        <w:overflowPunct/>
        <w:topLinePunct w:val="0"/>
        <w:autoSpaceDE/>
        <w:autoSpaceDN/>
        <w:bidi w:val="0"/>
        <w:adjustRightInd/>
        <w:snapToGrid w:val="0"/>
        <w:textAlignment w:val="auto"/>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应落实《广东省建筑垃圾管理条例》要求，对施工现场的建筑垃圾精细化分类分质利用，将符合条件的建筑垃圾用于生产以建筑垃圾为主要原料的再生粉料、再生骨料、再生骨料混凝土及其构件、再生骨料砂浆、再生混合料、再生混凝土砖、再生混凝土砌块、再生混凝土墙板、烧结砖和烧结砌块等建筑垃圾综合利用产品。对建筑垃圾里分拣出来的废钢筋、废电线、废铁丝等，可用于材料再生；废竹木料可用于制造人造板材或者生产生物质碳等产品。</w:t>
      </w:r>
    </w:p>
    <w:p w14:paraId="4D1603C6">
      <w:pPr>
        <w:keepNext w:val="0"/>
        <w:keepLines w:val="0"/>
        <w:pageBreakBefore w:val="0"/>
        <w:widowControl w:val="0"/>
        <w:kinsoku/>
        <w:wordWrap/>
        <w:overflowPunct/>
        <w:topLinePunct w:val="0"/>
        <w:autoSpaceDE/>
        <w:autoSpaceDN/>
        <w:bidi w:val="0"/>
        <w:adjustRightInd/>
        <w:snapToGrid w:val="0"/>
        <w:textAlignment w:val="auto"/>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（2）</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应当编制建筑垃圾处理方案，采取污染防治措施，并在开工前报工程所在地建筑垃圾主管部门备案。建筑垃圾处理方案内容有调整的，应当及时报告接受备案的部门。建筑垃圾处理方案应当包括下列内容：</w:t>
      </w:r>
    </w:p>
    <w:p w14:paraId="593C1563">
      <w:pPr>
        <w:keepNext w:val="0"/>
        <w:keepLines w:val="0"/>
        <w:pageBreakBefore w:val="0"/>
        <w:widowControl w:val="0"/>
        <w:kinsoku/>
        <w:wordWrap/>
        <w:overflowPunct/>
        <w:topLinePunct w:val="0"/>
        <w:autoSpaceDE/>
        <w:autoSpaceDN/>
        <w:bidi w:val="0"/>
        <w:adjustRightInd/>
        <w:snapToGrid w:val="0"/>
        <w:textAlignment w:val="auto"/>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A.工程概况和施工单位基本信息；</w:t>
      </w:r>
    </w:p>
    <w:p w14:paraId="6083808A">
      <w:pPr>
        <w:keepNext w:val="0"/>
        <w:keepLines w:val="0"/>
        <w:pageBreakBefore w:val="0"/>
        <w:widowControl w:val="0"/>
        <w:kinsoku/>
        <w:wordWrap/>
        <w:overflowPunct/>
        <w:topLinePunct w:val="0"/>
        <w:autoSpaceDE/>
        <w:autoSpaceDN/>
        <w:bidi w:val="0"/>
        <w:adjustRightInd/>
        <w:snapToGrid w:val="0"/>
        <w:textAlignment w:val="auto"/>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B.建筑垃圾产生量与种类；</w:t>
      </w:r>
    </w:p>
    <w:p w14:paraId="1E1EC171">
      <w:pPr>
        <w:keepNext w:val="0"/>
        <w:keepLines w:val="0"/>
        <w:pageBreakBefore w:val="0"/>
        <w:widowControl w:val="0"/>
        <w:kinsoku/>
        <w:wordWrap/>
        <w:overflowPunct/>
        <w:topLinePunct w:val="0"/>
        <w:autoSpaceDE/>
        <w:autoSpaceDN/>
        <w:bidi w:val="0"/>
        <w:adjustRightInd/>
        <w:snapToGrid w:val="0"/>
        <w:textAlignment w:val="auto"/>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C.建筑垃圾源头减量、分类收集、综合利用、污染防治的措施和目标；</w:t>
      </w:r>
    </w:p>
    <w:p w14:paraId="5913E2D6">
      <w:pPr>
        <w:keepNext w:val="0"/>
        <w:keepLines w:val="0"/>
        <w:pageBreakBefore w:val="0"/>
        <w:widowControl w:val="0"/>
        <w:kinsoku/>
        <w:wordWrap/>
        <w:overflowPunct/>
        <w:topLinePunct w:val="0"/>
        <w:autoSpaceDE/>
        <w:autoSpaceDN/>
        <w:bidi w:val="0"/>
        <w:adjustRightInd/>
        <w:snapToGrid w:val="0"/>
        <w:textAlignment w:val="auto"/>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D.需要外运的建筑垃圾种类、数量与运输的时间、路线、方式和运输单位；</w:t>
      </w:r>
    </w:p>
    <w:p w14:paraId="70296EBD">
      <w:pPr>
        <w:keepNext w:val="0"/>
        <w:keepLines w:val="0"/>
        <w:pageBreakBefore w:val="0"/>
        <w:widowControl w:val="0"/>
        <w:kinsoku/>
        <w:wordWrap/>
        <w:overflowPunct/>
        <w:topLinePunct w:val="0"/>
        <w:autoSpaceDE/>
        <w:autoSpaceDN/>
        <w:bidi w:val="0"/>
        <w:adjustRightInd/>
        <w:snapToGrid w:val="0"/>
        <w:textAlignment w:val="auto"/>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E.建筑垃圾回填、消纳、综合利用场所名称；</w:t>
      </w:r>
    </w:p>
    <w:p w14:paraId="0B11B731">
      <w:pPr>
        <w:keepNext w:val="0"/>
        <w:keepLines w:val="0"/>
        <w:pageBreakBefore w:val="0"/>
        <w:widowControl w:val="0"/>
        <w:kinsoku/>
        <w:wordWrap/>
        <w:overflowPunct/>
        <w:topLinePunct w:val="0"/>
        <w:autoSpaceDE/>
        <w:autoSpaceDN/>
        <w:bidi w:val="0"/>
        <w:adjustRightInd/>
        <w:snapToGrid w:val="0"/>
        <w:textAlignment w:val="auto"/>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F.法律、法规规定的其他内容。</w:t>
      </w:r>
    </w:p>
    <w:p w14:paraId="605EF70F">
      <w:pPr>
        <w:keepNext w:val="0"/>
        <w:keepLines w:val="0"/>
        <w:pageBreakBefore w:val="0"/>
        <w:widowControl w:val="0"/>
        <w:kinsoku/>
        <w:wordWrap/>
        <w:overflowPunct/>
        <w:topLinePunct w:val="0"/>
        <w:autoSpaceDE/>
        <w:autoSpaceDN/>
        <w:bidi w:val="0"/>
        <w:adjustRightInd/>
        <w:snapToGrid w:val="0"/>
        <w:textAlignment w:val="auto"/>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（3）</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应当按照国家有关规定对施工现场的建筑垃圾进行分类，实行分类收集、分类贮存、分类运输、分类处置。</w:t>
      </w:r>
    </w:p>
    <w:p w14:paraId="2EF0C270">
      <w:pPr>
        <w:keepNext w:val="0"/>
        <w:keepLines w:val="0"/>
        <w:pageBreakBefore w:val="0"/>
        <w:widowControl w:val="0"/>
        <w:kinsoku/>
        <w:wordWrap/>
        <w:overflowPunct/>
        <w:topLinePunct w:val="0"/>
        <w:autoSpaceDE/>
        <w:autoSpaceDN/>
        <w:bidi w:val="0"/>
        <w:adjustRightInd/>
        <w:snapToGrid w:val="0"/>
        <w:textAlignment w:val="auto"/>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（4）</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应开展建筑垃圾分类和合法装载，并及时向工程所在地建筑垃圾主管部门报送建筑垃圾处理方案。</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应当建立建筑垃圾管理台账，分类收集、贮存和及时清运施工过程中产生的建筑垃圾，采取有效措施防止混合已分类的建筑垃圾。</w:t>
      </w:r>
      <w:r>
        <w:rPr>
          <w:rFonts w:hint="eastAsia" w:cs="宋体"/>
          <w:color w:val="auto"/>
          <w:highlight w:val="none"/>
          <w:lang w:val="en-US" w:eastAsia="zh-CN"/>
        </w:rPr>
        <w:t>专业承包人</w:t>
      </w:r>
      <w:r>
        <w:rPr>
          <w:rFonts w:hint="eastAsia" w:ascii="宋体" w:hAnsi="宋体" w:eastAsia="宋体" w:cs="宋体"/>
          <w:color w:val="auto"/>
          <w:highlight w:val="none"/>
          <w:lang w:val="en-US" w:eastAsia="zh-CN"/>
        </w:rPr>
        <w:t>应当将建筑垃圾的产生量与种类、清运时间、最终去向等信息在施工现场公示，接受社会监督。</w:t>
      </w:r>
    </w:p>
    <w:p w14:paraId="49FF3CA4">
      <w:pPr>
        <w:keepNext w:val="0"/>
        <w:keepLines w:val="0"/>
        <w:pageBreakBefore w:val="0"/>
        <w:widowControl w:val="0"/>
        <w:kinsoku/>
        <w:wordWrap/>
        <w:overflowPunct/>
        <w:topLinePunct w:val="0"/>
        <w:autoSpaceDE/>
        <w:autoSpaceDN/>
        <w:bidi w:val="0"/>
        <w:adjustRightInd/>
        <w:snapToGrid w:val="0"/>
        <w:textAlignment w:val="auto"/>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运输建筑垃圾应当遵守下列规定：</w:t>
      </w:r>
    </w:p>
    <w:p w14:paraId="4290E309">
      <w:pPr>
        <w:keepNext w:val="0"/>
        <w:keepLines w:val="0"/>
        <w:pageBreakBefore w:val="0"/>
        <w:widowControl w:val="0"/>
        <w:kinsoku/>
        <w:wordWrap/>
        <w:overflowPunct/>
        <w:topLinePunct w:val="0"/>
        <w:autoSpaceDE/>
        <w:autoSpaceDN/>
        <w:bidi w:val="0"/>
        <w:adjustRightInd/>
        <w:snapToGrid w:val="0"/>
        <w:textAlignment w:val="auto"/>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A.建立建筑垃圾运输管理台账；</w:t>
      </w:r>
    </w:p>
    <w:p w14:paraId="37B5D06E">
      <w:pPr>
        <w:keepNext w:val="0"/>
        <w:keepLines w:val="0"/>
        <w:pageBreakBefore w:val="0"/>
        <w:widowControl w:val="0"/>
        <w:kinsoku/>
        <w:wordWrap/>
        <w:overflowPunct/>
        <w:topLinePunct w:val="0"/>
        <w:autoSpaceDE/>
        <w:autoSpaceDN/>
        <w:bidi w:val="0"/>
        <w:adjustRightInd/>
        <w:snapToGrid w:val="0"/>
        <w:textAlignment w:val="auto"/>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B.不得将工程渣土、工程泥浆与其他建筑垃圾混合运输；</w:t>
      </w:r>
    </w:p>
    <w:p w14:paraId="7F4DC2C7">
      <w:pPr>
        <w:keepNext w:val="0"/>
        <w:keepLines w:val="0"/>
        <w:pageBreakBefore w:val="0"/>
        <w:widowControl w:val="0"/>
        <w:kinsoku/>
        <w:wordWrap/>
        <w:overflowPunct/>
        <w:topLinePunct w:val="0"/>
        <w:autoSpaceDE/>
        <w:autoSpaceDN/>
        <w:bidi w:val="0"/>
        <w:adjustRightInd/>
        <w:snapToGrid w:val="0"/>
        <w:textAlignment w:val="auto"/>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C.保持运输车辆、船舶等运输工具的行驶记录、卫星定位等电子装置正常使用；</w:t>
      </w:r>
    </w:p>
    <w:p w14:paraId="5A809C86">
      <w:pPr>
        <w:keepNext w:val="0"/>
        <w:keepLines w:val="0"/>
        <w:pageBreakBefore w:val="0"/>
        <w:widowControl w:val="0"/>
        <w:kinsoku/>
        <w:wordWrap/>
        <w:overflowPunct/>
        <w:topLinePunct w:val="0"/>
        <w:autoSpaceDE/>
        <w:autoSpaceDN/>
        <w:bidi w:val="0"/>
        <w:adjustRightInd/>
        <w:snapToGrid w:val="0"/>
        <w:textAlignment w:val="auto"/>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D.运输过程中保持运输工具整洁，采取密闭或者其他有效措施防止遗撒建筑垃圾，不得擅自倾倒、抛撒建筑垃圾；</w:t>
      </w:r>
    </w:p>
    <w:p w14:paraId="0A3A5E32">
      <w:pPr>
        <w:keepNext w:val="0"/>
        <w:keepLines w:val="0"/>
        <w:pageBreakBefore w:val="0"/>
        <w:widowControl w:val="0"/>
        <w:kinsoku/>
        <w:wordWrap/>
        <w:overflowPunct/>
        <w:topLinePunct w:val="0"/>
        <w:autoSpaceDE/>
        <w:autoSpaceDN/>
        <w:bidi w:val="0"/>
        <w:adjustRightInd/>
        <w:snapToGrid w:val="0"/>
        <w:textAlignment w:val="auto"/>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E.按照建筑垃圾处理方案确定的时间、路线、方式、场所进行运输。建筑垃圾运输车辆、船舶应当符合相应的载运技术条件。建筑垃圾处置场所为陆域的，不得采用开底式船舶运输建筑垃圾。</w:t>
      </w:r>
    </w:p>
    <w:p w14:paraId="09AC616A">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（5）</w:t>
      </w:r>
      <w:r>
        <w:rPr>
          <w:rFonts w:hint="eastAsia" w:cs="宋体"/>
          <w:color w:val="auto"/>
          <w:highlight w:val="none"/>
          <w:lang w:eastAsia="zh-CN"/>
        </w:rPr>
        <w:t>专业承包人</w:t>
      </w:r>
      <w:r>
        <w:rPr>
          <w:rFonts w:hint="eastAsia" w:ascii="宋体" w:hAnsi="宋体" w:eastAsia="宋体" w:cs="宋体"/>
          <w:color w:val="auto"/>
          <w:highlight w:val="none"/>
        </w:rPr>
        <w:t>将垃圾清理集中运至就近的废物收集点后</w:t>
      </w:r>
      <w:r>
        <w:rPr>
          <w:rFonts w:hint="eastAsia" w:ascii="宋体" w:hAnsi="宋体" w:eastAsia="宋体" w:cs="宋体"/>
          <w:color w:val="auto"/>
          <w:highlight w:val="none"/>
          <w:lang w:val="en-US" w:eastAsia="zh-CN"/>
        </w:rPr>
        <w:t>并对自身的垃圾</w:t>
      </w:r>
      <w:r>
        <w:rPr>
          <w:rFonts w:hint="eastAsia" w:ascii="宋体" w:hAnsi="宋体" w:eastAsia="宋体" w:cs="宋体"/>
          <w:color w:val="auto"/>
          <w:highlight w:val="none"/>
        </w:rPr>
        <w:t>进行外运处理</w:t>
      </w:r>
      <w:r>
        <w:rPr>
          <w:rFonts w:hint="eastAsia" w:ascii="宋体" w:hAnsi="宋体" w:eastAsia="宋体" w:cs="宋体"/>
          <w:color w:val="auto"/>
          <w:highlight w:val="none"/>
          <w:lang w:eastAsia="zh-CN"/>
        </w:rPr>
        <w:t>，</w:t>
      </w:r>
      <w:r>
        <w:rPr>
          <w:rFonts w:hint="eastAsia" w:ascii="宋体" w:hAnsi="宋体" w:eastAsia="宋体" w:cs="宋体"/>
          <w:color w:val="auto"/>
          <w:highlight w:val="none"/>
        </w:rPr>
        <w:t>并保证垃圾不过夜。</w:t>
      </w:r>
      <w:r>
        <w:rPr>
          <w:rFonts w:hint="eastAsia" w:cs="宋体"/>
          <w:b w:val="0"/>
          <w:bCs w:val="0"/>
          <w:color w:val="auto"/>
          <w:highlight w:val="none"/>
          <w:lang w:eastAsia="zh-CN"/>
        </w:rPr>
        <w:t>专业承包人</w:t>
      </w:r>
      <w:r>
        <w:rPr>
          <w:rFonts w:hint="eastAsia" w:ascii="宋体" w:hAnsi="宋体" w:eastAsia="宋体" w:cs="宋体"/>
          <w:b w:val="0"/>
          <w:bCs w:val="0"/>
          <w:color w:val="auto"/>
          <w:highlight w:val="none"/>
        </w:rPr>
        <w:t>应结合工程实际，</w:t>
      </w:r>
      <w:r>
        <w:rPr>
          <w:rFonts w:hint="eastAsia" w:ascii="宋体" w:hAnsi="宋体" w:eastAsia="宋体" w:cs="宋体"/>
          <w:b w:val="0"/>
          <w:bCs w:val="0"/>
          <w:color w:val="auto"/>
          <w:highlight w:val="none"/>
          <w:lang w:val="en-US" w:eastAsia="zh-CN"/>
        </w:rPr>
        <w:t>服从</w:t>
      </w:r>
      <w:r>
        <w:rPr>
          <w:rFonts w:ascii="Segoe UI" w:hAnsi="Segoe UI" w:eastAsia="Segoe UI" w:cs="Segoe UI"/>
          <w:b w:val="0"/>
          <w:bCs w:val="0"/>
          <w:i w:val="0"/>
          <w:iCs w:val="0"/>
          <w:caps w:val="0"/>
          <w:color w:val="auto"/>
          <w:spacing w:val="0"/>
          <w:sz w:val="24"/>
          <w:szCs w:val="24"/>
          <w:highlight w:val="none"/>
          <w:shd w:val="clear" w:fill="FFFFFF"/>
        </w:rPr>
        <w:t>总</w:t>
      </w:r>
      <w:r>
        <w:rPr>
          <w:rFonts w:hint="eastAsia" w:ascii="Segoe UI" w:hAnsi="Segoe UI" w:eastAsia="宋体" w:cs="Segoe UI"/>
          <w:b w:val="0"/>
          <w:bCs w:val="0"/>
          <w:i w:val="0"/>
          <w:iCs w:val="0"/>
          <w:caps w:val="0"/>
          <w:color w:val="auto"/>
          <w:spacing w:val="0"/>
          <w:sz w:val="24"/>
          <w:szCs w:val="24"/>
          <w:highlight w:val="none"/>
          <w:shd w:val="clear" w:fill="FFFFFF"/>
          <w:lang w:eastAsia="zh-CN"/>
        </w:rPr>
        <w:t>承包人</w:t>
      </w:r>
      <w:r>
        <w:rPr>
          <w:rFonts w:ascii="Segoe UI" w:hAnsi="Segoe UI" w:eastAsia="Segoe UI" w:cs="Segoe UI"/>
          <w:b w:val="0"/>
          <w:bCs w:val="0"/>
          <w:i w:val="0"/>
          <w:iCs w:val="0"/>
          <w:caps w:val="0"/>
          <w:color w:val="auto"/>
          <w:spacing w:val="0"/>
          <w:sz w:val="24"/>
          <w:szCs w:val="24"/>
          <w:highlight w:val="none"/>
          <w:shd w:val="clear" w:fill="FFFFFF"/>
        </w:rPr>
        <w:t>对建筑垃圾的管理要求，包括但不限于临时堆放场地设置、运输路线规划及分类存放等，并严格落实文明施工相关标准</w:t>
      </w:r>
      <w:r>
        <w:rPr>
          <w:rFonts w:hint="eastAsia" w:ascii="宋体" w:hAnsi="宋体" w:eastAsia="宋体" w:cs="宋体"/>
          <w:b w:val="0"/>
          <w:bCs w:val="0"/>
          <w:color w:val="auto"/>
          <w:highlight w:val="none"/>
        </w:rPr>
        <w:t>，</w:t>
      </w:r>
      <w:r>
        <w:rPr>
          <w:rFonts w:hint="eastAsia" w:ascii="宋体" w:hAnsi="宋体" w:eastAsia="宋体" w:cs="宋体"/>
          <w:b w:val="0"/>
          <w:bCs w:val="0"/>
          <w:color w:val="auto"/>
          <w:highlight w:val="none"/>
          <w:lang w:val="en-US" w:eastAsia="zh-CN"/>
        </w:rPr>
        <w:t>并承担自身垃圾清理外运</w:t>
      </w:r>
      <w:r>
        <w:rPr>
          <w:rFonts w:hint="eastAsia" w:ascii="宋体" w:hAnsi="宋体" w:eastAsia="宋体" w:cs="宋体"/>
          <w:b w:val="0"/>
          <w:bCs w:val="0"/>
          <w:color w:val="auto"/>
          <w:highlight w:val="none"/>
        </w:rPr>
        <w:t>所产生的费用。</w:t>
      </w:r>
    </w:p>
    <w:p w14:paraId="7BBDC147">
      <w:pPr>
        <w:pStyle w:val="2"/>
        <w:keepNext w:val="0"/>
        <w:keepLines w:val="0"/>
        <w:pageBreakBefore w:val="0"/>
        <w:widowControl w:val="0"/>
        <w:kinsoku/>
        <w:wordWrap/>
        <w:overflowPunct/>
        <w:topLinePunct w:val="0"/>
        <w:autoSpaceDE/>
        <w:autoSpaceDN/>
        <w:bidi w:val="0"/>
        <w:outlineLvl w:val="2"/>
        <w:rPr>
          <w:rFonts w:hint="default"/>
          <w:color w:val="auto"/>
          <w:sz w:val="24"/>
          <w:szCs w:val="24"/>
          <w:highlight w:val="none"/>
          <w:lang w:val="en-US" w:eastAsia="zh-CN"/>
        </w:rPr>
      </w:pPr>
      <w:r>
        <w:rPr>
          <w:rFonts w:hint="eastAsia"/>
          <w:color w:val="auto"/>
          <w:sz w:val="24"/>
          <w:szCs w:val="24"/>
          <w:highlight w:val="none"/>
          <w:lang w:val="en-US" w:eastAsia="zh-CN"/>
        </w:rPr>
        <w:t>3.2.3承包方职责</w:t>
      </w:r>
    </w:p>
    <w:p w14:paraId="65F638D5">
      <w:pPr>
        <w:pStyle w:val="2"/>
        <w:keepNext w:val="0"/>
        <w:keepLines w:val="0"/>
        <w:pageBreakBefore w:val="0"/>
        <w:widowControl w:val="0"/>
        <w:kinsoku/>
        <w:wordWrap/>
        <w:overflowPunct/>
        <w:topLinePunct w:val="0"/>
        <w:autoSpaceDE/>
        <w:autoSpaceDN/>
        <w:bidi w:val="0"/>
        <w:outlineLvl w:val="3"/>
        <w:rPr>
          <w:rFonts w:hint="eastAsia"/>
          <w:color w:val="auto"/>
          <w:sz w:val="24"/>
          <w:szCs w:val="24"/>
          <w:highlight w:val="none"/>
          <w:lang w:val="en-US" w:eastAsia="zh-CN"/>
        </w:rPr>
      </w:pPr>
      <w:r>
        <w:rPr>
          <w:rFonts w:hint="eastAsia"/>
          <w:color w:val="auto"/>
          <w:sz w:val="24"/>
          <w:szCs w:val="24"/>
          <w:highlight w:val="none"/>
          <w:lang w:val="en-US" w:eastAsia="zh-CN"/>
        </w:rPr>
        <w:t>3.2.3.1专业承包人全过程负责精装修产品的施工图深化设计、单位协调、材料采购、施工安装、安全文明管理、成品保护、竣工验收、完工后的粗保洁、精保洁、业主开放日活动保洁(若有)、交付小业主、保修期服务等所有相关工作。</w:t>
      </w:r>
    </w:p>
    <w:p w14:paraId="31F2EC48">
      <w:pPr>
        <w:pStyle w:val="2"/>
        <w:keepNext w:val="0"/>
        <w:keepLines w:val="0"/>
        <w:pageBreakBefore w:val="0"/>
        <w:widowControl w:val="0"/>
        <w:kinsoku/>
        <w:wordWrap/>
        <w:overflowPunct/>
        <w:topLinePunct w:val="0"/>
        <w:autoSpaceDE/>
        <w:autoSpaceDN/>
        <w:bidi w:val="0"/>
        <w:outlineLvl w:val="3"/>
        <w:rPr>
          <w:rFonts w:hint="eastAsia"/>
          <w:color w:val="auto"/>
          <w:sz w:val="24"/>
          <w:szCs w:val="24"/>
          <w:highlight w:val="none"/>
          <w:lang w:val="en-US" w:eastAsia="zh-CN"/>
        </w:rPr>
      </w:pPr>
      <w:r>
        <w:rPr>
          <w:rFonts w:hint="eastAsia"/>
          <w:color w:val="auto"/>
          <w:sz w:val="24"/>
          <w:szCs w:val="24"/>
          <w:highlight w:val="none"/>
          <w:lang w:val="en-US" w:eastAsia="zh-CN"/>
        </w:rPr>
        <w:t>3.2.3.2专业承包人作为精装修以及与精装修有关的其他工程的总协调与管理者，需要在总承包人的统一管理下，全面负责本工程范围内的施工质量及安全文明施工管理工作。</w:t>
      </w:r>
    </w:p>
    <w:p w14:paraId="5621A779">
      <w:pPr>
        <w:pStyle w:val="2"/>
        <w:keepNext w:val="0"/>
        <w:keepLines w:val="0"/>
        <w:pageBreakBefore w:val="0"/>
        <w:widowControl w:val="0"/>
        <w:kinsoku/>
        <w:wordWrap/>
        <w:overflowPunct/>
        <w:topLinePunct w:val="0"/>
        <w:autoSpaceDE/>
        <w:autoSpaceDN/>
        <w:bidi w:val="0"/>
        <w:outlineLvl w:val="3"/>
        <w:rPr>
          <w:rFonts w:hint="eastAsia"/>
          <w:color w:val="auto"/>
          <w:sz w:val="24"/>
          <w:szCs w:val="24"/>
          <w:highlight w:val="none"/>
          <w:lang w:val="en-US" w:eastAsia="zh-CN"/>
        </w:rPr>
      </w:pPr>
      <w:r>
        <w:rPr>
          <w:rFonts w:hint="eastAsia"/>
          <w:color w:val="auto"/>
          <w:sz w:val="24"/>
          <w:szCs w:val="24"/>
          <w:highlight w:val="none"/>
          <w:lang w:val="en-US" w:eastAsia="zh-CN"/>
        </w:rPr>
        <w:t>3.2.3.3专业承包人职责包括但不限于依据现行法律法规、施工规范以及本技术要求内容，对本工程范围内的所有单位的施工、安装、调试等工作内容进行全面管理，并承担所有管理协调责任，直至完成对小业主的交付。</w:t>
      </w:r>
    </w:p>
    <w:p w14:paraId="437163A3">
      <w:pPr>
        <w:pStyle w:val="2"/>
        <w:keepNext w:val="0"/>
        <w:keepLines w:val="0"/>
        <w:pageBreakBefore w:val="0"/>
        <w:widowControl w:val="0"/>
        <w:kinsoku/>
        <w:wordWrap/>
        <w:overflowPunct/>
        <w:topLinePunct w:val="0"/>
        <w:autoSpaceDE/>
        <w:autoSpaceDN/>
        <w:bidi w:val="0"/>
        <w:outlineLvl w:val="3"/>
        <w:rPr>
          <w:rFonts w:hint="eastAsia"/>
          <w:color w:val="auto"/>
          <w:sz w:val="24"/>
          <w:szCs w:val="24"/>
          <w:highlight w:val="none"/>
          <w:lang w:val="en-US" w:eastAsia="zh-CN"/>
        </w:rPr>
      </w:pPr>
      <w:r>
        <w:rPr>
          <w:rFonts w:hint="eastAsia"/>
          <w:color w:val="auto"/>
          <w:sz w:val="24"/>
          <w:szCs w:val="24"/>
          <w:highlight w:val="none"/>
          <w:lang w:val="en-US" w:eastAsia="zh-CN"/>
        </w:rPr>
        <w:t>3.2.3.4专业承包人应根据本工程合同所指定的标段内工程范围进行施工，并得到发包人、监理单位、设计单位认可，专业承包人亦应遵守标书所述国家各项有关规范、规程、规定进行供应和安装施工，以确保工程的顺利验收。</w:t>
      </w:r>
    </w:p>
    <w:p w14:paraId="1C5614DF">
      <w:pPr>
        <w:pStyle w:val="2"/>
        <w:keepNext w:val="0"/>
        <w:keepLines w:val="0"/>
        <w:pageBreakBefore w:val="0"/>
        <w:widowControl w:val="0"/>
        <w:kinsoku/>
        <w:wordWrap/>
        <w:overflowPunct/>
        <w:topLinePunct w:val="0"/>
        <w:autoSpaceDE/>
        <w:autoSpaceDN/>
        <w:bidi w:val="0"/>
        <w:outlineLvl w:val="3"/>
        <w:rPr>
          <w:rFonts w:hint="eastAsia"/>
          <w:color w:val="auto"/>
          <w:sz w:val="24"/>
          <w:szCs w:val="24"/>
          <w:highlight w:val="none"/>
          <w:lang w:val="en-US" w:eastAsia="zh-CN"/>
        </w:rPr>
      </w:pPr>
      <w:r>
        <w:rPr>
          <w:rFonts w:hint="eastAsia"/>
          <w:color w:val="auto"/>
          <w:sz w:val="24"/>
          <w:szCs w:val="24"/>
          <w:highlight w:val="none"/>
          <w:lang w:val="en-US" w:eastAsia="zh-CN"/>
        </w:rPr>
        <w:t>3.2.3.5专业承包人应主动配合发包人与当地政府部门进行联系和协调，并按发包人、设计单位的要求提供有关技术资料和数据。</w:t>
      </w:r>
    </w:p>
    <w:p w14:paraId="63A6408C">
      <w:pPr>
        <w:pStyle w:val="2"/>
        <w:keepNext w:val="0"/>
        <w:keepLines w:val="0"/>
        <w:pageBreakBefore w:val="0"/>
        <w:widowControl w:val="0"/>
        <w:kinsoku/>
        <w:wordWrap/>
        <w:overflowPunct/>
        <w:topLinePunct w:val="0"/>
        <w:autoSpaceDE/>
        <w:autoSpaceDN/>
        <w:bidi w:val="0"/>
        <w:outlineLvl w:val="3"/>
        <w:rPr>
          <w:rFonts w:hint="eastAsia"/>
          <w:color w:val="auto"/>
          <w:sz w:val="24"/>
          <w:szCs w:val="24"/>
          <w:highlight w:val="none"/>
          <w:lang w:val="en-US" w:eastAsia="zh-CN"/>
        </w:rPr>
      </w:pPr>
      <w:r>
        <w:rPr>
          <w:rFonts w:hint="eastAsia"/>
          <w:color w:val="auto"/>
          <w:sz w:val="24"/>
          <w:szCs w:val="24"/>
          <w:highlight w:val="none"/>
          <w:lang w:val="en-US" w:eastAsia="zh-CN"/>
        </w:rPr>
        <w:t>3.2.3.6专业承包人应负责完成施工、设计、环保及健康等所有政府有关部门的资质及手续办理，在接到中标通知书10日内办理完成相关入场施工手续，保证开展精装修工程的合法性合规性，确保工程最终通过政府各项验收。</w:t>
      </w:r>
    </w:p>
    <w:p w14:paraId="01E99374">
      <w:pPr>
        <w:pStyle w:val="2"/>
        <w:keepNext w:val="0"/>
        <w:keepLines w:val="0"/>
        <w:pageBreakBefore w:val="0"/>
        <w:widowControl w:val="0"/>
        <w:kinsoku/>
        <w:wordWrap/>
        <w:overflowPunct/>
        <w:topLinePunct w:val="0"/>
        <w:autoSpaceDE/>
        <w:autoSpaceDN/>
        <w:bidi w:val="0"/>
        <w:outlineLvl w:val="3"/>
        <w:rPr>
          <w:rFonts w:hint="eastAsia"/>
          <w:color w:val="auto"/>
          <w:sz w:val="24"/>
          <w:szCs w:val="24"/>
          <w:highlight w:val="none"/>
          <w:lang w:val="en-US" w:eastAsia="zh-CN"/>
        </w:rPr>
      </w:pPr>
      <w:r>
        <w:rPr>
          <w:rFonts w:hint="eastAsia"/>
          <w:color w:val="auto"/>
          <w:sz w:val="24"/>
          <w:szCs w:val="24"/>
          <w:highlight w:val="none"/>
          <w:lang w:val="en-US" w:eastAsia="zh-CN"/>
        </w:rPr>
        <w:t>3.2.3.7专业承包人须承诺负责所承包范围内所有相关报审、报验工作（通过验收），如质量验收、材料送检、室内有害气体释放量检测等工作，不合格专业承包人承担拆除整改等一切相关费用及工期责任。在合同报价中单独列项予以考虑。</w:t>
      </w:r>
    </w:p>
    <w:p w14:paraId="2BB3C61D">
      <w:pPr>
        <w:pStyle w:val="2"/>
        <w:keepNext w:val="0"/>
        <w:keepLines w:val="0"/>
        <w:pageBreakBefore w:val="0"/>
        <w:widowControl w:val="0"/>
        <w:kinsoku/>
        <w:wordWrap/>
        <w:overflowPunct/>
        <w:topLinePunct w:val="0"/>
        <w:autoSpaceDE/>
        <w:autoSpaceDN/>
        <w:bidi w:val="0"/>
        <w:outlineLvl w:val="3"/>
        <w:rPr>
          <w:rFonts w:hint="eastAsia"/>
          <w:color w:val="auto"/>
          <w:sz w:val="24"/>
          <w:szCs w:val="24"/>
          <w:highlight w:val="none"/>
          <w:lang w:val="en-US" w:eastAsia="zh-CN"/>
        </w:rPr>
      </w:pPr>
      <w:r>
        <w:rPr>
          <w:rFonts w:hint="eastAsia"/>
          <w:color w:val="auto"/>
          <w:sz w:val="24"/>
          <w:szCs w:val="24"/>
          <w:highlight w:val="none"/>
          <w:lang w:val="en-US" w:eastAsia="zh-CN"/>
        </w:rPr>
        <w:t>3.2.3.8专业承包人对精装修工程范围内的设备及材料作全面的看管，以防盗窃、损坏或损失。</w:t>
      </w:r>
    </w:p>
    <w:p w14:paraId="20A27AF5">
      <w:pPr>
        <w:pStyle w:val="2"/>
        <w:keepNext w:val="0"/>
        <w:keepLines w:val="0"/>
        <w:pageBreakBefore w:val="0"/>
        <w:widowControl w:val="0"/>
        <w:kinsoku/>
        <w:wordWrap/>
        <w:overflowPunct/>
        <w:topLinePunct w:val="0"/>
        <w:autoSpaceDE/>
        <w:autoSpaceDN/>
        <w:bidi w:val="0"/>
        <w:outlineLvl w:val="3"/>
        <w:rPr>
          <w:rFonts w:hint="eastAsia"/>
          <w:color w:val="auto"/>
          <w:sz w:val="24"/>
          <w:szCs w:val="24"/>
          <w:highlight w:val="none"/>
          <w:lang w:val="en-US" w:eastAsia="zh-CN"/>
        </w:rPr>
      </w:pPr>
      <w:r>
        <w:rPr>
          <w:rFonts w:hint="eastAsia"/>
          <w:color w:val="auto"/>
          <w:sz w:val="24"/>
          <w:szCs w:val="24"/>
          <w:highlight w:val="none"/>
          <w:lang w:val="en-US" w:eastAsia="zh-CN"/>
        </w:rPr>
        <w:t>3.2.3.9现场材料的堆放必须服从发包人、总承包人统一安排，并自行解决所有进场材料的保管工作，自行承担材料遗失责任，且不能因此而耽误工期。若发包人由于工程需要要求材料转场或清理时，必须无条件2天内完成，否则发包人有权对此进行罚款处理，或安排其他单位进行代工，所涉及费用由专业承包人承担。</w:t>
      </w:r>
    </w:p>
    <w:p w14:paraId="1D67DE4D">
      <w:pPr>
        <w:pStyle w:val="2"/>
        <w:keepNext w:val="0"/>
        <w:keepLines w:val="0"/>
        <w:pageBreakBefore w:val="0"/>
        <w:widowControl w:val="0"/>
        <w:kinsoku/>
        <w:wordWrap/>
        <w:overflowPunct/>
        <w:topLinePunct w:val="0"/>
        <w:autoSpaceDE/>
        <w:autoSpaceDN/>
        <w:bidi w:val="0"/>
        <w:outlineLvl w:val="3"/>
        <w:rPr>
          <w:rFonts w:hint="eastAsia"/>
          <w:color w:val="auto"/>
          <w:sz w:val="24"/>
          <w:szCs w:val="24"/>
          <w:highlight w:val="none"/>
          <w:lang w:val="en-US" w:eastAsia="zh-CN"/>
        </w:rPr>
      </w:pPr>
      <w:r>
        <w:rPr>
          <w:rFonts w:hint="eastAsia"/>
          <w:color w:val="auto"/>
          <w:sz w:val="24"/>
          <w:szCs w:val="24"/>
          <w:highlight w:val="none"/>
          <w:lang w:val="en-US" w:eastAsia="zh-CN"/>
        </w:rPr>
        <w:t>3.2.3.10专业承包人在工程完工并交付小业主后，负责对发包方客服、物业等部门员工提供培训及技术指导。</w:t>
      </w:r>
    </w:p>
    <w:p w14:paraId="2072A60E">
      <w:pPr>
        <w:pStyle w:val="2"/>
        <w:keepNext w:val="0"/>
        <w:keepLines w:val="0"/>
        <w:pageBreakBefore w:val="0"/>
        <w:widowControl w:val="0"/>
        <w:kinsoku/>
        <w:wordWrap/>
        <w:overflowPunct/>
        <w:topLinePunct w:val="0"/>
        <w:autoSpaceDE/>
        <w:autoSpaceDN/>
        <w:bidi w:val="0"/>
        <w:outlineLvl w:val="3"/>
        <w:rPr>
          <w:rFonts w:hint="eastAsia"/>
          <w:color w:val="auto"/>
          <w:sz w:val="24"/>
          <w:szCs w:val="24"/>
          <w:highlight w:val="none"/>
          <w:lang w:val="en-US" w:eastAsia="zh-CN"/>
        </w:rPr>
      </w:pPr>
      <w:r>
        <w:rPr>
          <w:rFonts w:hint="eastAsia"/>
          <w:color w:val="auto"/>
          <w:sz w:val="24"/>
          <w:szCs w:val="24"/>
          <w:highlight w:val="none"/>
          <w:lang w:val="en-US" w:eastAsia="zh-CN"/>
        </w:rPr>
        <w:t>3.2.3.11专业承包人不得因政府重大会议、环保检查、创城等客观因素造成的停工而拖后工期，不得因上述原因停工进行索赔。</w:t>
      </w:r>
    </w:p>
    <w:p w14:paraId="3933D00C">
      <w:pPr>
        <w:pStyle w:val="2"/>
        <w:keepNext w:val="0"/>
        <w:keepLines w:val="0"/>
        <w:pageBreakBefore w:val="0"/>
        <w:widowControl w:val="0"/>
        <w:kinsoku/>
        <w:wordWrap/>
        <w:overflowPunct/>
        <w:topLinePunct w:val="0"/>
        <w:autoSpaceDE/>
        <w:autoSpaceDN/>
        <w:bidi w:val="0"/>
        <w:outlineLvl w:val="3"/>
        <w:rPr>
          <w:rFonts w:hint="eastAsia"/>
          <w:color w:val="auto"/>
          <w:sz w:val="24"/>
          <w:szCs w:val="24"/>
          <w:highlight w:val="none"/>
          <w:lang w:val="en-US" w:eastAsia="zh-CN"/>
        </w:rPr>
      </w:pPr>
      <w:r>
        <w:rPr>
          <w:rFonts w:hint="eastAsia"/>
          <w:color w:val="auto"/>
          <w:sz w:val="24"/>
          <w:szCs w:val="24"/>
          <w:highlight w:val="none"/>
          <w:lang w:val="en-US" w:eastAsia="zh-CN"/>
        </w:rPr>
        <w:t>3.2.3.12专业承包人进场负责管理其接收工作面的楼层施工用水，避免用水不当造成的水流入电梯井等情况发生，如由于专业承包人用水不当造成的损失均由专业承包人承担，其他专业承包人用水不当造成的损失视为承包管理不当造成，损失由专业承包人承担，专业承包人可对其他专业承包人进行索赔。</w:t>
      </w:r>
    </w:p>
    <w:p w14:paraId="616D0B2B">
      <w:pPr>
        <w:pStyle w:val="2"/>
        <w:keepNext w:val="0"/>
        <w:keepLines w:val="0"/>
        <w:pageBreakBefore w:val="0"/>
        <w:widowControl w:val="0"/>
        <w:kinsoku/>
        <w:wordWrap/>
        <w:overflowPunct/>
        <w:topLinePunct w:val="0"/>
        <w:autoSpaceDE/>
        <w:autoSpaceDN/>
        <w:bidi w:val="0"/>
        <w:outlineLvl w:val="3"/>
        <w:rPr>
          <w:rFonts w:hint="eastAsia"/>
          <w:color w:val="auto"/>
          <w:sz w:val="24"/>
          <w:szCs w:val="24"/>
          <w:highlight w:val="none"/>
          <w:lang w:val="en-US" w:eastAsia="zh-CN"/>
        </w:rPr>
      </w:pPr>
      <w:r>
        <w:rPr>
          <w:rFonts w:hint="eastAsia"/>
          <w:color w:val="auto"/>
          <w:sz w:val="24"/>
          <w:szCs w:val="24"/>
          <w:highlight w:val="none"/>
          <w:lang w:val="en-US" w:eastAsia="zh-CN"/>
        </w:rPr>
        <w:t>3.2.3.13进场准备管理：专业承包人中标后，应及时了解现场工作面情况，自收到图纸后15天内完成图纸会审工作，自进场之日起15天内完成材料样板认样工作。施工进度表需报监理及发包人审批后上墙，对已完工序楼层进行标识。若发包人认为现场施工作业人员不足、不能满足发包人进度要求时，专业承包人必须无条件服从发包人提出的增加施工人员的要求，并且增加的人员必须在3天内到位。</w:t>
      </w:r>
    </w:p>
    <w:p w14:paraId="49D44BFE">
      <w:pPr>
        <w:pStyle w:val="2"/>
        <w:keepNext w:val="0"/>
        <w:keepLines w:val="0"/>
        <w:pageBreakBefore w:val="0"/>
        <w:widowControl w:val="0"/>
        <w:kinsoku/>
        <w:wordWrap/>
        <w:overflowPunct/>
        <w:topLinePunct w:val="0"/>
        <w:autoSpaceDE/>
        <w:autoSpaceDN/>
        <w:bidi w:val="0"/>
        <w:adjustRightInd/>
        <w:snapToGrid w:val="0"/>
        <w:spacing w:line="360" w:lineRule="auto"/>
        <w:textAlignment w:val="auto"/>
        <w:outlineLvl w:val="3"/>
        <w:rPr>
          <w:color w:val="auto"/>
          <w:sz w:val="24"/>
          <w:szCs w:val="24"/>
          <w:highlight w:val="none"/>
        </w:rPr>
      </w:pPr>
      <w:r>
        <w:rPr>
          <w:rFonts w:hint="eastAsia"/>
          <w:color w:val="auto"/>
          <w:sz w:val="24"/>
          <w:szCs w:val="24"/>
          <w:highlight w:val="none"/>
          <w:lang w:val="en-US" w:eastAsia="zh-CN"/>
        </w:rPr>
        <w:t>3.2.3.14专业承包人需承诺专款专用，严禁将该项目工程款挪作他用，若发生专业承包人劳务人员未收到</w:t>
      </w:r>
      <w:r>
        <w:rPr>
          <w:rFonts w:hint="eastAsia"/>
          <w:b w:val="0"/>
          <w:bCs w:val="0"/>
          <w:color w:val="auto"/>
          <w:sz w:val="24"/>
          <w:szCs w:val="24"/>
          <w:highlight w:val="none"/>
          <w:lang w:val="en-US" w:eastAsia="zh-CN"/>
        </w:rPr>
        <w:t>工程款</w:t>
      </w:r>
      <w:r>
        <w:rPr>
          <w:rFonts w:hint="eastAsia"/>
          <w:color w:val="auto"/>
          <w:sz w:val="24"/>
          <w:szCs w:val="24"/>
          <w:highlight w:val="none"/>
          <w:lang w:val="en-US" w:eastAsia="zh-CN"/>
        </w:rPr>
        <w:t>而聚众闹事，由专业承包人自行处理，并承担违约责。</w:t>
      </w:r>
    </w:p>
    <w:p w14:paraId="1D380809">
      <w:pPr>
        <w:pStyle w:val="4"/>
        <w:keepNext w:val="0"/>
        <w:keepLines w:val="0"/>
        <w:pageBreakBefore w:val="0"/>
        <w:widowControl w:val="0"/>
        <w:numPr>
          <w:ilvl w:val="0"/>
          <w:numId w:val="8"/>
        </w:numPr>
        <w:kinsoku/>
        <w:wordWrap/>
        <w:overflowPunct/>
        <w:topLinePunct w:val="0"/>
        <w:autoSpaceDE/>
        <w:autoSpaceDN/>
        <w:bidi w:val="0"/>
        <w:adjustRightInd/>
        <w:snapToGrid w:val="0"/>
        <w:spacing w:before="0" w:line="360" w:lineRule="auto"/>
        <w:ind w:firstLineChars="0"/>
        <w:textAlignment w:val="auto"/>
        <w:rPr>
          <w:color w:val="auto"/>
          <w:highlight w:val="none"/>
        </w:rPr>
      </w:pPr>
      <w:bookmarkStart w:id="59" w:name="_Toc12611"/>
      <w:bookmarkStart w:id="60" w:name="_Toc153907555"/>
      <w:bookmarkStart w:id="61" w:name="_Toc6348"/>
      <w:r>
        <w:rPr>
          <w:rFonts w:hint="eastAsia"/>
          <w:color w:val="auto"/>
          <w:highlight w:val="none"/>
        </w:rPr>
        <w:t>工作内容</w:t>
      </w:r>
      <w:bookmarkEnd w:id="59"/>
      <w:bookmarkEnd w:id="60"/>
      <w:bookmarkEnd w:id="61"/>
    </w:p>
    <w:p w14:paraId="76D76A34">
      <w:pPr>
        <w:pStyle w:val="2"/>
        <w:keepNext w:val="0"/>
        <w:keepLines w:val="0"/>
        <w:pageBreakBefore w:val="0"/>
        <w:widowControl w:val="0"/>
        <w:kinsoku/>
        <w:wordWrap/>
        <w:overflowPunct/>
        <w:topLinePunct w:val="0"/>
        <w:autoSpaceDE/>
        <w:autoSpaceDN/>
        <w:bidi w:val="0"/>
        <w:adjustRightInd/>
        <w:snapToGrid w:val="0"/>
        <w:spacing w:beforeLines="0" w:afterLines="0"/>
        <w:ind w:leftChars="0" w:firstLine="480" w:firstLineChars="200"/>
        <w:textAlignment w:val="auto"/>
        <w:outlineLvl w:val="2"/>
        <w:rPr>
          <w:rFonts w:hint="eastAsia"/>
          <w:color w:val="auto"/>
          <w:sz w:val="24"/>
          <w:szCs w:val="24"/>
          <w:highlight w:val="none"/>
          <w:lang w:val="en-US" w:eastAsia="zh-CN"/>
        </w:rPr>
      </w:pPr>
      <w:r>
        <w:rPr>
          <w:rFonts w:hint="eastAsia"/>
          <w:color w:val="auto"/>
          <w:sz w:val="24"/>
          <w:szCs w:val="24"/>
          <w:highlight w:val="none"/>
          <w:lang w:val="en-US" w:eastAsia="zh-CN"/>
        </w:rPr>
        <w:t>3.3.1简述</w:t>
      </w:r>
    </w:p>
    <w:p w14:paraId="5E781216">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3.3.1.1</w:t>
      </w:r>
      <w:r>
        <w:rPr>
          <w:rFonts w:hint="eastAsia"/>
          <w:bCs/>
          <w:color w:val="auto"/>
          <w:highlight w:val="none"/>
          <w:lang w:val="zh-CN"/>
        </w:rPr>
        <w:t>按现行的国家及当地的有关规范，根据建筑图、结构图、招标文件、招标技术要求、现场实际状况和分包人以往类似项目的成熟经验进行优化及深化后，</w:t>
      </w:r>
      <w:r>
        <w:rPr>
          <w:rFonts w:hint="eastAsia"/>
          <w:bCs/>
          <w:color w:val="auto"/>
          <w:highlight w:val="none"/>
          <w:lang w:val="en-US" w:eastAsia="zh-CN"/>
        </w:rPr>
        <w:t>负责</w:t>
      </w:r>
      <w:r>
        <w:rPr>
          <w:rFonts w:hint="eastAsia"/>
          <w:bCs/>
          <w:color w:val="auto"/>
          <w:highlight w:val="none"/>
          <w:lang w:val="zh-CN"/>
        </w:rPr>
        <w:t>完成</w:t>
      </w:r>
      <w:r>
        <w:rPr>
          <w:rFonts w:hint="eastAsia"/>
          <w:bCs/>
          <w:color w:val="auto"/>
          <w:highlight w:val="none"/>
        </w:rPr>
        <w:t>合同内容、装修相关图纸内装饰装修工程、</w:t>
      </w:r>
      <w:r>
        <w:rPr>
          <w:rFonts w:hint="eastAsia"/>
          <w:bCs/>
          <w:color w:val="auto"/>
          <w:highlight w:val="none"/>
          <w:lang w:val="en-US" w:eastAsia="zh-CN"/>
        </w:rPr>
        <w:t>门类</w:t>
      </w:r>
      <w:r>
        <w:rPr>
          <w:rFonts w:hint="eastAsia"/>
          <w:bCs/>
          <w:color w:val="auto"/>
          <w:highlight w:val="none"/>
        </w:rPr>
        <w:t>工程</w:t>
      </w:r>
      <w:r>
        <w:rPr>
          <w:rFonts w:hint="eastAsia"/>
          <w:bCs/>
          <w:color w:val="auto"/>
          <w:highlight w:val="none"/>
          <w:lang w:eastAsia="zh-CN"/>
        </w:rPr>
        <w:t>、</w:t>
      </w:r>
      <w:r>
        <w:rPr>
          <w:rFonts w:hint="eastAsia"/>
          <w:bCs/>
          <w:color w:val="auto"/>
          <w:highlight w:val="none"/>
          <w:lang w:val="en-US" w:eastAsia="zh-CN"/>
        </w:rPr>
        <w:t>二次改造工程</w:t>
      </w:r>
      <w:r>
        <w:rPr>
          <w:rFonts w:hint="eastAsia"/>
          <w:bCs/>
          <w:color w:val="auto"/>
          <w:highlight w:val="none"/>
        </w:rPr>
        <w:t>及发包人方因工程需要后续委托的其他零星工程（如内隔墙拆除、砌筑、墙面抹灰等）</w:t>
      </w:r>
      <w:r>
        <w:rPr>
          <w:rFonts w:hint="eastAsia"/>
          <w:bCs/>
          <w:color w:val="auto"/>
          <w:highlight w:val="none"/>
          <w:lang w:val="zh-CN"/>
        </w:rPr>
        <w:t>，以及招标文件规定的安全文明施工成品保护工作，包括但不限于：材料及设备</w:t>
      </w:r>
      <w:r>
        <w:rPr>
          <w:rFonts w:hint="eastAsia"/>
          <w:bCs/>
          <w:color w:val="auto"/>
          <w:highlight w:val="none"/>
        </w:rPr>
        <w:t>的供应与保管</w:t>
      </w:r>
      <w:r>
        <w:rPr>
          <w:rFonts w:hint="eastAsia"/>
          <w:bCs/>
          <w:color w:val="auto"/>
          <w:highlight w:val="none"/>
          <w:lang w:val="zh-CN"/>
        </w:rPr>
        <w:t>（含项目红线范围内的卸货及搬运入场）</w:t>
      </w:r>
      <w:r>
        <w:rPr>
          <w:rFonts w:hint="eastAsia"/>
          <w:bCs/>
          <w:color w:val="auto"/>
          <w:highlight w:val="none"/>
        </w:rPr>
        <w:t>以及</w:t>
      </w:r>
      <w:r>
        <w:rPr>
          <w:rFonts w:hint="eastAsia"/>
          <w:bCs/>
          <w:color w:val="auto"/>
          <w:highlight w:val="none"/>
          <w:lang w:val="zh-CN"/>
        </w:rPr>
        <w:t>安装、配合调试、配合保修</w:t>
      </w:r>
      <w:r>
        <w:rPr>
          <w:rFonts w:hint="eastAsia"/>
          <w:bCs/>
          <w:color w:val="auto"/>
          <w:highlight w:val="none"/>
        </w:rPr>
        <w:t>等工作</w:t>
      </w:r>
      <w:r>
        <w:rPr>
          <w:rFonts w:hint="eastAsia"/>
          <w:bCs/>
          <w:color w:val="auto"/>
          <w:highlight w:val="none"/>
          <w:lang w:val="zh-CN"/>
        </w:rPr>
        <w:t>；</w:t>
      </w:r>
      <w:r>
        <w:rPr>
          <w:rFonts w:hint="eastAsia"/>
          <w:bCs/>
          <w:color w:val="auto"/>
          <w:highlight w:val="none"/>
        </w:rPr>
        <w:t>其中</w:t>
      </w:r>
      <w:r>
        <w:rPr>
          <w:rFonts w:hint="eastAsia"/>
          <w:bCs/>
          <w:color w:val="auto"/>
          <w:highlight w:val="none"/>
          <w:lang w:val="zh-CN"/>
        </w:rPr>
        <w:t>乙供材料</w:t>
      </w:r>
      <w:r>
        <w:rPr>
          <w:rFonts w:hint="eastAsia"/>
          <w:bCs/>
          <w:color w:val="auto"/>
          <w:highlight w:val="none"/>
        </w:rPr>
        <w:t>需</w:t>
      </w:r>
      <w:r>
        <w:rPr>
          <w:rFonts w:hint="eastAsia"/>
          <w:bCs/>
          <w:color w:val="auto"/>
          <w:highlight w:val="none"/>
          <w:lang w:eastAsia="zh-CN"/>
        </w:rPr>
        <w:t>专业承包人</w:t>
      </w:r>
      <w:r>
        <w:rPr>
          <w:rFonts w:hint="eastAsia"/>
          <w:bCs/>
          <w:color w:val="auto"/>
          <w:highlight w:val="none"/>
        </w:rPr>
        <w:t>按照发包人要求的材料及技术要求送样，经发包人确认后由</w:t>
      </w:r>
      <w:r>
        <w:rPr>
          <w:rFonts w:hint="eastAsia"/>
          <w:bCs/>
          <w:color w:val="auto"/>
          <w:highlight w:val="none"/>
          <w:lang w:eastAsia="zh-CN"/>
        </w:rPr>
        <w:t>专业承包人</w:t>
      </w:r>
      <w:r>
        <w:rPr>
          <w:rFonts w:hint="eastAsia"/>
          <w:bCs/>
          <w:color w:val="auto"/>
          <w:highlight w:val="none"/>
        </w:rPr>
        <w:t>供应的材料及设备。</w:t>
      </w:r>
    </w:p>
    <w:p w14:paraId="4743447A">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3.3.1.2</w:t>
      </w:r>
      <w:r>
        <w:rPr>
          <w:rFonts w:hint="eastAsia"/>
          <w:bCs/>
          <w:color w:val="auto"/>
          <w:highlight w:val="none"/>
          <w:lang w:eastAsia="zh-CN"/>
        </w:rPr>
        <w:t>专业承包人</w:t>
      </w:r>
      <w:r>
        <w:rPr>
          <w:rFonts w:hint="eastAsia"/>
          <w:bCs/>
          <w:color w:val="auto"/>
          <w:highlight w:val="none"/>
        </w:rPr>
        <w:t>负责工程范围内深化设计工作，相关设计费用包含在投标总价中，不论其是否明确列出，深化设计不得改变施工图设计的建筑做法、功能、材料等，不能超出施工图界定的施工范围。</w:t>
      </w:r>
      <w:r>
        <w:rPr>
          <w:rFonts w:hint="eastAsia"/>
          <w:bCs/>
          <w:color w:val="auto"/>
          <w:highlight w:val="none"/>
          <w:lang w:eastAsia="zh-CN"/>
        </w:rPr>
        <w:t>专业承包人</w:t>
      </w:r>
      <w:r>
        <w:rPr>
          <w:bCs/>
          <w:color w:val="auto"/>
          <w:highlight w:val="none"/>
        </w:rPr>
        <w:t>需考虑排版图深化设计引起的损耗增加</w:t>
      </w:r>
      <w:r>
        <w:rPr>
          <w:rFonts w:hint="eastAsia"/>
          <w:bCs/>
          <w:color w:val="auto"/>
          <w:highlight w:val="none"/>
        </w:rPr>
        <w:t>，不得以深化设计作为索赔条件，增加费用。</w:t>
      </w:r>
      <w:r>
        <w:rPr>
          <w:rFonts w:hint="eastAsia"/>
          <w:bCs/>
          <w:color w:val="auto"/>
          <w:highlight w:val="none"/>
          <w:lang w:val="en-US" w:eastAsia="zh-CN"/>
        </w:rPr>
        <w:t>同时需同相关专业承包人配合，进行各专业同装修相关的整合设计工作。</w:t>
      </w:r>
    </w:p>
    <w:p w14:paraId="08AD8CF5">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3.3.1.3</w:t>
      </w:r>
      <w:r>
        <w:rPr>
          <w:rFonts w:hint="eastAsia"/>
          <w:bCs/>
          <w:color w:val="auto"/>
          <w:highlight w:val="none"/>
        </w:rPr>
        <w:t>对于材料及工艺要求若技术要求内部存在说法不一以及技术要求与设计图纸存在不符处，均采用较高标准，此部分费用包含在投标总价中，无论其是否明确列出。</w:t>
      </w:r>
    </w:p>
    <w:p w14:paraId="66D2ECAF">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lang w:val="zh-CN"/>
        </w:rPr>
      </w:pPr>
      <w:r>
        <w:rPr>
          <w:rFonts w:hint="eastAsia"/>
          <w:bCs/>
          <w:color w:val="auto"/>
          <w:highlight w:val="none"/>
          <w:lang w:val="en-US" w:eastAsia="zh-CN"/>
        </w:rPr>
        <w:t>3.1.3.4</w:t>
      </w:r>
      <w:r>
        <w:rPr>
          <w:rFonts w:hint="eastAsia"/>
          <w:bCs/>
          <w:color w:val="auto"/>
          <w:highlight w:val="none"/>
          <w:lang w:eastAsia="zh-CN"/>
        </w:rPr>
        <w:t>专业承包人</w:t>
      </w:r>
      <w:r>
        <w:rPr>
          <w:rFonts w:hint="eastAsia"/>
          <w:bCs/>
          <w:color w:val="auto"/>
          <w:highlight w:val="none"/>
        </w:rPr>
        <w:t>需完成本工程所需政府审批、验收及专业审批、验收</w:t>
      </w:r>
      <w:r>
        <w:rPr>
          <w:rFonts w:hint="eastAsia"/>
          <w:bCs/>
          <w:color w:val="auto"/>
          <w:highlight w:val="none"/>
          <w:lang w:val="en-US" w:eastAsia="zh-CN"/>
        </w:rPr>
        <w:t>等与</w:t>
      </w:r>
      <w:r>
        <w:rPr>
          <w:rFonts w:hint="eastAsia"/>
          <w:bCs/>
          <w:color w:val="auto"/>
          <w:highlight w:val="none"/>
          <w:lang w:val="zh-CN"/>
        </w:rPr>
        <w:t>项目</w:t>
      </w:r>
      <w:r>
        <w:rPr>
          <w:rFonts w:hint="eastAsia"/>
          <w:bCs/>
          <w:color w:val="auto"/>
          <w:highlight w:val="none"/>
          <w:lang w:val="en-US" w:eastAsia="zh-CN"/>
        </w:rPr>
        <w:t>精装修</w:t>
      </w:r>
      <w:r>
        <w:rPr>
          <w:rFonts w:hint="eastAsia"/>
          <w:bCs/>
          <w:color w:val="auto"/>
          <w:highlight w:val="none"/>
          <w:lang w:val="zh-CN"/>
        </w:rPr>
        <w:t>工程实施有关的各项报批报建工作，</w:t>
      </w:r>
      <w:r>
        <w:rPr>
          <w:rFonts w:hint="eastAsia"/>
          <w:bCs/>
          <w:color w:val="auto"/>
          <w:highlight w:val="none"/>
        </w:rPr>
        <w:t>配合</w:t>
      </w:r>
      <w:r>
        <w:rPr>
          <w:rFonts w:hint="eastAsia"/>
          <w:bCs/>
          <w:color w:val="auto"/>
          <w:highlight w:val="none"/>
          <w:lang w:val="en-US" w:eastAsia="zh-CN"/>
        </w:rPr>
        <w:t>完成</w:t>
      </w:r>
      <w:r>
        <w:rPr>
          <w:rFonts w:hint="eastAsia"/>
          <w:bCs/>
          <w:color w:val="auto"/>
          <w:highlight w:val="none"/>
        </w:rPr>
        <w:t>本工程相关的其它政府审批、验收及专业审批、验收</w:t>
      </w:r>
      <w:r>
        <w:rPr>
          <w:rFonts w:hint="eastAsia"/>
          <w:bCs/>
          <w:color w:val="auto"/>
          <w:highlight w:val="none"/>
          <w:lang w:eastAsia="zh-CN"/>
        </w:rPr>
        <w:t>，</w:t>
      </w:r>
      <w:r>
        <w:rPr>
          <w:rFonts w:hint="eastAsia"/>
          <w:bCs/>
          <w:color w:val="auto"/>
          <w:highlight w:val="none"/>
          <w:lang w:val="zh-CN" w:eastAsia="zh-CN"/>
        </w:rPr>
        <w:t>包含</w:t>
      </w:r>
      <w:r>
        <w:rPr>
          <w:rFonts w:hint="eastAsia"/>
          <w:bCs/>
          <w:color w:val="auto"/>
          <w:highlight w:val="none"/>
          <w:lang w:val="en-US" w:eastAsia="zh-CN"/>
        </w:rPr>
        <w:t>不限于</w:t>
      </w:r>
      <w:r>
        <w:rPr>
          <w:rFonts w:hint="eastAsia"/>
          <w:bCs/>
          <w:color w:val="auto"/>
          <w:highlight w:val="none"/>
          <w:lang w:val="zh-CN" w:eastAsia="zh-CN"/>
        </w:rPr>
        <w:t>项目</w:t>
      </w:r>
      <w:r>
        <w:rPr>
          <w:rFonts w:hint="eastAsia"/>
          <w:bCs/>
          <w:color w:val="auto"/>
          <w:highlight w:val="none"/>
          <w:lang w:val="en-US" w:eastAsia="zh-CN"/>
        </w:rPr>
        <w:t>竣工验收</w:t>
      </w:r>
      <w:r>
        <w:rPr>
          <w:rFonts w:hint="eastAsia"/>
          <w:bCs/>
          <w:color w:val="auto"/>
          <w:highlight w:val="none"/>
          <w:lang w:val="zh-CN" w:eastAsia="zh-CN"/>
        </w:rPr>
        <w:t>后项目</w:t>
      </w:r>
      <w:r>
        <w:rPr>
          <w:rFonts w:hint="eastAsia"/>
          <w:bCs/>
          <w:color w:val="auto"/>
          <w:highlight w:val="none"/>
          <w:lang w:val="en-US" w:eastAsia="zh-CN"/>
        </w:rPr>
        <w:t>二次改造</w:t>
      </w:r>
      <w:r>
        <w:rPr>
          <w:rFonts w:hint="eastAsia"/>
          <w:bCs/>
          <w:color w:val="auto"/>
          <w:highlight w:val="none"/>
          <w:lang w:val="zh-CN" w:eastAsia="zh-CN"/>
        </w:rPr>
        <w:t>所涉及的相关工程</w:t>
      </w:r>
      <w:r>
        <w:rPr>
          <w:rFonts w:hint="eastAsia"/>
          <w:bCs/>
          <w:color w:val="auto"/>
          <w:highlight w:val="none"/>
          <w:lang w:val="zh-CN"/>
        </w:rPr>
        <w:t>（不限于施工许可证办理</w:t>
      </w:r>
      <w:r>
        <w:rPr>
          <w:rFonts w:hint="eastAsia"/>
          <w:bCs/>
          <w:color w:val="auto"/>
          <w:highlight w:val="none"/>
          <w:lang w:val="en-US" w:eastAsia="zh-CN"/>
        </w:rPr>
        <w:t>，如需</w:t>
      </w:r>
      <w:r>
        <w:rPr>
          <w:rFonts w:hint="eastAsia"/>
          <w:bCs/>
          <w:color w:val="auto"/>
          <w:highlight w:val="none"/>
          <w:lang w:val="zh-CN"/>
        </w:rPr>
        <w:t>）。</w:t>
      </w:r>
    </w:p>
    <w:p w14:paraId="5DA20A5F">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lang w:val="zh-CN"/>
        </w:rPr>
      </w:pPr>
      <w:r>
        <w:rPr>
          <w:rFonts w:hint="eastAsia"/>
          <w:bCs/>
          <w:color w:val="auto"/>
          <w:highlight w:val="none"/>
          <w:lang w:val="en-US" w:eastAsia="zh-CN"/>
        </w:rPr>
        <w:t>3.3.1.5</w:t>
      </w:r>
      <w:r>
        <w:rPr>
          <w:rFonts w:hint="eastAsia"/>
          <w:bCs/>
          <w:color w:val="auto"/>
          <w:highlight w:val="none"/>
          <w:lang w:val="zh-CN"/>
        </w:rPr>
        <w:t>根据合同约定提供材料样品及施工样板/模型等，配合发包人工程师及设计师确定材料、设备品牌、型号，其费用在投标时须考虑并含在本次合同总价中；</w:t>
      </w:r>
    </w:p>
    <w:p w14:paraId="0180616C">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lang w:val="zh-CN"/>
        </w:rPr>
      </w:pPr>
      <w:r>
        <w:rPr>
          <w:rFonts w:hint="eastAsia"/>
          <w:bCs/>
          <w:color w:val="auto"/>
          <w:highlight w:val="none"/>
          <w:lang w:val="en-US" w:eastAsia="zh-CN"/>
        </w:rPr>
        <w:t>3.3.1.6</w:t>
      </w:r>
      <w:r>
        <w:rPr>
          <w:rFonts w:hint="eastAsia"/>
          <w:bCs/>
          <w:color w:val="auto"/>
          <w:highlight w:val="none"/>
          <w:lang w:val="zh-CN"/>
        </w:rPr>
        <w:t>工作界面内材料（包括</w:t>
      </w:r>
      <w:r>
        <w:rPr>
          <w:rFonts w:hint="eastAsia"/>
          <w:bCs/>
          <w:color w:val="auto"/>
          <w:highlight w:val="none"/>
          <w:lang w:val="zh-CN" w:eastAsia="zh-CN"/>
        </w:rPr>
        <w:t>发包人</w:t>
      </w:r>
      <w:r>
        <w:rPr>
          <w:rFonts w:hint="eastAsia"/>
          <w:bCs/>
          <w:color w:val="auto"/>
          <w:highlight w:val="none"/>
          <w:lang w:val="zh-CN"/>
        </w:rPr>
        <w:t>推荐品牌乙方供应的材料）、设备的采购工作及安装工作；并根据发包人、总承包人、监理人及国家相关规范的要求进行材料复试，按要求对必检材料做到所有批次全部复试费用及涉及的送检费用（路费、邮费等）需含在本次合同总价内；</w:t>
      </w:r>
    </w:p>
    <w:p w14:paraId="0AF4E660">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lang w:val="zh-CN"/>
        </w:rPr>
      </w:pPr>
      <w:r>
        <w:rPr>
          <w:rFonts w:hint="eastAsia"/>
          <w:bCs/>
          <w:color w:val="auto"/>
          <w:highlight w:val="none"/>
          <w:lang w:val="en-US" w:eastAsia="zh-CN"/>
        </w:rPr>
        <w:t>3.3.1.7</w:t>
      </w:r>
      <w:r>
        <w:rPr>
          <w:rFonts w:hint="eastAsia"/>
          <w:bCs/>
          <w:color w:val="auto"/>
          <w:highlight w:val="none"/>
          <w:lang w:val="zh-CN"/>
        </w:rPr>
        <w:t>配合总承包人和发包人完成交付使用前的各项相关准备工作，并负责移交到相关运营方；</w:t>
      </w:r>
    </w:p>
    <w:p w14:paraId="762EB48C">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lang w:val="zh-CN"/>
        </w:rPr>
      </w:pPr>
      <w:r>
        <w:rPr>
          <w:rFonts w:hint="eastAsia"/>
          <w:bCs/>
          <w:color w:val="auto"/>
          <w:highlight w:val="none"/>
          <w:lang w:val="en-US" w:eastAsia="zh-CN"/>
        </w:rPr>
        <w:t>3.3.1.8</w:t>
      </w:r>
      <w:r>
        <w:rPr>
          <w:bCs/>
          <w:color w:val="auto"/>
          <w:highlight w:val="none"/>
          <w:lang w:val="zh-CN"/>
        </w:rPr>
        <w:t>根据</w:t>
      </w:r>
      <w:r>
        <w:rPr>
          <w:rFonts w:hint="eastAsia"/>
          <w:bCs/>
          <w:color w:val="auto"/>
          <w:highlight w:val="none"/>
          <w:lang w:val="en-US" w:eastAsia="zh-CN"/>
        </w:rPr>
        <w:t>发包人</w:t>
      </w:r>
      <w:r>
        <w:rPr>
          <w:bCs/>
          <w:color w:val="auto"/>
          <w:highlight w:val="none"/>
          <w:lang w:val="zh-CN"/>
        </w:rPr>
        <w:t>、监理及国家相关规范的要求进行材料复试，并出具复试报告给监理及</w:t>
      </w:r>
      <w:r>
        <w:rPr>
          <w:rFonts w:hint="eastAsia"/>
          <w:bCs/>
          <w:color w:val="auto"/>
          <w:highlight w:val="none"/>
          <w:lang w:val="en-US" w:eastAsia="zh-CN"/>
        </w:rPr>
        <w:t>发包方</w:t>
      </w:r>
      <w:r>
        <w:rPr>
          <w:bCs/>
          <w:color w:val="auto"/>
          <w:highlight w:val="none"/>
          <w:lang w:val="zh-CN"/>
        </w:rPr>
        <w:t>做备案，按要求对必检材料做到所有批次全部复试（含各类实验）费用需含在投标总价内。</w:t>
      </w:r>
    </w:p>
    <w:p w14:paraId="44DCACE0">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lang w:val="zh-CN"/>
        </w:rPr>
      </w:pPr>
      <w:r>
        <w:rPr>
          <w:rFonts w:hint="eastAsia"/>
          <w:bCs/>
          <w:color w:val="auto"/>
          <w:highlight w:val="none"/>
          <w:lang w:val="en-US" w:eastAsia="zh-CN"/>
        </w:rPr>
        <w:t>3.3.1.9</w:t>
      </w:r>
      <w:r>
        <w:rPr>
          <w:rFonts w:hint="eastAsia"/>
          <w:bCs/>
          <w:color w:val="auto"/>
          <w:highlight w:val="none"/>
          <w:lang w:val="zh-CN"/>
        </w:rPr>
        <w:t>根据本说明和发包人的要求，专业承包人应提供所有的资料（质量控制进程与记录、竣工备案所需资料）、竣工图与维护手册等；</w:t>
      </w:r>
    </w:p>
    <w:p w14:paraId="244C8942">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lang w:val="zh-CN"/>
        </w:rPr>
      </w:pPr>
      <w:r>
        <w:rPr>
          <w:rFonts w:hint="eastAsia"/>
          <w:bCs/>
          <w:color w:val="auto"/>
          <w:highlight w:val="none"/>
          <w:lang w:val="en-US" w:eastAsia="zh-CN"/>
        </w:rPr>
        <w:t>3.3.1.10</w:t>
      </w:r>
      <w:r>
        <w:rPr>
          <w:rFonts w:hint="eastAsia"/>
          <w:bCs/>
          <w:color w:val="auto"/>
          <w:highlight w:val="none"/>
          <w:lang w:val="zh-CN"/>
        </w:rPr>
        <w:t>根据发包人、监理人的要求提供材料及设备检测报告、合格证等证明文件，负责相关资料的收集工作，并统一整理直至移交到相关运营方；</w:t>
      </w:r>
    </w:p>
    <w:p w14:paraId="0DF5711D">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rFonts w:hint="eastAsia"/>
          <w:bCs/>
          <w:color w:val="auto"/>
          <w:highlight w:val="none"/>
          <w:lang w:val="zh-CN"/>
        </w:rPr>
      </w:pPr>
      <w:r>
        <w:rPr>
          <w:rFonts w:hint="eastAsia"/>
          <w:bCs/>
          <w:color w:val="auto"/>
          <w:highlight w:val="none"/>
          <w:lang w:val="en-US" w:eastAsia="zh-CN"/>
        </w:rPr>
        <w:t>3.3.1.11</w:t>
      </w:r>
      <w:r>
        <w:rPr>
          <w:rFonts w:hint="eastAsia"/>
          <w:bCs/>
          <w:color w:val="auto"/>
          <w:highlight w:val="none"/>
          <w:lang w:val="zh-CN"/>
        </w:rPr>
        <w:t>本工程缺陷责任期和质保期限内的维保工作；</w:t>
      </w:r>
    </w:p>
    <w:p w14:paraId="53B48726">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rFonts w:hint="eastAsia"/>
          <w:bCs/>
          <w:color w:val="auto"/>
          <w:highlight w:val="none"/>
          <w:lang w:val="zh-CN"/>
        </w:rPr>
      </w:pPr>
      <w:r>
        <w:rPr>
          <w:rFonts w:hint="eastAsia"/>
          <w:bCs/>
          <w:color w:val="auto"/>
          <w:highlight w:val="none"/>
          <w:lang w:val="en-US" w:eastAsia="zh-CN"/>
        </w:rPr>
        <w:t>3.3.1.12</w:t>
      </w:r>
      <w:r>
        <w:rPr>
          <w:rFonts w:hint="eastAsia"/>
          <w:bCs/>
          <w:color w:val="auto"/>
          <w:highlight w:val="none"/>
          <w:lang w:val="zh-CN"/>
        </w:rPr>
        <w:t>施工过程中持续性不间断清洁与最后直至对</w:t>
      </w:r>
      <w:r>
        <w:rPr>
          <w:rFonts w:hint="eastAsia"/>
          <w:bCs/>
          <w:color w:val="auto"/>
          <w:highlight w:val="none"/>
          <w:lang w:val="zh-CN" w:eastAsia="zh-CN"/>
        </w:rPr>
        <w:t>小业主、物业</w:t>
      </w:r>
      <w:r>
        <w:rPr>
          <w:rFonts w:hint="eastAsia"/>
          <w:bCs/>
          <w:color w:val="auto"/>
          <w:highlight w:val="none"/>
          <w:lang w:val="zh-CN"/>
        </w:rPr>
        <w:t>移交前的室内及公共区开荒及精保洁工作；</w:t>
      </w:r>
    </w:p>
    <w:p w14:paraId="603AC599">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rFonts w:hint="eastAsia"/>
          <w:bCs/>
          <w:color w:val="auto"/>
          <w:highlight w:val="none"/>
          <w:lang w:val="zh-CN"/>
        </w:rPr>
      </w:pPr>
      <w:r>
        <w:rPr>
          <w:rFonts w:hint="eastAsia"/>
          <w:bCs/>
          <w:color w:val="auto"/>
          <w:highlight w:val="none"/>
          <w:lang w:val="en-US" w:eastAsia="zh-CN"/>
        </w:rPr>
        <w:t>3.3.1.13</w:t>
      </w:r>
      <w:r>
        <w:rPr>
          <w:rFonts w:hint="eastAsia"/>
          <w:bCs/>
          <w:color w:val="auto"/>
          <w:highlight w:val="none"/>
          <w:lang w:val="zh-CN"/>
        </w:rPr>
        <w:t>需满足隔音检测、空气检测、环境质量检测等第三方检测内容，由于检测不合格造成的额外费用包含在总价之内，不得因此进行索赔及增加费用；</w:t>
      </w:r>
    </w:p>
    <w:p w14:paraId="72865950">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rFonts w:hint="eastAsia"/>
          <w:bCs/>
          <w:color w:val="auto"/>
          <w:highlight w:val="none"/>
          <w:lang w:val="zh-CN"/>
        </w:rPr>
      </w:pPr>
      <w:r>
        <w:rPr>
          <w:rFonts w:hint="eastAsia"/>
          <w:bCs/>
          <w:color w:val="auto"/>
          <w:highlight w:val="none"/>
          <w:lang w:val="en-US" w:eastAsia="zh-CN"/>
        </w:rPr>
        <w:t>3.3.1.14</w:t>
      </w:r>
      <w:r>
        <w:rPr>
          <w:rFonts w:hint="eastAsia"/>
          <w:bCs/>
          <w:color w:val="auto"/>
          <w:highlight w:val="none"/>
          <w:lang w:val="zh-CN"/>
        </w:rPr>
        <w:t>隔声需满足国家标准提出的标准，以其中较高的要求为准。</w:t>
      </w:r>
    </w:p>
    <w:p w14:paraId="40790971">
      <w:pPr>
        <w:pStyle w:val="2"/>
        <w:keepNext w:val="0"/>
        <w:keepLines w:val="0"/>
        <w:pageBreakBefore w:val="0"/>
        <w:widowControl w:val="0"/>
        <w:kinsoku/>
        <w:wordWrap/>
        <w:overflowPunct/>
        <w:topLinePunct w:val="0"/>
        <w:autoSpaceDE/>
        <w:autoSpaceDN/>
        <w:bidi w:val="0"/>
        <w:adjustRightInd/>
        <w:snapToGrid w:val="0"/>
        <w:spacing w:beforeLines="0" w:afterLines="0"/>
        <w:ind w:leftChars="0" w:firstLine="480" w:firstLineChars="200"/>
        <w:textAlignment w:val="auto"/>
        <w:outlineLvl w:val="2"/>
        <w:rPr>
          <w:rFonts w:hint="eastAsia"/>
          <w:color w:val="auto"/>
          <w:sz w:val="24"/>
          <w:szCs w:val="24"/>
          <w:highlight w:val="none"/>
          <w:lang w:val="en-US" w:eastAsia="zh-CN"/>
        </w:rPr>
      </w:pPr>
      <w:r>
        <w:rPr>
          <w:rFonts w:hint="eastAsia"/>
          <w:color w:val="auto"/>
          <w:sz w:val="24"/>
          <w:szCs w:val="24"/>
          <w:highlight w:val="none"/>
          <w:lang w:val="en-US" w:eastAsia="zh-CN"/>
        </w:rPr>
        <w:t>3.3.2测量放线</w:t>
      </w:r>
    </w:p>
    <w:p w14:paraId="07187112">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lang w:val="zh-CN"/>
        </w:rPr>
      </w:pPr>
      <w:r>
        <w:rPr>
          <w:rFonts w:hint="eastAsia"/>
          <w:bCs/>
          <w:color w:val="auto"/>
          <w:highlight w:val="none"/>
          <w:lang w:val="en-US" w:eastAsia="zh-CN"/>
        </w:rPr>
        <w:t>3.3.2.3</w:t>
      </w:r>
      <w:r>
        <w:rPr>
          <w:rFonts w:hint="eastAsia"/>
          <w:bCs/>
          <w:color w:val="auto"/>
          <w:highlight w:val="none"/>
          <w:lang w:val="zh-CN"/>
        </w:rPr>
        <w:t>须根据土建定位的基本点提供相关放线，放线包括但不局限以下内容：地面完成面线、墙面完成面线、天花完成面线、造型完成面线、造型控制线、机电末端点位线、开关面板以及洁具末端点位线，以及相关检查线，发包人有权要求提供相关的放线，但关于放线的内容增减将不再产生额外费用，专业承包人在本次投标时应充分考虑。施工标段内应每层保留基准控制标高线，以便进行因标高线而产生的标高误差校核，此基准控制线保留至隐蔽工程验收完成后。</w:t>
      </w:r>
    </w:p>
    <w:p w14:paraId="739FFE77">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lang w:val="zh-CN"/>
        </w:rPr>
      </w:pPr>
      <w:r>
        <w:rPr>
          <w:rFonts w:hint="eastAsia"/>
          <w:bCs/>
          <w:color w:val="auto"/>
          <w:highlight w:val="none"/>
          <w:lang w:val="en-US" w:eastAsia="zh-CN"/>
        </w:rPr>
        <w:t>3.3.2.2</w:t>
      </w:r>
      <w:r>
        <w:rPr>
          <w:rFonts w:hint="eastAsia"/>
          <w:bCs/>
          <w:color w:val="auto"/>
          <w:highlight w:val="none"/>
          <w:lang w:val="zh-CN"/>
        </w:rPr>
        <w:t>专业承包人对所有的面层点位负责，需要对面层点位进行复核并报监理验收，通过后方可进行下一道工序施工。</w:t>
      </w:r>
    </w:p>
    <w:p w14:paraId="7CF32A31">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lang w:val="zh-CN"/>
        </w:rPr>
      </w:pPr>
      <w:r>
        <w:rPr>
          <w:rFonts w:hint="eastAsia"/>
          <w:bCs/>
          <w:color w:val="auto"/>
          <w:highlight w:val="none"/>
          <w:lang w:val="en-US" w:eastAsia="zh-CN"/>
        </w:rPr>
        <w:t>3.3.2.3</w:t>
      </w:r>
      <w:r>
        <w:rPr>
          <w:rFonts w:hint="eastAsia"/>
          <w:bCs/>
          <w:color w:val="auto"/>
          <w:highlight w:val="none"/>
          <w:lang w:val="zh-CN"/>
        </w:rPr>
        <w:t>装修须对机电移交机电标高控制线及其他有关的完成面控制线。</w:t>
      </w:r>
    </w:p>
    <w:p w14:paraId="0F6CBE9B">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lang w:val="zh-CN"/>
        </w:rPr>
      </w:pPr>
      <w:r>
        <w:rPr>
          <w:rFonts w:hint="eastAsia"/>
          <w:bCs/>
          <w:color w:val="auto"/>
          <w:highlight w:val="none"/>
          <w:lang w:val="en-US" w:eastAsia="zh-CN"/>
        </w:rPr>
        <w:t>3.3.2.4</w:t>
      </w:r>
      <w:r>
        <w:rPr>
          <w:rFonts w:hint="eastAsia"/>
          <w:bCs/>
          <w:color w:val="auto"/>
          <w:highlight w:val="none"/>
        </w:rPr>
        <w:t>由</w:t>
      </w:r>
      <w:r>
        <w:rPr>
          <w:rFonts w:hint="eastAsia"/>
          <w:bCs/>
          <w:color w:val="auto"/>
          <w:highlight w:val="none"/>
          <w:lang w:eastAsia="zh-CN"/>
        </w:rPr>
        <w:t>专业承包人</w:t>
      </w:r>
      <w:r>
        <w:rPr>
          <w:rFonts w:hint="eastAsia"/>
          <w:bCs/>
          <w:color w:val="auto"/>
          <w:highlight w:val="none"/>
        </w:rPr>
        <w:t>对移交的基准线进行维护。</w:t>
      </w:r>
    </w:p>
    <w:p w14:paraId="02FD553B">
      <w:pPr>
        <w:pStyle w:val="2"/>
        <w:keepNext w:val="0"/>
        <w:keepLines w:val="0"/>
        <w:pageBreakBefore w:val="0"/>
        <w:widowControl w:val="0"/>
        <w:kinsoku/>
        <w:wordWrap/>
        <w:overflowPunct/>
        <w:topLinePunct w:val="0"/>
        <w:autoSpaceDE/>
        <w:autoSpaceDN/>
        <w:bidi w:val="0"/>
        <w:adjustRightInd/>
        <w:snapToGrid w:val="0"/>
        <w:spacing w:beforeLines="0" w:afterLines="0"/>
        <w:ind w:leftChars="0" w:firstLine="480" w:firstLineChars="200"/>
        <w:textAlignment w:val="auto"/>
        <w:outlineLvl w:val="2"/>
        <w:rPr>
          <w:rFonts w:hint="eastAsia"/>
          <w:color w:val="auto"/>
          <w:sz w:val="24"/>
          <w:szCs w:val="24"/>
          <w:highlight w:val="none"/>
          <w:lang w:val="en-US" w:eastAsia="zh-CN"/>
        </w:rPr>
      </w:pPr>
      <w:r>
        <w:rPr>
          <w:rFonts w:hint="eastAsia"/>
          <w:color w:val="auto"/>
          <w:sz w:val="24"/>
          <w:szCs w:val="24"/>
          <w:highlight w:val="none"/>
          <w:lang w:val="en-US" w:eastAsia="zh-CN"/>
        </w:rPr>
        <w:t>3.3.3地面工程</w:t>
      </w:r>
    </w:p>
    <w:p w14:paraId="7C4099E5">
      <w:pPr>
        <w:keepNext w:val="0"/>
        <w:keepLines w:val="0"/>
        <w:pageBreakBefore w:val="0"/>
        <w:widowControl w:val="0"/>
        <w:kinsoku/>
        <w:wordWrap/>
        <w:overflowPunct/>
        <w:topLinePunct w:val="0"/>
        <w:autoSpaceDE/>
        <w:autoSpaceDN/>
        <w:bidi w:val="0"/>
        <w:ind w:firstLine="480"/>
        <w:jc w:val="left"/>
        <w:rPr>
          <w:rFonts w:hint="eastAsia" w:ascii="宋体" w:hAnsi="宋体" w:eastAsia="宋体" w:cs="宋体"/>
          <w:color w:val="auto"/>
          <w:kern w:val="0"/>
          <w:highlight w:val="none"/>
          <w:lang w:eastAsia="zh-CN" w:bidi="ar"/>
        </w:rPr>
      </w:pPr>
      <w:r>
        <w:rPr>
          <w:rFonts w:hint="eastAsia" w:ascii="宋体" w:hAnsi="宋体" w:eastAsia="宋体" w:cs="宋体"/>
          <w:color w:val="auto"/>
          <w:kern w:val="0"/>
          <w:highlight w:val="none"/>
          <w:lang w:bidi="ar"/>
        </w:rPr>
        <w:t>按现行的国家、当地的有关规范及设计和发包人招标技术要求，完成包括但</w:t>
      </w:r>
    </w:p>
    <w:p w14:paraId="6DAFA517">
      <w:pPr>
        <w:keepNext w:val="0"/>
        <w:keepLines w:val="0"/>
        <w:pageBreakBefore w:val="0"/>
        <w:widowControl w:val="0"/>
        <w:kinsoku/>
        <w:wordWrap/>
        <w:overflowPunct/>
        <w:topLinePunct w:val="0"/>
        <w:autoSpaceDE/>
        <w:autoSpaceDN/>
        <w:bidi w:val="0"/>
        <w:ind w:firstLine="0" w:firstLineChars="0"/>
        <w:jc w:val="left"/>
        <w:rPr>
          <w:rFonts w:ascii="宋体" w:hAnsi="宋体" w:eastAsia="宋体" w:cs="宋体"/>
          <w:color w:val="auto"/>
          <w:kern w:val="0"/>
          <w:highlight w:val="none"/>
          <w:lang w:bidi="ar"/>
        </w:rPr>
      </w:pPr>
      <w:r>
        <w:rPr>
          <w:rFonts w:hint="eastAsia" w:ascii="宋体" w:hAnsi="宋体" w:eastAsia="宋体" w:cs="宋体"/>
          <w:color w:val="auto"/>
          <w:kern w:val="0"/>
          <w:highlight w:val="none"/>
          <w:lang w:bidi="ar"/>
        </w:rPr>
        <w:t>不限于：</w:t>
      </w:r>
    </w:p>
    <w:p w14:paraId="24857477">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lang w:val="zh-CN"/>
        </w:rPr>
      </w:pPr>
      <w:r>
        <w:rPr>
          <w:rFonts w:hint="eastAsia"/>
          <w:bCs/>
          <w:color w:val="auto"/>
          <w:highlight w:val="none"/>
          <w:lang w:val="en-US" w:eastAsia="zh-CN"/>
        </w:rPr>
        <w:t>3.3.3.1</w:t>
      </w:r>
      <w:r>
        <w:rPr>
          <w:rFonts w:hint="eastAsia"/>
          <w:bCs/>
          <w:color w:val="auto"/>
          <w:highlight w:val="none"/>
        </w:rPr>
        <w:t>按照包括但不限于装修图、建筑图、结构图、机电图、招标技术要求、现场现状、合同约定完成区域内所有的地面工程。完成结构完成面至装饰完成面之间的所有施工内容，包括但不限于地面找平、铺装、全部涉水房间地漏及排水沟槽等。</w:t>
      </w:r>
    </w:p>
    <w:p w14:paraId="24D71DE4">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rFonts w:hint="eastAsia"/>
          <w:color w:val="auto"/>
          <w:highlight w:val="none"/>
          <w:lang w:val="en-US" w:eastAsia="zh-CN"/>
        </w:rPr>
      </w:pPr>
      <w:r>
        <w:rPr>
          <w:rFonts w:hint="eastAsia"/>
          <w:bCs/>
          <w:color w:val="auto"/>
          <w:highlight w:val="none"/>
          <w:lang w:val="en-US" w:eastAsia="zh-CN"/>
        </w:rPr>
        <w:t>3.3.3.2</w:t>
      </w:r>
      <w:r>
        <w:rPr>
          <w:rFonts w:hint="eastAsia"/>
          <w:bCs/>
          <w:color w:val="auto"/>
          <w:highlight w:val="none"/>
          <w:lang w:eastAsia="zh-CN"/>
        </w:rPr>
        <w:t>专业承包人</w:t>
      </w:r>
      <w:r>
        <w:rPr>
          <w:rFonts w:hint="eastAsia"/>
          <w:bCs/>
          <w:color w:val="auto"/>
          <w:highlight w:val="none"/>
        </w:rPr>
        <w:t>需按图纸及签字确认的二次深化排版尺寸进行各种石材全过程的采购管理、驻场督造、现场接收、安装工作，包括但不限于：磨边、切割、表面处理、防护剂进行六面防护、防腐、防水处理、异型加工、工厂排版、工厂试拼、包装、运输，场内运输及保管、安装、打磨结晶、无缝处理、成品保护。</w:t>
      </w:r>
    </w:p>
    <w:p w14:paraId="5598A126">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lang w:val="zh-CN"/>
        </w:rPr>
      </w:pPr>
      <w:r>
        <w:rPr>
          <w:rFonts w:hint="eastAsia"/>
          <w:bCs/>
          <w:color w:val="auto"/>
          <w:highlight w:val="none"/>
          <w:lang w:val="en-US" w:eastAsia="zh-CN"/>
        </w:rPr>
        <w:t>3.3.3.3</w:t>
      </w:r>
      <w:r>
        <w:rPr>
          <w:rFonts w:hint="eastAsia"/>
          <w:bCs/>
          <w:color w:val="auto"/>
          <w:highlight w:val="none"/>
        </w:rPr>
        <w:t>负责按照图纸要求施工防水层上的建筑回填、找平层、结合层、胶泥、面层安装等。</w:t>
      </w:r>
    </w:p>
    <w:p w14:paraId="4864C77F">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lang w:val="zh-CN"/>
        </w:rPr>
      </w:pPr>
      <w:r>
        <w:rPr>
          <w:rFonts w:hint="eastAsia"/>
          <w:bCs/>
          <w:color w:val="auto"/>
          <w:highlight w:val="none"/>
          <w:lang w:val="en-US" w:eastAsia="zh-CN"/>
        </w:rPr>
        <w:t>3.3.3.4</w:t>
      </w:r>
      <w:r>
        <w:rPr>
          <w:rFonts w:hint="eastAsia"/>
          <w:bCs/>
          <w:color w:val="auto"/>
          <w:highlight w:val="none"/>
        </w:rPr>
        <w:t>装修区域内各排水沟内侧装饰构造做法及表面盖板、排水管的供应及安装施工；管道井及电梯厅门增加挡水反坎（若有）；通过考察现场，充分考虑现场情况，将此部分找差工作考虑到投标报价中，在实施中不予考虑由于找差所带来的任何费用变更。</w:t>
      </w:r>
    </w:p>
    <w:p w14:paraId="4DF7C9F2">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3.3.3.5</w:t>
      </w:r>
      <w:r>
        <w:rPr>
          <w:rFonts w:hint="eastAsia"/>
          <w:bCs/>
          <w:color w:val="auto"/>
          <w:highlight w:val="none"/>
        </w:rPr>
        <w:t>卫生间、</w:t>
      </w:r>
      <w:r>
        <w:rPr>
          <w:rFonts w:hint="eastAsia"/>
          <w:bCs/>
          <w:color w:val="auto"/>
          <w:highlight w:val="none"/>
          <w:lang w:val="en-US" w:eastAsia="zh-CN"/>
        </w:rPr>
        <w:t>厨房</w:t>
      </w:r>
      <w:r>
        <w:rPr>
          <w:rFonts w:hint="eastAsia"/>
          <w:bCs/>
          <w:color w:val="auto"/>
          <w:highlight w:val="none"/>
        </w:rPr>
        <w:t>等涉水区域从第一道防水及保护层至面层的建筑回填、找平层、二次防水层、饰面层均由</w:t>
      </w:r>
      <w:r>
        <w:rPr>
          <w:rFonts w:hint="eastAsia"/>
          <w:bCs/>
          <w:color w:val="auto"/>
          <w:highlight w:val="none"/>
          <w:lang w:eastAsia="zh-CN"/>
        </w:rPr>
        <w:t>专业承包人</w:t>
      </w:r>
      <w:r>
        <w:rPr>
          <w:rFonts w:hint="eastAsia"/>
          <w:bCs/>
          <w:color w:val="auto"/>
          <w:highlight w:val="none"/>
        </w:rPr>
        <w:t>施工。</w:t>
      </w:r>
    </w:p>
    <w:p w14:paraId="201F9087">
      <w:pPr>
        <w:keepNext w:val="0"/>
        <w:keepLines w:val="0"/>
        <w:pageBreakBefore w:val="0"/>
        <w:widowControl w:val="0"/>
        <w:kinsoku/>
        <w:wordWrap/>
        <w:overflowPunct/>
        <w:topLinePunct w:val="0"/>
        <w:autoSpaceDE/>
        <w:autoSpaceDN/>
        <w:bidi w:val="0"/>
        <w:outlineLvl w:val="2"/>
        <w:rPr>
          <w:color w:val="auto"/>
          <w:highlight w:val="none"/>
        </w:rPr>
      </w:pPr>
      <w:r>
        <w:rPr>
          <w:rFonts w:hint="eastAsia"/>
          <w:color w:val="auto"/>
          <w:highlight w:val="none"/>
          <w:lang w:val="en-US" w:eastAsia="zh-CN"/>
        </w:rPr>
        <w:t>3.3.4</w:t>
      </w:r>
      <w:r>
        <w:rPr>
          <w:rFonts w:hint="eastAsia"/>
          <w:color w:val="auto"/>
          <w:highlight w:val="none"/>
        </w:rPr>
        <w:t>墙体工程</w:t>
      </w:r>
    </w:p>
    <w:p w14:paraId="1AAEE9F9">
      <w:pPr>
        <w:keepNext w:val="0"/>
        <w:keepLines w:val="0"/>
        <w:pageBreakBefore w:val="0"/>
        <w:widowControl w:val="0"/>
        <w:kinsoku/>
        <w:wordWrap/>
        <w:overflowPunct/>
        <w:topLinePunct w:val="0"/>
        <w:autoSpaceDE/>
        <w:autoSpaceDN/>
        <w:bidi w:val="0"/>
        <w:ind w:firstLine="480"/>
        <w:jc w:val="left"/>
        <w:rPr>
          <w:color w:val="auto"/>
          <w:highlight w:val="none"/>
        </w:rPr>
      </w:pPr>
      <w:r>
        <w:rPr>
          <w:rFonts w:hint="eastAsia" w:ascii="宋体" w:hAnsi="宋体" w:eastAsia="宋体" w:cs="宋体"/>
          <w:color w:val="auto"/>
          <w:kern w:val="0"/>
          <w:highlight w:val="none"/>
          <w:lang w:bidi="ar"/>
        </w:rPr>
        <w:t>按现行的国家、当地的有关规范及设计和发包人的要求，完成以下各项工作：包括轻钢龙骨、钢龙骨、隔音棉（厚度及容重以设计要求为准）、隔音墙、防火分隔墙体、玻璃隔断、墙面石材、木饰面、金属饰面、无机涂料、乳胶漆、油漆、扪布、踢脚板、玻璃饰面、非电子防雾镜、清镜、五金、硬包布、扪皮、墙纸、固定家私（含五金）、卫生间内隔墙及隔门、水电管线敷设等，洁具、五金、控制开关、插座面板，完成墙体砌筑</w:t>
      </w:r>
      <w:r>
        <w:rPr>
          <w:rFonts w:hint="eastAsia" w:ascii="宋体" w:hAnsi="宋体" w:eastAsia="宋体" w:cs="宋体"/>
          <w:color w:val="auto"/>
          <w:kern w:val="0"/>
          <w:highlight w:val="none"/>
          <w:lang w:val="en-US" w:eastAsia="zh-CN" w:bidi="ar"/>
        </w:rPr>
        <w:t>抹灰</w:t>
      </w:r>
      <w:r>
        <w:rPr>
          <w:rFonts w:hint="eastAsia" w:ascii="宋体" w:hAnsi="宋体" w:eastAsia="宋体" w:cs="宋体"/>
          <w:color w:val="auto"/>
          <w:kern w:val="0"/>
          <w:highlight w:val="none"/>
          <w:lang w:bidi="ar"/>
        </w:rPr>
        <w:t>及现有结构完成面至装饰需要的墙面之间与墙面装修有关的所有工作。</w:t>
      </w:r>
    </w:p>
    <w:p w14:paraId="6BAEB334">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3.3.4.1</w:t>
      </w:r>
      <w:r>
        <w:rPr>
          <w:rFonts w:hint="eastAsia"/>
          <w:bCs/>
          <w:color w:val="auto"/>
          <w:highlight w:val="none"/>
        </w:rPr>
        <w:t>应制作施工样板，并完成全部放线后，经发包人、监理人验收合格后方可施工；</w:t>
      </w:r>
    </w:p>
    <w:p w14:paraId="0814E8D6">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3.3.4.2</w:t>
      </w:r>
      <w:r>
        <w:rPr>
          <w:rFonts w:hint="eastAsia"/>
          <w:bCs/>
          <w:color w:val="auto"/>
          <w:highlight w:val="none"/>
        </w:rPr>
        <w:t>墙面方正、平整度在接收场地验收阶段应进行彻底检查，并提出整改清单，由总承包人整改到位，接收场地后的找差工作考虑到投标报价中，在实施中不予考虑由于找差所带来的任何费用变更；</w:t>
      </w:r>
    </w:p>
    <w:p w14:paraId="6BA3DD9E">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3.3.4.3</w:t>
      </w:r>
      <w:r>
        <w:rPr>
          <w:rFonts w:hint="eastAsia"/>
          <w:bCs/>
          <w:color w:val="auto"/>
          <w:highlight w:val="none"/>
        </w:rPr>
        <w:t>装修区域内拦河、扶手、踢脚线的供应及安装；</w:t>
      </w:r>
    </w:p>
    <w:p w14:paraId="64C3289F">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3.3.4.4</w:t>
      </w:r>
      <w:r>
        <w:rPr>
          <w:rFonts w:hint="eastAsia"/>
          <w:bCs/>
          <w:color w:val="auto"/>
          <w:highlight w:val="none"/>
        </w:rPr>
        <w:t>负责完成发包人要求的墙体拆改及后续的墙体</w:t>
      </w:r>
      <w:r>
        <w:rPr>
          <w:rFonts w:hint="eastAsia"/>
          <w:bCs/>
          <w:color w:val="auto"/>
          <w:highlight w:val="none"/>
          <w:lang w:val="en-US" w:eastAsia="zh-CN"/>
        </w:rPr>
        <w:t>砌筑、抹灰、机电、</w:t>
      </w:r>
      <w:r>
        <w:rPr>
          <w:rFonts w:hint="eastAsia"/>
          <w:bCs/>
          <w:color w:val="auto"/>
          <w:highlight w:val="none"/>
        </w:rPr>
        <w:t>装饰装修</w:t>
      </w:r>
      <w:r>
        <w:rPr>
          <w:rFonts w:hint="eastAsia"/>
          <w:bCs/>
          <w:color w:val="auto"/>
          <w:highlight w:val="none"/>
          <w:lang w:val="en-US" w:eastAsia="zh-CN"/>
        </w:rPr>
        <w:t>等</w:t>
      </w:r>
      <w:r>
        <w:rPr>
          <w:rFonts w:hint="eastAsia"/>
          <w:bCs/>
          <w:color w:val="auto"/>
          <w:highlight w:val="none"/>
        </w:rPr>
        <w:t>工作。</w:t>
      </w:r>
    </w:p>
    <w:p w14:paraId="0014EADF">
      <w:pPr>
        <w:keepNext w:val="0"/>
        <w:keepLines w:val="0"/>
        <w:pageBreakBefore w:val="0"/>
        <w:widowControl w:val="0"/>
        <w:kinsoku/>
        <w:wordWrap/>
        <w:overflowPunct/>
        <w:topLinePunct w:val="0"/>
        <w:autoSpaceDE/>
        <w:autoSpaceDN/>
        <w:bidi w:val="0"/>
        <w:ind w:firstLine="480"/>
        <w:jc w:val="left"/>
        <w:rPr>
          <w:rFonts w:hint="eastAsia"/>
          <w:color w:val="auto"/>
          <w:highlight w:val="none"/>
          <w:lang w:val="en-US" w:eastAsia="zh-CN"/>
        </w:rPr>
      </w:pPr>
      <w:r>
        <w:rPr>
          <w:rFonts w:hint="eastAsia"/>
          <w:color w:val="auto"/>
          <w:highlight w:val="none"/>
          <w:lang w:val="en-US" w:eastAsia="zh-CN"/>
        </w:rPr>
        <w:t>3.3.5顶面</w:t>
      </w:r>
    </w:p>
    <w:p w14:paraId="4B58FCB9">
      <w:pPr>
        <w:keepNext w:val="0"/>
        <w:keepLines w:val="0"/>
        <w:pageBreakBefore w:val="0"/>
        <w:widowControl w:val="0"/>
        <w:kinsoku/>
        <w:wordWrap/>
        <w:overflowPunct/>
        <w:topLinePunct w:val="0"/>
        <w:autoSpaceDE/>
        <w:autoSpaceDN/>
        <w:bidi w:val="0"/>
        <w:ind w:firstLine="480"/>
        <w:jc w:val="left"/>
        <w:rPr>
          <w:rFonts w:ascii="宋体" w:hAnsi="宋体" w:eastAsia="宋体" w:cs="宋体"/>
          <w:color w:val="auto"/>
          <w:kern w:val="0"/>
          <w:highlight w:val="none"/>
          <w:lang w:bidi="ar"/>
        </w:rPr>
      </w:pPr>
      <w:r>
        <w:rPr>
          <w:rFonts w:hint="eastAsia" w:ascii="宋体" w:hAnsi="宋体" w:eastAsia="宋体" w:cs="宋体"/>
          <w:color w:val="auto"/>
          <w:kern w:val="0"/>
          <w:highlight w:val="none"/>
          <w:lang w:bidi="ar"/>
        </w:rPr>
        <w:t>按现行的国家及当地的有关规范，根据设计、招标技术要求、现场现状、相关图纸、合同约定和发包人的要求，完成包括但不限于以下各项工作：</w:t>
      </w:r>
    </w:p>
    <w:p w14:paraId="7D21742E">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3.3.5.1</w:t>
      </w:r>
      <w:r>
        <w:rPr>
          <w:rFonts w:hint="eastAsia"/>
          <w:bCs/>
          <w:color w:val="auto"/>
          <w:highlight w:val="none"/>
        </w:rPr>
        <w:t>完成除结构层以外的所有龙骨、吊顶板双层防水石膏板、找平层、面层装饰工程（含金属面层，复合面层，铝板热转印面层，软膜、玻璃、特殊材料面层等），此部分所有工作内容包含在</w:t>
      </w:r>
      <w:r>
        <w:rPr>
          <w:rFonts w:hint="eastAsia"/>
          <w:bCs/>
          <w:color w:val="auto"/>
          <w:highlight w:val="none"/>
          <w:lang w:eastAsia="zh-CN"/>
        </w:rPr>
        <w:t>专业承包人</w:t>
      </w:r>
      <w:r>
        <w:rPr>
          <w:rFonts w:hint="eastAsia"/>
          <w:bCs/>
          <w:color w:val="auto"/>
          <w:highlight w:val="none"/>
        </w:rPr>
        <w:t>合同内，检修口必须使用成品检修口并经发包人确认。</w:t>
      </w:r>
    </w:p>
    <w:p w14:paraId="27598338">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3.3.5.2</w:t>
      </w:r>
      <w:r>
        <w:rPr>
          <w:rFonts w:hint="eastAsia"/>
          <w:bCs/>
          <w:color w:val="auto"/>
          <w:highlight w:val="none"/>
        </w:rPr>
        <w:t>当吊杆长度大于1.5m时，应设置钢架反支撑；当吊杆长度大于3m时，应设置钢架转换层结构，管线密集处需要设置转换层（现场已施工完成，无任何隐蔽，请自行勘察现场情况，在报价中自行考虑）。吊顶内与幕墙交接处如果是玻璃能从室外可看见室内吊顶上空间内的地方，须用发包人认可的或设计图纸上规定的装饰面材进行封堵。</w:t>
      </w:r>
    </w:p>
    <w:p w14:paraId="112F2126">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3.3.5.3针对</w:t>
      </w:r>
      <w:r>
        <w:rPr>
          <w:rFonts w:hint="eastAsia"/>
          <w:bCs/>
          <w:color w:val="auto"/>
          <w:highlight w:val="none"/>
        </w:rPr>
        <w:t>高大空间顶面施工时，应结合实际情况采用脚手架或登高车等措施施工，施工时须有专项方案（以最终总承包人、监理、发包人确定的方案为准），同时</w:t>
      </w:r>
      <w:r>
        <w:rPr>
          <w:rFonts w:hint="eastAsia"/>
          <w:bCs/>
          <w:color w:val="auto"/>
          <w:highlight w:val="none"/>
          <w:lang w:val="en-US" w:eastAsia="zh-CN"/>
        </w:rPr>
        <w:t>专业承包人</w:t>
      </w:r>
      <w:r>
        <w:rPr>
          <w:rFonts w:hint="eastAsia"/>
          <w:bCs/>
          <w:color w:val="auto"/>
          <w:highlight w:val="none"/>
        </w:rPr>
        <w:t>应无偿提供给项目其余参建单位末端安装配合。</w:t>
      </w:r>
    </w:p>
    <w:p w14:paraId="36193EDD">
      <w:pPr>
        <w:keepNext w:val="0"/>
        <w:keepLines w:val="0"/>
        <w:pageBreakBefore w:val="0"/>
        <w:widowControl w:val="0"/>
        <w:kinsoku/>
        <w:wordWrap/>
        <w:overflowPunct/>
        <w:topLinePunct w:val="0"/>
        <w:autoSpaceDE/>
        <w:autoSpaceDN/>
        <w:bidi w:val="0"/>
        <w:ind w:firstLine="480"/>
        <w:jc w:val="left"/>
        <w:rPr>
          <w:rFonts w:ascii="宋体" w:hAnsi="宋体" w:eastAsia="宋体" w:cs="宋体"/>
          <w:color w:val="auto"/>
          <w:kern w:val="0"/>
          <w:highlight w:val="none"/>
          <w:lang w:bidi="ar"/>
        </w:rPr>
      </w:pPr>
      <w:r>
        <w:rPr>
          <w:rFonts w:hint="eastAsia" w:ascii="宋体" w:hAnsi="宋体" w:eastAsia="宋体" w:cs="宋体"/>
          <w:color w:val="auto"/>
          <w:kern w:val="0"/>
          <w:highlight w:val="none"/>
          <w:lang w:bidi="ar"/>
        </w:rPr>
        <w:t>注明：</w:t>
      </w:r>
      <w:r>
        <w:rPr>
          <w:rFonts w:hint="eastAsia" w:cs="宋体"/>
          <w:color w:val="auto"/>
          <w:kern w:val="0"/>
          <w:highlight w:val="none"/>
          <w:lang w:val="en-US" w:eastAsia="zh-CN" w:bidi="ar"/>
        </w:rPr>
        <w:t>专业承包人</w:t>
      </w:r>
      <w:r>
        <w:rPr>
          <w:rFonts w:hint="eastAsia" w:ascii="宋体" w:hAnsi="宋体" w:eastAsia="宋体" w:cs="宋体"/>
          <w:color w:val="auto"/>
          <w:kern w:val="0"/>
          <w:highlight w:val="none"/>
          <w:lang w:bidi="ar"/>
        </w:rPr>
        <w:t>工作内容包括但不限于在天花图纸上所示的与其它机电专业，如消防喷淋头、扬声器等的一切相关的安装配合，如开孔、放线定位、检修门（口）及安装后的修补、清理及成品保护等工作，发包人有权调整天花图上所示各项机电的安装位置，</w:t>
      </w:r>
      <w:r>
        <w:rPr>
          <w:rFonts w:hint="eastAsia" w:cs="宋体"/>
          <w:color w:val="auto"/>
          <w:kern w:val="0"/>
          <w:highlight w:val="none"/>
          <w:lang w:val="en-US" w:eastAsia="zh-CN" w:bidi="ar"/>
        </w:rPr>
        <w:t>专业承包人</w:t>
      </w:r>
      <w:r>
        <w:rPr>
          <w:rFonts w:hint="eastAsia" w:ascii="宋体" w:hAnsi="宋体" w:eastAsia="宋体" w:cs="宋体"/>
          <w:color w:val="auto"/>
          <w:kern w:val="0"/>
          <w:highlight w:val="none"/>
          <w:lang w:bidi="ar"/>
        </w:rPr>
        <w:t>需无条件进行配合。</w:t>
      </w:r>
    </w:p>
    <w:p w14:paraId="25BA5D4A">
      <w:pPr>
        <w:keepNext w:val="0"/>
        <w:keepLines w:val="0"/>
        <w:pageBreakBefore w:val="0"/>
        <w:widowControl w:val="0"/>
        <w:kinsoku/>
        <w:wordWrap/>
        <w:overflowPunct/>
        <w:topLinePunct w:val="0"/>
        <w:autoSpaceDE/>
        <w:autoSpaceDN/>
        <w:bidi w:val="0"/>
        <w:outlineLvl w:val="2"/>
        <w:rPr>
          <w:rFonts w:hint="eastAsia"/>
          <w:color w:val="auto"/>
          <w:highlight w:val="none"/>
          <w:lang w:val="en-US" w:eastAsia="zh-CN"/>
        </w:rPr>
      </w:pPr>
      <w:r>
        <w:rPr>
          <w:rFonts w:hint="eastAsia"/>
          <w:color w:val="auto"/>
          <w:highlight w:val="none"/>
          <w:lang w:val="en-US" w:eastAsia="zh-CN"/>
        </w:rPr>
        <w:t>3.3.6门类工程</w:t>
      </w:r>
    </w:p>
    <w:p w14:paraId="11C074F4">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3.3.6.1</w:t>
      </w:r>
      <w:r>
        <w:rPr>
          <w:rFonts w:hint="eastAsia"/>
          <w:bCs/>
          <w:color w:val="auto"/>
          <w:highlight w:val="none"/>
          <w:lang w:eastAsia="zh-CN"/>
        </w:rPr>
        <w:t>专业承包人</w:t>
      </w:r>
      <w:r>
        <w:rPr>
          <w:rFonts w:hint="eastAsia"/>
          <w:bCs/>
          <w:color w:val="auto"/>
          <w:highlight w:val="none"/>
        </w:rPr>
        <w:t>需负责完成装修区域</w:t>
      </w:r>
      <w:r>
        <w:rPr>
          <w:rFonts w:hint="eastAsia"/>
          <w:bCs/>
          <w:color w:val="auto"/>
          <w:highlight w:val="none"/>
          <w:lang w:val="en-US" w:eastAsia="zh-CN"/>
        </w:rPr>
        <w:t>入户门</w:t>
      </w:r>
      <w:r>
        <w:rPr>
          <w:rFonts w:hint="eastAsia"/>
          <w:bCs/>
          <w:color w:val="auto"/>
          <w:highlight w:val="none"/>
        </w:rPr>
        <w:t>的采购及安装工作，包括门及门套等；</w:t>
      </w:r>
    </w:p>
    <w:p w14:paraId="368C5387">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3.3.6.2</w:t>
      </w:r>
      <w:r>
        <w:rPr>
          <w:rFonts w:hint="eastAsia"/>
          <w:bCs/>
          <w:color w:val="auto"/>
          <w:highlight w:val="none"/>
        </w:rPr>
        <w:t>室内门（包括门锁、闭门器、顺位器、合页及门把手等五金的供应及安装）的供应及安装（以图纸表示为准）；</w:t>
      </w:r>
    </w:p>
    <w:p w14:paraId="1AE48533">
      <w:pPr>
        <w:keepNext w:val="0"/>
        <w:keepLines w:val="0"/>
        <w:pageBreakBefore w:val="0"/>
        <w:widowControl w:val="0"/>
        <w:kinsoku/>
        <w:wordWrap/>
        <w:overflowPunct/>
        <w:topLinePunct w:val="0"/>
        <w:autoSpaceDE/>
        <w:autoSpaceDN/>
        <w:bidi w:val="0"/>
        <w:outlineLvl w:val="2"/>
        <w:rPr>
          <w:rFonts w:hint="eastAsia"/>
          <w:color w:val="auto"/>
          <w:highlight w:val="none"/>
          <w:lang w:val="en-US" w:eastAsia="zh-CN"/>
        </w:rPr>
      </w:pPr>
      <w:r>
        <w:rPr>
          <w:rFonts w:hint="eastAsia"/>
          <w:color w:val="auto"/>
          <w:highlight w:val="none"/>
          <w:lang w:val="en-US" w:eastAsia="zh-CN"/>
        </w:rPr>
        <w:t>3.3.7油漆工程</w:t>
      </w:r>
    </w:p>
    <w:p w14:paraId="3E624CD2">
      <w:pPr>
        <w:keepNext w:val="0"/>
        <w:keepLines w:val="0"/>
        <w:pageBreakBefore w:val="0"/>
        <w:widowControl w:val="0"/>
        <w:kinsoku/>
        <w:wordWrap/>
        <w:overflowPunct/>
        <w:topLinePunct w:val="0"/>
        <w:autoSpaceDE/>
        <w:autoSpaceDN/>
        <w:bidi w:val="0"/>
        <w:ind w:firstLine="480"/>
        <w:jc w:val="left"/>
        <w:rPr>
          <w:rFonts w:ascii="宋体" w:hAnsi="宋体" w:eastAsia="宋体" w:cs="宋体"/>
          <w:color w:val="auto"/>
          <w:kern w:val="0"/>
          <w:highlight w:val="none"/>
          <w:lang w:bidi="ar"/>
        </w:rPr>
      </w:pPr>
      <w:r>
        <w:rPr>
          <w:rFonts w:hint="eastAsia" w:ascii="宋体" w:hAnsi="宋体" w:eastAsia="宋体" w:cs="宋体"/>
          <w:color w:val="auto"/>
          <w:kern w:val="0"/>
          <w:highlight w:val="none"/>
          <w:lang w:bidi="ar"/>
        </w:rPr>
        <w:t>所有装修范围内工程涉及到的油漆，门及门套、踢脚板、天花木线等所有木制工程油漆必须在工厂制作完成。</w:t>
      </w:r>
    </w:p>
    <w:p w14:paraId="6D6E39C6">
      <w:pPr>
        <w:keepNext w:val="0"/>
        <w:keepLines w:val="0"/>
        <w:pageBreakBefore w:val="0"/>
        <w:widowControl w:val="0"/>
        <w:kinsoku/>
        <w:wordWrap/>
        <w:overflowPunct/>
        <w:topLinePunct w:val="0"/>
        <w:autoSpaceDE/>
        <w:autoSpaceDN/>
        <w:bidi w:val="0"/>
        <w:outlineLvl w:val="2"/>
        <w:rPr>
          <w:rFonts w:hint="eastAsia"/>
          <w:color w:val="auto"/>
          <w:highlight w:val="none"/>
          <w:lang w:val="en-US" w:eastAsia="zh-CN"/>
        </w:rPr>
      </w:pPr>
      <w:r>
        <w:rPr>
          <w:rFonts w:hint="eastAsia"/>
          <w:color w:val="auto"/>
          <w:highlight w:val="none"/>
          <w:lang w:val="en-US" w:eastAsia="zh-CN"/>
        </w:rPr>
        <w:t>3.3.8电梯装修工作</w:t>
      </w:r>
    </w:p>
    <w:p w14:paraId="1004B2E6">
      <w:pPr>
        <w:keepNext w:val="0"/>
        <w:keepLines w:val="0"/>
        <w:pageBreakBefore w:val="0"/>
        <w:widowControl w:val="0"/>
        <w:numPr>
          <w:ilvl w:val="0"/>
          <w:numId w:val="0"/>
        </w:numPr>
        <w:tabs>
          <w:tab w:val="left" w:pos="40"/>
        </w:tabs>
        <w:kinsoku/>
        <w:wordWrap/>
        <w:overflowPunct/>
        <w:topLinePunct w:val="0"/>
        <w:autoSpaceDE/>
        <w:autoSpaceDN/>
        <w:bidi w:val="0"/>
        <w:ind w:leftChars="200"/>
        <w:jc w:val="left"/>
        <w:outlineLvl w:val="3"/>
        <w:rPr>
          <w:bCs/>
          <w:color w:val="auto"/>
          <w:highlight w:val="none"/>
        </w:rPr>
      </w:pPr>
      <w:r>
        <w:rPr>
          <w:rFonts w:hint="eastAsia"/>
          <w:bCs/>
          <w:color w:val="auto"/>
          <w:highlight w:val="none"/>
          <w:lang w:val="en-US" w:eastAsia="zh-CN"/>
        </w:rPr>
        <w:t>3.3.8.1</w:t>
      </w:r>
      <w:r>
        <w:rPr>
          <w:rFonts w:hint="eastAsia"/>
          <w:bCs/>
          <w:color w:val="auto"/>
          <w:highlight w:val="none"/>
        </w:rPr>
        <w:t>直梯</w:t>
      </w:r>
    </w:p>
    <w:p w14:paraId="6E08BF36">
      <w:pPr>
        <w:keepNext w:val="0"/>
        <w:keepLines w:val="0"/>
        <w:pageBreakBefore w:val="0"/>
        <w:widowControl w:val="0"/>
        <w:kinsoku/>
        <w:wordWrap/>
        <w:overflowPunct/>
        <w:topLinePunct w:val="0"/>
        <w:autoSpaceDE/>
        <w:autoSpaceDN/>
        <w:bidi w:val="0"/>
        <w:ind w:firstLine="480"/>
        <w:jc w:val="left"/>
        <w:rPr>
          <w:color w:val="auto"/>
          <w:highlight w:val="none"/>
        </w:rPr>
      </w:pPr>
      <w:r>
        <w:rPr>
          <w:rFonts w:hint="eastAsia" w:cs="宋体"/>
          <w:color w:val="auto"/>
          <w:kern w:val="0"/>
          <w:highlight w:val="none"/>
          <w:lang w:val="en-US" w:eastAsia="zh-CN" w:bidi="ar"/>
        </w:rPr>
        <w:t>专业承包人</w:t>
      </w:r>
      <w:r>
        <w:rPr>
          <w:rFonts w:hint="eastAsia" w:ascii="宋体" w:hAnsi="宋体" w:eastAsia="宋体" w:cs="宋体"/>
          <w:color w:val="auto"/>
          <w:kern w:val="0"/>
          <w:highlight w:val="none"/>
          <w:lang w:bidi="ar"/>
        </w:rPr>
        <w:t>负责电梯的轿厢装修（按设计图纸要求）。</w:t>
      </w:r>
    </w:p>
    <w:p w14:paraId="6AAB4CAB">
      <w:pPr>
        <w:keepNext w:val="0"/>
        <w:keepLines w:val="0"/>
        <w:pageBreakBefore w:val="0"/>
        <w:widowControl w:val="0"/>
        <w:kinsoku/>
        <w:wordWrap/>
        <w:overflowPunct/>
        <w:topLinePunct w:val="0"/>
        <w:autoSpaceDE/>
        <w:autoSpaceDN/>
        <w:bidi w:val="0"/>
        <w:ind w:firstLine="480"/>
        <w:jc w:val="left"/>
        <w:rPr>
          <w:color w:val="auto"/>
          <w:highlight w:val="none"/>
        </w:rPr>
      </w:pPr>
      <w:r>
        <w:rPr>
          <w:rFonts w:hint="eastAsia" w:cs="宋体"/>
          <w:color w:val="auto"/>
          <w:kern w:val="0"/>
          <w:highlight w:val="none"/>
          <w:lang w:val="en-US" w:eastAsia="zh-CN" w:bidi="ar"/>
        </w:rPr>
        <w:t>专业承包人</w:t>
      </w:r>
      <w:r>
        <w:rPr>
          <w:rFonts w:hint="eastAsia" w:ascii="宋体" w:hAnsi="宋体" w:eastAsia="宋体" w:cs="宋体"/>
          <w:color w:val="auto"/>
          <w:kern w:val="0"/>
          <w:highlight w:val="none"/>
          <w:lang w:bidi="ar"/>
        </w:rPr>
        <w:t>应配合完成图纸深化设计；材料样品、空调出风、回风百叶样品等报送及审批；成品保护（如临时使用）等电梯装修全过程所涉及到的其他相关事宜，以及与相关单位的配合。</w:t>
      </w:r>
    </w:p>
    <w:p w14:paraId="5164880B">
      <w:pPr>
        <w:keepNext w:val="0"/>
        <w:keepLines w:val="0"/>
        <w:pageBreakBefore w:val="0"/>
        <w:widowControl w:val="0"/>
        <w:numPr>
          <w:ilvl w:val="0"/>
          <w:numId w:val="0"/>
        </w:numPr>
        <w:tabs>
          <w:tab w:val="left" w:pos="40"/>
        </w:tabs>
        <w:kinsoku/>
        <w:wordWrap/>
        <w:overflowPunct/>
        <w:topLinePunct w:val="0"/>
        <w:autoSpaceDE/>
        <w:autoSpaceDN/>
        <w:bidi w:val="0"/>
        <w:ind w:leftChars="200"/>
        <w:jc w:val="left"/>
        <w:outlineLvl w:val="3"/>
        <w:rPr>
          <w:rFonts w:hint="eastAsia"/>
          <w:bCs/>
          <w:color w:val="auto"/>
          <w:highlight w:val="none"/>
          <w:lang w:val="en-US" w:eastAsia="zh-CN"/>
        </w:rPr>
      </w:pPr>
      <w:r>
        <w:rPr>
          <w:rFonts w:hint="eastAsia"/>
          <w:bCs/>
          <w:color w:val="auto"/>
          <w:highlight w:val="none"/>
          <w:lang w:val="en-US" w:eastAsia="zh-CN"/>
        </w:rPr>
        <w:t>3.3.8.2电梯厅</w:t>
      </w:r>
    </w:p>
    <w:p w14:paraId="39A9FBAA">
      <w:pPr>
        <w:keepNext w:val="0"/>
        <w:keepLines w:val="0"/>
        <w:pageBreakBefore w:val="0"/>
        <w:widowControl w:val="0"/>
        <w:kinsoku/>
        <w:wordWrap/>
        <w:overflowPunct/>
        <w:topLinePunct w:val="0"/>
        <w:autoSpaceDE/>
        <w:autoSpaceDN/>
        <w:bidi w:val="0"/>
        <w:ind w:firstLine="480"/>
        <w:jc w:val="left"/>
        <w:rPr>
          <w:color w:val="auto"/>
          <w:highlight w:val="none"/>
        </w:rPr>
      </w:pPr>
      <w:r>
        <w:rPr>
          <w:rFonts w:hint="eastAsia" w:cs="宋体"/>
          <w:color w:val="auto"/>
          <w:kern w:val="0"/>
          <w:highlight w:val="none"/>
          <w:lang w:eastAsia="zh-CN" w:bidi="ar"/>
        </w:rPr>
        <w:t>专业承包人</w:t>
      </w:r>
      <w:r>
        <w:rPr>
          <w:rFonts w:hint="eastAsia" w:ascii="宋体" w:hAnsi="宋体" w:eastAsia="宋体" w:cs="宋体"/>
          <w:color w:val="auto"/>
          <w:kern w:val="0"/>
          <w:highlight w:val="none"/>
          <w:lang w:bidi="ar"/>
        </w:rPr>
        <w:t>负责配合电梯召唤按钮、报站灯、消防报警按钮等的定位及收口。</w:t>
      </w:r>
    </w:p>
    <w:p w14:paraId="10B83547">
      <w:pPr>
        <w:keepNext w:val="0"/>
        <w:keepLines w:val="0"/>
        <w:pageBreakBefore w:val="0"/>
        <w:widowControl w:val="0"/>
        <w:numPr>
          <w:ilvl w:val="0"/>
          <w:numId w:val="0"/>
        </w:numPr>
        <w:tabs>
          <w:tab w:val="left" w:pos="40"/>
        </w:tabs>
        <w:kinsoku/>
        <w:wordWrap/>
        <w:overflowPunct/>
        <w:topLinePunct w:val="0"/>
        <w:autoSpaceDE/>
        <w:autoSpaceDN/>
        <w:bidi w:val="0"/>
        <w:ind w:leftChars="200"/>
        <w:jc w:val="left"/>
        <w:outlineLvl w:val="3"/>
        <w:rPr>
          <w:rFonts w:hint="eastAsia"/>
          <w:bCs/>
          <w:color w:val="auto"/>
          <w:highlight w:val="none"/>
          <w:lang w:val="en-US" w:eastAsia="zh-CN"/>
        </w:rPr>
      </w:pPr>
      <w:r>
        <w:rPr>
          <w:rFonts w:hint="eastAsia"/>
          <w:bCs/>
          <w:color w:val="auto"/>
          <w:highlight w:val="none"/>
          <w:lang w:val="en-US" w:eastAsia="zh-CN"/>
        </w:rPr>
        <w:t>3.3.8.3其他</w:t>
      </w:r>
    </w:p>
    <w:p w14:paraId="0AD3042C">
      <w:pPr>
        <w:keepNext w:val="0"/>
        <w:keepLines w:val="0"/>
        <w:pageBreakBefore w:val="0"/>
        <w:widowControl w:val="0"/>
        <w:kinsoku/>
        <w:wordWrap/>
        <w:overflowPunct/>
        <w:topLinePunct w:val="0"/>
        <w:autoSpaceDE/>
        <w:autoSpaceDN/>
        <w:bidi w:val="0"/>
        <w:ind w:firstLine="480"/>
        <w:jc w:val="left"/>
        <w:rPr>
          <w:color w:val="auto"/>
          <w:highlight w:val="none"/>
        </w:rPr>
      </w:pPr>
      <w:r>
        <w:rPr>
          <w:rFonts w:hint="eastAsia" w:ascii="宋体" w:hAnsi="宋体" w:eastAsia="宋体" w:cs="宋体"/>
          <w:color w:val="auto"/>
          <w:kern w:val="0"/>
          <w:highlight w:val="none"/>
          <w:lang w:bidi="ar"/>
        </w:rPr>
        <w:t>所有电梯门口的门套、收口；负责协调电梯单位标高控制；负责与电梯之间的界面收口工作；电梯轿厢的装修，包括天花、地板、装饰门套及到站灯灯罩等，各楼层电梯厅外呼按钮由</w:t>
      </w:r>
      <w:r>
        <w:rPr>
          <w:rFonts w:hint="eastAsia" w:cs="宋体"/>
          <w:color w:val="auto"/>
          <w:kern w:val="0"/>
          <w:highlight w:val="none"/>
          <w:lang w:val="en-US" w:eastAsia="zh-CN" w:bidi="ar"/>
        </w:rPr>
        <w:t>专业承包人</w:t>
      </w:r>
      <w:r>
        <w:rPr>
          <w:rFonts w:hint="eastAsia" w:ascii="宋体" w:hAnsi="宋体" w:eastAsia="宋体" w:cs="宋体"/>
          <w:color w:val="auto"/>
          <w:kern w:val="0"/>
          <w:highlight w:val="none"/>
          <w:lang w:bidi="ar"/>
        </w:rPr>
        <w:t>根据电梯条件图进行定位、开孔、收口，电梯</w:t>
      </w:r>
      <w:r>
        <w:rPr>
          <w:rFonts w:hint="eastAsia" w:cs="宋体"/>
          <w:color w:val="auto"/>
          <w:kern w:val="0"/>
          <w:highlight w:val="none"/>
          <w:lang w:val="en-US" w:eastAsia="zh-CN" w:bidi="ar"/>
        </w:rPr>
        <w:t>专业承</w:t>
      </w:r>
      <w:r>
        <w:rPr>
          <w:rFonts w:hint="eastAsia" w:ascii="宋体" w:hAnsi="宋体" w:eastAsia="宋体" w:cs="宋体"/>
          <w:color w:val="auto"/>
          <w:kern w:val="0"/>
          <w:highlight w:val="none"/>
          <w:lang w:bidi="ar"/>
        </w:rPr>
        <w:t>包单位负责外呼盒安装和贴膜保护，负责扶梯机电相关设备末端的开孔、收口工作。</w:t>
      </w:r>
    </w:p>
    <w:p w14:paraId="3C3DA92D">
      <w:pPr>
        <w:keepNext w:val="0"/>
        <w:keepLines w:val="0"/>
        <w:pageBreakBefore w:val="0"/>
        <w:widowControl w:val="0"/>
        <w:kinsoku/>
        <w:wordWrap/>
        <w:overflowPunct/>
        <w:topLinePunct w:val="0"/>
        <w:autoSpaceDE/>
        <w:autoSpaceDN/>
        <w:bidi w:val="0"/>
        <w:outlineLvl w:val="2"/>
        <w:rPr>
          <w:rFonts w:hint="eastAsia"/>
          <w:color w:val="auto"/>
          <w:highlight w:val="none"/>
          <w:lang w:val="en-US" w:eastAsia="zh-CN"/>
        </w:rPr>
      </w:pPr>
      <w:r>
        <w:rPr>
          <w:rFonts w:hint="eastAsia"/>
          <w:color w:val="auto"/>
          <w:highlight w:val="none"/>
          <w:lang w:val="en-US" w:eastAsia="zh-CN"/>
        </w:rPr>
        <w:t>3.3.9灯具及面板</w:t>
      </w:r>
    </w:p>
    <w:p w14:paraId="726F0397">
      <w:pPr>
        <w:keepNext w:val="0"/>
        <w:keepLines w:val="0"/>
        <w:pageBreakBefore w:val="0"/>
        <w:widowControl w:val="0"/>
        <w:numPr>
          <w:ilvl w:val="0"/>
          <w:numId w:val="0"/>
        </w:numPr>
        <w:tabs>
          <w:tab w:val="left" w:pos="40"/>
        </w:tabs>
        <w:kinsoku/>
        <w:wordWrap/>
        <w:overflowPunct/>
        <w:topLinePunct w:val="0"/>
        <w:autoSpaceDE/>
        <w:autoSpaceDN/>
        <w:bidi w:val="0"/>
        <w:ind w:leftChars="200"/>
        <w:jc w:val="left"/>
        <w:outlineLvl w:val="3"/>
        <w:rPr>
          <w:bCs/>
          <w:color w:val="auto"/>
          <w:highlight w:val="none"/>
        </w:rPr>
      </w:pPr>
      <w:r>
        <w:rPr>
          <w:rFonts w:hint="eastAsia"/>
          <w:bCs/>
          <w:color w:val="auto"/>
          <w:highlight w:val="none"/>
          <w:lang w:val="en-US" w:eastAsia="zh-CN"/>
        </w:rPr>
        <w:t>3.3.9.1</w:t>
      </w:r>
      <w:r>
        <w:rPr>
          <w:rFonts w:hint="eastAsia"/>
          <w:bCs/>
          <w:color w:val="auto"/>
          <w:highlight w:val="none"/>
        </w:rPr>
        <w:t>灯具</w:t>
      </w:r>
    </w:p>
    <w:p w14:paraId="0317C420">
      <w:pPr>
        <w:keepNext w:val="0"/>
        <w:keepLines w:val="0"/>
        <w:pageBreakBefore w:val="0"/>
        <w:widowControl w:val="0"/>
        <w:kinsoku/>
        <w:wordWrap/>
        <w:overflowPunct/>
        <w:topLinePunct w:val="0"/>
        <w:autoSpaceDE/>
        <w:autoSpaceDN/>
        <w:bidi w:val="0"/>
        <w:ind w:firstLine="480"/>
        <w:jc w:val="left"/>
        <w:rPr>
          <w:rFonts w:ascii="宋体" w:hAnsi="宋体" w:eastAsia="宋体" w:cs="宋体"/>
          <w:color w:val="auto"/>
          <w:kern w:val="0"/>
          <w:highlight w:val="none"/>
          <w:lang w:bidi="ar"/>
        </w:rPr>
      </w:pPr>
      <w:r>
        <w:rPr>
          <w:rFonts w:hint="eastAsia" w:ascii="宋体" w:hAnsi="宋体" w:eastAsia="宋体" w:cs="宋体"/>
          <w:color w:val="auto"/>
          <w:kern w:val="0"/>
          <w:highlight w:val="none"/>
          <w:lang w:bidi="ar"/>
        </w:rPr>
        <w:t>完成本项目装修范围内的所有工程灯具（包括应急照明灯具）的供应、安装</w:t>
      </w:r>
      <w:r>
        <w:rPr>
          <w:rFonts w:hint="eastAsia" w:cs="宋体"/>
          <w:color w:val="auto"/>
          <w:kern w:val="0"/>
          <w:highlight w:val="none"/>
          <w:lang w:eastAsia="zh-CN" w:bidi="ar"/>
        </w:rPr>
        <w:t>。</w:t>
      </w:r>
      <w:r>
        <w:rPr>
          <w:rFonts w:hint="eastAsia" w:ascii="宋体" w:hAnsi="宋体" w:eastAsia="宋体" w:cs="宋体"/>
          <w:color w:val="auto"/>
          <w:kern w:val="0"/>
          <w:highlight w:val="none"/>
          <w:lang w:bidi="ar"/>
        </w:rPr>
        <w:t>按照招标图纸点位要求，结合现场实际情况，完成招标范围内全部的灯具的配管配线及所需的开槽开孔、安装调试及拉拔试验等工作，所有灯具的预埋构件均包含在综合单价内；</w:t>
      </w:r>
    </w:p>
    <w:p w14:paraId="25DC0BAC">
      <w:pPr>
        <w:keepNext w:val="0"/>
        <w:keepLines w:val="0"/>
        <w:pageBreakBefore w:val="0"/>
        <w:widowControl w:val="0"/>
        <w:numPr>
          <w:ilvl w:val="0"/>
          <w:numId w:val="0"/>
        </w:numPr>
        <w:tabs>
          <w:tab w:val="left" w:pos="40"/>
        </w:tabs>
        <w:kinsoku/>
        <w:wordWrap/>
        <w:overflowPunct/>
        <w:topLinePunct w:val="0"/>
        <w:autoSpaceDE/>
        <w:autoSpaceDN/>
        <w:bidi w:val="0"/>
        <w:ind w:leftChars="200"/>
        <w:jc w:val="left"/>
        <w:outlineLvl w:val="3"/>
        <w:rPr>
          <w:bCs/>
          <w:color w:val="auto"/>
          <w:highlight w:val="none"/>
        </w:rPr>
      </w:pPr>
      <w:r>
        <w:rPr>
          <w:rFonts w:hint="eastAsia"/>
          <w:bCs/>
          <w:color w:val="auto"/>
          <w:highlight w:val="none"/>
          <w:lang w:val="en-US" w:eastAsia="zh-CN"/>
        </w:rPr>
        <w:t>3.3.9.2</w:t>
      </w:r>
      <w:r>
        <w:rPr>
          <w:rFonts w:hint="eastAsia"/>
          <w:bCs/>
          <w:color w:val="auto"/>
          <w:highlight w:val="none"/>
        </w:rPr>
        <w:t>调光</w:t>
      </w:r>
    </w:p>
    <w:p w14:paraId="4D111C80">
      <w:pPr>
        <w:keepNext w:val="0"/>
        <w:keepLines w:val="0"/>
        <w:pageBreakBefore w:val="0"/>
        <w:widowControl w:val="0"/>
        <w:kinsoku/>
        <w:wordWrap/>
        <w:overflowPunct/>
        <w:topLinePunct w:val="0"/>
        <w:autoSpaceDE/>
        <w:autoSpaceDN/>
        <w:bidi w:val="0"/>
        <w:ind w:firstLine="480"/>
        <w:jc w:val="left"/>
        <w:rPr>
          <w:rFonts w:ascii="宋体" w:hAnsi="宋体" w:eastAsia="宋体" w:cs="宋体"/>
          <w:color w:val="auto"/>
          <w:kern w:val="0"/>
          <w:highlight w:val="none"/>
          <w:lang w:bidi="ar"/>
        </w:rPr>
      </w:pPr>
      <w:r>
        <w:rPr>
          <w:rFonts w:hint="eastAsia" w:cs="宋体"/>
          <w:color w:val="auto"/>
          <w:kern w:val="0"/>
          <w:highlight w:val="none"/>
          <w:lang w:eastAsia="zh-CN" w:bidi="ar"/>
        </w:rPr>
        <w:t>专业承包人</w:t>
      </w:r>
      <w:r>
        <w:rPr>
          <w:rFonts w:hint="eastAsia" w:ascii="宋体" w:hAnsi="宋体" w:eastAsia="宋体" w:cs="宋体"/>
          <w:color w:val="auto"/>
          <w:kern w:val="0"/>
          <w:highlight w:val="none"/>
          <w:lang w:bidi="ar"/>
        </w:rPr>
        <w:t>负责电管布设及布线和控制线（弱电）的布管，调光。</w:t>
      </w:r>
    </w:p>
    <w:p w14:paraId="5314F199">
      <w:pPr>
        <w:keepNext w:val="0"/>
        <w:keepLines w:val="0"/>
        <w:pageBreakBefore w:val="0"/>
        <w:widowControl w:val="0"/>
        <w:kinsoku/>
        <w:wordWrap/>
        <w:overflowPunct/>
        <w:topLinePunct w:val="0"/>
        <w:autoSpaceDE/>
        <w:autoSpaceDN/>
        <w:bidi w:val="0"/>
        <w:outlineLvl w:val="2"/>
        <w:rPr>
          <w:rFonts w:hint="eastAsia"/>
          <w:color w:val="auto"/>
          <w:highlight w:val="none"/>
          <w:lang w:val="en-US" w:eastAsia="zh-CN"/>
        </w:rPr>
      </w:pPr>
      <w:r>
        <w:rPr>
          <w:rFonts w:hint="eastAsia"/>
          <w:color w:val="auto"/>
          <w:highlight w:val="none"/>
          <w:lang w:val="en-US" w:eastAsia="zh-CN"/>
        </w:rPr>
        <w:t>3.3.10洁具及五金</w:t>
      </w:r>
    </w:p>
    <w:p w14:paraId="5F68ADD5">
      <w:pPr>
        <w:keepNext w:val="0"/>
        <w:keepLines w:val="0"/>
        <w:pageBreakBefore w:val="0"/>
        <w:widowControl w:val="0"/>
        <w:tabs>
          <w:tab w:val="left" w:pos="0"/>
        </w:tabs>
        <w:kinsoku/>
        <w:wordWrap/>
        <w:overflowPunct/>
        <w:topLinePunct w:val="0"/>
        <w:autoSpaceDE/>
        <w:autoSpaceDN/>
        <w:bidi w:val="0"/>
        <w:ind w:firstLine="480"/>
        <w:jc w:val="left"/>
        <w:rPr>
          <w:rFonts w:ascii="宋体" w:hAnsi="宋体" w:eastAsia="宋体" w:cs="宋体"/>
          <w:color w:val="auto"/>
          <w:kern w:val="0"/>
          <w:highlight w:val="none"/>
          <w:lang w:bidi="ar"/>
        </w:rPr>
      </w:pPr>
      <w:r>
        <w:rPr>
          <w:rFonts w:hint="eastAsia" w:ascii="宋体" w:hAnsi="宋体" w:eastAsia="宋体" w:cs="宋体"/>
          <w:color w:val="auto"/>
          <w:kern w:val="0"/>
          <w:highlight w:val="none"/>
          <w:lang w:bidi="ar"/>
        </w:rPr>
        <w:t>负责坐便器、蹲便器、小便斗、台盆、台盆龙头等的供应及安装，以及所有辅配件的安装，包括必需的开凿、开洞、修复等工作。</w:t>
      </w:r>
    </w:p>
    <w:p w14:paraId="46208E5B">
      <w:pPr>
        <w:keepNext w:val="0"/>
        <w:keepLines w:val="0"/>
        <w:pageBreakBefore w:val="0"/>
        <w:widowControl w:val="0"/>
        <w:kinsoku/>
        <w:wordWrap/>
        <w:overflowPunct/>
        <w:topLinePunct w:val="0"/>
        <w:autoSpaceDE/>
        <w:autoSpaceDN/>
        <w:bidi w:val="0"/>
        <w:outlineLvl w:val="2"/>
        <w:rPr>
          <w:rFonts w:hint="eastAsia"/>
          <w:color w:val="auto"/>
          <w:highlight w:val="none"/>
          <w:lang w:val="en-US" w:eastAsia="zh-CN"/>
        </w:rPr>
      </w:pPr>
      <w:r>
        <w:rPr>
          <w:rFonts w:hint="eastAsia"/>
          <w:color w:val="auto"/>
          <w:highlight w:val="none"/>
          <w:lang w:val="en-US" w:eastAsia="zh-CN"/>
        </w:rPr>
        <w:t>3.3.11风口</w:t>
      </w:r>
    </w:p>
    <w:p w14:paraId="3FF029B3">
      <w:pPr>
        <w:keepNext w:val="0"/>
        <w:keepLines w:val="0"/>
        <w:pageBreakBefore w:val="0"/>
        <w:widowControl w:val="0"/>
        <w:tabs>
          <w:tab w:val="left" w:pos="0"/>
        </w:tabs>
        <w:kinsoku/>
        <w:wordWrap/>
        <w:overflowPunct/>
        <w:topLinePunct w:val="0"/>
        <w:autoSpaceDE/>
        <w:autoSpaceDN/>
        <w:bidi w:val="0"/>
        <w:ind w:firstLine="480"/>
        <w:jc w:val="left"/>
        <w:rPr>
          <w:rFonts w:ascii="宋体" w:hAnsi="宋体" w:eastAsia="宋体" w:cs="宋体"/>
          <w:color w:val="auto"/>
          <w:kern w:val="0"/>
          <w:highlight w:val="none"/>
          <w:lang w:bidi="ar"/>
        </w:rPr>
      </w:pPr>
      <w:r>
        <w:rPr>
          <w:rFonts w:hint="eastAsia" w:ascii="宋体" w:hAnsi="宋体" w:eastAsia="宋体" w:cs="宋体"/>
          <w:color w:val="auto"/>
          <w:kern w:val="0"/>
          <w:highlight w:val="none"/>
          <w:lang w:bidi="ar"/>
        </w:rPr>
        <w:t>配合室内机电定位及通风管道、送回风口等通过装饰面的开洞及收口，装饰性风口（直接固定于装修吊顶面的风口）的采购、安装。</w:t>
      </w:r>
    </w:p>
    <w:p w14:paraId="68E9BA9D">
      <w:pPr>
        <w:keepNext w:val="0"/>
        <w:keepLines w:val="0"/>
        <w:pageBreakBefore w:val="0"/>
        <w:widowControl w:val="0"/>
        <w:kinsoku/>
        <w:wordWrap/>
        <w:overflowPunct/>
        <w:topLinePunct w:val="0"/>
        <w:autoSpaceDE/>
        <w:autoSpaceDN/>
        <w:bidi w:val="0"/>
        <w:outlineLvl w:val="2"/>
        <w:rPr>
          <w:rFonts w:hint="eastAsia"/>
          <w:color w:val="auto"/>
          <w:highlight w:val="none"/>
          <w:lang w:val="en-US" w:eastAsia="zh-CN"/>
        </w:rPr>
      </w:pPr>
      <w:r>
        <w:rPr>
          <w:rFonts w:hint="eastAsia"/>
          <w:color w:val="auto"/>
          <w:highlight w:val="none"/>
          <w:lang w:val="en-US" w:eastAsia="zh-CN"/>
        </w:rPr>
        <w:t>3.3.12固定家具</w:t>
      </w:r>
    </w:p>
    <w:p w14:paraId="751CCE25">
      <w:pPr>
        <w:pStyle w:val="2"/>
        <w:keepNext w:val="0"/>
        <w:keepLines w:val="0"/>
        <w:pageBreakBefore w:val="0"/>
        <w:widowControl w:val="0"/>
        <w:kinsoku/>
        <w:wordWrap/>
        <w:overflowPunct/>
        <w:topLinePunct w:val="0"/>
        <w:autoSpaceDE/>
        <w:autoSpaceDN/>
        <w:bidi w:val="0"/>
        <w:rPr>
          <w:rFonts w:hint="default"/>
          <w:color w:val="auto"/>
          <w:sz w:val="24"/>
          <w:szCs w:val="24"/>
          <w:highlight w:val="none"/>
          <w:lang w:val="en-US" w:eastAsia="zh-CN"/>
        </w:rPr>
      </w:pPr>
      <w:r>
        <w:rPr>
          <w:rFonts w:hint="eastAsia"/>
          <w:color w:val="auto"/>
          <w:sz w:val="24"/>
          <w:szCs w:val="24"/>
          <w:highlight w:val="none"/>
          <w:lang w:val="en-US" w:eastAsia="zh-CN"/>
        </w:rPr>
        <w:t>按</w:t>
      </w:r>
      <w:r>
        <w:rPr>
          <w:rFonts w:hint="eastAsia" w:ascii="宋体" w:hAnsi="宋体" w:eastAsia="宋体" w:cs="宋体"/>
          <w:color w:val="auto"/>
          <w:kern w:val="0"/>
          <w:sz w:val="24"/>
          <w:szCs w:val="24"/>
          <w:highlight w:val="none"/>
          <w:lang w:bidi="ar"/>
        </w:rPr>
        <w:t>现行的国家及当地的有关规范，根据发包人的要求完成固定家具基层、固定</w:t>
      </w:r>
    </w:p>
    <w:p w14:paraId="23102074">
      <w:pPr>
        <w:keepNext w:val="0"/>
        <w:keepLines w:val="0"/>
        <w:pageBreakBefore w:val="0"/>
        <w:widowControl w:val="0"/>
        <w:tabs>
          <w:tab w:val="left" w:pos="0"/>
        </w:tabs>
        <w:kinsoku/>
        <w:wordWrap/>
        <w:overflowPunct/>
        <w:topLinePunct w:val="0"/>
        <w:autoSpaceDE/>
        <w:autoSpaceDN/>
        <w:bidi w:val="0"/>
        <w:ind w:left="0" w:leftChars="0" w:firstLine="0" w:firstLineChars="0"/>
        <w:jc w:val="left"/>
        <w:rPr>
          <w:rFonts w:ascii="宋体" w:hAnsi="宋体" w:eastAsia="宋体" w:cs="宋体"/>
          <w:color w:val="auto"/>
          <w:kern w:val="0"/>
          <w:highlight w:val="none"/>
          <w:lang w:bidi="ar"/>
        </w:rPr>
      </w:pPr>
      <w:r>
        <w:rPr>
          <w:rFonts w:hint="eastAsia" w:ascii="宋体" w:hAnsi="宋体" w:eastAsia="宋体" w:cs="宋体"/>
          <w:color w:val="auto"/>
          <w:kern w:val="0"/>
          <w:highlight w:val="none"/>
          <w:lang w:bidi="ar"/>
        </w:rPr>
        <w:t>家具的供应、安装工作(木饰面及油漆需在工厂制做完成后现场安装）。人造石台面、洗手台、橱柜、卫生间隔断供应及安装均由</w:t>
      </w:r>
      <w:r>
        <w:rPr>
          <w:rFonts w:hint="eastAsia" w:cs="宋体"/>
          <w:color w:val="auto"/>
          <w:kern w:val="0"/>
          <w:highlight w:val="none"/>
          <w:lang w:val="en-US" w:eastAsia="zh-CN" w:bidi="ar"/>
        </w:rPr>
        <w:t>专业承包人</w:t>
      </w:r>
      <w:r>
        <w:rPr>
          <w:rFonts w:hint="eastAsia" w:ascii="宋体" w:hAnsi="宋体" w:eastAsia="宋体" w:cs="宋体"/>
          <w:color w:val="auto"/>
          <w:kern w:val="0"/>
          <w:highlight w:val="none"/>
          <w:lang w:bidi="ar"/>
        </w:rPr>
        <w:t>负责完成，负责承包范围内所有木制产品的白蚁防治、防腐、防潮工作。</w:t>
      </w:r>
    </w:p>
    <w:p w14:paraId="47536B6F">
      <w:pPr>
        <w:keepNext w:val="0"/>
        <w:keepLines w:val="0"/>
        <w:pageBreakBefore w:val="0"/>
        <w:widowControl w:val="0"/>
        <w:kinsoku/>
        <w:wordWrap/>
        <w:overflowPunct/>
        <w:topLinePunct w:val="0"/>
        <w:autoSpaceDE/>
        <w:autoSpaceDN/>
        <w:bidi w:val="0"/>
        <w:outlineLvl w:val="2"/>
        <w:rPr>
          <w:rFonts w:hint="eastAsia"/>
          <w:color w:val="auto"/>
          <w:highlight w:val="none"/>
          <w:lang w:val="en-US" w:eastAsia="zh-CN"/>
        </w:rPr>
      </w:pPr>
      <w:r>
        <w:rPr>
          <w:rFonts w:hint="eastAsia"/>
          <w:color w:val="auto"/>
          <w:highlight w:val="none"/>
          <w:lang w:val="en-US" w:eastAsia="zh-CN"/>
        </w:rPr>
        <w:t>3.3.13材料送样和样板施工</w:t>
      </w:r>
    </w:p>
    <w:p w14:paraId="1521D860">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3.3.13.1专业承包人</w:t>
      </w:r>
      <w:r>
        <w:rPr>
          <w:rFonts w:hint="eastAsia"/>
          <w:bCs/>
          <w:color w:val="auto"/>
          <w:highlight w:val="none"/>
        </w:rPr>
        <w:t>须根据发包人要求的材料清单进行送样，具体材料送样要求详见第六章材料管理及附件要求，所有因材料送样产生的费用包含在本次合同总价中。</w:t>
      </w:r>
      <w:r>
        <w:rPr>
          <w:rFonts w:hint="eastAsia"/>
          <w:bCs/>
          <w:color w:val="auto"/>
          <w:highlight w:val="none"/>
          <w:lang w:eastAsia="zh-CN"/>
        </w:rPr>
        <w:t>专业承包人</w:t>
      </w:r>
      <w:r>
        <w:rPr>
          <w:rFonts w:hint="eastAsia"/>
          <w:bCs/>
          <w:color w:val="auto"/>
          <w:highlight w:val="none"/>
        </w:rPr>
        <w:t>须根据发包人下发的样板清单，进行一比一设计样板打样，样板</w:t>
      </w:r>
      <w:r>
        <w:rPr>
          <w:rFonts w:hint="eastAsia"/>
          <w:bCs/>
          <w:color w:val="auto"/>
          <w:highlight w:val="none"/>
          <w:lang w:val="en-US" w:eastAsia="zh-CN"/>
        </w:rPr>
        <w:t>管理详见</w:t>
      </w:r>
      <w:r>
        <w:rPr>
          <w:rFonts w:hint="eastAsia"/>
          <w:bCs/>
          <w:color w:val="auto"/>
          <w:highlight w:val="none"/>
          <w:lang w:eastAsia="zh-CN"/>
        </w:rPr>
        <w:t>【附件B-5】样板引路管理办法</w:t>
      </w:r>
      <w:r>
        <w:rPr>
          <w:rFonts w:hint="eastAsia"/>
          <w:bCs/>
          <w:color w:val="auto"/>
          <w:highlight w:val="none"/>
          <w:lang w:val="en-US" w:eastAsia="zh-CN"/>
        </w:rPr>
        <w:t>及</w:t>
      </w:r>
      <w:r>
        <w:rPr>
          <w:rFonts w:hint="eastAsia"/>
          <w:bCs/>
          <w:color w:val="auto"/>
          <w:highlight w:val="none"/>
        </w:rPr>
        <w:t>【附件B-6】乙供材料设备报审及看样定板管理办法，费用包含在本次合同总价中。</w:t>
      </w:r>
    </w:p>
    <w:p w14:paraId="18594DE5">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3.3.13.2</w:t>
      </w:r>
      <w:r>
        <w:rPr>
          <w:rFonts w:hint="eastAsia"/>
          <w:bCs/>
          <w:color w:val="auto"/>
          <w:highlight w:val="none"/>
          <w:lang w:eastAsia="zh-CN"/>
        </w:rPr>
        <w:t>专业承包人</w:t>
      </w:r>
      <w:r>
        <w:rPr>
          <w:rFonts w:hint="eastAsia"/>
          <w:bCs/>
          <w:color w:val="auto"/>
          <w:highlight w:val="none"/>
        </w:rPr>
        <w:t>应根据发包人的要求进行样板引路施工，具体要求见</w:t>
      </w:r>
      <w:r>
        <w:rPr>
          <w:rFonts w:hint="eastAsia"/>
          <w:bCs/>
          <w:color w:val="auto"/>
          <w:highlight w:val="none"/>
          <w:lang w:eastAsia="zh-CN"/>
        </w:rPr>
        <w:t>【附件B-5】样板引路管理办法</w:t>
      </w:r>
      <w:r>
        <w:rPr>
          <w:rFonts w:hint="eastAsia"/>
          <w:bCs/>
          <w:color w:val="auto"/>
          <w:highlight w:val="none"/>
        </w:rPr>
        <w:t>，费用包含在本次合同总价中。</w:t>
      </w:r>
    </w:p>
    <w:p w14:paraId="39CB4D65">
      <w:pPr>
        <w:keepNext w:val="0"/>
        <w:keepLines w:val="0"/>
        <w:pageBreakBefore w:val="0"/>
        <w:widowControl w:val="0"/>
        <w:kinsoku/>
        <w:wordWrap/>
        <w:overflowPunct/>
        <w:topLinePunct w:val="0"/>
        <w:autoSpaceDE/>
        <w:autoSpaceDN/>
        <w:bidi w:val="0"/>
        <w:outlineLvl w:val="2"/>
        <w:rPr>
          <w:rFonts w:hint="eastAsia"/>
          <w:color w:val="auto"/>
          <w:highlight w:val="none"/>
          <w:lang w:val="en-US" w:eastAsia="zh-CN"/>
        </w:rPr>
      </w:pPr>
      <w:r>
        <w:rPr>
          <w:rFonts w:hint="eastAsia"/>
          <w:color w:val="auto"/>
          <w:highlight w:val="none"/>
          <w:lang w:val="en-US" w:eastAsia="zh-CN"/>
        </w:rPr>
        <w:t>3.3.14其他</w:t>
      </w:r>
    </w:p>
    <w:p w14:paraId="47AF42A5">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rFonts w:hint="eastAsia" w:ascii="宋体" w:hAnsi="宋体" w:eastAsia="宋体" w:cs="宋体"/>
          <w:bCs/>
          <w:color w:val="auto"/>
          <w:highlight w:val="none"/>
        </w:rPr>
      </w:pPr>
      <w:r>
        <w:rPr>
          <w:rFonts w:hint="eastAsia" w:ascii="宋体" w:hAnsi="宋体" w:eastAsia="宋体" w:cs="宋体"/>
          <w:bCs/>
          <w:color w:val="auto"/>
          <w:highlight w:val="none"/>
          <w:lang w:val="en-US" w:eastAsia="zh-CN"/>
        </w:rPr>
        <w:t>3.3.14.1</w:t>
      </w:r>
      <w:r>
        <w:rPr>
          <w:rFonts w:hint="eastAsia" w:ascii="宋体" w:hAnsi="宋体" w:eastAsia="宋体" w:cs="宋体"/>
          <w:bCs/>
          <w:color w:val="auto"/>
          <w:highlight w:val="none"/>
        </w:rPr>
        <w:t>配合服务责任：需配合机电安装（暖通、水、电）、消防、智能化等其它</w:t>
      </w:r>
      <w:r>
        <w:rPr>
          <w:rFonts w:hint="eastAsia" w:ascii="宋体" w:hAnsi="宋体" w:eastAsia="宋体" w:cs="宋体"/>
          <w:bCs/>
          <w:color w:val="auto"/>
          <w:highlight w:val="none"/>
          <w:lang w:val="en-US" w:eastAsia="zh-CN"/>
        </w:rPr>
        <w:t>单位</w:t>
      </w:r>
      <w:r>
        <w:rPr>
          <w:rFonts w:hint="eastAsia" w:ascii="宋体" w:hAnsi="宋体" w:eastAsia="宋体" w:cs="宋体"/>
          <w:bCs/>
          <w:color w:val="auto"/>
          <w:highlight w:val="none"/>
        </w:rPr>
        <w:t>安装要求；包括但不限于孔、槽（洞）位置的开孔、预留埋件、封边收口、定位、修补面层等相关工作。</w:t>
      </w:r>
    </w:p>
    <w:p w14:paraId="4B41975E">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rFonts w:hint="eastAsia" w:ascii="宋体" w:hAnsi="宋体" w:eastAsia="宋体" w:cs="宋体"/>
          <w:bCs/>
          <w:color w:val="auto"/>
          <w:highlight w:val="none"/>
        </w:rPr>
      </w:pPr>
      <w:r>
        <w:rPr>
          <w:rFonts w:hint="eastAsia" w:ascii="宋体" w:hAnsi="宋体" w:eastAsia="宋体" w:cs="宋体"/>
          <w:bCs/>
          <w:color w:val="auto"/>
          <w:highlight w:val="none"/>
          <w:lang w:val="en-US" w:eastAsia="zh-CN"/>
        </w:rPr>
        <w:t>3.3.14.2</w:t>
      </w:r>
      <w:r>
        <w:rPr>
          <w:rFonts w:hint="eastAsia" w:ascii="宋体" w:hAnsi="宋体" w:eastAsia="宋体" w:cs="宋体"/>
          <w:bCs/>
          <w:color w:val="auto"/>
          <w:highlight w:val="none"/>
        </w:rPr>
        <w:t>现场管理责任：总承包人不提供装修区域内现场临时照明，由</w:t>
      </w:r>
      <w:r>
        <w:rPr>
          <w:rFonts w:hint="eastAsia" w:cs="宋体"/>
          <w:bCs/>
          <w:color w:val="auto"/>
          <w:highlight w:val="none"/>
          <w:lang w:eastAsia="zh-CN"/>
        </w:rPr>
        <w:t>专业承包人</w:t>
      </w:r>
      <w:r>
        <w:rPr>
          <w:rFonts w:hint="eastAsia" w:ascii="宋体" w:hAnsi="宋体" w:eastAsia="宋体" w:cs="宋体"/>
          <w:bCs/>
          <w:color w:val="auto"/>
          <w:highlight w:val="none"/>
        </w:rPr>
        <w:t>自行增加临时照明，现场卫生（包括且不限于自有施工产生的垃圾）的保洁及清理，垃圾运输至指定堆放点</w:t>
      </w:r>
      <w:r>
        <w:rPr>
          <w:rFonts w:hint="eastAsia" w:ascii="宋体" w:hAnsi="宋体" w:eastAsia="宋体" w:cs="宋体"/>
          <w:bCs/>
          <w:color w:val="auto"/>
          <w:highlight w:val="none"/>
          <w:lang w:val="en-US" w:eastAsia="zh-CN"/>
        </w:rPr>
        <w:t>并负责自身侧垃圾清理及外运工作</w:t>
      </w:r>
      <w:r>
        <w:rPr>
          <w:rFonts w:hint="eastAsia" w:ascii="宋体" w:hAnsi="宋体" w:eastAsia="宋体" w:cs="宋体"/>
          <w:bCs/>
          <w:color w:val="auto"/>
          <w:highlight w:val="none"/>
        </w:rPr>
        <w:t>，现场临时消防器具的配备与维护需符合国家规范，对</w:t>
      </w:r>
      <w:r>
        <w:rPr>
          <w:rFonts w:hint="eastAsia" w:ascii="宋体" w:hAnsi="宋体" w:eastAsia="宋体" w:cs="宋体"/>
          <w:bCs/>
          <w:color w:val="auto"/>
          <w:highlight w:val="none"/>
          <w:lang w:val="en-US" w:eastAsia="zh-CN"/>
        </w:rPr>
        <w:t>精装修范围</w:t>
      </w:r>
      <w:r>
        <w:rPr>
          <w:rFonts w:hint="eastAsia" w:ascii="宋体" w:hAnsi="宋体" w:eastAsia="宋体" w:cs="宋体"/>
          <w:bCs/>
          <w:color w:val="auto"/>
          <w:highlight w:val="none"/>
        </w:rPr>
        <w:t>的所有</w:t>
      </w:r>
      <w:r>
        <w:rPr>
          <w:rFonts w:hint="eastAsia" w:ascii="宋体" w:hAnsi="宋体" w:eastAsia="宋体" w:cs="宋体"/>
          <w:bCs/>
          <w:color w:val="auto"/>
          <w:highlight w:val="none"/>
          <w:lang w:val="en-US" w:eastAsia="zh-CN"/>
        </w:rPr>
        <w:t>专业单位</w:t>
      </w:r>
      <w:r>
        <w:rPr>
          <w:rFonts w:hint="eastAsia" w:ascii="宋体" w:hAnsi="宋体" w:eastAsia="宋体" w:cs="宋体"/>
          <w:bCs/>
          <w:color w:val="auto"/>
          <w:highlight w:val="none"/>
        </w:rPr>
        <w:t>的管理及协调工作；成品保护工作由</w:t>
      </w:r>
      <w:r>
        <w:rPr>
          <w:rFonts w:hint="eastAsia" w:cs="宋体"/>
          <w:bCs/>
          <w:color w:val="auto"/>
          <w:highlight w:val="none"/>
          <w:lang w:eastAsia="zh-CN"/>
        </w:rPr>
        <w:t>专业承包人</w:t>
      </w:r>
      <w:r>
        <w:rPr>
          <w:rFonts w:hint="eastAsia" w:ascii="宋体" w:hAnsi="宋体" w:eastAsia="宋体" w:cs="宋体"/>
          <w:bCs/>
          <w:color w:val="auto"/>
          <w:highlight w:val="none"/>
        </w:rPr>
        <w:t>负责管理。</w:t>
      </w:r>
    </w:p>
    <w:p w14:paraId="7F5DD02F">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rFonts w:hint="eastAsia" w:ascii="宋体" w:hAnsi="宋体" w:eastAsia="宋体" w:cs="宋体"/>
          <w:bCs/>
          <w:color w:val="auto"/>
          <w:highlight w:val="none"/>
        </w:rPr>
      </w:pPr>
      <w:r>
        <w:rPr>
          <w:rFonts w:hint="eastAsia" w:ascii="宋体" w:hAnsi="宋体" w:eastAsia="宋体" w:cs="宋体"/>
          <w:bCs/>
          <w:color w:val="auto"/>
          <w:highlight w:val="none"/>
          <w:lang w:val="en-US" w:eastAsia="zh-CN"/>
        </w:rPr>
        <w:t>3.3.14.3</w:t>
      </w:r>
      <w:r>
        <w:rPr>
          <w:rFonts w:hint="eastAsia" w:ascii="宋体" w:hAnsi="宋体" w:eastAsia="宋体" w:cs="宋体"/>
          <w:bCs/>
          <w:color w:val="auto"/>
          <w:highlight w:val="none"/>
        </w:rPr>
        <w:t>中标通知书发出后</w:t>
      </w:r>
      <w:r>
        <w:rPr>
          <w:rFonts w:hint="eastAsia" w:cs="宋体"/>
          <w:bCs/>
          <w:color w:val="auto"/>
          <w:highlight w:val="none"/>
          <w:lang w:val="en-US" w:eastAsia="zh-CN"/>
        </w:rPr>
        <w:t>专业承包人</w:t>
      </w:r>
      <w:r>
        <w:rPr>
          <w:rFonts w:hint="eastAsia" w:ascii="宋体" w:hAnsi="宋体" w:eastAsia="宋体" w:cs="宋体"/>
          <w:bCs/>
          <w:color w:val="auto"/>
          <w:highlight w:val="none"/>
        </w:rPr>
        <w:t>须一周内进行现场施工准备，包括</w:t>
      </w:r>
      <w:r>
        <w:rPr>
          <w:rFonts w:hint="eastAsia" w:ascii="宋体" w:hAnsi="宋体" w:eastAsia="宋体" w:cs="宋体"/>
          <w:bCs/>
          <w:color w:val="auto"/>
          <w:highlight w:val="none"/>
          <w:lang w:val="en-US" w:eastAsia="zh-CN"/>
        </w:rPr>
        <w:t>图纸深化、</w:t>
      </w:r>
      <w:r>
        <w:rPr>
          <w:rFonts w:hint="eastAsia" w:ascii="宋体" w:hAnsi="宋体" w:eastAsia="宋体" w:cs="宋体"/>
          <w:bCs/>
          <w:color w:val="auto"/>
          <w:highlight w:val="none"/>
        </w:rPr>
        <w:t>人员准备</w:t>
      </w:r>
      <w:r>
        <w:rPr>
          <w:rFonts w:hint="eastAsia" w:ascii="宋体" w:hAnsi="宋体" w:eastAsia="宋体" w:cs="宋体"/>
          <w:bCs/>
          <w:color w:val="auto"/>
          <w:highlight w:val="none"/>
          <w:lang w:val="en-US" w:eastAsia="zh-CN"/>
        </w:rPr>
        <w:t>等</w:t>
      </w:r>
      <w:r>
        <w:rPr>
          <w:rFonts w:hint="eastAsia" w:ascii="宋体" w:hAnsi="宋体" w:eastAsia="宋体" w:cs="宋体"/>
          <w:bCs/>
          <w:color w:val="auto"/>
          <w:highlight w:val="none"/>
        </w:rPr>
        <w:t>。</w:t>
      </w:r>
    </w:p>
    <w:p w14:paraId="7E40DB48">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rFonts w:hint="eastAsia" w:ascii="宋体" w:hAnsi="宋体" w:eastAsia="宋体" w:cs="宋体"/>
          <w:bCs/>
          <w:color w:val="auto"/>
          <w:highlight w:val="none"/>
          <w:lang w:val="en-US"/>
        </w:rPr>
      </w:pPr>
      <w:r>
        <w:rPr>
          <w:rFonts w:hint="eastAsia" w:ascii="宋体" w:hAnsi="宋体" w:eastAsia="宋体" w:cs="宋体"/>
          <w:bCs/>
          <w:color w:val="auto"/>
          <w:highlight w:val="none"/>
          <w:lang w:val="en-US" w:eastAsia="zh-CN"/>
        </w:rPr>
        <w:t>3.3.14.4成品保护：</w:t>
      </w:r>
      <w:r>
        <w:rPr>
          <w:rFonts w:hint="eastAsia" w:cs="宋体"/>
          <w:bCs/>
          <w:color w:val="auto"/>
          <w:highlight w:val="none"/>
          <w:lang w:val="en-US" w:eastAsia="zh-CN"/>
        </w:rPr>
        <w:t>专业承包人</w:t>
      </w:r>
      <w:r>
        <w:rPr>
          <w:rFonts w:hint="eastAsia" w:ascii="宋体" w:hAnsi="宋体" w:eastAsia="宋体" w:cs="宋体"/>
          <w:bCs/>
          <w:color w:val="auto"/>
          <w:highlight w:val="none"/>
          <w:lang w:val="en-US" w:eastAsia="zh-CN"/>
        </w:rPr>
        <w:t>需根据项目竣工图纸及交付图纸差异所涉及的二次改造工程做好项目二次改造施工及二次改造施工动线影响区域的成品保护工程，尤其是对施工动线上及二次改造工程可能造成成品破坏的已完工地面(地库、公区、室内及景观地面)、电梯等采用厚度不小于12mm厚的木芯板进行成品保护，且在进行二次改造工程施工时通过地库进行材料转运时材料运输车辆(含材料)荷载不能超</w:t>
      </w:r>
      <w:r>
        <w:rPr>
          <w:rFonts w:hint="eastAsia" w:cs="宋体"/>
          <w:bCs/>
          <w:color w:val="auto"/>
          <w:highlight w:val="none"/>
          <w:lang w:val="en-US" w:eastAsia="zh-CN"/>
        </w:rPr>
        <w:t>过设计</w:t>
      </w:r>
      <w:r>
        <w:rPr>
          <w:rFonts w:hint="eastAsia" w:ascii="宋体" w:hAnsi="宋体" w:eastAsia="宋体" w:cs="宋体"/>
          <w:i w:val="0"/>
          <w:iCs w:val="0"/>
          <w:caps w:val="0"/>
          <w:color w:val="auto"/>
          <w:spacing w:val="0"/>
          <w:sz w:val="24"/>
          <w:szCs w:val="24"/>
          <w:highlight w:val="none"/>
          <w:shd w:val="clear" w:fill="FFFFFF"/>
          <w:lang w:val="en-US" w:eastAsia="zh-CN"/>
        </w:rPr>
        <w:t>荷载</w:t>
      </w:r>
      <w:r>
        <w:rPr>
          <w:rFonts w:hint="eastAsia" w:ascii="宋体" w:hAnsi="宋体" w:eastAsia="宋体" w:cs="宋体"/>
          <w:i w:val="0"/>
          <w:iCs w:val="0"/>
          <w:caps w:val="0"/>
          <w:color w:val="auto"/>
          <w:spacing w:val="0"/>
          <w:sz w:val="24"/>
          <w:szCs w:val="24"/>
          <w:highlight w:val="none"/>
          <w:shd w:val="clear" w:fill="FFFFFF"/>
          <w:lang w:eastAsia="zh-CN"/>
        </w:rPr>
        <w:t>。</w:t>
      </w:r>
      <w:r>
        <w:rPr>
          <w:rFonts w:hint="eastAsia" w:cs="宋体"/>
          <w:i w:val="0"/>
          <w:iCs w:val="0"/>
          <w:caps w:val="0"/>
          <w:color w:val="auto"/>
          <w:spacing w:val="0"/>
          <w:sz w:val="24"/>
          <w:szCs w:val="24"/>
          <w:highlight w:val="none"/>
          <w:shd w:val="clear" w:fill="FFFFFF"/>
          <w:lang w:val="en-US" w:eastAsia="zh-CN"/>
        </w:rPr>
        <w:t>专业承包人</w:t>
      </w:r>
      <w:r>
        <w:rPr>
          <w:rFonts w:hint="eastAsia" w:ascii="宋体" w:hAnsi="宋体" w:eastAsia="宋体" w:cs="宋体"/>
          <w:i w:val="0"/>
          <w:iCs w:val="0"/>
          <w:caps w:val="0"/>
          <w:color w:val="auto"/>
          <w:spacing w:val="0"/>
          <w:sz w:val="24"/>
          <w:szCs w:val="24"/>
          <w:highlight w:val="none"/>
          <w:shd w:val="clear" w:fill="FFFFFF"/>
          <w:lang w:val="en-US" w:eastAsia="zh-CN"/>
        </w:rPr>
        <w:t>进场后施工前按照成品保护要求编制项目专项的成品保护</w:t>
      </w:r>
      <w:r>
        <w:rPr>
          <w:rFonts w:hint="eastAsia" w:cs="宋体"/>
          <w:i w:val="0"/>
          <w:iCs w:val="0"/>
          <w:caps w:val="0"/>
          <w:color w:val="auto"/>
          <w:spacing w:val="0"/>
          <w:sz w:val="24"/>
          <w:szCs w:val="24"/>
          <w:highlight w:val="none"/>
          <w:shd w:val="clear" w:fill="FFFFFF"/>
          <w:lang w:val="en-US" w:eastAsia="zh-CN"/>
        </w:rPr>
        <w:t>方案并报</w:t>
      </w:r>
      <w:r>
        <w:rPr>
          <w:rFonts w:hint="eastAsia" w:ascii="宋体" w:hAnsi="宋体" w:eastAsia="宋体" w:cs="宋体"/>
          <w:i w:val="0"/>
          <w:iCs w:val="0"/>
          <w:caps w:val="0"/>
          <w:color w:val="auto"/>
          <w:spacing w:val="0"/>
          <w:sz w:val="24"/>
          <w:szCs w:val="24"/>
          <w:highlight w:val="none"/>
          <w:shd w:val="clear" w:fill="FFFFFF"/>
          <w:lang w:val="en-US" w:eastAsia="zh-CN"/>
        </w:rPr>
        <w:t>监理单位、发包人进行审核审批，并严格按照监理单位、发包人审核后的成品保护方案进行实施。成品保护相关管理要求详见【附件B-7】成品保护标准</w:t>
      </w:r>
    </w:p>
    <w:p w14:paraId="254D0F01">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rFonts w:hint="eastAsia" w:ascii="宋体" w:hAnsi="宋体" w:eastAsia="宋体" w:cs="宋体"/>
          <w:color w:val="auto"/>
          <w:highlight w:val="none"/>
          <w:lang w:val="en-US" w:eastAsia="zh-CN"/>
        </w:rPr>
      </w:pPr>
      <w:r>
        <w:rPr>
          <w:rFonts w:hint="eastAsia" w:ascii="宋体" w:hAnsi="宋体" w:eastAsia="宋体" w:cs="宋体"/>
          <w:i w:val="0"/>
          <w:iCs w:val="0"/>
          <w:caps w:val="0"/>
          <w:color w:val="auto"/>
          <w:spacing w:val="0"/>
          <w:sz w:val="24"/>
          <w:szCs w:val="24"/>
          <w:highlight w:val="none"/>
          <w:shd w:val="clear" w:fill="FFFFFF"/>
          <w:lang w:val="en-US" w:eastAsia="zh-CN"/>
        </w:rPr>
        <w:t>3.3.14.5其他详见附件</w:t>
      </w:r>
      <w:r>
        <w:rPr>
          <w:rFonts w:hint="eastAsia" w:ascii="宋体" w:hAnsi="宋体" w:eastAsia="宋体" w:cs="宋体"/>
          <w:color w:val="auto"/>
          <w:spacing w:val="-3"/>
          <w:sz w:val="24"/>
          <w:szCs w:val="24"/>
          <w:highlight w:val="none"/>
          <w:lang w:eastAsia="zh-CN"/>
        </w:rPr>
        <w:t>【</w:t>
      </w:r>
      <w:r>
        <w:rPr>
          <w:rFonts w:hint="eastAsia" w:ascii="宋体" w:hAnsi="宋体" w:eastAsia="宋体" w:cs="宋体"/>
          <w:color w:val="auto"/>
          <w:spacing w:val="-3"/>
          <w:sz w:val="24"/>
          <w:szCs w:val="24"/>
          <w:highlight w:val="none"/>
        </w:rPr>
        <w:t>B-</w:t>
      </w:r>
      <w:r>
        <w:rPr>
          <w:rFonts w:hint="eastAsia" w:ascii="宋体" w:hAnsi="宋体" w:eastAsia="宋体" w:cs="宋体"/>
          <w:color w:val="auto"/>
          <w:spacing w:val="-3"/>
          <w:sz w:val="24"/>
          <w:szCs w:val="24"/>
          <w:highlight w:val="none"/>
          <w:lang w:val="en-US" w:eastAsia="zh-CN"/>
        </w:rPr>
        <w:t>1</w:t>
      </w:r>
      <w:r>
        <w:rPr>
          <w:rFonts w:hint="eastAsia" w:ascii="宋体" w:hAnsi="宋体" w:eastAsia="宋体" w:cs="宋体"/>
          <w:color w:val="auto"/>
          <w:spacing w:val="-3"/>
          <w:sz w:val="24"/>
          <w:szCs w:val="24"/>
          <w:highlight w:val="none"/>
          <w:lang w:eastAsia="zh-CN"/>
        </w:rPr>
        <w:t>】</w:t>
      </w:r>
      <w:r>
        <w:rPr>
          <w:rFonts w:hint="eastAsia" w:ascii="宋体" w:hAnsi="宋体" w:eastAsia="宋体" w:cs="宋体"/>
          <w:color w:val="auto"/>
          <w:highlight w:val="none"/>
          <w:lang w:val="en-US" w:eastAsia="zh-CN"/>
        </w:rPr>
        <w:t>精装修合约界面分判。</w:t>
      </w:r>
    </w:p>
    <w:p w14:paraId="57B80921">
      <w:pPr>
        <w:rPr>
          <w:rFonts w:hint="eastAsia" w:ascii="宋体" w:hAnsi="宋体" w:eastAsia="宋体"/>
          <w:color w:val="auto"/>
          <w:highlight w:val="none"/>
        </w:rPr>
      </w:pPr>
      <w:r>
        <w:rPr>
          <w:rFonts w:hint="eastAsia" w:ascii="宋体" w:hAnsi="宋体" w:eastAsia="宋体"/>
          <w:color w:val="auto"/>
          <w:highlight w:val="none"/>
        </w:rPr>
        <w:br w:type="page"/>
      </w:r>
    </w:p>
    <w:p w14:paraId="17A51A9D">
      <w:pPr>
        <w:pStyle w:val="3"/>
        <w:bidi w:val="0"/>
        <w:rPr>
          <w:rFonts w:hint="eastAsia" w:ascii="宋体" w:hAnsi="宋体" w:eastAsia="宋体"/>
          <w:color w:val="auto"/>
          <w:highlight w:val="none"/>
        </w:rPr>
      </w:pPr>
      <w:bookmarkStart w:id="62" w:name="_Toc15503"/>
      <w:bookmarkStart w:id="63" w:name="_Toc22570"/>
      <w:bookmarkStart w:id="64" w:name="_Toc153907557"/>
      <w:bookmarkStart w:id="65" w:name="_Toc153907563"/>
      <w:r>
        <w:rPr>
          <w:rFonts w:hint="eastAsia" w:ascii="宋体" w:hAnsi="宋体" w:eastAsia="宋体"/>
          <w:color w:val="auto"/>
          <w:highlight w:val="none"/>
        </w:rPr>
        <w:t>协调配合要求</w:t>
      </w:r>
      <w:bookmarkEnd w:id="62"/>
      <w:bookmarkEnd w:id="63"/>
      <w:bookmarkEnd w:id="64"/>
    </w:p>
    <w:p w14:paraId="3FEA6F6C">
      <w:pPr>
        <w:pStyle w:val="4"/>
        <w:keepNext w:val="0"/>
        <w:keepLines w:val="0"/>
        <w:pageBreakBefore w:val="0"/>
        <w:widowControl w:val="0"/>
        <w:numPr>
          <w:ilvl w:val="1"/>
          <w:numId w:val="9"/>
        </w:numPr>
        <w:kinsoku/>
        <w:wordWrap/>
        <w:overflowPunct/>
        <w:topLinePunct w:val="0"/>
        <w:autoSpaceDE/>
        <w:autoSpaceDN/>
        <w:bidi w:val="0"/>
        <w:spacing w:before="120" w:after="120" w:line="240" w:lineRule="auto"/>
        <w:ind w:firstLineChars="0"/>
        <w:rPr>
          <w:color w:val="auto"/>
          <w:highlight w:val="none"/>
        </w:rPr>
      </w:pPr>
      <w:bookmarkStart w:id="66" w:name="_Toc520245230"/>
      <w:bookmarkEnd w:id="66"/>
      <w:bookmarkStart w:id="67" w:name="_Toc520244602"/>
      <w:bookmarkEnd w:id="67"/>
      <w:bookmarkStart w:id="68" w:name="_Toc9809"/>
      <w:bookmarkStart w:id="69" w:name="_Toc153907558"/>
      <w:bookmarkStart w:id="70" w:name="_Toc19592"/>
      <w:r>
        <w:rPr>
          <w:rFonts w:hint="eastAsia"/>
          <w:color w:val="auto"/>
          <w:highlight w:val="none"/>
        </w:rPr>
        <w:t>与发包人的协调配合</w:t>
      </w:r>
      <w:bookmarkEnd w:id="68"/>
      <w:bookmarkEnd w:id="69"/>
      <w:bookmarkEnd w:id="70"/>
    </w:p>
    <w:p w14:paraId="4E217124">
      <w:pPr>
        <w:pStyle w:val="5"/>
        <w:keepNext w:val="0"/>
        <w:keepLines w:val="0"/>
        <w:pageBreakBefore w:val="0"/>
        <w:widowControl w:val="0"/>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按照合同约定，对发包人负责，执行发包人指令，不得拖延、推诿。</w:t>
      </w:r>
    </w:p>
    <w:p w14:paraId="65FFEDDB">
      <w:pPr>
        <w:pStyle w:val="5"/>
        <w:keepNext w:val="0"/>
        <w:keepLines w:val="0"/>
        <w:pageBreakBefore w:val="0"/>
        <w:widowControl w:val="0"/>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要求定期向发包人提供工程报告，工程报告内容需包含：工程形象进度、计划执行情况、重点施工部位照片、质量和安全文明施工等情况，还应包括对装修区域的其他</w:t>
      </w:r>
      <w:r>
        <w:rPr>
          <w:rFonts w:hint="eastAsia"/>
          <w:color w:val="auto"/>
          <w:highlight w:val="none"/>
          <w:lang w:eastAsia="zh-CN"/>
        </w:rPr>
        <w:t>专业承包人</w:t>
      </w:r>
      <w:r>
        <w:rPr>
          <w:rFonts w:hint="eastAsia"/>
          <w:color w:val="auto"/>
          <w:highlight w:val="none"/>
        </w:rPr>
        <w:t>及自身的评价、进度延期原因分析及措施等内容。此外，</w:t>
      </w:r>
      <w:r>
        <w:rPr>
          <w:rFonts w:hint="eastAsia"/>
          <w:color w:val="auto"/>
          <w:highlight w:val="none"/>
          <w:lang w:eastAsia="zh-CN"/>
        </w:rPr>
        <w:t>专业承包人</w:t>
      </w:r>
      <w:r>
        <w:rPr>
          <w:rFonts w:hint="eastAsia"/>
          <w:color w:val="auto"/>
          <w:highlight w:val="none"/>
        </w:rPr>
        <w:t>需根据发包人要求提供阶段性总结，并采取相关措施，消除上一阶段在工期、质量及安全文明方面存在的问题，保证相关措施的落地。</w:t>
      </w:r>
    </w:p>
    <w:p w14:paraId="12FA28B4">
      <w:pPr>
        <w:pStyle w:val="5"/>
        <w:keepNext w:val="0"/>
        <w:keepLines w:val="0"/>
        <w:pageBreakBefore w:val="0"/>
        <w:widowControl w:val="0"/>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参加由发包人组织的各项例会，并确保会议所达成果的及时落地。</w:t>
      </w:r>
    </w:p>
    <w:p w14:paraId="781B1ADF">
      <w:pPr>
        <w:pStyle w:val="5"/>
        <w:keepNext w:val="0"/>
        <w:keepLines w:val="0"/>
        <w:pageBreakBefore w:val="0"/>
        <w:widowControl w:val="0"/>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对于发包人安排的零星工程，应积极予以配合并负责实施，不得以各种理由进行推脱。</w:t>
      </w:r>
    </w:p>
    <w:p w14:paraId="41745438">
      <w:pPr>
        <w:pStyle w:val="5"/>
        <w:keepNext w:val="0"/>
        <w:keepLines w:val="0"/>
        <w:pageBreakBefore w:val="0"/>
        <w:widowControl w:val="0"/>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在</w:t>
      </w:r>
      <w:r>
        <w:rPr>
          <w:rFonts w:hint="eastAsia"/>
          <w:color w:val="auto"/>
          <w:highlight w:val="none"/>
          <w:lang w:val="en-US" w:eastAsia="zh-CN"/>
        </w:rPr>
        <w:t>精装修</w:t>
      </w:r>
      <w:r>
        <w:rPr>
          <w:rFonts w:hint="eastAsia"/>
          <w:color w:val="auto"/>
          <w:highlight w:val="none"/>
        </w:rPr>
        <w:t>工程不完全具备施工条件时，</w:t>
      </w:r>
      <w:r>
        <w:rPr>
          <w:rFonts w:hint="eastAsia"/>
          <w:color w:val="auto"/>
          <w:highlight w:val="none"/>
          <w:lang w:eastAsia="zh-CN"/>
        </w:rPr>
        <w:t>专业承包人</w:t>
      </w:r>
      <w:r>
        <w:rPr>
          <w:rFonts w:hint="eastAsia"/>
          <w:color w:val="auto"/>
          <w:highlight w:val="none"/>
        </w:rPr>
        <w:t>应该积极准备工程的相应资料，如图纸深化，材料封样，工艺样板等。</w:t>
      </w:r>
    </w:p>
    <w:p w14:paraId="2EEF1345">
      <w:pPr>
        <w:pStyle w:val="5"/>
        <w:keepNext w:val="0"/>
        <w:keepLines w:val="0"/>
        <w:pageBreakBefore w:val="0"/>
        <w:widowControl w:val="0"/>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根据发包人要求，开展有关装修工程备案工作，并确保在发包人要求的时间内通过政府有关部门备案且取得有关的施工许可。</w:t>
      </w:r>
    </w:p>
    <w:p w14:paraId="7C3F6705">
      <w:pPr>
        <w:pStyle w:val="5"/>
        <w:keepNext w:val="0"/>
        <w:keepLines w:val="0"/>
        <w:pageBreakBefore w:val="0"/>
        <w:widowControl w:val="0"/>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要求积极为其他</w:t>
      </w:r>
      <w:r>
        <w:rPr>
          <w:rFonts w:hint="eastAsia"/>
          <w:color w:val="auto"/>
          <w:highlight w:val="none"/>
          <w:lang w:eastAsia="zh-CN"/>
        </w:rPr>
        <w:t>专业承包人</w:t>
      </w:r>
      <w:r>
        <w:rPr>
          <w:rFonts w:hint="eastAsia"/>
          <w:color w:val="auto"/>
          <w:highlight w:val="none"/>
        </w:rPr>
        <w:t>在装修区域施工提供便利。</w:t>
      </w:r>
    </w:p>
    <w:p w14:paraId="475AB84C">
      <w:pPr>
        <w:pStyle w:val="5"/>
        <w:keepNext w:val="0"/>
        <w:keepLines w:val="0"/>
        <w:pageBreakBefore w:val="0"/>
        <w:widowControl w:val="0"/>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应积极配合发包人及相关单位的竣工验收工作，对于验收过程中发现的各项问题必须采取积极措施进行整改，直至达到发包人要求后，方可签署竣工验收合格报告，作为结算条件。</w:t>
      </w:r>
    </w:p>
    <w:p w14:paraId="4C89DF3A">
      <w:pPr>
        <w:pStyle w:val="5"/>
        <w:keepNext w:val="0"/>
        <w:keepLines w:val="0"/>
        <w:pageBreakBefore w:val="0"/>
        <w:widowControl w:val="0"/>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由于</w:t>
      </w:r>
      <w:r>
        <w:rPr>
          <w:rFonts w:hint="eastAsia"/>
          <w:color w:val="auto"/>
          <w:highlight w:val="none"/>
          <w:lang w:eastAsia="zh-CN"/>
        </w:rPr>
        <w:t>专业承包人</w:t>
      </w:r>
      <w:r>
        <w:rPr>
          <w:rFonts w:hint="eastAsia"/>
          <w:color w:val="auto"/>
          <w:highlight w:val="none"/>
        </w:rPr>
        <w:t>原因造成的错误或整改，</w:t>
      </w:r>
      <w:r>
        <w:rPr>
          <w:rFonts w:hint="eastAsia"/>
          <w:color w:val="auto"/>
          <w:highlight w:val="none"/>
          <w:lang w:eastAsia="zh-CN"/>
        </w:rPr>
        <w:t>专业承包人</w:t>
      </w:r>
      <w:r>
        <w:rPr>
          <w:rFonts w:hint="eastAsia"/>
          <w:color w:val="auto"/>
          <w:highlight w:val="none"/>
        </w:rPr>
        <w:t>要编制专门的整改方案，方案经发包人审批后方可执行。</w:t>
      </w:r>
    </w:p>
    <w:p w14:paraId="7C397E55">
      <w:pPr>
        <w:pStyle w:val="4"/>
        <w:keepNext w:val="0"/>
        <w:keepLines w:val="0"/>
        <w:pageBreakBefore w:val="0"/>
        <w:widowControl w:val="0"/>
        <w:numPr>
          <w:ilvl w:val="1"/>
          <w:numId w:val="9"/>
        </w:numPr>
        <w:kinsoku/>
        <w:wordWrap/>
        <w:overflowPunct/>
        <w:topLinePunct w:val="0"/>
        <w:autoSpaceDE/>
        <w:autoSpaceDN/>
        <w:bidi w:val="0"/>
        <w:adjustRightInd/>
        <w:snapToGrid w:val="0"/>
        <w:spacing w:before="0" w:beforeLines="0" w:afterLines="0" w:line="360" w:lineRule="auto"/>
        <w:ind w:firstLineChars="0"/>
        <w:textAlignment w:val="auto"/>
        <w:rPr>
          <w:color w:val="auto"/>
          <w:highlight w:val="none"/>
        </w:rPr>
      </w:pPr>
      <w:bookmarkStart w:id="71" w:name="_Toc30791"/>
      <w:bookmarkStart w:id="72" w:name="_Toc14767"/>
      <w:bookmarkStart w:id="73" w:name="_Toc153907559"/>
      <w:r>
        <w:rPr>
          <w:rFonts w:hint="eastAsia"/>
          <w:color w:val="auto"/>
          <w:highlight w:val="none"/>
        </w:rPr>
        <w:t>与设计人的协调配合</w:t>
      </w:r>
      <w:bookmarkEnd w:id="71"/>
      <w:bookmarkEnd w:id="72"/>
      <w:bookmarkEnd w:id="73"/>
    </w:p>
    <w:p w14:paraId="41B05DD1">
      <w:pPr>
        <w:pStyle w:val="5"/>
        <w:keepNext w:val="0"/>
        <w:keepLines w:val="0"/>
        <w:pageBreakBefore w:val="0"/>
        <w:widowControl w:val="0"/>
        <w:numPr>
          <w:ilvl w:val="2"/>
          <w:numId w:val="0"/>
        </w:numPr>
        <w:kinsoku/>
        <w:wordWrap/>
        <w:overflowPunct/>
        <w:topLinePunct w:val="0"/>
        <w:autoSpaceDE/>
        <w:autoSpaceDN/>
        <w:bidi w:val="0"/>
        <w:adjustRightInd/>
        <w:snapToGrid w:val="0"/>
        <w:ind w:leftChars="0" w:firstLine="480" w:firstLineChars="200"/>
        <w:textAlignment w:val="auto"/>
        <w:rPr>
          <w:color w:val="auto"/>
          <w:highlight w:val="none"/>
        </w:rPr>
      </w:pPr>
      <w:r>
        <w:rPr>
          <w:rFonts w:hint="eastAsia"/>
          <w:color w:val="auto"/>
          <w:highlight w:val="none"/>
          <w:lang w:val="en-US" w:eastAsia="zh-CN"/>
        </w:rPr>
        <w:t>4.2.1</w:t>
      </w:r>
      <w:r>
        <w:rPr>
          <w:rFonts w:hint="eastAsia"/>
          <w:color w:val="auto"/>
          <w:highlight w:val="none"/>
        </w:rPr>
        <w:t>严格按照标准节点绘制构造节点图、深化施工图、二次设计、竣工图等，并报送发包人审核。</w:t>
      </w:r>
    </w:p>
    <w:p w14:paraId="0BC1B0DE">
      <w:pPr>
        <w:pStyle w:val="5"/>
        <w:keepNext w:val="0"/>
        <w:keepLines w:val="0"/>
        <w:pageBreakBefore w:val="0"/>
        <w:widowControl w:val="0"/>
        <w:numPr>
          <w:ilvl w:val="2"/>
          <w:numId w:val="0"/>
        </w:numPr>
        <w:kinsoku/>
        <w:wordWrap/>
        <w:overflowPunct/>
        <w:topLinePunct w:val="0"/>
        <w:autoSpaceDE/>
        <w:autoSpaceDN/>
        <w:bidi w:val="0"/>
        <w:adjustRightInd/>
        <w:snapToGrid w:val="0"/>
        <w:ind w:leftChars="0" w:firstLine="480" w:firstLineChars="200"/>
        <w:textAlignment w:val="auto"/>
        <w:rPr>
          <w:rFonts w:hint="eastAsia"/>
          <w:color w:val="auto"/>
          <w:highlight w:val="none"/>
          <w:lang w:val="en-US" w:eastAsia="zh-CN"/>
        </w:rPr>
      </w:pPr>
      <w:r>
        <w:rPr>
          <w:rFonts w:hint="eastAsia"/>
          <w:color w:val="auto"/>
          <w:highlight w:val="none"/>
          <w:lang w:val="en-US" w:eastAsia="zh-CN"/>
        </w:rPr>
        <w:t>4.2.2在装修工程深化设计工作中，专业承包人要有全局意识，协调各专业承包人的末端设备及造型在最终呈现的饰面上成排成线，布局合理，达到高品质要求。</w:t>
      </w:r>
    </w:p>
    <w:p w14:paraId="22121527">
      <w:pPr>
        <w:pStyle w:val="5"/>
        <w:keepNext w:val="0"/>
        <w:keepLines w:val="0"/>
        <w:pageBreakBefore w:val="0"/>
        <w:widowControl w:val="0"/>
        <w:numPr>
          <w:ilvl w:val="2"/>
          <w:numId w:val="0"/>
        </w:numPr>
        <w:kinsoku/>
        <w:wordWrap/>
        <w:overflowPunct/>
        <w:topLinePunct w:val="0"/>
        <w:autoSpaceDE/>
        <w:autoSpaceDN/>
        <w:bidi w:val="0"/>
        <w:adjustRightInd/>
        <w:snapToGrid w:val="0"/>
        <w:ind w:leftChars="0" w:firstLine="480" w:firstLineChars="200"/>
        <w:textAlignment w:val="auto"/>
        <w:rPr>
          <w:rFonts w:hint="eastAsia"/>
          <w:color w:val="auto"/>
          <w:highlight w:val="none"/>
          <w:lang w:val="en-US" w:eastAsia="zh-CN"/>
        </w:rPr>
      </w:pPr>
      <w:r>
        <w:rPr>
          <w:rFonts w:hint="eastAsia"/>
          <w:color w:val="auto"/>
          <w:highlight w:val="none"/>
          <w:lang w:val="en-US" w:eastAsia="zh-CN"/>
        </w:rPr>
        <w:t>4.2.3在发包人组织图纸会审前，专业承包人须提前了解设计意图，明确质量要求，将图纸上存在的问题和错误以及各专业之间的矛盾等提前汇总，报请发包人、设计人、监理人确认。</w:t>
      </w:r>
    </w:p>
    <w:p w14:paraId="039C9E78">
      <w:pPr>
        <w:pStyle w:val="5"/>
        <w:keepNext w:val="0"/>
        <w:keepLines w:val="0"/>
        <w:pageBreakBefore w:val="0"/>
        <w:widowControl w:val="0"/>
        <w:numPr>
          <w:ilvl w:val="2"/>
          <w:numId w:val="0"/>
        </w:numPr>
        <w:kinsoku/>
        <w:wordWrap/>
        <w:overflowPunct/>
        <w:topLinePunct w:val="0"/>
        <w:autoSpaceDE/>
        <w:autoSpaceDN/>
        <w:bidi w:val="0"/>
        <w:adjustRightInd/>
        <w:snapToGrid w:val="0"/>
        <w:ind w:leftChars="0" w:firstLine="480" w:firstLineChars="200"/>
        <w:textAlignment w:val="auto"/>
        <w:rPr>
          <w:rFonts w:hint="eastAsia"/>
          <w:color w:val="auto"/>
          <w:highlight w:val="none"/>
          <w:lang w:val="en-US" w:eastAsia="zh-CN"/>
        </w:rPr>
      </w:pPr>
      <w:r>
        <w:rPr>
          <w:rFonts w:hint="eastAsia"/>
          <w:color w:val="auto"/>
          <w:highlight w:val="none"/>
          <w:lang w:val="en-US" w:eastAsia="zh-CN"/>
        </w:rPr>
        <w:t>4.2.4装修工程深化设计若涉及幕墙等专项，其资质须符合相关地方政府主管部门及验收要求。</w:t>
      </w:r>
    </w:p>
    <w:p w14:paraId="13D5BF2F">
      <w:pPr>
        <w:pStyle w:val="4"/>
        <w:keepNext w:val="0"/>
        <w:keepLines w:val="0"/>
        <w:pageBreakBefore w:val="0"/>
        <w:widowControl w:val="0"/>
        <w:numPr>
          <w:ilvl w:val="1"/>
          <w:numId w:val="9"/>
        </w:numPr>
        <w:kinsoku/>
        <w:wordWrap/>
        <w:overflowPunct/>
        <w:topLinePunct w:val="0"/>
        <w:autoSpaceDE/>
        <w:autoSpaceDN/>
        <w:bidi w:val="0"/>
        <w:spacing w:before="120" w:after="120" w:line="240" w:lineRule="auto"/>
        <w:ind w:firstLineChars="0"/>
        <w:rPr>
          <w:color w:val="auto"/>
          <w:highlight w:val="none"/>
        </w:rPr>
      </w:pPr>
      <w:bookmarkStart w:id="74" w:name="_Toc11895"/>
      <w:bookmarkStart w:id="75" w:name="_Toc32291"/>
      <w:bookmarkStart w:id="76" w:name="_Toc153907560"/>
      <w:r>
        <w:rPr>
          <w:rFonts w:hint="eastAsia"/>
          <w:color w:val="auto"/>
          <w:highlight w:val="none"/>
        </w:rPr>
        <w:t>与监理人的协调配合</w:t>
      </w:r>
      <w:bookmarkEnd w:id="74"/>
      <w:bookmarkEnd w:id="75"/>
      <w:bookmarkEnd w:id="76"/>
    </w:p>
    <w:p w14:paraId="0B929669">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bCs/>
          <w:color w:val="auto"/>
          <w:highlight w:val="none"/>
        </w:rPr>
      </w:pPr>
      <w:r>
        <w:rPr>
          <w:rFonts w:hint="eastAsia"/>
          <w:bCs/>
          <w:color w:val="auto"/>
          <w:highlight w:val="none"/>
          <w:lang w:val="en-US" w:eastAsia="zh-CN"/>
        </w:rPr>
        <w:t>4.3.1专业承包人</w:t>
      </w:r>
      <w:r>
        <w:rPr>
          <w:rFonts w:hint="eastAsia"/>
          <w:bCs/>
          <w:color w:val="auto"/>
          <w:highlight w:val="none"/>
        </w:rPr>
        <w:t>的管理人员要按时参加监理人例会，例会形成的决议要得到坚决的贯彻执行；除监理人通知外，各种会议纪要、工作联系单等文件也应在规定的时间内进行回复。</w:t>
      </w:r>
    </w:p>
    <w:p w14:paraId="5178F132">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bCs/>
          <w:color w:val="auto"/>
          <w:highlight w:val="none"/>
        </w:rPr>
      </w:pPr>
      <w:r>
        <w:rPr>
          <w:rFonts w:hint="eastAsia"/>
          <w:bCs/>
          <w:color w:val="auto"/>
          <w:highlight w:val="none"/>
          <w:lang w:val="en-US" w:eastAsia="zh-CN"/>
        </w:rPr>
        <w:t>4.3.2</w:t>
      </w:r>
      <w:r>
        <w:rPr>
          <w:rFonts w:hint="eastAsia"/>
          <w:bCs/>
          <w:color w:val="auto"/>
          <w:highlight w:val="none"/>
          <w:lang w:eastAsia="zh-CN"/>
        </w:rPr>
        <w:t>专业承包人</w:t>
      </w:r>
      <w:r>
        <w:rPr>
          <w:rFonts w:hint="eastAsia"/>
          <w:bCs/>
          <w:color w:val="auto"/>
          <w:highlight w:val="none"/>
        </w:rPr>
        <w:t>在本工程合同实施过程中的往来文件、报告必须通过监理人向发包人传递。</w:t>
      </w:r>
    </w:p>
    <w:p w14:paraId="1D3F0EC6">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bCs/>
          <w:color w:val="auto"/>
          <w:highlight w:val="none"/>
        </w:rPr>
      </w:pPr>
      <w:r>
        <w:rPr>
          <w:rFonts w:hint="eastAsia"/>
          <w:bCs/>
          <w:color w:val="auto"/>
          <w:highlight w:val="none"/>
          <w:lang w:val="en-US" w:eastAsia="zh-CN"/>
        </w:rPr>
        <w:t>4.3.3</w:t>
      </w:r>
      <w:r>
        <w:rPr>
          <w:rFonts w:hint="eastAsia"/>
          <w:bCs/>
          <w:color w:val="auto"/>
          <w:highlight w:val="none"/>
        </w:rPr>
        <w:t>对监理人的指令应严格执行并及时回复，如有不同意见，应书面报告监理人并抄送发包人。</w:t>
      </w:r>
    </w:p>
    <w:p w14:paraId="5FF0C1D0">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bCs/>
          <w:color w:val="auto"/>
          <w:highlight w:val="none"/>
        </w:rPr>
      </w:pPr>
      <w:r>
        <w:rPr>
          <w:rFonts w:hint="eastAsia"/>
          <w:bCs/>
          <w:color w:val="auto"/>
          <w:highlight w:val="none"/>
          <w:lang w:val="en-US" w:eastAsia="zh-CN"/>
        </w:rPr>
        <w:t>4.3.4</w:t>
      </w:r>
      <w:r>
        <w:rPr>
          <w:rFonts w:hint="eastAsia"/>
          <w:bCs/>
          <w:color w:val="auto"/>
          <w:highlight w:val="none"/>
          <w:lang w:eastAsia="zh-CN"/>
        </w:rPr>
        <w:t>专业承包人</w:t>
      </w:r>
      <w:r>
        <w:rPr>
          <w:rFonts w:hint="eastAsia"/>
          <w:bCs/>
          <w:color w:val="auto"/>
          <w:highlight w:val="none"/>
        </w:rPr>
        <w:t>必须随时接受监理人对各类工程资料、质量保证体系及运行情况、安全保证体系及运行情况的检查，并派专人协助、督促各</w:t>
      </w:r>
      <w:r>
        <w:rPr>
          <w:rFonts w:hint="eastAsia"/>
          <w:bCs/>
          <w:color w:val="auto"/>
          <w:highlight w:val="none"/>
          <w:lang w:eastAsia="zh-CN"/>
        </w:rPr>
        <w:t>专业承包人</w:t>
      </w:r>
      <w:r>
        <w:rPr>
          <w:rFonts w:hint="eastAsia"/>
          <w:bCs/>
          <w:color w:val="auto"/>
          <w:highlight w:val="none"/>
        </w:rPr>
        <w:t>整理好各类工程资料。</w:t>
      </w:r>
    </w:p>
    <w:p w14:paraId="0E7F9A61">
      <w:pPr>
        <w:pStyle w:val="4"/>
        <w:keepNext w:val="0"/>
        <w:keepLines w:val="0"/>
        <w:pageBreakBefore w:val="0"/>
        <w:widowControl w:val="0"/>
        <w:numPr>
          <w:ilvl w:val="1"/>
          <w:numId w:val="9"/>
        </w:numPr>
        <w:kinsoku/>
        <w:wordWrap/>
        <w:overflowPunct/>
        <w:topLinePunct w:val="0"/>
        <w:autoSpaceDE/>
        <w:autoSpaceDN/>
        <w:bidi w:val="0"/>
        <w:spacing w:before="120" w:after="120" w:line="240" w:lineRule="auto"/>
        <w:ind w:firstLineChars="0"/>
        <w:rPr>
          <w:color w:val="auto"/>
          <w:highlight w:val="none"/>
        </w:rPr>
      </w:pPr>
      <w:bookmarkStart w:id="77" w:name="_Toc153907561"/>
      <w:bookmarkStart w:id="78" w:name="_Toc15622"/>
      <w:bookmarkStart w:id="79" w:name="_Toc23644"/>
      <w:r>
        <w:rPr>
          <w:rFonts w:hint="eastAsia"/>
          <w:color w:val="auto"/>
          <w:highlight w:val="none"/>
        </w:rPr>
        <w:t>与总承包人的协调配合</w:t>
      </w:r>
      <w:bookmarkEnd w:id="77"/>
      <w:bookmarkEnd w:id="78"/>
      <w:bookmarkEnd w:id="79"/>
    </w:p>
    <w:p w14:paraId="11ABB577">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76" w:firstLineChars="200"/>
        <w:jc w:val="left"/>
        <w:textAlignment w:val="auto"/>
        <w:outlineLvl w:val="2"/>
        <w:rPr>
          <w:bCs/>
          <w:color w:val="auto"/>
          <w:highlight w:val="none"/>
        </w:rPr>
      </w:pPr>
      <w:r>
        <w:rPr>
          <w:rFonts w:hint="eastAsia" w:cs="宋体"/>
          <w:color w:val="auto"/>
          <w:spacing w:val="-1"/>
          <w:sz w:val="24"/>
          <w:szCs w:val="24"/>
          <w:highlight w:val="none"/>
          <w:lang w:val="en-US" w:eastAsia="zh-CN"/>
        </w:rPr>
        <w:t>4.4.1</w:t>
      </w:r>
      <w:r>
        <w:rPr>
          <w:rFonts w:ascii="宋体" w:hAnsi="宋体" w:eastAsia="宋体" w:cs="宋体"/>
          <w:color w:val="auto"/>
          <w:spacing w:val="-1"/>
          <w:sz w:val="24"/>
          <w:szCs w:val="24"/>
          <w:highlight w:val="none"/>
        </w:rPr>
        <w:t>照管费由总承包人在投标报价</w:t>
      </w:r>
      <w:r>
        <w:rPr>
          <w:rFonts w:ascii="宋体" w:hAnsi="宋体" w:eastAsia="宋体" w:cs="宋体"/>
          <w:color w:val="auto"/>
          <w:spacing w:val="-2"/>
          <w:sz w:val="24"/>
          <w:szCs w:val="24"/>
          <w:highlight w:val="none"/>
        </w:rPr>
        <w:t>中考虑，发包人统一支付给总承包人，总承包人不得再向</w:t>
      </w:r>
      <w:r>
        <w:rPr>
          <w:rFonts w:hint="eastAsia" w:cs="宋体"/>
          <w:color w:val="auto"/>
          <w:spacing w:val="-2"/>
          <w:sz w:val="24"/>
          <w:szCs w:val="24"/>
          <w:highlight w:val="none"/>
          <w:lang w:eastAsia="zh-CN"/>
        </w:rPr>
        <w:t>专业承包人</w:t>
      </w:r>
      <w:r>
        <w:rPr>
          <w:rFonts w:ascii="宋体" w:hAnsi="宋体" w:eastAsia="宋体" w:cs="宋体"/>
          <w:color w:val="auto"/>
          <w:spacing w:val="-2"/>
          <w:sz w:val="24"/>
          <w:szCs w:val="24"/>
          <w:highlight w:val="none"/>
        </w:rPr>
        <w:t>收取照管费</w:t>
      </w:r>
      <w:r>
        <w:rPr>
          <w:rFonts w:hint="eastAsia"/>
          <w:bCs/>
          <w:color w:val="auto"/>
          <w:highlight w:val="none"/>
        </w:rPr>
        <w:t>。</w:t>
      </w:r>
    </w:p>
    <w:p w14:paraId="190E6140">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bCs/>
          <w:color w:val="auto"/>
          <w:highlight w:val="none"/>
        </w:rPr>
      </w:pPr>
      <w:r>
        <w:rPr>
          <w:rFonts w:hint="eastAsia"/>
          <w:bCs/>
          <w:color w:val="auto"/>
          <w:highlight w:val="none"/>
          <w:lang w:val="en-US" w:eastAsia="zh-CN"/>
        </w:rPr>
        <w:t>4.4.2</w:t>
      </w:r>
      <w:r>
        <w:rPr>
          <w:rFonts w:hint="eastAsia"/>
          <w:bCs/>
          <w:color w:val="auto"/>
          <w:highlight w:val="none"/>
        </w:rPr>
        <w:t>总承包人对</w:t>
      </w:r>
      <w:r>
        <w:rPr>
          <w:rFonts w:hint="eastAsia"/>
          <w:bCs/>
          <w:color w:val="auto"/>
          <w:highlight w:val="none"/>
          <w:lang w:eastAsia="zh-CN"/>
        </w:rPr>
        <w:t>专业承包人</w:t>
      </w:r>
      <w:r>
        <w:rPr>
          <w:rFonts w:hint="eastAsia"/>
          <w:bCs/>
          <w:color w:val="auto"/>
          <w:highlight w:val="none"/>
        </w:rPr>
        <w:t>按照合同要求进行配合、协调及管理。在施工现场照管方面，由总承包人统一进行组织。其范围包括但不限于：临时设施、临时用水、临时用电、临时排污、临时排水、临时通风、施工场地、现场临时道路、施工机械、脚手架、照明、垃圾清运、安全保卫。此外，总承包方可根据实际情况提供冬雨季及特别极端天气所需的特别措施。</w:t>
      </w:r>
    </w:p>
    <w:p w14:paraId="1572D903">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bCs/>
          <w:color w:val="auto"/>
          <w:highlight w:val="none"/>
        </w:rPr>
      </w:pPr>
      <w:r>
        <w:rPr>
          <w:rFonts w:hint="eastAsia"/>
          <w:bCs/>
          <w:color w:val="auto"/>
          <w:highlight w:val="none"/>
          <w:lang w:val="en-US" w:eastAsia="zh-CN"/>
        </w:rPr>
        <w:t>4.4.3</w:t>
      </w:r>
      <w:r>
        <w:rPr>
          <w:rFonts w:hint="eastAsia"/>
          <w:bCs/>
          <w:color w:val="auto"/>
          <w:highlight w:val="none"/>
          <w:lang w:eastAsia="zh-CN"/>
        </w:rPr>
        <w:t>专业承包人</w:t>
      </w:r>
      <w:r>
        <w:rPr>
          <w:rFonts w:hint="eastAsia"/>
          <w:bCs/>
          <w:color w:val="auto"/>
          <w:highlight w:val="none"/>
        </w:rPr>
        <w:t>进场后，必须对总承包人工程等已完成工程进行检验，发现不符合装修施工条件的及时向总承包人、监理单位、发包人提出书面意见。如不提出即进行施工的，不得再以</w:t>
      </w:r>
      <w:r>
        <w:rPr>
          <w:rFonts w:hint="eastAsia"/>
          <w:bCs/>
          <w:color w:val="auto"/>
          <w:highlight w:val="none"/>
          <w:lang w:val="en-US" w:eastAsia="zh-CN"/>
        </w:rPr>
        <w:t>总承包人及其他专业承包人</w:t>
      </w:r>
      <w:r>
        <w:rPr>
          <w:rFonts w:hint="eastAsia"/>
          <w:bCs/>
          <w:color w:val="auto"/>
          <w:highlight w:val="none"/>
        </w:rPr>
        <w:t>工程质量影响装修施工为理由要求降低质量标准、顺延工期或索赔。</w:t>
      </w:r>
    </w:p>
    <w:p w14:paraId="0ABCA954">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bCs/>
          <w:color w:val="auto"/>
          <w:highlight w:val="none"/>
        </w:rPr>
      </w:pPr>
      <w:r>
        <w:rPr>
          <w:rFonts w:hint="eastAsia"/>
          <w:bCs/>
          <w:color w:val="auto"/>
          <w:highlight w:val="none"/>
          <w:lang w:val="en-US" w:eastAsia="zh-CN"/>
        </w:rPr>
        <w:t>4.4.4</w:t>
      </w:r>
      <w:r>
        <w:rPr>
          <w:rFonts w:hint="eastAsia"/>
          <w:bCs/>
          <w:color w:val="auto"/>
          <w:highlight w:val="none"/>
          <w:lang w:eastAsia="zh-CN"/>
        </w:rPr>
        <w:t>专业承包人</w:t>
      </w:r>
      <w:r>
        <w:rPr>
          <w:rFonts w:hint="eastAsia"/>
          <w:bCs/>
          <w:color w:val="auto"/>
          <w:highlight w:val="none"/>
        </w:rPr>
        <w:t>的加工场、现场仓库房以及自行搭建的其他临时设施，由</w:t>
      </w:r>
      <w:r>
        <w:rPr>
          <w:rFonts w:hint="eastAsia"/>
          <w:bCs/>
          <w:color w:val="auto"/>
          <w:highlight w:val="none"/>
          <w:lang w:eastAsia="zh-CN"/>
        </w:rPr>
        <w:t>专业承包人</w:t>
      </w:r>
      <w:r>
        <w:rPr>
          <w:rFonts w:hint="eastAsia"/>
          <w:bCs/>
          <w:color w:val="auto"/>
          <w:highlight w:val="none"/>
        </w:rPr>
        <w:t>负责拆除；对总承包人提供的场地，</w:t>
      </w:r>
      <w:r>
        <w:rPr>
          <w:rFonts w:hint="eastAsia"/>
          <w:bCs/>
          <w:color w:val="auto"/>
          <w:highlight w:val="none"/>
          <w:lang w:eastAsia="zh-CN"/>
        </w:rPr>
        <w:t>专业承包人</w:t>
      </w:r>
      <w:r>
        <w:rPr>
          <w:rFonts w:hint="eastAsia"/>
          <w:bCs/>
          <w:color w:val="auto"/>
          <w:highlight w:val="none"/>
        </w:rPr>
        <w:t>应做好相应的维护维修。</w:t>
      </w:r>
    </w:p>
    <w:p w14:paraId="3BBDAB5F">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bCs/>
          <w:color w:val="auto"/>
          <w:highlight w:val="none"/>
        </w:rPr>
      </w:pPr>
      <w:r>
        <w:rPr>
          <w:rFonts w:hint="eastAsia"/>
          <w:bCs/>
          <w:color w:val="auto"/>
          <w:highlight w:val="none"/>
          <w:lang w:val="en-US" w:eastAsia="zh-CN"/>
        </w:rPr>
        <w:t>4.4.5</w:t>
      </w:r>
      <w:r>
        <w:rPr>
          <w:rFonts w:hint="eastAsia"/>
          <w:bCs/>
          <w:color w:val="auto"/>
          <w:highlight w:val="none"/>
        </w:rPr>
        <w:t>施工现场的临时用水、用电接驳点由总承包人负责提供，由</w:t>
      </w:r>
      <w:r>
        <w:rPr>
          <w:rFonts w:hint="eastAsia"/>
          <w:bCs/>
          <w:color w:val="auto"/>
          <w:highlight w:val="none"/>
          <w:lang w:eastAsia="zh-CN"/>
        </w:rPr>
        <w:t>专业承包人</w:t>
      </w:r>
      <w:r>
        <w:rPr>
          <w:rFonts w:hint="eastAsia"/>
          <w:bCs/>
          <w:color w:val="auto"/>
          <w:highlight w:val="none"/>
        </w:rPr>
        <w:t>负责接驳点至使用点之间管线的敷设、配置及维护，</w:t>
      </w:r>
      <w:r>
        <w:rPr>
          <w:rFonts w:hint="eastAsia"/>
          <w:bCs/>
          <w:color w:val="auto"/>
          <w:highlight w:val="none"/>
          <w:lang w:val="en-US" w:eastAsia="zh-CN"/>
        </w:rPr>
        <w:t>专业承包人自行承担自身精装修施工过程中的全部水费、电费。专业承包人施工过程中产生的水费、电费由专业承包人支付给总承包人，由总承包人向有关部门缴纳施</w:t>
      </w:r>
      <w:r>
        <w:rPr>
          <w:rFonts w:hint="eastAsia"/>
          <w:bCs/>
          <w:color w:val="auto"/>
          <w:highlight w:val="none"/>
        </w:rPr>
        <w:t>工用水、用电的费用，直至</w:t>
      </w:r>
      <w:r>
        <w:rPr>
          <w:rFonts w:hint="eastAsia"/>
          <w:bCs/>
          <w:color w:val="auto"/>
          <w:highlight w:val="none"/>
          <w:lang w:val="en-US" w:eastAsia="zh-CN"/>
        </w:rPr>
        <w:t>项目</w:t>
      </w:r>
      <w:r>
        <w:rPr>
          <w:rFonts w:hint="eastAsia"/>
          <w:bCs/>
          <w:color w:val="auto"/>
          <w:highlight w:val="none"/>
        </w:rPr>
        <w:t>集中交付完成。</w:t>
      </w:r>
    </w:p>
    <w:p w14:paraId="2660F4A2">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bCs/>
          <w:color w:val="auto"/>
          <w:highlight w:val="none"/>
        </w:rPr>
      </w:pPr>
      <w:r>
        <w:rPr>
          <w:rFonts w:hint="eastAsia"/>
          <w:bCs/>
          <w:color w:val="auto"/>
          <w:highlight w:val="none"/>
          <w:lang w:val="en-US" w:eastAsia="zh-CN"/>
        </w:rPr>
        <w:t>4.4.6</w:t>
      </w:r>
      <w:r>
        <w:rPr>
          <w:rFonts w:hint="eastAsia"/>
          <w:bCs/>
          <w:color w:val="auto"/>
          <w:highlight w:val="none"/>
        </w:rPr>
        <w:t>由总承包人指定垃圾收集点，</w:t>
      </w:r>
      <w:r>
        <w:rPr>
          <w:rFonts w:hint="eastAsia"/>
          <w:bCs/>
          <w:color w:val="auto"/>
          <w:highlight w:val="none"/>
          <w:lang w:eastAsia="zh-CN"/>
        </w:rPr>
        <w:t>专业承包人</w:t>
      </w:r>
      <w:r>
        <w:rPr>
          <w:rFonts w:hint="eastAsia"/>
          <w:bCs/>
          <w:color w:val="auto"/>
          <w:highlight w:val="none"/>
        </w:rPr>
        <w:t>将垃圾清理集中至垃圾收集点后，由</w:t>
      </w:r>
      <w:r>
        <w:rPr>
          <w:rFonts w:hint="eastAsia"/>
          <w:bCs/>
          <w:color w:val="auto"/>
          <w:highlight w:val="none"/>
          <w:lang w:val="en-US" w:eastAsia="zh-CN"/>
        </w:rPr>
        <w:t>专业承包人</w:t>
      </w:r>
      <w:r>
        <w:rPr>
          <w:rFonts w:hint="eastAsia"/>
          <w:bCs/>
          <w:color w:val="auto"/>
          <w:highlight w:val="none"/>
        </w:rPr>
        <w:t>及时进行</w:t>
      </w:r>
      <w:r>
        <w:rPr>
          <w:rFonts w:hint="eastAsia"/>
          <w:bCs/>
          <w:color w:val="auto"/>
          <w:highlight w:val="none"/>
          <w:lang w:val="en-US" w:eastAsia="zh-CN"/>
        </w:rPr>
        <w:t>清理及</w:t>
      </w:r>
      <w:r>
        <w:rPr>
          <w:rFonts w:hint="eastAsia"/>
          <w:bCs/>
          <w:color w:val="auto"/>
          <w:highlight w:val="none"/>
        </w:rPr>
        <w:t>外运处理。</w:t>
      </w:r>
    </w:p>
    <w:p w14:paraId="6657FE47">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8" w:firstLineChars="200"/>
        <w:jc w:val="left"/>
        <w:textAlignment w:val="auto"/>
        <w:outlineLvl w:val="2"/>
        <w:rPr>
          <w:bCs/>
          <w:color w:val="auto"/>
          <w:highlight w:val="none"/>
        </w:rPr>
      </w:pPr>
      <w:r>
        <w:rPr>
          <w:rFonts w:hint="eastAsia" w:cs="宋体"/>
          <w:color w:val="auto"/>
          <w:spacing w:val="2"/>
          <w:sz w:val="24"/>
          <w:szCs w:val="24"/>
          <w:highlight w:val="none"/>
          <w:lang w:val="en-US" w:eastAsia="zh-CN"/>
        </w:rPr>
        <w:t>4.4.7专业承包人</w:t>
      </w:r>
      <w:r>
        <w:rPr>
          <w:rFonts w:ascii="宋体" w:hAnsi="宋体" w:eastAsia="宋体" w:cs="宋体"/>
          <w:color w:val="auto"/>
          <w:spacing w:val="2"/>
          <w:sz w:val="24"/>
          <w:szCs w:val="24"/>
          <w:highlight w:val="none"/>
        </w:rPr>
        <w:t>须提供</w:t>
      </w:r>
      <w:r>
        <w:rPr>
          <w:rFonts w:hint="eastAsia" w:ascii="宋体" w:hAnsi="宋体" w:eastAsia="宋体" w:cs="宋体"/>
          <w:color w:val="auto"/>
          <w:spacing w:val="2"/>
          <w:sz w:val="24"/>
          <w:szCs w:val="24"/>
          <w:highlight w:val="none"/>
          <w:lang w:val="en-US" w:eastAsia="zh-CN"/>
        </w:rPr>
        <w:t>精装修工程范围</w:t>
      </w:r>
      <w:r>
        <w:rPr>
          <w:rFonts w:ascii="宋体" w:hAnsi="宋体" w:eastAsia="宋体" w:cs="宋体"/>
          <w:color w:val="auto"/>
          <w:spacing w:val="2"/>
          <w:sz w:val="24"/>
          <w:szCs w:val="24"/>
          <w:highlight w:val="none"/>
        </w:rPr>
        <w:t>内的消防</w:t>
      </w:r>
      <w:r>
        <w:rPr>
          <w:rFonts w:ascii="宋体" w:hAnsi="宋体" w:eastAsia="宋体" w:cs="宋体"/>
          <w:color w:val="auto"/>
          <w:spacing w:val="1"/>
          <w:sz w:val="24"/>
          <w:szCs w:val="24"/>
          <w:highlight w:val="none"/>
        </w:rPr>
        <w:t>应急设施及材料，如：砂、水、灭火器等，以便</w:t>
      </w:r>
      <w:r>
        <w:rPr>
          <w:rFonts w:ascii="宋体" w:hAnsi="宋体" w:eastAsia="宋体" w:cs="宋体"/>
          <w:color w:val="auto"/>
          <w:spacing w:val="-1"/>
          <w:sz w:val="24"/>
          <w:szCs w:val="24"/>
          <w:highlight w:val="none"/>
        </w:rPr>
        <w:t>做好防火、防水、防风及防雨的措施。</w:t>
      </w:r>
    </w:p>
    <w:p w14:paraId="197BAC8C">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bCs/>
          <w:color w:val="auto"/>
          <w:highlight w:val="none"/>
        </w:rPr>
      </w:pPr>
      <w:r>
        <w:rPr>
          <w:rFonts w:hint="eastAsia"/>
          <w:bCs/>
          <w:color w:val="auto"/>
          <w:highlight w:val="none"/>
          <w:lang w:val="en-US" w:eastAsia="zh-CN"/>
        </w:rPr>
        <w:t>4.4.8</w:t>
      </w:r>
      <w:r>
        <w:rPr>
          <w:rFonts w:hint="eastAsia"/>
          <w:bCs/>
          <w:color w:val="auto"/>
          <w:highlight w:val="none"/>
        </w:rPr>
        <w:t>总承包人提供各楼层轴线交点及建筑1米标高线给</w:t>
      </w:r>
      <w:r>
        <w:rPr>
          <w:rFonts w:hint="eastAsia"/>
          <w:bCs/>
          <w:color w:val="auto"/>
          <w:highlight w:val="none"/>
          <w:lang w:eastAsia="zh-CN"/>
        </w:rPr>
        <w:t>专业承包人</w:t>
      </w:r>
      <w:r>
        <w:rPr>
          <w:rFonts w:hint="eastAsia"/>
          <w:bCs/>
          <w:color w:val="auto"/>
          <w:highlight w:val="none"/>
        </w:rPr>
        <w:t>。</w:t>
      </w:r>
      <w:r>
        <w:rPr>
          <w:rFonts w:hint="eastAsia"/>
          <w:bCs/>
          <w:color w:val="auto"/>
          <w:highlight w:val="none"/>
          <w:lang w:eastAsia="zh-CN"/>
        </w:rPr>
        <w:t>专业承包人</w:t>
      </w:r>
      <w:r>
        <w:rPr>
          <w:rFonts w:hint="eastAsia"/>
          <w:bCs/>
          <w:color w:val="auto"/>
          <w:highlight w:val="none"/>
        </w:rPr>
        <w:t>施工前，须全面复核轴线、标高（包括但不限于结构标高）等基准线是否准确。</w:t>
      </w:r>
    </w:p>
    <w:p w14:paraId="0695B77C">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2"/>
        <w:rPr>
          <w:bCs/>
          <w:color w:val="auto"/>
          <w:highlight w:val="none"/>
        </w:rPr>
      </w:pPr>
      <w:r>
        <w:rPr>
          <w:rFonts w:hint="eastAsia"/>
          <w:bCs/>
          <w:color w:val="auto"/>
          <w:highlight w:val="none"/>
          <w:lang w:val="en-US" w:eastAsia="zh-CN"/>
        </w:rPr>
        <w:t>4.4.9</w:t>
      </w:r>
      <w:r>
        <w:rPr>
          <w:rFonts w:hint="eastAsia"/>
          <w:bCs/>
          <w:color w:val="auto"/>
          <w:highlight w:val="none"/>
        </w:rPr>
        <w:t>总承包人为</w:t>
      </w:r>
      <w:r>
        <w:rPr>
          <w:rFonts w:hint="eastAsia"/>
          <w:bCs/>
          <w:color w:val="auto"/>
          <w:highlight w:val="none"/>
          <w:lang w:eastAsia="zh-CN"/>
        </w:rPr>
        <w:t>专业承包人</w:t>
      </w:r>
      <w:r>
        <w:rPr>
          <w:rFonts w:hint="eastAsia"/>
          <w:bCs/>
          <w:color w:val="auto"/>
          <w:highlight w:val="none"/>
        </w:rPr>
        <w:t>提供地下室、消防楼梯和通道等施工区域安全照明，</w:t>
      </w:r>
      <w:r>
        <w:rPr>
          <w:rFonts w:hint="eastAsia"/>
          <w:bCs/>
          <w:color w:val="auto"/>
          <w:highlight w:val="none"/>
          <w:lang w:eastAsia="zh-CN"/>
        </w:rPr>
        <w:t>专业承包人</w:t>
      </w:r>
      <w:r>
        <w:rPr>
          <w:rFonts w:hint="eastAsia"/>
          <w:bCs/>
          <w:color w:val="auto"/>
          <w:highlight w:val="none"/>
        </w:rPr>
        <w:t>负责在装修区域标段内施工照明。</w:t>
      </w:r>
    </w:p>
    <w:p w14:paraId="7DCD4DF8">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spacing w:line="360" w:lineRule="auto"/>
        <w:ind w:leftChars="0" w:firstLine="480" w:firstLineChars="200"/>
        <w:jc w:val="left"/>
        <w:textAlignment w:val="auto"/>
        <w:outlineLvl w:val="2"/>
        <w:rPr>
          <w:bCs/>
          <w:color w:val="auto"/>
          <w:highlight w:val="none"/>
        </w:rPr>
      </w:pPr>
      <w:r>
        <w:rPr>
          <w:rFonts w:hint="eastAsia"/>
          <w:bCs/>
          <w:color w:val="auto"/>
          <w:highlight w:val="none"/>
          <w:lang w:val="en-US" w:eastAsia="zh-CN"/>
        </w:rPr>
        <w:t>4.4.10</w:t>
      </w:r>
      <w:r>
        <w:rPr>
          <w:rFonts w:hint="eastAsia"/>
          <w:bCs/>
          <w:color w:val="auto"/>
          <w:highlight w:val="none"/>
          <w:lang w:eastAsia="zh-CN"/>
        </w:rPr>
        <w:t>专业承包人</w:t>
      </w:r>
      <w:r>
        <w:rPr>
          <w:rFonts w:hint="eastAsia"/>
          <w:bCs/>
          <w:color w:val="auto"/>
          <w:highlight w:val="none"/>
        </w:rPr>
        <w:t>须服从总承包人统筹安排及管理。</w:t>
      </w:r>
    </w:p>
    <w:p w14:paraId="551F7259">
      <w:pPr>
        <w:pStyle w:val="4"/>
        <w:keepNext w:val="0"/>
        <w:keepLines w:val="0"/>
        <w:pageBreakBefore w:val="0"/>
        <w:widowControl w:val="0"/>
        <w:numPr>
          <w:ilvl w:val="1"/>
          <w:numId w:val="9"/>
        </w:numPr>
        <w:kinsoku/>
        <w:wordWrap/>
        <w:overflowPunct/>
        <w:topLinePunct w:val="0"/>
        <w:autoSpaceDE/>
        <w:autoSpaceDN/>
        <w:bidi w:val="0"/>
        <w:adjustRightInd/>
        <w:snapToGrid w:val="0"/>
        <w:spacing w:before="0" w:beforeLines="0" w:afterLines="0" w:line="360" w:lineRule="auto"/>
        <w:ind w:firstLineChars="0"/>
        <w:textAlignment w:val="auto"/>
        <w:rPr>
          <w:color w:val="auto"/>
          <w:highlight w:val="none"/>
        </w:rPr>
      </w:pPr>
      <w:bookmarkStart w:id="80" w:name="_Toc526942446"/>
      <w:bookmarkStart w:id="81" w:name="_Toc995"/>
      <w:bookmarkStart w:id="82" w:name="_Toc11043"/>
      <w:bookmarkStart w:id="83" w:name="_Toc503543538"/>
      <w:bookmarkStart w:id="84" w:name="_Toc153907562"/>
      <w:bookmarkStart w:id="85" w:name="_Toc499546280"/>
      <w:r>
        <w:rPr>
          <w:rFonts w:hint="eastAsia"/>
          <w:color w:val="auto"/>
          <w:highlight w:val="none"/>
        </w:rPr>
        <w:t>装修</w:t>
      </w:r>
      <w:r>
        <w:rPr>
          <w:rFonts w:hint="eastAsia"/>
          <w:color w:val="auto"/>
          <w:highlight w:val="none"/>
          <w:lang w:eastAsia="zh-CN"/>
        </w:rPr>
        <w:t>专业承包人</w:t>
      </w:r>
      <w:r>
        <w:rPr>
          <w:rFonts w:hint="eastAsia"/>
          <w:color w:val="auto"/>
          <w:highlight w:val="none"/>
        </w:rPr>
        <w:t>对装修区域各单位的协调与管理要求</w:t>
      </w:r>
      <w:bookmarkEnd w:id="80"/>
      <w:bookmarkEnd w:id="81"/>
      <w:bookmarkEnd w:id="82"/>
      <w:bookmarkEnd w:id="83"/>
      <w:bookmarkEnd w:id="84"/>
      <w:bookmarkEnd w:id="85"/>
    </w:p>
    <w:p w14:paraId="19317FB4">
      <w:pPr>
        <w:keepNext w:val="0"/>
        <w:keepLines w:val="0"/>
        <w:pageBreakBefore w:val="0"/>
        <w:widowControl w:val="0"/>
        <w:numPr>
          <w:ilvl w:val="2"/>
          <w:numId w:val="10"/>
        </w:numPr>
        <w:kinsoku/>
        <w:wordWrap/>
        <w:overflowPunct/>
        <w:topLinePunct w:val="0"/>
        <w:autoSpaceDE/>
        <w:autoSpaceDN/>
        <w:bidi w:val="0"/>
        <w:adjustRightInd/>
        <w:snapToGrid w:val="0"/>
        <w:ind w:firstLine="480" w:firstLineChars="200"/>
        <w:textAlignment w:val="auto"/>
        <w:outlineLvl w:val="2"/>
        <w:rPr>
          <w:color w:val="auto"/>
          <w:highlight w:val="none"/>
        </w:rPr>
      </w:pPr>
      <w:bookmarkStart w:id="86" w:name="_Toc520387365"/>
      <w:bookmarkStart w:id="87" w:name="_Toc524082838"/>
      <w:bookmarkStart w:id="88" w:name="_Toc528161422"/>
      <w:bookmarkStart w:id="89" w:name="_Toc523308041"/>
      <w:bookmarkStart w:id="90" w:name="_Toc526942447"/>
      <w:bookmarkStart w:id="91" w:name="_Toc503543539"/>
      <w:bookmarkStart w:id="92" w:name="_Toc499546281"/>
      <w:r>
        <w:rPr>
          <w:rFonts w:hint="eastAsia"/>
          <w:color w:val="auto"/>
          <w:highlight w:val="none"/>
        </w:rPr>
        <w:t>关于装修</w:t>
      </w:r>
      <w:r>
        <w:rPr>
          <w:rFonts w:hint="eastAsia"/>
          <w:color w:val="auto"/>
          <w:highlight w:val="none"/>
          <w:lang w:eastAsia="zh-CN"/>
        </w:rPr>
        <w:t>专业承包人</w:t>
      </w:r>
      <w:r>
        <w:rPr>
          <w:rFonts w:hint="eastAsia"/>
          <w:color w:val="auto"/>
          <w:highlight w:val="none"/>
        </w:rPr>
        <w:t>的责任与义务的说明</w:t>
      </w:r>
      <w:bookmarkEnd w:id="86"/>
      <w:bookmarkEnd w:id="87"/>
      <w:bookmarkEnd w:id="88"/>
      <w:bookmarkEnd w:id="89"/>
      <w:bookmarkEnd w:id="90"/>
      <w:bookmarkEnd w:id="91"/>
    </w:p>
    <w:p w14:paraId="546919F7">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200"/>
        <w:jc w:val="left"/>
        <w:textAlignment w:val="auto"/>
        <w:outlineLvl w:val="3"/>
        <w:rPr>
          <w:bCs/>
          <w:color w:val="auto"/>
          <w:highlight w:val="none"/>
        </w:rPr>
      </w:pPr>
      <w:r>
        <w:rPr>
          <w:rFonts w:hint="eastAsia"/>
          <w:bCs/>
          <w:color w:val="auto"/>
          <w:highlight w:val="none"/>
          <w:lang w:val="en-US" w:eastAsia="zh-CN"/>
        </w:rPr>
        <w:t>4.5.1.1</w:t>
      </w:r>
      <w:r>
        <w:rPr>
          <w:rFonts w:hint="eastAsia"/>
          <w:bCs/>
          <w:color w:val="auto"/>
          <w:highlight w:val="none"/>
        </w:rPr>
        <w:t>协调与管理范围</w:t>
      </w:r>
    </w:p>
    <w:p w14:paraId="398E1518">
      <w:pPr>
        <w:pStyle w:val="36"/>
        <w:keepNext w:val="0"/>
        <w:keepLines w:val="0"/>
        <w:pageBreakBefore w:val="0"/>
        <w:widowControl w:val="0"/>
        <w:kinsoku/>
        <w:wordWrap/>
        <w:overflowPunct/>
        <w:topLinePunct w:val="0"/>
        <w:autoSpaceDE/>
        <w:autoSpaceDN/>
        <w:bidi w:val="0"/>
        <w:adjustRightInd/>
        <w:snapToGrid w:val="0"/>
        <w:ind w:firstLine="480"/>
        <w:jc w:val="left"/>
        <w:textAlignment w:val="auto"/>
        <w:rPr>
          <w:color w:val="auto"/>
          <w:highlight w:val="none"/>
        </w:rPr>
      </w:pPr>
      <w:r>
        <w:rPr>
          <w:rFonts w:hint="eastAsia"/>
          <w:color w:val="auto"/>
          <w:highlight w:val="none"/>
          <w:lang w:eastAsia="zh-CN"/>
        </w:rPr>
        <w:t>专业承包人</w:t>
      </w:r>
      <w:r>
        <w:rPr>
          <w:rFonts w:hint="eastAsia"/>
          <w:color w:val="auto"/>
          <w:highlight w:val="none"/>
        </w:rPr>
        <w:t>是指</w:t>
      </w:r>
      <w:r>
        <w:rPr>
          <w:rFonts w:hint="eastAsia"/>
          <w:color w:val="auto"/>
          <w:highlight w:val="none"/>
          <w:lang w:val="en-US" w:eastAsia="zh-CN"/>
        </w:rPr>
        <w:t>承包</w:t>
      </w:r>
      <w:r>
        <w:rPr>
          <w:rFonts w:hint="eastAsia"/>
          <w:color w:val="auto"/>
          <w:highlight w:val="none"/>
        </w:rPr>
        <w:t>单位一旦中标后将成为本</w:t>
      </w:r>
      <w:r>
        <w:rPr>
          <w:rFonts w:hint="eastAsia"/>
          <w:color w:val="auto"/>
          <w:highlight w:val="none"/>
          <w:lang w:val="en-US" w:eastAsia="zh-CN"/>
        </w:rPr>
        <w:t>精装修工程承包范围内</w:t>
      </w:r>
      <w:r>
        <w:rPr>
          <w:rFonts w:hint="eastAsia"/>
          <w:color w:val="auto"/>
          <w:highlight w:val="none"/>
        </w:rPr>
        <w:t>相关</w:t>
      </w:r>
      <w:r>
        <w:rPr>
          <w:rFonts w:hint="eastAsia"/>
          <w:color w:val="auto"/>
          <w:highlight w:val="none"/>
          <w:lang w:val="en-US" w:eastAsia="zh-CN"/>
        </w:rPr>
        <w:t>承</w:t>
      </w:r>
      <w:r>
        <w:rPr>
          <w:rFonts w:hint="eastAsia"/>
          <w:color w:val="auto"/>
          <w:highlight w:val="none"/>
        </w:rPr>
        <w:t>包现场工作的统筹管理者。</w:t>
      </w:r>
      <w:r>
        <w:rPr>
          <w:rFonts w:hint="eastAsia"/>
          <w:color w:val="auto"/>
          <w:highlight w:val="none"/>
          <w:lang w:eastAsia="zh-CN"/>
        </w:rPr>
        <w:t>专业承包人</w:t>
      </w:r>
      <w:r>
        <w:rPr>
          <w:rFonts w:hint="eastAsia"/>
          <w:color w:val="auto"/>
          <w:highlight w:val="none"/>
        </w:rPr>
        <w:t>须对其</w:t>
      </w:r>
      <w:r>
        <w:rPr>
          <w:rFonts w:hint="eastAsia"/>
          <w:color w:val="auto"/>
          <w:highlight w:val="none"/>
          <w:lang w:val="en-US" w:eastAsia="zh-CN"/>
        </w:rPr>
        <w:t>承包范围</w:t>
      </w:r>
      <w:r>
        <w:rPr>
          <w:rFonts w:hint="eastAsia"/>
          <w:color w:val="auto"/>
          <w:highlight w:val="none"/>
        </w:rPr>
        <w:t>内各专业</w:t>
      </w:r>
      <w:r>
        <w:rPr>
          <w:rFonts w:hint="eastAsia"/>
          <w:color w:val="auto"/>
          <w:highlight w:val="none"/>
          <w:lang w:eastAsia="zh-CN"/>
        </w:rPr>
        <w:t>承</w:t>
      </w:r>
      <w:r>
        <w:rPr>
          <w:rFonts w:hint="eastAsia"/>
          <w:color w:val="auto"/>
          <w:highlight w:val="none"/>
        </w:rPr>
        <w:t>包等统一协调管理，负责照管各专业</w:t>
      </w:r>
      <w:r>
        <w:rPr>
          <w:rFonts w:hint="eastAsia"/>
          <w:color w:val="auto"/>
          <w:highlight w:val="none"/>
          <w:lang w:eastAsia="zh-CN"/>
        </w:rPr>
        <w:t>承</w:t>
      </w:r>
      <w:r>
        <w:rPr>
          <w:rFonts w:hint="eastAsia"/>
          <w:color w:val="auto"/>
          <w:highlight w:val="none"/>
        </w:rPr>
        <w:t>包人或供应商等的一切工作。包括但不限于木地板、洁具、灯具、户内门、入户门、空调、门窗、栏杆、电梯、幕墙、活动家具、燃气、弱电（含通讯运营商）、消防等一切在装修</w:t>
      </w:r>
      <w:r>
        <w:rPr>
          <w:rFonts w:hint="eastAsia"/>
          <w:color w:val="auto"/>
          <w:highlight w:val="none"/>
          <w:lang w:eastAsia="zh-CN"/>
        </w:rPr>
        <w:t>承</w:t>
      </w:r>
      <w:r>
        <w:rPr>
          <w:rFonts w:hint="eastAsia"/>
          <w:color w:val="auto"/>
          <w:highlight w:val="none"/>
        </w:rPr>
        <w:t>包区域内供货或</w:t>
      </w:r>
      <w:r>
        <w:rPr>
          <w:rFonts w:hint="eastAsia"/>
          <w:color w:val="auto"/>
          <w:highlight w:val="none"/>
          <w:lang w:val="en-US" w:eastAsia="zh-CN"/>
        </w:rPr>
        <w:t>专业承包人</w:t>
      </w:r>
      <w:r>
        <w:rPr>
          <w:rFonts w:hint="eastAsia"/>
          <w:color w:val="auto"/>
          <w:highlight w:val="none"/>
        </w:rPr>
        <w:t>。照管工作包括但不限于物资管理、进度管理、技术管理、质量管理、施工照管、运输照管、安全管理及成品保护等工作，但安全文明施工应服从总承包人的现场统一管理。</w:t>
      </w:r>
    </w:p>
    <w:p w14:paraId="20E6E1E5">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200"/>
        <w:jc w:val="left"/>
        <w:textAlignment w:val="auto"/>
        <w:outlineLvl w:val="3"/>
        <w:rPr>
          <w:rFonts w:hint="eastAsia"/>
          <w:bCs/>
          <w:color w:val="auto"/>
          <w:highlight w:val="none"/>
          <w:lang w:val="en-US" w:eastAsia="zh-CN"/>
        </w:rPr>
      </w:pPr>
      <w:r>
        <w:rPr>
          <w:rFonts w:hint="eastAsia"/>
          <w:bCs/>
          <w:color w:val="auto"/>
          <w:highlight w:val="none"/>
          <w:lang w:val="en-US" w:eastAsia="zh-CN"/>
        </w:rPr>
        <w:t>4.5.1.2协调与管理时间</w:t>
      </w:r>
    </w:p>
    <w:p w14:paraId="20C6A8FF">
      <w:pPr>
        <w:pStyle w:val="36"/>
        <w:keepNext w:val="0"/>
        <w:keepLines w:val="0"/>
        <w:pageBreakBefore w:val="0"/>
        <w:widowControl w:val="0"/>
        <w:kinsoku/>
        <w:wordWrap/>
        <w:overflowPunct/>
        <w:topLinePunct w:val="0"/>
        <w:autoSpaceDE/>
        <w:autoSpaceDN/>
        <w:bidi w:val="0"/>
        <w:adjustRightInd/>
        <w:snapToGrid w:val="0"/>
        <w:ind w:firstLine="480"/>
        <w:jc w:val="left"/>
        <w:textAlignment w:val="auto"/>
        <w:rPr>
          <w:color w:val="auto"/>
          <w:highlight w:val="none"/>
        </w:rPr>
      </w:pPr>
      <w:r>
        <w:rPr>
          <w:rFonts w:hint="eastAsia"/>
          <w:color w:val="auto"/>
          <w:highlight w:val="none"/>
        </w:rPr>
        <w:t>装修</w:t>
      </w:r>
      <w:r>
        <w:rPr>
          <w:rFonts w:hint="eastAsia"/>
          <w:color w:val="auto"/>
          <w:highlight w:val="none"/>
          <w:lang w:eastAsia="zh-CN"/>
        </w:rPr>
        <w:t>专业承包人</w:t>
      </w:r>
      <w:r>
        <w:rPr>
          <w:rFonts w:hint="eastAsia"/>
          <w:color w:val="auto"/>
          <w:highlight w:val="none"/>
        </w:rPr>
        <w:t>照管职责自进场之日起，到交付完成止。</w:t>
      </w:r>
    </w:p>
    <w:p w14:paraId="63AAF0AC">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200"/>
        <w:jc w:val="left"/>
        <w:textAlignment w:val="auto"/>
        <w:outlineLvl w:val="3"/>
        <w:rPr>
          <w:rFonts w:hint="eastAsia"/>
          <w:bCs/>
          <w:color w:val="auto"/>
          <w:highlight w:val="none"/>
          <w:lang w:val="en-US" w:eastAsia="zh-CN"/>
        </w:rPr>
      </w:pPr>
      <w:r>
        <w:rPr>
          <w:rFonts w:hint="eastAsia"/>
          <w:bCs/>
          <w:color w:val="auto"/>
          <w:highlight w:val="none"/>
          <w:lang w:val="en-US" w:eastAsia="zh-CN"/>
        </w:rPr>
        <w:t>4.5.1.3协调与管理费用</w:t>
      </w:r>
    </w:p>
    <w:p w14:paraId="7892DEDA">
      <w:pPr>
        <w:pStyle w:val="36"/>
        <w:keepNext w:val="0"/>
        <w:keepLines w:val="0"/>
        <w:pageBreakBefore w:val="0"/>
        <w:widowControl w:val="0"/>
        <w:kinsoku/>
        <w:wordWrap/>
        <w:overflowPunct/>
        <w:topLinePunct w:val="0"/>
        <w:autoSpaceDE/>
        <w:autoSpaceDN/>
        <w:bidi w:val="0"/>
        <w:adjustRightInd/>
        <w:snapToGrid w:val="0"/>
        <w:ind w:firstLine="480"/>
        <w:jc w:val="left"/>
        <w:textAlignment w:val="auto"/>
        <w:rPr>
          <w:color w:val="auto"/>
          <w:highlight w:val="none"/>
        </w:rPr>
      </w:pPr>
      <w:r>
        <w:rPr>
          <w:rFonts w:hint="eastAsia"/>
          <w:color w:val="auto"/>
          <w:highlight w:val="none"/>
          <w:lang w:eastAsia="zh-CN"/>
        </w:rPr>
        <w:t>专业承包人</w:t>
      </w:r>
      <w:r>
        <w:rPr>
          <w:rFonts w:hint="eastAsia"/>
          <w:color w:val="auto"/>
          <w:highlight w:val="none"/>
        </w:rPr>
        <w:t>在该标段内所产生的协调与管理费用，</w:t>
      </w:r>
      <w:r>
        <w:rPr>
          <w:rFonts w:hint="eastAsia"/>
          <w:color w:val="auto"/>
          <w:highlight w:val="none"/>
          <w:lang w:val="en-US" w:eastAsia="zh-CN"/>
        </w:rPr>
        <w:t>专业承包人</w:t>
      </w:r>
      <w:r>
        <w:rPr>
          <w:rFonts w:hint="eastAsia"/>
          <w:color w:val="auto"/>
          <w:highlight w:val="none"/>
        </w:rPr>
        <w:t>需在投标时充分考虑和预估。</w:t>
      </w:r>
    </w:p>
    <w:p w14:paraId="44DE80AD">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200"/>
        <w:jc w:val="left"/>
        <w:textAlignment w:val="auto"/>
        <w:outlineLvl w:val="3"/>
        <w:rPr>
          <w:rFonts w:hint="eastAsia"/>
          <w:bCs/>
          <w:color w:val="auto"/>
          <w:highlight w:val="none"/>
          <w:lang w:val="en-US" w:eastAsia="zh-CN"/>
        </w:rPr>
      </w:pPr>
      <w:r>
        <w:rPr>
          <w:rFonts w:hint="eastAsia"/>
          <w:bCs/>
          <w:color w:val="auto"/>
          <w:highlight w:val="none"/>
          <w:lang w:val="en-US" w:eastAsia="zh-CN"/>
        </w:rPr>
        <w:t>4.5.1.4施工临时用电</w:t>
      </w:r>
    </w:p>
    <w:p w14:paraId="3A0DB668">
      <w:pPr>
        <w:pStyle w:val="36"/>
        <w:keepNext w:val="0"/>
        <w:keepLines w:val="0"/>
        <w:pageBreakBefore w:val="0"/>
        <w:widowControl w:val="0"/>
        <w:kinsoku/>
        <w:wordWrap/>
        <w:overflowPunct/>
        <w:topLinePunct w:val="0"/>
        <w:autoSpaceDE/>
        <w:autoSpaceDN/>
        <w:bidi w:val="0"/>
        <w:adjustRightInd/>
        <w:snapToGrid w:val="0"/>
        <w:ind w:firstLine="480"/>
        <w:jc w:val="left"/>
        <w:textAlignment w:val="auto"/>
        <w:rPr>
          <w:rFonts w:hint="default" w:eastAsia="宋体"/>
          <w:color w:val="auto"/>
          <w:highlight w:val="none"/>
          <w:lang w:val="en-US" w:eastAsia="zh-CN"/>
        </w:rPr>
      </w:pPr>
      <w:r>
        <w:rPr>
          <w:rFonts w:hint="eastAsia"/>
          <w:color w:val="auto"/>
          <w:highlight w:val="none"/>
          <w:lang w:eastAsia="zh-CN"/>
        </w:rPr>
        <w:t>专业承包人</w:t>
      </w:r>
      <w:r>
        <w:rPr>
          <w:rFonts w:hint="eastAsia"/>
          <w:color w:val="auto"/>
          <w:highlight w:val="none"/>
        </w:rPr>
        <w:t>需负责从总承包人提供的用电接驳箱后按装修区域用电需求设置二级、三级配电箱（以现场实际为准），在施工前提出施工用电计划，经总承包人、监理人审核后确定三级配电箱的位置与数量及材质，以确保</w:t>
      </w:r>
      <w:r>
        <w:rPr>
          <w:rFonts w:hint="eastAsia"/>
          <w:color w:val="auto"/>
          <w:highlight w:val="none"/>
          <w:lang w:val="en-US" w:eastAsia="zh-CN"/>
        </w:rPr>
        <w:t>施工</w:t>
      </w:r>
      <w:r>
        <w:rPr>
          <w:rFonts w:hint="eastAsia"/>
          <w:color w:val="auto"/>
          <w:highlight w:val="none"/>
        </w:rPr>
        <w:t>用电需求，</w:t>
      </w:r>
      <w:r>
        <w:rPr>
          <w:rFonts w:hint="eastAsia"/>
          <w:color w:val="auto"/>
          <w:highlight w:val="none"/>
          <w:lang w:eastAsia="zh-CN"/>
        </w:rPr>
        <w:t>专业承包人</w:t>
      </w:r>
      <w:r>
        <w:rPr>
          <w:rFonts w:hint="eastAsia"/>
          <w:color w:val="auto"/>
          <w:highlight w:val="none"/>
        </w:rPr>
        <w:t>配电箱需提供给装修区域专业</w:t>
      </w:r>
      <w:r>
        <w:rPr>
          <w:rFonts w:hint="eastAsia"/>
          <w:color w:val="auto"/>
          <w:highlight w:val="none"/>
          <w:lang w:eastAsia="zh-CN"/>
        </w:rPr>
        <w:t>承</w:t>
      </w:r>
      <w:r>
        <w:rPr>
          <w:rFonts w:hint="eastAsia"/>
          <w:color w:val="auto"/>
          <w:highlight w:val="none"/>
        </w:rPr>
        <w:t>包人使用。</w:t>
      </w:r>
    </w:p>
    <w:p w14:paraId="15D3B31C">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200"/>
        <w:jc w:val="left"/>
        <w:textAlignment w:val="auto"/>
        <w:outlineLvl w:val="3"/>
        <w:rPr>
          <w:rFonts w:hint="eastAsia"/>
          <w:bCs/>
          <w:color w:val="auto"/>
          <w:highlight w:val="none"/>
          <w:lang w:val="en-US" w:eastAsia="zh-CN"/>
        </w:rPr>
      </w:pPr>
      <w:r>
        <w:rPr>
          <w:rFonts w:hint="eastAsia"/>
          <w:bCs/>
          <w:color w:val="auto"/>
          <w:highlight w:val="none"/>
          <w:lang w:val="en-US" w:eastAsia="zh-CN"/>
        </w:rPr>
        <w:t>4.5.1.5施工临时用水</w:t>
      </w:r>
    </w:p>
    <w:p w14:paraId="712BA826">
      <w:pPr>
        <w:pStyle w:val="36"/>
        <w:keepNext w:val="0"/>
        <w:keepLines w:val="0"/>
        <w:pageBreakBefore w:val="0"/>
        <w:widowControl w:val="0"/>
        <w:kinsoku/>
        <w:wordWrap/>
        <w:overflowPunct/>
        <w:topLinePunct w:val="0"/>
        <w:autoSpaceDE/>
        <w:autoSpaceDN/>
        <w:bidi w:val="0"/>
        <w:adjustRightInd/>
        <w:snapToGrid w:val="0"/>
        <w:ind w:firstLine="480"/>
        <w:jc w:val="left"/>
        <w:textAlignment w:val="auto"/>
        <w:rPr>
          <w:color w:val="auto"/>
          <w:highlight w:val="none"/>
        </w:rPr>
      </w:pPr>
      <w:r>
        <w:rPr>
          <w:rFonts w:hint="eastAsia"/>
          <w:color w:val="auto"/>
          <w:highlight w:val="none"/>
        </w:rPr>
        <w:t>总承包人为</w:t>
      </w:r>
      <w:r>
        <w:rPr>
          <w:rFonts w:hint="eastAsia"/>
          <w:color w:val="auto"/>
          <w:highlight w:val="none"/>
          <w:lang w:eastAsia="zh-CN"/>
        </w:rPr>
        <w:t>专业承包人</w:t>
      </w:r>
      <w:r>
        <w:rPr>
          <w:rFonts w:hint="eastAsia"/>
          <w:color w:val="auto"/>
          <w:highlight w:val="none"/>
        </w:rPr>
        <w:t>提供临水接驳点，从接驳点至施工现场的临水管线由</w:t>
      </w:r>
      <w:r>
        <w:rPr>
          <w:rFonts w:hint="eastAsia"/>
          <w:color w:val="auto"/>
          <w:highlight w:val="none"/>
          <w:lang w:eastAsia="zh-CN"/>
        </w:rPr>
        <w:t>专业承包人</w:t>
      </w:r>
      <w:r>
        <w:rPr>
          <w:rFonts w:hint="eastAsia"/>
          <w:color w:val="auto"/>
          <w:highlight w:val="none"/>
        </w:rPr>
        <w:t>按照经总承包人同意后的临水方案要求铺设。施工用水须排放至指定地点。</w:t>
      </w:r>
      <w:r>
        <w:rPr>
          <w:rFonts w:hint="eastAsia"/>
          <w:color w:val="auto"/>
          <w:highlight w:val="none"/>
          <w:lang w:eastAsia="zh-CN"/>
        </w:rPr>
        <w:t>专业承包人</w:t>
      </w:r>
      <w:r>
        <w:rPr>
          <w:rFonts w:hint="eastAsia"/>
          <w:color w:val="auto"/>
          <w:highlight w:val="none"/>
        </w:rPr>
        <w:t>须按照总承包人要求合理用水排水，禁止浪费或浸湿施工现场半成品与成品。装修</w:t>
      </w:r>
      <w:r>
        <w:rPr>
          <w:rFonts w:hint="eastAsia"/>
          <w:color w:val="auto"/>
          <w:highlight w:val="none"/>
          <w:lang w:eastAsia="zh-CN"/>
        </w:rPr>
        <w:t>专业承包人</w:t>
      </w:r>
      <w:r>
        <w:rPr>
          <w:rFonts w:hint="eastAsia"/>
          <w:color w:val="auto"/>
          <w:highlight w:val="none"/>
        </w:rPr>
        <w:t>负责接收场地以后的临水维护</w:t>
      </w:r>
      <w:r>
        <w:rPr>
          <w:rFonts w:hint="eastAsia"/>
          <w:color w:val="auto"/>
          <w:highlight w:val="none"/>
          <w:lang w:eastAsia="zh-CN"/>
        </w:rPr>
        <w:t>，</w:t>
      </w:r>
      <w:r>
        <w:rPr>
          <w:rFonts w:hint="eastAsia"/>
          <w:color w:val="auto"/>
          <w:highlight w:val="none"/>
        </w:rPr>
        <w:t>应采用双阀配置。</w:t>
      </w:r>
    </w:p>
    <w:p w14:paraId="552D9B42">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200"/>
        <w:jc w:val="left"/>
        <w:textAlignment w:val="auto"/>
        <w:outlineLvl w:val="3"/>
        <w:rPr>
          <w:rFonts w:hint="eastAsia"/>
          <w:bCs/>
          <w:color w:val="auto"/>
          <w:highlight w:val="none"/>
          <w:lang w:val="en-US" w:eastAsia="zh-CN"/>
        </w:rPr>
      </w:pPr>
      <w:r>
        <w:rPr>
          <w:rFonts w:hint="eastAsia"/>
          <w:bCs/>
          <w:color w:val="auto"/>
          <w:highlight w:val="none"/>
          <w:lang w:val="en-US" w:eastAsia="zh-CN"/>
        </w:rPr>
        <w:t>4.5.1.6垃圾管理</w:t>
      </w:r>
    </w:p>
    <w:p w14:paraId="33F8B23A">
      <w:pPr>
        <w:pStyle w:val="36"/>
        <w:keepNext w:val="0"/>
        <w:keepLines w:val="0"/>
        <w:pageBreakBefore w:val="0"/>
        <w:widowControl w:val="0"/>
        <w:kinsoku/>
        <w:wordWrap/>
        <w:overflowPunct/>
        <w:topLinePunct w:val="0"/>
        <w:autoSpaceDE/>
        <w:autoSpaceDN/>
        <w:bidi w:val="0"/>
        <w:adjustRightInd/>
        <w:snapToGrid w:val="0"/>
        <w:ind w:firstLine="480"/>
        <w:jc w:val="left"/>
        <w:textAlignment w:val="auto"/>
        <w:rPr>
          <w:color w:val="auto"/>
          <w:highlight w:val="none"/>
        </w:rPr>
      </w:pPr>
      <w:r>
        <w:rPr>
          <w:rFonts w:hint="eastAsia"/>
          <w:color w:val="auto"/>
          <w:highlight w:val="none"/>
        </w:rPr>
        <w:t>由总承包人设置垃圾收集点。</w:t>
      </w:r>
      <w:r>
        <w:rPr>
          <w:rFonts w:hint="eastAsia"/>
          <w:color w:val="auto"/>
          <w:highlight w:val="none"/>
          <w:lang w:eastAsia="zh-CN"/>
        </w:rPr>
        <w:t>专业承包人</w:t>
      </w:r>
      <w:r>
        <w:rPr>
          <w:rFonts w:hint="eastAsia"/>
          <w:color w:val="auto"/>
          <w:highlight w:val="none"/>
        </w:rPr>
        <w:t>将垃圾清理集中至垃圾收集点后，由</w:t>
      </w:r>
      <w:r>
        <w:rPr>
          <w:rFonts w:hint="eastAsia"/>
          <w:color w:val="auto"/>
          <w:highlight w:val="none"/>
          <w:lang w:eastAsia="zh-CN"/>
        </w:rPr>
        <w:t>专业承包人</w:t>
      </w:r>
      <w:r>
        <w:rPr>
          <w:rFonts w:hint="eastAsia"/>
          <w:color w:val="auto"/>
          <w:highlight w:val="none"/>
        </w:rPr>
        <w:t>及时进行外运处理。</w:t>
      </w:r>
    </w:p>
    <w:p w14:paraId="414FDBB8">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200"/>
        <w:jc w:val="left"/>
        <w:textAlignment w:val="auto"/>
        <w:outlineLvl w:val="3"/>
        <w:rPr>
          <w:rFonts w:hint="eastAsia"/>
          <w:bCs/>
          <w:color w:val="auto"/>
          <w:highlight w:val="none"/>
          <w:lang w:val="en-US" w:eastAsia="zh-CN"/>
        </w:rPr>
      </w:pPr>
      <w:r>
        <w:rPr>
          <w:rFonts w:hint="eastAsia"/>
          <w:bCs/>
          <w:color w:val="auto"/>
          <w:highlight w:val="none"/>
          <w:lang w:val="en-US" w:eastAsia="zh-CN"/>
        </w:rPr>
        <w:t>4.5.1.7垂直运输管理</w:t>
      </w:r>
    </w:p>
    <w:bookmarkEnd w:id="92"/>
    <w:p w14:paraId="494E7CC7">
      <w:pPr>
        <w:pStyle w:val="36"/>
        <w:keepNext w:val="0"/>
        <w:keepLines w:val="0"/>
        <w:pageBreakBefore w:val="0"/>
        <w:widowControl w:val="0"/>
        <w:kinsoku/>
        <w:wordWrap/>
        <w:overflowPunct/>
        <w:topLinePunct w:val="0"/>
        <w:autoSpaceDE/>
        <w:autoSpaceDN/>
        <w:bidi w:val="0"/>
        <w:adjustRightInd/>
        <w:snapToGrid w:val="0"/>
        <w:ind w:firstLine="480"/>
        <w:jc w:val="left"/>
        <w:textAlignment w:val="auto"/>
        <w:rPr>
          <w:rFonts w:hint="eastAsia"/>
          <w:color w:val="auto"/>
          <w:highlight w:val="none"/>
        </w:rPr>
      </w:pPr>
      <w:bookmarkStart w:id="93" w:name="_Toc503543541"/>
      <w:bookmarkStart w:id="94" w:name="_Toc523308042"/>
      <w:bookmarkStart w:id="95" w:name="_Toc528161423"/>
      <w:bookmarkStart w:id="96" w:name="_Toc524082839"/>
      <w:bookmarkStart w:id="97" w:name="_Toc526942448"/>
      <w:bookmarkStart w:id="98" w:name="_Toc520387366"/>
      <w:bookmarkStart w:id="99" w:name="_Toc499546282"/>
      <w:r>
        <w:rPr>
          <w:rFonts w:hint="eastAsia"/>
          <w:color w:val="auto"/>
          <w:highlight w:val="none"/>
        </w:rPr>
        <w:t>室内正式电梯投入使用前，</w:t>
      </w:r>
      <w:r>
        <w:rPr>
          <w:rFonts w:hint="eastAsia"/>
          <w:color w:val="auto"/>
          <w:highlight w:val="none"/>
          <w:lang w:eastAsia="zh-CN"/>
        </w:rPr>
        <w:t>专业承包人</w:t>
      </w:r>
      <w:r>
        <w:rPr>
          <w:rFonts w:hint="eastAsia"/>
          <w:color w:val="auto"/>
          <w:highlight w:val="none"/>
        </w:rPr>
        <w:t>需服从总承包人关于施工电梯的管理。需要夜间垂直运输的材料须提前1天做好材料到场计划，并知会监理人及总承包人。室内正式电梯投入使用后，</w:t>
      </w:r>
      <w:r>
        <w:rPr>
          <w:rFonts w:hint="eastAsia"/>
          <w:color w:val="auto"/>
          <w:highlight w:val="none"/>
          <w:lang w:eastAsia="zh-CN"/>
        </w:rPr>
        <w:t>专业承包人</w:t>
      </w:r>
      <w:r>
        <w:rPr>
          <w:rFonts w:hint="eastAsia"/>
          <w:color w:val="auto"/>
          <w:highlight w:val="none"/>
        </w:rPr>
        <w:t>需立即进行轿厢内外的成品保护，并负责安排执证开电梯专人（施工高峰期每台电梯要求至少2名开梯人员，并配置对讲机），对电梯进行照管及操作电梯。室内电梯的垂直运输安排由</w:t>
      </w:r>
      <w:r>
        <w:rPr>
          <w:rFonts w:hint="eastAsia"/>
          <w:color w:val="auto"/>
          <w:highlight w:val="none"/>
          <w:lang w:eastAsia="zh-CN"/>
        </w:rPr>
        <w:t>专业承包人</w:t>
      </w:r>
      <w:r>
        <w:rPr>
          <w:rFonts w:hint="eastAsia"/>
          <w:color w:val="auto"/>
          <w:highlight w:val="none"/>
        </w:rPr>
        <w:t>统筹管理。电梯统筹管理包含电梯的运行时间、停靠楼层或因其他专业</w:t>
      </w:r>
      <w:r>
        <w:rPr>
          <w:rFonts w:hint="eastAsia"/>
          <w:color w:val="auto"/>
          <w:highlight w:val="none"/>
          <w:lang w:eastAsia="zh-CN"/>
        </w:rPr>
        <w:t>承</w:t>
      </w:r>
      <w:r>
        <w:rPr>
          <w:rFonts w:hint="eastAsia"/>
          <w:color w:val="auto"/>
          <w:highlight w:val="none"/>
        </w:rPr>
        <w:t>包施工需要的夜间运输材料的开梯工作。</w:t>
      </w:r>
    </w:p>
    <w:p w14:paraId="1E7A440B">
      <w:pPr>
        <w:keepNext w:val="0"/>
        <w:keepLines w:val="0"/>
        <w:pageBreakBefore w:val="0"/>
        <w:widowControl w:val="0"/>
        <w:numPr>
          <w:ilvl w:val="2"/>
          <w:numId w:val="10"/>
        </w:numPr>
        <w:kinsoku/>
        <w:wordWrap/>
        <w:overflowPunct/>
        <w:topLinePunct w:val="0"/>
        <w:autoSpaceDE/>
        <w:autoSpaceDN/>
        <w:bidi w:val="0"/>
        <w:adjustRightInd/>
        <w:snapToGrid w:val="0"/>
        <w:ind w:firstLine="480" w:firstLineChars="200"/>
        <w:textAlignment w:val="auto"/>
        <w:outlineLvl w:val="2"/>
        <w:rPr>
          <w:rFonts w:hint="eastAsia"/>
          <w:color w:val="auto"/>
          <w:highlight w:val="none"/>
        </w:rPr>
      </w:pPr>
      <w:r>
        <w:rPr>
          <w:rFonts w:hint="eastAsia"/>
          <w:color w:val="auto"/>
          <w:highlight w:val="none"/>
          <w:lang w:eastAsia="zh-CN"/>
        </w:rPr>
        <w:t>专业承包人</w:t>
      </w:r>
      <w:r>
        <w:rPr>
          <w:rFonts w:hint="eastAsia"/>
          <w:color w:val="auto"/>
          <w:highlight w:val="none"/>
        </w:rPr>
        <w:t>对物资的管理</w:t>
      </w:r>
      <w:bookmarkEnd w:id="93"/>
      <w:bookmarkEnd w:id="94"/>
      <w:bookmarkEnd w:id="95"/>
      <w:bookmarkEnd w:id="96"/>
      <w:bookmarkEnd w:id="97"/>
      <w:bookmarkEnd w:id="98"/>
      <w:bookmarkEnd w:id="99"/>
      <w:bookmarkStart w:id="100" w:name="_Toc489804412"/>
      <w:bookmarkStart w:id="101" w:name="_Toc489384881"/>
      <w:bookmarkStart w:id="102" w:name="_Toc489397315"/>
      <w:bookmarkStart w:id="103" w:name="_Toc495758596"/>
      <w:bookmarkStart w:id="104" w:name="_Toc489570264"/>
      <w:bookmarkStart w:id="105" w:name="_Toc489804606"/>
      <w:bookmarkStart w:id="106" w:name="_Toc499066639"/>
      <w:bookmarkStart w:id="107" w:name="_Toc489384298"/>
      <w:bookmarkStart w:id="108" w:name="_Toc490253005"/>
      <w:bookmarkStart w:id="109" w:name="_Toc489560862"/>
      <w:bookmarkStart w:id="110" w:name="_Toc489391408"/>
      <w:bookmarkStart w:id="111" w:name="_Toc499546283"/>
    </w:p>
    <w:p w14:paraId="56F10FE8">
      <w:pPr>
        <w:pStyle w:val="36"/>
        <w:keepNext w:val="0"/>
        <w:keepLines w:val="0"/>
        <w:pageBreakBefore w:val="0"/>
        <w:widowControl w:val="0"/>
        <w:kinsoku/>
        <w:wordWrap/>
        <w:overflowPunct/>
        <w:topLinePunct w:val="0"/>
        <w:autoSpaceDE/>
        <w:autoSpaceDN/>
        <w:bidi w:val="0"/>
        <w:adjustRightInd/>
        <w:snapToGrid w:val="0"/>
        <w:ind w:firstLine="480"/>
        <w:jc w:val="left"/>
        <w:textAlignment w:val="auto"/>
        <w:rPr>
          <w:color w:val="auto"/>
          <w:highlight w:val="none"/>
        </w:rPr>
      </w:pPr>
      <w:r>
        <w:rPr>
          <w:rFonts w:hint="eastAsia"/>
          <w:color w:val="auto"/>
          <w:highlight w:val="none"/>
        </w:rPr>
        <w:t>对装修区域各</w:t>
      </w:r>
      <w:r>
        <w:rPr>
          <w:rFonts w:hint="eastAsia"/>
          <w:color w:val="auto"/>
          <w:highlight w:val="none"/>
          <w:lang w:val="en-US" w:eastAsia="zh-CN"/>
        </w:rPr>
        <w:t>专业承</w:t>
      </w:r>
      <w:r>
        <w:rPr>
          <w:rFonts w:hint="eastAsia"/>
          <w:color w:val="auto"/>
          <w:highlight w:val="none"/>
        </w:rPr>
        <w:t>包人在本工程中所选用的设备和材料进行初步管理。所有进入现场使用的成品、半成品、设备、材料、器具，均具有产品合格证、检测报告、出产证明、合格证等材料报验资料；所有主材及设备必须根据施工进度计划分批次进场，并协调各</w:t>
      </w:r>
      <w:r>
        <w:rPr>
          <w:rFonts w:hint="eastAsia"/>
          <w:color w:val="auto"/>
          <w:highlight w:val="none"/>
          <w:lang w:val="en-US" w:eastAsia="zh-CN"/>
        </w:rPr>
        <w:t>专业</w:t>
      </w:r>
      <w:r>
        <w:rPr>
          <w:rFonts w:hint="eastAsia"/>
          <w:color w:val="auto"/>
          <w:highlight w:val="none"/>
          <w:lang w:eastAsia="zh-CN"/>
        </w:rPr>
        <w:t>承</w:t>
      </w:r>
      <w:r>
        <w:rPr>
          <w:rFonts w:hint="eastAsia"/>
          <w:color w:val="auto"/>
          <w:highlight w:val="none"/>
        </w:rPr>
        <w:t>包按总承包施工平面布置图中指定位置存放。</w:t>
      </w:r>
      <w:bookmarkEnd w:id="100"/>
      <w:bookmarkEnd w:id="101"/>
      <w:bookmarkEnd w:id="102"/>
      <w:bookmarkEnd w:id="103"/>
      <w:bookmarkEnd w:id="104"/>
      <w:bookmarkEnd w:id="105"/>
      <w:bookmarkEnd w:id="106"/>
      <w:bookmarkEnd w:id="107"/>
      <w:bookmarkEnd w:id="108"/>
      <w:bookmarkEnd w:id="109"/>
      <w:bookmarkEnd w:id="110"/>
      <w:bookmarkEnd w:id="111"/>
    </w:p>
    <w:p w14:paraId="64BFD765">
      <w:pPr>
        <w:keepNext w:val="0"/>
        <w:keepLines w:val="0"/>
        <w:pageBreakBefore w:val="0"/>
        <w:widowControl w:val="0"/>
        <w:numPr>
          <w:ilvl w:val="2"/>
          <w:numId w:val="10"/>
        </w:numPr>
        <w:kinsoku/>
        <w:wordWrap/>
        <w:overflowPunct/>
        <w:topLinePunct w:val="0"/>
        <w:autoSpaceDE/>
        <w:autoSpaceDN/>
        <w:bidi w:val="0"/>
        <w:adjustRightInd/>
        <w:snapToGrid w:val="0"/>
        <w:ind w:firstLine="480" w:firstLineChars="200"/>
        <w:textAlignment w:val="auto"/>
        <w:outlineLvl w:val="2"/>
        <w:rPr>
          <w:bCs/>
          <w:color w:val="auto"/>
          <w:highlight w:val="none"/>
        </w:rPr>
      </w:pPr>
      <w:bookmarkStart w:id="112" w:name="_Toc526942449"/>
      <w:bookmarkStart w:id="113" w:name="_Toc528161424"/>
      <w:bookmarkStart w:id="114" w:name="_Toc520387367"/>
      <w:bookmarkStart w:id="115" w:name="_Toc523308043"/>
      <w:bookmarkStart w:id="116" w:name="_Toc499546284"/>
      <w:bookmarkStart w:id="117" w:name="_Toc524082840"/>
      <w:bookmarkStart w:id="118" w:name="_Toc503543542"/>
      <w:r>
        <w:rPr>
          <w:rFonts w:hint="eastAsia"/>
          <w:color w:val="auto"/>
          <w:highlight w:val="none"/>
          <w:lang w:eastAsia="zh-CN"/>
        </w:rPr>
        <w:t>专业承包人</w:t>
      </w:r>
      <w:r>
        <w:rPr>
          <w:rFonts w:hint="eastAsia"/>
          <w:color w:val="auto"/>
          <w:highlight w:val="none"/>
        </w:rPr>
        <w:t>对进度计划的管理</w:t>
      </w:r>
      <w:bookmarkEnd w:id="112"/>
      <w:bookmarkEnd w:id="113"/>
      <w:bookmarkEnd w:id="114"/>
      <w:bookmarkEnd w:id="115"/>
      <w:bookmarkEnd w:id="116"/>
      <w:bookmarkEnd w:id="117"/>
      <w:bookmarkEnd w:id="118"/>
    </w:p>
    <w:p w14:paraId="2DF0611F">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ind w:leftChars="0"/>
        <w:textAlignment w:val="auto"/>
        <w:outlineLvl w:val="2"/>
        <w:rPr>
          <w:bCs/>
          <w:color w:val="auto"/>
          <w:highlight w:val="none"/>
        </w:rPr>
      </w:pPr>
      <w:r>
        <w:rPr>
          <w:rFonts w:hint="eastAsia"/>
          <w:bCs/>
          <w:color w:val="auto"/>
          <w:highlight w:val="none"/>
          <w:lang w:val="en-US" w:eastAsia="zh-CN"/>
        </w:rPr>
        <w:t>4.5.3.1</w:t>
      </w:r>
      <w:r>
        <w:rPr>
          <w:rFonts w:hint="eastAsia"/>
          <w:bCs/>
          <w:color w:val="auto"/>
          <w:highlight w:val="none"/>
        </w:rPr>
        <w:t>根据发包人的总控进度计划编制装修工程施工进度计划，并报监理人审核合格后，报送发包人审批。</w:t>
      </w:r>
    </w:p>
    <w:p w14:paraId="4F93FCE9">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4.5.3.2</w:t>
      </w:r>
      <w:r>
        <w:rPr>
          <w:rFonts w:hint="eastAsia"/>
          <w:bCs/>
          <w:color w:val="auto"/>
          <w:highlight w:val="none"/>
        </w:rPr>
        <w:t>严格按计划管理执行，定期（每周或每月）对本期进度和上期进度采用进度计划比对表进行比对，保证现场按照进度计划实施。一旦发现进度滞后，要及时查明原因，并采取相应措施进行动态调整与纠偏。</w:t>
      </w:r>
    </w:p>
    <w:p w14:paraId="2B565C70">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4.5.3.3</w:t>
      </w:r>
      <w:r>
        <w:rPr>
          <w:rFonts w:hint="eastAsia"/>
          <w:bCs/>
          <w:color w:val="auto"/>
          <w:highlight w:val="none"/>
        </w:rPr>
        <w:t>负责组织每周生产例会、每天碰头会，及时分析、协调、平衡和调整工程进度。每月召开月度计划协调会，落实月度计划。月计划需要修改时，周计划可根据具体情况进行调整。每周召开施工协调会，对周计划进行检查。</w:t>
      </w:r>
    </w:p>
    <w:p w14:paraId="6416661D">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4.5.3.4</w:t>
      </w:r>
      <w:r>
        <w:rPr>
          <w:rFonts w:hint="eastAsia"/>
          <w:bCs/>
          <w:color w:val="auto"/>
          <w:highlight w:val="none"/>
        </w:rPr>
        <w:t>根据装修工程施工计划，负责安排装修区域设备材料供应单位的进场、退场时间及相应施工周期和合理的施工作业区域。</w:t>
      </w:r>
    </w:p>
    <w:p w14:paraId="59FB9CBE">
      <w:pPr>
        <w:keepNext w:val="0"/>
        <w:keepLines w:val="0"/>
        <w:pageBreakBefore w:val="0"/>
        <w:widowControl w:val="0"/>
        <w:numPr>
          <w:ilvl w:val="2"/>
          <w:numId w:val="10"/>
        </w:numPr>
        <w:kinsoku/>
        <w:wordWrap/>
        <w:overflowPunct/>
        <w:topLinePunct w:val="0"/>
        <w:autoSpaceDE/>
        <w:autoSpaceDN/>
        <w:bidi w:val="0"/>
        <w:adjustRightInd/>
        <w:snapToGrid w:val="0"/>
        <w:ind w:firstLine="480" w:firstLineChars="200"/>
        <w:textAlignment w:val="auto"/>
        <w:outlineLvl w:val="2"/>
        <w:rPr>
          <w:rFonts w:hint="eastAsia"/>
          <w:color w:val="auto"/>
          <w:highlight w:val="none"/>
        </w:rPr>
      </w:pPr>
      <w:bookmarkStart w:id="119" w:name="_Toc524082841"/>
      <w:bookmarkStart w:id="120" w:name="_Toc526942450"/>
      <w:bookmarkStart w:id="121" w:name="_Toc520387368"/>
      <w:bookmarkStart w:id="122" w:name="_Toc503543543"/>
      <w:bookmarkStart w:id="123" w:name="_Toc523308044"/>
      <w:bookmarkStart w:id="124" w:name="_Toc528161425"/>
      <w:bookmarkStart w:id="125" w:name="_Toc499546285"/>
      <w:r>
        <w:rPr>
          <w:rFonts w:hint="eastAsia"/>
          <w:color w:val="auto"/>
          <w:highlight w:val="none"/>
          <w:lang w:val="en-US" w:eastAsia="zh-CN"/>
        </w:rPr>
        <w:t>专业承包人</w:t>
      </w:r>
      <w:r>
        <w:rPr>
          <w:rFonts w:hint="eastAsia"/>
          <w:color w:val="auto"/>
          <w:highlight w:val="none"/>
        </w:rPr>
        <w:t>对技术的管理</w:t>
      </w:r>
      <w:bookmarkEnd w:id="119"/>
      <w:bookmarkEnd w:id="120"/>
      <w:bookmarkEnd w:id="121"/>
      <w:bookmarkEnd w:id="122"/>
      <w:bookmarkEnd w:id="123"/>
      <w:bookmarkEnd w:id="124"/>
      <w:bookmarkEnd w:id="125"/>
    </w:p>
    <w:p w14:paraId="1CC9923D">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bookmarkStart w:id="126" w:name="_Toc489570267"/>
      <w:bookmarkStart w:id="127" w:name="_Toc490253008"/>
      <w:bookmarkStart w:id="128" w:name="_Toc499066642"/>
      <w:bookmarkStart w:id="129" w:name="_Toc499546286"/>
      <w:bookmarkStart w:id="130" w:name="_Toc489560865"/>
      <w:bookmarkStart w:id="131" w:name="_Toc495758599"/>
      <w:bookmarkStart w:id="132" w:name="_Toc489804415"/>
      <w:bookmarkStart w:id="133" w:name="_Toc489804609"/>
      <w:r>
        <w:rPr>
          <w:rFonts w:hint="eastAsia"/>
          <w:bCs/>
          <w:color w:val="auto"/>
          <w:highlight w:val="none"/>
          <w:lang w:val="en-US" w:eastAsia="zh-CN"/>
        </w:rPr>
        <w:t>4.5.4.1</w:t>
      </w:r>
      <w:r>
        <w:rPr>
          <w:rFonts w:hint="eastAsia"/>
          <w:bCs/>
          <w:color w:val="auto"/>
          <w:highlight w:val="none"/>
        </w:rPr>
        <w:t>及时进行图纸深化设计工作，及时有效地解决与工程设计和技术相关的问题；协调不同专业</w:t>
      </w:r>
      <w:r>
        <w:rPr>
          <w:rFonts w:hint="eastAsia"/>
          <w:bCs/>
          <w:color w:val="auto"/>
          <w:highlight w:val="none"/>
          <w:lang w:eastAsia="zh-CN"/>
        </w:rPr>
        <w:t>承</w:t>
      </w:r>
      <w:r>
        <w:rPr>
          <w:rFonts w:hint="eastAsia"/>
          <w:bCs/>
          <w:color w:val="auto"/>
          <w:highlight w:val="none"/>
        </w:rPr>
        <w:t>包在设计上的关系，最大限度地消除各专业设计之间的矛盾。</w:t>
      </w:r>
      <w:bookmarkEnd w:id="126"/>
      <w:bookmarkEnd w:id="127"/>
      <w:bookmarkEnd w:id="128"/>
      <w:bookmarkEnd w:id="129"/>
      <w:bookmarkEnd w:id="130"/>
      <w:bookmarkEnd w:id="131"/>
      <w:bookmarkEnd w:id="132"/>
      <w:bookmarkEnd w:id="133"/>
    </w:p>
    <w:p w14:paraId="45B203A5">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bookmarkStart w:id="134" w:name="_Toc495758601"/>
      <w:bookmarkStart w:id="135" w:name="_Toc489570269"/>
      <w:bookmarkStart w:id="136" w:name="_Toc489804611"/>
      <w:bookmarkStart w:id="137" w:name="_Toc499546288"/>
      <w:bookmarkStart w:id="138" w:name="_Toc489804417"/>
      <w:bookmarkStart w:id="139" w:name="_Toc499066644"/>
      <w:bookmarkStart w:id="140" w:name="_Toc490253010"/>
      <w:bookmarkStart w:id="141" w:name="_Toc489560867"/>
      <w:r>
        <w:rPr>
          <w:rFonts w:hint="eastAsia"/>
          <w:bCs/>
          <w:color w:val="auto"/>
          <w:highlight w:val="none"/>
          <w:lang w:val="en-US" w:eastAsia="zh-CN"/>
        </w:rPr>
        <w:t>4.5.4.2</w:t>
      </w:r>
      <w:r>
        <w:rPr>
          <w:rFonts w:hint="eastAsia"/>
          <w:bCs/>
          <w:color w:val="auto"/>
          <w:highlight w:val="none"/>
        </w:rPr>
        <w:t>负责装修区域施工方案、技术交底的编制，并报监理人及发包人审批；</w:t>
      </w:r>
      <w:bookmarkEnd w:id="134"/>
      <w:bookmarkEnd w:id="135"/>
      <w:bookmarkEnd w:id="136"/>
      <w:bookmarkEnd w:id="137"/>
      <w:bookmarkEnd w:id="138"/>
      <w:bookmarkEnd w:id="139"/>
      <w:bookmarkEnd w:id="140"/>
      <w:bookmarkEnd w:id="141"/>
      <w:bookmarkStart w:id="142" w:name="_Toc489804418"/>
      <w:bookmarkStart w:id="143" w:name="_Toc489804612"/>
      <w:bookmarkStart w:id="144" w:name="_Toc495758602"/>
      <w:bookmarkStart w:id="145" w:name="_Toc489560868"/>
      <w:bookmarkStart w:id="146" w:name="_Toc499066645"/>
      <w:bookmarkStart w:id="147" w:name="_Toc490253011"/>
      <w:bookmarkStart w:id="148" w:name="_Toc499546289"/>
      <w:bookmarkStart w:id="149" w:name="_Toc489570270"/>
    </w:p>
    <w:bookmarkEnd w:id="142"/>
    <w:bookmarkEnd w:id="143"/>
    <w:bookmarkEnd w:id="144"/>
    <w:bookmarkEnd w:id="145"/>
    <w:bookmarkEnd w:id="146"/>
    <w:bookmarkEnd w:id="147"/>
    <w:bookmarkEnd w:id="148"/>
    <w:bookmarkEnd w:id="149"/>
    <w:p w14:paraId="08E741A6">
      <w:pPr>
        <w:keepNext w:val="0"/>
        <w:keepLines w:val="0"/>
        <w:pageBreakBefore w:val="0"/>
        <w:widowControl w:val="0"/>
        <w:numPr>
          <w:ilvl w:val="2"/>
          <w:numId w:val="10"/>
        </w:numPr>
        <w:kinsoku/>
        <w:wordWrap/>
        <w:overflowPunct/>
        <w:topLinePunct w:val="0"/>
        <w:autoSpaceDE/>
        <w:autoSpaceDN/>
        <w:bidi w:val="0"/>
        <w:adjustRightInd/>
        <w:snapToGrid w:val="0"/>
        <w:ind w:firstLine="480" w:firstLineChars="200"/>
        <w:textAlignment w:val="auto"/>
        <w:outlineLvl w:val="2"/>
        <w:rPr>
          <w:rFonts w:hint="eastAsia"/>
          <w:color w:val="auto"/>
          <w:highlight w:val="none"/>
        </w:rPr>
      </w:pPr>
      <w:bookmarkStart w:id="150" w:name="_Toc499546290"/>
      <w:bookmarkStart w:id="151" w:name="_Toc523308045"/>
      <w:bookmarkStart w:id="152" w:name="_Toc524082842"/>
      <w:bookmarkStart w:id="153" w:name="_Toc528161426"/>
      <w:bookmarkStart w:id="154" w:name="_Toc520387369"/>
      <w:bookmarkStart w:id="155" w:name="_Toc503543544"/>
      <w:bookmarkStart w:id="156" w:name="_Toc526942451"/>
      <w:r>
        <w:rPr>
          <w:rFonts w:hint="eastAsia"/>
          <w:color w:val="auto"/>
          <w:highlight w:val="none"/>
          <w:lang w:eastAsia="zh-CN"/>
        </w:rPr>
        <w:t>专业承包人</w:t>
      </w:r>
      <w:r>
        <w:rPr>
          <w:rFonts w:hint="eastAsia"/>
          <w:color w:val="auto"/>
          <w:highlight w:val="none"/>
        </w:rPr>
        <w:t>对质量的管理</w:t>
      </w:r>
      <w:bookmarkEnd w:id="150"/>
      <w:bookmarkEnd w:id="151"/>
      <w:bookmarkEnd w:id="152"/>
      <w:bookmarkEnd w:id="153"/>
      <w:bookmarkEnd w:id="154"/>
      <w:bookmarkEnd w:id="155"/>
      <w:bookmarkEnd w:id="156"/>
    </w:p>
    <w:p w14:paraId="62C29C7C">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4.5.5.1</w:t>
      </w:r>
      <w:r>
        <w:rPr>
          <w:rFonts w:hint="eastAsia"/>
          <w:bCs/>
          <w:color w:val="auto"/>
          <w:highlight w:val="none"/>
          <w:lang w:eastAsia="zh-CN"/>
        </w:rPr>
        <w:t>专业承包人</w:t>
      </w:r>
      <w:r>
        <w:rPr>
          <w:rFonts w:hint="eastAsia"/>
          <w:bCs/>
          <w:color w:val="auto"/>
          <w:highlight w:val="none"/>
        </w:rPr>
        <w:t>须建立有效的质量保证体系，明确施工穿插工序。施工穿插工序须经发包人与监理人确认通过后方可实施。</w:t>
      </w:r>
    </w:p>
    <w:p w14:paraId="7A0333F5">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4.5.5.2</w:t>
      </w:r>
      <w:r>
        <w:rPr>
          <w:rFonts w:hint="eastAsia"/>
          <w:bCs/>
          <w:color w:val="auto"/>
          <w:highlight w:val="none"/>
        </w:rPr>
        <w:t>严格实行“样板引路”制度，制定工艺样板计划，在施工现场设置的工艺样板展示区；工艺样板经发包人、监理人验收通过后方可大面积施工。</w:t>
      </w:r>
    </w:p>
    <w:p w14:paraId="2C482D6A">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4.5.5.3</w:t>
      </w:r>
      <w:r>
        <w:rPr>
          <w:rFonts w:hint="eastAsia"/>
          <w:bCs/>
          <w:color w:val="auto"/>
          <w:highlight w:val="none"/>
        </w:rPr>
        <w:t>组织所有装修区域专业</w:t>
      </w:r>
      <w:r>
        <w:rPr>
          <w:rFonts w:hint="eastAsia"/>
          <w:bCs/>
          <w:color w:val="auto"/>
          <w:highlight w:val="none"/>
          <w:lang w:eastAsia="zh-CN"/>
        </w:rPr>
        <w:t>承</w:t>
      </w:r>
      <w:r>
        <w:rPr>
          <w:rFonts w:hint="eastAsia"/>
          <w:bCs/>
          <w:color w:val="auto"/>
          <w:highlight w:val="none"/>
        </w:rPr>
        <w:t>包进行隐蔽工程验收。包括（但不限于）天地墙所有部位的隐蔽验收工程，均由</w:t>
      </w:r>
      <w:r>
        <w:rPr>
          <w:rFonts w:hint="eastAsia"/>
          <w:bCs/>
          <w:color w:val="auto"/>
          <w:highlight w:val="none"/>
          <w:lang w:eastAsia="zh-CN"/>
        </w:rPr>
        <w:t>承</w:t>
      </w:r>
      <w:r>
        <w:rPr>
          <w:rFonts w:hint="eastAsia"/>
          <w:bCs/>
          <w:color w:val="auto"/>
          <w:highlight w:val="none"/>
        </w:rPr>
        <w:t>包组织各</w:t>
      </w:r>
      <w:r>
        <w:rPr>
          <w:rFonts w:hint="eastAsia"/>
          <w:bCs/>
          <w:color w:val="auto"/>
          <w:highlight w:val="none"/>
          <w:lang w:val="en-US" w:eastAsia="zh-CN"/>
        </w:rPr>
        <w:t>专业承</w:t>
      </w:r>
      <w:r>
        <w:rPr>
          <w:rFonts w:hint="eastAsia"/>
          <w:bCs/>
          <w:color w:val="auto"/>
          <w:highlight w:val="none"/>
        </w:rPr>
        <w:t>包单位进行自检及整改，自检通过后通知发包人及监理人进行验收，未验收合格前严禁隐蔽。</w:t>
      </w:r>
    </w:p>
    <w:p w14:paraId="6ADC18D2">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4.5.5.4</w:t>
      </w:r>
      <w:r>
        <w:rPr>
          <w:rFonts w:hint="eastAsia"/>
          <w:bCs/>
          <w:color w:val="auto"/>
          <w:highlight w:val="none"/>
        </w:rPr>
        <w:t>严格程序控制和过程控制；严格实行样板制、三检制；严格实行工序交接制度；严格落实检验程序和检验、报验和实验工作。</w:t>
      </w:r>
    </w:p>
    <w:p w14:paraId="2C374482">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rFonts w:hint="eastAsia"/>
          <w:bCs/>
          <w:color w:val="auto"/>
          <w:highlight w:val="none"/>
        </w:rPr>
      </w:pPr>
      <w:r>
        <w:rPr>
          <w:rFonts w:hint="eastAsia"/>
          <w:bCs/>
          <w:color w:val="auto"/>
          <w:highlight w:val="none"/>
          <w:lang w:val="en-US" w:eastAsia="zh-CN"/>
        </w:rPr>
        <w:t>4.5.5.5</w:t>
      </w:r>
      <w:r>
        <w:rPr>
          <w:rFonts w:hint="eastAsia"/>
          <w:bCs/>
          <w:color w:val="auto"/>
          <w:highlight w:val="none"/>
        </w:rPr>
        <w:t>负责组织装修区域各</w:t>
      </w:r>
      <w:r>
        <w:rPr>
          <w:rFonts w:hint="eastAsia"/>
          <w:bCs/>
          <w:color w:val="auto"/>
          <w:highlight w:val="none"/>
          <w:lang w:val="en-US" w:eastAsia="zh-CN"/>
        </w:rPr>
        <w:t>专业承</w:t>
      </w:r>
      <w:r>
        <w:rPr>
          <w:rFonts w:hint="eastAsia"/>
          <w:bCs/>
          <w:color w:val="auto"/>
          <w:highlight w:val="none"/>
        </w:rPr>
        <w:t>包人及监理人定期（每周）对工程实体质量进行巡检并开专门的质量会议，及时发现施工中存在质量问题，并按要求进行整改、总结。</w:t>
      </w:r>
    </w:p>
    <w:p w14:paraId="3BC73E86">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rFonts w:hint="eastAsia"/>
          <w:bCs/>
          <w:color w:val="auto"/>
          <w:highlight w:val="none"/>
          <w:lang w:val="en-US" w:eastAsia="zh-CN"/>
        </w:rPr>
      </w:pPr>
      <w:r>
        <w:rPr>
          <w:rFonts w:hint="eastAsia"/>
          <w:bCs/>
          <w:color w:val="auto"/>
          <w:highlight w:val="none"/>
          <w:lang w:val="en-US" w:eastAsia="zh-CN"/>
        </w:rPr>
        <w:t>4.5.5.6按照发包人要求的检测项目和验收标准对工程实体进行100%的实测实量，测量结果在工程实体上留存记录，供发包人和监理人随机抽样复查。</w:t>
      </w:r>
    </w:p>
    <w:p w14:paraId="0EAFA78D">
      <w:pPr>
        <w:keepNext w:val="0"/>
        <w:keepLines w:val="0"/>
        <w:pageBreakBefore w:val="0"/>
        <w:widowControl w:val="0"/>
        <w:numPr>
          <w:ilvl w:val="2"/>
          <w:numId w:val="10"/>
        </w:numPr>
        <w:kinsoku/>
        <w:wordWrap/>
        <w:overflowPunct/>
        <w:topLinePunct w:val="0"/>
        <w:autoSpaceDE/>
        <w:autoSpaceDN/>
        <w:bidi w:val="0"/>
        <w:adjustRightInd/>
        <w:snapToGrid w:val="0"/>
        <w:ind w:firstLine="480" w:firstLineChars="200"/>
        <w:textAlignment w:val="auto"/>
        <w:outlineLvl w:val="2"/>
        <w:rPr>
          <w:rFonts w:hint="eastAsia"/>
          <w:color w:val="auto"/>
          <w:highlight w:val="none"/>
        </w:rPr>
      </w:pPr>
      <w:bookmarkStart w:id="157" w:name="_Toc503543545"/>
      <w:bookmarkStart w:id="158" w:name="_Toc524082843"/>
      <w:bookmarkStart w:id="159" w:name="_Toc528161427"/>
      <w:bookmarkStart w:id="160" w:name="_Toc526942452"/>
      <w:bookmarkStart w:id="161" w:name="_Toc499546291"/>
      <w:bookmarkStart w:id="162" w:name="_Toc523308046"/>
      <w:bookmarkStart w:id="163" w:name="_Toc520387370"/>
      <w:r>
        <w:rPr>
          <w:rFonts w:hint="eastAsia"/>
          <w:color w:val="auto"/>
          <w:highlight w:val="none"/>
          <w:lang w:eastAsia="zh-CN"/>
        </w:rPr>
        <w:t>专业承包人</w:t>
      </w:r>
      <w:r>
        <w:rPr>
          <w:rFonts w:hint="eastAsia"/>
          <w:color w:val="auto"/>
          <w:highlight w:val="none"/>
        </w:rPr>
        <w:t>对安全生产的管理</w:t>
      </w:r>
      <w:bookmarkEnd w:id="157"/>
      <w:bookmarkEnd w:id="158"/>
      <w:bookmarkEnd w:id="159"/>
      <w:bookmarkEnd w:id="160"/>
      <w:bookmarkEnd w:id="161"/>
      <w:bookmarkEnd w:id="162"/>
      <w:bookmarkEnd w:id="163"/>
    </w:p>
    <w:p w14:paraId="48809357">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4.5.6.1</w:t>
      </w:r>
      <w:r>
        <w:rPr>
          <w:rFonts w:hint="eastAsia"/>
          <w:bCs/>
          <w:color w:val="auto"/>
          <w:highlight w:val="none"/>
          <w:lang w:eastAsia="zh-CN"/>
        </w:rPr>
        <w:t>专业承包人</w:t>
      </w:r>
      <w:r>
        <w:rPr>
          <w:rFonts w:hint="eastAsia"/>
          <w:bCs/>
          <w:color w:val="auto"/>
          <w:highlight w:val="none"/>
        </w:rPr>
        <w:t>作为装修标段区域内总协调与管理者，需要在总承包</w:t>
      </w:r>
      <w:r>
        <w:rPr>
          <w:rFonts w:hint="eastAsia"/>
          <w:bCs/>
          <w:color w:val="auto"/>
          <w:highlight w:val="none"/>
          <w:lang w:val="en-US" w:eastAsia="zh-CN"/>
        </w:rPr>
        <w:t>人</w:t>
      </w:r>
      <w:r>
        <w:rPr>
          <w:rFonts w:hint="eastAsia"/>
          <w:bCs/>
          <w:color w:val="auto"/>
          <w:highlight w:val="none"/>
        </w:rPr>
        <w:t>的统一管理下，全面负责装修区域内的现场施工的安全管理工作。</w:t>
      </w:r>
    </w:p>
    <w:p w14:paraId="35EED81B">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4.5.6.2</w:t>
      </w:r>
      <w:r>
        <w:rPr>
          <w:rFonts w:hint="eastAsia"/>
          <w:bCs/>
          <w:color w:val="auto"/>
          <w:highlight w:val="none"/>
          <w:lang w:eastAsia="zh-CN"/>
        </w:rPr>
        <w:t>专业承包人</w:t>
      </w:r>
      <w:r>
        <w:rPr>
          <w:rFonts w:hint="eastAsia"/>
          <w:bCs/>
          <w:color w:val="auto"/>
          <w:highlight w:val="none"/>
        </w:rPr>
        <w:t>须建立有效的安全管理体系，明确相关人员责任。并将</w:t>
      </w:r>
      <w:r>
        <w:rPr>
          <w:rFonts w:hint="eastAsia"/>
          <w:bCs/>
          <w:color w:val="auto"/>
          <w:highlight w:val="none"/>
          <w:lang w:val="en-US" w:eastAsia="zh-CN"/>
        </w:rPr>
        <w:t>专业承</w:t>
      </w:r>
      <w:r>
        <w:rPr>
          <w:rFonts w:hint="eastAsia"/>
          <w:bCs/>
          <w:color w:val="auto"/>
          <w:highlight w:val="none"/>
        </w:rPr>
        <w:t>包人单位纳入统一的安全管理体系，定期检查体系的运行情况。</w:t>
      </w:r>
    </w:p>
    <w:p w14:paraId="617666B4">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4.5.6.3</w:t>
      </w:r>
      <w:r>
        <w:rPr>
          <w:rFonts w:hint="eastAsia"/>
          <w:bCs/>
          <w:color w:val="auto"/>
          <w:highlight w:val="none"/>
          <w:lang w:eastAsia="zh-CN"/>
        </w:rPr>
        <w:t>专业承包人</w:t>
      </w:r>
      <w:r>
        <w:rPr>
          <w:rFonts w:hint="eastAsia"/>
          <w:bCs/>
          <w:color w:val="auto"/>
          <w:highlight w:val="none"/>
        </w:rPr>
        <w:t>应制定安全生产管理办法，对现场所有人员切实做好安全教育，要求施工现场所有人员严格遵守安全管理条例，遵守国家及当地政府有关部门对安全生产、文明施工的规定和要求。</w:t>
      </w:r>
    </w:p>
    <w:p w14:paraId="209AF2E6">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4.5.6.4</w:t>
      </w:r>
      <w:r>
        <w:rPr>
          <w:rFonts w:hint="eastAsia"/>
          <w:bCs/>
          <w:color w:val="auto"/>
          <w:highlight w:val="none"/>
          <w:lang w:eastAsia="zh-CN"/>
        </w:rPr>
        <w:t>专业承包人</w:t>
      </w:r>
      <w:r>
        <w:rPr>
          <w:rFonts w:hint="eastAsia"/>
          <w:bCs/>
          <w:color w:val="auto"/>
          <w:highlight w:val="none"/>
        </w:rPr>
        <w:t>对施工现场的安全负总体责任，装修标段区域</w:t>
      </w:r>
      <w:r>
        <w:rPr>
          <w:rFonts w:hint="eastAsia"/>
          <w:bCs/>
          <w:color w:val="auto"/>
          <w:highlight w:val="none"/>
          <w:lang w:val="en-US" w:eastAsia="zh-CN"/>
        </w:rPr>
        <w:t>其他专业承</w:t>
      </w:r>
      <w:r>
        <w:rPr>
          <w:rFonts w:hint="eastAsia"/>
          <w:bCs/>
          <w:color w:val="auto"/>
          <w:highlight w:val="none"/>
        </w:rPr>
        <w:t>包人须服从</w:t>
      </w:r>
      <w:r>
        <w:rPr>
          <w:rFonts w:hint="eastAsia"/>
          <w:bCs/>
          <w:color w:val="auto"/>
          <w:highlight w:val="none"/>
          <w:lang w:eastAsia="zh-CN"/>
        </w:rPr>
        <w:t>承</w:t>
      </w:r>
      <w:r>
        <w:rPr>
          <w:rFonts w:hint="eastAsia"/>
          <w:bCs/>
          <w:color w:val="auto"/>
          <w:highlight w:val="none"/>
        </w:rPr>
        <w:t>包</w:t>
      </w:r>
      <w:r>
        <w:rPr>
          <w:rFonts w:hint="eastAsia"/>
          <w:bCs/>
          <w:color w:val="auto"/>
          <w:highlight w:val="none"/>
          <w:lang w:val="en-US" w:eastAsia="zh-CN"/>
        </w:rPr>
        <w:t>认</w:t>
      </w:r>
      <w:r>
        <w:rPr>
          <w:rFonts w:hint="eastAsia"/>
          <w:bCs/>
          <w:color w:val="auto"/>
          <w:highlight w:val="none"/>
        </w:rPr>
        <w:t>对施工现场的安全施工管理。</w:t>
      </w:r>
    </w:p>
    <w:p w14:paraId="209DB688">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4.5.6.5</w:t>
      </w:r>
      <w:r>
        <w:rPr>
          <w:rFonts w:hint="eastAsia"/>
          <w:bCs/>
          <w:color w:val="auto"/>
          <w:highlight w:val="none"/>
          <w:lang w:eastAsia="zh-CN"/>
        </w:rPr>
        <w:t>专业承包人</w:t>
      </w:r>
      <w:r>
        <w:rPr>
          <w:rFonts w:hint="eastAsia"/>
          <w:bCs/>
          <w:color w:val="auto"/>
          <w:highlight w:val="none"/>
        </w:rPr>
        <w:t>应负责督促</w:t>
      </w:r>
      <w:r>
        <w:rPr>
          <w:rFonts w:hint="eastAsia"/>
          <w:bCs/>
          <w:color w:val="auto"/>
          <w:highlight w:val="none"/>
          <w:lang w:val="en-US" w:eastAsia="zh-CN"/>
        </w:rPr>
        <w:t>其他专业承</w:t>
      </w:r>
      <w:r>
        <w:rPr>
          <w:rFonts w:hint="eastAsia"/>
          <w:bCs/>
          <w:color w:val="auto"/>
          <w:highlight w:val="none"/>
        </w:rPr>
        <w:t>包人安全生产，配合总承包人组织装修</w:t>
      </w:r>
      <w:r>
        <w:rPr>
          <w:rFonts w:hint="eastAsia"/>
          <w:bCs/>
          <w:color w:val="auto"/>
          <w:highlight w:val="none"/>
          <w:lang w:val="en-US" w:eastAsia="zh-CN"/>
        </w:rPr>
        <w:t>范围</w:t>
      </w:r>
      <w:r>
        <w:rPr>
          <w:rFonts w:hint="eastAsia"/>
          <w:bCs/>
          <w:color w:val="auto"/>
          <w:highlight w:val="none"/>
        </w:rPr>
        <w:t>内各</w:t>
      </w:r>
      <w:r>
        <w:rPr>
          <w:rFonts w:hint="eastAsia"/>
          <w:bCs/>
          <w:color w:val="auto"/>
          <w:highlight w:val="none"/>
          <w:lang w:val="en-US" w:eastAsia="zh-CN"/>
        </w:rPr>
        <w:t>专业承</w:t>
      </w:r>
      <w:r>
        <w:rPr>
          <w:rFonts w:hint="eastAsia"/>
          <w:bCs/>
          <w:color w:val="auto"/>
          <w:highlight w:val="none"/>
        </w:rPr>
        <w:t>包人定期对施工现场进行联合安全大检查，及时发现问题与安全隐患。明确</w:t>
      </w:r>
      <w:r>
        <w:rPr>
          <w:rFonts w:hint="eastAsia"/>
          <w:bCs/>
          <w:color w:val="auto"/>
          <w:highlight w:val="none"/>
          <w:lang w:val="en-US" w:eastAsia="zh-CN"/>
        </w:rPr>
        <w:t>专业承</w:t>
      </w:r>
      <w:r>
        <w:rPr>
          <w:rFonts w:hint="eastAsia"/>
          <w:bCs/>
          <w:color w:val="auto"/>
          <w:highlight w:val="none"/>
        </w:rPr>
        <w:t>包人安全职责，督察和落实</w:t>
      </w:r>
      <w:r>
        <w:rPr>
          <w:rFonts w:hint="eastAsia"/>
          <w:bCs/>
          <w:color w:val="auto"/>
          <w:highlight w:val="none"/>
          <w:lang w:val="en-US" w:eastAsia="zh-CN"/>
        </w:rPr>
        <w:t>其他专业承</w:t>
      </w:r>
      <w:r>
        <w:rPr>
          <w:rFonts w:hint="eastAsia"/>
          <w:bCs/>
          <w:color w:val="auto"/>
          <w:highlight w:val="none"/>
        </w:rPr>
        <w:t>包人采取措施做好现场安全防护工作。</w:t>
      </w:r>
    </w:p>
    <w:p w14:paraId="57B6BD34">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4.5.6.6</w:t>
      </w:r>
      <w:r>
        <w:rPr>
          <w:rFonts w:hint="eastAsia"/>
          <w:bCs/>
          <w:color w:val="auto"/>
          <w:highlight w:val="none"/>
        </w:rPr>
        <w:t>针对发包人或政府部门组织的安全检查，</w:t>
      </w:r>
      <w:r>
        <w:rPr>
          <w:rFonts w:hint="eastAsia"/>
          <w:bCs/>
          <w:color w:val="auto"/>
          <w:highlight w:val="none"/>
          <w:lang w:eastAsia="zh-CN"/>
        </w:rPr>
        <w:t>专业承包人</w:t>
      </w:r>
      <w:r>
        <w:rPr>
          <w:rFonts w:hint="eastAsia"/>
          <w:bCs/>
          <w:color w:val="auto"/>
          <w:highlight w:val="none"/>
        </w:rPr>
        <w:t>应统一组织迎检工作并对检查问题的进行整改回复。</w:t>
      </w:r>
    </w:p>
    <w:p w14:paraId="2C5ACB3A">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4.5.6.7</w:t>
      </w:r>
      <w:r>
        <w:rPr>
          <w:rFonts w:hint="eastAsia"/>
          <w:bCs/>
          <w:color w:val="auto"/>
          <w:highlight w:val="none"/>
        </w:rPr>
        <w:t>配合总承包人对装修</w:t>
      </w:r>
      <w:r>
        <w:rPr>
          <w:rFonts w:hint="eastAsia"/>
          <w:bCs/>
          <w:color w:val="auto"/>
          <w:highlight w:val="none"/>
          <w:lang w:val="en-US" w:eastAsia="zh-CN"/>
        </w:rPr>
        <w:t>范围</w:t>
      </w:r>
      <w:r>
        <w:rPr>
          <w:rFonts w:hint="eastAsia"/>
          <w:bCs/>
          <w:color w:val="auto"/>
          <w:highlight w:val="none"/>
        </w:rPr>
        <w:t>内的</w:t>
      </w:r>
      <w:r>
        <w:rPr>
          <w:rFonts w:hint="eastAsia"/>
          <w:bCs/>
          <w:color w:val="auto"/>
          <w:highlight w:val="none"/>
          <w:lang w:val="en-US" w:eastAsia="zh-CN"/>
        </w:rPr>
        <w:t>专业承</w:t>
      </w:r>
      <w:r>
        <w:rPr>
          <w:rFonts w:hint="eastAsia"/>
          <w:bCs/>
          <w:color w:val="auto"/>
          <w:highlight w:val="none"/>
        </w:rPr>
        <w:t>包人安全考核及交底工作。</w:t>
      </w:r>
    </w:p>
    <w:p w14:paraId="143DE31A">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4.5.6.8</w:t>
      </w:r>
      <w:r>
        <w:rPr>
          <w:rFonts w:hint="eastAsia"/>
          <w:bCs/>
          <w:color w:val="auto"/>
          <w:highlight w:val="none"/>
        </w:rPr>
        <w:t>配合总承包人定期组织举行消防演练。</w:t>
      </w:r>
    </w:p>
    <w:p w14:paraId="25FBCF95">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4.5.6.9</w:t>
      </w:r>
      <w:r>
        <w:rPr>
          <w:rFonts w:hint="eastAsia"/>
          <w:bCs/>
          <w:color w:val="auto"/>
          <w:highlight w:val="none"/>
        </w:rPr>
        <w:t>装修标段内各类动火作业须报总承包人与监理人审批。</w:t>
      </w:r>
    </w:p>
    <w:p w14:paraId="67205CC5">
      <w:pPr>
        <w:keepNext w:val="0"/>
        <w:keepLines w:val="0"/>
        <w:pageBreakBefore w:val="0"/>
        <w:widowControl w:val="0"/>
        <w:numPr>
          <w:ilvl w:val="2"/>
          <w:numId w:val="10"/>
        </w:numPr>
        <w:kinsoku/>
        <w:wordWrap/>
        <w:overflowPunct/>
        <w:topLinePunct w:val="0"/>
        <w:autoSpaceDE/>
        <w:autoSpaceDN/>
        <w:bidi w:val="0"/>
        <w:adjustRightInd/>
        <w:snapToGrid w:val="0"/>
        <w:spacing w:line="360" w:lineRule="auto"/>
        <w:ind w:firstLine="480" w:firstLineChars="200"/>
        <w:textAlignment w:val="auto"/>
        <w:outlineLvl w:val="2"/>
        <w:rPr>
          <w:rFonts w:hint="eastAsia"/>
          <w:color w:val="auto"/>
          <w:highlight w:val="none"/>
        </w:rPr>
      </w:pPr>
      <w:bookmarkStart w:id="164" w:name="_Toc524082844"/>
      <w:bookmarkStart w:id="165" w:name="_Toc523308047"/>
      <w:bookmarkStart w:id="166" w:name="_Toc528161428"/>
      <w:bookmarkStart w:id="167" w:name="_Toc526942453"/>
      <w:bookmarkStart w:id="168" w:name="_Toc520387371"/>
      <w:r>
        <w:rPr>
          <w:rFonts w:hint="eastAsia"/>
          <w:color w:val="auto"/>
          <w:highlight w:val="none"/>
          <w:lang w:eastAsia="zh-CN"/>
        </w:rPr>
        <w:t>专业承包人</w:t>
      </w:r>
      <w:r>
        <w:rPr>
          <w:rFonts w:hint="eastAsia"/>
          <w:color w:val="auto"/>
          <w:highlight w:val="none"/>
        </w:rPr>
        <w:t>对成品保护的管理</w:t>
      </w:r>
      <w:bookmarkEnd w:id="164"/>
      <w:bookmarkEnd w:id="165"/>
      <w:bookmarkEnd w:id="166"/>
      <w:bookmarkEnd w:id="167"/>
      <w:bookmarkEnd w:id="168"/>
    </w:p>
    <w:p w14:paraId="2A50239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olor w:val="auto"/>
          <w:highlight w:val="none"/>
          <w:lang w:eastAsia="zh-CN"/>
        </w:rPr>
      </w:pPr>
      <w:r>
        <w:rPr>
          <w:rFonts w:hint="eastAsia"/>
          <w:color w:val="auto"/>
          <w:highlight w:val="none"/>
          <w:lang w:eastAsia="zh-CN"/>
        </w:rPr>
        <w:t>专业承包人</w:t>
      </w:r>
      <w:r>
        <w:rPr>
          <w:rFonts w:hint="eastAsia"/>
          <w:color w:val="auto"/>
          <w:highlight w:val="none"/>
        </w:rPr>
        <w:t>应建立完善的成品保护制度和措施，明确其成品保护的责任和义务。配合总承包人对装修标段区域</w:t>
      </w:r>
      <w:r>
        <w:rPr>
          <w:rFonts w:hint="eastAsia"/>
          <w:color w:val="auto"/>
          <w:highlight w:val="none"/>
          <w:lang w:val="en-US" w:eastAsia="zh-CN"/>
        </w:rPr>
        <w:t>其他</w:t>
      </w:r>
      <w:r>
        <w:rPr>
          <w:rFonts w:hint="eastAsia"/>
          <w:bCs/>
          <w:color w:val="auto"/>
          <w:highlight w:val="none"/>
          <w:lang w:val="en-US" w:eastAsia="zh-CN"/>
        </w:rPr>
        <w:t>专业承</w:t>
      </w:r>
      <w:r>
        <w:rPr>
          <w:rFonts w:hint="eastAsia"/>
          <w:bCs/>
          <w:color w:val="auto"/>
          <w:highlight w:val="none"/>
        </w:rPr>
        <w:t>包人</w:t>
      </w:r>
      <w:r>
        <w:rPr>
          <w:rFonts w:hint="eastAsia"/>
          <w:color w:val="auto"/>
          <w:highlight w:val="none"/>
        </w:rPr>
        <w:t>进行成品保护意识的教育。明确</w:t>
      </w:r>
      <w:r>
        <w:rPr>
          <w:rFonts w:hint="eastAsia"/>
          <w:color w:val="auto"/>
          <w:highlight w:val="none"/>
          <w:lang w:val="en-US" w:eastAsia="zh-CN"/>
        </w:rPr>
        <w:t>其他</w:t>
      </w:r>
      <w:r>
        <w:rPr>
          <w:rFonts w:hint="eastAsia"/>
          <w:bCs/>
          <w:color w:val="auto"/>
          <w:highlight w:val="none"/>
          <w:lang w:val="en-US" w:eastAsia="zh-CN"/>
        </w:rPr>
        <w:t>专业承</w:t>
      </w:r>
      <w:r>
        <w:rPr>
          <w:rFonts w:hint="eastAsia"/>
          <w:bCs/>
          <w:color w:val="auto"/>
          <w:highlight w:val="none"/>
        </w:rPr>
        <w:t>包人</w:t>
      </w:r>
      <w:r>
        <w:rPr>
          <w:rFonts w:hint="eastAsia"/>
          <w:color w:val="auto"/>
          <w:highlight w:val="none"/>
        </w:rPr>
        <w:t>人在施工中负责自身完成部分的成品保护直至工作面移交，竣工收尾阶段</w:t>
      </w:r>
      <w:r>
        <w:rPr>
          <w:rFonts w:hint="eastAsia"/>
          <w:color w:val="auto"/>
          <w:highlight w:val="none"/>
          <w:lang w:eastAsia="zh-CN"/>
        </w:rPr>
        <w:t>专业承包人</w:t>
      </w:r>
      <w:r>
        <w:rPr>
          <w:rFonts w:hint="eastAsia"/>
          <w:color w:val="auto"/>
          <w:highlight w:val="none"/>
        </w:rPr>
        <w:t>安排专门的成品保护人员统一管理。</w:t>
      </w:r>
    </w:p>
    <w:p w14:paraId="7430E3F0">
      <w:pPr>
        <w:pStyle w:val="2"/>
        <w:rPr>
          <w:rFonts w:hint="eastAsia"/>
          <w:color w:val="auto"/>
          <w:highlight w:val="none"/>
          <w:lang w:eastAsia="zh-CN"/>
        </w:rPr>
        <w:sectPr>
          <w:footerReference r:id="rId5" w:type="default"/>
          <w:endnotePr>
            <w:numFmt w:val="decimal"/>
          </w:endnotePr>
          <w:pgSz w:w="11906" w:h="16838"/>
          <w:pgMar w:top="1134" w:right="1701" w:bottom="1134" w:left="1560" w:header="0" w:footer="567" w:gutter="0"/>
          <w:pgNumType w:fmt="decimal" w:start="1"/>
          <w:cols w:space="425" w:num="1"/>
          <w:docGrid w:linePitch="326" w:charSpace="0"/>
        </w:sectPr>
      </w:pPr>
    </w:p>
    <w:p w14:paraId="25EE766C">
      <w:pPr>
        <w:pStyle w:val="3"/>
        <w:bidi w:val="0"/>
        <w:rPr>
          <w:rFonts w:hint="eastAsia" w:ascii="宋体" w:hAnsi="宋体" w:eastAsia="宋体"/>
          <w:color w:val="auto"/>
          <w:highlight w:val="none"/>
        </w:rPr>
      </w:pPr>
      <w:bookmarkStart w:id="169" w:name="_Toc1513"/>
      <w:r>
        <w:rPr>
          <w:rFonts w:hint="eastAsia" w:ascii="宋体" w:hAnsi="宋体" w:eastAsia="宋体"/>
          <w:color w:val="auto"/>
          <w:highlight w:val="none"/>
        </w:rPr>
        <w:t>项目组织架构及工作要求</w:t>
      </w:r>
      <w:bookmarkEnd w:id="65"/>
      <w:bookmarkEnd w:id="169"/>
    </w:p>
    <w:p w14:paraId="00BE9776">
      <w:pPr>
        <w:pStyle w:val="4"/>
        <w:widowControl/>
        <w:numPr>
          <w:ilvl w:val="0"/>
          <w:numId w:val="11"/>
        </w:numPr>
        <w:spacing w:before="120" w:after="120" w:line="240" w:lineRule="auto"/>
        <w:ind w:left="0" w:firstLine="0" w:firstLineChars="0"/>
        <w:rPr>
          <w:color w:val="auto"/>
          <w:highlight w:val="none"/>
        </w:rPr>
      </w:pPr>
      <w:bookmarkStart w:id="170" w:name="_Toc153907564"/>
      <w:bookmarkStart w:id="171" w:name="_Toc6259"/>
      <w:r>
        <w:rPr>
          <w:rFonts w:hint="eastAsia"/>
          <w:color w:val="auto"/>
          <w:highlight w:val="none"/>
        </w:rPr>
        <w:t>项目</w:t>
      </w:r>
      <w:r>
        <w:rPr>
          <w:color w:val="auto"/>
          <w:highlight w:val="none"/>
        </w:rPr>
        <w:t>管理团队组织架构设置要求</w:t>
      </w:r>
      <w:bookmarkEnd w:id="170"/>
      <w:bookmarkEnd w:id="171"/>
    </w:p>
    <w:p w14:paraId="6F55F875">
      <w:pPr>
        <w:keepNext w:val="0"/>
        <w:keepLines w:val="0"/>
        <w:pageBreakBefore w:val="0"/>
        <w:widowControl w:val="0"/>
        <w:numPr>
          <w:ilvl w:val="2"/>
          <w:numId w:val="12"/>
        </w:numPr>
        <w:tabs>
          <w:tab w:val="left" w:pos="0"/>
          <w:tab w:val="clear" w:pos="420"/>
        </w:tabs>
        <w:kinsoku/>
        <w:wordWrap/>
        <w:overflowPunct/>
        <w:topLinePunct w:val="0"/>
        <w:autoSpaceDE/>
        <w:autoSpaceDN/>
        <w:bidi w:val="0"/>
        <w:adjustRightInd/>
        <w:snapToGrid w:val="0"/>
        <w:ind w:firstLine="480" w:firstLineChars="200"/>
        <w:textAlignment w:val="auto"/>
        <w:outlineLvl w:val="2"/>
        <w:rPr>
          <w:color w:val="auto"/>
          <w:highlight w:val="none"/>
        </w:rPr>
      </w:pPr>
      <w:r>
        <w:rPr>
          <w:rFonts w:hint="eastAsia"/>
          <w:color w:val="auto"/>
          <w:highlight w:val="none"/>
        </w:rPr>
        <w:t>人员要求</w:t>
      </w:r>
    </w:p>
    <w:p w14:paraId="636BDB0A">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5.1.1.1</w:t>
      </w:r>
      <w:r>
        <w:rPr>
          <w:rFonts w:hint="eastAsia"/>
          <w:bCs/>
          <w:color w:val="auto"/>
          <w:highlight w:val="none"/>
        </w:rPr>
        <w:t>在</w:t>
      </w:r>
      <w:r>
        <w:rPr>
          <w:rFonts w:hint="eastAsia"/>
          <w:bCs/>
          <w:color w:val="auto"/>
          <w:highlight w:val="none"/>
          <w:lang w:val="en-US" w:eastAsia="zh-CN"/>
        </w:rPr>
        <w:t>项目进场准备</w:t>
      </w:r>
      <w:r>
        <w:rPr>
          <w:rFonts w:hint="eastAsia"/>
          <w:bCs/>
          <w:color w:val="auto"/>
          <w:highlight w:val="none"/>
        </w:rPr>
        <w:t>阶段，发包人将对</w:t>
      </w:r>
      <w:r>
        <w:rPr>
          <w:rFonts w:hint="eastAsia"/>
          <w:bCs/>
          <w:color w:val="auto"/>
          <w:highlight w:val="none"/>
          <w:lang w:eastAsia="zh-CN"/>
        </w:rPr>
        <w:t>专业承包人</w:t>
      </w:r>
      <w:r>
        <w:rPr>
          <w:rFonts w:hint="eastAsia"/>
          <w:bCs/>
          <w:color w:val="auto"/>
          <w:highlight w:val="none"/>
        </w:rPr>
        <w:t>管理团队进行面试打分，选定的项目主要管理人员（包括项目经理、生产经理、技术总工、质量经理、商务经理）进行面试，并有权要求</w:t>
      </w:r>
      <w:r>
        <w:rPr>
          <w:rFonts w:hint="eastAsia"/>
          <w:bCs/>
          <w:color w:val="auto"/>
          <w:highlight w:val="none"/>
          <w:lang w:eastAsia="zh-CN"/>
        </w:rPr>
        <w:t>专业承包人</w:t>
      </w:r>
      <w:r>
        <w:rPr>
          <w:rFonts w:hint="eastAsia"/>
          <w:bCs/>
          <w:color w:val="auto"/>
          <w:highlight w:val="none"/>
        </w:rPr>
        <w:t>更换未通过面试的主要管理人员，一经确定，原则上不得更换。</w:t>
      </w:r>
    </w:p>
    <w:p w14:paraId="34F62CBF">
      <w:pPr>
        <w:keepNext w:val="0"/>
        <w:keepLines w:val="0"/>
        <w:pageBreakBefore w:val="0"/>
        <w:widowControl w:val="0"/>
        <w:numPr>
          <w:ilvl w:val="0"/>
          <w:numId w:val="0"/>
        </w:numPr>
        <w:tabs>
          <w:tab w:val="left" w:pos="40"/>
        </w:tabs>
        <w:kinsoku/>
        <w:wordWrap/>
        <w:overflowPunct/>
        <w:topLinePunct w:val="0"/>
        <w:autoSpaceDE/>
        <w:autoSpaceDN/>
        <w:bidi w:val="0"/>
        <w:adjustRightInd/>
        <w:snapToGrid w:val="0"/>
        <w:ind w:leftChars="0" w:firstLine="480" w:firstLineChars="200"/>
        <w:jc w:val="left"/>
        <w:textAlignment w:val="auto"/>
        <w:outlineLvl w:val="3"/>
        <w:rPr>
          <w:bCs/>
          <w:color w:val="auto"/>
          <w:highlight w:val="none"/>
        </w:rPr>
      </w:pPr>
      <w:r>
        <w:rPr>
          <w:rFonts w:hint="eastAsia"/>
          <w:bCs/>
          <w:color w:val="auto"/>
          <w:highlight w:val="none"/>
          <w:lang w:val="en-US" w:eastAsia="zh-CN"/>
        </w:rPr>
        <w:t>5.1.1.2</w:t>
      </w:r>
      <w:r>
        <w:rPr>
          <w:rFonts w:hint="eastAsia"/>
          <w:bCs/>
          <w:color w:val="auto"/>
          <w:highlight w:val="none"/>
        </w:rPr>
        <w:t>在项目实施阶段，发包人将对</w:t>
      </w:r>
      <w:r>
        <w:rPr>
          <w:rFonts w:hint="eastAsia"/>
          <w:bCs/>
          <w:color w:val="auto"/>
          <w:highlight w:val="none"/>
          <w:lang w:eastAsia="zh-CN"/>
        </w:rPr>
        <w:t>专业承包人</w:t>
      </w:r>
      <w:r>
        <w:rPr>
          <w:rFonts w:hint="eastAsia"/>
          <w:bCs/>
          <w:color w:val="auto"/>
          <w:highlight w:val="none"/>
        </w:rPr>
        <w:t>现场主要管理人员进行评测或考核，对于无法达到发包人要求或考核不合格的主要管理人员或</w:t>
      </w:r>
      <w:r>
        <w:rPr>
          <w:rFonts w:hint="eastAsia"/>
          <w:bCs/>
          <w:color w:val="auto"/>
          <w:highlight w:val="none"/>
          <w:lang w:eastAsia="zh-CN"/>
        </w:rPr>
        <w:t>专业承包人</w:t>
      </w:r>
      <w:r>
        <w:rPr>
          <w:rFonts w:hint="eastAsia"/>
          <w:bCs/>
          <w:color w:val="auto"/>
          <w:highlight w:val="none"/>
        </w:rPr>
        <w:t>发生包含不限于以下任一行为的，发包人均有权要求更换</w:t>
      </w:r>
      <w:r>
        <w:rPr>
          <w:rFonts w:hint="eastAsia"/>
          <w:bCs/>
          <w:color w:val="auto"/>
          <w:highlight w:val="none"/>
          <w:lang w:eastAsia="zh-CN"/>
        </w:rPr>
        <w:t>专业承包人</w:t>
      </w:r>
      <w:r>
        <w:rPr>
          <w:rFonts w:hint="eastAsia"/>
          <w:bCs/>
          <w:color w:val="auto"/>
          <w:highlight w:val="none"/>
        </w:rPr>
        <w:t>的项目管理人员，</w:t>
      </w:r>
      <w:r>
        <w:rPr>
          <w:rFonts w:hint="eastAsia"/>
          <w:bCs/>
          <w:color w:val="auto"/>
          <w:highlight w:val="none"/>
          <w:lang w:eastAsia="zh-CN"/>
        </w:rPr>
        <w:t>专业承包人</w:t>
      </w:r>
      <w:r>
        <w:rPr>
          <w:rFonts w:hint="eastAsia"/>
          <w:bCs/>
          <w:color w:val="auto"/>
          <w:highlight w:val="none"/>
        </w:rPr>
        <w:t>应按照发包人要求进行更换，直到满足发包人要求为准：</w:t>
      </w:r>
    </w:p>
    <w:p w14:paraId="1574E761">
      <w:pPr>
        <w:pStyle w:val="36"/>
        <w:keepNext w:val="0"/>
        <w:keepLines w:val="0"/>
        <w:pageBreakBefore w:val="0"/>
        <w:widowControl w:val="0"/>
        <w:numPr>
          <w:ilvl w:val="0"/>
          <w:numId w:val="13"/>
        </w:numPr>
        <w:kinsoku/>
        <w:wordWrap/>
        <w:overflowPunct/>
        <w:topLinePunct w:val="0"/>
        <w:autoSpaceDE/>
        <w:autoSpaceDN/>
        <w:bidi w:val="0"/>
        <w:adjustRightInd/>
        <w:snapToGrid w:val="0"/>
        <w:ind w:firstLine="480"/>
        <w:jc w:val="left"/>
        <w:textAlignment w:val="auto"/>
        <w:rPr>
          <w:color w:val="auto"/>
          <w:highlight w:val="none"/>
        </w:rPr>
      </w:pPr>
      <w:r>
        <w:rPr>
          <w:rFonts w:hint="eastAsia"/>
          <w:color w:val="auto"/>
          <w:highlight w:val="none"/>
        </w:rPr>
        <w:t>不按照发包人要求落实现场工作；</w:t>
      </w:r>
    </w:p>
    <w:p w14:paraId="1F43104A">
      <w:pPr>
        <w:pStyle w:val="36"/>
        <w:keepNext w:val="0"/>
        <w:keepLines w:val="0"/>
        <w:pageBreakBefore w:val="0"/>
        <w:widowControl w:val="0"/>
        <w:numPr>
          <w:ilvl w:val="0"/>
          <w:numId w:val="13"/>
        </w:numPr>
        <w:kinsoku/>
        <w:wordWrap/>
        <w:overflowPunct/>
        <w:topLinePunct w:val="0"/>
        <w:autoSpaceDE/>
        <w:autoSpaceDN/>
        <w:bidi w:val="0"/>
        <w:adjustRightInd/>
        <w:snapToGrid w:val="0"/>
        <w:ind w:firstLine="480"/>
        <w:jc w:val="left"/>
        <w:textAlignment w:val="auto"/>
        <w:rPr>
          <w:color w:val="auto"/>
          <w:highlight w:val="none"/>
        </w:rPr>
      </w:pPr>
      <w:r>
        <w:rPr>
          <w:rFonts w:hint="eastAsia"/>
          <w:color w:val="auto"/>
          <w:highlight w:val="none"/>
        </w:rPr>
        <w:t>不配合发包人、</w:t>
      </w:r>
      <w:r>
        <w:rPr>
          <w:rFonts w:hint="eastAsia"/>
          <w:color w:val="auto"/>
          <w:highlight w:val="none"/>
          <w:lang w:eastAsia="zh-CN"/>
        </w:rPr>
        <w:t>总承包人</w:t>
      </w:r>
      <w:r>
        <w:rPr>
          <w:rFonts w:hint="eastAsia"/>
          <w:color w:val="auto"/>
          <w:highlight w:val="none"/>
        </w:rPr>
        <w:t>或其他专业</w:t>
      </w:r>
      <w:r>
        <w:rPr>
          <w:rFonts w:hint="eastAsia"/>
          <w:color w:val="auto"/>
          <w:highlight w:val="none"/>
          <w:lang w:eastAsia="zh-CN"/>
        </w:rPr>
        <w:t>承</w:t>
      </w:r>
      <w:r>
        <w:rPr>
          <w:rFonts w:hint="eastAsia"/>
          <w:color w:val="auto"/>
          <w:highlight w:val="none"/>
        </w:rPr>
        <w:t>包的现场工作；</w:t>
      </w:r>
    </w:p>
    <w:p w14:paraId="60D7B498">
      <w:pPr>
        <w:pStyle w:val="36"/>
        <w:keepNext w:val="0"/>
        <w:keepLines w:val="0"/>
        <w:pageBreakBefore w:val="0"/>
        <w:widowControl w:val="0"/>
        <w:numPr>
          <w:ilvl w:val="0"/>
          <w:numId w:val="13"/>
        </w:numPr>
        <w:kinsoku/>
        <w:wordWrap/>
        <w:overflowPunct/>
        <w:topLinePunct w:val="0"/>
        <w:autoSpaceDE/>
        <w:autoSpaceDN/>
        <w:bidi w:val="0"/>
        <w:adjustRightInd/>
        <w:snapToGrid w:val="0"/>
        <w:ind w:firstLine="480"/>
        <w:jc w:val="left"/>
        <w:textAlignment w:val="auto"/>
        <w:rPr>
          <w:color w:val="auto"/>
          <w:highlight w:val="none"/>
        </w:rPr>
      </w:pPr>
      <w:r>
        <w:rPr>
          <w:rFonts w:hint="eastAsia"/>
          <w:color w:val="auto"/>
          <w:highlight w:val="none"/>
        </w:rPr>
        <w:t>不配合相关检查验收工作；</w:t>
      </w:r>
    </w:p>
    <w:p w14:paraId="2878A927">
      <w:pPr>
        <w:pStyle w:val="36"/>
        <w:keepNext w:val="0"/>
        <w:keepLines w:val="0"/>
        <w:pageBreakBefore w:val="0"/>
        <w:widowControl w:val="0"/>
        <w:numPr>
          <w:ilvl w:val="0"/>
          <w:numId w:val="13"/>
        </w:numPr>
        <w:kinsoku/>
        <w:wordWrap/>
        <w:overflowPunct/>
        <w:topLinePunct w:val="0"/>
        <w:autoSpaceDE/>
        <w:autoSpaceDN/>
        <w:bidi w:val="0"/>
        <w:adjustRightInd/>
        <w:snapToGrid w:val="0"/>
        <w:ind w:firstLine="480"/>
        <w:jc w:val="left"/>
        <w:textAlignment w:val="auto"/>
        <w:rPr>
          <w:color w:val="auto"/>
          <w:highlight w:val="none"/>
        </w:rPr>
      </w:pPr>
      <w:r>
        <w:rPr>
          <w:rFonts w:hint="eastAsia"/>
          <w:color w:val="auto"/>
          <w:highlight w:val="none"/>
        </w:rPr>
        <w:t>工作态度不端正，责任心不强的管理人员；</w:t>
      </w:r>
    </w:p>
    <w:p w14:paraId="19E0937A">
      <w:pPr>
        <w:pStyle w:val="36"/>
        <w:keepNext w:val="0"/>
        <w:keepLines w:val="0"/>
        <w:pageBreakBefore w:val="0"/>
        <w:widowControl w:val="0"/>
        <w:numPr>
          <w:ilvl w:val="0"/>
          <w:numId w:val="13"/>
        </w:numPr>
        <w:kinsoku/>
        <w:wordWrap/>
        <w:overflowPunct/>
        <w:topLinePunct w:val="0"/>
        <w:autoSpaceDE/>
        <w:autoSpaceDN/>
        <w:bidi w:val="0"/>
        <w:adjustRightInd/>
        <w:snapToGrid w:val="0"/>
        <w:ind w:firstLine="480"/>
        <w:jc w:val="left"/>
        <w:textAlignment w:val="auto"/>
        <w:rPr>
          <w:color w:val="auto"/>
          <w:highlight w:val="none"/>
        </w:rPr>
      </w:pPr>
      <w:r>
        <w:rPr>
          <w:rFonts w:hint="eastAsia"/>
          <w:color w:val="auto"/>
          <w:highlight w:val="none"/>
        </w:rPr>
        <w:t>不履行发包人合同约定的相关工作；</w:t>
      </w:r>
    </w:p>
    <w:p w14:paraId="7184AED8">
      <w:pPr>
        <w:pStyle w:val="36"/>
        <w:keepNext w:val="0"/>
        <w:keepLines w:val="0"/>
        <w:pageBreakBefore w:val="0"/>
        <w:widowControl w:val="0"/>
        <w:numPr>
          <w:ilvl w:val="0"/>
          <w:numId w:val="13"/>
        </w:numPr>
        <w:kinsoku/>
        <w:wordWrap/>
        <w:overflowPunct/>
        <w:topLinePunct w:val="0"/>
        <w:autoSpaceDE/>
        <w:autoSpaceDN/>
        <w:bidi w:val="0"/>
        <w:adjustRightInd/>
        <w:snapToGrid w:val="0"/>
        <w:ind w:firstLine="480"/>
        <w:jc w:val="left"/>
        <w:textAlignment w:val="auto"/>
        <w:rPr>
          <w:color w:val="auto"/>
          <w:highlight w:val="none"/>
        </w:rPr>
      </w:pPr>
      <w:r>
        <w:rPr>
          <w:rFonts w:hint="eastAsia"/>
          <w:color w:val="auto"/>
          <w:highlight w:val="none"/>
        </w:rPr>
        <w:t>不能完成质量或进度或安全等管理目标。</w:t>
      </w:r>
    </w:p>
    <w:p w14:paraId="6FBBE681">
      <w:pPr>
        <w:numPr>
          <w:ilvl w:val="2"/>
          <w:numId w:val="12"/>
        </w:numPr>
        <w:tabs>
          <w:tab w:val="left" w:pos="0"/>
          <w:tab w:val="clear" w:pos="420"/>
        </w:tabs>
        <w:spacing w:before="120" w:beforeLines="50" w:after="120" w:afterLines="50"/>
        <w:ind w:firstLineChars="0"/>
        <w:rPr>
          <w:color w:val="auto"/>
          <w:highlight w:val="none"/>
        </w:rPr>
      </w:pPr>
      <w:r>
        <w:rPr>
          <w:rFonts w:hint="eastAsia"/>
          <w:color w:val="auto"/>
          <w:highlight w:val="none"/>
        </w:rPr>
        <w:t>架构要求</w:t>
      </w:r>
    </w:p>
    <w:tbl>
      <w:tblPr>
        <w:tblStyle w:val="22"/>
        <w:tblW w:w="0" w:type="auto"/>
        <w:tblInd w:w="10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57"/>
        <w:gridCol w:w="1230"/>
        <w:gridCol w:w="457"/>
        <w:gridCol w:w="5718"/>
        <w:gridCol w:w="990"/>
      </w:tblGrid>
      <w:tr w14:paraId="5FD3FA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57" w:type="dxa"/>
            <w:tcBorders>
              <w:top w:val="single" w:color="000000" w:sz="8" w:space="0"/>
              <w:left w:val="single" w:color="000000" w:sz="8" w:space="0"/>
              <w:bottom w:val="single" w:color="000000" w:sz="8" w:space="0"/>
              <w:right w:val="single" w:color="000000" w:sz="8" w:space="0"/>
            </w:tcBorders>
            <w:noWrap w:val="0"/>
            <w:vAlign w:val="center"/>
          </w:tcPr>
          <w:p w14:paraId="159F8821">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b/>
                <w:bCs/>
                <w:snapToGrid w:val="0"/>
                <w:kern w:val="0"/>
                <w:sz w:val="24"/>
                <w:highlight w:val="none"/>
                <w:lang w:bidi="ar"/>
              </w:rPr>
            </w:pPr>
            <w:r>
              <w:rPr>
                <w:rFonts w:hint="eastAsia" w:asciiTheme="majorEastAsia" w:hAnsiTheme="majorEastAsia" w:eastAsiaTheme="majorEastAsia" w:cstheme="majorEastAsia"/>
                <w:b/>
                <w:bCs/>
                <w:snapToGrid w:val="0"/>
                <w:kern w:val="0"/>
                <w:sz w:val="24"/>
                <w:highlight w:val="none"/>
                <w:lang w:val="en-US" w:eastAsia="zh-CN" w:bidi="ar"/>
              </w:rPr>
              <w:t>序号</w:t>
            </w:r>
          </w:p>
        </w:tc>
        <w:tc>
          <w:tcPr>
            <w:tcW w:w="1230" w:type="dxa"/>
            <w:tcBorders>
              <w:top w:val="single" w:color="000000" w:sz="8" w:space="0"/>
              <w:left w:val="nil"/>
              <w:bottom w:val="single" w:color="000000" w:sz="8" w:space="0"/>
              <w:right w:val="single" w:color="000000" w:sz="8" w:space="0"/>
            </w:tcBorders>
            <w:noWrap w:val="0"/>
            <w:vAlign w:val="center"/>
          </w:tcPr>
          <w:p w14:paraId="609C4C66">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b/>
                <w:bCs/>
                <w:snapToGrid w:val="0"/>
                <w:kern w:val="0"/>
                <w:sz w:val="24"/>
                <w:highlight w:val="none"/>
                <w:lang w:bidi="ar"/>
              </w:rPr>
            </w:pPr>
            <w:r>
              <w:rPr>
                <w:rFonts w:hint="eastAsia" w:asciiTheme="majorEastAsia" w:hAnsiTheme="majorEastAsia" w:eastAsiaTheme="majorEastAsia" w:cstheme="majorEastAsia"/>
                <w:b/>
                <w:bCs/>
                <w:snapToGrid w:val="0"/>
                <w:kern w:val="0"/>
                <w:sz w:val="24"/>
                <w:highlight w:val="none"/>
                <w:lang w:val="en-US" w:eastAsia="zh-CN" w:bidi="ar"/>
              </w:rPr>
              <w:t>职务</w:t>
            </w:r>
          </w:p>
        </w:tc>
        <w:tc>
          <w:tcPr>
            <w:tcW w:w="457" w:type="dxa"/>
            <w:tcBorders>
              <w:top w:val="single" w:color="000000" w:sz="8" w:space="0"/>
              <w:left w:val="nil"/>
              <w:bottom w:val="single" w:color="000000" w:sz="8" w:space="0"/>
              <w:right w:val="single" w:color="000000" w:sz="8" w:space="0"/>
            </w:tcBorders>
            <w:noWrap w:val="0"/>
            <w:vAlign w:val="center"/>
          </w:tcPr>
          <w:p w14:paraId="6CFD7446">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b/>
                <w:bCs/>
                <w:snapToGrid w:val="0"/>
                <w:kern w:val="0"/>
                <w:sz w:val="24"/>
                <w:highlight w:val="none"/>
                <w:lang w:bidi="ar"/>
              </w:rPr>
            </w:pPr>
            <w:r>
              <w:rPr>
                <w:rFonts w:hint="eastAsia" w:asciiTheme="majorEastAsia" w:hAnsiTheme="majorEastAsia" w:eastAsiaTheme="majorEastAsia" w:cstheme="majorEastAsia"/>
                <w:b/>
                <w:bCs/>
                <w:snapToGrid w:val="0"/>
                <w:kern w:val="0"/>
                <w:sz w:val="24"/>
                <w:highlight w:val="none"/>
                <w:lang w:val="en-US" w:eastAsia="zh-CN" w:bidi="ar"/>
              </w:rPr>
              <w:t>人数</w:t>
            </w:r>
          </w:p>
        </w:tc>
        <w:tc>
          <w:tcPr>
            <w:tcW w:w="5718" w:type="dxa"/>
            <w:tcBorders>
              <w:top w:val="single" w:color="000000" w:sz="8" w:space="0"/>
              <w:left w:val="nil"/>
              <w:bottom w:val="single" w:color="000000" w:sz="8" w:space="0"/>
              <w:right w:val="single" w:color="000000" w:sz="8" w:space="0"/>
            </w:tcBorders>
            <w:noWrap w:val="0"/>
            <w:vAlign w:val="center"/>
          </w:tcPr>
          <w:p w14:paraId="7782AFA2">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b/>
                <w:bCs/>
                <w:snapToGrid w:val="0"/>
                <w:kern w:val="0"/>
                <w:sz w:val="24"/>
                <w:highlight w:val="none"/>
                <w:lang w:bidi="ar"/>
              </w:rPr>
            </w:pPr>
            <w:r>
              <w:rPr>
                <w:rFonts w:hint="eastAsia" w:asciiTheme="majorEastAsia" w:hAnsiTheme="majorEastAsia" w:eastAsiaTheme="majorEastAsia" w:cstheme="majorEastAsia"/>
                <w:b/>
                <w:bCs/>
                <w:snapToGrid w:val="0"/>
                <w:kern w:val="0"/>
                <w:sz w:val="24"/>
                <w:highlight w:val="none"/>
                <w:lang w:val="en-US" w:eastAsia="zh-CN" w:bidi="ar"/>
              </w:rPr>
              <w:t>基本任职条件</w:t>
            </w:r>
          </w:p>
        </w:tc>
        <w:tc>
          <w:tcPr>
            <w:tcW w:w="990" w:type="dxa"/>
            <w:tcBorders>
              <w:top w:val="single" w:color="000000" w:sz="8" w:space="0"/>
              <w:left w:val="nil"/>
              <w:bottom w:val="single" w:color="000000" w:sz="8" w:space="0"/>
              <w:right w:val="single" w:color="000000" w:sz="8" w:space="0"/>
            </w:tcBorders>
            <w:noWrap w:val="0"/>
            <w:vAlign w:val="center"/>
          </w:tcPr>
          <w:p w14:paraId="4EDE9D4F">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b/>
                <w:bCs/>
                <w:snapToGrid w:val="0"/>
                <w:kern w:val="0"/>
                <w:sz w:val="24"/>
                <w:highlight w:val="none"/>
                <w:lang w:bidi="ar"/>
              </w:rPr>
            </w:pPr>
            <w:r>
              <w:rPr>
                <w:rFonts w:hint="eastAsia" w:asciiTheme="majorEastAsia" w:hAnsiTheme="majorEastAsia" w:eastAsiaTheme="majorEastAsia" w:cstheme="majorEastAsia"/>
                <w:b/>
                <w:bCs/>
                <w:snapToGrid w:val="0"/>
                <w:kern w:val="0"/>
                <w:sz w:val="24"/>
                <w:highlight w:val="none"/>
                <w:lang w:val="en-US" w:eastAsia="zh-CN" w:bidi="ar"/>
              </w:rPr>
              <w:t>备注</w:t>
            </w:r>
          </w:p>
        </w:tc>
      </w:tr>
      <w:tr w14:paraId="5824C2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457" w:type="dxa"/>
            <w:tcBorders>
              <w:top w:val="nil"/>
              <w:left w:val="single" w:color="000000" w:sz="8" w:space="0"/>
              <w:bottom w:val="single" w:color="000000" w:sz="8" w:space="0"/>
              <w:right w:val="single" w:color="000000" w:sz="8" w:space="0"/>
            </w:tcBorders>
            <w:noWrap w:val="0"/>
            <w:vAlign w:val="center"/>
          </w:tcPr>
          <w:p w14:paraId="50D7C986">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1</w:t>
            </w:r>
          </w:p>
        </w:tc>
        <w:tc>
          <w:tcPr>
            <w:tcW w:w="1230" w:type="dxa"/>
            <w:tcBorders>
              <w:top w:val="nil"/>
              <w:left w:val="nil"/>
              <w:bottom w:val="single" w:color="000000" w:sz="8" w:space="0"/>
              <w:right w:val="single" w:color="000000" w:sz="8" w:space="0"/>
            </w:tcBorders>
            <w:noWrap w:val="0"/>
            <w:vAlign w:val="center"/>
          </w:tcPr>
          <w:p w14:paraId="45C24B54">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指挥长</w:t>
            </w:r>
          </w:p>
        </w:tc>
        <w:tc>
          <w:tcPr>
            <w:tcW w:w="457" w:type="dxa"/>
            <w:tcBorders>
              <w:top w:val="nil"/>
              <w:left w:val="nil"/>
              <w:bottom w:val="single" w:color="000000" w:sz="8" w:space="0"/>
              <w:right w:val="single" w:color="000000" w:sz="8" w:space="0"/>
            </w:tcBorders>
            <w:noWrap w:val="0"/>
            <w:vAlign w:val="center"/>
          </w:tcPr>
          <w:p w14:paraId="03FE4869">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1</w:t>
            </w:r>
          </w:p>
        </w:tc>
        <w:tc>
          <w:tcPr>
            <w:tcW w:w="5718" w:type="dxa"/>
            <w:tcBorders>
              <w:top w:val="nil"/>
              <w:left w:val="nil"/>
              <w:bottom w:val="single" w:color="000000" w:sz="8" w:space="0"/>
              <w:right w:val="single" w:color="000000" w:sz="8" w:space="0"/>
            </w:tcBorders>
            <w:noWrap w:val="0"/>
            <w:vAlign w:val="center"/>
          </w:tcPr>
          <w:p w14:paraId="09911014">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应由专业承包人现任单位领导班子副职或以上级别的领导担任，且应已任该职务满半年或以上。</w:t>
            </w:r>
          </w:p>
        </w:tc>
        <w:tc>
          <w:tcPr>
            <w:tcW w:w="990" w:type="dxa"/>
            <w:tcBorders>
              <w:top w:val="nil"/>
              <w:left w:val="nil"/>
              <w:bottom w:val="single" w:color="000000" w:sz="8" w:space="0"/>
              <w:right w:val="single" w:color="000000" w:sz="8" w:space="0"/>
            </w:tcBorders>
            <w:noWrap w:val="0"/>
            <w:vAlign w:val="center"/>
          </w:tcPr>
          <w:p w14:paraId="0350D6A6">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val="en-US" w:eastAsia="zh-CN" w:bidi="ar"/>
              </w:rPr>
            </w:pPr>
            <w:r>
              <w:rPr>
                <w:rFonts w:hint="eastAsia" w:asciiTheme="majorEastAsia" w:hAnsiTheme="majorEastAsia" w:eastAsiaTheme="majorEastAsia" w:cstheme="majorEastAsia"/>
                <w:snapToGrid w:val="0"/>
                <w:kern w:val="0"/>
                <w:sz w:val="24"/>
                <w:highlight w:val="none"/>
                <w:lang w:val="en-US" w:eastAsia="zh-CN" w:bidi="ar"/>
              </w:rPr>
              <w:t>不要求驻场</w:t>
            </w:r>
          </w:p>
        </w:tc>
      </w:tr>
      <w:tr w14:paraId="7CD63E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457" w:type="dxa"/>
            <w:tcBorders>
              <w:top w:val="nil"/>
              <w:left w:val="single" w:color="000000" w:sz="8" w:space="0"/>
              <w:bottom w:val="single" w:color="000000" w:sz="8" w:space="0"/>
              <w:right w:val="single" w:color="000000" w:sz="8" w:space="0"/>
            </w:tcBorders>
            <w:noWrap w:val="0"/>
            <w:vAlign w:val="center"/>
          </w:tcPr>
          <w:p w14:paraId="6EEDFB75">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2</w:t>
            </w:r>
          </w:p>
        </w:tc>
        <w:tc>
          <w:tcPr>
            <w:tcW w:w="1230" w:type="dxa"/>
            <w:tcBorders>
              <w:top w:val="nil"/>
              <w:left w:val="nil"/>
              <w:bottom w:val="single" w:color="000000" w:sz="8" w:space="0"/>
              <w:right w:val="single" w:color="000000" w:sz="8" w:space="0"/>
            </w:tcBorders>
            <w:noWrap w:val="0"/>
            <w:vAlign w:val="center"/>
          </w:tcPr>
          <w:p w14:paraId="58BBDC2B">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项目负责人</w:t>
            </w:r>
          </w:p>
        </w:tc>
        <w:tc>
          <w:tcPr>
            <w:tcW w:w="457" w:type="dxa"/>
            <w:tcBorders>
              <w:top w:val="nil"/>
              <w:left w:val="nil"/>
              <w:bottom w:val="single" w:color="000000" w:sz="8" w:space="0"/>
              <w:right w:val="single" w:color="000000" w:sz="8" w:space="0"/>
            </w:tcBorders>
            <w:noWrap w:val="0"/>
            <w:vAlign w:val="center"/>
          </w:tcPr>
          <w:p w14:paraId="50F8D86E">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1</w:t>
            </w:r>
          </w:p>
        </w:tc>
        <w:tc>
          <w:tcPr>
            <w:tcW w:w="5718" w:type="dxa"/>
            <w:tcBorders>
              <w:top w:val="nil"/>
              <w:left w:val="nil"/>
              <w:bottom w:val="single" w:color="000000" w:sz="8" w:space="0"/>
              <w:right w:val="single" w:color="000000" w:sz="8" w:space="0"/>
            </w:tcBorders>
            <w:noWrap w:val="0"/>
            <w:vAlign w:val="center"/>
          </w:tcPr>
          <w:p w14:paraId="54DBF4CB">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val="en-US" w:bidi="ar"/>
              </w:rPr>
            </w:pPr>
            <w:r>
              <w:rPr>
                <w:rFonts w:hint="eastAsia" w:asciiTheme="majorEastAsia" w:hAnsiTheme="majorEastAsia" w:eastAsiaTheme="majorEastAsia" w:cstheme="majorEastAsia"/>
                <w:snapToGrid w:val="0"/>
                <w:kern w:val="0"/>
                <w:sz w:val="24"/>
                <w:highlight w:val="none"/>
                <w:lang w:val="en-US" w:eastAsia="zh-CN" w:bidi="ar"/>
              </w:rPr>
              <w:t>按招标公告要求</w:t>
            </w:r>
          </w:p>
        </w:tc>
        <w:tc>
          <w:tcPr>
            <w:tcW w:w="990" w:type="dxa"/>
            <w:tcBorders>
              <w:top w:val="nil"/>
              <w:left w:val="nil"/>
              <w:bottom w:val="single" w:color="000000" w:sz="8" w:space="0"/>
              <w:right w:val="single" w:color="000000" w:sz="8" w:space="0"/>
            </w:tcBorders>
            <w:noWrap w:val="0"/>
            <w:vAlign w:val="center"/>
          </w:tcPr>
          <w:p w14:paraId="575EC380">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关键岗位</w:t>
            </w:r>
          </w:p>
        </w:tc>
      </w:tr>
      <w:tr w14:paraId="4FA7E8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457" w:type="dxa"/>
            <w:tcBorders>
              <w:top w:val="nil"/>
              <w:left w:val="single" w:color="000000" w:sz="8" w:space="0"/>
              <w:bottom w:val="single" w:color="000000" w:sz="8" w:space="0"/>
              <w:right w:val="single" w:color="000000" w:sz="8" w:space="0"/>
            </w:tcBorders>
            <w:noWrap w:val="0"/>
            <w:vAlign w:val="center"/>
          </w:tcPr>
          <w:p w14:paraId="0F37C96C">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3</w:t>
            </w:r>
          </w:p>
        </w:tc>
        <w:tc>
          <w:tcPr>
            <w:tcW w:w="1230" w:type="dxa"/>
            <w:tcBorders>
              <w:top w:val="nil"/>
              <w:left w:val="nil"/>
              <w:bottom w:val="single" w:color="000000" w:sz="8" w:space="0"/>
              <w:right w:val="single" w:color="000000" w:sz="8" w:space="0"/>
            </w:tcBorders>
            <w:noWrap w:val="0"/>
            <w:vAlign w:val="center"/>
          </w:tcPr>
          <w:p w14:paraId="27A2B546">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项目生产经理</w:t>
            </w:r>
          </w:p>
        </w:tc>
        <w:tc>
          <w:tcPr>
            <w:tcW w:w="457" w:type="dxa"/>
            <w:tcBorders>
              <w:top w:val="nil"/>
              <w:left w:val="nil"/>
              <w:bottom w:val="single" w:color="000000" w:sz="8" w:space="0"/>
              <w:right w:val="single" w:color="000000" w:sz="8" w:space="0"/>
            </w:tcBorders>
            <w:noWrap w:val="0"/>
            <w:vAlign w:val="center"/>
          </w:tcPr>
          <w:p w14:paraId="342F1EEB">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1</w:t>
            </w:r>
          </w:p>
        </w:tc>
        <w:tc>
          <w:tcPr>
            <w:tcW w:w="5718" w:type="dxa"/>
            <w:tcBorders>
              <w:top w:val="nil"/>
              <w:left w:val="nil"/>
              <w:bottom w:val="single" w:color="000000" w:sz="8" w:space="0"/>
              <w:right w:val="single" w:color="000000" w:sz="8" w:space="0"/>
            </w:tcBorders>
            <w:noWrap w:val="0"/>
            <w:vAlign w:val="center"/>
          </w:tcPr>
          <w:p w14:paraId="6CBC30AD">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具有建筑工程类或建筑装饰工程类相关专业中级或以上技术职称，具有工作经历8年或以上。</w:t>
            </w:r>
          </w:p>
        </w:tc>
        <w:tc>
          <w:tcPr>
            <w:tcW w:w="990" w:type="dxa"/>
            <w:tcBorders>
              <w:top w:val="nil"/>
              <w:left w:val="nil"/>
              <w:bottom w:val="single" w:color="000000" w:sz="8" w:space="0"/>
              <w:right w:val="single" w:color="000000" w:sz="8" w:space="0"/>
            </w:tcBorders>
            <w:noWrap w:val="0"/>
            <w:vAlign w:val="center"/>
          </w:tcPr>
          <w:p w14:paraId="38AD16DD">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关键岗位</w:t>
            </w:r>
          </w:p>
        </w:tc>
      </w:tr>
      <w:tr w14:paraId="6962E1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457" w:type="dxa"/>
            <w:tcBorders>
              <w:top w:val="nil"/>
              <w:left w:val="single" w:color="000000" w:sz="8" w:space="0"/>
              <w:bottom w:val="single" w:color="000000" w:sz="8" w:space="0"/>
              <w:right w:val="single" w:color="000000" w:sz="8" w:space="0"/>
            </w:tcBorders>
            <w:noWrap w:val="0"/>
            <w:vAlign w:val="center"/>
          </w:tcPr>
          <w:p w14:paraId="66129314">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4</w:t>
            </w:r>
          </w:p>
        </w:tc>
        <w:tc>
          <w:tcPr>
            <w:tcW w:w="1230" w:type="dxa"/>
            <w:tcBorders>
              <w:top w:val="nil"/>
              <w:left w:val="nil"/>
              <w:bottom w:val="single" w:color="000000" w:sz="8" w:space="0"/>
              <w:right w:val="single" w:color="000000" w:sz="8" w:space="0"/>
            </w:tcBorders>
            <w:noWrap w:val="0"/>
            <w:vAlign w:val="center"/>
          </w:tcPr>
          <w:p w14:paraId="62A05165">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技术负责人</w:t>
            </w:r>
          </w:p>
        </w:tc>
        <w:tc>
          <w:tcPr>
            <w:tcW w:w="457" w:type="dxa"/>
            <w:tcBorders>
              <w:top w:val="nil"/>
              <w:left w:val="nil"/>
              <w:bottom w:val="single" w:color="000000" w:sz="8" w:space="0"/>
              <w:right w:val="single" w:color="000000" w:sz="8" w:space="0"/>
            </w:tcBorders>
            <w:noWrap w:val="0"/>
            <w:vAlign w:val="center"/>
          </w:tcPr>
          <w:p w14:paraId="1B334FD4">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1</w:t>
            </w:r>
          </w:p>
        </w:tc>
        <w:tc>
          <w:tcPr>
            <w:tcW w:w="5718" w:type="dxa"/>
            <w:tcBorders>
              <w:top w:val="nil"/>
              <w:left w:val="nil"/>
              <w:bottom w:val="single" w:color="000000" w:sz="8" w:space="0"/>
              <w:right w:val="single" w:color="000000" w:sz="8" w:space="0"/>
            </w:tcBorders>
            <w:noWrap w:val="0"/>
            <w:vAlign w:val="center"/>
          </w:tcPr>
          <w:p w14:paraId="2914F593">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val="en-US" w:bidi="ar"/>
              </w:rPr>
            </w:pPr>
            <w:r>
              <w:rPr>
                <w:rFonts w:hint="eastAsia" w:asciiTheme="majorEastAsia" w:hAnsiTheme="majorEastAsia" w:eastAsiaTheme="majorEastAsia" w:cstheme="majorEastAsia"/>
                <w:snapToGrid w:val="0"/>
                <w:kern w:val="0"/>
                <w:sz w:val="24"/>
                <w:highlight w:val="none"/>
                <w:lang w:val="en-US" w:eastAsia="zh-CN" w:bidi="ar"/>
              </w:rPr>
              <w:t>按招标公告要求</w:t>
            </w:r>
          </w:p>
        </w:tc>
        <w:tc>
          <w:tcPr>
            <w:tcW w:w="990" w:type="dxa"/>
            <w:tcBorders>
              <w:top w:val="nil"/>
              <w:left w:val="nil"/>
              <w:bottom w:val="single" w:color="000000" w:sz="8" w:space="0"/>
              <w:right w:val="single" w:color="000000" w:sz="8" w:space="0"/>
            </w:tcBorders>
            <w:noWrap w:val="0"/>
            <w:vAlign w:val="center"/>
          </w:tcPr>
          <w:p w14:paraId="714E1649">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关键岗位</w:t>
            </w:r>
          </w:p>
        </w:tc>
      </w:tr>
      <w:tr w14:paraId="3C0742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15" w:hRule="atLeast"/>
        </w:trPr>
        <w:tc>
          <w:tcPr>
            <w:tcW w:w="457" w:type="dxa"/>
            <w:tcBorders>
              <w:top w:val="nil"/>
              <w:left w:val="single" w:color="000000" w:sz="8" w:space="0"/>
              <w:bottom w:val="single" w:color="000000" w:sz="8" w:space="0"/>
              <w:right w:val="single" w:color="000000" w:sz="8" w:space="0"/>
            </w:tcBorders>
            <w:noWrap w:val="0"/>
            <w:vAlign w:val="center"/>
          </w:tcPr>
          <w:p w14:paraId="4073644E">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5</w:t>
            </w:r>
          </w:p>
        </w:tc>
        <w:tc>
          <w:tcPr>
            <w:tcW w:w="1230" w:type="dxa"/>
            <w:tcBorders>
              <w:top w:val="nil"/>
              <w:left w:val="nil"/>
              <w:bottom w:val="single" w:color="000000" w:sz="8" w:space="0"/>
              <w:right w:val="single" w:color="000000" w:sz="8" w:space="0"/>
            </w:tcBorders>
            <w:noWrap w:val="0"/>
            <w:vAlign w:val="center"/>
          </w:tcPr>
          <w:p w14:paraId="437E6DBF">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安全负责人</w:t>
            </w:r>
          </w:p>
        </w:tc>
        <w:tc>
          <w:tcPr>
            <w:tcW w:w="457" w:type="dxa"/>
            <w:tcBorders>
              <w:top w:val="nil"/>
              <w:left w:val="nil"/>
              <w:bottom w:val="single" w:color="000000" w:sz="8" w:space="0"/>
              <w:right w:val="single" w:color="000000" w:sz="8" w:space="0"/>
            </w:tcBorders>
            <w:noWrap w:val="0"/>
            <w:vAlign w:val="center"/>
          </w:tcPr>
          <w:p w14:paraId="46356110">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1</w:t>
            </w:r>
          </w:p>
        </w:tc>
        <w:tc>
          <w:tcPr>
            <w:tcW w:w="5718" w:type="dxa"/>
            <w:tcBorders>
              <w:top w:val="nil"/>
              <w:left w:val="nil"/>
              <w:bottom w:val="single" w:color="000000" w:sz="8" w:space="0"/>
              <w:right w:val="single" w:color="000000" w:sz="8" w:space="0"/>
            </w:tcBorders>
            <w:noWrap w:val="0"/>
            <w:vAlign w:val="center"/>
          </w:tcPr>
          <w:p w14:paraId="4324644A">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eastAsia="zh-CN" w:bidi="ar"/>
              </w:rPr>
            </w:pPr>
            <w:r>
              <w:rPr>
                <w:rFonts w:hint="eastAsia" w:asciiTheme="majorEastAsia" w:hAnsiTheme="majorEastAsia" w:eastAsiaTheme="majorEastAsia" w:cstheme="majorEastAsia"/>
                <w:snapToGrid w:val="0"/>
                <w:kern w:val="0"/>
                <w:sz w:val="24"/>
                <w:highlight w:val="none"/>
                <w:lang w:val="en-US" w:eastAsia="zh-CN" w:bidi="ar"/>
              </w:rPr>
              <w:t>具有注册安全工程师</w:t>
            </w:r>
            <w:r>
              <w:rPr>
                <w:rFonts w:hint="eastAsia" w:asciiTheme="majorEastAsia" w:hAnsiTheme="majorEastAsia" w:eastAsiaTheme="majorEastAsia" w:cstheme="majorEastAsia"/>
                <w:snapToGrid w:val="0"/>
                <w:kern w:val="0"/>
                <w:sz w:val="24"/>
                <w:highlight w:val="none"/>
                <w:lang w:bidi="ar"/>
              </w:rPr>
              <w:t>，具有工作经</w:t>
            </w:r>
            <w:r>
              <w:rPr>
                <w:rFonts w:hint="eastAsia" w:asciiTheme="majorEastAsia" w:hAnsiTheme="majorEastAsia" w:eastAsiaTheme="majorEastAsia" w:cstheme="majorEastAsia"/>
                <w:snapToGrid w:val="0"/>
                <w:kern w:val="0"/>
                <w:sz w:val="24"/>
                <w:highlight w:val="none"/>
                <w:lang w:val="en-US" w:eastAsia="zh-CN" w:bidi="ar"/>
              </w:rPr>
              <w:t>历5</w:t>
            </w:r>
            <w:r>
              <w:rPr>
                <w:rFonts w:hint="eastAsia" w:asciiTheme="majorEastAsia" w:hAnsiTheme="majorEastAsia" w:eastAsiaTheme="majorEastAsia" w:cstheme="majorEastAsia"/>
                <w:snapToGrid w:val="0"/>
                <w:kern w:val="0"/>
                <w:sz w:val="24"/>
                <w:highlight w:val="none"/>
                <w:lang w:bidi="ar"/>
              </w:rPr>
              <w:t>年</w:t>
            </w:r>
            <w:r>
              <w:rPr>
                <w:rFonts w:hint="eastAsia" w:asciiTheme="majorEastAsia" w:hAnsiTheme="majorEastAsia" w:eastAsiaTheme="majorEastAsia" w:cstheme="majorEastAsia"/>
                <w:snapToGrid w:val="0"/>
                <w:color w:val="auto"/>
                <w:kern w:val="0"/>
                <w:sz w:val="24"/>
                <w:highlight w:val="none"/>
                <w:lang w:bidi="ar"/>
              </w:rPr>
              <w:t>或</w:t>
            </w:r>
            <w:r>
              <w:rPr>
                <w:rFonts w:hint="eastAsia" w:asciiTheme="majorEastAsia" w:hAnsiTheme="majorEastAsia" w:eastAsiaTheme="majorEastAsia" w:cstheme="majorEastAsia"/>
                <w:snapToGrid w:val="0"/>
                <w:kern w:val="0"/>
                <w:sz w:val="24"/>
                <w:highlight w:val="none"/>
                <w:lang w:bidi="ar"/>
              </w:rPr>
              <w:t>以上</w:t>
            </w:r>
            <w:r>
              <w:rPr>
                <w:rFonts w:hint="eastAsia" w:asciiTheme="majorEastAsia" w:hAnsiTheme="majorEastAsia" w:eastAsiaTheme="majorEastAsia" w:cstheme="majorEastAsia"/>
                <w:snapToGrid w:val="0"/>
                <w:kern w:val="0"/>
                <w:sz w:val="24"/>
                <w:highlight w:val="none"/>
                <w:lang w:eastAsia="zh-CN" w:bidi="ar"/>
              </w:rPr>
              <w:t>。</w:t>
            </w:r>
          </w:p>
        </w:tc>
        <w:tc>
          <w:tcPr>
            <w:tcW w:w="990" w:type="dxa"/>
            <w:tcBorders>
              <w:top w:val="nil"/>
              <w:left w:val="nil"/>
              <w:bottom w:val="single" w:color="000000" w:sz="8" w:space="0"/>
              <w:right w:val="single" w:color="000000" w:sz="8" w:space="0"/>
            </w:tcBorders>
            <w:noWrap w:val="0"/>
            <w:vAlign w:val="center"/>
          </w:tcPr>
          <w:p w14:paraId="14966552">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关键岗位</w:t>
            </w:r>
          </w:p>
        </w:tc>
      </w:tr>
      <w:tr w14:paraId="275EB1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457" w:type="dxa"/>
            <w:tcBorders>
              <w:top w:val="nil"/>
              <w:left w:val="single" w:color="000000" w:sz="8" w:space="0"/>
              <w:bottom w:val="single" w:color="000000" w:sz="8" w:space="0"/>
              <w:right w:val="single" w:color="000000" w:sz="8" w:space="0"/>
            </w:tcBorders>
            <w:noWrap w:val="0"/>
            <w:vAlign w:val="center"/>
          </w:tcPr>
          <w:p w14:paraId="43C27DBE">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6</w:t>
            </w:r>
          </w:p>
        </w:tc>
        <w:tc>
          <w:tcPr>
            <w:tcW w:w="1230" w:type="dxa"/>
            <w:tcBorders>
              <w:top w:val="nil"/>
              <w:left w:val="nil"/>
              <w:bottom w:val="single" w:color="000000" w:sz="8" w:space="0"/>
              <w:right w:val="single" w:color="000000" w:sz="8" w:space="0"/>
            </w:tcBorders>
            <w:noWrap w:val="0"/>
            <w:vAlign w:val="center"/>
          </w:tcPr>
          <w:p w14:paraId="21DCEB6D">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质量负责人</w:t>
            </w:r>
          </w:p>
        </w:tc>
        <w:tc>
          <w:tcPr>
            <w:tcW w:w="457" w:type="dxa"/>
            <w:tcBorders>
              <w:top w:val="nil"/>
              <w:left w:val="nil"/>
              <w:bottom w:val="single" w:color="000000" w:sz="8" w:space="0"/>
              <w:right w:val="single" w:color="000000" w:sz="8" w:space="0"/>
            </w:tcBorders>
            <w:noWrap w:val="0"/>
            <w:vAlign w:val="center"/>
          </w:tcPr>
          <w:p w14:paraId="530D6E33">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1</w:t>
            </w:r>
          </w:p>
        </w:tc>
        <w:tc>
          <w:tcPr>
            <w:tcW w:w="5718" w:type="dxa"/>
            <w:tcBorders>
              <w:top w:val="nil"/>
              <w:left w:val="nil"/>
              <w:bottom w:val="single" w:color="000000" w:sz="8" w:space="0"/>
              <w:right w:val="single" w:color="000000" w:sz="8" w:space="0"/>
            </w:tcBorders>
            <w:noWrap w:val="0"/>
            <w:vAlign w:val="center"/>
          </w:tcPr>
          <w:p w14:paraId="1D90500C">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具有建筑工程类或建筑装饰工程类相关专业中级或以上技术职称，具有工作经历5年或以上。</w:t>
            </w:r>
          </w:p>
        </w:tc>
        <w:tc>
          <w:tcPr>
            <w:tcW w:w="990" w:type="dxa"/>
            <w:tcBorders>
              <w:top w:val="nil"/>
              <w:left w:val="nil"/>
              <w:bottom w:val="single" w:color="000000" w:sz="8" w:space="0"/>
              <w:right w:val="single" w:color="000000" w:sz="8" w:space="0"/>
            </w:tcBorders>
            <w:noWrap w:val="0"/>
            <w:vAlign w:val="center"/>
          </w:tcPr>
          <w:p w14:paraId="21DACCF5">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p>
        </w:tc>
      </w:tr>
      <w:tr w14:paraId="017F85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457" w:type="dxa"/>
            <w:tcBorders>
              <w:top w:val="nil"/>
              <w:left w:val="single" w:color="000000" w:sz="8" w:space="0"/>
              <w:bottom w:val="single" w:color="000000" w:sz="8" w:space="0"/>
              <w:right w:val="single" w:color="000000" w:sz="8" w:space="0"/>
            </w:tcBorders>
            <w:noWrap w:val="0"/>
            <w:vAlign w:val="center"/>
          </w:tcPr>
          <w:p w14:paraId="03746378">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7</w:t>
            </w:r>
          </w:p>
        </w:tc>
        <w:tc>
          <w:tcPr>
            <w:tcW w:w="1230" w:type="dxa"/>
            <w:tcBorders>
              <w:top w:val="nil"/>
              <w:left w:val="nil"/>
              <w:bottom w:val="single" w:color="000000" w:sz="8" w:space="0"/>
              <w:right w:val="single" w:color="000000" w:sz="8" w:space="0"/>
            </w:tcBorders>
            <w:noWrap w:val="0"/>
            <w:vAlign w:val="center"/>
          </w:tcPr>
          <w:p w14:paraId="331D22D9">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专职安全员</w:t>
            </w:r>
          </w:p>
        </w:tc>
        <w:tc>
          <w:tcPr>
            <w:tcW w:w="457" w:type="dxa"/>
            <w:tcBorders>
              <w:top w:val="nil"/>
              <w:left w:val="nil"/>
              <w:bottom w:val="single" w:color="000000" w:sz="8" w:space="0"/>
              <w:right w:val="single" w:color="000000" w:sz="8" w:space="0"/>
            </w:tcBorders>
            <w:noWrap w:val="0"/>
            <w:vAlign w:val="center"/>
          </w:tcPr>
          <w:p w14:paraId="588C7E79">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val="en-US" w:eastAsia="zh-CN" w:bidi="ar"/>
              </w:rPr>
            </w:pPr>
            <w:r>
              <w:rPr>
                <w:rFonts w:hint="eastAsia" w:asciiTheme="majorEastAsia" w:hAnsiTheme="majorEastAsia" w:eastAsiaTheme="majorEastAsia" w:cstheme="majorEastAsia"/>
                <w:snapToGrid w:val="0"/>
                <w:kern w:val="0"/>
                <w:sz w:val="24"/>
                <w:highlight w:val="none"/>
                <w:lang w:val="en-US" w:eastAsia="zh-CN" w:bidi="ar"/>
              </w:rPr>
              <w:t>2</w:t>
            </w:r>
          </w:p>
        </w:tc>
        <w:tc>
          <w:tcPr>
            <w:tcW w:w="5718" w:type="dxa"/>
            <w:tcBorders>
              <w:top w:val="nil"/>
              <w:left w:val="nil"/>
              <w:bottom w:val="single" w:color="000000" w:sz="8" w:space="0"/>
              <w:right w:val="single" w:color="000000" w:sz="8" w:space="0"/>
            </w:tcBorders>
            <w:noWrap w:val="0"/>
            <w:vAlign w:val="center"/>
          </w:tcPr>
          <w:p w14:paraId="76C59E3A">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val="en-US" w:bidi="ar"/>
              </w:rPr>
            </w:pPr>
            <w:r>
              <w:rPr>
                <w:rFonts w:hint="eastAsia" w:asciiTheme="majorEastAsia" w:hAnsiTheme="majorEastAsia" w:eastAsiaTheme="majorEastAsia" w:cstheme="majorEastAsia"/>
                <w:snapToGrid w:val="0"/>
                <w:kern w:val="0"/>
                <w:sz w:val="24"/>
                <w:highlight w:val="none"/>
                <w:lang w:val="en-US" w:eastAsia="zh-CN" w:bidi="ar"/>
              </w:rPr>
              <w:t>按招标公告要求</w:t>
            </w:r>
          </w:p>
        </w:tc>
        <w:tc>
          <w:tcPr>
            <w:tcW w:w="990" w:type="dxa"/>
            <w:tcBorders>
              <w:top w:val="nil"/>
              <w:left w:val="nil"/>
              <w:bottom w:val="single" w:color="000000" w:sz="8" w:space="0"/>
              <w:right w:val="single" w:color="000000" w:sz="8" w:space="0"/>
            </w:tcBorders>
            <w:noWrap w:val="0"/>
            <w:vAlign w:val="center"/>
          </w:tcPr>
          <w:p w14:paraId="5E3872BA">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p>
        </w:tc>
      </w:tr>
      <w:tr w14:paraId="1D48D0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457" w:type="dxa"/>
            <w:tcBorders>
              <w:top w:val="nil"/>
              <w:left w:val="single" w:color="000000" w:sz="8" w:space="0"/>
              <w:bottom w:val="single" w:color="000000" w:sz="8" w:space="0"/>
              <w:right w:val="single" w:color="000000" w:sz="8" w:space="0"/>
            </w:tcBorders>
            <w:noWrap w:val="0"/>
            <w:vAlign w:val="center"/>
          </w:tcPr>
          <w:p w14:paraId="28DBBA17">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val="en-US" w:eastAsia="zh-CN" w:bidi="ar"/>
              </w:rPr>
            </w:pPr>
            <w:r>
              <w:rPr>
                <w:rFonts w:hint="eastAsia" w:asciiTheme="majorEastAsia" w:hAnsiTheme="majorEastAsia" w:eastAsiaTheme="majorEastAsia" w:cstheme="majorEastAsia"/>
                <w:snapToGrid w:val="0"/>
                <w:kern w:val="0"/>
                <w:sz w:val="24"/>
                <w:highlight w:val="none"/>
                <w:lang w:val="en-US" w:eastAsia="zh-CN" w:bidi="ar"/>
              </w:rPr>
              <w:t>8</w:t>
            </w:r>
          </w:p>
        </w:tc>
        <w:tc>
          <w:tcPr>
            <w:tcW w:w="1230" w:type="dxa"/>
            <w:tcBorders>
              <w:top w:val="nil"/>
              <w:left w:val="nil"/>
              <w:bottom w:val="single" w:color="000000" w:sz="8" w:space="0"/>
              <w:right w:val="single" w:color="000000" w:sz="8" w:space="0"/>
            </w:tcBorders>
            <w:noWrap w:val="0"/>
            <w:vAlign w:val="center"/>
          </w:tcPr>
          <w:p w14:paraId="0976E291">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val="en-US" w:eastAsia="zh-CN" w:bidi="ar"/>
              </w:rPr>
            </w:pPr>
            <w:r>
              <w:rPr>
                <w:rFonts w:hint="eastAsia" w:asciiTheme="majorEastAsia" w:hAnsiTheme="majorEastAsia" w:eastAsiaTheme="majorEastAsia" w:cstheme="majorEastAsia"/>
                <w:snapToGrid w:val="0"/>
                <w:kern w:val="0"/>
                <w:sz w:val="24"/>
                <w:highlight w:val="none"/>
                <w:lang w:val="en-US" w:eastAsia="zh-CN" w:bidi="ar"/>
              </w:rPr>
              <w:t>机电负责人</w:t>
            </w:r>
          </w:p>
        </w:tc>
        <w:tc>
          <w:tcPr>
            <w:tcW w:w="457" w:type="dxa"/>
            <w:tcBorders>
              <w:top w:val="nil"/>
              <w:left w:val="nil"/>
              <w:bottom w:val="single" w:color="000000" w:sz="8" w:space="0"/>
              <w:right w:val="single" w:color="000000" w:sz="8" w:space="0"/>
            </w:tcBorders>
            <w:noWrap w:val="0"/>
            <w:vAlign w:val="center"/>
          </w:tcPr>
          <w:p w14:paraId="78158D99">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val="en-US" w:eastAsia="zh-CN" w:bidi="ar"/>
              </w:rPr>
            </w:pPr>
            <w:r>
              <w:rPr>
                <w:rFonts w:hint="eastAsia" w:asciiTheme="majorEastAsia" w:hAnsiTheme="majorEastAsia" w:eastAsiaTheme="majorEastAsia" w:cstheme="majorEastAsia"/>
                <w:snapToGrid w:val="0"/>
                <w:kern w:val="0"/>
                <w:sz w:val="24"/>
                <w:highlight w:val="none"/>
                <w:lang w:val="en-US" w:eastAsia="zh-CN" w:bidi="ar"/>
              </w:rPr>
              <w:t>1</w:t>
            </w:r>
          </w:p>
        </w:tc>
        <w:tc>
          <w:tcPr>
            <w:tcW w:w="5718" w:type="dxa"/>
            <w:tcBorders>
              <w:top w:val="nil"/>
              <w:left w:val="nil"/>
              <w:bottom w:val="single" w:color="000000" w:sz="8" w:space="0"/>
              <w:right w:val="single" w:color="000000" w:sz="8" w:space="0"/>
            </w:tcBorders>
            <w:noWrap w:val="0"/>
            <w:vAlign w:val="center"/>
          </w:tcPr>
          <w:p w14:paraId="380B4B39">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val="en-US" w:eastAsia="zh-CN" w:bidi="ar"/>
              </w:rPr>
            </w:pPr>
            <w:r>
              <w:rPr>
                <w:rFonts w:hint="eastAsia" w:asciiTheme="majorEastAsia" w:hAnsiTheme="majorEastAsia" w:eastAsiaTheme="majorEastAsia" w:cstheme="majorEastAsia"/>
                <w:snapToGrid w:val="0"/>
                <w:kern w:val="0"/>
                <w:sz w:val="24"/>
                <w:highlight w:val="none"/>
                <w:lang w:val="en-US" w:eastAsia="zh-CN" w:bidi="ar"/>
              </w:rPr>
              <w:t>具有建筑工程类或建筑装饰工程类或机电工程类相关专业中级或以上技术职称，具有工作经历5年或以上。</w:t>
            </w:r>
          </w:p>
        </w:tc>
        <w:tc>
          <w:tcPr>
            <w:tcW w:w="990" w:type="dxa"/>
            <w:tcBorders>
              <w:top w:val="nil"/>
              <w:left w:val="nil"/>
              <w:bottom w:val="single" w:color="000000" w:sz="8" w:space="0"/>
              <w:right w:val="single" w:color="000000" w:sz="8" w:space="0"/>
            </w:tcBorders>
            <w:noWrap w:val="0"/>
            <w:vAlign w:val="center"/>
          </w:tcPr>
          <w:p w14:paraId="1B77F260">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p>
        </w:tc>
      </w:tr>
      <w:tr w14:paraId="7218E9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457" w:type="dxa"/>
            <w:tcBorders>
              <w:top w:val="nil"/>
              <w:left w:val="single" w:color="000000" w:sz="8" w:space="0"/>
              <w:bottom w:val="single" w:color="000000" w:sz="8" w:space="0"/>
              <w:right w:val="single" w:color="000000" w:sz="8" w:space="0"/>
            </w:tcBorders>
            <w:noWrap w:val="0"/>
            <w:vAlign w:val="center"/>
          </w:tcPr>
          <w:p w14:paraId="46C3FE05">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9</w:t>
            </w:r>
          </w:p>
        </w:tc>
        <w:tc>
          <w:tcPr>
            <w:tcW w:w="1230" w:type="dxa"/>
            <w:tcBorders>
              <w:top w:val="nil"/>
              <w:left w:val="nil"/>
              <w:bottom w:val="single" w:color="000000" w:sz="8" w:space="0"/>
              <w:right w:val="single" w:color="000000" w:sz="8" w:space="0"/>
            </w:tcBorders>
            <w:noWrap w:val="0"/>
            <w:vAlign w:val="center"/>
          </w:tcPr>
          <w:p w14:paraId="5BF90A3D">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装修工程师</w:t>
            </w:r>
          </w:p>
        </w:tc>
        <w:tc>
          <w:tcPr>
            <w:tcW w:w="457" w:type="dxa"/>
            <w:tcBorders>
              <w:top w:val="nil"/>
              <w:left w:val="nil"/>
              <w:bottom w:val="single" w:color="000000" w:sz="8" w:space="0"/>
              <w:right w:val="single" w:color="000000" w:sz="8" w:space="0"/>
            </w:tcBorders>
            <w:noWrap w:val="0"/>
            <w:vAlign w:val="center"/>
          </w:tcPr>
          <w:p w14:paraId="0D47D87C">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4</w:t>
            </w:r>
          </w:p>
        </w:tc>
        <w:tc>
          <w:tcPr>
            <w:tcW w:w="5718" w:type="dxa"/>
            <w:tcBorders>
              <w:top w:val="nil"/>
              <w:left w:val="nil"/>
              <w:bottom w:val="single" w:color="000000" w:sz="8" w:space="0"/>
              <w:right w:val="single" w:color="000000" w:sz="8" w:space="0"/>
            </w:tcBorders>
            <w:noWrap w:val="0"/>
            <w:vAlign w:val="center"/>
          </w:tcPr>
          <w:p w14:paraId="0FA93E4D">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具有建筑工程类或建筑装饰工程类相关专业工程师或以上技术职称，具有工作经历5年或以上。</w:t>
            </w:r>
          </w:p>
        </w:tc>
        <w:tc>
          <w:tcPr>
            <w:tcW w:w="990" w:type="dxa"/>
            <w:tcBorders>
              <w:top w:val="nil"/>
              <w:left w:val="nil"/>
              <w:bottom w:val="single" w:color="000000" w:sz="8" w:space="0"/>
              <w:right w:val="single" w:color="000000" w:sz="8" w:space="0"/>
            </w:tcBorders>
            <w:noWrap w:val="0"/>
            <w:vAlign w:val="center"/>
          </w:tcPr>
          <w:p w14:paraId="60059ED2">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p>
        </w:tc>
      </w:tr>
      <w:tr w14:paraId="0367F8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5" w:hRule="atLeast"/>
        </w:trPr>
        <w:tc>
          <w:tcPr>
            <w:tcW w:w="457" w:type="dxa"/>
            <w:tcBorders>
              <w:top w:val="nil"/>
              <w:left w:val="single" w:color="000000" w:sz="8" w:space="0"/>
              <w:bottom w:val="single" w:color="000000" w:sz="8" w:space="0"/>
              <w:right w:val="single" w:color="000000" w:sz="8" w:space="0"/>
            </w:tcBorders>
            <w:noWrap w:val="0"/>
            <w:vAlign w:val="center"/>
          </w:tcPr>
          <w:p w14:paraId="15DA6955">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val="en-US" w:bidi="ar"/>
              </w:rPr>
            </w:pPr>
            <w:r>
              <w:rPr>
                <w:rFonts w:hint="eastAsia" w:asciiTheme="majorEastAsia" w:hAnsiTheme="majorEastAsia" w:eastAsiaTheme="majorEastAsia" w:cstheme="majorEastAsia"/>
                <w:snapToGrid w:val="0"/>
                <w:kern w:val="0"/>
                <w:sz w:val="24"/>
                <w:highlight w:val="none"/>
                <w:lang w:val="en-US" w:eastAsia="zh-CN" w:bidi="ar"/>
              </w:rPr>
              <w:t>10</w:t>
            </w:r>
          </w:p>
        </w:tc>
        <w:tc>
          <w:tcPr>
            <w:tcW w:w="1230" w:type="dxa"/>
            <w:tcBorders>
              <w:top w:val="single" w:color="000000" w:sz="8" w:space="0"/>
              <w:left w:val="single" w:color="000000" w:sz="8" w:space="0"/>
              <w:bottom w:val="single" w:color="000000" w:sz="8" w:space="0"/>
              <w:right w:val="single" w:color="000000" w:sz="8" w:space="0"/>
            </w:tcBorders>
            <w:noWrap w:val="0"/>
            <w:vAlign w:val="center"/>
          </w:tcPr>
          <w:p w14:paraId="711594B0">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机电工程师</w:t>
            </w:r>
          </w:p>
        </w:tc>
        <w:tc>
          <w:tcPr>
            <w:tcW w:w="457" w:type="dxa"/>
            <w:tcBorders>
              <w:top w:val="nil"/>
              <w:left w:val="nil"/>
              <w:bottom w:val="single" w:color="000000" w:sz="8" w:space="0"/>
              <w:right w:val="single" w:color="000000" w:sz="8" w:space="0"/>
            </w:tcBorders>
            <w:noWrap w:val="0"/>
            <w:vAlign w:val="center"/>
          </w:tcPr>
          <w:p w14:paraId="77544DC2">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1</w:t>
            </w:r>
          </w:p>
        </w:tc>
        <w:tc>
          <w:tcPr>
            <w:tcW w:w="5718" w:type="dxa"/>
            <w:tcBorders>
              <w:top w:val="nil"/>
              <w:left w:val="nil"/>
              <w:bottom w:val="single" w:color="000000" w:sz="8" w:space="0"/>
              <w:right w:val="single" w:color="000000" w:sz="8" w:space="0"/>
            </w:tcBorders>
            <w:noWrap w:val="0"/>
            <w:vAlign w:val="center"/>
          </w:tcPr>
          <w:p w14:paraId="3FEA7B18">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具有建筑工程类或建筑装饰工程类或机电工程类相关专业工程师或以上技术职称的，具有工作经历5年或以上。</w:t>
            </w:r>
          </w:p>
        </w:tc>
        <w:tc>
          <w:tcPr>
            <w:tcW w:w="990" w:type="dxa"/>
            <w:tcBorders>
              <w:top w:val="nil"/>
              <w:left w:val="nil"/>
              <w:bottom w:val="single" w:color="000000" w:sz="8" w:space="0"/>
              <w:right w:val="single" w:color="000000" w:sz="8" w:space="0"/>
            </w:tcBorders>
            <w:noWrap w:val="0"/>
            <w:vAlign w:val="center"/>
          </w:tcPr>
          <w:p w14:paraId="518FF07B">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p>
        </w:tc>
      </w:tr>
      <w:tr w14:paraId="5FB8C1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457" w:type="dxa"/>
            <w:tcBorders>
              <w:top w:val="nil"/>
              <w:left w:val="single" w:color="000000" w:sz="8" w:space="0"/>
              <w:bottom w:val="single" w:color="000000" w:sz="8" w:space="0"/>
              <w:right w:val="single" w:color="000000" w:sz="8" w:space="0"/>
            </w:tcBorders>
            <w:noWrap w:val="0"/>
            <w:vAlign w:val="center"/>
          </w:tcPr>
          <w:p w14:paraId="6057F8FF">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val="en-US" w:eastAsia="zh-CN" w:bidi="ar"/>
              </w:rPr>
            </w:pPr>
            <w:r>
              <w:rPr>
                <w:rFonts w:hint="eastAsia" w:asciiTheme="majorEastAsia" w:hAnsiTheme="majorEastAsia" w:eastAsiaTheme="majorEastAsia" w:cstheme="majorEastAsia"/>
                <w:snapToGrid w:val="0"/>
                <w:kern w:val="0"/>
                <w:sz w:val="24"/>
                <w:highlight w:val="none"/>
                <w:lang w:val="en-US" w:eastAsia="zh-CN" w:bidi="ar"/>
              </w:rPr>
              <w:t>11</w:t>
            </w:r>
          </w:p>
        </w:tc>
        <w:tc>
          <w:tcPr>
            <w:tcW w:w="1230" w:type="dxa"/>
            <w:tcBorders>
              <w:top w:val="single" w:color="000000" w:sz="8" w:space="0"/>
              <w:left w:val="single" w:color="000000" w:sz="8" w:space="0"/>
              <w:bottom w:val="single" w:color="000000" w:sz="8" w:space="0"/>
              <w:right w:val="single" w:color="000000" w:sz="8" w:space="0"/>
            </w:tcBorders>
            <w:noWrap w:val="0"/>
            <w:vAlign w:val="center"/>
          </w:tcPr>
          <w:p w14:paraId="508C1CAE">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val="en-US" w:eastAsia="zh-CN" w:bidi="ar"/>
              </w:rPr>
            </w:pPr>
            <w:r>
              <w:rPr>
                <w:rFonts w:hint="eastAsia" w:asciiTheme="majorEastAsia" w:hAnsiTheme="majorEastAsia" w:eastAsiaTheme="majorEastAsia" w:cstheme="majorEastAsia"/>
                <w:snapToGrid w:val="0"/>
                <w:kern w:val="0"/>
                <w:sz w:val="24"/>
                <w:highlight w:val="none"/>
                <w:lang w:val="en-US" w:eastAsia="zh-CN" w:bidi="ar"/>
              </w:rPr>
              <w:t>深化设计技术人员</w:t>
            </w:r>
          </w:p>
        </w:tc>
        <w:tc>
          <w:tcPr>
            <w:tcW w:w="457" w:type="dxa"/>
            <w:tcBorders>
              <w:top w:val="nil"/>
              <w:left w:val="nil"/>
              <w:bottom w:val="single" w:color="000000" w:sz="8" w:space="0"/>
              <w:right w:val="single" w:color="000000" w:sz="8" w:space="0"/>
            </w:tcBorders>
            <w:noWrap w:val="0"/>
            <w:vAlign w:val="center"/>
          </w:tcPr>
          <w:p w14:paraId="13E4E4B7">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val="en-US" w:eastAsia="zh-CN" w:bidi="ar"/>
              </w:rPr>
            </w:pPr>
            <w:r>
              <w:rPr>
                <w:rFonts w:hint="eastAsia" w:asciiTheme="majorEastAsia" w:hAnsiTheme="majorEastAsia" w:eastAsiaTheme="majorEastAsia" w:cstheme="majorEastAsia"/>
                <w:snapToGrid w:val="0"/>
                <w:kern w:val="0"/>
                <w:sz w:val="24"/>
                <w:highlight w:val="none"/>
                <w:lang w:val="en-US" w:eastAsia="zh-CN" w:bidi="ar"/>
              </w:rPr>
              <w:t>2</w:t>
            </w:r>
          </w:p>
        </w:tc>
        <w:tc>
          <w:tcPr>
            <w:tcW w:w="5718" w:type="dxa"/>
            <w:tcBorders>
              <w:top w:val="nil"/>
              <w:left w:val="nil"/>
              <w:bottom w:val="single" w:color="000000" w:sz="8" w:space="0"/>
              <w:right w:val="single" w:color="000000" w:sz="8" w:space="0"/>
            </w:tcBorders>
            <w:noWrap w:val="0"/>
            <w:vAlign w:val="center"/>
          </w:tcPr>
          <w:p w14:paraId="17311749">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val="en-US" w:eastAsia="zh-CN" w:bidi="ar"/>
              </w:rPr>
            </w:pPr>
            <w:r>
              <w:rPr>
                <w:rFonts w:hint="eastAsia" w:asciiTheme="majorEastAsia" w:hAnsiTheme="majorEastAsia" w:eastAsiaTheme="majorEastAsia" w:cstheme="majorEastAsia"/>
                <w:snapToGrid w:val="0"/>
                <w:kern w:val="0"/>
                <w:sz w:val="24"/>
                <w:highlight w:val="none"/>
                <w:lang w:val="en-US" w:eastAsia="zh-CN" w:bidi="ar"/>
              </w:rPr>
              <w:t>具有工程类相关专业工程师或以上技术职称的，具有工作经历5年或以上。</w:t>
            </w:r>
          </w:p>
        </w:tc>
        <w:tc>
          <w:tcPr>
            <w:tcW w:w="990" w:type="dxa"/>
            <w:tcBorders>
              <w:top w:val="nil"/>
              <w:left w:val="nil"/>
              <w:bottom w:val="single" w:color="000000" w:sz="8" w:space="0"/>
              <w:right w:val="single" w:color="000000" w:sz="8" w:space="0"/>
            </w:tcBorders>
            <w:noWrap w:val="0"/>
            <w:vAlign w:val="center"/>
          </w:tcPr>
          <w:p w14:paraId="19E79B1B">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p>
        </w:tc>
      </w:tr>
      <w:tr w14:paraId="778ADE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4" w:hRule="atLeast"/>
        </w:trPr>
        <w:tc>
          <w:tcPr>
            <w:tcW w:w="457" w:type="dxa"/>
            <w:tcBorders>
              <w:top w:val="nil"/>
              <w:left w:val="single" w:color="000000" w:sz="8" w:space="0"/>
              <w:bottom w:val="single" w:color="000000" w:sz="8" w:space="0"/>
              <w:right w:val="single" w:color="000000" w:sz="8" w:space="0"/>
            </w:tcBorders>
            <w:noWrap w:val="0"/>
            <w:vAlign w:val="center"/>
          </w:tcPr>
          <w:p w14:paraId="77EC8F6C">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p>
        </w:tc>
        <w:tc>
          <w:tcPr>
            <w:tcW w:w="1230" w:type="dxa"/>
            <w:tcBorders>
              <w:top w:val="single" w:color="000000" w:sz="8" w:space="0"/>
              <w:left w:val="nil"/>
              <w:bottom w:val="single" w:color="000000" w:sz="8" w:space="0"/>
              <w:right w:val="single" w:color="000000" w:sz="8" w:space="0"/>
            </w:tcBorders>
            <w:noWrap w:val="0"/>
            <w:vAlign w:val="center"/>
          </w:tcPr>
          <w:p w14:paraId="274AFE86">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r>
              <w:rPr>
                <w:rFonts w:hint="eastAsia" w:asciiTheme="majorEastAsia" w:hAnsiTheme="majorEastAsia" w:eastAsiaTheme="majorEastAsia" w:cstheme="majorEastAsia"/>
                <w:snapToGrid w:val="0"/>
                <w:kern w:val="0"/>
                <w:sz w:val="24"/>
                <w:highlight w:val="none"/>
                <w:lang w:val="en-US" w:eastAsia="zh-CN" w:bidi="ar"/>
              </w:rPr>
              <w:t>小计</w:t>
            </w:r>
          </w:p>
        </w:tc>
        <w:tc>
          <w:tcPr>
            <w:tcW w:w="457" w:type="dxa"/>
            <w:tcBorders>
              <w:top w:val="nil"/>
              <w:left w:val="nil"/>
              <w:bottom w:val="single" w:color="000000" w:sz="8" w:space="0"/>
              <w:right w:val="single" w:color="000000" w:sz="8" w:space="0"/>
            </w:tcBorders>
            <w:noWrap w:val="0"/>
            <w:vAlign w:val="center"/>
          </w:tcPr>
          <w:p w14:paraId="17C1E8EE">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val="en-US" w:bidi="ar"/>
              </w:rPr>
            </w:pPr>
            <w:r>
              <w:rPr>
                <w:rFonts w:hint="eastAsia" w:asciiTheme="majorEastAsia" w:hAnsiTheme="majorEastAsia" w:eastAsiaTheme="majorEastAsia" w:cstheme="majorEastAsia"/>
                <w:snapToGrid w:val="0"/>
                <w:kern w:val="0"/>
                <w:sz w:val="24"/>
                <w:highlight w:val="none"/>
                <w:lang w:val="en-US" w:eastAsia="zh-CN" w:bidi="ar"/>
              </w:rPr>
              <w:t>16</w:t>
            </w:r>
          </w:p>
        </w:tc>
        <w:tc>
          <w:tcPr>
            <w:tcW w:w="5718" w:type="dxa"/>
            <w:tcBorders>
              <w:top w:val="nil"/>
              <w:left w:val="nil"/>
              <w:bottom w:val="single" w:color="000000" w:sz="8" w:space="0"/>
              <w:right w:val="single" w:color="000000" w:sz="8" w:space="0"/>
            </w:tcBorders>
            <w:noWrap w:val="0"/>
            <w:vAlign w:val="center"/>
          </w:tcPr>
          <w:p w14:paraId="525F1605">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p>
        </w:tc>
        <w:tc>
          <w:tcPr>
            <w:tcW w:w="990" w:type="dxa"/>
            <w:tcBorders>
              <w:top w:val="nil"/>
              <w:left w:val="nil"/>
              <w:bottom w:val="single" w:color="000000" w:sz="8" w:space="0"/>
              <w:right w:val="single" w:color="000000" w:sz="8" w:space="0"/>
            </w:tcBorders>
            <w:noWrap/>
            <w:vAlign w:val="center"/>
          </w:tcPr>
          <w:p w14:paraId="1419F3B6">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Theme="majorEastAsia" w:hAnsiTheme="majorEastAsia" w:eastAsiaTheme="majorEastAsia" w:cstheme="majorEastAsia"/>
                <w:snapToGrid w:val="0"/>
                <w:kern w:val="0"/>
                <w:sz w:val="24"/>
                <w:highlight w:val="none"/>
                <w:lang w:bidi="ar"/>
              </w:rPr>
            </w:pPr>
          </w:p>
        </w:tc>
      </w:tr>
    </w:tbl>
    <w:p w14:paraId="5C02AF61">
      <w:pPr>
        <w:pStyle w:val="36"/>
        <w:keepNext w:val="0"/>
        <w:keepLines w:val="0"/>
        <w:pageBreakBefore w:val="0"/>
        <w:widowControl w:val="0"/>
        <w:kinsoku/>
        <w:wordWrap/>
        <w:overflowPunct/>
        <w:topLinePunct w:val="0"/>
        <w:autoSpaceDE/>
        <w:autoSpaceDN/>
        <w:bidi w:val="0"/>
        <w:adjustRightInd/>
        <w:snapToGrid w:val="0"/>
        <w:spacing w:before="164" w:beforeLines="50" w:after="120" w:afterLines="50"/>
        <w:ind w:left="0" w:leftChars="0" w:firstLine="480" w:firstLineChars="200"/>
        <w:jc w:val="left"/>
        <w:textAlignment w:val="auto"/>
        <w:rPr>
          <w:rFonts w:hint="eastAsia"/>
          <w:color w:val="auto"/>
          <w:highlight w:val="none"/>
        </w:rPr>
      </w:pPr>
      <w:bookmarkStart w:id="172" w:name="_Toc149243866"/>
      <w:bookmarkEnd w:id="172"/>
      <w:bookmarkStart w:id="173" w:name="_Toc149243867"/>
      <w:bookmarkEnd w:id="173"/>
      <w:r>
        <w:rPr>
          <w:rFonts w:hint="eastAsia"/>
          <w:color w:val="auto"/>
          <w:highlight w:val="none"/>
        </w:rPr>
        <w:t>备注：发包人有权根据实际情况对</w:t>
      </w:r>
      <w:r>
        <w:rPr>
          <w:rFonts w:hint="eastAsia"/>
          <w:color w:val="auto"/>
          <w:highlight w:val="none"/>
          <w:lang w:eastAsia="zh-CN"/>
        </w:rPr>
        <w:t>承</w:t>
      </w:r>
      <w:r>
        <w:rPr>
          <w:rFonts w:hint="eastAsia"/>
          <w:color w:val="auto"/>
          <w:highlight w:val="none"/>
        </w:rPr>
        <w:t>包人的人员架构提出要求，</w:t>
      </w:r>
      <w:r>
        <w:rPr>
          <w:rFonts w:hint="eastAsia"/>
          <w:color w:val="auto"/>
          <w:highlight w:val="none"/>
          <w:lang w:eastAsia="zh-CN"/>
        </w:rPr>
        <w:t>承</w:t>
      </w:r>
      <w:r>
        <w:rPr>
          <w:rFonts w:hint="eastAsia"/>
          <w:color w:val="auto"/>
          <w:highlight w:val="none"/>
        </w:rPr>
        <w:t>包人需无条件满足。</w:t>
      </w:r>
    </w:p>
    <w:p w14:paraId="5469012E">
      <w:pPr>
        <w:pStyle w:val="4"/>
        <w:widowControl/>
        <w:numPr>
          <w:ilvl w:val="0"/>
          <w:numId w:val="11"/>
        </w:numPr>
        <w:spacing w:before="120" w:after="120" w:line="240" w:lineRule="auto"/>
        <w:ind w:left="0" w:firstLine="0" w:firstLineChars="0"/>
        <w:rPr>
          <w:rFonts w:hint="eastAsia"/>
          <w:color w:val="auto"/>
          <w:highlight w:val="none"/>
        </w:rPr>
      </w:pPr>
      <w:bookmarkStart w:id="174" w:name="_Toc437"/>
      <w:bookmarkStart w:id="175" w:name="_Toc25778"/>
      <w:bookmarkStart w:id="176" w:name="_Toc169722208"/>
      <w:bookmarkStart w:id="177" w:name="_Toc31874"/>
      <w:bookmarkStart w:id="178" w:name="_Toc20774"/>
      <w:bookmarkStart w:id="179" w:name="_Toc25782"/>
      <w:r>
        <w:rPr>
          <w:rFonts w:hint="eastAsia"/>
          <w:color w:val="auto"/>
          <w:highlight w:val="none"/>
          <w:lang w:eastAsia="zh-CN"/>
        </w:rPr>
        <w:t>项目</w:t>
      </w:r>
      <w:r>
        <w:rPr>
          <w:rFonts w:hint="eastAsia"/>
          <w:color w:val="auto"/>
          <w:highlight w:val="none"/>
          <w:lang w:val="en-US" w:eastAsia="zh-CN"/>
        </w:rPr>
        <w:t>经理</w:t>
      </w:r>
      <w:r>
        <w:rPr>
          <w:rFonts w:hint="eastAsia"/>
          <w:color w:val="auto"/>
          <w:highlight w:val="none"/>
        </w:rPr>
        <w:t>的要求</w:t>
      </w:r>
      <w:bookmarkEnd w:id="174"/>
      <w:bookmarkEnd w:id="175"/>
      <w:bookmarkEnd w:id="176"/>
      <w:bookmarkEnd w:id="177"/>
      <w:bookmarkEnd w:id="178"/>
      <w:bookmarkEnd w:id="179"/>
    </w:p>
    <w:p w14:paraId="18B0F0DB">
      <w:pPr>
        <w:pStyle w:val="5"/>
        <w:bidi w:val="0"/>
        <w:rPr>
          <w:rFonts w:hint="eastAsia"/>
          <w:color w:val="auto"/>
          <w:highlight w:val="none"/>
        </w:rPr>
      </w:pPr>
      <w:r>
        <w:rPr>
          <w:rFonts w:hint="eastAsia"/>
          <w:color w:val="auto"/>
          <w:highlight w:val="none"/>
        </w:rPr>
        <w:t>总承包人应提供至少3名符合以上要求的</w:t>
      </w:r>
      <w:r>
        <w:rPr>
          <w:rFonts w:hint="eastAsia"/>
          <w:color w:val="auto"/>
          <w:highlight w:val="none"/>
          <w:lang w:eastAsia="zh-CN"/>
        </w:rPr>
        <w:t>项目</w:t>
      </w:r>
      <w:r>
        <w:rPr>
          <w:rFonts w:hint="eastAsia"/>
          <w:color w:val="auto"/>
          <w:highlight w:val="none"/>
          <w:lang w:val="en-US" w:eastAsia="zh-CN"/>
        </w:rPr>
        <w:t>经理</w:t>
      </w:r>
      <w:r>
        <w:rPr>
          <w:rFonts w:hint="eastAsia"/>
          <w:color w:val="auto"/>
          <w:highlight w:val="none"/>
        </w:rPr>
        <w:t>以备发包人考察。当任职</w:t>
      </w:r>
      <w:r>
        <w:rPr>
          <w:rFonts w:hint="eastAsia"/>
          <w:color w:val="auto"/>
          <w:highlight w:val="none"/>
          <w:lang w:eastAsia="zh-CN"/>
        </w:rPr>
        <w:t>项目</w:t>
      </w:r>
      <w:r>
        <w:rPr>
          <w:rFonts w:hint="eastAsia"/>
          <w:color w:val="auto"/>
          <w:highlight w:val="none"/>
          <w:lang w:val="en-US" w:eastAsia="zh-CN"/>
        </w:rPr>
        <w:t>经理</w:t>
      </w:r>
      <w:r>
        <w:rPr>
          <w:rFonts w:hint="eastAsia"/>
          <w:color w:val="auto"/>
          <w:highlight w:val="none"/>
        </w:rPr>
        <w:t>有特殊情况不能在项目履职时，承包人要有同等条件的备选</w:t>
      </w:r>
      <w:r>
        <w:rPr>
          <w:rFonts w:hint="eastAsia"/>
          <w:color w:val="auto"/>
          <w:highlight w:val="none"/>
          <w:lang w:eastAsia="zh-CN"/>
        </w:rPr>
        <w:t>项目</w:t>
      </w:r>
      <w:r>
        <w:rPr>
          <w:rFonts w:hint="eastAsia"/>
          <w:color w:val="auto"/>
          <w:highlight w:val="none"/>
          <w:lang w:val="en-US" w:eastAsia="zh-CN"/>
        </w:rPr>
        <w:t>经理</w:t>
      </w:r>
      <w:r>
        <w:rPr>
          <w:rFonts w:hint="eastAsia"/>
          <w:color w:val="auto"/>
          <w:highlight w:val="none"/>
        </w:rPr>
        <w:t>。</w:t>
      </w:r>
    </w:p>
    <w:p w14:paraId="46EA4C5E">
      <w:pPr>
        <w:pStyle w:val="5"/>
        <w:bidi w:val="0"/>
        <w:rPr>
          <w:rFonts w:hint="eastAsia"/>
          <w:color w:val="auto"/>
          <w:highlight w:val="none"/>
        </w:rPr>
      </w:pPr>
      <w:r>
        <w:rPr>
          <w:rFonts w:hint="eastAsia"/>
          <w:color w:val="auto"/>
          <w:highlight w:val="none"/>
          <w:lang w:eastAsia="zh-CN"/>
        </w:rPr>
        <w:t>项目</w:t>
      </w:r>
      <w:r>
        <w:rPr>
          <w:rFonts w:hint="eastAsia"/>
          <w:color w:val="auto"/>
          <w:highlight w:val="none"/>
          <w:lang w:val="en-US" w:eastAsia="zh-CN"/>
        </w:rPr>
        <w:t>经理</w:t>
      </w:r>
      <w:r>
        <w:rPr>
          <w:rFonts w:hint="eastAsia"/>
          <w:color w:val="auto"/>
          <w:highlight w:val="none"/>
        </w:rPr>
        <w:t>在授权范围内对总承包人项目部进行全面管理，是项目经营、施工和管理的第一责任人，具备对项目工期、质量、安全、进度、成本、机械、材料、</w:t>
      </w:r>
      <w:r>
        <w:rPr>
          <w:rFonts w:hint="eastAsia"/>
          <w:color w:val="auto"/>
          <w:highlight w:val="none"/>
          <w:lang w:val="en-US" w:eastAsia="zh-CN"/>
        </w:rPr>
        <w:t>专业承包</w:t>
      </w:r>
      <w:r>
        <w:rPr>
          <w:rFonts w:hint="eastAsia"/>
          <w:color w:val="auto"/>
          <w:highlight w:val="none"/>
        </w:rPr>
        <w:t>、文明施工等充分掌控的素质。</w:t>
      </w:r>
    </w:p>
    <w:p w14:paraId="6CC90BC7">
      <w:pPr>
        <w:pStyle w:val="5"/>
        <w:bidi w:val="0"/>
        <w:rPr>
          <w:rFonts w:hint="eastAsia"/>
          <w:color w:val="auto"/>
          <w:highlight w:val="none"/>
        </w:rPr>
      </w:pPr>
      <w:r>
        <w:rPr>
          <w:rFonts w:hint="eastAsia"/>
          <w:color w:val="auto"/>
          <w:highlight w:val="none"/>
          <w:lang w:eastAsia="zh-CN"/>
        </w:rPr>
        <w:t>项目</w:t>
      </w:r>
      <w:r>
        <w:rPr>
          <w:rFonts w:hint="eastAsia"/>
          <w:color w:val="auto"/>
          <w:highlight w:val="none"/>
          <w:lang w:val="en-US" w:eastAsia="zh-CN"/>
        </w:rPr>
        <w:t>经理</w:t>
      </w:r>
      <w:r>
        <w:rPr>
          <w:rFonts w:hint="eastAsia"/>
          <w:color w:val="auto"/>
          <w:highlight w:val="none"/>
        </w:rPr>
        <w:t>具备良好的决策、组织、领导和沟通能力，能正确处理和协调与发包人、相关各方之间及企业内部各专业、各部门之间的关系。</w:t>
      </w:r>
    </w:p>
    <w:p w14:paraId="03F9A308">
      <w:pPr>
        <w:pStyle w:val="5"/>
        <w:bidi w:val="0"/>
        <w:rPr>
          <w:rFonts w:hint="eastAsia"/>
          <w:color w:val="auto"/>
          <w:highlight w:val="none"/>
        </w:rPr>
      </w:pPr>
      <w:r>
        <w:rPr>
          <w:rFonts w:hint="eastAsia"/>
          <w:color w:val="auto"/>
          <w:highlight w:val="none"/>
          <w:lang w:eastAsia="zh-CN"/>
        </w:rPr>
        <w:t>项目</w:t>
      </w:r>
      <w:r>
        <w:rPr>
          <w:rFonts w:hint="eastAsia"/>
          <w:color w:val="auto"/>
          <w:highlight w:val="none"/>
          <w:lang w:val="en-US" w:eastAsia="zh-CN"/>
        </w:rPr>
        <w:t>经理</w:t>
      </w:r>
      <w:r>
        <w:rPr>
          <w:rFonts w:hint="eastAsia"/>
          <w:color w:val="auto"/>
          <w:highlight w:val="none"/>
        </w:rPr>
        <w:t>具备工程总承包项目管理的专业技术，有关项目管理的经济和法律、法规知识。</w:t>
      </w:r>
    </w:p>
    <w:p w14:paraId="53BF857F">
      <w:pPr>
        <w:pStyle w:val="5"/>
        <w:bidi w:val="0"/>
        <w:rPr>
          <w:rFonts w:hint="eastAsia"/>
          <w:color w:val="auto"/>
          <w:highlight w:val="none"/>
        </w:rPr>
      </w:pPr>
      <w:r>
        <w:rPr>
          <w:rFonts w:hint="eastAsia"/>
          <w:color w:val="auto"/>
          <w:highlight w:val="none"/>
          <w:lang w:eastAsia="zh-CN"/>
        </w:rPr>
        <w:t>项目</w:t>
      </w:r>
      <w:r>
        <w:rPr>
          <w:rFonts w:hint="eastAsia"/>
          <w:color w:val="auto"/>
          <w:highlight w:val="none"/>
          <w:lang w:val="en-US" w:eastAsia="zh-CN"/>
        </w:rPr>
        <w:t>经理</w:t>
      </w:r>
      <w:r>
        <w:rPr>
          <w:rFonts w:hint="eastAsia"/>
          <w:color w:val="auto"/>
          <w:highlight w:val="none"/>
        </w:rPr>
        <w:t>具有良好的职业道德。</w:t>
      </w:r>
    </w:p>
    <w:p w14:paraId="635839E5">
      <w:pPr>
        <w:pStyle w:val="5"/>
        <w:bidi w:val="0"/>
        <w:rPr>
          <w:color w:val="auto"/>
          <w:highlight w:val="none"/>
        </w:rPr>
      </w:pPr>
      <w:r>
        <w:rPr>
          <w:rFonts w:hint="eastAsia"/>
          <w:color w:val="auto"/>
          <w:highlight w:val="none"/>
          <w:lang w:eastAsia="zh-CN"/>
        </w:rPr>
        <w:t>项目</w:t>
      </w:r>
      <w:r>
        <w:rPr>
          <w:rFonts w:hint="eastAsia"/>
          <w:color w:val="auto"/>
          <w:highlight w:val="none"/>
          <w:lang w:val="en-US" w:eastAsia="zh-CN"/>
        </w:rPr>
        <w:t>经理</w:t>
      </w:r>
      <w:r>
        <w:rPr>
          <w:rFonts w:hint="eastAsia"/>
          <w:color w:val="auto"/>
          <w:highlight w:val="none"/>
        </w:rPr>
        <w:t>必须常驻现场，不得委派“执行经理”或“常务经理”代行</w:t>
      </w:r>
      <w:r>
        <w:rPr>
          <w:rFonts w:hint="eastAsia"/>
          <w:color w:val="auto"/>
          <w:highlight w:val="none"/>
          <w:lang w:eastAsia="zh-CN"/>
        </w:rPr>
        <w:t>项目负责人</w:t>
      </w:r>
      <w:r>
        <w:rPr>
          <w:rFonts w:hint="eastAsia"/>
          <w:color w:val="auto"/>
          <w:highlight w:val="none"/>
        </w:rPr>
        <w:t>职责。</w:t>
      </w:r>
    </w:p>
    <w:p w14:paraId="754DA7DA">
      <w:pPr>
        <w:pStyle w:val="4"/>
        <w:widowControl/>
        <w:numPr>
          <w:ilvl w:val="0"/>
          <w:numId w:val="11"/>
        </w:numPr>
        <w:spacing w:before="120" w:after="120" w:line="240" w:lineRule="auto"/>
        <w:ind w:left="0" w:firstLine="0" w:firstLineChars="0"/>
        <w:rPr>
          <w:color w:val="auto"/>
          <w:highlight w:val="none"/>
        </w:rPr>
      </w:pPr>
      <w:bookmarkStart w:id="180" w:name="_Toc25410"/>
      <w:bookmarkStart w:id="181" w:name="_Toc153907565"/>
      <w:r>
        <w:rPr>
          <w:rFonts w:hint="eastAsia"/>
          <w:color w:val="auto"/>
          <w:highlight w:val="none"/>
        </w:rPr>
        <w:t>项目关键岗位</w:t>
      </w:r>
      <w:r>
        <w:rPr>
          <w:color w:val="auto"/>
          <w:highlight w:val="none"/>
        </w:rPr>
        <w:t>的</w:t>
      </w:r>
      <w:r>
        <w:rPr>
          <w:rFonts w:hint="eastAsia"/>
          <w:color w:val="auto"/>
          <w:highlight w:val="none"/>
        </w:rPr>
        <w:t>管理要求</w:t>
      </w:r>
      <w:bookmarkEnd w:id="180"/>
      <w:bookmarkEnd w:id="181"/>
    </w:p>
    <w:p w14:paraId="2C3DAEC5">
      <w:pPr>
        <w:pStyle w:val="36"/>
        <w:spacing w:after="120" w:afterLines="50"/>
        <w:ind w:firstLine="480"/>
        <w:jc w:val="left"/>
        <w:rPr>
          <w:color w:val="auto"/>
          <w:highlight w:val="none"/>
        </w:rPr>
      </w:pPr>
      <w:r>
        <w:rPr>
          <w:rFonts w:hint="eastAsia"/>
          <w:color w:val="auto"/>
          <w:highlight w:val="none"/>
          <w:lang w:eastAsia="zh-CN"/>
        </w:rPr>
        <w:t>承</w:t>
      </w:r>
      <w:r>
        <w:rPr>
          <w:rFonts w:hint="eastAsia"/>
          <w:color w:val="auto"/>
          <w:highlight w:val="none"/>
        </w:rPr>
        <w:t>包人应根据发包人对项目组织架构的要求配备项目管理人员，除项目经理外，项目管理团队关键岗位应经发包人面试。发包人对未达到要求之成员，要求</w:t>
      </w:r>
      <w:r>
        <w:rPr>
          <w:rFonts w:hint="eastAsia"/>
          <w:color w:val="auto"/>
          <w:highlight w:val="none"/>
          <w:lang w:eastAsia="zh-CN"/>
        </w:rPr>
        <w:t>承</w:t>
      </w:r>
      <w:r>
        <w:rPr>
          <w:rFonts w:hint="eastAsia"/>
          <w:color w:val="auto"/>
          <w:highlight w:val="none"/>
        </w:rPr>
        <w:t>包人进行更换并重新面试。</w:t>
      </w:r>
      <w:r>
        <w:rPr>
          <w:rFonts w:hint="eastAsia"/>
          <w:color w:val="auto"/>
          <w:highlight w:val="none"/>
          <w:lang w:eastAsia="zh-CN"/>
        </w:rPr>
        <w:t>承</w:t>
      </w:r>
      <w:r>
        <w:rPr>
          <w:rFonts w:hint="eastAsia"/>
          <w:color w:val="auto"/>
          <w:highlight w:val="none"/>
        </w:rPr>
        <w:t>包人管理架构需满足以下要求：</w:t>
      </w:r>
    </w:p>
    <w:p w14:paraId="7C1756CC">
      <w:pPr>
        <w:widowControl/>
        <w:numPr>
          <w:ilvl w:val="0"/>
          <w:numId w:val="14"/>
        </w:numPr>
        <w:tabs>
          <w:tab w:val="left" w:pos="40"/>
        </w:tabs>
        <w:ind w:firstLine="480"/>
        <w:jc w:val="left"/>
        <w:rPr>
          <w:bCs/>
          <w:color w:val="auto"/>
          <w:highlight w:val="none"/>
        </w:rPr>
      </w:pPr>
      <w:r>
        <w:rPr>
          <w:rFonts w:hint="eastAsia"/>
          <w:bCs/>
          <w:color w:val="auto"/>
          <w:highlight w:val="none"/>
          <w:lang w:eastAsia="zh-CN"/>
        </w:rPr>
        <w:t>承</w:t>
      </w:r>
      <w:r>
        <w:rPr>
          <w:rFonts w:hint="eastAsia"/>
          <w:bCs/>
          <w:color w:val="auto"/>
          <w:highlight w:val="none"/>
        </w:rPr>
        <w:t>包人进场当天向发包人、总承包人、监理人提交完善的管理架构人员名单及联系方式，管理架构中关键岗位的人员必须在进场后7天内全部到岗上班，否则视为违约。</w:t>
      </w:r>
    </w:p>
    <w:p w14:paraId="10B4BA14">
      <w:pPr>
        <w:widowControl/>
        <w:numPr>
          <w:ilvl w:val="0"/>
          <w:numId w:val="14"/>
        </w:numPr>
        <w:tabs>
          <w:tab w:val="left" w:pos="40"/>
        </w:tabs>
        <w:ind w:firstLine="480"/>
        <w:jc w:val="left"/>
        <w:rPr>
          <w:bCs/>
          <w:color w:val="auto"/>
          <w:highlight w:val="none"/>
        </w:rPr>
      </w:pPr>
      <w:r>
        <w:rPr>
          <w:rFonts w:hint="eastAsia"/>
          <w:bCs/>
          <w:color w:val="auto"/>
          <w:highlight w:val="none"/>
          <w:lang w:eastAsia="zh-CN"/>
        </w:rPr>
        <w:t>承</w:t>
      </w:r>
      <w:r>
        <w:rPr>
          <w:rFonts w:hint="eastAsia"/>
          <w:bCs/>
          <w:color w:val="auto"/>
          <w:highlight w:val="none"/>
        </w:rPr>
        <w:t>包人项目部关键岗位必须专职，不得跨项目兼职，从开工至交付过程全程参与项目实施。</w:t>
      </w:r>
    </w:p>
    <w:p w14:paraId="07B5C515">
      <w:pPr>
        <w:widowControl/>
        <w:numPr>
          <w:ilvl w:val="0"/>
          <w:numId w:val="14"/>
        </w:numPr>
        <w:tabs>
          <w:tab w:val="left" w:pos="40"/>
        </w:tabs>
        <w:ind w:firstLine="480"/>
        <w:jc w:val="left"/>
        <w:rPr>
          <w:bCs/>
          <w:color w:val="auto"/>
          <w:highlight w:val="none"/>
        </w:rPr>
      </w:pPr>
      <w:r>
        <w:rPr>
          <w:rFonts w:hint="eastAsia"/>
          <w:bCs/>
          <w:color w:val="auto"/>
          <w:highlight w:val="none"/>
          <w:lang w:eastAsia="zh-CN"/>
        </w:rPr>
        <w:t>承</w:t>
      </w:r>
      <w:r>
        <w:rPr>
          <w:rFonts w:hint="eastAsia"/>
          <w:bCs/>
          <w:color w:val="auto"/>
          <w:highlight w:val="none"/>
        </w:rPr>
        <w:t>包人擅自更换关键岗位人员而未获</w:t>
      </w:r>
      <w:r>
        <w:rPr>
          <w:rFonts w:hint="eastAsia"/>
          <w:bCs/>
          <w:color w:val="auto"/>
          <w:highlight w:val="none"/>
          <w:lang w:eastAsia="zh-CN"/>
        </w:rPr>
        <w:t>发包人</w:t>
      </w:r>
      <w:r>
        <w:rPr>
          <w:rFonts w:hint="eastAsia"/>
          <w:bCs/>
          <w:color w:val="auto"/>
          <w:highlight w:val="none"/>
        </w:rPr>
        <w:t>书面许可的，将承担违约责任。</w:t>
      </w:r>
    </w:p>
    <w:p w14:paraId="22DE92AC">
      <w:pPr>
        <w:widowControl/>
        <w:numPr>
          <w:ilvl w:val="0"/>
          <w:numId w:val="14"/>
        </w:numPr>
        <w:tabs>
          <w:tab w:val="left" w:pos="40"/>
        </w:tabs>
        <w:ind w:firstLine="480"/>
        <w:jc w:val="left"/>
        <w:rPr>
          <w:bCs/>
          <w:color w:val="auto"/>
          <w:highlight w:val="none"/>
        </w:rPr>
      </w:pPr>
      <w:r>
        <w:rPr>
          <w:rFonts w:hint="eastAsia"/>
          <w:bCs/>
          <w:color w:val="auto"/>
          <w:highlight w:val="none"/>
        </w:rPr>
        <w:t>如</w:t>
      </w:r>
      <w:r>
        <w:rPr>
          <w:rFonts w:hint="eastAsia"/>
          <w:bCs/>
          <w:color w:val="auto"/>
          <w:highlight w:val="none"/>
          <w:lang w:eastAsia="zh-CN"/>
        </w:rPr>
        <w:t>承</w:t>
      </w:r>
      <w:r>
        <w:rPr>
          <w:rFonts w:hint="eastAsia"/>
          <w:bCs/>
          <w:color w:val="auto"/>
          <w:highlight w:val="none"/>
        </w:rPr>
        <w:t>包人确因无法控制的原因如刑拘、身亡、离开单位（但不含升职），需要更换关键人员，须书面通知发包人，经发包人同意后方可更换，但不因此免除</w:t>
      </w:r>
      <w:r>
        <w:rPr>
          <w:rFonts w:hint="eastAsia"/>
          <w:bCs/>
          <w:color w:val="auto"/>
          <w:highlight w:val="none"/>
          <w:lang w:eastAsia="zh-CN"/>
        </w:rPr>
        <w:t>承</w:t>
      </w:r>
      <w:r>
        <w:rPr>
          <w:rFonts w:hint="eastAsia"/>
          <w:bCs/>
          <w:color w:val="auto"/>
          <w:highlight w:val="none"/>
        </w:rPr>
        <w:t>包人的违约责任，发包人视更换人员后期履约情况保留处罚权利。新拟派人员（至少提供2名）须重新面试，面试通过后方可上岗。在发包人批准的新人员未到场且到场工作移交未完成前，均按照擅自离岗进行违约处理。</w:t>
      </w:r>
    </w:p>
    <w:p w14:paraId="6D7CD72F">
      <w:pPr>
        <w:widowControl/>
        <w:numPr>
          <w:ilvl w:val="0"/>
          <w:numId w:val="14"/>
        </w:numPr>
        <w:tabs>
          <w:tab w:val="left" w:pos="40"/>
        </w:tabs>
        <w:ind w:firstLine="480"/>
        <w:jc w:val="left"/>
        <w:rPr>
          <w:bCs/>
          <w:color w:val="auto"/>
          <w:highlight w:val="none"/>
        </w:rPr>
      </w:pPr>
      <w:r>
        <w:rPr>
          <w:rFonts w:hint="eastAsia"/>
          <w:bCs/>
          <w:color w:val="auto"/>
          <w:highlight w:val="none"/>
          <w:lang w:eastAsia="zh-CN"/>
        </w:rPr>
        <w:t>承</w:t>
      </w:r>
      <w:r>
        <w:rPr>
          <w:rFonts w:hint="eastAsia"/>
          <w:bCs/>
          <w:color w:val="auto"/>
          <w:highlight w:val="none"/>
        </w:rPr>
        <w:t>包人关键岗位人员应保证在施工阶段常驻现场。</w:t>
      </w:r>
    </w:p>
    <w:p w14:paraId="0E505143">
      <w:pPr>
        <w:widowControl/>
        <w:numPr>
          <w:ilvl w:val="0"/>
          <w:numId w:val="14"/>
        </w:numPr>
        <w:tabs>
          <w:tab w:val="left" w:pos="40"/>
        </w:tabs>
        <w:ind w:firstLine="480"/>
        <w:jc w:val="left"/>
        <w:rPr>
          <w:bCs/>
          <w:color w:val="auto"/>
          <w:highlight w:val="none"/>
        </w:rPr>
      </w:pPr>
      <w:r>
        <w:rPr>
          <w:rFonts w:hint="eastAsia"/>
          <w:bCs/>
          <w:color w:val="auto"/>
          <w:highlight w:val="none"/>
          <w:lang w:eastAsia="zh-CN"/>
        </w:rPr>
        <w:t>承</w:t>
      </w:r>
      <w:r>
        <w:rPr>
          <w:rFonts w:hint="eastAsia"/>
          <w:bCs/>
          <w:color w:val="auto"/>
          <w:highlight w:val="none"/>
        </w:rPr>
        <w:t>包人中途更换项目经理和生产经理、技术负责人、安全员，需提前7天以书面形式通知</w:t>
      </w:r>
      <w:r>
        <w:rPr>
          <w:rFonts w:hint="eastAsia"/>
          <w:bCs/>
          <w:color w:val="auto"/>
          <w:highlight w:val="none"/>
          <w:lang w:eastAsia="zh-CN"/>
        </w:rPr>
        <w:t>发包人</w:t>
      </w:r>
      <w:r>
        <w:rPr>
          <w:rFonts w:hint="eastAsia"/>
          <w:bCs/>
          <w:color w:val="auto"/>
          <w:highlight w:val="none"/>
        </w:rPr>
        <w:t>并获得发包人书面同意后方可更换，但不因此免除</w:t>
      </w:r>
      <w:r>
        <w:rPr>
          <w:rFonts w:hint="eastAsia"/>
          <w:bCs/>
          <w:color w:val="auto"/>
          <w:highlight w:val="none"/>
          <w:lang w:eastAsia="zh-CN"/>
        </w:rPr>
        <w:t>承</w:t>
      </w:r>
      <w:r>
        <w:rPr>
          <w:rFonts w:hint="eastAsia"/>
          <w:bCs/>
          <w:color w:val="auto"/>
          <w:highlight w:val="none"/>
        </w:rPr>
        <w:t>包人违约责任，发包人视更换人员后期履约情况保留处罚权利。</w:t>
      </w:r>
    </w:p>
    <w:p w14:paraId="0907FD2D">
      <w:pPr>
        <w:widowControl/>
        <w:numPr>
          <w:ilvl w:val="0"/>
          <w:numId w:val="14"/>
        </w:numPr>
        <w:tabs>
          <w:tab w:val="left" w:pos="40"/>
        </w:tabs>
        <w:ind w:firstLine="480"/>
        <w:jc w:val="left"/>
        <w:rPr>
          <w:bCs/>
          <w:color w:val="auto"/>
          <w:highlight w:val="none"/>
        </w:rPr>
      </w:pPr>
      <w:r>
        <w:rPr>
          <w:rFonts w:hint="eastAsia"/>
          <w:bCs/>
          <w:color w:val="auto"/>
          <w:highlight w:val="none"/>
        </w:rPr>
        <w:t>发包人有权对不适合的项目经理和生产经理、技术负责人向</w:t>
      </w:r>
      <w:r>
        <w:rPr>
          <w:rFonts w:hint="eastAsia"/>
          <w:bCs/>
          <w:color w:val="auto"/>
          <w:highlight w:val="none"/>
          <w:lang w:eastAsia="zh-CN"/>
        </w:rPr>
        <w:t>承</w:t>
      </w:r>
      <w:r>
        <w:rPr>
          <w:rFonts w:hint="eastAsia"/>
          <w:bCs/>
          <w:color w:val="auto"/>
          <w:highlight w:val="none"/>
        </w:rPr>
        <w:t>包人提出更换，面试后接发包人书面通知后新项目经理和新生产经理、项目技术负责人7天内必须到岗。</w:t>
      </w:r>
    </w:p>
    <w:p w14:paraId="46426B8E">
      <w:pPr>
        <w:widowControl/>
        <w:numPr>
          <w:ilvl w:val="0"/>
          <w:numId w:val="14"/>
        </w:numPr>
        <w:tabs>
          <w:tab w:val="left" w:pos="40"/>
        </w:tabs>
        <w:ind w:firstLine="480"/>
        <w:jc w:val="left"/>
        <w:rPr>
          <w:bCs/>
          <w:color w:val="auto"/>
          <w:highlight w:val="none"/>
        </w:rPr>
      </w:pPr>
      <w:r>
        <w:rPr>
          <w:rFonts w:hint="eastAsia"/>
          <w:bCs/>
          <w:color w:val="auto"/>
          <w:highlight w:val="none"/>
          <w:lang w:eastAsia="zh-CN"/>
        </w:rPr>
        <w:t>承</w:t>
      </w:r>
      <w:r>
        <w:rPr>
          <w:rFonts w:hint="eastAsia"/>
          <w:bCs/>
          <w:color w:val="auto"/>
          <w:highlight w:val="none"/>
        </w:rPr>
        <w:t>包人其他人员水平能力不能满足现场施工及发包人要求的，发包人有权要求</w:t>
      </w:r>
      <w:r>
        <w:rPr>
          <w:rFonts w:hint="eastAsia"/>
          <w:bCs/>
          <w:color w:val="auto"/>
          <w:highlight w:val="none"/>
          <w:lang w:eastAsia="zh-CN"/>
        </w:rPr>
        <w:t>承</w:t>
      </w:r>
      <w:r>
        <w:rPr>
          <w:rFonts w:hint="eastAsia"/>
          <w:bCs/>
          <w:color w:val="auto"/>
          <w:highlight w:val="none"/>
        </w:rPr>
        <w:t>包人立即进行更换，</w:t>
      </w:r>
      <w:r>
        <w:rPr>
          <w:rFonts w:hint="eastAsia"/>
          <w:bCs/>
          <w:color w:val="auto"/>
          <w:highlight w:val="none"/>
          <w:lang w:eastAsia="zh-CN"/>
        </w:rPr>
        <w:t>承</w:t>
      </w:r>
      <w:r>
        <w:rPr>
          <w:rFonts w:hint="eastAsia"/>
          <w:bCs/>
          <w:color w:val="auto"/>
          <w:highlight w:val="none"/>
        </w:rPr>
        <w:t>包人在接到发包人更换通知的3天内完成人员更换并到岗。</w:t>
      </w:r>
    </w:p>
    <w:p w14:paraId="13BCB8DE">
      <w:pPr>
        <w:widowControl/>
        <w:numPr>
          <w:ilvl w:val="0"/>
          <w:numId w:val="14"/>
        </w:numPr>
        <w:tabs>
          <w:tab w:val="left" w:pos="40"/>
        </w:tabs>
        <w:ind w:firstLine="480"/>
        <w:jc w:val="left"/>
        <w:rPr>
          <w:bCs/>
          <w:color w:val="auto"/>
          <w:highlight w:val="none"/>
        </w:rPr>
      </w:pPr>
      <w:r>
        <w:rPr>
          <w:rFonts w:hint="eastAsia"/>
          <w:bCs/>
          <w:color w:val="auto"/>
          <w:highlight w:val="none"/>
          <w:lang w:eastAsia="zh-CN"/>
        </w:rPr>
        <w:t>承</w:t>
      </w:r>
      <w:r>
        <w:rPr>
          <w:rFonts w:hint="eastAsia"/>
          <w:bCs/>
          <w:color w:val="auto"/>
          <w:highlight w:val="none"/>
        </w:rPr>
        <w:t>包人需签订关键岗位承诺函，详见【附件B-10】：《关键岗位承诺函》。</w:t>
      </w:r>
    </w:p>
    <w:p w14:paraId="137D177A">
      <w:pPr>
        <w:pStyle w:val="4"/>
        <w:widowControl/>
        <w:numPr>
          <w:ilvl w:val="0"/>
          <w:numId w:val="11"/>
        </w:numPr>
        <w:spacing w:before="120" w:after="120" w:line="240" w:lineRule="auto"/>
        <w:ind w:left="0" w:firstLine="0" w:firstLineChars="0"/>
        <w:rPr>
          <w:rFonts w:hint="eastAsia"/>
          <w:color w:val="auto"/>
          <w:highlight w:val="none"/>
        </w:rPr>
      </w:pPr>
      <w:bookmarkStart w:id="182" w:name="_Toc7592"/>
      <w:bookmarkStart w:id="183" w:name="_Toc9939"/>
      <w:r>
        <w:rPr>
          <w:rFonts w:hint="eastAsia"/>
          <w:color w:val="auto"/>
          <w:highlight w:val="none"/>
        </w:rPr>
        <w:t>对</w:t>
      </w:r>
      <w:bookmarkEnd w:id="182"/>
      <w:r>
        <w:rPr>
          <w:rFonts w:hint="eastAsia"/>
          <w:color w:val="auto"/>
          <w:highlight w:val="none"/>
        </w:rPr>
        <w:t>劳务队伍人员配置的要求</w:t>
      </w:r>
      <w:bookmarkEnd w:id="183"/>
    </w:p>
    <w:p w14:paraId="47305494">
      <w:pPr>
        <w:widowControl/>
        <w:numPr>
          <w:ilvl w:val="0"/>
          <w:numId w:val="0"/>
        </w:numPr>
        <w:tabs>
          <w:tab w:val="left" w:pos="40"/>
        </w:tabs>
        <w:ind w:leftChars="200"/>
        <w:jc w:val="left"/>
        <w:rPr>
          <w:rFonts w:hint="eastAsia"/>
          <w:bCs/>
          <w:color w:val="auto"/>
          <w:highlight w:val="none"/>
        </w:rPr>
      </w:pPr>
      <w:bookmarkStart w:id="184" w:name="_Toc533173299"/>
      <w:r>
        <w:rPr>
          <w:rFonts w:hint="eastAsia"/>
          <w:bCs/>
          <w:color w:val="auto"/>
          <w:highlight w:val="none"/>
          <w:lang w:val="en-US" w:eastAsia="zh-CN"/>
        </w:rPr>
        <w:t>5.4.1</w:t>
      </w:r>
      <w:r>
        <w:rPr>
          <w:rFonts w:hint="eastAsia"/>
          <w:bCs/>
          <w:color w:val="auto"/>
          <w:highlight w:val="none"/>
        </w:rPr>
        <w:t>劳务队伍的选定范围</w:t>
      </w:r>
      <w:bookmarkEnd w:id="184"/>
    </w:p>
    <w:p w14:paraId="29807A9D">
      <w:pPr>
        <w:widowControl/>
        <w:numPr>
          <w:ilvl w:val="0"/>
          <w:numId w:val="0"/>
        </w:numPr>
        <w:tabs>
          <w:tab w:val="left" w:pos="40"/>
        </w:tabs>
        <w:ind w:leftChars="200"/>
        <w:jc w:val="left"/>
        <w:rPr>
          <w:rFonts w:hint="eastAsia"/>
          <w:bCs/>
          <w:color w:val="auto"/>
          <w:highlight w:val="none"/>
        </w:rPr>
      </w:pPr>
      <w:r>
        <w:rPr>
          <w:rFonts w:hint="eastAsia"/>
          <w:bCs/>
          <w:color w:val="auto"/>
          <w:highlight w:val="none"/>
          <w:lang w:val="en-US" w:eastAsia="zh-CN"/>
        </w:rPr>
        <w:t>（1）具有专业分包资质。</w:t>
      </w:r>
    </w:p>
    <w:p w14:paraId="3223BA35">
      <w:pPr>
        <w:widowControl/>
        <w:numPr>
          <w:ilvl w:val="0"/>
          <w:numId w:val="0"/>
        </w:numPr>
        <w:tabs>
          <w:tab w:val="left" w:pos="40"/>
        </w:tabs>
        <w:ind w:leftChars="200"/>
        <w:jc w:val="left"/>
        <w:rPr>
          <w:rFonts w:hint="eastAsia"/>
          <w:bCs/>
          <w:color w:val="auto"/>
          <w:highlight w:val="none"/>
        </w:rPr>
      </w:pPr>
      <w:r>
        <w:rPr>
          <w:rFonts w:hint="eastAsia"/>
          <w:bCs/>
          <w:color w:val="auto"/>
          <w:highlight w:val="none"/>
          <w:lang w:val="en-US" w:eastAsia="zh-CN"/>
        </w:rPr>
        <w:t>（2）已完成进入当地城市的市场备案手续。</w:t>
      </w:r>
    </w:p>
    <w:p w14:paraId="10DC8D20">
      <w:pPr>
        <w:widowControl/>
        <w:numPr>
          <w:ilvl w:val="0"/>
          <w:numId w:val="0"/>
        </w:numPr>
        <w:tabs>
          <w:tab w:val="left" w:pos="40"/>
        </w:tabs>
        <w:ind w:leftChars="200"/>
        <w:jc w:val="left"/>
        <w:rPr>
          <w:rFonts w:hint="eastAsia"/>
          <w:bCs/>
          <w:color w:val="auto"/>
          <w:highlight w:val="none"/>
        </w:rPr>
      </w:pPr>
      <w:r>
        <w:rPr>
          <w:rFonts w:hint="eastAsia"/>
          <w:bCs/>
          <w:color w:val="auto"/>
          <w:highlight w:val="none"/>
          <w:lang w:val="en-US" w:eastAsia="zh-CN"/>
        </w:rPr>
        <w:t>（3）近5年内与承包人无劳务纠纷、群众事件、集体上访事件的队伍。</w:t>
      </w:r>
    </w:p>
    <w:p w14:paraId="7B9F399E">
      <w:pPr>
        <w:widowControl/>
        <w:numPr>
          <w:ilvl w:val="0"/>
          <w:numId w:val="0"/>
        </w:numPr>
        <w:tabs>
          <w:tab w:val="left" w:pos="40"/>
        </w:tabs>
        <w:ind w:leftChars="200"/>
        <w:jc w:val="left"/>
        <w:rPr>
          <w:rFonts w:hint="eastAsia"/>
          <w:bCs/>
          <w:color w:val="auto"/>
          <w:highlight w:val="none"/>
        </w:rPr>
      </w:pPr>
      <w:bookmarkStart w:id="185" w:name="_Toc321485650"/>
      <w:r>
        <w:rPr>
          <w:rFonts w:hint="eastAsia"/>
          <w:bCs/>
          <w:color w:val="auto"/>
          <w:highlight w:val="none"/>
          <w:lang w:val="en-US" w:eastAsia="zh-CN"/>
        </w:rPr>
        <w:t>5.4.2</w:t>
      </w:r>
      <w:r>
        <w:rPr>
          <w:rFonts w:hint="eastAsia"/>
          <w:bCs/>
          <w:color w:val="auto"/>
          <w:highlight w:val="none"/>
        </w:rPr>
        <w:t>劳务队伍的管理要求</w:t>
      </w:r>
      <w:bookmarkEnd w:id="185"/>
    </w:p>
    <w:p w14:paraId="1E8BFCBE">
      <w:pPr>
        <w:widowControl/>
        <w:numPr>
          <w:ilvl w:val="0"/>
          <w:numId w:val="0"/>
        </w:numPr>
        <w:tabs>
          <w:tab w:val="left" w:pos="40"/>
        </w:tabs>
        <w:ind w:leftChars="200"/>
        <w:jc w:val="left"/>
        <w:rPr>
          <w:rFonts w:hint="eastAsia"/>
          <w:bCs/>
          <w:color w:val="auto"/>
          <w:highlight w:val="none"/>
        </w:rPr>
      </w:pPr>
      <w:r>
        <w:rPr>
          <w:rFonts w:hint="eastAsia"/>
          <w:bCs/>
          <w:color w:val="auto"/>
          <w:highlight w:val="none"/>
          <w:lang w:val="en-US" w:eastAsia="zh-CN"/>
        </w:rPr>
        <w:t>承包人需在定标前明确劳务队来源，选择与承包人有长期良好合作关系并且具有高端项目景观工程经验的队伍。如劳务队不能满足发包人要求，发包人有权要求承包人更换劳务队，承包人须在5天内完成更换。</w:t>
      </w:r>
    </w:p>
    <w:p w14:paraId="252C2B1B">
      <w:pPr>
        <w:widowControl/>
        <w:numPr>
          <w:ilvl w:val="0"/>
          <w:numId w:val="0"/>
        </w:numPr>
        <w:tabs>
          <w:tab w:val="left" w:pos="40"/>
        </w:tabs>
        <w:ind w:leftChars="200"/>
        <w:jc w:val="left"/>
        <w:rPr>
          <w:bCs/>
          <w:color w:val="auto"/>
          <w:highlight w:val="none"/>
        </w:rPr>
      </w:pPr>
    </w:p>
    <w:p w14:paraId="6F1DDA4A">
      <w:pPr>
        <w:pStyle w:val="2"/>
        <w:rPr>
          <w:rFonts w:hint="eastAsia"/>
          <w:color w:val="auto"/>
          <w:highlight w:val="none"/>
          <w:lang w:val="en-US" w:eastAsia="zh-CN"/>
        </w:rPr>
        <w:sectPr>
          <w:headerReference r:id="rId6" w:type="default"/>
          <w:footerReference r:id="rId7" w:type="default"/>
          <w:pgSz w:w="11906" w:h="16839"/>
          <w:pgMar w:top="1993" w:right="1620" w:bottom="400" w:left="1701" w:header="1979" w:footer="0" w:gutter="0"/>
          <w:cols w:space="720" w:num="1"/>
        </w:sectPr>
      </w:pPr>
    </w:p>
    <w:bookmarkEnd w:id="7"/>
    <w:p w14:paraId="69C0944A">
      <w:pPr>
        <w:pStyle w:val="3"/>
        <w:bidi w:val="0"/>
        <w:rPr>
          <w:color w:val="auto"/>
          <w:highlight w:val="none"/>
        </w:rPr>
      </w:pPr>
      <w:bookmarkStart w:id="186" w:name="_Toc8931"/>
      <w:r>
        <w:rPr>
          <w:rFonts w:hint="eastAsia"/>
          <w:color w:val="auto"/>
          <w:highlight w:val="none"/>
        </w:rPr>
        <w:t>施工</w:t>
      </w:r>
      <w:r>
        <w:rPr>
          <w:color w:val="auto"/>
          <w:highlight w:val="none"/>
        </w:rPr>
        <w:t>管理要求</w:t>
      </w:r>
      <w:bookmarkEnd w:id="8"/>
      <w:bookmarkEnd w:id="9"/>
      <w:bookmarkEnd w:id="10"/>
      <w:bookmarkEnd w:id="11"/>
      <w:bookmarkEnd w:id="12"/>
      <w:bookmarkEnd w:id="13"/>
      <w:bookmarkEnd w:id="14"/>
      <w:bookmarkEnd w:id="15"/>
      <w:bookmarkEnd w:id="16"/>
      <w:bookmarkEnd w:id="17"/>
      <w:bookmarkEnd w:id="18"/>
      <w:bookmarkEnd w:id="186"/>
    </w:p>
    <w:p w14:paraId="31C424A8">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187" w:name="_Toc7190"/>
      <w:bookmarkStart w:id="188" w:name="_Toc169722211"/>
      <w:bookmarkStart w:id="189" w:name="_Toc27206"/>
      <w:bookmarkStart w:id="190" w:name="_Toc31000"/>
      <w:bookmarkStart w:id="191" w:name="_Toc10304"/>
      <w:bookmarkStart w:id="192" w:name="_Toc22389"/>
      <w:bookmarkStart w:id="193" w:name="_Toc13596"/>
      <w:bookmarkStart w:id="194" w:name="_Toc26449"/>
      <w:bookmarkStart w:id="195" w:name="_Toc19527"/>
      <w:bookmarkStart w:id="196" w:name="_Toc19509"/>
      <w:bookmarkStart w:id="197" w:name="_Toc9034"/>
      <w:bookmarkStart w:id="198" w:name="_Toc3889"/>
      <w:bookmarkStart w:id="199" w:name="_Toc15715"/>
      <w:r>
        <w:rPr>
          <w:color w:val="auto"/>
          <w:highlight w:val="none"/>
        </w:rPr>
        <w:t>质量管理要求</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13B72E23">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lang w:eastAsia="zh-CN"/>
        </w:rPr>
        <w:t>专业承包人</w:t>
      </w:r>
      <w:r>
        <w:rPr>
          <w:color w:val="auto"/>
          <w:highlight w:val="none"/>
        </w:rPr>
        <w:t>质量管理的基本要求</w:t>
      </w:r>
    </w:p>
    <w:p w14:paraId="41FEB988">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lang w:eastAsia="zh-CN"/>
        </w:rPr>
        <w:t>专业承包人</w:t>
      </w:r>
      <w:r>
        <w:rPr>
          <w:color w:val="auto"/>
          <w:highlight w:val="none"/>
        </w:rPr>
        <w:t>对合同约定总承包管理范围</w:t>
      </w:r>
      <w:r>
        <w:rPr>
          <w:rFonts w:hint="eastAsia"/>
          <w:color w:val="auto"/>
          <w:highlight w:val="none"/>
        </w:rPr>
        <w:t>的</w:t>
      </w:r>
      <w:r>
        <w:rPr>
          <w:color w:val="auto"/>
          <w:highlight w:val="none"/>
        </w:rPr>
        <w:t>全</w:t>
      </w:r>
      <w:r>
        <w:rPr>
          <w:rFonts w:hint="eastAsia"/>
          <w:color w:val="auto"/>
          <w:highlight w:val="none"/>
        </w:rPr>
        <w:t>部</w:t>
      </w:r>
      <w:r>
        <w:rPr>
          <w:color w:val="auto"/>
          <w:highlight w:val="none"/>
        </w:rPr>
        <w:t>工程承担整体</w:t>
      </w:r>
      <w:r>
        <w:rPr>
          <w:rFonts w:hint="eastAsia"/>
          <w:color w:val="auto"/>
          <w:highlight w:val="none"/>
        </w:rPr>
        <w:t>质量</w:t>
      </w:r>
      <w:r>
        <w:rPr>
          <w:color w:val="auto"/>
          <w:highlight w:val="none"/>
        </w:rPr>
        <w:t>责任。</w:t>
      </w:r>
    </w:p>
    <w:p w14:paraId="11D1CC80">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质量目标：</w:t>
      </w:r>
      <w:r>
        <w:rPr>
          <w:rFonts w:hint="eastAsia"/>
          <w:color w:val="auto"/>
          <w:highlight w:val="none"/>
          <w:lang w:eastAsia="zh-CN"/>
        </w:rPr>
        <w:t>专业承包人</w:t>
      </w:r>
      <w:r>
        <w:rPr>
          <w:rFonts w:hint="eastAsia"/>
          <w:color w:val="auto"/>
          <w:highlight w:val="none"/>
        </w:rPr>
        <w:t>对合同约定的管理范围的全部工程承担整体质量责任，按照《建设工程质量管理条例》和国家、广东省、广州市相关法律法规规范要求进行质量评定和组织验收，符合设计标准，并通过有关政府建设工程验收主管部门的竣工验收达到合格标准，配合总承包单位申报质量创优奖等奖项；</w:t>
      </w:r>
    </w:p>
    <w:p w14:paraId="5239EFA4">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bookmarkStart w:id="200" w:name="_Toc246820725"/>
      <w:bookmarkStart w:id="201" w:name="_Toc308643219"/>
      <w:bookmarkStart w:id="202" w:name="_Toc308696231"/>
      <w:r>
        <w:rPr>
          <w:color w:val="auto"/>
          <w:highlight w:val="none"/>
        </w:rPr>
        <w:t>质量</w:t>
      </w:r>
      <w:bookmarkEnd w:id="200"/>
      <w:bookmarkEnd w:id="201"/>
      <w:bookmarkEnd w:id="202"/>
      <w:r>
        <w:rPr>
          <w:rFonts w:hint="eastAsia"/>
          <w:color w:val="auto"/>
          <w:highlight w:val="none"/>
        </w:rPr>
        <w:t>管理体系和制度</w:t>
      </w:r>
    </w:p>
    <w:p w14:paraId="7508B46D">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s="Arial"/>
          <w:color w:val="auto"/>
          <w:highlight w:val="none"/>
          <w:lang w:eastAsia="zh-CN"/>
        </w:rPr>
        <w:t>专业承包人</w:t>
      </w:r>
      <w:r>
        <w:rPr>
          <w:rFonts w:hint="eastAsia" w:eastAsia="宋体" w:cs="Arial"/>
          <w:color w:val="auto"/>
          <w:highlight w:val="none"/>
        </w:rPr>
        <w:t>应当建立一套完整而有效的质量管理体系以及相应的质量管理措施，建立并完善各项目质量管理检查制度及企业质量管理文件</w:t>
      </w:r>
      <w:r>
        <w:rPr>
          <w:rFonts w:hint="eastAsia" w:eastAsia="宋体" w:cs="Arial"/>
          <w:color w:val="auto"/>
          <w:highlight w:val="none"/>
          <w:lang w:eastAsia="zh-CN"/>
        </w:rPr>
        <w:t>，</w:t>
      </w:r>
      <w:r>
        <w:rPr>
          <w:rFonts w:hint="eastAsia" w:eastAsia="宋体" w:cs="Arial"/>
          <w:color w:val="auto"/>
          <w:highlight w:val="none"/>
        </w:rPr>
        <w:t>并将</w:t>
      </w:r>
      <w:r>
        <w:rPr>
          <w:rFonts w:hint="eastAsia"/>
          <w:color w:val="auto"/>
          <w:highlight w:val="none"/>
          <w:lang w:val="en-US" w:eastAsia="zh-CN"/>
        </w:rPr>
        <w:t>精装修工程范围的</w:t>
      </w:r>
      <w:r>
        <w:rPr>
          <w:color w:val="auto"/>
          <w:highlight w:val="none"/>
        </w:rPr>
        <w:t>全</w:t>
      </w:r>
      <w:r>
        <w:rPr>
          <w:rFonts w:hint="eastAsia"/>
          <w:color w:val="auto"/>
          <w:highlight w:val="none"/>
        </w:rPr>
        <w:t>部</w:t>
      </w:r>
      <w:r>
        <w:rPr>
          <w:rFonts w:hint="eastAsia"/>
          <w:color w:val="auto"/>
          <w:highlight w:val="none"/>
          <w:lang w:val="en-US" w:eastAsia="zh-CN"/>
        </w:rPr>
        <w:t>专业承包人</w:t>
      </w:r>
      <w:r>
        <w:rPr>
          <w:rFonts w:hint="eastAsia"/>
          <w:color w:val="auto"/>
          <w:highlight w:val="none"/>
        </w:rPr>
        <w:t>的质量</w:t>
      </w:r>
      <w:r>
        <w:rPr>
          <w:color w:val="auto"/>
          <w:highlight w:val="none"/>
        </w:rPr>
        <w:t>管理</w:t>
      </w:r>
      <w:r>
        <w:rPr>
          <w:rFonts w:hint="eastAsia"/>
          <w:color w:val="auto"/>
          <w:highlight w:val="none"/>
        </w:rPr>
        <w:t>组织有机</w:t>
      </w:r>
      <w:r>
        <w:rPr>
          <w:color w:val="auto"/>
          <w:highlight w:val="none"/>
        </w:rPr>
        <w:t>融合在</w:t>
      </w:r>
      <w:r>
        <w:rPr>
          <w:rFonts w:hint="eastAsia"/>
          <w:color w:val="auto"/>
          <w:highlight w:val="none"/>
          <w:lang w:eastAsia="zh-CN"/>
        </w:rPr>
        <w:t>专业承包人</w:t>
      </w:r>
      <w:r>
        <w:rPr>
          <w:rFonts w:hint="eastAsia"/>
          <w:color w:val="auto"/>
          <w:highlight w:val="none"/>
        </w:rPr>
        <w:t>的</w:t>
      </w:r>
      <w:r>
        <w:rPr>
          <w:color w:val="auto"/>
          <w:highlight w:val="none"/>
        </w:rPr>
        <w:t>工程质量管理体系</w:t>
      </w:r>
      <w:r>
        <w:rPr>
          <w:rFonts w:hint="eastAsia"/>
          <w:color w:val="auto"/>
          <w:highlight w:val="none"/>
        </w:rPr>
        <w:t>和</w:t>
      </w:r>
      <w:r>
        <w:rPr>
          <w:color w:val="auto"/>
          <w:highlight w:val="none"/>
        </w:rPr>
        <w:t>组织中，实施全方位质量管理，</w:t>
      </w:r>
      <w:r>
        <w:rPr>
          <w:rFonts w:hint="eastAsia" w:eastAsia="宋体" w:cs="Arial"/>
          <w:color w:val="auto"/>
          <w:highlight w:val="none"/>
        </w:rPr>
        <w:t>严格执行材料管理、样板引路、工序交接、隐蔽验收、工作面移交、分户验收等质量管理制度，加强流程管控和过程管理，并接受发包人、监理人的监督和检查，持续改进，满足发包人的质量要求，</w:t>
      </w:r>
      <w:r>
        <w:rPr>
          <w:color w:val="auto"/>
          <w:highlight w:val="none"/>
        </w:rPr>
        <w:t>保证整体工程</w:t>
      </w:r>
      <w:r>
        <w:rPr>
          <w:rFonts w:hint="eastAsia" w:eastAsia="宋体" w:cs="Arial"/>
          <w:color w:val="auto"/>
          <w:highlight w:val="none"/>
        </w:rPr>
        <w:t>达到合同中规定的质量目标</w:t>
      </w:r>
      <w:r>
        <w:rPr>
          <w:rFonts w:eastAsia="宋体" w:cs="Arial"/>
          <w:color w:val="auto"/>
          <w:highlight w:val="none"/>
        </w:rPr>
        <w:t>。</w:t>
      </w:r>
    </w:p>
    <w:p w14:paraId="0823EBD4">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color w:val="auto"/>
          <w:highlight w:val="none"/>
        </w:rPr>
        <w:t>三检制</w:t>
      </w:r>
      <w:r>
        <w:rPr>
          <w:rFonts w:hint="eastAsia"/>
          <w:color w:val="auto"/>
          <w:highlight w:val="none"/>
        </w:rPr>
        <w:t>验收程序</w:t>
      </w:r>
    </w:p>
    <w:p w14:paraId="3C733764">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lang w:eastAsia="zh-CN"/>
        </w:rPr>
        <w:t>专业承包人</w:t>
      </w:r>
      <w:r>
        <w:rPr>
          <w:color w:val="auto"/>
          <w:highlight w:val="none"/>
        </w:rPr>
        <w:t>每道工序都要坚持自检、互检、专检制度，关键工序经监理</w:t>
      </w:r>
      <w:r>
        <w:rPr>
          <w:rFonts w:hint="eastAsia"/>
          <w:color w:val="auto"/>
          <w:highlight w:val="none"/>
        </w:rPr>
        <w:t>人/发包人</w:t>
      </w:r>
      <w:r>
        <w:rPr>
          <w:color w:val="auto"/>
          <w:highlight w:val="none"/>
        </w:rPr>
        <w:t>检查放行，否则不得进行下道工序施工。自检要做文字记录，隐蔽工程检查</w:t>
      </w:r>
      <w:r>
        <w:rPr>
          <w:rFonts w:hint="eastAsia"/>
          <w:color w:val="auto"/>
          <w:highlight w:val="none"/>
        </w:rPr>
        <w:t>应</w:t>
      </w:r>
      <w:r>
        <w:rPr>
          <w:color w:val="auto"/>
          <w:highlight w:val="none"/>
        </w:rPr>
        <w:t>做好齐全的文字记录</w:t>
      </w:r>
      <w:r>
        <w:rPr>
          <w:rFonts w:hint="eastAsia"/>
          <w:color w:val="auto"/>
          <w:highlight w:val="none"/>
        </w:rPr>
        <w:t>拍照存档</w:t>
      </w:r>
      <w:r>
        <w:rPr>
          <w:color w:val="auto"/>
          <w:highlight w:val="none"/>
        </w:rPr>
        <w:t>。各工序及最终工程质量，均需进行验收，分部工程</w:t>
      </w:r>
      <w:r>
        <w:rPr>
          <w:rFonts w:hint="eastAsia"/>
          <w:color w:val="auto"/>
          <w:highlight w:val="none"/>
        </w:rPr>
        <w:t>及单位工程</w:t>
      </w:r>
      <w:r>
        <w:rPr>
          <w:color w:val="auto"/>
          <w:highlight w:val="none"/>
        </w:rPr>
        <w:t>验收由</w:t>
      </w:r>
      <w:r>
        <w:rPr>
          <w:rFonts w:hint="eastAsia"/>
          <w:color w:val="auto"/>
          <w:highlight w:val="none"/>
        </w:rPr>
        <w:t>发包人</w:t>
      </w:r>
      <w:r>
        <w:rPr>
          <w:color w:val="auto"/>
          <w:highlight w:val="none"/>
        </w:rPr>
        <w:t>参加，未经核定或不合格者不得交工</w:t>
      </w:r>
      <w:r>
        <w:rPr>
          <w:rFonts w:hint="eastAsia"/>
          <w:color w:val="auto"/>
          <w:highlight w:val="none"/>
        </w:rPr>
        <w:t>。</w:t>
      </w:r>
    </w:p>
    <w:p w14:paraId="632E9073">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bookmarkStart w:id="203" w:name="_Toc32219"/>
      <w:r>
        <w:rPr>
          <w:rFonts w:hint="default"/>
          <w:color w:val="auto"/>
          <w:highlight w:val="none"/>
          <w:lang w:eastAsia="zh-CN"/>
        </w:rPr>
        <w:t>质量常见问题防治</w:t>
      </w:r>
      <w:bookmarkEnd w:id="203"/>
    </w:p>
    <w:p w14:paraId="430832F8">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必须严格执行有关质量常见问题治理措施、工程建设强制性标准和有关节、环境保护、绿色施工的规定。专业承包人须针对本项目制定工程质量常见问题防治措施方案需报监理人、发包人审批通过后按方案实施。</w:t>
      </w:r>
    </w:p>
    <w:p w14:paraId="5ADEEF9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bookmarkStart w:id="204" w:name="_Toc24296"/>
      <w:r>
        <w:rPr>
          <w:rFonts w:hint="default"/>
          <w:color w:val="auto"/>
          <w:highlight w:val="none"/>
          <w:lang w:eastAsia="zh-CN"/>
        </w:rPr>
        <w:t>材料、设备质量保证</w:t>
      </w:r>
      <w:bookmarkEnd w:id="204"/>
    </w:p>
    <w:p w14:paraId="2F587A41">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rFonts w:hint="default"/>
          <w:color w:val="auto"/>
          <w:highlight w:val="none"/>
          <w:lang w:val="en-US" w:eastAsia="zh-CN"/>
        </w:rPr>
      </w:pPr>
      <w:r>
        <w:rPr>
          <w:rFonts w:hint="eastAsia"/>
          <w:color w:val="auto"/>
          <w:highlight w:val="none"/>
          <w:lang w:eastAsia="zh-CN"/>
        </w:rPr>
        <w:t>工程所用材料设备必须符合设计要求和国家有关规范与规定。专业承包人须确保使用的材料设备是合格的、全新的、未使用过的，凡材料设备质量不符合要求，专业承包人须停工和返工，返工费用由专业承包人承担，工期不予顺延。</w:t>
      </w:r>
    </w:p>
    <w:p w14:paraId="64AB7F3F">
      <w:pPr>
        <w:pStyle w:val="6"/>
        <w:keepNext w:val="0"/>
        <w:keepLines w:val="0"/>
        <w:pageBreakBefore w:val="0"/>
        <w:widowControl w:val="0"/>
        <w:numPr>
          <w:ilvl w:val="3"/>
          <w:numId w:val="15"/>
        </w:numPr>
        <w:kinsoku/>
        <w:wordWrap/>
        <w:overflowPunct/>
        <w:topLinePunct w:val="0"/>
        <w:autoSpaceDE/>
        <w:autoSpaceDN/>
        <w:bidi w:val="0"/>
        <w:adjustRightInd/>
        <w:snapToGrid w:val="0"/>
        <w:spacing w:beforeLines="0" w:afterLines="0"/>
        <w:ind w:left="0" w:leftChars="0" w:firstLine="480" w:firstLineChars="200"/>
        <w:jc w:val="left"/>
        <w:textAlignment w:val="auto"/>
        <w:rPr>
          <w:color w:val="auto"/>
          <w:highlight w:val="none"/>
          <w:lang w:eastAsia="zh-CN"/>
        </w:rPr>
      </w:pPr>
      <w:bookmarkStart w:id="205" w:name="_Toc13989"/>
      <w:r>
        <w:rPr>
          <w:rFonts w:hint="default"/>
          <w:color w:val="auto"/>
          <w:highlight w:val="none"/>
          <w:lang w:eastAsia="zh-CN"/>
        </w:rPr>
        <w:t>人员持证上岗</w:t>
      </w:r>
      <w:bookmarkEnd w:id="205"/>
    </w:p>
    <w:p w14:paraId="12F99611">
      <w:pPr>
        <w:keepNext w:val="0"/>
        <w:keepLines w:val="0"/>
        <w:pageBreakBefore w:val="0"/>
        <w:widowControl w:val="0"/>
        <w:kinsoku/>
        <w:wordWrap/>
        <w:overflowPunct/>
        <w:topLinePunct w:val="0"/>
        <w:autoSpaceDE/>
        <w:autoSpaceDN/>
        <w:bidi w:val="0"/>
        <w:adjustRightInd/>
        <w:snapToGrid w:val="0"/>
        <w:textAlignment w:val="auto"/>
        <w:rPr>
          <w:rFonts w:hint="eastAsia"/>
          <w:color w:val="auto"/>
          <w:highlight w:val="none"/>
          <w:lang w:eastAsia="zh-CN"/>
        </w:rPr>
      </w:pPr>
      <w:r>
        <w:rPr>
          <w:rFonts w:hint="eastAsia"/>
          <w:color w:val="auto"/>
          <w:highlight w:val="none"/>
          <w:lang w:eastAsia="zh-CN"/>
        </w:rPr>
        <w:t>专业承包人投入的施工作业人员必须具备相应的上岗证，如特种人员，还须具备特种人员作业证书，以确保施工质量。所有特种作业人员必须带证上岗，随时接受发包人、监理人检查，否则按合同约定承担违约责任。特种作业人员包含但不限于：</w:t>
      </w:r>
    </w:p>
    <w:p w14:paraId="2164BB6F">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电工：建筑电工（临时用电）、高压电（正式电）、低压电工（正式用电调试、送电等）。</w:t>
      </w:r>
    </w:p>
    <w:p w14:paraId="35037816">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建筑架子工：普通架子工。</w:t>
      </w:r>
    </w:p>
    <w:p w14:paraId="12CB9DBF">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焊工：建筑焊工、焊接与热切割作业。</w:t>
      </w:r>
    </w:p>
    <w:p w14:paraId="6CE29E4D">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其他：省级建设主管部门认可的其他特种作业人员。</w:t>
      </w:r>
    </w:p>
    <w:p w14:paraId="10050757">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bookmarkStart w:id="206" w:name="_Toc12787"/>
      <w:r>
        <w:rPr>
          <w:rFonts w:hint="default"/>
          <w:color w:val="auto"/>
          <w:highlight w:val="none"/>
          <w:lang w:eastAsia="zh-CN"/>
        </w:rPr>
        <w:t>按图施工</w:t>
      </w:r>
      <w:bookmarkEnd w:id="206"/>
    </w:p>
    <w:p w14:paraId="31376C60">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专业承包人必须严格按审查批准的施工方案和设计图纸施工，不得擅自修改施工方案及设计图纸，</w:t>
      </w:r>
      <w:r>
        <w:rPr>
          <w:rFonts w:hint="eastAsia"/>
          <w:color w:val="auto"/>
          <w:highlight w:val="none"/>
          <w:lang w:val="en-US" w:eastAsia="zh-CN"/>
        </w:rPr>
        <w:t>发包人对任何现场实施与图纸不符的地方有权要求专业承包人返工，专业承包人需无条件配合</w:t>
      </w:r>
      <w:r>
        <w:rPr>
          <w:rFonts w:hint="eastAsia"/>
          <w:color w:val="auto"/>
          <w:highlight w:val="none"/>
          <w:lang w:eastAsia="zh-CN"/>
        </w:rPr>
        <w:t>。</w:t>
      </w:r>
    </w:p>
    <w:p w14:paraId="2ECF50FB">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val="en-US" w:eastAsia="zh-CN"/>
        </w:rPr>
      </w:pPr>
      <w:r>
        <w:rPr>
          <w:rFonts w:hint="eastAsia"/>
          <w:color w:val="auto"/>
          <w:highlight w:val="none"/>
          <w:lang w:val="en-US" w:eastAsia="zh-CN"/>
        </w:rPr>
        <w:t>关键工序停止点检查要求</w:t>
      </w:r>
    </w:p>
    <w:p w14:paraId="42F66B51">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rFonts w:hint="eastAsia"/>
          <w:color w:val="auto"/>
          <w:highlight w:val="none"/>
          <w:lang w:val="en-US" w:eastAsia="zh-CN"/>
        </w:rPr>
      </w:pPr>
      <w:r>
        <w:rPr>
          <w:rFonts w:hint="eastAsia"/>
          <w:color w:val="auto"/>
          <w:highlight w:val="none"/>
          <w:lang w:val="en-US" w:eastAsia="zh-CN"/>
        </w:rPr>
        <w:t>对于装饰装修</w:t>
      </w:r>
    </w:p>
    <w:p w14:paraId="38E36A20">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rFonts w:hint="default"/>
          <w:b/>
          <w:bCs/>
          <w:color w:val="auto"/>
          <w:highlight w:val="none"/>
          <w:lang w:val="en-US" w:eastAsia="zh-CN"/>
        </w:rPr>
      </w:pPr>
      <w:r>
        <w:rPr>
          <w:rFonts w:hint="eastAsia"/>
          <w:color w:val="auto"/>
          <w:highlight w:val="none"/>
          <w:lang w:val="en-US" w:eastAsia="zh-CN"/>
        </w:rPr>
        <w:t>阶段的关键工序，专业承包人要坚持自检、互检、专检制度，关键工序经监理人/发包人检查放行，并形成验收记录，否则不得进行下道工序施工。需监理人/发包人进行检查、抽查的关键工序批次比例，详见</w:t>
      </w:r>
      <w:r>
        <w:rPr>
          <w:rFonts w:hint="eastAsia"/>
          <w:b/>
          <w:bCs/>
          <w:color w:val="auto"/>
          <w:highlight w:val="none"/>
          <w:lang w:val="en-US" w:eastAsia="zh-CN"/>
        </w:rPr>
        <w:t>《【附件B-4】关键工序停止点验收清单》</w:t>
      </w:r>
    </w:p>
    <w:p w14:paraId="39524194">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bookmarkStart w:id="207" w:name="_Toc18473"/>
      <w:r>
        <w:rPr>
          <w:rFonts w:hint="eastAsia"/>
          <w:color w:val="auto"/>
          <w:highlight w:val="none"/>
          <w:lang w:val="en-US" w:eastAsia="zh-CN"/>
        </w:rPr>
        <w:t>成品</w:t>
      </w:r>
      <w:r>
        <w:rPr>
          <w:rFonts w:hint="eastAsia"/>
          <w:color w:val="auto"/>
          <w:highlight w:val="none"/>
          <w:lang w:eastAsia="zh-CN"/>
        </w:rPr>
        <w:t>保护</w:t>
      </w:r>
      <w:bookmarkEnd w:id="207"/>
    </w:p>
    <w:p w14:paraId="09792AF1">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r>
        <w:rPr>
          <w:rFonts w:hint="eastAsia"/>
          <w:color w:val="auto"/>
          <w:highlight w:val="none"/>
          <w:lang w:eastAsia="zh-CN"/>
        </w:rPr>
        <w:t>专业承包人</w:t>
      </w:r>
      <w:r>
        <w:rPr>
          <w:rFonts w:hint="default"/>
          <w:color w:val="auto"/>
          <w:highlight w:val="none"/>
          <w:lang w:eastAsia="zh-CN"/>
        </w:rPr>
        <w:t>应加强工程材料、设备、半成品、成品的现场保护工作，项目移交之前造成的遗失或损坏由</w:t>
      </w:r>
      <w:r>
        <w:rPr>
          <w:rFonts w:hint="eastAsia"/>
          <w:color w:val="auto"/>
          <w:highlight w:val="none"/>
          <w:lang w:val="en-US" w:eastAsia="zh-CN"/>
        </w:rPr>
        <w:t>专业承包人</w:t>
      </w:r>
      <w:r>
        <w:rPr>
          <w:rFonts w:hint="default"/>
          <w:color w:val="auto"/>
          <w:highlight w:val="none"/>
          <w:lang w:eastAsia="zh-CN"/>
        </w:rPr>
        <w:t>自行承担。</w:t>
      </w:r>
    </w:p>
    <w:p w14:paraId="2F52873F">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r>
        <w:rPr>
          <w:rFonts w:hint="default"/>
          <w:color w:val="auto"/>
          <w:highlight w:val="none"/>
          <w:lang w:eastAsia="zh-CN"/>
        </w:rPr>
        <w:t>成品保护遵循谁施工谁保护的原则，</w:t>
      </w:r>
      <w:r>
        <w:rPr>
          <w:rFonts w:hint="eastAsia"/>
          <w:color w:val="auto"/>
          <w:highlight w:val="none"/>
          <w:lang w:eastAsia="zh-CN"/>
        </w:rPr>
        <w:t>专业承包人</w:t>
      </w:r>
      <w:r>
        <w:rPr>
          <w:rFonts w:hint="default"/>
          <w:color w:val="auto"/>
          <w:highlight w:val="none"/>
          <w:lang w:eastAsia="zh-CN"/>
        </w:rPr>
        <w:t>有责任做好场地内的成品保护的后续检查和维护工作，并在必要的情况下做好二次保护工作。</w:t>
      </w:r>
    </w:p>
    <w:p w14:paraId="00FB4422">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r>
        <w:rPr>
          <w:rFonts w:hint="eastAsia"/>
          <w:color w:val="auto"/>
          <w:highlight w:val="none"/>
          <w:lang w:eastAsia="zh-CN"/>
        </w:rPr>
        <w:t>成品保护应遵循先验收后保护的原则；所有工序必须经过</w:t>
      </w:r>
      <w:r>
        <w:rPr>
          <w:rFonts w:hint="eastAsia"/>
          <w:color w:val="auto"/>
          <w:highlight w:val="none"/>
          <w:lang w:val="en-US" w:eastAsia="zh-CN"/>
        </w:rPr>
        <w:t>专业承包人</w:t>
      </w:r>
      <w:r>
        <w:rPr>
          <w:rFonts w:hint="eastAsia"/>
          <w:color w:val="auto"/>
          <w:highlight w:val="none"/>
          <w:lang w:eastAsia="zh-CN"/>
        </w:rPr>
        <w:t>自检、监理验收并做好成品清洁后方可进行保护。</w:t>
      </w:r>
    </w:p>
    <w:p w14:paraId="67939782">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r>
        <w:rPr>
          <w:rFonts w:hint="eastAsia"/>
          <w:color w:val="auto"/>
          <w:highlight w:val="none"/>
          <w:lang w:eastAsia="zh-CN"/>
        </w:rPr>
        <w:t>成品保护应遵循持续保护原则，施工中及细部检查阶段，专业承包人有责任做好成品保护的后续检查和维护工作，对于成品保护措施被破坏、拆除的必须在恢复保护措施后方可进行施工。</w:t>
      </w:r>
    </w:p>
    <w:p w14:paraId="5312302E">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r>
        <w:rPr>
          <w:rFonts w:hint="eastAsia"/>
          <w:color w:val="auto"/>
          <w:highlight w:val="none"/>
          <w:lang w:eastAsia="zh-CN"/>
        </w:rPr>
        <w:t>责任明确原则</w:t>
      </w:r>
    </w:p>
    <w:p w14:paraId="2E0B89F4">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r>
        <w:rPr>
          <w:rFonts w:hint="eastAsia"/>
          <w:color w:val="auto"/>
          <w:highlight w:val="none"/>
          <w:lang w:eastAsia="zh-CN"/>
        </w:rPr>
        <w:t>（1）专业承包人对已方产品的保护负有最终的责任，包括对成品采取防护措施的责任、看管和巡查的责任、与后续相关单位的协调和交底的责任等。专业承包人必须保证在交接或验收时，其产品的品质和数量符合合同和相关规范的要求。</w:t>
      </w:r>
    </w:p>
    <w:p w14:paraId="3FB625B6">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r>
        <w:rPr>
          <w:rFonts w:hint="eastAsia"/>
          <w:color w:val="auto"/>
          <w:highlight w:val="none"/>
          <w:lang w:eastAsia="zh-CN"/>
        </w:rPr>
        <w:t>（2）户门安装上锁后，室内成品保护进入专人看护集中管理阶段。后续工序施工人员进出室内需要办理移交手续（提交入内施工申请）。项目部每周组织召开协调会，明确以流水方式进入具体房间的时间表，看护人员根据此表组织场地移交，负责开门、检查、关门、再检查的工作。</w:t>
      </w:r>
    </w:p>
    <w:p w14:paraId="396D4F8E">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r>
        <w:rPr>
          <w:rFonts w:hint="eastAsia"/>
          <w:color w:val="auto"/>
          <w:highlight w:val="none"/>
          <w:lang w:eastAsia="zh-CN"/>
        </w:rPr>
        <w:t>工序合理化原则</w:t>
      </w:r>
    </w:p>
    <w:p w14:paraId="0F5F4F97">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r>
        <w:rPr>
          <w:rFonts w:hint="eastAsia"/>
          <w:color w:val="auto"/>
          <w:highlight w:val="none"/>
          <w:lang w:eastAsia="zh-CN"/>
        </w:rPr>
        <w:t>项目部根据施工内容合理规划施工工序和交叉作业。专业承包人应严格执行，尽量避免多工种在同一房间内交叉施工。</w:t>
      </w:r>
    </w:p>
    <w:p w14:paraId="15EADD7B">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r>
        <w:rPr>
          <w:rFonts w:hint="eastAsia"/>
          <w:color w:val="auto"/>
          <w:highlight w:val="none"/>
          <w:lang w:eastAsia="zh-CN"/>
        </w:rPr>
        <w:t>防护措施的持续维护原则</w:t>
      </w:r>
    </w:p>
    <w:p w14:paraId="1FE2711B">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r>
        <w:rPr>
          <w:rFonts w:hint="eastAsia"/>
          <w:color w:val="auto"/>
          <w:highlight w:val="none"/>
          <w:lang w:eastAsia="zh-CN"/>
        </w:rPr>
        <w:t>专业承包人负有对成品防护措施进行巡视检查的责任，同时负有对已破坏的部分及时进行修补的责任。</w:t>
      </w:r>
    </w:p>
    <w:p w14:paraId="4B082D56">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r>
        <w:rPr>
          <w:rFonts w:hint="eastAsia"/>
          <w:color w:val="auto"/>
          <w:highlight w:val="none"/>
          <w:lang w:eastAsia="zh-CN"/>
        </w:rPr>
        <w:t>其它要求</w:t>
      </w:r>
    </w:p>
    <w:p w14:paraId="69022309">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）施工过程中的成品保护</w:t>
      </w:r>
    </w:p>
    <w:p w14:paraId="7AD1363E">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r>
        <w:rPr>
          <w:color w:val="auto"/>
          <w:highlight w:val="none"/>
          <w:lang w:eastAsia="zh-CN"/>
        </w:rPr>
        <w:t>1</w:t>
      </w:r>
      <w:r>
        <w:rPr>
          <w:rFonts w:hint="eastAsia"/>
          <w:color w:val="auto"/>
          <w:highlight w:val="none"/>
          <w:lang w:eastAsia="zh-CN"/>
        </w:rPr>
        <w:t>）各工种在施工中不得污染、损坏其他工种的半成品、成品。</w:t>
      </w:r>
    </w:p>
    <w:p w14:paraId="17FEDE3C">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r>
        <w:rPr>
          <w:color w:val="auto"/>
          <w:highlight w:val="none"/>
          <w:lang w:eastAsia="zh-CN"/>
        </w:rPr>
        <w:t>2</w:t>
      </w:r>
      <w:r>
        <w:rPr>
          <w:rFonts w:hint="eastAsia"/>
          <w:color w:val="auto"/>
          <w:highlight w:val="none"/>
          <w:lang w:eastAsia="zh-CN"/>
        </w:rPr>
        <w:t>）材料表面保护膜实施单位应负责在交付保洁前拆除。</w:t>
      </w:r>
    </w:p>
    <w:p w14:paraId="5D5FD2DD">
      <w:pPr>
        <w:bidi w:val="0"/>
        <w:rPr>
          <w:rFonts w:hint="eastAsia"/>
          <w:color w:val="auto"/>
          <w:highlight w:val="none"/>
          <w:lang w:eastAsia="zh-CN"/>
        </w:rPr>
        <w:sectPr>
          <w:footerReference r:id="rId8" w:type="default"/>
          <w:pgSz w:w="11905" w:h="16839"/>
          <w:pgMar w:top="1426" w:right="1379" w:bottom="1309" w:left="1447" w:header="0" w:footer="1144" w:gutter="0"/>
          <w:pgNumType w:fmt="decimal"/>
          <w:cols w:space="720" w:num="1"/>
        </w:sectPr>
      </w:pPr>
      <w:r>
        <w:rPr>
          <w:color w:val="auto"/>
          <w:highlight w:val="none"/>
          <w:lang w:eastAsia="zh-CN"/>
        </w:rPr>
        <w:t>3</w:t>
      </w:r>
      <w:r>
        <w:rPr>
          <w:rFonts w:hint="eastAsia"/>
          <w:color w:val="auto"/>
          <w:highlight w:val="none"/>
          <w:lang w:eastAsia="zh-CN"/>
        </w:rPr>
        <w:t>）成品保护措施在移交时各项措施应完善、固定牢靠。</w:t>
      </w:r>
    </w:p>
    <w:p w14:paraId="643E136B">
      <w:pPr>
        <w:pStyle w:val="6"/>
        <w:bidi w:val="0"/>
        <w:ind w:left="253"/>
        <w:rPr>
          <w:color w:val="auto"/>
          <w:highlight w:val="none"/>
        </w:rPr>
      </w:pPr>
      <w:r>
        <w:rPr>
          <w:rFonts w:hint="eastAsia"/>
          <w:color w:val="auto"/>
          <w:highlight w:val="none"/>
        </w:rPr>
        <w:t xml:space="preserve"> 精装修成品保护标准做法</w:t>
      </w:r>
    </w:p>
    <w:tbl>
      <w:tblPr>
        <w:tblStyle w:val="22"/>
        <w:tblW w:w="0" w:type="auto"/>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765"/>
        <w:gridCol w:w="1080"/>
        <w:gridCol w:w="812"/>
        <w:gridCol w:w="2072"/>
        <w:gridCol w:w="7186"/>
        <w:gridCol w:w="884"/>
      </w:tblGrid>
      <w:tr w14:paraId="29C84F5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95" w:hRule="atLeast"/>
          <w:jc w:val="center"/>
        </w:trPr>
        <w:tc>
          <w:tcPr>
            <w:tcW w:w="12799" w:type="dxa"/>
            <w:gridSpan w:val="6"/>
            <w:shd w:val="clear" w:color="auto" w:fill="auto"/>
            <w:vAlign w:val="center"/>
          </w:tcPr>
          <w:p w14:paraId="243E488D">
            <w:pPr>
              <w:pStyle w:val="14"/>
              <w:bidi w:val="0"/>
              <w:rPr>
                <w:b/>
                <w:bCs/>
                <w:color w:val="auto"/>
                <w:highlight w:val="none"/>
                <w:lang w:val="zh-CN" w:eastAsia="zh-CN"/>
              </w:rPr>
            </w:pPr>
            <w:r>
              <w:rPr>
                <w:rFonts w:hint="eastAsia"/>
                <w:b/>
                <w:bCs/>
                <w:color w:val="auto"/>
                <w:highlight w:val="none"/>
                <w:lang w:val="zh-CN" w:eastAsia="zh-CN"/>
              </w:rPr>
              <w:t>精装修成品保护标准做法</w:t>
            </w:r>
          </w:p>
        </w:tc>
      </w:tr>
      <w:tr w14:paraId="711B11C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92" w:hRule="atLeast"/>
          <w:jc w:val="center"/>
        </w:trPr>
        <w:tc>
          <w:tcPr>
            <w:tcW w:w="765" w:type="dxa"/>
            <w:shd w:val="clear" w:color="auto" w:fill="auto"/>
            <w:vAlign w:val="center"/>
          </w:tcPr>
          <w:p w14:paraId="670CC3C1">
            <w:pPr>
              <w:pStyle w:val="14"/>
              <w:bidi w:val="0"/>
              <w:rPr>
                <w:b/>
                <w:bCs/>
                <w:color w:val="auto"/>
                <w:highlight w:val="none"/>
                <w:lang w:val="zh-CN" w:eastAsia="zh-CN"/>
              </w:rPr>
            </w:pPr>
            <w:r>
              <w:rPr>
                <w:rFonts w:hint="eastAsia"/>
                <w:b/>
                <w:bCs/>
                <w:color w:val="auto"/>
                <w:highlight w:val="none"/>
                <w:lang w:val="zh-CN" w:eastAsia="zh-CN"/>
              </w:rPr>
              <w:t>序号</w:t>
            </w:r>
          </w:p>
        </w:tc>
        <w:tc>
          <w:tcPr>
            <w:tcW w:w="1892" w:type="dxa"/>
            <w:gridSpan w:val="2"/>
            <w:shd w:val="clear" w:color="auto" w:fill="auto"/>
            <w:vAlign w:val="center"/>
          </w:tcPr>
          <w:p w14:paraId="2D7F7406">
            <w:pPr>
              <w:pStyle w:val="14"/>
              <w:bidi w:val="0"/>
              <w:rPr>
                <w:b/>
                <w:bCs/>
                <w:color w:val="auto"/>
                <w:highlight w:val="none"/>
                <w:lang w:val="zh-CN" w:eastAsia="zh-CN"/>
              </w:rPr>
            </w:pPr>
            <w:r>
              <w:rPr>
                <w:rFonts w:hint="eastAsia"/>
                <w:b/>
                <w:bCs/>
                <w:color w:val="auto"/>
                <w:highlight w:val="none"/>
                <w:lang w:val="zh-CN" w:eastAsia="zh-CN"/>
              </w:rPr>
              <w:t>保护内容</w:t>
            </w:r>
          </w:p>
        </w:tc>
        <w:tc>
          <w:tcPr>
            <w:tcW w:w="2072" w:type="dxa"/>
            <w:shd w:val="clear" w:color="auto" w:fill="auto"/>
            <w:vAlign w:val="center"/>
          </w:tcPr>
          <w:p w14:paraId="681CE0A3">
            <w:pPr>
              <w:pStyle w:val="14"/>
              <w:bidi w:val="0"/>
              <w:rPr>
                <w:b/>
                <w:bCs/>
                <w:color w:val="auto"/>
                <w:highlight w:val="none"/>
                <w:lang w:val="zh-CN" w:eastAsia="zh-CN"/>
              </w:rPr>
            </w:pPr>
            <w:r>
              <w:rPr>
                <w:rFonts w:hint="eastAsia"/>
                <w:b/>
                <w:bCs/>
                <w:color w:val="auto"/>
                <w:highlight w:val="none"/>
                <w:lang w:val="zh-CN" w:eastAsia="zh-CN"/>
              </w:rPr>
              <w:t>保护标准</w:t>
            </w:r>
          </w:p>
        </w:tc>
        <w:tc>
          <w:tcPr>
            <w:tcW w:w="7186" w:type="dxa"/>
            <w:shd w:val="clear" w:color="auto" w:fill="auto"/>
            <w:vAlign w:val="center"/>
          </w:tcPr>
          <w:p w14:paraId="24CA41A6">
            <w:pPr>
              <w:pStyle w:val="14"/>
              <w:bidi w:val="0"/>
              <w:rPr>
                <w:b/>
                <w:bCs/>
                <w:color w:val="auto"/>
                <w:highlight w:val="none"/>
                <w:lang w:val="zh-CN" w:eastAsia="zh-CN"/>
              </w:rPr>
            </w:pPr>
            <w:r>
              <w:rPr>
                <w:rFonts w:hint="eastAsia"/>
                <w:b/>
                <w:bCs/>
                <w:color w:val="auto"/>
                <w:highlight w:val="none"/>
                <w:lang w:val="zh-CN" w:eastAsia="zh-CN"/>
              </w:rPr>
              <w:t>图示</w:t>
            </w:r>
          </w:p>
        </w:tc>
        <w:tc>
          <w:tcPr>
            <w:tcW w:w="884" w:type="dxa"/>
            <w:shd w:val="clear" w:color="auto" w:fill="auto"/>
            <w:vAlign w:val="center"/>
          </w:tcPr>
          <w:p w14:paraId="6A8A3A0C">
            <w:pPr>
              <w:pStyle w:val="14"/>
              <w:bidi w:val="0"/>
              <w:rPr>
                <w:b/>
                <w:bCs/>
                <w:color w:val="auto"/>
                <w:highlight w:val="none"/>
                <w:lang w:val="zh-CN" w:eastAsia="zh-CN"/>
              </w:rPr>
            </w:pPr>
            <w:r>
              <w:rPr>
                <w:rFonts w:hint="eastAsia"/>
                <w:b/>
                <w:bCs/>
                <w:color w:val="auto"/>
                <w:highlight w:val="none"/>
                <w:lang w:val="zh-CN" w:eastAsia="zh-CN"/>
              </w:rPr>
              <w:t>备注</w:t>
            </w:r>
          </w:p>
        </w:tc>
      </w:tr>
      <w:tr w14:paraId="4C277E0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72" w:hRule="atLeast"/>
          <w:jc w:val="center"/>
        </w:trPr>
        <w:tc>
          <w:tcPr>
            <w:tcW w:w="765" w:type="dxa"/>
            <w:vMerge w:val="restart"/>
            <w:vAlign w:val="center"/>
          </w:tcPr>
          <w:p w14:paraId="3BC1E4A2">
            <w:pPr>
              <w:pStyle w:val="14"/>
              <w:bidi w:val="0"/>
              <w:rPr>
                <w:color w:val="auto"/>
                <w:highlight w:val="none"/>
                <w:lang w:val="zh-CN" w:eastAsia="zh-CN"/>
              </w:rPr>
            </w:pPr>
            <w:r>
              <w:rPr>
                <w:color w:val="auto"/>
                <w:highlight w:val="none"/>
                <w:lang w:val="zh-CN" w:eastAsia="zh-CN"/>
              </w:rPr>
              <w:t>1</w:t>
            </w:r>
          </w:p>
        </w:tc>
        <w:tc>
          <w:tcPr>
            <w:tcW w:w="1080" w:type="dxa"/>
            <w:vMerge w:val="restart"/>
            <w:vAlign w:val="center"/>
          </w:tcPr>
          <w:p w14:paraId="426B59C1">
            <w:pPr>
              <w:pStyle w:val="14"/>
              <w:bidi w:val="0"/>
              <w:rPr>
                <w:color w:val="auto"/>
                <w:highlight w:val="none"/>
                <w:lang w:val="zh-CN" w:eastAsia="zh-CN"/>
              </w:rPr>
            </w:pPr>
            <w:r>
              <w:rPr>
                <w:rFonts w:hint="eastAsia"/>
                <w:color w:val="auto"/>
                <w:highlight w:val="none"/>
                <w:lang w:val="zh-CN" w:eastAsia="zh-CN"/>
              </w:rPr>
              <w:t>石材</w:t>
            </w:r>
            <w:r>
              <w:rPr>
                <w:color w:val="auto"/>
                <w:highlight w:val="none"/>
                <w:lang w:val="zh-CN" w:eastAsia="zh-CN"/>
              </w:rPr>
              <w:t>（墙</w:t>
            </w:r>
          </w:p>
          <w:p w14:paraId="2D1EA5D3">
            <w:pPr>
              <w:pStyle w:val="14"/>
              <w:bidi w:val="0"/>
              <w:rPr>
                <w:color w:val="auto"/>
                <w:highlight w:val="none"/>
                <w:lang w:val="zh-CN" w:eastAsia="zh-CN"/>
              </w:rPr>
            </w:pPr>
            <w:r>
              <w:rPr>
                <w:color w:val="auto"/>
                <w:highlight w:val="none"/>
                <w:lang w:val="zh-CN" w:eastAsia="zh-CN"/>
              </w:rPr>
              <w:t>、地面）</w:t>
            </w:r>
          </w:p>
        </w:tc>
        <w:tc>
          <w:tcPr>
            <w:tcW w:w="812" w:type="dxa"/>
            <w:vAlign w:val="center"/>
          </w:tcPr>
          <w:p w14:paraId="20E9199C">
            <w:pPr>
              <w:pStyle w:val="14"/>
              <w:bidi w:val="0"/>
              <w:rPr>
                <w:color w:val="auto"/>
                <w:highlight w:val="none"/>
                <w:lang w:val="zh-CN" w:eastAsia="zh-CN"/>
              </w:rPr>
            </w:pPr>
            <w:r>
              <w:rPr>
                <w:color w:val="auto"/>
                <w:highlight w:val="none"/>
                <w:lang w:val="zh-CN" w:eastAsia="zh-CN"/>
              </w:rPr>
              <w:t>工厂包装</w:t>
            </w:r>
          </w:p>
        </w:tc>
        <w:tc>
          <w:tcPr>
            <w:tcW w:w="2072" w:type="dxa"/>
            <w:vAlign w:val="center"/>
          </w:tcPr>
          <w:p w14:paraId="065D595C">
            <w:pPr>
              <w:pStyle w:val="14"/>
              <w:bidi w:val="0"/>
              <w:rPr>
                <w:color w:val="auto"/>
                <w:highlight w:val="none"/>
                <w:lang w:val="zh-CN" w:eastAsia="zh-CN"/>
              </w:rPr>
            </w:pPr>
            <w:r>
              <w:rPr>
                <w:color w:val="auto"/>
                <w:highlight w:val="none"/>
                <w:lang w:val="zh-CN" w:eastAsia="zh-CN"/>
              </w:rPr>
              <w:t>箱体实木条厚度不低于20mm；宽度不低于80mm；箱体内衬珍珠棉；</w:t>
            </w:r>
          </w:p>
        </w:tc>
        <w:tc>
          <w:tcPr>
            <w:tcW w:w="7186" w:type="dxa"/>
            <w:vAlign w:val="center"/>
          </w:tcPr>
          <w:p w14:paraId="1A0169EB">
            <w:pPr>
              <w:pStyle w:val="14"/>
              <w:bidi w:val="0"/>
              <w:rPr>
                <w:color w:val="auto"/>
                <w:highlight w:val="none"/>
                <w:lang w:val="zh-CN" w:eastAsia="zh-CN"/>
              </w:rPr>
            </w:pPr>
          </w:p>
          <w:p w14:paraId="61EA7717">
            <w:pPr>
              <w:pStyle w:val="14"/>
              <w:bidi w:val="0"/>
              <w:rPr>
                <w:color w:val="auto"/>
                <w:highlight w:val="none"/>
                <w:lang w:val="zh-CN" w:eastAsia="zh-CN"/>
              </w:rPr>
            </w:pPr>
            <w:r>
              <w:rPr>
                <w:color w:val="auto"/>
                <w:highlight w:val="none"/>
                <w:lang w:val="zh-CN" w:eastAsia="zh-CN"/>
              </w:rPr>
              <w:drawing>
                <wp:inline distT="0" distB="0" distL="0" distR="0">
                  <wp:extent cx="2114550" cy="1910080"/>
                  <wp:effectExtent l="0" t="0" r="0" b="4445"/>
                  <wp:docPr id="59" name="image33.jpeg"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33.jpeg" descr="3"/>
                          <pic:cNvPicPr>
                            <a:picLocks noChangeAspect="1"/>
                          </pic:cNvPicPr>
                        </pic:nvPicPr>
                        <pic:blipFill>
                          <a:blip r:embed="rId16" cstate="print"/>
                          <a:stretch>
                            <a:fillRect/>
                          </a:stretch>
                        </pic:blipFill>
                        <pic:spPr>
                          <a:xfrm>
                            <a:off x="0" y="0"/>
                            <a:ext cx="2114760" cy="1910333"/>
                          </a:xfrm>
                          <a:prstGeom prst="rect">
                            <a:avLst/>
                          </a:prstGeom>
                        </pic:spPr>
                      </pic:pic>
                    </a:graphicData>
                  </a:graphic>
                </wp:inline>
              </w:drawing>
            </w:r>
            <w:r>
              <w:rPr>
                <w:color w:val="auto"/>
                <w:highlight w:val="none"/>
                <w:lang w:val="zh-CN" w:eastAsia="zh-CN"/>
              </w:rPr>
              <w:drawing>
                <wp:inline distT="0" distB="0" distL="0" distR="0">
                  <wp:extent cx="2268855" cy="1885950"/>
                  <wp:effectExtent l="0" t="0" r="7620" b="0"/>
                  <wp:docPr id="61" name="image34.jpeg"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34.jpeg" descr="2"/>
                          <pic:cNvPicPr>
                            <a:picLocks noChangeAspect="1"/>
                          </pic:cNvPicPr>
                        </pic:nvPicPr>
                        <pic:blipFill>
                          <a:blip r:embed="rId17" cstate="print"/>
                          <a:stretch>
                            <a:fillRect/>
                          </a:stretch>
                        </pic:blipFill>
                        <pic:spPr>
                          <a:xfrm>
                            <a:off x="0" y="0"/>
                            <a:ext cx="2269442" cy="1885950"/>
                          </a:xfrm>
                          <a:prstGeom prst="rect">
                            <a:avLst/>
                          </a:prstGeom>
                        </pic:spPr>
                      </pic:pic>
                    </a:graphicData>
                  </a:graphic>
                </wp:inline>
              </w:drawing>
            </w:r>
          </w:p>
        </w:tc>
        <w:tc>
          <w:tcPr>
            <w:tcW w:w="884" w:type="dxa"/>
            <w:vAlign w:val="center"/>
          </w:tcPr>
          <w:p w14:paraId="5FC3E5FE">
            <w:pPr>
              <w:pStyle w:val="14"/>
              <w:bidi w:val="0"/>
              <w:rPr>
                <w:color w:val="auto"/>
                <w:highlight w:val="none"/>
                <w:lang w:val="zh-CN" w:eastAsia="zh-CN"/>
              </w:rPr>
            </w:pPr>
          </w:p>
        </w:tc>
      </w:tr>
      <w:tr w14:paraId="2E3001F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71" w:hRule="atLeast"/>
          <w:jc w:val="center"/>
        </w:trPr>
        <w:tc>
          <w:tcPr>
            <w:tcW w:w="765" w:type="dxa"/>
            <w:vMerge w:val="continue"/>
            <w:tcBorders>
              <w:top w:val="nil"/>
            </w:tcBorders>
            <w:vAlign w:val="center"/>
          </w:tcPr>
          <w:p w14:paraId="1748EC6F">
            <w:pPr>
              <w:pStyle w:val="14"/>
              <w:bidi w:val="0"/>
              <w:rPr>
                <w:color w:val="auto"/>
                <w:highlight w:val="none"/>
                <w:lang w:val="zh-CN" w:eastAsia="zh-CN"/>
              </w:rPr>
            </w:pPr>
          </w:p>
        </w:tc>
        <w:tc>
          <w:tcPr>
            <w:tcW w:w="1080" w:type="dxa"/>
            <w:vMerge w:val="continue"/>
            <w:tcBorders>
              <w:top w:val="nil"/>
            </w:tcBorders>
            <w:vAlign w:val="center"/>
          </w:tcPr>
          <w:p w14:paraId="6C89B548">
            <w:pPr>
              <w:pStyle w:val="14"/>
              <w:bidi w:val="0"/>
              <w:rPr>
                <w:color w:val="auto"/>
                <w:highlight w:val="none"/>
                <w:lang w:val="zh-CN" w:eastAsia="zh-CN"/>
              </w:rPr>
            </w:pPr>
          </w:p>
        </w:tc>
        <w:tc>
          <w:tcPr>
            <w:tcW w:w="812" w:type="dxa"/>
            <w:vAlign w:val="center"/>
          </w:tcPr>
          <w:p w14:paraId="686BBC18">
            <w:pPr>
              <w:pStyle w:val="14"/>
              <w:bidi w:val="0"/>
              <w:rPr>
                <w:color w:val="auto"/>
                <w:highlight w:val="none"/>
                <w:lang w:val="zh-CN" w:eastAsia="zh-CN"/>
              </w:rPr>
            </w:pPr>
            <w:r>
              <w:rPr>
                <w:color w:val="auto"/>
                <w:highlight w:val="none"/>
                <w:lang w:val="zh-CN" w:eastAsia="zh-CN"/>
              </w:rPr>
              <w:t>堆放</w:t>
            </w:r>
          </w:p>
        </w:tc>
        <w:tc>
          <w:tcPr>
            <w:tcW w:w="2072" w:type="dxa"/>
            <w:vAlign w:val="center"/>
          </w:tcPr>
          <w:p w14:paraId="7808466B">
            <w:pPr>
              <w:pStyle w:val="14"/>
              <w:bidi w:val="0"/>
              <w:rPr>
                <w:color w:val="auto"/>
                <w:highlight w:val="none"/>
                <w:lang w:val="zh-CN" w:eastAsia="zh-CN"/>
              </w:rPr>
            </w:pPr>
            <w:r>
              <w:rPr>
                <w:color w:val="auto"/>
                <w:highlight w:val="none"/>
                <w:lang w:val="zh-CN" w:eastAsia="zh-CN"/>
              </w:rPr>
              <w:t>现场石材应堆放于衬条上，衬条厚度不低于15mm；</w:t>
            </w:r>
          </w:p>
        </w:tc>
        <w:tc>
          <w:tcPr>
            <w:tcW w:w="7186" w:type="dxa"/>
            <w:vAlign w:val="center"/>
          </w:tcPr>
          <w:p w14:paraId="2D877036">
            <w:pPr>
              <w:pStyle w:val="14"/>
              <w:bidi w:val="0"/>
              <w:rPr>
                <w:color w:val="auto"/>
                <w:highlight w:val="none"/>
                <w:lang w:val="zh-CN" w:eastAsia="zh-CN"/>
              </w:rPr>
            </w:pPr>
            <w:r>
              <w:rPr>
                <w:color w:val="auto"/>
                <w:highlight w:val="none"/>
                <w:lang w:val="zh-CN" w:eastAsia="zh-CN"/>
              </w:rPr>
              <w:drawing>
                <wp:inline distT="0" distB="0" distL="0" distR="0">
                  <wp:extent cx="2111375" cy="1910715"/>
                  <wp:effectExtent l="0" t="0" r="3175" b="3810"/>
                  <wp:docPr id="63" name="image35.jpeg" descr="20150801_14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35.jpeg" descr="20150801_142959"/>
                          <pic:cNvPicPr>
                            <a:picLocks noChangeAspect="1"/>
                          </pic:cNvPicPr>
                        </pic:nvPicPr>
                        <pic:blipFill>
                          <a:blip r:embed="rId18" cstate="print"/>
                          <a:stretch>
                            <a:fillRect/>
                          </a:stretch>
                        </pic:blipFill>
                        <pic:spPr>
                          <a:xfrm>
                            <a:off x="0" y="0"/>
                            <a:ext cx="2111429" cy="1911096"/>
                          </a:xfrm>
                          <a:prstGeom prst="rect">
                            <a:avLst/>
                          </a:prstGeom>
                        </pic:spPr>
                      </pic:pic>
                    </a:graphicData>
                  </a:graphic>
                </wp:inline>
              </w:drawing>
            </w:r>
            <w:r>
              <w:rPr>
                <w:color w:val="auto"/>
                <w:highlight w:val="none"/>
                <w:lang w:val="zh-CN" w:eastAsia="zh-CN"/>
              </w:rPr>
              <w:drawing>
                <wp:inline distT="0" distB="0" distL="0" distR="0">
                  <wp:extent cx="2315845" cy="1885950"/>
                  <wp:effectExtent l="0" t="0" r="8255" b="0"/>
                  <wp:docPr id="65" name="image36.jpeg" descr="QQ截图20151102160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36.jpeg" descr="QQ截图20151102160638"/>
                          <pic:cNvPicPr>
                            <a:picLocks noChangeAspect="1"/>
                          </pic:cNvPicPr>
                        </pic:nvPicPr>
                        <pic:blipFill>
                          <a:blip r:embed="rId19" cstate="print"/>
                          <a:stretch>
                            <a:fillRect/>
                          </a:stretch>
                        </pic:blipFill>
                        <pic:spPr>
                          <a:xfrm>
                            <a:off x="0" y="0"/>
                            <a:ext cx="2315874" cy="1886235"/>
                          </a:xfrm>
                          <a:prstGeom prst="rect">
                            <a:avLst/>
                          </a:prstGeom>
                        </pic:spPr>
                      </pic:pic>
                    </a:graphicData>
                  </a:graphic>
                </wp:inline>
              </w:drawing>
            </w:r>
          </w:p>
        </w:tc>
        <w:tc>
          <w:tcPr>
            <w:tcW w:w="884" w:type="dxa"/>
            <w:vAlign w:val="center"/>
          </w:tcPr>
          <w:p w14:paraId="4F94E586">
            <w:pPr>
              <w:pStyle w:val="14"/>
              <w:bidi w:val="0"/>
              <w:rPr>
                <w:color w:val="auto"/>
                <w:highlight w:val="none"/>
                <w:lang w:val="zh-CN" w:eastAsia="zh-CN"/>
              </w:rPr>
            </w:pPr>
          </w:p>
        </w:tc>
      </w:tr>
      <w:tr w14:paraId="0DF0E6A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354" w:hRule="atLeast"/>
          <w:jc w:val="center"/>
        </w:trPr>
        <w:tc>
          <w:tcPr>
            <w:tcW w:w="765" w:type="dxa"/>
            <w:vMerge w:val="continue"/>
            <w:tcBorders>
              <w:top w:val="nil"/>
            </w:tcBorders>
            <w:vAlign w:val="center"/>
          </w:tcPr>
          <w:p w14:paraId="70D7B280">
            <w:pPr>
              <w:pStyle w:val="14"/>
              <w:bidi w:val="0"/>
              <w:rPr>
                <w:color w:val="auto"/>
                <w:highlight w:val="none"/>
                <w:lang w:val="zh-CN" w:eastAsia="zh-CN"/>
              </w:rPr>
            </w:pPr>
          </w:p>
        </w:tc>
        <w:tc>
          <w:tcPr>
            <w:tcW w:w="1080" w:type="dxa"/>
            <w:vMerge w:val="continue"/>
            <w:tcBorders>
              <w:top w:val="nil"/>
            </w:tcBorders>
            <w:vAlign w:val="center"/>
          </w:tcPr>
          <w:p w14:paraId="053C4D53">
            <w:pPr>
              <w:pStyle w:val="14"/>
              <w:bidi w:val="0"/>
              <w:rPr>
                <w:color w:val="auto"/>
                <w:highlight w:val="none"/>
                <w:lang w:val="zh-CN" w:eastAsia="zh-CN"/>
              </w:rPr>
            </w:pPr>
          </w:p>
        </w:tc>
        <w:tc>
          <w:tcPr>
            <w:tcW w:w="812" w:type="dxa"/>
            <w:vAlign w:val="center"/>
          </w:tcPr>
          <w:p w14:paraId="54591880">
            <w:pPr>
              <w:pStyle w:val="14"/>
              <w:bidi w:val="0"/>
              <w:rPr>
                <w:color w:val="auto"/>
                <w:highlight w:val="none"/>
                <w:lang w:val="zh-CN" w:eastAsia="zh-CN"/>
              </w:rPr>
            </w:pPr>
            <w:r>
              <w:rPr>
                <w:color w:val="auto"/>
                <w:highlight w:val="none"/>
                <w:lang w:val="zh-CN" w:eastAsia="zh-CN"/>
              </w:rPr>
              <w:t>安装成品</w:t>
            </w:r>
          </w:p>
        </w:tc>
        <w:tc>
          <w:tcPr>
            <w:tcW w:w="2072" w:type="dxa"/>
            <w:vAlign w:val="center"/>
          </w:tcPr>
          <w:p w14:paraId="44C4419B">
            <w:pPr>
              <w:pStyle w:val="14"/>
              <w:bidi w:val="0"/>
              <w:rPr>
                <w:color w:val="auto"/>
                <w:highlight w:val="none"/>
                <w:lang w:val="zh-CN" w:eastAsia="zh-CN"/>
              </w:rPr>
            </w:pPr>
          </w:p>
          <w:p w14:paraId="3815C0B8">
            <w:pPr>
              <w:pStyle w:val="14"/>
              <w:bidi w:val="0"/>
              <w:rPr>
                <w:color w:val="auto"/>
                <w:highlight w:val="none"/>
                <w:lang w:val="zh-CN" w:eastAsia="zh-CN"/>
              </w:rPr>
            </w:pPr>
            <w:r>
              <w:rPr>
                <w:color w:val="auto"/>
                <w:highlight w:val="none"/>
                <w:lang w:val="zh-CN" w:eastAsia="zh-CN"/>
              </w:rPr>
              <w:t>底层采用厚度不低于2.5mmPVC针织棉，面层采用厚度不低于9mm厚木夹板进行保护； 墙面采用薄膜保 护，且阳角处需采用厚度不低于9mm木夹板进行保护；</w:t>
            </w:r>
          </w:p>
        </w:tc>
        <w:tc>
          <w:tcPr>
            <w:tcW w:w="7186" w:type="dxa"/>
            <w:vAlign w:val="center"/>
          </w:tcPr>
          <w:p w14:paraId="6CFB0CC3">
            <w:pPr>
              <w:pStyle w:val="14"/>
              <w:bidi w:val="0"/>
              <w:rPr>
                <w:color w:val="auto"/>
                <w:highlight w:val="none"/>
                <w:lang w:val="zh-CN" w:eastAsia="zh-CN"/>
              </w:rPr>
            </w:pPr>
          </w:p>
          <w:p w14:paraId="2D474A0A">
            <w:pPr>
              <w:pStyle w:val="14"/>
              <w:bidi w:val="0"/>
              <w:rPr>
                <w:color w:val="auto"/>
                <w:highlight w:val="none"/>
                <w:lang w:val="zh-CN" w:eastAsia="zh-CN"/>
              </w:rPr>
            </w:pPr>
          </w:p>
          <w:p w14:paraId="1A69E870">
            <w:pPr>
              <w:pStyle w:val="14"/>
              <w:bidi w:val="0"/>
              <w:rPr>
                <w:color w:val="auto"/>
                <w:highlight w:val="none"/>
                <w:lang w:val="zh-CN" w:eastAsia="zh-CN"/>
              </w:rPr>
            </w:pPr>
            <w:r>
              <w:rPr>
                <w:color w:val="auto"/>
                <w:highlight w:val="none"/>
                <w:lang w:val="zh-CN" w:eastAsia="zh-CN"/>
              </w:rPr>
              <w:drawing>
                <wp:inline distT="0" distB="0" distL="0" distR="0">
                  <wp:extent cx="2121535" cy="1979295"/>
                  <wp:effectExtent l="0" t="0" r="2540" b="1905"/>
                  <wp:docPr id="67"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37.jpeg"/>
                          <pic:cNvPicPr>
                            <a:picLocks noChangeAspect="1"/>
                          </pic:cNvPicPr>
                        </pic:nvPicPr>
                        <pic:blipFill>
                          <a:blip r:embed="rId20" cstate="print"/>
                          <a:stretch>
                            <a:fillRect/>
                          </a:stretch>
                        </pic:blipFill>
                        <pic:spPr>
                          <a:xfrm>
                            <a:off x="0" y="0"/>
                            <a:ext cx="2121933" cy="1979676"/>
                          </a:xfrm>
                          <a:prstGeom prst="rect">
                            <a:avLst/>
                          </a:prstGeom>
                        </pic:spPr>
                      </pic:pic>
                    </a:graphicData>
                  </a:graphic>
                </wp:inline>
              </w:drawing>
            </w:r>
            <w:r>
              <w:rPr>
                <w:color w:val="auto"/>
                <w:highlight w:val="none"/>
                <w:lang w:val="zh-CN" w:eastAsia="zh-CN"/>
              </w:rPr>
              <w:drawing>
                <wp:inline distT="0" distB="0" distL="0" distR="0">
                  <wp:extent cx="2287905" cy="1991360"/>
                  <wp:effectExtent l="0" t="0" r="7620" b="8890"/>
                  <wp:docPr id="69" name="image38.jpeg"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38.jpeg" descr="2.jpg"/>
                          <pic:cNvPicPr>
                            <a:picLocks noChangeAspect="1"/>
                          </pic:cNvPicPr>
                        </pic:nvPicPr>
                        <pic:blipFill>
                          <a:blip r:embed="rId21" cstate="print"/>
                          <a:stretch>
                            <a:fillRect/>
                          </a:stretch>
                        </pic:blipFill>
                        <pic:spPr>
                          <a:xfrm>
                            <a:off x="0" y="0"/>
                            <a:ext cx="2288003" cy="1991677"/>
                          </a:xfrm>
                          <a:prstGeom prst="rect">
                            <a:avLst/>
                          </a:prstGeom>
                        </pic:spPr>
                      </pic:pic>
                    </a:graphicData>
                  </a:graphic>
                </wp:inline>
              </w:drawing>
            </w:r>
          </w:p>
        </w:tc>
        <w:tc>
          <w:tcPr>
            <w:tcW w:w="884" w:type="dxa"/>
            <w:vAlign w:val="center"/>
          </w:tcPr>
          <w:p w14:paraId="34AE1ABC">
            <w:pPr>
              <w:pStyle w:val="14"/>
              <w:bidi w:val="0"/>
              <w:rPr>
                <w:color w:val="auto"/>
                <w:highlight w:val="none"/>
                <w:lang w:val="zh-CN" w:eastAsia="zh-CN"/>
              </w:rPr>
            </w:pPr>
          </w:p>
        </w:tc>
      </w:tr>
      <w:tr w14:paraId="6AAFDA5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72" w:hRule="atLeast"/>
          <w:jc w:val="center"/>
        </w:trPr>
        <w:tc>
          <w:tcPr>
            <w:tcW w:w="765" w:type="dxa"/>
            <w:vMerge w:val="restart"/>
            <w:tcBorders>
              <w:bottom w:val="nil"/>
            </w:tcBorders>
            <w:vAlign w:val="center"/>
          </w:tcPr>
          <w:p w14:paraId="0A1790C7">
            <w:pPr>
              <w:pStyle w:val="14"/>
              <w:bidi w:val="0"/>
              <w:rPr>
                <w:color w:val="auto"/>
                <w:highlight w:val="none"/>
                <w:lang w:val="zh-CN" w:eastAsia="zh-CN"/>
              </w:rPr>
            </w:pPr>
            <w:r>
              <w:rPr>
                <w:color w:val="auto"/>
                <w:highlight w:val="none"/>
                <w:lang w:val="zh-CN" w:eastAsia="zh-CN"/>
              </w:rPr>
              <w:t>2</w:t>
            </w:r>
          </w:p>
        </w:tc>
        <w:tc>
          <w:tcPr>
            <w:tcW w:w="1080" w:type="dxa"/>
            <w:vMerge w:val="restart"/>
            <w:tcBorders>
              <w:bottom w:val="nil"/>
            </w:tcBorders>
            <w:vAlign w:val="center"/>
          </w:tcPr>
          <w:p w14:paraId="089A51B0">
            <w:pPr>
              <w:pStyle w:val="14"/>
              <w:bidi w:val="0"/>
              <w:rPr>
                <w:color w:val="auto"/>
                <w:highlight w:val="none"/>
                <w:lang w:val="zh-CN" w:eastAsia="zh-CN"/>
              </w:rPr>
            </w:pPr>
            <w:r>
              <w:rPr>
                <w:rFonts w:hint="eastAsia"/>
                <w:color w:val="auto"/>
                <w:highlight w:val="none"/>
                <w:lang w:val="zh-CN" w:eastAsia="zh-CN"/>
              </w:rPr>
              <w:t>瓷砖</w:t>
            </w:r>
            <w:r>
              <w:rPr>
                <w:color w:val="auto"/>
                <w:highlight w:val="none"/>
                <w:lang w:val="zh-CN" w:eastAsia="zh-CN"/>
              </w:rPr>
              <w:t>（墙</w:t>
            </w:r>
          </w:p>
          <w:p w14:paraId="32BDDE41">
            <w:pPr>
              <w:pStyle w:val="14"/>
              <w:bidi w:val="0"/>
              <w:rPr>
                <w:color w:val="auto"/>
                <w:highlight w:val="none"/>
                <w:lang w:val="zh-CN" w:eastAsia="zh-CN"/>
              </w:rPr>
            </w:pPr>
            <w:r>
              <w:rPr>
                <w:color w:val="auto"/>
                <w:highlight w:val="none"/>
                <w:lang w:val="zh-CN" w:eastAsia="zh-CN"/>
              </w:rPr>
              <w:t>、地面）</w:t>
            </w:r>
          </w:p>
        </w:tc>
        <w:tc>
          <w:tcPr>
            <w:tcW w:w="812" w:type="dxa"/>
            <w:vAlign w:val="center"/>
          </w:tcPr>
          <w:p w14:paraId="65C2482E">
            <w:pPr>
              <w:pStyle w:val="14"/>
              <w:bidi w:val="0"/>
              <w:rPr>
                <w:color w:val="auto"/>
                <w:highlight w:val="none"/>
                <w:lang w:val="zh-CN" w:eastAsia="zh-CN"/>
              </w:rPr>
            </w:pPr>
            <w:r>
              <w:rPr>
                <w:color w:val="auto"/>
                <w:highlight w:val="none"/>
                <w:lang w:val="zh-CN" w:eastAsia="zh-CN"/>
              </w:rPr>
              <w:t>工厂包装</w:t>
            </w:r>
          </w:p>
        </w:tc>
        <w:tc>
          <w:tcPr>
            <w:tcW w:w="2072" w:type="dxa"/>
            <w:vAlign w:val="center"/>
          </w:tcPr>
          <w:p w14:paraId="11850BB0">
            <w:pPr>
              <w:pStyle w:val="14"/>
              <w:bidi w:val="0"/>
              <w:rPr>
                <w:color w:val="auto"/>
                <w:highlight w:val="none"/>
                <w:lang w:val="zh-CN" w:eastAsia="zh-CN"/>
              </w:rPr>
            </w:pPr>
            <w:r>
              <w:rPr>
                <w:color w:val="auto"/>
                <w:highlight w:val="none"/>
                <w:lang w:val="zh-CN" w:eastAsia="zh-CN"/>
              </w:rPr>
              <w:t>采用珍珠棉加包装盒进行包装，包装盒外需加装羊角条进行保护；</w:t>
            </w:r>
          </w:p>
        </w:tc>
        <w:tc>
          <w:tcPr>
            <w:tcW w:w="7186" w:type="dxa"/>
            <w:vAlign w:val="center"/>
          </w:tcPr>
          <w:p w14:paraId="06ED35CD">
            <w:pPr>
              <w:pStyle w:val="14"/>
              <w:bidi w:val="0"/>
              <w:rPr>
                <w:color w:val="auto"/>
                <w:highlight w:val="none"/>
                <w:lang w:val="zh-CN" w:eastAsia="zh-CN"/>
              </w:rPr>
            </w:pPr>
            <w:r>
              <w:rPr>
                <w:color w:val="auto"/>
                <w:highlight w:val="none"/>
                <w:lang w:val="zh-CN" w:eastAsia="zh-CN"/>
              </w:rPr>
              <w:drawing>
                <wp:inline distT="0" distB="0" distL="0" distR="0">
                  <wp:extent cx="2124710" cy="1923415"/>
                  <wp:effectExtent l="0" t="0" r="8890" b="635"/>
                  <wp:docPr id="71" name="image39.jpeg" descr="212246x9w4avyoevavyby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39.jpeg" descr="212246x9w4avyoevavybyy.jpg"/>
                          <pic:cNvPicPr>
                            <a:picLocks noChangeAspect="1"/>
                          </pic:cNvPicPr>
                        </pic:nvPicPr>
                        <pic:blipFill>
                          <a:blip r:embed="rId22" cstate="print"/>
                          <a:stretch>
                            <a:fillRect/>
                          </a:stretch>
                        </pic:blipFill>
                        <pic:spPr>
                          <a:xfrm>
                            <a:off x="0" y="0"/>
                            <a:ext cx="2125320" cy="1923669"/>
                          </a:xfrm>
                          <a:prstGeom prst="rect">
                            <a:avLst/>
                          </a:prstGeom>
                        </pic:spPr>
                      </pic:pic>
                    </a:graphicData>
                  </a:graphic>
                </wp:inline>
              </w:drawing>
            </w:r>
            <w:r>
              <w:rPr>
                <w:color w:val="auto"/>
                <w:highlight w:val="none"/>
                <w:lang w:val="zh-CN" w:eastAsia="zh-CN"/>
              </w:rPr>
              <w:drawing>
                <wp:inline distT="0" distB="0" distL="0" distR="0">
                  <wp:extent cx="2289175" cy="1857375"/>
                  <wp:effectExtent l="0" t="0" r="6350" b="0"/>
                  <wp:docPr id="73"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40.jpeg"/>
                          <pic:cNvPicPr>
                            <a:picLocks noChangeAspect="1"/>
                          </pic:cNvPicPr>
                        </pic:nvPicPr>
                        <pic:blipFill>
                          <a:blip r:embed="rId23" cstate="print"/>
                          <a:stretch>
                            <a:fillRect/>
                          </a:stretch>
                        </pic:blipFill>
                        <pic:spPr>
                          <a:xfrm>
                            <a:off x="0" y="0"/>
                            <a:ext cx="2289599" cy="1857756"/>
                          </a:xfrm>
                          <a:prstGeom prst="rect">
                            <a:avLst/>
                          </a:prstGeom>
                        </pic:spPr>
                      </pic:pic>
                    </a:graphicData>
                  </a:graphic>
                </wp:inline>
              </w:drawing>
            </w:r>
          </w:p>
        </w:tc>
        <w:tc>
          <w:tcPr>
            <w:tcW w:w="884" w:type="dxa"/>
            <w:vAlign w:val="center"/>
          </w:tcPr>
          <w:p w14:paraId="3C42F1C3">
            <w:pPr>
              <w:pStyle w:val="14"/>
              <w:bidi w:val="0"/>
              <w:rPr>
                <w:color w:val="auto"/>
                <w:highlight w:val="none"/>
                <w:lang w:val="zh-CN" w:eastAsia="zh-CN"/>
              </w:rPr>
            </w:pPr>
          </w:p>
        </w:tc>
      </w:tr>
      <w:tr w14:paraId="4165ADB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71" w:hRule="atLeast"/>
          <w:jc w:val="center"/>
        </w:trPr>
        <w:tc>
          <w:tcPr>
            <w:tcW w:w="765" w:type="dxa"/>
            <w:vMerge w:val="continue"/>
            <w:tcBorders>
              <w:top w:val="nil"/>
              <w:bottom w:val="nil"/>
            </w:tcBorders>
            <w:vAlign w:val="center"/>
          </w:tcPr>
          <w:p w14:paraId="19735B56">
            <w:pPr>
              <w:pStyle w:val="14"/>
              <w:bidi w:val="0"/>
              <w:rPr>
                <w:color w:val="auto"/>
                <w:highlight w:val="none"/>
                <w:lang w:val="zh-CN" w:eastAsia="zh-CN"/>
              </w:rPr>
            </w:pPr>
          </w:p>
        </w:tc>
        <w:tc>
          <w:tcPr>
            <w:tcW w:w="1080" w:type="dxa"/>
            <w:vMerge w:val="continue"/>
            <w:tcBorders>
              <w:top w:val="nil"/>
              <w:bottom w:val="nil"/>
            </w:tcBorders>
            <w:vAlign w:val="center"/>
          </w:tcPr>
          <w:p w14:paraId="3AAAF961">
            <w:pPr>
              <w:pStyle w:val="14"/>
              <w:bidi w:val="0"/>
              <w:rPr>
                <w:color w:val="auto"/>
                <w:highlight w:val="none"/>
                <w:lang w:val="zh-CN" w:eastAsia="zh-CN"/>
              </w:rPr>
            </w:pPr>
          </w:p>
        </w:tc>
        <w:tc>
          <w:tcPr>
            <w:tcW w:w="812" w:type="dxa"/>
            <w:vAlign w:val="center"/>
          </w:tcPr>
          <w:p w14:paraId="786A2B61">
            <w:pPr>
              <w:pStyle w:val="14"/>
              <w:bidi w:val="0"/>
              <w:rPr>
                <w:color w:val="auto"/>
                <w:highlight w:val="none"/>
                <w:lang w:val="zh-CN" w:eastAsia="zh-CN"/>
              </w:rPr>
            </w:pPr>
          </w:p>
        </w:tc>
        <w:tc>
          <w:tcPr>
            <w:tcW w:w="2072" w:type="dxa"/>
            <w:vAlign w:val="center"/>
          </w:tcPr>
          <w:p w14:paraId="44591F7F">
            <w:pPr>
              <w:pStyle w:val="14"/>
              <w:bidi w:val="0"/>
              <w:rPr>
                <w:color w:val="auto"/>
                <w:highlight w:val="none"/>
                <w:lang w:val="zh-CN" w:eastAsia="zh-CN"/>
              </w:rPr>
            </w:pPr>
            <w:r>
              <w:rPr>
                <w:color w:val="auto"/>
                <w:highlight w:val="none"/>
                <w:lang w:val="zh-CN" w:eastAsia="zh-CN"/>
              </w:rPr>
              <w:t>现场瓷砖应堆放于户内垫木上，垫木高度不得小于100mm</w:t>
            </w:r>
          </w:p>
        </w:tc>
        <w:tc>
          <w:tcPr>
            <w:tcW w:w="7186" w:type="dxa"/>
            <w:vAlign w:val="center"/>
          </w:tcPr>
          <w:p w14:paraId="6C68786F">
            <w:pPr>
              <w:pStyle w:val="14"/>
              <w:bidi w:val="0"/>
              <w:rPr>
                <w:color w:val="auto"/>
                <w:highlight w:val="none"/>
                <w:lang w:val="zh-CN" w:eastAsia="zh-CN"/>
              </w:rPr>
            </w:pPr>
            <w:r>
              <w:rPr>
                <w:color w:val="auto"/>
                <w:highlight w:val="none"/>
                <w:lang w:val="zh-CN" w:eastAsia="zh-CN"/>
              </w:rPr>
              <w:drawing>
                <wp:inline distT="0" distB="0" distL="0" distR="0">
                  <wp:extent cx="2159635" cy="1948180"/>
                  <wp:effectExtent l="0" t="0" r="2540" b="4445"/>
                  <wp:docPr id="75" name="image41.jpeg"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41.jpeg" descr="3.jpg"/>
                          <pic:cNvPicPr>
                            <a:picLocks noChangeAspect="1"/>
                          </pic:cNvPicPr>
                        </pic:nvPicPr>
                        <pic:blipFill>
                          <a:blip r:embed="rId24" cstate="print"/>
                          <a:stretch>
                            <a:fillRect/>
                          </a:stretch>
                        </pic:blipFill>
                        <pic:spPr>
                          <a:xfrm>
                            <a:off x="0" y="0"/>
                            <a:ext cx="2160000" cy="1948814"/>
                          </a:xfrm>
                          <a:prstGeom prst="rect">
                            <a:avLst/>
                          </a:prstGeom>
                        </pic:spPr>
                      </pic:pic>
                    </a:graphicData>
                  </a:graphic>
                </wp:inline>
              </w:drawing>
            </w:r>
            <w:r>
              <w:rPr>
                <w:color w:val="auto"/>
                <w:highlight w:val="none"/>
                <w:lang w:val="zh-CN" w:eastAsia="zh-CN"/>
              </w:rPr>
              <w:drawing>
                <wp:inline distT="0" distB="0" distL="0" distR="0">
                  <wp:extent cx="2265680" cy="1910715"/>
                  <wp:effectExtent l="0" t="0" r="1270" b="3810"/>
                  <wp:docPr id="77" name="image42.jpeg" descr="IMG_99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42.jpeg" descr="IMG_9938.JPG"/>
                          <pic:cNvPicPr>
                            <a:picLocks noChangeAspect="1"/>
                          </pic:cNvPicPr>
                        </pic:nvPicPr>
                        <pic:blipFill>
                          <a:blip r:embed="rId25" cstate="print"/>
                          <a:stretch>
                            <a:fillRect/>
                          </a:stretch>
                        </pic:blipFill>
                        <pic:spPr>
                          <a:xfrm>
                            <a:off x="0" y="0"/>
                            <a:ext cx="2265707" cy="1911096"/>
                          </a:xfrm>
                          <a:prstGeom prst="rect">
                            <a:avLst/>
                          </a:prstGeom>
                        </pic:spPr>
                      </pic:pic>
                    </a:graphicData>
                  </a:graphic>
                </wp:inline>
              </w:drawing>
            </w:r>
          </w:p>
        </w:tc>
        <w:tc>
          <w:tcPr>
            <w:tcW w:w="884" w:type="dxa"/>
            <w:vAlign w:val="center"/>
          </w:tcPr>
          <w:p w14:paraId="7E4C1580">
            <w:pPr>
              <w:pStyle w:val="14"/>
              <w:bidi w:val="0"/>
              <w:rPr>
                <w:color w:val="auto"/>
                <w:highlight w:val="none"/>
                <w:lang w:val="zh-CN" w:eastAsia="zh-CN"/>
              </w:rPr>
            </w:pPr>
          </w:p>
        </w:tc>
      </w:tr>
      <w:tr w14:paraId="530AAC9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136" w:hRule="atLeast"/>
          <w:jc w:val="center"/>
        </w:trPr>
        <w:tc>
          <w:tcPr>
            <w:tcW w:w="765" w:type="dxa"/>
            <w:tcBorders>
              <w:top w:val="nil"/>
            </w:tcBorders>
            <w:vAlign w:val="center"/>
          </w:tcPr>
          <w:p w14:paraId="1FF501C8">
            <w:pPr>
              <w:pStyle w:val="14"/>
              <w:bidi w:val="0"/>
              <w:rPr>
                <w:color w:val="auto"/>
                <w:highlight w:val="none"/>
                <w:lang w:val="zh-CN" w:eastAsia="zh-CN"/>
              </w:rPr>
            </w:pPr>
          </w:p>
        </w:tc>
        <w:tc>
          <w:tcPr>
            <w:tcW w:w="1080" w:type="dxa"/>
            <w:tcBorders>
              <w:top w:val="nil"/>
            </w:tcBorders>
            <w:vAlign w:val="center"/>
          </w:tcPr>
          <w:p w14:paraId="37AD88E5">
            <w:pPr>
              <w:pStyle w:val="14"/>
              <w:bidi w:val="0"/>
              <w:rPr>
                <w:color w:val="auto"/>
                <w:highlight w:val="none"/>
                <w:lang w:val="zh-CN" w:eastAsia="zh-CN"/>
              </w:rPr>
            </w:pPr>
          </w:p>
        </w:tc>
        <w:tc>
          <w:tcPr>
            <w:tcW w:w="812" w:type="dxa"/>
            <w:vAlign w:val="center"/>
          </w:tcPr>
          <w:p w14:paraId="413F9016">
            <w:pPr>
              <w:pStyle w:val="14"/>
              <w:bidi w:val="0"/>
              <w:rPr>
                <w:color w:val="auto"/>
                <w:highlight w:val="none"/>
                <w:lang w:val="zh-CN" w:eastAsia="zh-CN"/>
              </w:rPr>
            </w:pPr>
            <w:r>
              <w:rPr>
                <w:color w:val="auto"/>
                <w:highlight w:val="none"/>
                <w:lang w:val="zh-CN" w:eastAsia="zh-CN"/>
              </w:rPr>
              <w:t>安装成品</w:t>
            </w:r>
          </w:p>
        </w:tc>
        <w:tc>
          <w:tcPr>
            <w:tcW w:w="2072" w:type="dxa"/>
            <w:vAlign w:val="center"/>
          </w:tcPr>
          <w:p w14:paraId="165CEC43">
            <w:pPr>
              <w:pStyle w:val="14"/>
              <w:bidi w:val="0"/>
              <w:rPr>
                <w:color w:val="auto"/>
                <w:highlight w:val="none"/>
                <w:lang w:val="zh-CN" w:eastAsia="zh-CN"/>
              </w:rPr>
            </w:pPr>
          </w:p>
          <w:p w14:paraId="45602607">
            <w:pPr>
              <w:pStyle w:val="14"/>
              <w:bidi w:val="0"/>
              <w:rPr>
                <w:color w:val="auto"/>
                <w:highlight w:val="none"/>
                <w:lang w:val="zh-CN" w:eastAsia="zh-CN"/>
              </w:rPr>
            </w:pPr>
            <w:r>
              <w:rPr>
                <w:color w:val="auto"/>
                <w:highlight w:val="none"/>
                <w:lang w:val="zh-CN" w:eastAsia="zh-CN"/>
              </w:rPr>
              <w:t>底层采用厚度不低于2.5mmPVC针织棉，面层采用厚度不低于9mm厚木夹板进行保护</w:t>
            </w:r>
            <w:r>
              <w:rPr>
                <w:rFonts w:hint="eastAsia"/>
                <w:color w:val="auto"/>
                <w:highlight w:val="none"/>
                <w:lang w:eastAsia="zh-CN"/>
              </w:rPr>
              <w:t>或地面保护垫（编织布）进行保护</w:t>
            </w:r>
            <w:r>
              <w:rPr>
                <w:color w:val="auto"/>
                <w:highlight w:val="none"/>
                <w:lang w:val="zh-CN" w:eastAsia="zh-CN"/>
              </w:rPr>
              <w:t>； 墙面采用薄膜保 护，且阳角处需采用厚度不低于9mm木夹板进行保护；</w:t>
            </w:r>
          </w:p>
        </w:tc>
        <w:tc>
          <w:tcPr>
            <w:tcW w:w="7186" w:type="dxa"/>
            <w:vAlign w:val="center"/>
          </w:tcPr>
          <w:p w14:paraId="70EFCBD9">
            <w:pPr>
              <w:pStyle w:val="14"/>
              <w:bidi w:val="0"/>
              <w:rPr>
                <w:color w:val="auto"/>
                <w:highlight w:val="none"/>
                <w:lang w:val="zh-CN" w:eastAsia="zh-CN"/>
              </w:rPr>
            </w:pPr>
          </w:p>
          <w:p w14:paraId="5B37CD1F">
            <w:pPr>
              <w:pStyle w:val="14"/>
              <w:bidi w:val="0"/>
              <w:rPr>
                <w:color w:val="auto"/>
                <w:highlight w:val="none"/>
                <w:lang w:val="zh-CN" w:eastAsia="zh-CN"/>
              </w:rPr>
            </w:pPr>
            <w:r>
              <w:rPr>
                <w:color w:val="auto"/>
                <w:highlight w:val="none"/>
                <w:lang w:val="zh-CN" w:eastAsia="zh-CN"/>
              </w:rPr>
              <w:drawing>
                <wp:inline distT="0" distB="0" distL="0" distR="0">
                  <wp:extent cx="2150110" cy="2543810"/>
                  <wp:effectExtent l="0" t="0" r="2540" b="8890"/>
                  <wp:docPr id="79" name="image43.png"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43.png" descr="1.png"/>
                          <pic:cNvPicPr>
                            <a:picLocks noChangeAspect="1"/>
                          </pic:cNvPicPr>
                        </pic:nvPicPr>
                        <pic:blipFill>
                          <a:blip r:embed="rId26" cstate="print"/>
                          <a:stretch>
                            <a:fillRect/>
                          </a:stretch>
                        </pic:blipFill>
                        <pic:spPr>
                          <a:xfrm>
                            <a:off x="0" y="0"/>
                            <a:ext cx="2150244" cy="2544032"/>
                          </a:xfrm>
                          <a:prstGeom prst="rect">
                            <a:avLst/>
                          </a:prstGeom>
                        </pic:spPr>
                      </pic:pic>
                    </a:graphicData>
                  </a:graphic>
                </wp:inline>
              </w:drawing>
            </w:r>
            <w:r>
              <w:rPr>
                <w:color w:val="auto"/>
                <w:highlight w:val="none"/>
                <w:lang w:val="zh-CN" w:eastAsia="zh-CN"/>
              </w:rPr>
              <w:drawing>
                <wp:inline distT="0" distB="0" distL="0" distR="0">
                  <wp:extent cx="2298700" cy="2576830"/>
                  <wp:effectExtent l="0" t="0" r="6350" b="4445"/>
                  <wp:docPr id="81" name="image44.jpeg"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44.jpeg" descr="2.jpg"/>
                          <pic:cNvPicPr>
                            <a:picLocks noChangeAspect="1"/>
                          </pic:cNvPicPr>
                        </pic:nvPicPr>
                        <pic:blipFill>
                          <a:blip r:embed="rId27" cstate="print"/>
                          <a:stretch>
                            <a:fillRect/>
                          </a:stretch>
                        </pic:blipFill>
                        <pic:spPr>
                          <a:xfrm>
                            <a:off x="0" y="0"/>
                            <a:ext cx="2299141" cy="2577464"/>
                          </a:xfrm>
                          <a:prstGeom prst="rect">
                            <a:avLst/>
                          </a:prstGeom>
                        </pic:spPr>
                      </pic:pic>
                    </a:graphicData>
                  </a:graphic>
                </wp:inline>
              </w:drawing>
            </w:r>
          </w:p>
        </w:tc>
        <w:tc>
          <w:tcPr>
            <w:tcW w:w="884" w:type="dxa"/>
            <w:vAlign w:val="center"/>
          </w:tcPr>
          <w:p w14:paraId="2A51A80F">
            <w:pPr>
              <w:pStyle w:val="14"/>
              <w:bidi w:val="0"/>
              <w:rPr>
                <w:color w:val="auto"/>
                <w:highlight w:val="none"/>
                <w:lang w:val="zh-CN" w:eastAsia="zh-CN"/>
              </w:rPr>
            </w:pPr>
          </w:p>
        </w:tc>
      </w:tr>
      <w:tr w14:paraId="611DD73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72" w:hRule="atLeast"/>
          <w:jc w:val="center"/>
        </w:trPr>
        <w:tc>
          <w:tcPr>
            <w:tcW w:w="765" w:type="dxa"/>
            <w:vMerge w:val="restart"/>
            <w:vAlign w:val="center"/>
          </w:tcPr>
          <w:p w14:paraId="7A7224F7">
            <w:pPr>
              <w:pStyle w:val="14"/>
              <w:bidi w:val="0"/>
              <w:rPr>
                <w:color w:val="auto"/>
                <w:highlight w:val="none"/>
                <w:lang w:val="zh-CN" w:eastAsia="zh-CN"/>
              </w:rPr>
            </w:pPr>
            <w:r>
              <w:rPr>
                <w:color w:val="auto"/>
                <w:highlight w:val="none"/>
                <w:lang w:val="zh-CN" w:eastAsia="zh-CN"/>
              </w:rPr>
              <w:t>3</w:t>
            </w:r>
          </w:p>
        </w:tc>
        <w:tc>
          <w:tcPr>
            <w:tcW w:w="1080" w:type="dxa"/>
            <w:vMerge w:val="restart"/>
            <w:vAlign w:val="center"/>
          </w:tcPr>
          <w:p w14:paraId="39148AD1">
            <w:pPr>
              <w:pStyle w:val="14"/>
              <w:bidi w:val="0"/>
              <w:rPr>
                <w:color w:val="auto"/>
                <w:highlight w:val="none"/>
                <w:lang w:val="zh-CN" w:eastAsia="zh-CN"/>
              </w:rPr>
            </w:pPr>
            <w:r>
              <w:rPr>
                <w:rFonts w:hint="eastAsia"/>
                <w:color w:val="auto"/>
                <w:highlight w:val="none"/>
                <w:lang w:val="zh-CN" w:eastAsia="zh-CN"/>
              </w:rPr>
              <w:t>木地板</w:t>
            </w:r>
          </w:p>
        </w:tc>
        <w:tc>
          <w:tcPr>
            <w:tcW w:w="812" w:type="dxa"/>
            <w:vAlign w:val="center"/>
          </w:tcPr>
          <w:p w14:paraId="4BD84CAB">
            <w:pPr>
              <w:pStyle w:val="14"/>
              <w:bidi w:val="0"/>
              <w:rPr>
                <w:color w:val="auto"/>
                <w:highlight w:val="none"/>
                <w:lang w:val="zh-CN" w:eastAsia="zh-CN"/>
              </w:rPr>
            </w:pPr>
            <w:r>
              <w:rPr>
                <w:color w:val="auto"/>
                <w:highlight w:val="none"/>
                <w:lang w:val="zh-CN" w:eastAsia="zh-CN"/>
              </w:rPr>
              <w:t>工厂包装</w:t>
            </w:r>
          </w:p>
        </w:tc>
        <w:tc>
          <w:tcPr>
            <w:tcW w:w="2072" w:type="dxa"/>
            <w:vAlign w:val="center"/>
          </w:tcPr>
          <w:p w14:paraId="603D33AA">
            <w:pPr>
              <w:pStyle w:val="14"/>
              <w:bidi w:val="0"/>
              <w:rPr>
                <w:color w:val="auto"/>
                <w:highlight w:val="none"/>
                <w:lang w:val="zh-CN" w:eastAsia="zh-CN"/>
              </w:rPr>
            </w:pPr>
            <w:r>
              <w:rPr>
                <w:color w:val="auto"/>
                <w:highlight w:val="none"/>
                <w:lang w:val="zh-CN" w:eastAsia="zh-CN"/>
              </w:rPr>
              <w:t>采用珍珠棉加包装盒进行包装</w:t>
            </w:r>
          </w:p>
        </w:tc>
        <w:tc>
          <w:tcPr>
            <w:tcW w:w="7186" w:type="dxa"/>
            <w:vAlign w:val="center"/>
          </w:tcPr>
          <w:p w14:paraId="2C0B15EF">
            <w:pPr>
              <w:pStyle w:val="14"/>
              <w:bidi w:val="0"/>
              <w:rPr>
                <w:color w:val="auto"/>
                <w:highlight w:val="none"/>
                <w:lang w:val="zh-CN" w:eastAsia="zh-CN"/>
              </w:rPr>
            </w:pPr>
            <w:r>
              <w:rPr>
                <w:color w:val="auto"/>
                <w:highlight w:val="none"/>
                <w:lang w:val="zh-CN" w:eastAsia="zh-CN"/>
              </w:rPr>
              <w:drawing>
                <wp:inline distT="0" distB="0" distL="0" distR="0">
                  <wp:extent cx="2129155" cy="1913890"/>
                  <wp:effectExtent l="0" t="0" r="4445" b="635"/>
                  <wp:docPr id="83" name="image45.jpeg" descr="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45.jpeg" descr="04.jpg"/>
                          <pic:cNvPicPr>
                            <a:picLocks noChangeAspect="1"/>
                          </pic:cNvPicPr>
                        </pic:nvPicPr>
                        <pic:blipFill>
                          <a:blip r:embed="rId28" cstate="print"/>
                          <a:stretch>
                            <a:fillRect/>
                          </a:stretch>
                        </pic:blipFill>
                        <pic:spPr>
                          <a:xfrm>
                            <a:off x="0" y="0"/>
                            <a:ext cx="2129559" cy="1914239"/>
                          </a:xfrm>
                          <a:prstGeom prst="rect">
                            <a:avLst/>
                          </a:prstGeom>
                        </pic:spPr>
                      </pic:pic>
                    </a:graphicData>
                  </a:graphic>
                </wp:inline>
              </w:drawing>
            </w:r>
            <w:r>
              <w:rPr>
                <w:color w:val="auto"/>
                <w:highlight w:val="none"/>
                <w:lang w:val="zh-CN" w:eastAsia="zh-CN"/>
              </w:rPr>
              <w:drawing>
                <wp:inline distT="0" distB="0" distL="0" distR="0">
                  <wp:extent cx="1951990" cy="1951990"/>
                  <wp:effectExtent l="0" t="0" r="635" b="635"/>
                  <wp:docPr id="85" name="image46.jpeg" descr="IMG_9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46.jpeg" descr="IMG_9612.JPG"/>
                          <pic:cNvPicPr>
                            <a:picLocks noChangeAspect="1"/>
                          </pic:cNvPicPr>
                        </pic:nvPicPr>
                        <pic:blipFill>
                          <a:blip r:embed="rId29" cstate="print"/>
                          <a:stretch>
                            <a:fillRect/>
                          </a:stretch>
                        </pic:blipFill>
                        <pic:spPr>
                          <a:xfrm>
                            <a:off x="0" y="0"/>
                            <a:ext cx="1952244" cy="1952244"/>
                          </a:xfrm>
                          <a:prstGeom prst="rect">
                            <a:avLst/>
                          </a:prstGeom>
                        </pic:spPr>
                      </pic:pic>
                    </a:graphicData>
                  </a:graphic>
                </wp:inline>
              </w:drawing>
            </w:r>
          </w:p>
        </w:tc>
        <w:tc>
          <w:tcPr>
            <w:tcW w:w="884" w:type="dxa"/>
            <w:vAlign w:val="center"/>
          </w:tcPr>
          <w:p w14:paraId="59F1443B">
            <w:pPr>
              <w:pStyle w:val="14"/>
              <w:bidi w:val="0"/>
              <w:rPr>
                <w:color w:val="auto"/>
                <w:highlight w:val="none"/>
                <w:lang w:val="zh-CN" w:eastAsia="zh-CN"/>
              </w:rPr>
            </w:pPr>
          </w:p>
        </w:tc>
      </w:tr>
      <w:tr w14:paraId="016CA44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68" w:hRule="atLeast"/>
          <w:jc w:val="center"/>
        </w:trPr>
        <w:tc>
          <w:tcPr>
            <w:tcW w:w="765" w:type="dxa"/>
            <w:vMerge w:val="continue"/>
            <w:tcBorders>
              <w:top w:val="nil"/>
            </w:tcBorders>
            <w:vAlign w:val="center"/>
          </w:tcPr>
          <w:p w14:paraId="3324248C">
            <w:pPr>
              <w:pStyle w:val="14"/>
              <w:bidi w:val="0"/>
              <w:rPr>
                <w:color w:val="auto"/>
                <w:highlight w:val="none"/>
                <w:lang w:val="zh-CN" w:eastAsia="zh-CN"/>
              </w:rPr>
            </w:pPr>
          </w:p>
        </w:tc>
        <w:tc>
          <w:tcPr>
            <w:tcW w:w="1080" w:type="dxa"/>
            <w:vMerge w:val="continue"/>
            <w:tcBorders>
              <w:top w:val="nil"/>
            </w:tcBorders>
            <w:vAlign w:val="center"/>
          </w:tcPr>
          <w:p w14:paraId="2362C17F">
            <w:pPr>
              <w:pStyle w:val="14"/>
              <w:bidi w:val="0"/>
              <w:rPr>
                <w:color w:val="auto"/>
                <w:highlight w:val="none"/>
                <w:lang w:val="zh-CN" w:eastAsia="zh-CN"/>
              </w:rPr>
            </w:pPr>
          </w:p>
        </w:tc>
        <w:tc>
          <w:tcPr>
            <w:tcW w:w="812" w:type="dxa"/>
            <w:vAlign w:val="center"/>
          </w:tcPr>
          <w:p w14:paraId="3D60B10E">
            <w:pPr>
              <w:pStyle w:val="14"/>
              <w:bidi w:val="0"/>
              <w:rPr>
                <w:color w:val="auto"/>
                <w:highlight w:val="none"/>
                <w:lang w:val="zh-CN" w:eastAsia="zh-CN"/>
              </w:rPr>
            </w:pPr>
            <w:r>
              <w:rPr>
                <w:color w:val="auto"/>
                <w:highlight w:val="none"/>
                <w:lang w:val="zh-CN" w:eastAsia="zh-CN"/>
              </w:rPr>
              <w:t>堆放</w:t>
            </w:r>
          </w:p>
        </w:tc>
        <w:tc>
          <w:tcPr>
            <w:tcW w:w="2072" w:type="dxa"/>
            <w:vAlign w:val="center"/>
          </w:tcPr>
          <w:p w14:paraId="32952D48">
            <w:pPr>
              <w:pStyle w:val="14"/>
              <w:bidi w:val="0"/>
              <w:rPr>
                <w:color w:val="auto"/>
                <w:highlight w:val="none"/>
                <w:lang w:val="zh-CN" w:eastAsia="zh-CN"/>
              </w:rPr>
            </w:pPr>
            <w:r>
              <w:rPr>
                <w:color w:val="auto"/>
                <w:highlight w:val="none"/>
                <w:lang w:val="zh-CN" w:eastAsia="zh-CN"/>
              </w:rPr>
              <w:t>应置于户内垫木上，垫木高度不得小于100mm, 堆码高度不得超过1.5m</w:t>
            </w:r>
          </w:p>
        </w:tc>
        <w:tc>
          <w:tcPr>
            <w:tcW w:w="7186" w:type="dxa"/>
            <w:vAlign w:val="center"/>
          </w:tcPr>
          <w:p w14:paraId="7A18CC68">
            <w:pPr>
              <w:pStyle w:val="14"/>
              <w:bidi w:val="0"/>
              <w:rPr>
                <w:color w:val="auto"/>
                <w:highlight w:val="none"/>
                <w:lang w:val="zh-CN" w:eastAsia="zh-CN"/>
              </w:rPr>
            </w:pPr>
            <w:r>
              <w:rPr>
                <w:color w:val="auto"/>
                <w:highlight w:val="none"/>
                <w:lang w:val="zh-CN" w:eastAsia="zh-CN"/>
              </w:rPr>
              <w:drawing>
                <wp:inline distT="0" distB="0" distL="0" distR="0">
                  <wp:extent cx="2159000" cy="1910715"/>
                  <wp:effectExtent l="0" t="0" r="3175" b="3810"/>
                  <wp:docPr id="87" name="image47.jpeg" descr="IMG_96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47.jpeg" descr="IMG_9619.JPG"/>
                          <pic:cNvPicPr>
                            <a:picLocks noChangeAspect="1"/>
                          </pic:cNvPicPr>
                        </pic:nvPicPr>
                        <pic:blipFill>
                          <a:blip r:embed="rId30" cstate="print"/>
                          <a:stretch>
                            <a:fillRect/>
                          </a:stretch>
                        </pic:blipFill>
                        <pic:spPr>
                          <a:xfrm>
                            <a:off x="0" y="0"/>
                            <a:ext cx="2159514" cy="1911096"/>
                          </a:xfrm>
                          <a:prstGeom prst="rect">
                            <a:avLst/>
                          </a:prstGeom>
                        </pic:spPr>
                      </pic:pic>
                    </a:graphicData>
                  </a:graphic>
                </wp:inline>
              </w:drawing>
            </w:r>
            <w:r>
              <w:rPr>
                <w:color w:val="auto"/>
                <w:highlight w:val="none"/>
                <w:lang w:val="zh-CN" w:eastAsia="zh-CN"/>
              </w:rPr>
              <w:drawing>
                <wp:inline distT="0" distB="0" distL="0" distR="0">
                  <wp:extent cx="2197100" cy="1910715"/>
                  <wp:effectExtent l="0" t="0" r="3175" b="3810"/>
                  <wp:docPr id="89" name="image48.jpeg" descr="IMG_9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48.jpeg" descr="IMG_9618.JPG"/>
                          <pic:cNvPicPr>
                            <a:picLocks noChangeAspect="1"/>
                          </pic:cNvPicPr>
                        </pic:nvPicPr>
                        <pic:blipFill>
                          <a:blip r:embed="rId31" cstate="print"/>
                          <a:stretch>
                            <a:fillRect/>
                          </a:stretch>
                        </pic:blipFill>
                        <pic:spPr>
                          <a:xfrm>
                            <a:off x="0" y="0"/>
                            <a:ext cx="2197576" cy="1911096"/>
                          </a:xfrm>
                          <a:prstGeom prst="rect">
                            <a:avLst/>
                          </a:prstGeom>
                        </pic:spPr>
                      </pic:pic>
                    </a:graphicData>
                  </a:graphic>
                </wp:inline>
              </w:drawing>
            </w:r>
          </w:p>
        </w:tc>
        <w:tc>
          <w:tcPr>
            <w:tcW w:w="884" w:type="dxa"/>
            <w:vAlign w:val="center"/>
          </w:tcPr>
          <w:p w14:paraId="753A1F92">
            <w:pPr>
              <w:pStyle w:val="14"/>
              <w:bidi w:val="0"/>
              <w:rPr>
                <w:color w:val="auto"/>
                <w:highlight w:val="none"/>
                <w:lang w:val="zh-CN" w:eastAsia="zh-CN"/>
              </w:rPr>
            </w:pPr>
          </w:p>
        </w:tc>
      </w:tr>
      <w:tr w14:paraId="7D38ADC0">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1" w:hRule="atLeast"/>
          <w:jc w:val="center"/>
        </w:trPr>
        <w:tc>
          <w:tcPr>
            <w:tcW w:w="765" w:type="dxa"/>
            <w:vMerge w:val="continue"/>
            <w:tcBorders>
              <w:top w:val="nil"/>
            </w:tcBorders>
            <w:vAlign w:val="center"/>
          </w:tcPr>
          <w:p w14:paraId="1B3130F7">
            <w:pPr>
              <w:pStyle w:val="14"/>
              <w:bidi w:val="0"/>
              <w:rPr>
                <w:color w:val="auto"/>
                <w:highlight w:val="none"/>
                <w:lang w:val="zh-CN" w:eastAsia="zh-CN"/>
              </w:rPr>
            </w:pPr>
          </w:p>
        </w:tc>
        <w:tc>
          <w:tcPr>
            <w:tcW w:w="1080" w:type="dxa"/>
            <w:vMerge w:val="continue"/>
            <w:tcBorders>
              <w:top w:val="nil"/>
            </w:tcBorders>
            <w:vAlign w:val="center"/>
          </w:tcPr>
          <w:p w14:paraId="1C014EAC">
            <w:pPr>
              <w:pStyle w:val="14"/>
              <w:bidi w:val="0"/>
              <w:rPr>
                <w:color w:val="auto"/>
                <w:highlight w:val="none"/>
                <w:lang w:val="zh-CN" w:eastAsia="zh-CN"/>
              </w:rPr>
            </w:pPr>
          </w:p>
        </w:tc>
        <w:tc>
          <w:tcPr>
            <w:tcW w:w="812" w:type="dxa"/>
            <w:vAlign w:val="center"/>
          </w:tcPr>
          <w:p w14:paraId="1D001235">
            <w:pPr>
              <w:pStyle w:val="14"/>
              <w:bidi w:val="0"/>
              <w:rPr>
                <w:color w:val="auto"/>
                <w:highlight w:val="none"/>
                <w:lang w:val="zh-CN" w:eastAsia="zh-CN"/>
              </w:rPr>
            </w:pPr>
            <w:r>
              <w:rPr>
                <w:color w:val="auto"/>
                <w:highlight w:val="none"/>
                <w:lang w:val="zh-CN" w:eastAsia="zh-CN"/>
              </w:rPr>
              <w:t>安装成品</w:t>
            </w:r>
          </w:p>
        </w:tc>
        <w:tc>
          <w:tcPr>
            <w:tcW w:w="2072" w:type="dxa"/>
            <w:vAlign w:val="center"/>
          </w:tcPr>
          <w:p w14:paraId="3B2FA7EC">
            <w:pPr>
              <w:pStyle w:val="14"/>
              <w:bidi w:val="0"/>
              <w:rPr>
                <w:color w:val="auto"/>
                <w:highlight w:val="none"/>
                <w:lang w:val="zh-CN" w:eastAsia="zh-CN"/>
              </w:rPr>
            </w:pPr>
            <w:r>
              <w:rPr>
                <w:color w:val="auto"/>
                <w:highlight w:val="none"/>
                <w:lang w:val="zh-CN" w:eastAsia="zh-CN"/>
              </w:rPr>
              <w:t>底层采用厚度不低于2.5mmPVC针 织棉，面层采用瓦楞纸板覆盖保护；</w:t>
            </w:r>
          </w:p>
        </w:tc>
        <w:tc>
          <w:tcPr>
            <w:tcW w:w="7186" w:type="dxa"/>
            <w:vAlign w:val="center"/>
          </w:tcPr>
          <w:p w14:paraId="2F87DC20">
            <w:pPr>
              <w:pStyle w:val="14"/>
              <w:bidi w:val="0"/>
              <w:rPr>
                <w:color w:val="auto"/>
                <w:highlight w:val="none"/>
                <w:lang w:val="zh-CN" w:eastAsia="zh-CN"/>
              </w:rPr>
            </w:pPr>
          </w:p>
          <w:p w14:paraId="2A833D5A">
            <w:pPr>
              <w:pStyle w:val="14"/>
              <w:bidi w:val="0"/>
              <w:rPr>
                <w:color w:val="auto"/>
                <w:highlight w:val="none"/>
                <w:lang w:val="zh-CN" w:eastAsia="zh-CN"/>
              </w:rPr>
            </w:pPr>
            <w:r>
              <w:rPr>
                <w:color w:val="auto"/>
                <w:highlight w:val="none"/>
                <w:lang w:val="zh-CN" w:eastAsia="zh-CN"/>
              </w:rPr>
              <w:drawing>
                <wp:inline distT="0" distB="0" distL="0" distR="0">
                  <wp:extent cx="2142490" cy="1685925"/>
                  <wp:effectExtent l="0" t="0" r="635" b="0"/>
                  <wp:docPr id="9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49.jpeg"/>
                          <pic:cNvPicPr>
                            <a:picLocks noChangeAspect="1"/>
                          </pic:cNvPicPr>
                        </pic:nvPicPr>
                        <pic:blipFill>
                          <a:blip r:embed="rId32" cstate="print"/>
                          <a:stretch>
                            <a:fillRect/>
                          </a:stretch>
                        </pic:blipFill>
                        <pic:spPr>
                          <a:xfrm>
                            <a:off x="0" y="0"/>
                            <a:ext cx="2143124" cy="1685925"/>
                          </a:xfrm>
                          <a:prstGeom prst="rect">
                            <a:avLst/>
                          </a:prstGeom>
                        </pic:spPr>
                      </pic:pic>
                    </a:graphicData>
                  </a:graphic>
                </wp:inline>
              </w:drawing>
            </w:r>
            <w:r>
              <w:rPr>
                <w:color w:val="auto"/>
                <w:highlight w:val="none"/>
                <w:lang w:val="zh-CN" w:eastAsia="zh-CN"/>
              </w:rPr>
              <w:drawing>
                <wp:inline distT="0" distB="0" distL="0" distR="0">
                  <wp:extent cx="2241550" cy="1645285"/>
                  <wp:effectExtent l="0" t="0" r="6350" b="2540"/>
                  <wp:docPr id="93"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50.jpeg"/>
                          <pic:cNvPicPr>
                            <a:picLocks noChangeAspect="1"/>
                          </pic:cNvPicPr>
                        </pic:nvPicPr>
                        <pic:blipFill>
                          <a:blip r:embed="rId33" cstate="print"/>
                          <a:stretch>
                            <a:fillRect/>
                          </a:stretch>
                        </pic:blipFill>
                        <pic:spPr>
                          <a:xfrm>
                            <a:off x="0" y="0"/>
                            <a:ext cx="2241845" cy="1645919"/>
                          </a:xfrm>
                          <a:prstGeom prst="rect">
                            <a:avLst/>
                          </a:prstGeom>
                        </pic:spPr>
                      </pic:pic>
                    </a:graphicData>
                  </a:graphic>
                </wp:inline>
              </w:drawing>
            </w:r>
          </w:p>
        </w:tc>
        <w:tc>
          <w:tcPr>
            <w:tcW w:w="884" w:type="dxa"/>
            <w:vAlign w:val="center"/>
          </w:tcPr>
          <w:p w14:paraId="426B56BA">
            <w:pPr>
              <w:pStyle w:val="14"/>
              <w:bidi w:val="0"/>
              <w:rPr>
                <w:color w:val="auto"/>
                <w:highlight w:val="none"/>
                <w:lang w:val="zh-CN" w:eastAsia="zh-CN"/>
              </w:rPr>
            </w:pPr>
          </w:p>
        </w:tc>
      </w:tr>
      <w:tr w14:paraId="1D55F0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72" w:hRule="atLeast"/>
          <w:jc w:val="center"/>
        </w:trPr>
        <w:tc>
          <w:tcPr>
            <w:tcW w:w="765" w:type="dxa"/>
            <w:tcBorders>
              <w:bottom w:val="nil"/>
            </w:tcBorders>
            <w:vAlign w:val="center"/>
          </w:tcPr>
          <w:p w14:paraId="7F1A90E1">
            <w:pPr>
              <w:pStyle w:val="14"/>
              <w:bidi w:val="0"/>
              <w:rPr>
                <w:color w:val="auto"/>
                <w:highlight w:val="none"/>
                <w:lang w:val="zh-CN" w:eastAsia="zh-CN"/>
              </w:rPr>
            </w:pPr>
          </w:p>
        </w:tc>
        <w:tc>
          <w:tcPr>
            <w:tcW w:w="1080" w:type="dxa"/>
            <w:tcBorders>
              <w:bottom w:val="nil"/>
            </w:tcBorders>
            <w:vAlign w:val="center"/>
          </w:tcPr>
          <w:p w14:paraId="55B6434B">
            <w:pPr>
              <w:pStyle w:val="14"/>
              <w:bidi w:val="0"/>
              <w:rPr>
                <w:color w:val="auto"/>
                <w:highlight w:val="none"/>
                <w:lang w:val="zh-CN" w:eastAsia="zh-CN"/>
              </w:rPr>
            </w:pPr>
          </w:p>
        </w:tc>
        <w:tc>
          <w:tcPr>
            <w:tcW w:w="812" w:type="dxa"/>
            <w:vAlign w:val="center"/>
          </w:tcPr>
          <w:p w14:paraId="169216BB">
            <w:pPr>
              <w:pStyle w:val="14"/>
              <w:bidi w:val="0"/>
              <w:rPr>
                <w:color w:val="auto"/>
                <w:highlight w:val="none"/>
                <w:lang w:val="zh-CN" w:eastAsia="zh-CN"/>
              </w:rPr>
            </w:pPr>
            <w:r>
              <w:rPr>
                <w:color w:val="auto"/>
                <w:highlight w:val="none"/>
                <w:lang w:val="zh-CN" w:eastAsia="zh-CN"/>
              </w:rPr>
              <w:t>工厂包装</w:t>
            </w:r>
          </w:p>
        </w:tc>
        <w:tc>
          <w:tcPr>
            <w:tcW w:w="2072" w:type="dxa"/>
            <w:vAlign w:val="center"/>
          </w:tcPr>
          <w:p w14:paraId="09AC7D25">
            <w:pPr>
              <w:pStyle w:val="14"/>
              <w:bidi w:val="0"/>
              <w:rPr>
                <w:color w:val="auto"/>
                <w:highlight w:val="none"/>
                <w:lang w:val="zh-CN" w:eastAsia="zh-CN"/>
              </w:rPr>
            </w:pPr>
            <w:r>
              <w:rPr>
                <w:color w:val="auto"/>
                <w:highlight w:val="none"/>
                <w:lang w:val="zh-CN" w:eastAsia="zh-CN"/>
              </w:rPr>
              <w:t>pvc保护膜加编织袋进行保护</w:t>
            </w:r>
          </w:p>
        </w:tc>
        <w:tc>
          <w:tcPr>
            <w:tcW w:w="7186" w:type="dxa"/>
            <w:vAlign w:val="center"/>
          </w:tcPr>
          <w:p w14:paraId="164AA2A3">
            <w:pPr>
              <w:pStyle w:val="14"/>
              <w:bidi w:val="0"/>
              <w:rPr>
                <w:color w:val="auto"/>
                <w:highlight w:val="none"/>
                <w:lang w:val="zh-CN" w:eastAsia="zh-CN"/>
              </w:rPr>
            </w:pPr>
            <w:r>
              <w:rPr>
                <w:color w:val="auto"/>
                <w:highlight w:val="none"/>
                <w:lang w:val="zh-CN" w:eastAsia="zh-CN"/>
              </w:rPr>
              <w:drawing>
                <wp:inline distT="0" distB="0" distL="114300" distR="114300">
                  <wp:extent cx="1457325" cy="1981200"/>
                  <wp:effectExtent l="0" t="0" r="0" b="0"/>
                  <wp:docPr id="161043424" name="图片 16104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43424" name="图片 161043424"/>
                          <pic:cNvPicPr>
                            <a:picLocks noChangeAspect="1"/>
                          </pic:cNvPicPr>
                        </pic:nvPicPr>
                        <pic:blipFill>
                          <a:blip r:embed="rId34"/>
                          <a:stretch>
                            <a:fillRect/>
                          </a:stretch>
                        </pic:blipFill>
                        <pic:spPr>
                          <a:xfrm>
                            <a:off x="0" y="0"/>
                            <a:ext cx="1457325" cy="1981200"/>
                          </a:xfrm>
                          <a:prstGeom prst="rect">
                            <a:avLst/>
                          </a:prstGeom>
                          <a:noFill/>
                          <a:ln>
                            <a:noFill/>
                          </a:ln>
                        </pic:spPr>
                      </pic:pic>
                    </a:graphicData>
                  </a:graphic>
                </wp:inline>
              </w:drawing>
            </w:r>
            <w:r>
              <w:rPr>
                <w:color w:val="auto"/>
                <w:highlight w:val="none"/>
                <w:lang w:val="zh-CN" w:eastAsia="zh-CN"/>
              </w:rPr>
              <w:drawing>
                <wp:inline distT="0" distB="0" distL="114300" distR="114300">
                  <wp:extent cx="1447800" cy="1990725"/>
                  <wp:effectExtent l="0" t="0" r="0" b="0"/>
                  <wp:docPr id="227896652" name="图片 227896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896652" name="图片 227896652"/>
                          <pic:cNvPicPr>
                            <a:picLocks noChangeAspect="1"/>
                          </pic:cNvPicPr>
                        </pic:nvPicPr>
                        <pic:blipFill>
                          <a:blip r:embed="rId35"/>
                          <a:stretch>
                            <a:fillRect/>
                          </a:stretch>
                        </pic:blipFill>
                        <pic:spPr>
                          <a:xfrm>
                            <a:off x="0" y="0"/>
                            <a:ext cx="1447800" cy="1990725"/>
                          </a:xfrm>
                          <a:prstGeom prst="rect">
                            <a:avLst/>
                          </a:prstGeom>
                          <a:noFill/>
                          <a:ln>
                            <a:noFill/>
                          </a:ln>
                        </pic:spPr>
                      </pic:pic>
                    </a:graphicData>
                  </a:graphic>
                </wp:inline>
              </w:drawing>
            </w:r>
            <w:r>
              <w:rPr>
                <w:color w:val="auto"/>
                <w:highlight w:val="none"/>
                <w:lang w:val="zh-CN" w:eastAsia="zh-CN"/>
              </w:rPr>
              <w:drawing>
                <wp:inline distT="0" distB="0" distL="114300" distR="114300">
                  <wp:extent cx="1586230" cy="2009775"/>
                  <wp:effectExtent l="0" t="0" r="4445" b="0"/>
                  <wp:docPr id="528439308" name="图片 528439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439308" name="图片 528439308"/>
                          <pic:cNvPicPr>
                            <a:picLocks noChangeAspect="1"/>
                          </pic:cNvPicPr>
                        </pic:nvPicPr>
                        <pic:blipFill>
                          <a:blip r:embed="rId36"/>
                          <a:stretch>
                            <a:fillRect/>
                          </a:stretch>
                        </pic:blipFill>
                        <pic:spPr>
                          <a:xfrm>
                            <a:off x="0" y="0"/>
                            <a:ext cx="1586230" cy="2009775"/>
                          </a:xfrm>
                          <a:prstGeom prst="rect">
                            <a:avLst/>
                          </a:prstGeom>
                          <a:noFill/>
                          <a:ln>
                            <a:noFill/>
                          </a:ln>
                        </pic:spPr>
                      </pic:pic>
                    </a:graphicData>
                  </a:graphic>
                </wp:inline>
              </w:drawing>
            </w:r>
          </w:p>
        </w:tc>
        <w:tc>
          <w:tcPr>
            <w:tcW w:w="884" w:type="dxa"/>
            <w:vAlign w:val="center"/>
          </w:tcPr>
          <w:p w14:paraId="704DCFAC">
            <w:pPr>
              <w:pStyle w:val="14"/>
              <w:bidi w:val="0"/>
              <w:rPr>
                <w:color w:val="auto"/>
                <w:highlight w:val="none"/>
                <w:lang w:val="zh-CN" w:eastAsia="zh-CN"/>
              </w:rPr>
            </w:pPr>
          </w:p>
        </w:tc>
      </w:tr>
      <w:tr w14:paraId="3C47A83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72" w:hRule="atLeast"/>
          <w:jc w:val="center"/>
        </w:trPr>
        <w:tc>
          <w:tcPr>
            <w:tcW w:w="765" w:type="dxa"/>
            <w:vMerge w:val="restart"/>
            <w:tcBorders>
              <w:top w:val="nil"/>
            </w:tcBorders>
            <w:vAlign w:val="center"/>
          </w:tcPr>
          <w:p w14:paraId="36F234C7">
            <w:pPr>
              <w:pStyle w:val="14"/>
              <w:bidi w:val="0"/>
              <w:rPr>
                <w:color w:val="auto"/>
                <w:highlight w:val="none"/>
                <w:lang w:val="zh-CN" w:eastAsia="zh-CN"/>
              </w:rPr>
            </w:pPr>
            <w:r>
              <w:rPr>
                <w:color w:val="auto"/>
                <w:highlight w:val="none"/>
                <w:lang w:val="zh-CN" w:eastAsia="zh-CN"/>
              </w:rPr>
              <w:t>4</w:t>
            </w:r>
          </w:p>
        </w:tc>
        <w:tc>
          <w:tcPr>
            <w:tcW w:w="1080" w:type="dxa"/>
            <w:vMerge w:val="restart"/>
            <w:tcBorders>
              <w:top w:val="nil"/>
            </w:tcBorders>
            <w:vAlign w:val="center"/>
          </w:tcPr>
          <w:p w14:paraId="2939F64B">
            <w:pPr>
              <w:pStyle w:val="14"/>
              <w:bidi w:val="0"/>
              <w:rPr>
                <w:color w:val="auto"/>
                <w:highlight w:val="none"/>
                <w:lang w:val="zh-CN" w:eastAsia="zh-CN"/>
              </w:rPr>
            </w:pPr>
            <w:r>
              <w:rPr>
                <w:rFonts w:hint="eastAsia"/>
                <w:color w:val="auto"/>
                <w:highlight w:val="none"/>
                <w:lang w:val="zh-CN" w:eastAsia="zh-CN"/>
              </w:rPr>
              <w:t>地毯</w:t>
            </w:r>
          </w:p>
        </w:tc>
        <w:tc>
          <w:tcPr>
            <w:tcW w:w="812" w:type="dxa"/>
            <w:vAlign w:val="center"/>
          </w:tcPr>
          <w:p w14:paraId="1BF270A7">
            <w:pPr>
              <w:pStyle w:val="14"/>
              <w:bidi w:val="0"/>
              <w:rPr>
                <w:color w:val="auto"/>
                <w:highlight w:val="none"/>
                <w:lang w:val="zh-CN" w:eastAsia="zh-CN"/>
              </w:rPr>
            </w:pPr>
            <w:r>
              <w:rPr>
                <w:color w:val="auto"/>
                <w:highlight w:val="none"/>
                <w:lang w:val="zh-CN" w:eastAsia="zh-CN"/>
              </w:rPr>
              <w:t>堆放</w:t>
            </w:r>
          </w:p>
        </w:tc>
        <w:tc>
          <w:tcPr>
            <w:tcW w:w="2072" w:type="dxa"/>
            <w:vAlign w:val="center"/>
          </w:tcPr>
          <w:p w14:paraId="4C1E907B">
            <w:pPr>
              <w:pStyle w:val="14"/>
              <w:bidi w:val="0"/>
              <w:rPr>
                <w:color w:val="auto"/>
                <w:highlight w:val="none"/>
                <w:lang w:val="zh-CN" w:eastAsia="zh-CN"/>
              </w:rPr>
            </w:pPr>
            <w:r>
              <w:rPr>
                <w:color w:val="auto"/>
                <w:highlight w:val="none"/>
                <w:lang w:val="zh-CN" w:eastAsia="zh-CN"/>
              </w:rPr>
              <w:t>现场地毯应置于户内垫木上，垫木高度不得小于100mm</w:t>
            </w:r>
          </w:p>
        </w:tc>
        <w:tc>
          <w:tcPr>
            <w:tcW w:w="7186" w:type="dxa"/>
            <w:vAlign w:val="center"/>
          </w:tcPr>
          <w:p w14:paraId="44B16D9B">
            <w:pPr>
              <w:pStyle w:val="14"/>
              <w:bidi w:val="0"/>
              <w:rPr>
                <w:color w:val="auto"/>
                <w:highlight w:val="none"/>
                <w:lang w:val="zh-CN" w:eastAsia="zh-CN"/>
              </w:rPr>
            </w:pPr>
          </w:p>
          <w:p w14:paraId="5A66197C">
            <w:pPr>
              <w:pStyle w:val="14"/>
              <w:bidi w:val="0"/>
              <w:rPr>
                <w:color w:val="auto"/>
                <w:highlight w:val="none"/>
                <w:lang w:val="zh-CN" w:eastAsia="zh-CN"/>
              </w:rPr>
            </w:pPr>
            <w:r>
              <w:rPr>
                <w:color w:val="auto"/>
                <w:highlight w:val="none"/>
                <w:lang w:val="zh-CN" w:eastAsia="zh-CN"/>
              </w:rPr>
              <w:drawing>
                <wp:inline distT="0" distB="0" distL="0" distR="0">
                  <wp:extent cx="2217420" cy="1910715"/>
                  <wp:effectExtent l="0" t="0" r="1905" b="3810"/>
                  <wp:docPr id="95" name="image51.jpeg" descr="IMG_18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51.jpeg" descr="IMG_1884.JPG"/>
                          <pic:cNvPicPr>
                            <a:picLocks noChangeAspect="1"/>
                          </pic:cNvPicPr>
                        </pic:nvPicPr>
                        <pic:blipFill>
                          <a:blip r:embed="rId37" cstate="print"/>
                          <a:stretch>
                            <a:fillRect/>
                          </a:stretch>
                        </pic:blipFill>
                        <pic:spPr>
                          <a:xfrm>
                            <a:off x="0" y="0"/>
                            <a:ext cx="2217622" cy="1911096"/>
                          </a:xfrm>
                          <a:prstGeom prst="rect">
                            <a:avLst/>
                          </a:prstGeom>
                        </pic:spPr>
                      </pic:pic>
                    </a:graphicData>
                  </a:graphic>
                </wp:inline>
              </w:drawing>
            </w:r>
          </w:p>
        </w:tc>
        <w:tc>
          <w:tcPr>
            <w:tcW w:w="884" w:type="dxa"/>
            <w:vAlign w:val="center"/>
          </w:tcPr>
          <w:p w14:paraId="3E7CFC1B">
            <w:pPr>
              <w:pStyle w:val="14"/>
              <w:bidi w:val="0"/>
              <w:rPr>
                <w:color w:val="auto"/>
                <w:highlight w:val="none"/>
                <w:lang w:val="zh-CN" w:eastAsia="zh-CN"/>
              </w:rPr>
            </w:pPr>
          </w:p>
        </w:tc>
      </w:tr>
      <w:tr w14:paraId="58124D5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72" w:hRule="atLeast"/>
          <w:jc w:val="center"/>
        </w:trPr>
        <w:tc>
          <w:tcPr>
            <w:tcW w:w="765" w:type="dxa"/>
            <w:vMerge w:val="continue"/>
            <w:tcBorders>
              <w:top w:val="nil"/>
            </w:tcBorders>
            <w:vAlign w:val="center"/>
          </w:tcPr>
          <w:p w14:paraId="6C368870">
            <w:pPr>
              <w:pStyle w:val="14"/>
              <w:bidi w:val="0"/>
              <w:rPr>
                <w:color w:val="auto"/>
                <w:highlight w:val="none"/>
                <w:lang w:val="zh-CN" w:eastAsia="zh-CN"/>
              </w:rPr>
            </w:pPr>
          </w:p>
        </w:tc>
        <w:tc>
          <w:tcPr>
            <w:tcW w:w="1080" w:type="dxa"/>
            <w:vMerge w:val="continue"/>
            <w:tcBorders>
              <w:top w:val="nil"/>
            </w:tcBorders>
            <w:vAlign w:val="center"/>
          </w:tcPr>
          <w:p w14:paraId="07C419DB">
            <w:pPr>
              <w:pStyle w:val="14"/>
              <w:bidi w:val="0"/>
              <w:rPr>
                <w:color w:val="auto"/>
                <w:highlight w:val="none"/>
                <w:lang w:val="zh-CN" w:eastAsia="zh-CN"/>
              </w:rPr>
            </w:pPr>
          </w:p>
        </w:tc>
        <w:tc>
          <w:tcPr>
            <w:tcW w:w="812" w:type="dxa"/>
            <w:vAlign w:val="center"/>
          </w:tcPr>
          <w:p w14:paraId="5F3B87EF">
            <w:pPr>
              <w:pStyle w:val="14"/>
              <w:bidi w:val="0"/>
              <w:rPr>
                <w:color w:val="auto"/>
                <w:highlight w:val="none"/>
                <w:lang w:val="zh-CN" w:eastAsia="zh-CN"/>
              </w:rPr>
            </w:pPr>
            <w:r>
              <w:rPr>
                <w:color w:val="auto"/>
                <w:highlight w:val="none"/>
                <w:lang w:val="zh-CN" w:eastAsia="zh-CN"/>
              </w:rPr>
              <w:t>安装成品</w:t>
            </w:r>
          </w:p>
        </w:tc>
        <w:tc>
          <w:tcPr>
            <w:tcW w:w="2072" w:type="dxa"/>
            <w:vAlign w:val="center"/>
          </w:tcPr>
          <w:p w14:paraId="5C83C349">
            <w:pPr>
              <w:pStyle w:val="14"/>
              <w:bidi w:val="0"/>
              <w:rPr>
                <w:color w:val="auto"/>
                <w:highlight w:val="none"/>
                <w:lang w:val="zh-CN" w:eastAsia="zh-CN"/>
              </w:rPr>
            </w:pPr>
            <w:r>
              <w:rPr>
                <w:color w:val="auto"/>
                <w:highlight w:val="none"/>
                <w:lang w:val="zh-CN" w:eastAsia="zh-CN"/>
              </w:rPr>
              <w:t>底层保护：防潮保护膜；面层保护： 瓦楞纸板；胶带；</w:t>
            </w:r>
          </w:p>
        </w:tc>
        <w:tc>
          <w:tcPr>
            <w:tcW w:w="7186" w:type="dxa"/>
            <w:vAlign w:val="center"/>
          </w:tcPr>
          <w:p w14:paraId="2BAC950A">
            <w:pPr>
              <w:pStyle w:val="14"/>
              <w:bidi w:val="0"/>
              <w:rPr>
                <w:color w:val="auto"/>
                <w:highlight w:val="none"/>
                <w:lang w:val="zh-CN" w:eastAsia="zh-CN"/>
              </w:rPr>
            </w:pPr>
            <w:r>
              <w:rPr>
                <w:color w:val="auto"/>
                <w:highlight w:val="none"/>
                <w:lang w:val="zh-CN" w:eastAsia="zh-CN"/>
              </w:rPr>
              <w:drawing>
                <wp:inline distT="0" distB="0" distL="0" distR="0">
                  <wp:extent cx="2157730" cy="1943100"/>
                  <wp:effectExtent l="0" t="0" r="4445" b="0"/>
                  <wp:docPr id="97"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52.jpeg"/>
                          <pic:cNvPicPr>
                            <a:picLocks noChangeAspect="1"/>
                          </pic:cNvPicPr>
                        </pic:nvPicPr>
                        <pic:blipFill>
                          <a:blip r:embed="rId38" cstate="print"/>
                          <a:stretch>
                            <a:fillRect/>
                          </a:stretch>
                        </pic:blipFill>
                        <pic:spPr>
                          <a:xfrm>
                            <a:off x="0" y="0"/>
                            <a:ext cx="2158091" cy="1943576"/>
                          </a:xfrm>
                          <a:prstGeom prst="rect">
                            <a:avLst/>
                          </a:prstGeom>
                        </pic:spPr>
                      </pic:pic>
                    </a:graphicData>
                  </a:graphic>
                </wp:inline>
              </w:drawing>
            </w:r>
            <w:r>
              <w:rPr>
                <w:color w:val="auto"/>
                <w:highlight w:val="none"/>
                <w:lang w:val="zh-CN" w:eastAsia="zh-CN"/>
              </w:rPr>
              <w:drawing>
                <wp:inline distT="0" distB="0" distL="0" distR="0">
                  <wp:extent cx="2218055" cy="1944370"/>
                  <wp:effectExtent l="0" t="0" r="1270" b="8255"/>
                  <wp:docPr id="99" name="image53.jpeg" descr="照片 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53.jpeg" descr="照片 085"/>
                          <pic:cNvPicPr>
                            <a:picLocks noChangeAspect="1"/>
                          </pic:cNvPicPr>
                        </pic:nvPicPr>
                        <pic:blipFill>
                          <a:blip r:embed="rId39" cstate="print"/>
                          <a:stretch>
                            <a:fillRect/>
                          </a:stretch>
                        </pic:blipFill>
                        <pic:spPr>
                          <a:xfrm>
                            <a:off x="0" y="0"/>
                            <a:ext cx="2218345" cy="1944814"/>
                          </a:xfrm>
                          <a:prstGeom prst="rect">
                            <a:avLst/>
                          </a:prstGeom>
                        </pic:spPr>
                      </pic:pic>
                    </a:graphicData>
                  </a:graphic>
                </wp:inline>
              </w:drawing>
            </w:r>
          </w:p>
        </w:tc>
        <w:tc>
          <w:tcPr>
            <w:tcW w:w="884" w:type="dxa"/>
            <w:vAlign w:val="center"/>
          </w:tcPr>
          <w:p w14:paraId="6F8CAF2D">
            <w:pPr>
              <w:pStyle w:val="14"/>
              <w:bidi w:val="0"/>
              <w:rPr>
                <w:color w:val="auto"/>
                <w:highlight w:val="none"/>
                <w:lang w:val="zh-CN" w:eastAsia="zh-CN"/>
              </w:rPr>
            </w:pPr>
          </w:p>
        </w:tc>
      </w:tr>
      <w:tr w14:paraId="2B2E4E5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006" w:hRule="atLeast"/>
          <w:jc w:val="center"/>
        </w:trPr>
        <w:tc>
          <w:tcPr>
            <w:tcW w:w="765" w:type="dxa"/>
            <w:vMerge w:val="restart"/>
            <w:vAlign w:val="center"/>
          </w:tcPr>
          <w:p w14:paraId="657E0848">
            <w:pPr>
              <w:pStyle w:val="14"/>
              <w:bidi w:val="0"/>
              <w:rPr>
                <w:color w:val="auto"/>
                <w:highlight w:val="none"/>
                <w:lang w:val="zh-CN" w:eastAsia="zh-CN"/>
              </w:rPr>
            </w:pPr>
            <w:r>
              <w:rPr>
                <w:color w:val="auto"/>
                <w:highlight w:val="none"/>
                <w:lang w:val="zh-CN" w:eastAsia="zh-CN"/>
              </w:rPr>
              <w:t>5</w:t>
            </w:r>
          </w:p>
        </w:tc>
        <w:tc>
          <w:tcPr>
            <w:tcW w:w="1080" w:type="dxa"/>
            <w:vMerge w:val="restart"/>
            <w:vAlign w:val="center"/>
          </w:tcPr>
          <w:p w14:paraId="7B11A9AA">
            <w:pPr>
              <w:pStyle w:val="14"/>
              <w:bidi w:val="0"/>
              <w:rPr>
                <w:color w:val="auto"/>
                <w:highlight w:val="none"/>
                <w:lang w:val="zh-CN" w:eastAsia="zh-CN"/>
              </w:rPr>
            </w:pPr>
            <w:r>
              <w:rPr>
                <w:rFonts w:hint="eastAsia"/>
                <w:color w:val="auto"/>
                <w:highlight w:val="none"/>
                <w:lang w:val="zh-CN" w:eastAsia="zh-CN"/>
              </w:rPr>
              <w:t>入户门及户内门</w:t>
            </w:r>
          </w:p>
        </w:tc>
        <w:tc>
          <w:tcPr>
            <w:tcW w:w="812" w:type="dxa"/>
            <w:vMerge w:val="restart"/>
            <w:vAlign w:val="center"/>
          </w:tcPr>
          <w:p w14:paraId="1F464EBD">
            <w:pPr>
              <w:pStyle w:val="14"/>
              <w:bidi w:val="0"/>
              <w:rPr>
                <w:color w:val="auto"/>
                <w:highlight w:val="none"/>
                <w:lang w:val="zh-CN" w:eastAsia="zh-CN"/>
              </w:rPr>
            </w:pPr>
            <w:r>
              <w:rPr>
                <w:color w:val="auto"/>
                <w:highlight w:val="none"/>
                <w:lang w:val="zh-CN" w:eastAsia="zh-CN"/>
              </w:rPr>
              <w:t>工厂包装</w:t>
            </w:r>
          </w:p>
        </w:tc>
        <w:tc>
          <w:tcPr>
            <w:tcW w:w="2072" w:type="dxa"/>
            <w:tcBorders>
              <w:bottom w:val="single" w:color="auto" w:sz="4" w:space="0"/>
            </w:tcBorders>
            <w:vAlign w:val="center"/>
          </w:tcPr>
          <w:p w14:paraId="21C0C2E6">
            <w:pPr>
              <w:pStyle w:val="14"/>
              <w:bidi w:val="0"/>
              <w:rPr>
                <w:color w:val="auto"/>
                <w:highlight w:val="none"/>
                <w:lang w:val="zh-CN" w:eastAsia="zh-CN"/>
              </w:rPr>
            </w:pPr>
            <w:r>
              <w:rPr>
                <w:color w:val="auto"/>
                <w:highlight w:val="none"/>
                <w:lang w:val="zh-CN" w:eastAsia="zh-CN"/>
              </w:rPr>
              <w:t>门套及门扇应分三</w:t>
            </w:r>
          </w:p>
          <w:p w14:paraId="147B1BD8">
            <w:pPr>
              <w:pStyle w:val="14"/>
              <w:bidi w:val="0"/>
              <w:rPr>
                <w:color w:val="auto"/>
                <w:highlight w:val="none"/>
                <w:lang w:val="zh-CN" w:eastAsia="zh-CN"/>
              </w:rPr>
            </w:pPr>
            <w:r>
              <w:rPr>
                <w:color w:val="auto"/>
                <w:highlight w:val="none"/>
                <w:lang w:val="zh-CN" w:eastAsia="zh-CN"/>
              </w:rPr>
              <w:t>层包装，表面包珍珠棉，双面放</w:t>
            </w:r>
          </w:p>
          <w:p w14:paraId="015575CF">
            <w:pPr>
              <w:pStyle w:val="14"/>
              <w:bidi w:val="0"/>
              <w:rPr>
                <w:color w:val="auto"/>
                <w:highlight w:val="none"/>
                <w:lang w:val="zh-CN" w:eastAsia="zh-CN"/>
              </w:rPr>
            </w:pPr>
            <w:r>
              <w:rPr>
                <w:color w:val="auto"/>
                <w:highlight w:val="none"/>
                <w:lang w:val="zh-CN" w:eastAsia="zh-CN"/>
              </w:rPr>
              <w:t>5mm后泡沫板，</w:t>
            </w:r>
          </w:p>
          <w:p w14:paraId="27F126B8">
            <w:pPr>
              <w:pStyle w:val="14"/>
              <w:bidi w:val="0"/>
              <w:rPr>
                <w:color w:val="auto"/>
                <w:highlight w:val="none"/>
                <w:lang w:val="zh-CN" w:eastAsia="zh-CN"/>
              </w:rPr>
            </w:pPr>
            <w:r>
              <w:rPr>
                <w:color w:val="auto"/>
                <w:highlight w:val="none"/>
                <w:lang w:val="zh-CN" w:eastAsia="zh-CN"/>
              </w:rPr>
              <w:t>最后用纸盒包装好</w:t>
            </w:r>
          </w:p>
        </w:tc>
        <w:tc>
          <w:tcPr>
            <w:tcW w:w="7186" w:type="dxa"/>
            <w:vMerge w:val="restart"/>
            <w:vAlign w:val="center"/>
          </w:tcPr>
          <w:p w14:paraId="009DCA2E">
            <w:pPr>
              <w:pStyle w:val="14"/>
              <w:bidi w:val="0"/>
              <w:rPr>
                <w:color w:val="auto"/>
                <w:highlight w:val="none"/>
                <w:lang w:val="zh-CN" w:eastAsia="zh-CN"/>
              </w:rPr>
            </w:pPr>
            <w:r>
              <w:rPr>
                <w:color w:val="auto"/>
                <w:highlight w:val="none"/>
                <w:lang w:val="zh-CN" w:eastAsia="zh-CN"/>
              </w:rPr>
              <w:drawing>
                <wp:inline distT="0" distB="0" distL="0" distR="0">
                  <wp:extent cx="2198370" cy="1901825"/>
                  <wp:effectExtent l="0" t="0" r="1905" b="3175"/>
                  <wp:docPr id="101" name="image54.jpeg" descr="IMG_9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54.jpeg" descr="IMG_9612.JPG"/>
                          <pic:cNvPicPr>
                            <a:picLocks noChangeAspect="1"/>
                          </pic:cNvPicPr>
                        </pic:nvPicPr>
                        <pic:blipFill>
                          <a:blip r:embed="rId40" cstate="print"/>
                          <a:stretch>
                            <a:fillRect/>
                          </a:stretch>
                        </pic:blipFill>
                        <pic:spPr>
                          <a:xfrm>
                            <a:off x="0" y="0"/>
                            <a:ext cx="2198592" cy="1901952"/>
                          </a:xfrm>
                          <a:prstGeom prst="rect">
                            <a:avLst/>
                          </a:prstGeom>
                        </pic:spPr>
                      </pic:pic>
                    </a:graphicData>
                  </a:graphic>
                </wp:inline>
              </w:drawing>
            </w:r>
            <w:r>
              <w:rPr>
                <w:color w:val="auto"/>
                <w:highlight w:val="none"/>
                <w:lang w:val="zh-CN" w:eastAsia="zh-CN"/>
              </w:rPr>
              <w:drawing>
                <wp:inline distT="0" distB="0" distL="0" distR="0">
                  <wp:extent cx="2188210" cy="1920240"/>
                  <wp:effectExtent l="0" t="0" r="2540" b="3810"/>
                  <wp:docPr id="103" name="image55.jpeg" descr="IMG_96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55.jpeg" descr="IMG_9615.JPG"/>
                          <pic:cNvPicPr>
                            <a:picLocks noChangeAspect="1"/>
                          </pic:cNvPicPr>
                        </pic:nvPicPr>
                        <pic:blipFill>
                          <a:blip r:embed="rId41" cstate="print"/>
                          <a:stretch>
                            <a:fillRect/>
                          </a:stretch>
                        </pic:blipFill>
                        <pic:spPr>
                          <a:xfrm>
                            <a:off x="0" y="0"/>
                            <a:ext cx="2188581" cy="1920240"/>
                          </a:xfrm>
                          <a:prstGeom prst="rect">
                            <a:avLst/>
                          </a:prstGeom>
                        </pic:spPr>
                      </pic:pic>
                    </a:graphicData>
                  </a:graphic>
                </wp:inline>
              </w:drawing>
            </w:r>
          </w:p>
        </w:tc>
        <w:tc>
          <w:tcPr>
            <w:tcW w:w="884" w:type="dxa"/>
            <w:vMerge w:val="restart"/>
            <w:vAlign w:val="center"/>
          </w:tcPr>
          <w:p w14:paraId="0A30A4E1">
            <w:pPr>
              <w:pStyle w:val="14"/>
              <w:bidi w:val="0"/>
              <w:rPr>
                <w:color w:val="auto"/>
                <w:highlight w:val="none"/>
                <w:lang w:val="zh-CN" w:eastAsia="zh-CN"/>
              </w:rPr>
            </w:pPr>
          </w:p>
        </w:tc>
      </w:tr>
      <w:tr w14:paraId="427F70D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522" w:hRule="atLeast"/>
          <w:jc w:val="center"/>
        </w:trPr>
        <w:tc>
          <w:tcPr>
            <w:tcW w:w="765" w:type="dxa"/>
            <w:vMerge w:val="continue"/>
            <w:vAlign w:val="center"/>
          </w:tcPr>
          <w:p w14:paraId="64666AC0">
            <w:pPr>
              <w:pStyle w:val="14"/>
              <w:bidi w:val="0"/>
              <w:rPr>
                <w:color w:val="auto"/>
                <w:highlight w:val="none"/>
                <w:lang w:val="zh-CN" w:eastAsia="zh-CN"/>
              </w:rPr>
            </w:pPr>
          </w:p>
        </w:tc>
        <w:tc>
          <w:tcPr>
            <w:tcW w:w="1080" w:type="dxa"/>
            <w:vMerge w:val="continue"/>
            <w:vAlign w:val="center"/>
          </w:tcPr>
          <w:p w14:paraId="666783C8">
            <w:pPr>
              <w:pStyle w:val="14"/>
              <w:bidi w:val="0"/>
              <w:rPr>
                <w:color w:val="auto"/>
                <w:highlight w:val="none"/>
                <w:lang w:val="zh-CN" w:eastAsia="zh-CN"/>
              </w:rPr>
            </w:pPr>
          </w:p>
        </w:tc>
        <w:tc>
          <w:tcPr>
            <w:tcW w:w="812" w:type="dxa"/>
            <w:tcBorders>
              <w:right w:val="single" w:color="auto" w:sz="4" w:space="0"/>
            </w:tcBorders>
            <w:vAlign w:val="center"/>
          </w:tcPr>
          <w:p w14:paraId="7A5B32DD">
            <w:pPr>
              <w:pStyle w:val="14"/>
              <w:bidi w:val="0"/>
              <w:rPr>
                <w:color w:val="auto"/>
                <w:highlight w:val="none"/>
                <w:lang w:val="zh-CN" w:eastAsia="zh-CN"/>
              </w:rPr>
            </w:pPr>
            <w:r>
              <w:rPr>
                <w:color w:val="auto"/>
                <w:highlight w:val="none"/>
                <w:lang w:val="zh-CN" w:eastAsia="zh-CN"/>
              </w:rPr>
              <w:t>堆放</w:t>
            </w:r>
          </w:p>
        </w:tc>
        <w:tc>
          <w:tcPr>
            <w:tcW w:w="2072" w:type="dxa"/>
            <w:tcBorders>
              <w:top w:val="single" w:color="auto" w:sz="4" w:space="0"/>
              <w:left w:val="single" w:color="auto" w:sz="4" w:space="0"/>
              <w:bottom w:val="single" w:color="auto" w:sz="4" w:space="0"/>
              <w:right w:val="single" w:color="auto" w:sz="4" w:space="0"/>
            </w:tcBorders>
            <w:vAlign w:val="center"/>
          </w:tcPr>
          <w:p w14:paraId="05F9FB49">
            <w:pPr>
              <w:pStyle w:val="14"/>
              <w:bidi w:val="0"/>
              <w:rPr>
                <w:color w:val="auto"/>
                <w:highlight w:val="none"/>
                <w:lang w:val="zh-CN" w:eastAsia="zh-CN"/>
              </w:rPr>
            </w:pPr>
          </w:p>
          <w:p w14:paraId="01E5A042">
            <w:pPr>
              <w:pStyle w:val="14"/>
              <w:bidi w:val="0"/>
              <w:rPr>
                <w:color w:val="auto"/>
                <w:highlight w:val="none"/>
                <w:lang w:val="zh-CN" w:eastAsia="zh-CN"/>
              </w:rPr>
            </w:pPr>
            <w:r>
              <w:rPr>
                <w:color w:val="auto"/>
                <w:highlight w:val="none"/>
                <w:lang w:val="zh-CN" w:eastAsia="zh-CN"/>
              </w:rPr>
              <w:t>应置于户内垫木</w:t>
            </w:r>
          </w:p>
          <w:p w14:paraId="79B8DBA3">
            <w:pPr>
              <w:pStyle w:val="14"/>
              <w:bidi w:val="0"/>
              <w:rPr>
                <w:color w:val="auto"/>
                <w:highlight w:val="none"/>
                <w:lang w:val="zh-CN" w:eastAsia="zh-CN"/>
              </w:rPr>
            </w:pPr>
            <w:r>
              <w:rPr>
                <w:color w:val="auto"/>
                <w:highlight w:val="none"/>
                <w:lang w:val="zh-CN" w:eastAsia="zh-CN"/>
              </w:rPr>
              <w:t>上，垫木高度不得</w:t>
            </w:r>
          </w:p>
          <w:p w14:paraId="50997BE8">
            <w:pPr>
              <w:pStyle w:val="14"/>
              <w:bidi w:val="0"/>
              <w:rPr>
                <w:color w:val="auto"/>
                <w:highlight w:val="none"/>
                <w:lang w:val="zh-CN" w:eastAsia="zh-CN"/>
              </w:rPr>
            </w:pPr>
            <w:r>
              <w:rPr>
                <w:color w:val="auto"/>
                <w:highlight w:val="none"/>
                <w:lang w:val="zh-CN" w:eastAsia="zh-CN"/>
              </w:rPr>
              <w:t>小于100mm, 门框</w:t>
            </w:r>
          </w:p>
          <w:p w14:paraId="54D27A16">
            <w:pPr>
              <w:pStyle w:val="14"/>
              <w:bidi w:val="0"/>
              <w:rPr>
                <w:color w:val="auto"/>
                <w:highlight w:val="none"/>
                <w:lang w:val="zh-CN" w:eastAsia="zh-CN"/>
              </w:rPr>
            </w:pPr>
            <w:r>
              <w:rPr>
                <w:color w:val="auto"/>
                <w:highlight w:val="none"/>
                <w:lang w:val="zh-CN" w:eastAsia="zh-CN"/>
              </w:rPr>
              <w:t>堆码高度不得超过</w:t>
            </w:r>
          </w:p>
          <w:p w14:paraId="039C2D00">
            <w:pPr>
              <w:pStyle w:val="14"/>
              <w:bidi w:val="0"/>
              <w:rPr>
                <w:color w:val="auto"/>
                <w:highlight w:val="none"/>
                <w:lang w:val="zh-CN" w:eastAsia="zh-CN"/>
              </w:rPr>
            </w:pPr>
            <w:r>
              <w:rPr>
                <w:color w:val="auto"/>
                <w:highlight w:val="none"/>
                <w:lang w:val="zh-CN" w:eastAsia="zh-CN"/>
              </w:rPr>
              <w:t>1.5m，门扇堆放</w:t>
            </w:r>
          </w:p>
          <w:p w14:paraId="5209A48D">
            <w:pPr>
              <w:pStyle w:val="14"/>
              <w:bidi w:val="0"/>
              <w:rPr>
                <w:color w:val="auto"/>
                <w:highlight w:val="none"/>
                <w:lang w:val="zh-CN" w:eastAsia="zh-CN"/>
              </w:rPr>
            </w:pPr>
            <w:r>
              <w:rPr>
                <w:color w:val="auto"/>
                <w:highlight w:val="none"/>
                <w:lang w:val="zh-CN" w:eastAsia="zh-CN"/>
              </w:rPr>
              <w:t>高度不超过1.2m，产品竖放时，其倾斜角度不得大于20°，长度不得大于5.0m</w:t>
            </w:r>
          </w:p>
        </w:tc>
        <w:tc>
          <w:tcPr>
            <w:tcW w:w="7186" w:type="dxa"/>
            <w:tcBorders>
              <w:left w:val="single" w:color="auto" w:sz="4" w:space="0"/>
            </w:tcBorders>
            <w:vAlign w:val="center"/>
          </w:tcPr>
          <w:p w14:paraId="429EF68F">
            <w:pPr>
              <w:pStyle w:val="14"/>
              <w:bidi w:val="0"/>
              <w:rPr>
                <w:color w:val="auto"/>
                <w:highlight w:val="none"/>
                <w:lang w:val="zh-CN" w:eastAsia="zh-CN"/>
              </w:rPr>
            </w:pPr>
          </w:p>
          <w:p w14:paraId="169750F9">
            <w:pPr>
              <w:pStyle w:val="14"/>
              <w:bidi w:val="0"/>
              <w:rPr>
                <w:color w:val="auto"/>
                <w:highlight w:val="none"/>
                <w:lang w:val="zh-CN" w:eastAsia="zh-CN"/>
              </w:rPr>
            </w:pPr>
            <w:r>
              <w:rPr>
                <w:color w:val="auto"/>
                <w:highlight w:val="none"/>
                <w:lang w:val="zh-CN" w:eastAsia="zh-CN"/>
              </w:rPr>
              <w:drawing>
                <wp:inline distT="0" distB="0" distL="0" distR="0">
                  <wp:extent cx="2190750" cy="2687955"/>
                  <wp:effectExtent l="0" t="0" r="0" b="7620"/>
                  <wp:docPr id="105" name="image56.jpeg" descr="IMG_96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56.jpeg" descr="IMG_9620.JPG"/>
                          <pic:cNvPicPr>
                            <a:picLocks noChangeAspect="1"/>
                          </pic:cNvPicPr>
                        </pic:nvPicPr>
                        <pic:blipFill>
                          <a:blip r:embed="rId42" cstate="print"/>
                          <a:stretch>
                            <a:fillRect/>
                          </a:stretch>
                        </pic:blipFill>
                        <pic:spPr>
                          <a:xfrm>
                            <a:off x="0" y="0"/>
                            <a:ext cx="2191144" cy="2688336"/>
                          </a:xfrm>
                          <a:prstGeom prst="rect">
                            <a:avLst/>
                          </a:prstGeom>
                        </pic:spPr>
                      </pic:pic>
                    </a:graphicData>
                  </a:graphic>
                </wp:inline>
              </w:drawing>
            </w:r>
            <w:r>
              <w:rPr>
                <w:color w:val="auto"/>
                <w:highlight w:val="none"/>
                <w:lang w:val="zh-CN" w:eastAsia="zh-CN"/>
              </w:rPr>
              <w:drawing>
                <wp:inline distT="0" distB="0" distL="0" distR="0">
                  <wp:extent cx="2207260" cy="2706370"/>
                  <wp:effectExtent l="0" t="0" r="2540" b="8255"/>
                  <wp:docPr id="107" name="image57.jpeg" descr="IMG_9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57.jpeg" descr="IMG_9616.JPG"/>
                          <pic:cNvPicPr>
                            <a:picLocks noChangeAspect="1"/>
                          </pic:cNvPicPr>
                        </pic:nvPicPr>
                        <pic:blipFill>
                          <a:blip r:embed="rId43" cstate="print"/>
                          <a:stretch>
                            <a:fillRect/>
                          </a:stretch>
                        </pic:blipFill>
                        <pic:spPr>
                          <a:xfrm>
                            <a:off x="0" y="0"/>
                            <a:ext cx="2207728" cy="2706624"/>
                          </a:xfrm>
                          <a:prstGeom prst="rect">
                            <a:avLst/>
                          </a:prstGeom>
                        </pic:spPr>
                      </pic:pic>
                    </a:graphicData>
                  </a:graphic>
                </wp:inline>
              </w:drawing>
            </w:r>
          </w:p>
        </w:tc>
        <w:tc>
          <w:tcPr>
            <w:tcW w:w="884" w:type="dxa"/>
            <w:vAlign w:val="center"/>
          </w:tcPr>
          <w:p w14:paraId="55D7DFD3">
            <w:pPr>
              <w:pStyle w:val="14"/>
              <w:bidi w:val="0"/>
              <w:rPr>
                <w:color w:val="auto"/>
                <w:highlight w:val="none"/>
                <w:lang w:val="zh-CN" w:eastAsia="zh-CN"/>
              </w:rPr>
            </w:pPr>
          </w:p>
        </w:tc>
      </w:tr>
      <w:tr w14:paraId="0F7B84A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14:paraId="61D6D91D">
            <w:pPr>
              <w:pStyle w:val="14"/>
              <w:bidi w:val="0"/>
              <w:rPr>
                <w:color w:val="auto"/>
                <w:highlight w:val="none"/>
                <w:lang w:val="zh-CN" w:eastAsia="zh-CN"/>
              </w:rPr>
            </w:pPr>
          </w:p>
        </w:tc>
        <w:tc>
          <w:tcPr>
            <w:tcW w:w="1080" w:type="dxa"/>
            <w:vMerge w:val="continue"/>
            <w:tcBorders>
              <w:bottom w:val="nil"/>
            </w:tcBorders>
            <w:vAlign w:val="center"/>
          </w:tcPr>
          <w:p w14:paraId="290CCE41">
            <w:pPr>
              <w:pStyle w:val="14"/>
              <w:bidi w:val="0"/>
              <w:rPr>
                <w:color w:val="auto"/>
                <w:highlight w:val="none"/>
                <w:lang w:val="zh-CN" w:eastAsia="zh-CN"/>
              </w:rPr>
            </w:pPr>
          </w:p>
        </w:tc>
        <w:tc>
          <w:tcPr>
            <w:tcW w:w="812" w:type="dxa"/>
            <w:tcBorders>
              <w:right w:val="single" w:color="auto" w:sz="4" w:space="0"/>
            </w:tcBorders>
            <w:vAlign w:val="center"/>
          </w:tcPr>
          <w:p w14:paraId="580F9D9A">
            <w:pPr>
              <w:pStyle w:val="14"/>
              <w:bidi w:val="0"/>
              <w:rPr>
                <w:color w:val="auto"/>
                <w:highlight w:val="none"/>
                <w:lang w:val="zh-CN" w:eastAsia="zh-CN"/>
              </w:rPr>
            </w:pPr>
            <w:r>
              <w:rPr>
                <w:color w:val="auto"/>
                <w:highlight w:val="none"/>
                <w:lang w:val="zh-CN" w:eastAsia="zh-CN"/>
              </w:rPr>
              <w:t>成品保护</w:t>
            </w:r>
          </w:p>
        </w:tc>
        <w:tc>
          <w:tcPr>
            <w:tcW w:w="2072" w:type="dxa"/>
            <w:tcBorders>
              <w:top w:val="single" w:color="auto" w:sz="4" w:space="0"/>
              <w:left w:val="single" w:color="auto" w:sz="4" w:space="0"/>
              <w:bottom w:val="single" w:color="auto" w:sz="4" w:space="0"/>
              <w:right w:val="single" w:color="auto" w:sz="4" w:space="0"/>
            </w:tcBorders>
            <w:vAlign w:val="center"/>
          </w:tcPr>
          <w:p w14:paraId="099CD7F2">
            <w:pPr>
              <w:pStyle w:val="14"/>
              <w:bidi w:val="0"/>
              <w:rPr>
                <w:color w:val="auto"/>
                <w:highlight w:val="none"/>
                <w:lang w:val="zh-CN" w:eastAsia="zh-CN"/>
              </w:rPr>
            </w:pPr>
            <w:r>
              <w:rPr>
                <w:color w:val="auto"/>
                <w:highlight w:val="none"/>
                <w:lang w:val="zh-CN" w:eastAsia="zh-CN"/>
              </w:rPr>
              <w:t>1、门框安装完成后，精装单位需对所有门框采取U型12mm夹板进行固定保护，防止碰伤划伤；      2、门扇安装完成后采用无纺布全面覆盖保护，门锁应采用珍珠棉进行包裹保护。</w:t>
            </w:r>
          </w:p>
        </w:tc>
        <w:tc>
          <w:tcPr>
            <w:tcW w:w="7186" w:type="dxa"/>
            <w:tcBorders>
              <w:top w:val="nil"/>
              <w:left w:val="single" w:color="auto" w:sz="4" w:space="0"/>
            </w:tcBorders>
            <w:vAlign w:val="center"/>
          </w:tcPr>
          <w:p w14:paraId="7A3A1093">
            <w:pPr>
              <w:pStyle w:val="14"/>
              <w:bidi w:val="0"/>
              <w:rPr>
                <w:color w:val="auto"/>
                <w:highlight w:val="none"/>
                <w:lang w:val="zh-CN" w:eastAsia="zh-CN"/>
              </w:rPr>
            </w:pPr>
          </w:p>
          <w:p w14:paraId="4CE802F2">
            <w:pPr>
              <w:pStyle w:val="14"/>
              <w:bidi w:val="0"/>
              <w:rPr>
                <w:color w:val="auto"/>
                <w:highlight w:val="none"/>
                <w:lang w:val="zh-CN" w:eastAsia="zh-CN"/>
              </w:rPr>
            </w:pPr>
            <w:r>
              <w:rPr>
                <w:color w:val="auto"/>
                <w:highlight w:val="none"/>
                <w:lang w:val="zh-CN" w:eastAsia="zh-CN"/>
              </w:rPr>
              <w:drawing>
                <wp:inline distT="0" distB="0" distL="0" distR="0">
                  <wp:extent cx="2172970" cy="2967990"/>
                  <wp:effectExtent l="0" t="0" r="8255" b="3810"/>
                  <wp:docPr id="48"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58.jpeg"/>
                          <pic:cNvPicPr>
                            <a:picLocks noChangeAspect="1"/>
                          </pic:cNvPicPr>
                        </pic:nvPicPr>
                        <pic:blipFill>
                          <a:blip r:embed="rId44" cstate="print"/>
                          <a:stretch>
                            <a:fillRect/>
                          </a:stretch>
                        </pic:blipFill>
                        <pic:spPr>
                          <a:xfrm>
                            <a:off x="0" y="0"/>
                            <a:ext cx="2173559" cy="2968371"/>
                          </a:xfrm>
                          <a:prstGeom prst="rect">
                            <a:avLst/>
                          </a:prstGeom>
                        </pic:spPr>
                      </pic:pic>
                    </a:graphicData>
                  </a:graphic>
                </wp:inline>
              </w:drawing>
            </w:r>
            <w:r>
              <w:rPr>
                <w:color w:val="auto"/>
                <w:highlight w:val="none"/>
                <w:lang w:val="zh-CN" w:eastAsia="zh-CN"/>
              </w:rPr>
              <w:drawing>
                <wp:inline distT="0" distB="0" distL="0" distR="0">
                  <wp:extent cx="2217420" cy="2976245"/>
                  <wp:effectExtent l="0" t="0" r="1905" b="5080"/>
                  <wp:docPr id="50"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59.jpeg"/>
                          <pic:cNvPicPr>
                            <a:picLocks noChangeAspect="1"/>
                          </pic:cNvPicPr>
                        </pic:nvPicPr>
                        <pic:blipFill>
                          <a:blip r:embed="rId45" cstate="print"/>
                          <a:stretch>
                            <a:fillRect/>
                          </a:stretch>
                        </pic:blipFill>
                        <pic:spPr>
                          <a:xfrm>
                            <a:off x="0" y="0"/>
                            <a:ext cx="2217653" cy="2976372"/>
                          </a:xfrm>
                          <a:prstGeom prst="rect">
                            <a:avLst/>
                          </a:prstGeom>
                        </pic:spPr>
                      </pic:pic>
                    </a:graphicData>
                  </a:graphic>
                </wp:inline>
              </w:drawing>
            </w:r>
          </w:p>
        </w:tc>
        <w:tc>
          <w:tcPr>
            <w:tcW w:w="884" w:type="dxa"/>
            <w:tcBorders>
              <w:top w:val="nil"/>
            </w:tcBorders>
            <w:vAlign w:val="center"/>
          </w:tcPr>
          <w:p w14:paraId="4FF7DD22">
            <w:pPr>
              <w:pStyle w:val="14"/>
              <w:bidi w:val="0"/>
              <w:rPr>
                <w:color w:val="auto"/>
                <w:highlight w:val="none"/>
                <w:lang w:val="zh-CN" w:eastAsia="zh-CN"/>
              </w:rPr>
            </w:pPr>
            <w:r>
              <w:rPr>
                <w:color w:val="auto"/>
                <w:highlight w:val="none"/>
                <w:lang w:val="zh-CN" w:eastAsia="zh-CN"/>
              </w:rPr>
              <w:t>猫眼及防盗链在业主入住前安装</w:t>
            </w:r>
          </w:p>
        </w:tc>
      </w:tr>
      <w:tr w14:paraId="0BCC1D6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14:paraId="1472FA65">
            <w:pPr>
              <w:pStyle w:val="14"/>
              <w:bidi w:val="0"/>
              <w:rPr>
                <w:color w:val="auto"/>
                <w:highlight w:val="none"/>
                <w:lang w:val="zh-CN" w:eastAsia="zh-CN"/>
              </w:rPr>
            </w:pPr>
            <w:r>
              <w:rPr>
                <w:color w:val="auto"/>
                <w:highlight w:val="none"/>
                <w:lang w:val="zh-CN" w:eastAsia="zh-CN"/>
              </w:rPr>
              <w:t>6</w:t>
            </w:r>
          </w:p>
        </w:tc>
        <w:tc>
          <w:tcPr>
            <w:tcW w:w="1080" w:type="dxa"/>
            <w:vMerge w:val="continue"/>
            <w:tcBorders>
              <w:bottom w:val="nil"/>
            </w:tcBorders>
            <w:vAlign w:val="center"/>
          </w:tcPr>
          <w:p w14:paraId="584BC3F4">
            <w:pPr>
              <w:pStyle w:val="14"/>
              <w:bidi w:val="0"/>
              <w:rPr>
                <w:color w:val="auto"/>
                <w:highlight w:val="none"/>
                <w:lang w:val="zh-CN" w:eastAsia="zh-CN"/>
              </w:rPr>
            </w:pPr>
            <w:r>
              <w:rPr>
                <w:rFonts w:hint="eastAsia"/>
                <w:color w:val="auto"/>
                <w:highlight w:val="none"/>
                <w:lang w:val="zh-CN" w:eastAsia="zh-CN"/>
              </w:rPr>
              <w:t>木饰面</w:t>
            </w:r>
          </w:p>
          <w:p w14:paraId="79F3CB2B">
            <w:pPr>
              <w:pStyle w:val="14"/>
              <w:bidi w:val="0"/>
              <w:rPr>
                <w:color w:val="auto"/>
                <w:highlight w:val="none"/>
                <w:lang w:val="zh-CN" w:eastAsia="zh-CN"/>
              </w:rPr>
            </w:pPr>
            <w:r>
              <w:rPr>
                <w:rFonts w:hint="eastAsia"/>
                <w:color w:val="auto"/>
                <w:highlight w:val="none"/>
                <w:lang w:val="zh-CN" w:eastAsia="zh-CN"/>
              </w:rPr>
              <w:t>（含固定家私）</w:t>
            </w:r>
          </w:p>
        </w:tc>
        <w:tc>
          <w:tcPr>
            <w:tcW w:w="812" w:type="dxa"/>
            <w:tcBorders>
              <w:top w:val="single" w:color="000000" w:sz="8" w:space="0"/>
              <w:left w:val="single" w:color="000000" w:sz="8" w:space="0"/>
              <w:bottom w:val="single" w:color="000000" w:sz="8" w:space="0"/>
              <w:right w:val="single" w:color="auto" w:sz="4" w:space="0"/>
            </w:tcBorders>
            <w:vAlign w:val="center"/>
          </w:tcPr>
          <w:p w14:paraId="6E5E91C9">
            <w:pPr>
              <w:pStyle w:val="14"/>
              <w:bidi w:val="0"/>
              <w:rPr>
                <w:color w:val="auto"/>
                <w:highlight w:val="none"/>
                <w:lang w:val="zh-CN" w:eastAsia="zh-CN"/>
              </w:rPr>
            </w:pPr>
            <w:r>
              <w:rPr>
                <w:color w:val="auto"/>
                <w:highlight w:val="none"/>
                <w:lang w:val="zh-CN" w:eastAsia="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14:paraId="35E699D1">
            <w:pPr>
              <w:pStyle w:val="14"/>
              <w:bidi w:val="0"/>
              <w:rPr>
                <w:color w:val="auto"/>
                <w:highlight w:val="none"/>
                <w:lang w:val="zh-CN" w:eastAsia="zh-CN"/>
              </w:rPr>
            </w:pPr>
            <w:r>
              <w:rPr>
                <w:color w:val="auto"/>
                <w:highlight w:val="none"/>
                <w:lang w:val="zh-CN" w:eastAsia="zh-CN"/>
              </w:rPr>
              <w:t>所有外露木饰面及家私均采用塑料薄膜进行保护</w:t>
            </w:r>
          </w:p>
        </w:tc>
        <w:tc>
          <w:tcPr>
            <w:tcW w:w="7186" w:type="dxa"/>
            <w:tcBorders>
              <w:top w:val="nil"/>
              <w:left w:val="single" w:color="auto" w:sz="4" w:space="0"/>
              <w:bottom w:val="single" w:color="000000" w:sz="8" w:space="0"/>
              <w:right w:val="single" w:color="000000" w:sz="8" w:space="0"/>
            </w:tcBorders>
            <w:vAlign w:val="center"/>
          </w:tcPr>
          <w:p w14:paraId="62945F23">
            <w:pPr>
              <w:pStyle w:val="14"/>
              <w:bidi w:val="0"/>
              <w:rPr>
                <w:color w:val="auto"/>
                <w:highlight w:val="none"/>
                <w:lang w:val="zh-CN" w:eastAsia="zh-CN"/>
              </w:rPr>
            </w:pPr>
            <w:r>
              <w:rPr>
                <w:color w:val="auto"/>
                <w:highlight w:val="none"/>
                <w:lang w:val="zh-CN" w:eastAsia="zh-CN"/>
              </w:rPr>
              <w:drawing>
                <wp:inline distT="0" distB="0" distL="0" distR="0">
                  <wp:extent cx="2171065" cy="1872615"/>
                  <wp:effectExtent l="0" t="0" r="635" b="3810"/>
                  <wp:docPr id="113" name="image60.jpeg" descr="C:\Users\lenovo\AppData\Local\Temp\ksohtml\wpsD8D.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60.jpeg" descr="C:\Users\lenovo\AppData\Local\Temp\ksohtml\wpsD8D.tmp.png"/>
                          <pic:cNvPicPr>
                            <a:picLocks noChangeAspect="1"/>
                          </pic:cNvPicPr>
                        </pic:nvPicPr>
                        <pic:blipFill>
                          <a:blip r:embed="rId46" cstate="print"/>
                          <a:stretch>
                            <a:fillRect/>
                          </a:stretch>
                        </pic:blipFill>
                        <pic:spPr>
                          <a:xfrm>
                            <a:off x="0" y="0"/>
                            <a:ext cx="2171199" cy="1873091"/>
                          </a:xfrm>
                          <a:prstGeom prst="rect">
                            <a:avLst/>
                          </a:prstGeom>
                        </pic:spPr>
                      </pic:pic>
                    </a:graphicData>
                  </a:graphic>
                </wp:inline>
              </w:drawing>
            </w:r>
            <w:r>
              <w:rPr>
                <w:color w:val="auto"/>
                <w:highlight w:val="none"/>
                <w:lang w:val="zh-CN" w:eastAsia="zh-CN"/>
              </w:rPr>
              <w:t xml:space="preserve"> </w:t>
            </w:r>
            <w:r>
              <w:rPr>
                <w:color w:val="auto"/>
                <w:highlight w:val="none"/>
                <w:lang w:val="zh-CN" w:eastAsia="zh-CN"/>
              </w:rPr>
              <w:drawing>
                <wp:inline distT="0" distB="0" distL="0" distR="0">
                  <wp:extent cx="2216785" cy="1847850"/>
                  <wp:effectExtent l="0" t="0" r="2540" b="0"/>
                  <wp:docPr id="115"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61.jpeg"/>
                          <pic:cNvPicPr>
                            <a:picLocks noChangeAspect="1"/>
                          </pic:cNvPicPr>
                        </pic:nvPicPr>
                        <pic:blipFill>
                          <a:blip r:embed="rId47" cstate="print"/>
                          <a:stretch>
                            <a:fillRect/>
                          </a:stretch>
                        </pic:blipFill>
                        <pic:spPr>
                          <a:xfrm>
                            <a:off x="0" y="0"/>
                            <a:ext cx="2217015" cy="1847850"/>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14:paraId="6EFED7F7">
            <w:pPr>
              <w:pStyle w:val="14"/>
              <w:bidi w:val="0"/>
              <w:rPr>
                <w:color w:val="auto"/>
                <w:highlight w:val="none"/>
                <w:lang w:val="zh-CN" w:eastAsia="zh-CN"/>
              </w:rPr>
            </w:pPr>
          </w:p>
        </w:tc>
      </w:tr>
      <w:tr w14:paraId="7625706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14:paraId="0BB46C06">
            <w:pPr>
              <w:pStyle w:val="14"/>
              <w:bidi w:val="0"/>
              <w:rPr>
                <w:color w:val="auto"/>
                <w:highlight w:val="none"/>
                <w:lang w:val="zh-CN" w:eastAsia="zh-CN"/>
              </w:rPr>
            </w:pPr>
            <w:r>
              <w:rPr>
                <w:color w:val="auto"/>
                <w:highlight w:val="none"/>
                <w:lang w:val="zh-CN" w:eastAsia="zh-CN"/>
              </w:rPr>
              <w:t>7</w:t>
            </w:r>
          </w:p>
        </w:tc>
        <w:tc>
          <w:tcPr>
            <w:tcW w:w="1080" w:type="dxa"/>
            <w:vMerge w:val="continue"/>
            <w:tcBorders>
              <w:bottom w:val="nil"/>
            </w:tcBorders>
            <w:vAlign w:val="center"/>
          </w:tcPr>
          <w:p w14:paraId="3565DA72">
            <w:pPr>
              <w:pStyle w:val="14"/>
              <w:bidi w:val="0"/>
              <w:rPr>
                <w:color w:val="auto"/>
                <w:highlight w:val="none"/>
                <w:lang w:val="zh-CN" w:eastAsia="zh-CN"/>
              </w:rPr>
            </w:pPr>
            <w:r>
              <w:rPr>
                <w:rFonts w:hint="eastAsia"/>
                <w:color w:val="auto"/>
                <w:highlight w:val="none"/>
                <w:lang w:val="zh-CN" w:eastAsia="zh-CN"/>
              </w:rPr>
              <w:t>裱糊、软包</w:t>
            </w:r>
          </w:p>
        </w:tc>
        <w:tc>
          <w:tcPr>
            <w:tcW w:w="812" w:type="dxa"/>
            <w:tcBorders>
              <w:top w:val="single" w:color="000000" w:sz="8" w:space="0"/>
              <w:left w:val="single" w:color="000000" w:sz="8" w:space="0"/>
              <w:bottom w:val="single" w:color="000000" w:sz="8" w:space="0"/>
              <w:right w:val="single" w:color="auto" w:sz="4" w:space="0"/>
            </w:tcBorders>
            <w:vAlign w:val="center"/>
          </w:tcPr>
          <w:p w14:paraId="1255F835">
            <w:pPr>
              <w:pStyle w:val="14"/>
              <w:bidi w:val="0"/>
              <w:rPr>
                <w:color w:val="auto"/>
                <w:highlight w:val="none"/>
                <w:lang w:val="zh-CN" w:eastAsia="zh-CN"/>
              </w:rPr>
            </w:pPr>
            <w:r>
              <w:rPr>
                <w:color w:val="auto"/>
                <w:highlight w:val="none"/>
                <w:lang w:val="zh-CN" w:eastAsia="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14:paraId="1FA496ED">
            <w:pPr>
              <w:pStyle w:val="14"/>
              <w:bidi w:val="0"/>
              <w:rPr>
                <w:color w:val="auto"/>
                <w:highlight w:val="none"/>
                <w:lang w:val="zh-CN" w:eastAsia="zh-CN"/>
              </w:rPr>
            </w:pPr>
            <w:r>
              <w:rPr>
                <w:color w:val="auto"/>
                <w:highlight w:val="none"/>
                <w:lang w:val="zh-CN" w:eastAsia="zh-CN"/>
              </w:rPr>
              <w:t>所有外露裱糊、软包饰面均采用塑料薄膜进行保护</w:t>
            </w:r>
          </w:p>
        </w:tc>
        <w:tc>
          <w:tcPr>
            <w:tcW w:w="7186" w:type="dxa"/>
            <w:tcBorders>
              <w:top w:val="nil"/>
              <w:left w:val="single" w:color="auto" w:sz="4" w:space="0"/>
              <w:bottom w:val="single" w:color="000000" w:sz="8" w:space="0"/>
              <w:right w:val="single" w:color="000000" w:sz="8" w:space="0"/>
            </w:tcBorders>
            <w:vAlign w:val="center"/>
          </w:tcPr>
          <w:p w14:paraId="4AF54270">
            <w:pPr>
              <w:pStyle w:val="14"/>
              <w:bidi w:val="0"/>
              <w:rPr>
                <w:color w:val="auto"/>
                <w:highlight w:val="none"/>
                <w:lang w:val="zh-CN" w:eastAsia="zh-CN"/>
              </w:rPr>
            </w:pPr>
            <w:r>
              <w:rPr>
                <w:color w:val="auto"/>
                <w:highlight w:val="none"/>
                <w:lang w:val="zh-CN" w:eastAsia="zh-CN"/>
              </w:rPr>
              <w:drawing>
                <wp:inline distT="0" distB="0" distL="114300" distR="114300">
                  <wp:extent cx="2122805" cy="1920875"/>
                  <wp:effectExtent l="0" t="0" r="1270" b="3175"/>
                  <wp:docPr id="1286026480" name="图片 1286026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026480" name="图片 1286026480"/>
                          <pic:cNvPicPr>
                            <a:picLocks noChangeAspect="1"/>
                          </pic:cNvPicPr>
                        </pic:nvPicPr>
                        <pic:blipFill>
                          <a:blip r:embed="rId48"/>
                          <a:stretch>
                            <a:fillRect/>
                          </a:stretch>
                        </pic:blipFill>
                        <pic:spPr>
                          <a:xfrm>
                            <a:off x="0" y="0"/>
                            <a:ext cx="2122805" cy="1920875"/>
                          </a:xfrm>
                          <a:prstGeom prst="rect">
                            <a:avLst/>
                          </a:prstGeom>
                          <a:noFill/>
                          <a:ln>
                            <a:noFill/>
                          </a:ln>
                        </pic:spPr>
                      </pic:pic>
                    </a:graphicData>
                  </a:graphic>
                </wp:inline>
              </w:drawing>
            </w:r>
            <w:r>
              <w:rPr>
                <w:color w:val="auto"/>
                <w:highlight w:val="none"/>
                <w:lang w:val="zh-CN" w:eastAsia="zh-CN"/>
              </w:rPr>
              <w:drawing>
                <wp:inline distT="0" distB="0" distL="114300" distR="114300">
                  <wp:extent cx="2350135" cy="1320165"/>
                  <wp:effectExtent l="0" t="0" r="2540" b="3810"/>
                  <wp:docPr id="390485568" name="图片 390485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485568" name="图片 390485568"/>
                          <pic:cNvPicPr>
                            <a:picLocks noChangeAspect="1"/>
                          </pic:cNvPicPr>
                        </pic:nvPicPr>
                        <pic:blipFill>
                          <a:blip r:embed="rId49"/>
                          <a:stretch>
                            <a:fillRect/>
                          </a:stretch>
                        </pic:blipFill>
                        <pic:spPr>
                          <a:xfrm>
                            <a:off x="0" y="0"/>
                            <a:ext cx="2350135" cy="1320165"/>
                          </a:xfrm>
                          <a:prstGeom prst="rect">
                            <a:avLst/>
                          </a:prstGeom>
                          <a:noFill/>
                          <a:ln>
                            <a:noFill/>
                          </a:ln>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14:paraId="0304E8BE">
            <w:pPr>
              <w:pStyle w:val="14"/>
              <w:bidi w:val="0"/>
              <w:rPr>
                <w:color w:val="auto"/>
                <w:highlight w:val="none"/>
                <w:lang w:val="zh-CN" w:eastAsia="zh-CN"/>
              </w:rPr>
            </w:pPr>
          </w:p>
        </w:tc>
      </w:tr>
      <w:tr w14:paraId="35DF293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14:paraId="17F94F2C">
            <w:pPr>
              <w:pStyle w:val="14"/>
              <w:bidi w:val="0"/>
              <w:rPr>
                <w:color w:val="auto"/>
                <w:highlight w:val="none"/>
                <w:lang w:val="zh-CN" w:eastAsia="zh-CN"/>
              </w:rPr>
            </w:pPr>
            <w:r>
              <w:rPr>
                <w:color w:val="auto"/>
                <w:highlight w:val="none"/>
                <w:lang w:val="zh-CN" w:eastAsia="zh-CN"/>
              </w:rPr>
              <w:t>8</w:t>
            </w:r>
          </w:p>
        </w:tc>
        <w:tc>
          <w:tcPr>
            <w:tcW w:w="1080" w:type="dxa"/>
            <w:vMerge w:val="continue"/>
            <w:tcBorders>
              <w:bottom w:val="nil"/>
            </w:tcBorders>
            <w:vAlign w:val="center"/>
          </w:tcPr>
          <w:p w14:paraId="29A8AC96">
            <w:pPr>
              <w:pStyle w:val="14"/>
              <w:bidi w:val="0"/>
              <w:rPr>
                <w:color w:val="auto"/>
                <w:highlight w:val="none"/>
                <w:lang w:val="zh-CN" w:eastAsia="zh-CN"/>
              </w:rPr>
            </w:pPr>
            <w:r>
              <w:rPr>
                <w:rFonts w:hint="eastAsia"/>
                <w:color w:val="auto"/>
                <w:highlight w:val="none"/>
                <w:lang w:val="zh-CN" w:eastAsia="zh-CN"/>
              </w:rPr>
              <w:t>室内栏杆</w:t>
            </w:r>
          </w:p>
          <w:p w14:paraId="79DC79A5">
            <w:pPr>
              <w:pStyle w:val="14"/>
              <w:bidi w:val="0"/>
              <w:rPr>
                <w:color w:val="auto"/>
                <w:highlight w:val="none"/>
                <w:lang w:val="zh-CN" w:eastAsia="zh-CN"/>
              </w:rPr>
            </w:pPr>
            <w:r>
              <w:rPr>
                <w:rFonts w:hint="eastAsia"/>
                <w:color w:val="auto"/>
                <w:highlight w:val="none"/>
                <w:lang w:val="zh-CN" w:eastAsia="zh-CN"/>
              </w:rPr>
              <w:t>、 扶手</w:t>
            </w:r>
          </w:p>
        </w:tc>
        <w:tc>
          <w:tcPr>
            <w:tcW w:w="812" w:type="dxa"/>
            <w:tcBorders>
              <w:top w:val="single" w:color="000000" w:sz="8" w:space="0"/>
              <w:left w:val="single" w:color="000000" w:sz="8" w:space="0"/>
              <w:bottom w:val="single" w:color="000000" w:sz="8" w:space="0"/>
              <w:right w:val="single" w:color="auto" w:sz="4" w:space="0"/>
            </w:tcBorders>
            <w:vAlign w:val="center"/>
          </w:tcPr>
          <w:p w14:paraId="6853A41A">
            <w:pPr>
              <w:pStyle w:val="14"/>
              <w:bidi w:val="0"/>
              <w:rPr>
                <w:color w:val="auto"/>
                <w:highlight w:val="none"/>
                <w:lang w:val="zh-CN" w:eastAsia="zh-CN"/>
              </w:rPr>
            </w:pPr>
            <w:r>
              <w:rPr>
                <w:color w:val="auto"/>
                <w:highlight w:val="none"/>
                <w:lang w:val="zh-CN" w:eastAsia="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14:paraId="189F83D9">
            <w:pPr>
              <w:pStyle w:val="14"/>
              <w:bidi w:val="0"/>
              <w:rPr>
                <w:color w:val="auto"/>
                <w:highlight w:val="none"/>
                <w:lang w:val="zh-CN" w:eastAsia="zh-CN"/>
              </w:rPr>
            </w:pPr>
            <w:r>
              <w:rPr>
                <w:color w:val="auto"/>
                <w:highlight w:val="none"/>
                <w:lang w:val="zh-CN" w:eastAsia="zh-CN"/>
              </w:rPr>
              <w:t>转角部位用3㎜厚珍珠棉包裹3 层进行保护</w:t>
            </w:r>
          </w:p>
        </w:tc>
        <w:tc>
          <w:tcPr>
            <w:tcW w:w="7186" w:type="dxa"/>
            <w:tcBorders>
              <w:top w:val="nil"/>
              <w:left w:val="single" w:color="auto" w:sz="4" w:space="0"/>
              <w:bottom w:val="single" w:color="000000" w:sz="8" w:space="0"/>
              <w:right w:val="single" w:color="000000" w:sz="8" w:space="0"/>
            </w:tcBorders>
            <w:vAlign w:val="center"/>
          </w:tcPr>
          <w:p w14:paraId="45F1E44F">
            <w:pPr>
              <w:pStyle w:val="14"/>
              <w:bidi w:val="0"/>
              <w:rPr>
                <w:rFonts w:hint="eastAsia"/>
                <w:color w:val="auto"/>
                <w:highlight w:val="none"/>
                <w:lang w:val="zh-CN" w:eastAsia="zh"/>
              </w:rPr>
            </w:pPr>
            <w:r>
              <w:rPr>
                <w:color w:val="auto"/>
                <w:highlight w:val="none"/>
                <w:lang w:val="zh-CN" w:eastAsia="zh-CN"/>
              </w:rPr>
              <w:drawing>
                <wp:inline distT="0" distB="0" distL="0" distR="0">
                  <wp:extent cx="1695450" cy="1535430"/>
                  <wp:effectExtent l="0" t="0" r="0" b="7620"/>
                  <wp:docPr id="117"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62.jpeg"/>
                          <pic:cNvPicPr>
                            <a:picLocks noChangeAspect="1"/>
                          </pic:cNvPicPr>
                        </pic:nvPicPr>
                        <pic:blipFill>
                          <a:blip r:embed="rId50" cstate="print"/>
                          <a:stretch>
                            <a:fillRect/>
                          </a:stretch>
                        </pic:blipFill>
                        <pic:spPr>
                          <a:xfrm>
                            <a:off x="0" y="0"/>
                            <a:ext cx="1695450" cy="1535430"/>
                          </a:xfrm>
                          <a:prstGeom prst="rect">
                            <a:avLst/>
                          </a:prstGeom>
                        </pic:spPr>
                      </pic:pic>
                    </a:graphicData>
                  </a:graphic>
                </wp:inline>
              </w:drawing>
            </w:r>
            <w:r>
              <w:rPr>
                <w:rFonts w:hint="eastAsia"/>
                <w:color w:val="auto"/>
                <w:highlight w:val="none"/>
                <w:lang w:val="zh-CN" w:eastAsia="zh"/>
              </w:rPr>
              <w:t xml:space="preserve">  </w:t>
            </w:r>
            <w:r>
              <w:rPr>
                <w:rFonts w:hint="eastAsia"/>
                <w:color w:val="auto"/>
                <w:highlight w:val="none"/>
                <w:lang w:val="zh-CN" w:eastAsia="zh"/>
              </w:rPr>
              <w:drawing>
                <wp:inline distT="0" distB="0" distL="114300" distR="114300">
                  <wp:extent cx="1925320" cy="1539240"/>
                  <wp:effectExtent l="0" t="0" r="8255" b="381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pic:cNvPicPr>
                            <a:picLocks noChangeAspect="1"/>
                          </pic:cNvPicPr>
                        </pic:nvPicPr>
                        <pic:blipFill>
                          <a:blip r:embed="rId51"/>
                          <a:stretch>
                            <a:fillRect/>
                          </a:stretch>
                        </pic:blipFill>
                        <pic:spPr>
                          <a:xfrm>
                            <a:off x="0" y="0"/>
                            <a:ext cx="1925320" cy="1539240"/>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14:paraId="6D86692C">
            <w:pPr>
              <w:pStyle w:val="14"/>
              <w:bidi w:val="0"/>
              <w:rPr>
                <w:color w:val="auto"/>
                <w:highlight w:val="none"/>
                <w:lang w:val="zh-CN" w:eastAsia="zh-CN"/>
              </w:rPr>
            </w:pPr>
          </w:p>
        </w:tc>
      </w:tr>
      <w:tr w14:paraId="077D9D6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14:paraId="29006658">
            <w:pPr>
              <w:pStyle w:val="14"/>
              <w:bidi w:val="0"/>
              <w:rPr>
                <w:color w:val="auto"/>
                <w:highlight w:val="none"/>
                <w:lang w:val="zh-CN" w:eastAsia="zh-CN"/>
              </w:rPr>
            </w:pPr>
            <w:r>
              <w:rPr>
                <w:color w:val="auto"/>
                <w:highlight w:val="none"/>
                <w:lang w:val="zh-CN" w:eastAsia="zh-CN"/>
              </w:rPr>
              <w:t>9</w:t>
            </w:r>
          </w:p>
        </w:tc>
        <w:tc>
          <w:tcPr>
            <w:tcW w:w="1080" w:type="dxa"/>
            <w:vMerge w:val="continue"/>
            <w:tcBorders>
              <w:bottom w:val="nil"/>
            </w:tcBorders>
            <w:vAlign w:val="center"/>
          </w:tcPr>
          <w:p w14:paraId="176C72A9">
            <w:pPr>
              <w:pStyle w:val="14"/>
              <w:bidi w:val="0"/>
              <w:rPr>
                <w:color w:val="auto"/>
                <w:highlight w:val="none"/>
                <w:lang w:val="zh-CN" w:eastAsia="zh-CN"/>
              </w:rPr>
            </w:pPr>
            <w:r>
              <w:rPr>
                <w:rFonts w:hint="eastAsia"/>
                <w:color w:val="auto"/>
                <w:highlight w:val="none"/>
                <w:lang w:val="zh-CN" w:eastAsia="zh-CN"/>
              </w:rPr>
              <w:t>浴缸</w:t>
            </w:r>
          </w:p>
        </w:tc>
        <w:tc>
          <w:tcPr>
            <w:tcW w:w="812" w:type="dxa"/>
            <w:tcBorders>
              <w:top w:val="single" w:color="000000" w:sz="8" w:space="0"/>
              <w:left w:val="single" w:color="000000" w:sz="8" w:space="0"/>
              <w:bottom w:val="single" w:color="000000" w:sz="8" w:space="0"/>
              <w:right w:val="single" w:color="auto" w:sz="4" w:space="0"/>
            </w:tcBorders>
            <w:vAlign w:val="center"/>
          </w:tcPr>
          <w:p w14:paraId="074DCBF7">
            <w:pPr>
              <w:pStyle w:val="14"/>
              <w:bidi w:val="0"/>
              <w:rPr>
                <w:color w:val="auto"/>
                <w:highlight w:val="none"/>
                <w:lang w:val="zh-CN" w:eastAsia="zh-CN"/>
              </w:rPr>
            </w:pPr>
            <w:r>
              <w:rPr>
                <w:color w:val="auto"/>
                <w:highlight w:val="none"/>
                <w:lang w:val="zh-CN" w:eastAsia="zh-CN"/>
              </w:rPr>
              <w:t>工厂包装</w:t>
            </w:r>
          </w:p>
        </w:tc>
        <w:tc>
          <w:tcPr>
            <w:tcW w:w="2072" w:type="dxa"/>
            <w:tcBorders>
              <w:top w:val="single" w:color="auto" w:sz="4" w:space="0"/>
              <w:left w:val="single" w:color="auto" w:sz="4" w:space="0"/>
              <w:bottom w:val="single" w:color="auto" w:sz="4" w:space="0"/>
              <w:right w:val="single" w:color="auto" w:sz="4" w:space="0"/>
            </w:tcBorders>
            <w:vAlign w:val="center"/>
          </w:tcPr>
          <w:p w14:paraId="19ABFF5E">
            <w:pPr>
              <w:pStyle w:val="14"/>
              <w:bidi w:val="0"/>
              <w:rPr>
                <w:color w:val="auto"/>
                <w:highlight w:val="none"/>
                <w:lang w:val="zh-CN" w:eastAsia="zh-CN"/>
              </w:rPr>
            </w:pPr>
            <w:r>
              <w:rPr>
                <w:color w:val="auto"/>
                <w:highlight w:val="none"/>
                <w:lang w:val="zh-CN" w:eastAsia="zh-CN"/>
              </w:rPr>
              <w:t>厚度不低于12mm 夹板条、边角使用3㎜厚珍珠棉包裹保护</w:t>
            </w:r>
          </w:p>
        </w:tc>
        <w:tc>
          <w:tcPr>
            <w:tcW w:w="7186" w:type="dxa"/>
            <w:tcBorders>
              <w:top w:val="nil"/>
              <w:left w:val="single" w:color="auto" w:sz="4" w:space="0"/>
              <w:bottom w:val="single" w:color="000000" w:sz="8" w:space="0"/>
              <w:right w:val="single" w:color="000000" w:sz="8" w:space="0"/>
            </w:tcBorders>
            <w:vAlign w:val="center"/>
          </w:tcPr>
          <w:p w14:paraId="71E8E05D">
            <w:pPr>
              <w:pStyle w:val="14"/>
              <w:bidi w:val="0"/>
              <w:rPr>
                <w:color w:val="auto"/>
                <w:highlight w:val="none"/>
                <w:lang w:val="zh-CN" w:eastAsia="zh-CN"/>
              </w:rPr>
            </w:pPr>
            <w:r>
              <w:rPr>
                <w:color w:val="auto"/>
                <w:highlight w:val="none"/>
                <w:lang w:val="zh-CN" w:eastAsia="zh-CN"/>
              </w:rPr>
              <w:drawing>
                <wp:inline distT="0" distB="0" distL="0" distR="0">
                  <wp:extent cx="2108835" cy="1410335"/>
                  <wp:effectExtent l="0" t="0" r="5715" b="8890"/>
                  <wp:docPr id="119" name="image63.jpeg"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63.jpeg" descr="01.jpg"/>
                          <pic:cNvPicPr>
                            <a:picLocks noChangeAspect="1"/>
                          </pic:cNvPicPr>
                        </pic:nvPicPr>
                        <pic:blipFill>
                          <a:blip r:embed="rId52" cstate="print"/>
                          <a:stretch>
                            <a:fillRect/>
                          </a:stretch>
                        </pic:blipFill>
                        <pic:spPr>
                          <a:xfrm>
                            <a:off x="0" y="0"/>
                            <a:ext cx="2109167" cy="1410843"/>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14:paraId="3DB2AABC">
            <w:pPr>
              <w:pStyle w:val="14"/>
              <w:bidi w:val="0"/>
              <w:rPr>
                <w:color w:val="auto"/>
                <w:highlight w:val="none"/>
                <w:lang w:val="zh-CN" w:eastAsia="zh-CN"/>
              </w:rPr>
            </w:pPr>
          </w:p>
        </w:tc>
      </w:tr>
      <w:tr w14:paraId="13BAA3A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14:paraId="75C81356">
            <w:pPr>
              <w:pStyle w:val="14"/>
              <w:bidi w:val="0"/>
              <w:rPr>
                <w:color w:val="auto"/>
                <w:highlight w:val="none"/>
                <w:lang w:val="zh-CN" w:eastAsia="zh-CN"/>
              </w:rPr>
            </w:pPr>
          </w:p>
        </w:tc>
        <w:tc>
          <w:tcPr>
            <w:tcW w:w="1080" w:type="dxa"/>
            <w:vMerge w:val="continue"/>
            <w:tcBorders>
              <w:bottom w:val="nil"/>
            </w:tcBorders>
            <w:vAlign w:val="center"/>
          </w:tcPr>
          <w:p w14:paraId="00A8D415">
            <w:pPr>
              <w:pStyle w:val="14"/>
              <w:bidi w:val="0"/>
              <w:rPr>
                <w:color w:val="auto"/>
                <w:highlight w:val="none"/>
                <w:lang w:val="zh-CN" w:eastAsia="zh-CN"/>
              </w:rPr>
            </w:pPr>
          </w:p>
        </w:tc>
        <w:tc>
          <w:tcPr>
            <w:tcW w:w="812" w:type="dxa"/>
            <w:tcBorders>
              <w:top w:val="single" w:color="000000" w:sz="8" w:space="0"/>
              <w:left w:val="single" w:color="000000" w:sz="8" w:space="0"/>
              <w:bottom w:val="single" w:color="000000" w:sz="8" w:space="0"/>
              <w:right w:val="single" w:color="auto" w:sz="4" w:space="0"/>
            </w:tcBorders>
            <w:vAlign w:val="center"/>
          </w:tcPr>
          <w:p w14:paraId="50A41924">
            <w:pPr>
              <w:pStyle w:val="14"/>
              <w:bidi w:val="0"/>
              <w:rPr>
                <w:color w:val="auto"/>
                <w:highlight w:val="none"/>
                <w:lang w:val="zh-CN" w:eastAsia="zh-CN"/>
              </w:rPr>
            </w:pPr>
            <w:r>
              <w:rPr>
                <w:color w:val="auto"/>
                <w:highlight w:val="none"/>
                <w:lang w:val="zh-CN" w:eastAsia="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14:paraId="59F00E10">
            <w:pPr>
              <w:pStyle w:val="14"/>
              <w:bidi w:val="0"/>
              <w:rPr>
                <w:color w:val="auto"/>
                <w:highlight w:val="none"/>
                <w:lang w:val="zh-CN" w:eastAsia="zh-CN"/>
              </w:rPr>
            </w:pPr>
            <w:r>
              <w:rPr>
                <w:color w:val="auto"/>
                <w:highlight w:val="none"/>
                <w:lang w:val="zh-CN" w:eastAsia="zh-CN"/>
              </w:rPr>
              <w:t>不低于12mm夹板覆盖保护</w:t>
            </w:r>
          </w:p>
        </w:tc>
        <w:tc>
          <w:tcPr>
            <w:tcW w:w="7186" w:type="dxa"/>
            <w:tcBorders>
              <w:top w:val="nil"/>
              <w:left w:val="single" w:color="auto" w:sz="4" w:space="0"/>
              <w:bottom w:val="single" w:color="000000" w:sz="8" w:space="0"/>
              <w:right w:val="single" w:color="000000" w:sz="8" w:space="0"/>
            </w:tcBorders>
            <w:vAlign w:val="center"/>
          </w:tcPr>
          <w:p w14:paraId="098BF29A">
            <w:pPr>
              <w:pStyle w:val="14"/>
              <w:bidi w:val="0"/>
              <w:rPr>
                <w:color w:val="auto"/>
                <w:highlight w:val="none"/>
                <w:lang w:val="zh-CN" w:eastAsia="zh-CN"/>
              </w:rPr>
            </w:pPr>
          </w:p>
          <w:p w14:paraId="22DFFAAD">
            <w:pPr>
              <w:pStyle w:val="14"/>
              <w:bidi w:val="0"/>
              <w:rPr>
                <w:color w:val="auto"/>
                <w:highlight w:val="none"/>
                <w:lang w:val="zh-CN" w:eastAsia="zh-CN"/>
              </w:rPr>
            </w:pPr>
            <w:r>
              <w:rPr>
                <w:color w:val="auto"/>
                <w:highlight w:val="none"/>
                <w:lang w:val="zh-CN" w:eastAsia="zh-CN"/>
              </w:rPr>
              <w:drawing>
                <wp:inline distT="0" distB="0" distL="0" distR="0">
                  <wp:extent cx="2106930" cy="1533525"/>
                  <wp:effectExtent l="0" t="0" r="7620" b="0"/>
                  <wp:docPr id="54" name="image64.jpeg" descr="9F8TQ$}`I[$N(}[%EUU1VV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64.jpeg" descr="9F8TQ$}`I[$N(}[%EUU1VVV"/>
                          <pic:cNvPicPr>
                            <a:picLocks noChangeAspect="1"/>
                          </pic:cNvPicPr>
                        </pic:nvPicPr>
                        <pic:blipFill>
                          <a:blip r:embed="rId53" cstate="print"/>
                          <a:stretch>
                            <a:fillRect/>
                          </a:stretch>
                        </pic:blipFill>
                        <pic:spPr>
                          <a:xfrm>
                            <a:off x="0" y="0"/>
                            <a:ext cx="2107191" cy="1533905"/>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14:paraId="242CF9F1">
            <w:pPr>
              <w:pStyle w:val="14"/>
              <w:bidi w:val="0"/>
              <w:rPr>
                <w:color w:val="auto"/>
                <w:highlight w:val="none"/>
                <w:lang w:val="zh-CN" w:eastAsia="zh-CN"/>
              </w:rPr>
            </w:pPr>
          </w:p>
        </w:tc>
      </w:tr>
      <w:tr w14:paraId="0C0657A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14:paraId="6311FAE1">
            <w:pPr>
              <w:pStyle w:val="14"/>
              <w:bidi w:val="0"/>
              <w:rPr>
                <w:color w:val="auto"/>
                <w:highlight w:val="none"/>
                <w:lang w:val="zh-CN" w:eastAsia="zh-CN"/>
              </w:rPr>
            </w:pPr>
            <w:r>
              <w:rPr>
                <w:color w:val="auto"/>
                <w:highlight w:val="none"/>
                <w:lang w:val="zh-CN" w:eastAsia="zh-CN"/>
              </w:rPr>
              <w:t>10</w:t>
            </w:r>
          </w:p>
        </w:tc>
        <w:tc>
          <w:tcPr>
            <w:tcW w:w="1080" w:type="dxa"/>
            <w:vMerge w:val="continue"/>
            <w:tcBorders>
              <w:bottom w:val="nil"/>
            </w:tcBorders>
            <w:vAlign w:val="center"/>
          </w:tcPr>
          <w:p w14:paraId="172E6F46">
            <w:pPr>
              <w:pStyle w:val="14"/>
              <w:bidi w:val="0"/>
              <w:rPr>
                <w:color w:val="auto"/>
                <w:highlight w:val="none"/>
                <w:lang w:val="zh-CN" w:eastAsia="zh-CN"/>
              </w:rPr>
            </w:pPr>
            <w:r>
              <w:rPr>
                <w:rFonts w:hint="eastAsia"/>
                <w:color w:val="auto"/>
                <w:highlight w:val="none"/>
                <w:lang w:val="zh-CN" w:eastAsia="zh-CN"/>
              </w:rPr>
              <w:t>马桶</w:t>
            </w:r>
          </w:p>
        </w:tc>
        <w:tc>
          <w:tcPr>
            <w:tcW w:w="812" w:type="dxa"/>
            <w:tcBorders>
              <w:top w:val="single" w:color="000000" w:sz="8" w:space="0"/>
              <w:left w:val="single" w:color="000000" w:sz="8" w:space="0"/>
              <w:bottom w:val="single" w:color="000000" w:sz="8" w:space="0"/>
              <w:right w:val="single" w:color="auto" w:sz="4" w:space="0"/>
            </w:tcBorders>
            <w:vAlign w:val="center"/>
          </w:tcPr>
          <w:p w14:paraId="2DB14C82">
            <w:pPr>
              <w:pStyle w:val="14"/>
              <w:bidi w:val="0"/>
              <w:rPr>
                <w:color w:val="auto"/>
                <w:highlight w:val="none"/>
                <w:lang w:val="zh-CN" w:eastAsia="zh-CN"/>
              </w:rPr>
            </w:pPr>
            <w:r>
              <w:rPr>
                <w:color w:val="auto"/>
                <w:highlight w:val="none"/>
                <w:lang w:val="zh-CN" w:eastAsia="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14:paraId="3A2C5F28">
            <w:pPr>
              <w:pStyle w:val="14"/>
              <w:bidi w:val="0"/>
              <w:rPr>
                <w:color w:val="auto"/>
                <w:highlight w:val="none"/>
                <w:lang w:val="zh-CN" w:eastAsia="zh-CN"/>
              </w:rPr>
            </w:pPr>
            <w:r>
              <w:rPr>
                <w:color w:val="auto"/>
                <w:highlight w:val="none"/>
                <w:lang w:val="zh-CN" w:eastAsia="zh-CN"/>
              </w:rPr>
              <w:t>原包装袋及箱包裹保护</w:t>
            </w:r>
          </w:p>
        </w:tc>
        <w:tc>
          <w:tcPr>
            <w:tcW w:w="7186" w:type="dxa"/>
            <w:tcBorders>
              <w:top w:val="nil"/>
              <w:left w:val="single" w:color="auto" w:sz="4" w:space="0"/>
              <w:bottom w:val="single" w:color="000000" w:sz="8" w:space="0"/>
              <w:right w:val="single" w:color="000000" w:sz="8" w:space="0"/>
            </w:tcBorders>
            <w:vAlign w:val="center"/>
          </w:tcPr>
          <w:p w14:paraId="45C4EF08">
            <w:pPr>
              <w:pStyle w:val="14"/>
              <w:bidi w:val="0"/>
              <w:rPr>
                <w:color w:val="auto"/>
                <w:highlight w:val="none"/>
                <w:lang w:val="zh-CN" w:eastAsia="zh-CN"/>
              </w:rPr>
            </w:pPr>
            <w:r>
              <w:rPr>
                <w:color w:val="auto"/>
                <w:highlight w:val="none"/>
                <w:lang w:val="zh-CN" w:eastAsia="zh-CN"/>
              </w:rPr>
              <w:drawing>
                <wp:inline distT="0" distB="0" distL="0" distR="0">
                  <wp:extent cx="2119630" cy="1564005"/>
                  <wp:effectExtent l="0" t="0" r="4445" b="7620"/>
                  <wp:docPr id="60"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65.jpeg"/>
                          <pic:cNvPicPr>
                            <a:picLocks noChangeAspect="1"/>
                          </pic:cNvPicPr>
                        </pic:nvPicPr>
                        <pic:blipFill>
                          <a:blip r:embed="rId54" cstate="print"/>
                          <a:stretch>
                            <a:fillRect/>
                          </a:stretch>
                        </pic:blipFill>
                        <pic:spPr>
                          <a:xfrm>
                            <a:off x="0" y="0"/>
                            <a:ext cx="2119790" cy="1564481"/>
                          </a:xfrm>
                          <a:prstGeom prst="rect">
                            <a:avLst/>
                          </a:prstGeom>
                        </pic:spPr>
                      </pic:pic>
                    </a:graphicData>
                  </a:graphic>
                </wp:inline>
              </w:drawing>
            </w:r>
            <w:r>
              <w:rPr>
                <w:color w:val="auto"/>
                <w:highlight w:val="none"/>
                <w:lang w:val="zh-CN" w:eastAsia="zh-CN"/>
              </w:rPr>
              <w:t xml:space="preserve"> </w:t>
            </w:r>
            <w:r>
              <w:rPr>
                <w:color w:val="auto"/>
                <w:highlight w:val="none"/>
                <w:lang w:val="zh-CN" w:eastAsia="zh-CN"/>
              </w:rPr>
              <w:drawing>
                <wp:inline distT="0" distB="0" distL="0" distR="0">
                  <wp:extent cx="2348865" cy="1569720"/>
                  <wp:effectExtent l="0" t="0" r="3810" b="1905"/>
                  <wp:docPr id="62"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66.jpeg"/>
                          <pic:cNvPicPr>
                            <a:picLocks noChangeAspect="1"/>
                          </pic:cNvPicPr>
                        </pic:nvPicPr>
                        <pic:blipFill>
                          <a:blip r:embed="rId55" cstate="print"/>
                          <a:stretch>
                            <a:fillRect/>
                          </a:stretch>
                        </pic:blipFill>
                        <pic:spPr>
                          <a:xfrm>
                            <a:off x="0" y="0"/>
                            <a:ext cx="2348922" cy="1569910"/>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14:paraId="3A626EC7">
            <w:pPr>
              <w:pStyle w:val="14"/>
              <w:bidi w:val="0"/>
              <w:rPr>
                <w:color w:val="auto"/>
                <w:highlight w:val="none"/>
                <w:lang w:val="zh-CN" w:eastAsia="zh-CN"/>
              </w:rPr>
            </w:pPr>
          </w:p>
        </w:tc>
      </w:tr>
      <w:tr w14:paraId="2359943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14:paraId="22ADF5D5">
            <w:pPr>
              <w:pStyle w:val="14"/>
              <w:bidi w:val="0"/>
              <w:rPr>
                <w:color w:val="auto"/>
                <w:highlight w:val="none"/>
                <w:lang w:val="zh-CN" w:eastAsia="zh-CN"/>
              </w:rPr>
            </w:pPr>
            <w:r>
              <w:rPr>
                <w:color w:val="auto"/>
                <w:highlight w:val="none"/>
                <w:lang w:val="zh-CN" w:eastAsia="zh-CN"/>
              </w:rPr>
              <w:t>11</w:t>
            </w:r>
          </w:p>
        </w:tc>
        <w:tc>
          <w:tcPr>
            <w:tcW w:w="1080" w:type="dxa"/>
            <w:vMerge w:val="continue"/>
            <w:tcBorders>
              <w:bottom w:val="nil"/>
            </w:tcBorders>
            <w:vAlign w:val="center"/>
          </w:tcPr>
          <w:p w14:paraId="171B5334">
            <w:pPr>
              <w:pStyle w:val="14"/>
              <w:bidi w:val="0"/>
              <w:rPr>
                <w:color w:val="auto"/>
                <w:highlight w:val="none"/>
                <w:lang w:val="zh-CN" w:eastAsia="zh-CN"/>
              </w:rPr>
            </w:pPr>
            <w:r>
              <w:rPr>
                <w:rFonts w:hint="eastAsia"/>
                <w:color w:val="auto"/>
                <w:highlight w:val="none"/>
                <w:lang w:val="zh-CN" w:eastAsia="zh-CN"/>
              </w:rPr>
              <w:t>台面盆</w:t>
            </w:r>
          </w:p>
        </w:tc>
        <w:tc>
          <w:tcPr>
            <w:tcW w:w="812" w:type="dxa"/>
            <w:tcBorders>
              <w:top w:val="single" w:color="000000" w:sz="8" w:space="0"/>
              <w:left w:val="single" w:color="000000" w:sz="8" w:space="0"/>
              <w:bottom w:val="single" w:color="000000" w:sz="8" w:space="0"/>
              <w:right w:val="single" w:color="auto" w:sz="4" w:space="0"/>
            </w:tcBorders>
            <w:vAlign w:val="center"/>
          </w:tcPr>
          <w:p w14:paraId="4C053E6D">
            <w:pPr>
              <w:pStyle w:val="14"/>
              <w:bidi w:val="0"/>
              <w:rPr>
                <w:color w:val="auto"/>
                <w:highlight w:val="none"/>
                <w:lang w:val="zh-CN" w:eastAsia="zh-CN"/>
              </w:rPr>
            </w:pPr>
            <w:r>
              <w:rPr>
                <w:color w:val="auto"/>
                <w:highlight w:val="none"/>
                <w:lang w:val="zh-CN" w:eastAsia="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14:paraId="393579BB">
            <w:pPr>
              <w:pStyle w:val="14"/>
              <w:bidi w:val="0"/>
              <w:rPr>
                <w:color w:val="auto"/>
                <w:highlight w:val="none"/>
                <w:lang w:val="zh-CN" w:eastAsia="zh-CN"/>
              </w:rPr>
            </w:pPr>
            <w:r>
              <w:rPr>
                <w:color w:val="auto"/>
                <w:highlight w:val="none"/>
                <w:lang w:val="zh-CN" w:eastAsia="zh-CN"/>
              </w:rPr>
              <w:t>原包装袋包裹保护</w:t>
            </w:r>
          </w:p>
        </w:tc>
        <w:tc>
          <w:tcPr>
            <w:tcW w:w="7186" w:type="dxa"/>
            <w:tcBorders>
              <w:top w:val="nil"/>
              <w:left w:val="single" w:color="auto" w:sz="4" w:space="0"/>
              <w:bottom w:val="single" w:color="000000" w:sz="8" w:space="0"/>
              <w:right w:val="single" w:color="000000" w:sz="8" w:space="0"/>
            </w:tcBorders>
            <w:vAlign w:val="center"/>
          </w:tcPr>
          <w:p w14:paraId="2BA7066B">
            <w:pPr>
              <w:pStyle w:val="14"/>
              <w:bidi w:val="0"/>
              <w:rPr>
                <w:color w:val="auto"/>
                <w:highlight w:val="none"/>
                <w:lang w:val="zh-CN" w:eastAsia="zh-CN"/>
              </w:rPr>
            </w:pPr>
            <w:r>
              <w:rPr>
                <w:color w:val="auto"/>
                <w:highlight w:val="none"/>
                <w:lang w:val="zh-CN" w:eastAsia="zh-CN"/>
              </w:rPr>
              <w:drawing>
                <wp:inline distT="0" distB="0" distL="114300" distR="114300">
                  <wp:extent cx="1623060" cy="1904365"/>
                  <wp:effectExtent l="0" t="0" r="5715" b="635"/>
                  <wp:docPr id="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0"/>
                          <pic:cNvPicPr>
                            <a:picLocks noChangeAspect="1"/>
                          </pic:cNvPicPr>
                        </pic:nvPicPr>
                        <pic:blipFill>
                          <a:blip r:embed="rId56"/>
                          <a:stretch>
                            <a:fillRect/>
                          </a:stretch>
                        </pic:blipFill>
                        <pic:spPr>
                          <a:xfrm>
                            <a:off x="0" y="0"/>
                            <a:ext cx="1623060" cy="1904365"/>
                          </a:xfrm>
                          <a:prstGeom prst="rect">
                            <a:avLst/>
                          </a:prstGeom>
                          <a:noFill/>
                          <a:ln>
                            <a:noFill/>
                          </a:ln>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14:paraId="5DEBECF5">
            <w:pPr>
              <w:pStyle w:val="14"/>
              <w:bidi w:val="0"/>
              <w:rPr>
                <w:color w:val="auto"/>
                <w:highlight w:val="none"/>
                <w:lang w:val="zh-CN" w:eastAsia="zh-CN"/>
              </w:rPr>
            </w:pPr>
          </w:p>
        </w:tc>
      </w:tr>
      <w:tr w14:paraId="127F49A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14:paraId="523E5BCD">
            <w:pPr>
              <w:pStyle w:val="14"/>
              <w:bidi w:val="0"/>
              <w:rPr>
                <w:color w:val="auto"/>
                <w:highlight w:val="none"/>
                <w:lang w:val="zh-CN" w:eastAsia="zh-CN"/>
              </w:rPr>
            </w:pPr>
            <w:r>
              <w:rPr>
                <w:color w:val="auto"/>
                <w:highlight w:val="none"/>
                <w:lang w:val="zh-CN" w:eastAsia="zh-CN"/>
              </w:rPr>
              <w:t>12</w:t>
            </w:r>
          </w:p>
        </w:tc>
        <w:tc>
          <w:tcPr>
            <w:tcW w:w="1080" w:type="dxa"/>
            <w:vMerge w:val="continue"/>
            <w:tcBorders>
              <w:bottom w:val="nil"/>
            </w:tcBorders>
            <w:vAlign w:val="center"/>
          </w:tcPr>
          <w:p w14:paraId="330D055C">
            <w:pPr>
              <w:pStyle w:val="14"/>
              <w:bidi w:val="0"/>
              <w:rPr>
                <w:color w:val="auto"/>
                <w:highlight w:val="none"/>
                <w:lang w:val="zh-CN" w:eastAsia="zh-CN"/>
              </w:rPr>
            </w:pPr>
            <w:r>
              <w:rPr>
                <w:rFonts w:hint="eastAsia"/>
                <w:color w:val="auto"/>
                <w:highlight w:val="none"/>
                <w:lang w:val="zh-CN" w:eastAsia="zh-CN"/>
              </w:rPr>
              <w:t>五金件</w:t>
            </w:r>
          </w:p>
        </w:tc>
        <w:tc>
          <w:tcPr>
            <w:tcW w:w="812" w:type="dxa"/>
            <w:tcBorders>
              <w:top w:val="single" w:color="000000" w:sz="8" w:space="0"/>
              <w:left w:val="single" w:color="000000" w:sz="8" w:space="0"/>
              <w:bottom w:val="single" w:color="000000" w:sz="8" w:space="0"/>
              <w:right w:val="single" w:color="auto" w:sz="4" w:space="0"/>
            </w:tcBorders>
            <w:vAlign w:val="center"/>
          </w:tcPr>
          <w:p w14:paraId="377B0AA0">
            <w:pPr>
              <w:pStyle w:val="14"/>
              <w:bidi w:val="0"/>
              <w:rPr>
                <w:color w:val="auto"/>
                <w:highlight w:val="none"/>
                <w:lang w:val="zh-CN" w:eastAsia="zh-CN"/>
              </w:rPr>
            </w:pPr>
            <w:r>
              <w:rPr>
                <w:color w:val="auto"/>
                <w:highlight w:val="none"/>
                <w:lang w:val="zh-CN" w:eastAsia="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14:paraId="43F3EADF">
            <w:pPr>
              <w:pStyle w:val="14"/>
              <w:bidi w:val="0"/>
              <w:rPr>
                <w:color w:val="auto"/>
                <w:highlight w:val="none"/>
                <w:lang w:val="zh-CN" w:eastAsia="zh-CN"/>
              </w:rPr>
            </w:pPr>
            <w:r>
              <w:rPr>
                <w:color w:val="auto"/>
                <w:highlight w:val="none"/>
                <w:lang w:val="zh-CN" w:eastAsia="zh-CN"/>
              </w:rPr>
              <w:t>原包装袋包裹保护</w:t>
            </w:r>
          </w:p>
        </w:tc>
        <w:tc>
          <w:tcPr>
            <w:tcW w:w="7186" w:type="dxa"/>
            <w:tcBorders>
              <w:top w:val="nil"/>
              <w:left w:val="single" w:color="auto" w:sz="4" w:space="0"/>
              <w:bottom w:val="single" w:color="000000" w:sz="8" w:space="0"/>
              <w:right w:val="single" w:color="000000" w:sz="8" w:space="0"/>
            </w:tcBorders>
            <w:vAlign w:val="center"/>
          </w:tcPr>
          <w:p w14:paraId="048D8799">
            <w:pPr>
              <w:pStyle w:val="14"/>
              <w:bidi w:val="0"/>
              <w:rPr>
                <w:color w:val="auto"/>
                <w:highlight w:val="none"/>
                <w:lang w:val="zh-CN" w:eastAsia="zh-CN"/>
              </w:rPr>
            </w:pPr>
            <w:r>
              <w:rPr>
                <w:color w:val="auto"/>
                <w:highlight w:val="none"/>
                <w:lang w:val="zh-CN" w:eastAsia="zh-CN"/>
              </w:rPr>
              <w:drawing>
                <wp:inline distT="0" distB="0" distL="0" distR="0">
                  <wp:extent cx="1457960" cy="1927225"/>
                  <wp:effectExtent l="0" t="0" r="8890" b="6350"/>
                  <wp:docPr id="813161291" name="图片 81316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161291" name="图片 813161291"/>
                          <pic:cNvPicPr>
                            <a:picLocks noChangeAspect="1"/>
                          </pic:cNvPicPr>
                        </pic:nvPicPr>
                        <pic:blipFill>
                          <a:blip r:embed="rId57" cstate="print"/>
                          <a:stretch>
                            <a:fillRect/>
                          </a:stretch>
                        </pic:blipFill>
                        <pic:spPr>
                          <a:xfrm>
                            <a:off x="0" y="0"/>
                            <a:ext cx="1458513" cy="1927288"/>
                          </a:xfrm>
                          <a:prstGeom prst="rect">
                            <a:avLst/>
                          </a:prstGeom>
                        </pic:spPr>
                      </pic:pic>
                    </a:graphicData>
                  </a:graphic>
                </wp:inline>
              </w:drawing>
            </w:r>
            <w:r>
              <w:rPr>
                <w:color w:val="auto"/>
                <w:highlight w:val="none"/>
                <w:lang w:val="zh-CN" w:eastAsia="zh-CN"/>
              </w:rPr>
              <w:t xml:space="preserve"> </w:t>
            </w:r>
            <w:r>
              <w:rPr>
                <w:color w:val="auto"/>
                <w:highlight w:val="none"/>
                <w:lang w:val="zh-CN" w:eastAsia="zh-CN"/>
              </w:rPr>
              <w:drawing>
                <wp:inline distT="0" distB="0" distL="0" distR="0">
                  <wp:extent cx="1471930" cy="1928495"/>
                  <wp:effectExtent l="0" t="0" r="4445" b="5080"/>
                  <wp:docPr id="1394375075" name="图片 1394375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375075" name="图片 1394375075"/>
                          <pic:cNvPicPr>
                            <a:picLocks noChangeAspect="1"/>
                          </pic:cNvPicPr>
                        </pic:nvPicPr>
                        <pic:blipFill>
                          <a:blip r:embed="rId58" cstate="print"/>
                          <a:stretch>
                            <a:fillRect/>
                          </a:stretch>
                        </pic:blipFill>
                        <pic:spPr>
                          <a:xfrm>
                            <a:off x="0" y="0"/>
                            <a:ext cx="1472287" cy="1928812"/>
                          </a:xfrm>
                          <a:prstGeom prst="rect">
                            <a:avLst/>
                          </a:prstGeom>
                        </pic:spPr>
                      </pic:pic>
                    </a:graphicData>
                  </a:graphic>
                </wp:inline>
              </w:drawing>
            </w:r>
            <w:r>
              <w:rPr>
                <w:color w:val="auto"/>
                <w:highlight w:val="none"/>
                <w:lang w:val="zh-CN" w:eastAsia="zh-CN"/>
              </w:rPr>
              <w:t xml:space="preserve"> </w:t>
            </w:r>
            <w:r>
              <w:rPr>
                <w:color w:val="auto"/>
                <w:highlight w:val="none"/>
                <w:lang w:val="zh-CN" w:eastAsia="zh-CN"/>
              </w:rPr>
              <w:drawing>
                <wp:inline distT="0" distB="0" distL="0" distR="0">
                  <wp:extent cx="1470660" cy="1936750"/>
                  <wp:effectExtent l="0" t="0" r="5715" b="6350"/>
                  <wp:docPr id="149316531" name="图片 149316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16531" name="图片 149316531"/>
                          <pic:cNvPicPr>
                            <a:picLocks noChangeAspect="1"/>
                          </pic:cNvPicPr>
                        </pic:nvPicPr>
                        <pic:blipFill>
                          <a:blip r:embed="rId59" cstate="print"/>
                          <a:stretch>
                            <a:fillRect/>
                          </a:stretch>
                        </pic:blipFill>
                        <pic:spPr>
                          <a:xfrm>
                            <a:off x="0" y="0"/>
                            <a:ext cx="1471164" cy="1936908"/>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14:paraId="1A31D1C2">
            <w:pPr>
              <w:pStyle w:val="14"/>
              <w:bidi w:val="0"/>
              <w:rPr>
                <w:color w:val="auto"/>
                <w:highlight w:val="none"/>
                <w:lang w:val="zh-CN" w:eastAsia="zh-CN"/>
              </w:rPr>
            </w:pPr>
          </w:p>
        </w:tc>
      </w:tr>
      <w:tr w14:paraId="2E03355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14:paraId="0512AE55">
            <w:pPr>
              <w:pStyle w:val="14"/>
              <w:bidi w:val="0"/>
              <w:rPr>
                <w:color w:val="auto"/>
                <w:highlight w:val="none"/>
                <w:lang w:val="zh-CN" w:eastAsia="zh-CN"/>
              </w:rPr>
            </w:pPr>
            <w:r>
              <w:rPr>
                <w:color w:val="auto"/>
                <w:highlight w:val="none"/>
                <w:lang w:val="zh-CN" w:eastAsia="zh-CN"/>
              </w:rPr>
              <w:t>13</w:t>
            </w:r>
          </w:p>
        </w:tc>
        <w:tc>
          <w:tcPr>
            <w:tcW w:w="1080" w:type="dxa"/>
            <w:vMerge w:val="continue"/>
            <w:tcBorders>
              <w:bottom w:val="nil"/>
            </w:tcBorders>
            <w:vAlign w:val="center"/>
          </w:tcPr>
          <w:p w14:paraId="4D353821">
            <w:pPr>
              <w:pStyle w:val="14"/>
              <w:bidi w:val="0"/>
              <w:rPr>
                <w:color w:val="auto"/>
                <w:highlight w:val="none"/>
                <w:lang w:val="zh-CN" w:eastAsia="zh-CN"/>
              </w:rPr>
            </w:pPr>
            <w:r>
              <w:rPr>
                <w:rFonts w:hint="eastAsia"/>
                <w:color w:val="auto"/>
                <w:highlight w:val="none"/>
                <w:lang w:val="zh-CN" w:eastAsia="zh-CN"/>
              </w:rPr>
              <w:t>橱柜</w:t>
            </w:r>
          </w:p>
        </w:tc>
        <w:tc>
          <w:tcPr>
            <w:tcW w:w="812" w:type="dxa"/>
            <w:tcBorders>
              <w:top w:val="single" w:color="000000" w:sz="8" w:space="0"/>
              <w:left w:val="single" w:color="000000" w:sz="8" w:space="0"/>
              <w:bottom w:val="single" w:color="000000" w:sz="8" w:space="0"/>
              <w:right w:val="single" w:color="auto" w:sz="4" w:space="0"/>
            </w:tcBorders>
            <w:vAlign w:val="center"/>
          </w:tcPr>
          <w:p w14:paraId="2D6A86D5">
            <w:pPr>
              <w:pStyle w:val="14"/>
              <w:bidi w:val="0"/>
              <w:rPr>
                <w:color w:val="auto"/>
                <w:highlight w:val="none"/>
                <w:lang w:val="zh-CN" w:eastAsia="zh-CN"/>
              </w:rPr>
            </w:pPr>
            <w:r>
              <w:rPr>
                <w:color w:val="auto"/>
                <w:highlight w:val="none"/>
                <w:lang w:val="zh-CN" w:eastAsia="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14:paraId="1EE1B4F6">
            <w:pPr>
              <w:pStyle w:val="14"/>
              <w:bidi w:val="0"/>
              <w:rPr>
                <w:color w:val="auto"/>
                <w:highlight w:val="none"/>
                <w:lang w:val="zh-CN" w:eastAsia="zh-CN"/>
              </w:rPr>
            </w:pPr>
            <w:r>
              <w:rPr>
                <w:color w:val="auto"/>
                <w:highlight w:val="none"/>
                <w:lang w:val="zh-CN" w:eastAsia="zh-CN"/>
              </w:rPr>
              <w:t>防潮膜满铺保护</w:t>
            </w:r>
          </w:p>
        </w:tc>
        <w:tc>
          <w:tcPr>
            <w:tcW w:w="7186" w:type="dxa"/>
            <w:tcBorders>
              <w:top w:val="nil"/>
              <w:left w:val="single" w:color="auto" w:sz="4" w:space="0"/>
              <w:bottom w:val="single" w:color="000000" w:sz="8" w:space="0"/>
              <w:right w:val="single" w:color="000000" w:sz="8" w:space="0"/>
            </w:tcBorders>
            <w:vAlign w:val="center"/>
          </w:tcPr>
          <w:p w14:paraId="1780440D">
            <w:pPr>
              <w:pStyle w:val="14"/>
              <w:bidi w:val="0"/>
              <w:rPr>
                <w:rFonts w:hint="eastAsia"/>
                <w:color w:val="auto"/>
                <w:highlight w:val="none"/>
                <w:lang w:val="zh-CN" w:eastAsia="zh"/>
              </w:rPr>
            </w:pPr>
            <w:r>
              <w:rPr>
                <w:color w:val="auto"/>
                <w:highlight w:val="none"/>
                <w:lang w:val="zh-CN" w:eastAsia="zh-CN"/>
              </w:rPr>
              <w:drawing>
                <wp:inline distT="0" distB="0" distL="114300" distR="114300">
                  <wp:extent cx="2014855" cy="1748155"/>
                  <wp:effectExtent l="0" t="0" r="4445" b="4445"/>
                  <wp:docPr id="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2"/>
                          <pic:cNvPicPr>
                            <a:picLocks noChangeAspect="1"/>
                          </pic:cNvPicPr>
                        </pic:nvPicPr>
                        <pic:blipFill>
                          <a:blip r:embed="rId60"/>
                          <a:stretch>
                            <a:fillRect/>
                          </a:stretch>
                        </pic:blipFill>
                        <pic:spPr>
                          <a:xfrm>
                            <a:off x="0" y="0"/>
                            <a:ext cx="2014855" cy="1748155"/>
                          </a:xfrm>
                          <a:prstGeom prst="rect">
                            <a:avLst/>
                          </a:prstGeom>
                          <a:noFill/>
                          <a:ln>
                            <a:noFill/>
                          </a:ln>
                        </pic:spPr>
                      </pic:pic>
                    </a:graphicData>
                  </a:graphic>
                </wp:inline>
              </w:drawing>
            </w:r>
            <w:r>
              <w:rPr>
                <w:rFonts w:hint="eastAsia"/>
                <w:color w:val="auto"/>
                <w:highlight w:val="none"/>
                <w:lang w:val="zh-CN" w:eastAsia="zh"/>
              </w:rPr>
              <w:drawing>
                <wp:inline distT="0" distB="0" distL="114300" distR="114300">
                  <wp:extent cx="2285365" cy="1740535"/>
                  <wp:effectExtent l="0" t="0" r="635" b="254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pic:cNvPicPr>
                            <a:picLocks noChangeAspect="1"/>
                          </pic:cNvPicPr>
                        </pic:nvPicPr>
                        <pic:blipFill>
                          <a:blip r:embed="rId61"/>
                          <a:stretch>
                            <a:fillRect/>
                          </a:stretch>
                        </pic:blipFill>
                        <pic:spPr>
                          <a:xfrm>
                            <a:off x="0" y="0"/>
                            <a:ext cx="2285365" cy="1740535"/>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14:paraId="570D22D1">
            <w:pPr>
              <w:pStyle w:val="14"/>
              <w:bidi w:val="0"/>
              <w:rPr>
                <w:color w:val="auto"/>
                <w:highlight w:val="none"/>
                <w:lang w:val="zh-CN" w:eastAsia="zh-CN"/>
              </w:rPr>
            </w:pPr>
          </w:p>
        </w:tc>
      </w:tr>
      <w:tr w14:paraId="3DC55CE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14:paraId="17774F9A">
            <w:pPr>
              <w:pStyle w:val="14"/>
              <w:bidi w:val="0"/>
              <w:rPr>
                <w:color w:val="auto"/>
                <w:highlight w:val="none"/>
                <w:lang w:val="zh-CN" w:eastAsia="zh-CN"/>
              </w:rPr>
            </w:pPr>
            <w:r>
              <w:rPr>
                <w:color w:val="auto"/>
                <w:highlight w:val="none"/>
                <w:lang w:val="zh-CN" w:eastAsia="zh-CN"/>
              </w:rPr>
              <w:t>14</w:t>
            </w:r>
          </w:p>
        </w:tc>
        <w:tc>
          <w:tcPr>
            <w:tcW w:w="1080" w:type="dxa"/>
            <w:vMerge w:val="continue"/>
            <w:tcBorders>
              <w:bottom w:val="nil"/>
            </w:tcBorders>
            <w:vAlign w:val="center"/>
          </w:tcPr>
          <w:p w14:paraId="44721510">
            <w:pPr>
              <w:pStyle w:val="14"/>
              <w:bidi w:val="0"/>
              <w:rPr>
                <w:color w:val="auto"/>
                <w:highlight w:val="none"/>
                <w:lang w:val="zh-CN" w:eastAsia="zh-CN"/>
              </w:rPr>
            </w:pPr>
            <w:r>
              <w:rPr>
                <w:rFonts w:hint="eastAsia"/>
                <w:color w:val="auto"/>
                <w:highlight w:val="none"/>
                <w:lang w:val="zh-CN" w:eastAsia="zh-CN"/>
              </w:rPr>
              <w:t>面板</w:t>
            </w:r>
          </w:p>
          <w:p w14:paraId="4F23D618">
            <w:pPr>
              <w:pStyle w:val="14"/>
              <w:bidi w:val="0"/>
              <w:rPr>
                <w:color w:val="auto"/>
                <w:highlight w:val="none"/>
                <w:lang w:val="zh-CN" w:eastAsia="zh-CN"/>
              </w:rPr>
            </w:pPr>
            <w:r>
              <w:rPr>
                <w:color w:val="auto"/>
                <w:highlight w:val="none"/>
                <w:lang w:val="zh-CN" w:eastAsia="zh-CN"/>
              </w:rPr>
              <w:t>（设备末端）</w:t>
            </w:r>
          </w:p>
        </w:tc>
        <w:tc>
          <w:tcPr>
            <w:tcW w:w="812" w:type="dxa"/>
            <w:tcBorders>
              <w:top w:val="single" w:color="000000" w:sz="8" w:space="0"/>
              <w:left w:val="single" w:color="000000" w:sz="8" w:space="0"/>
              <w:bottom w:val="single" w:color="000000" w:sz="8" w:space="0"/>
              <w:right w:val="single" w:color="auto" w:sz="4" w:space="0"/>
            </w:tcBorders>
            <w:vAlign w:val="center"/>
          </w:tcPr>
          <w:p w14:paraId="52436FE2">
            <w:pPr>
              <w:pStyle w:val="14"/>
              <w:bidi w:val="0"/>
              <w:rPr>
                <w:color w:val="auto"/>
                <w:highlight w:val="none"/>
                <w:lang w:val="zh-CN" w:eastAsia="zh-CN"/>
              </w:rPr>
            </w:pPr>
            <w:r>
              <w:rPr>
                <w:color w:val="auto"/>
                <w:highlight w:val="none"/>
                <w:lang w:val="zh-CN" w:eastAsia="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14:paraId="25A023DD">
            <w:pPr>
              <w:pStyle w:val="14"/>
              <w:bidi w:val="0"/>
              <w:rPr>
                <w:color w:val="auto"/>
                <w:highlight w:val="none"/>
                <w:lang w:val="zh-CN" w:eastAsia="zh-CN"/>
              </w:rPr>
            </w:pPr>
            <w:r>
              <w:rPr>
                <w:color w:val="auto"/>
                <w:highlight w:val="none"/>
                <w:lang w:val="zh-CN" w:eastAsia="zh-CN"/>
              </w:rPr>
              <w:t>美纹纸或防潮纸或专用插座保护盖保护</w:t>
            </w:r>
          </w:p>
        </w:tc>
        <w:tc>
          <w:tcPr>
            <w:tcW w:w="7186" w:type="dxa"/>
            <w:tcBorders>
              <w:top w:val="nil"/>
              <w:left w:val="single" w:color="auto" w:sz="4" w:space="0"/>
              <w:bottom w:val="single" w:color="000000" w:sz="8" w:space="0"/>
              <w:right w:val="single" w:color="000000" w:sz="8" w:space="0"/>
            </w:tcBorders>
            <w:vAlign w:val="center"/>
          </w:tcPr>
          <w:p w14:paraId="51B68FD8">
            <w:pPr>
              <w:pStyle w:val="14"/>
              <w:bidi w:val="0"/>
              <w:rPr>
                <w:color w:val="auto"/>
                <w:highlight w:val="none"/>
                <w:lang w:val="zh-CN" w:eastAsia="zh-CN"/>
              </w:rPr>
            </w:pPr>
          </w:p>
          <w:p w14:paraId="7A1C3CA9">
            <w:pPr>
              <w:pStyle w:val="14"/>
              <w:bidi w:val="0"/>
              <w:rPr>
                <w:color w:val="auto"/>
                <w:highlight w:val="none"/>
                <w:lang w:val="zh-CN" w:eastAsia="zh-CN"/>
              </w:rPr>
            </w:pPr>
            <w:r>
              <w:rPr>
                <w:color w:val="auto"/>
                <w:highlight w:val="none"/>
                <w:lang w:val="zh-CN" w:eastAsia="zh-CN"/>
              </w:rPr>
              <w:drawing>
                <wp:inline distT="0" distB="0" distL="0" distR="0">
                  <wp:extent cx="2093595" cy="1899285"/>
                  <wp:effectExtent l="0" t="0" r="1905" b="5715"/>
                  <wp:docPr id="1737284856" name="图片 1737284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284856" name="图片 1737284856"/>
                          <pic:cNvPicPr>
                            <a:picLocks noChangeAspect="1"/>
                          </pic:cNvPicPr>
                        </pic:nvPicPr>
                        <pic:blipFill>
                          <a:blip r:embed="rId62" cstate="print"/>
                          <a:stretch>
                            <a:fillRect/>
                          </a:stretch>
                        </pic:blipFill>
                        <pic:spPr>
                          <a:xfrm>
                            <a:off x="0" y="0"/>
                            <a:ext cx="2098504" cy="1904084"/>
                          </a:xfrm>
                          <a:prstGeom prst="rect">
                            <a:avLst/>
                          </a:prstGeom>
                        </pic:spPr>
                      </pic:pic>
                    </a:graphicData>
                  </a:graphic>
                </wp:inline>
              </w:drawing>
            </w:r>
            <w:r>
              <w:rPr>
                <w:color w:val="auto"/>
                <w:highlight w:val="none"/>
                <w:lang w:val="zh-CN" w:eastAsia="zh-CN"/>
              </w:rPr>
              <w:t xml:space="preserve"> </w:t>
            </w:r>
            <w:r>
              <w:rPr>
                <w:color w:val="auto"/>
                <w:highlight w:val="none"/>
                <w:lang w:val="zh-CN" w:eastAsia="zh-CN"/>
              </w:rPr>
              <w:drawing>
                <wp:inline distT="0" distB="0" distL="0" distR="0">
                  <wp:extent cx="2332355" cy="1897380"/>
                  <wp:effectExtent l="0" t="0" r="1270" b="7620"/>
                  <wp:docPr id="135" name="image71.jpeg" descr="DSC0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age71.jpeg" descr="DSC01936"/>
                          <pic:cNvPicPr>
                            <a:picLocks noChangeAspect="1"/>
                          </pic:cNvPicPr>
                        </pic:nvPicPr>
                        <pic:blipFill>
                          <a:blip r:embed="rId63" cstate="print"/>
                          <a:stretch>
                            <a:fillRect/>
                          </a:stretch>
                        </pic:blipFill>
                        <pic:spPr>
                          <a:xfrm>
                            <a:off x="0" y="0"/>
                            <a:ext cx="2343865" cy="1906249"/>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14:paraId="11ADF2B0">
            <w:pPr>
              <w:pStyle w:val="14"/>
              <w:bidi w:val="0"/>
              <w:rPr>
                <w:color w:val="auto"/>
                <w:highlight w:val="none"/>
                <w:lang w:val="zh-CN" w:eastAsia="zh-CN"/>
              </w:rPr>
            </w:pPr>
          </w:p>
        </w:tc>
      </w:tr>
      <w:tr w14:paraId="0D953FE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14:paraId="17B7BCB2">
            <w:pPr>
              <w:pStyle w:val="14"/>
              <w:bidi w:val="0"/>
              <w:rPr>
                <w:color w:val="auto"/>
                <w:highlight w:val="none"/>
                <w:lang w:val="zh-CN" w:eastAsia="zh-CN"/>
              </w:rPr>
            </w:pPr>
            <w:r>
              <w:rPr>
                <w:color w:val="auto"/>
                <w:highlight w:val="none"/>
                <w:lang w:val="zh-CN" w:eastAsia="zh-CN"/>
              </w:rPr>
              <w:t>15</w:t>
            </w:r>
          </w:p>
        </w:tc>
        <w:tc>
          <w:tcPr>
            <w:tcW w:w="1080" w:type="dxa"/>
            <w:vMerge w:val="continue"/>
            <w:tcBorders>
              <w:bottom w:val="nil"/>
            </w:tcBorders>
            <w:vAlign w:val="center"/>
          </w:tcPr>
          <w:p w14:paraId="6B7C67EE">
            <w:pPr>
              <w:pStyle w:val="14"/>
              <w:bidi w:val="0"/>
              <w:rPr>
                <w:color w:val="auto"/>
                <w:highlight w:val="none"/>
                <w:lang w:val="zh-CN" w:eastAsia="zh-CN"/>
              </w:rPr>
            </w:pPr>
            <w:r>
              <w:rPr>
                <w:rFonts w:hint="eastAsia"/>
                <w:color w:val="auto"/>
                <w:highlight w:val="none"/>
                <w:lang w:val="zh-CN" w:eastAsia="zh-CN"/>
              </w:rPr>
              <w:t>玻璃、镜子、淋浴屏</w:t>
            </w:r>
          </w:p>
        </w:tc>
        <w:tc>
          <w:tcPr>
            <w:tcW w:w="812" w:type="dxa"/>
            <w:tcBorders>
              <w:top w:val="single" w:color="000000" w:sz="8" w:space="0"/>
              <w:left w:val="single" w:color="000000" w:sz="8" w:space="0"/>
              <w:bottom w:val="single" w:color="000000" w:sz="8" w:space="0"/>
              <w:right w:val="single" w:color="auto" w:sz="4" w:space="0"/>
            </w:tcBorders>
            <w:vAlign w:val="center"/>
          </w:tcPr>
          <w:p w14:paraId="3AF43FBD">
            <w:pPr>
              <w:pStyle w:val="14"/>
              <w:bidi w:val="0"/>
              <w:rPr>
                <w:color w:val="auto"/>
                <w:highlight w:val="none"/>
                <w:lang w:val="zh-CN" w:eastAsia="zh-CN"/>
              </w:rPr>
            </w:pPr>
            <w:r>
              <w:rPr>
                <w:color w:val="auto"/>
                <w:highlight w:val="none"/>
                <w:lang w:val="zh-CN" w:eastAsia="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14:paraId="29D0B9D0">
            <w:pPr>
              <w:pStyle w:val="14"/>
              <w:bidi w:val="0"/>
              <w:rPr>
                <w:color w:val="auto"/>
                <w:highlight w:val="none"/>
                <w:lang w:val="zh-CN" w:eastAsia="zh-CN"/>
              </w:rPr>
            </w:pPr>
            <w:r>
              <w:rPr>
                <w:color w:val="auto"/>
                <w:highlight w:val="none"/>
                <w:lang w:val="zh-CN" w:eastAsia="zh-CN"/>
              </w:rPr>
              <w:t>防潮膜包覆保护</w:t>
            </w:r>
          </w:p>
        </w:tc>
        <w:tc>
          <w:tcPr>
            <w:tcW w:w="7186" w:type="dxa"/>
            <w:tcBorders>
              <w:top w:val="nil"/>
              <w:left w:val="single" w:color="auto" w:sz="4" w:space="0"/>
              <w:bottom w:val="single" w:color="000000" w:sz="8" w:space="0"/>
              <w:right w:val="single" w:color="000000" w:sz="8" w:space="0"/>
            </w:tcBorders>
            <w:vAlign w:val="center"/>
          </w:tcPr>
          <w:p w14:paraId="42DDAD5D">
            <w:pPr>
              <w:pStyle w:val="14"/>
              <w:bidi w:val="0"/>
              <w:rPr>
                <w:color w:val="auto"/>
                <w:highlight w:val="none"/>
                <w:lang w:val="zh-CN" w:eastAsia="zh-CN"/>
              </w:rPr>
            </w:pPr>
            <w:r>
              <w:rPr>
                <w:color w:val="auto"/>
                <w:highlight w:val="none"/>
                <w:lang w:val="zh-CN" w:eastAsia="zh-CN"/>
              </w:rPr>
              <w:drawing>
                <wp:inline distT="0" distB="0" distL="0" distR="0">
                  <wp:extent cx="2112645" cy="1953895"/>
                  <wp:effectExtent l="0" t="0" r="1905" b="8255"/>
                  <wp:docPr id="76"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72.jpeg"/>
                          <pic:cNvPicPr>
                            <a:picLocks noChangeAspect="1"/>
                          </pic:cNvPicPr>
                        </pic:nvPicPr>
                        <pic:blipFill>
                          <a:blip r:embed="rId64" cstate="print"/>
                          <a:stretch>
                            <a:fillRect/>
                          </a:stretch>
                        </pic:blipFill>
                        <pic:spPr>
                          <a:xfrm>
                            <a:off x="0" y="0"/>
                            <a:ext cx="2113001" cy="1954149"/>
                          </a:xfrm>
                          <a:prstGeom prst="rect">
                            <a:avLst/>
                          </a:prstGeom>
                        </pic:spPr>
                      </pic:pic>
                    </a:graphicData>
                  </a:graphic>
                </wp:inline>
              </w:drawing>
            </w:r>
            <w:r>
              <w:rPr>
                <w:color w:val="auto"/>
                <w:highlight w:val="none"/>
                <w:lang w:val="zh-CN" w:eastAsia="zh-CN"/>
              </w:rPr>
              <w:t xml:space="preserve"> </w:t>
            </w:r>
            <w:r>
              <w:rPr>
                <w:color w:val="auto"/>
                <w:highlight w:val="none"/>
                <w:lang w:val="zh-CN" w:eastAsia="zh-CN"/>
              </w:rPr>
              <w:drawing>
                <wp:inline distT="0" distB="0" distL="0" distR="0">
                  <wp:extent cx="2314575" cy="1951990"/>
                  <wp:effectExtent l="0" t="0" r="0" b="635"/>
                  <wp:docPr id="78" name="image73.jpeg" descr="IMG_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73.jpeg" descr="IMG_2074"/>
                          <pic:cNvPicPr>
                            <a:picLocks noChangeAspect="1"/>
                          </pic:cNvPicPr>
                        </pic:nvPicPr>
                        <pic:blipFill>
                          <a:blip r:embed="rId65" cstate="print"/>
                          <a:stretch>
                            <a:fillRect/>
                          </a:stretch>
                        </pic:blipFill>
                        <pic:spPr>
                          <a:xfrm>
                            <a:off x="0" y="0"/>
                            <a:ext cx="2315044" cy="1952244"/>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14:paraId="22463B0F">
            <w:pPr>
              <w:pStyle w:val="14"/>
              <w:bidi w:val="0"/>
              <w:rPr>
                <w:color w:val="auto"/>
                <w:highlight w:val="none"/>
                <w:lang w:val="zh-CN" w:eastAsia="zh-CN"/>
              </w:rPr>
            </w:pPr>
          </w:p>
        </w:tc>
      </w:tr>
    </w:tbl>
    <w:p w14:paraId="3D290B2A">
      <w:pPr>
        <w:widowControl w:val="0"/>
        <w:spacing w:before="120" w:beforeLines="50" w:beforeAutospacing="0" w:after="120" w:afterLines="50" w:afterAutospacing="0"/>
        <w:ind w:left="480" w:leftChars="200"/>
        <w:jc w:val="both"/>
        <w:rPr>
          <w:rFonts w:ascii="宋体" w:hAnsi="宋体" w:eastAsia="宋体" w:cs="宋体"/>
          <w:color w:val="auto"/>
          <w:szCs w:val="24"/>
          <w:highlight w:val="none"/>
          <w:lang w:bidi="ar"/>
        </w:rPr>
      </w:pPr>
      <w:r>
        <w:rPr>
          <w:rFonts w:hint="eastAsia" w:ascii="宋体" w:hAnsi="宋体" w:eastAsia="宋体" w:cs="宋体"/>
          <w:color w:val="auto"/>
          <w:szCs w:val="24"/>
          <w:highlight w:val="none"/>
          <w:lang w:bidi="ar"/>
        </w:rPr>
        <w:br w:type="page"/>
      </w:r>
    </w:p>
    <w:p w14:paraId="3657A35D">
      <w:pPr>
        <w:pStyle w:val="6"/>
        <w:bidi w:val="0"/>
        <w:ind w:left="253"/>
        <w:rPr>
          <w:color w:val="auto"/>
          <w:highlight w:val="none"/>
        </w:rPr>
      </w:pPr>
      <w:r>
        <w:rPr>
          <w:rFonts w:hint="eastAsia"/>
          <w:color w:val="auto"/>
          <w:highlight w:val="none"/>
        </w:rPr>
        <w:t xml:space="preserve"> 幕墙、铝合金门窗半成品、成品保护做法</w:t>
      </w:r>
    </w:p>
    <w:tbl>
      <w:tblPr>
        <w:tblStyle w:val="22"/>
        <w:tblW w:w="13340" w:type="dxa"/>
        <w:tblInd w:w="131"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30"/>
        <w:gridCol w:w="484"/>
        <w:gridCol w:w="570"/>
        <w:gridCol w:w="2447"/>
        <w:gridCol w:w="4200"/>
        <w:gridCol w:w="4414"/>
        <w:gridCol w:w="795"/>
      </w:tblGrid>
      <w:tr w14:paraId="4B5B870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13340" w:type="dxa"/>
            <w:gridSpan w:val="7"/>
            <w:tcBorders>
              <w:top w:val="single" w:color="auto" w:sz="4" w:space="0"/>
              <w:left w:val="single" w:color="auto" w:sz="4" w:space="0"/>
              <w:bottom w:val="single" w:color="auto" w:sz="4" w:space="0"/>
              <w:right w:val="single" w:color="auto" w:sz="4" w:space="0"/>
            </w:tcBorders>
            <w:shd w:val="clear" w:color="auto" w:fill="auto"/>
            <w:vAlign w:val="center"/>
          </w:tcPr>
          <w:p w14:paraId="3FC65883">
            <w:pPr>
              <w:pStyle w:val="14"/>
              <w:bidi w:val="0"/>
              <w:rPr>
                <w:b/>
                <w:bCs/>
                <w:color w:val="auto"/>
                <w:highlight w:val="none"/>
                <w:lang w:val="zh-CN" w:eastAsia="zh-CN"/>
              </w:rPr>
            </w:pPr>
            <w:bookmarkStart w:id="208" w:name="_Hlk145175625"/>
            <w:r>
              <w:rPr>
                <w:rFonts w:hint="eastAsia"/>
                <w:b/>
                <w:bCs/>
                <w:color w:val="auto"/>
                <w:highlight w:val="none"/>
                <w:lang w:val="zh-CN" w:eastAsia="zh-CN"/>
              </w:rPr>
              <w:t>幕墙、铝合金门窗半成品、成品保护做法</w:t>
            </w:r>
            <w:bookmarkEnd w:id="208"/>
          </w:p>
        </w:tc>
      </w:tr>
      <w:tr w14:paraId="56546B3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tcBorders>
              <w:top w:val="single" w:color="auto" w:sz="4" w:space="0"/>
              <w:left w:val="single" w:color="auto" w:sz="4" w:space="0"/>
              <w:bottom w:val="single" w:color="auto" w:sz="4" w:space="0"/>
              <w:right w:val="single" w:color="auto" w:sz="4" w:space="0"/>
            </w:tcBorders>
            <w:shd w:val="clear" w:color="auto" w:fill="auto"/>
            <w:vAlign w:val="center"/>
          </w:tcPr>
          <w:p w14:paraId="18383D8D">
            <w:pPr>
              <w:pStyle w:val="14"/>
              <w:bidi w:val="0"/>
              <w:rPr>
                <w:b/>
                <w:bCs/>
                <w:color w:val="auto"/>
                <w:highlight w:val="none"/>
                <w:lang w:val="zh-CN" w:eastAsia="zh-CN"/>
              </w:rPr>
            </w:pPr>
            <w:r>
              <w:rPr>
                <w:rFonts w:hint="eastAsia"/>
                <w:b/>
                <w:bCs/>
                <w:color w:val="auto"/>
                <w:highlight w:val="none"/>
                <w:lang w:val="zh-CN" w:eastAsia="zh-CN"/>
              </w:rPr>
              <w:t>序号</w:t>
            </w:r>
          </w:p>
        </w:tc>
        <w:tc>
          <w:tcPr>
            <w:tcW w:w="10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EE6BDDF">
            <w:pPr>
              <w:pStyle w:val="14"/>
              <w:bidi w:val="0"/>
              <w:rPr>
                <w:b/>
                <w:bCs/>
                <w:color w:val="auto"/>
                <w:highlight w:val="none"/>
                <w:lang w:val="zh-CN" w:eastAsia="zh-CN"/>
              </w:rPr>
            </w:pPr>
            <w:r>
              <w:rPr>
                <w:rFonts w:hint="eastAsia"/>
                <w:b/>
                <w:bCs/>
                <w:color w:val="auto"/>
                <w:highlight w:val="none"/>
                <w:lang w:val="zh-CN" w:eastAsia="zh-CN"/>
              </w:rPr>
              <w:t>保护内容</w:t>
            </w:r>
          </w:p>
        </w:tc>
        <w:tc>
          <w:tcPr>
            <w:tcW w:w="2447" w:type="dxa"/>
            <w:tcBorders>
              <w:top w:val="single" w:color="auto" w:sz="4" w:space="0"/>
              <w:left w:val="single" w:color="auto" w:sz="4" w:space="0"/>
              <w:bottom w:val="single" w:color="auto" w:sz="4" w:space="0"/>
              <w:right w:val="single" w:color="auto" w:sz="4" w:space="0"/>
            </w:tcBorders>
            <w:shd w:val="clear" w:color="auto" w:fill="auto"/>
            <w:vAlign w:val="center"/>
          </w:tcPr>
          <w:p w14:paraId="3A8D064C">
            <w:pPr>
              <w:pStyle w:val="14"/>
              <w:bidi w:val="0"/>
              <w:rPr>
                <w:b/>
                <w:bCs/>
                <w:color w:val="auto"/>
                <w:highlight w:val="none"/>
                <w:lang w:val="zh-CN" w:eastAsia="zh-CN"/>
              </w:rPr>
            </w:pPr>
            <w:r>
              <w:rPr>
                <w:rFonts w:hint="eastAsia"/>
                <w:b/>
                <w:bCs/>
                <w:color w:val="auto"/>
                <w:highlight w:val="none"/>
                <w:lang w:val="zh-CN" w:eastAsia="zh-CN"/>
              </w:rPr>
              <w:t>保护标准</w:t>
            </w:r>
          </w:p>
        </w:tc>
        <w:tc>
          <w:tcPr>
            <w:tcW w:w="861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D366C24">
            <w:pPr>
              <w:pStyle w:val="14"/>
              <w:bidi w:val="0"/>
              <w:rPr>
                <w:b/>
                <w:bCs/>
                <w:color w:val="auto"/>
                <w:highlight w:val="none"/>
                <w:lang w:val="zh-CN" w:eastAsia="zh-CN"/>
              </w:rPr>
            </w:pPr>
            <w:r>
              <w:rPr>
                <w:rFonts w:hint="eastAsia"/>
                <w:b/>
                <w:bCs/>
                <w:color w:val="auto"/>
                <w:highlight w:val="none"/>
                <w:lang w:val="zh-CN" w:eastAsia="zh-CN"/>
              </w:rPr>
              <w:t>图示</w:t>
            </w:r>
          </w:p>
        </w:tc>
        <w:tc>
          <w:tcPr>
            <w:tcW w:w="795" w:type="dxa"/>
            <w:tcBorders>
              <w:top w:val="single" w:color="auto" w:sz="4" w:space="0"/>
              <w:left w:val="single" w:color="auto" w:sz="4" w:space="0"/>
              <w:bottom w:val="single" w:color="auto" w:sz="4" w:space="0"/>
              <w:right w:val="single" w:color="auto" w:sz="4" w:space="0"/>
            </w:tcBorders>
            <w:shd w:val="clear" w:color="auto" w:fill="auto"/>
            <w:vAlign w:val="center"/>
          </w:tcPr>
          <w:p w14:paraId="7B8E4E2A">
            <w:pPr>
              <w:pStyle w:val="14"/>
              <w:bidi w:val="0"/>
              <w:rPr>
                <w:b/>
                <w:bCs/>
                <w:color w:val="auto"/>
                <w:highlight w:val="none"/>
                <w:lang w:val="zh-CN" w:eastAsia="zh-CN"/>
              </w:rPr>
            </w:pPr>
            <w:r>
              <w:rPr>
                <w:rFonts w:hint="eastAsia"/>
                <w:b/>
                <w:bCs/>
                <w:color w:val="auto"/>
                <w:highlight w:val="none"/>
                <w:lang w:val="zh-CN" w:eastAsia="zh-CN"/>
              </w:rPr>
              <w:t>备注</w:t>
            </w:r>
          </w:p>
        </w:tc>
      </w:tr>
      <w:tr w14:paraId="2ECDECC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restart"/>
            <w:tcBorders>
              <w:top w:val="single" w:color="auto" w:sz="4" w:space="0"/>
              <w:left w:val="single" w:color="auto" w:sz="4" w:space="0"/>
              <w:bottom w:val="single" w:color="auto" w:sz="4" w:space="0"/>
              <w:right w:val="single" w:color="auto" w:sz="4" w:space="0"/>
            </w:tcBorders>
            <w:vAlign w:val="center"/>
          </w:tcPr>
          <w:p w14:paraId="28441C4D">
            <w:pPr>
              <w:pStyle w:val="14"/>
              <w:bidi w:val="0"/>
              <w:rPr>
                <w:color w:val="auto"/>
                <w:highlight w:val="none"/>
                <w:lang w:val="zh-CN" w:eastAsia="zh-CN"/>
              </w:rPr>
            </w:pPr>
            <w:r>
              <w:rPr>
                <w:color w:val="auto"/>
                <w:highlight w:val="none"/>
                <w:lang w:val="zh-CN" w:eastAsia="zh-CN"/>
              </w:rPr>
              <w:t>1</w:t>
            </w:r>
          </w:p>
        </w:tc>
        <w:tc>
          <w:tcPr>
            <w:tcW w:w="484" w:type="dxa"/>
            <w:tcBorders>
              <w:top w:val="single" w:color="auto" w:sz="4" w:space="0"/>
              <w:left w:val="single" w:color="auto" w:sz="4" w:space="0"/>
              <w:bottom w:val="single" w:color="auto" w:sz="4" w:space="0"/>
              <w:right w:val="single" w:color="auto" w:sz="4" w:space="0"/>
            </w:tcBorders>
            <w:vAlign w:val="center"/>
          </w:tcPr>
          <w:p w14:paraId="2DBD0277">
            <w:pPr>
              <w:pStyle w:val="14"/>
              <w:bidi w:val="0"/>
              <w:rPr>
                <w:color w:val="auto"/>
                <w:highlight w:val="none"/>
                <w:lang w:val="zh-CN" w:eastAsia="zh-CN"/>
              </w:rPr>
            </w:pPr>
            <w:r>
              <w:rPr>
                <w:color w:val="auto"/>
                <w:highlight w:val="none"/>
                <w:lang w:val="zh-CN" w:eastAsia="zh-CN"/>
              </w:rPr>
              <w:t>工厂包装</w:t>
            </w:r>
          </w:p>
        </w:tc>
        <w:tc>
          <w:tcPr>
            <w:tcW w:w="570" w:type="dxa"/>
            <w:vMerge w:val="restart"/>
            <w:tcBorders>
              <w:top w:val="single" w:color="auto" w:sz="4" w:space="0"/>
              <w:left w:val="single" w:color="auto" w:sz="4" w:space="0"/>
              <w:bottom w:val="single" w:color="auto" w:sz="4" w:space="0"/>
              <w:right w:val="single" w:color="auto" w:sz="4" w:space="0"/>
            </w:tcBorders>
            <w:vAlign w:val="center"/>
          </w:tcPr>
          <w:p w14:paraId="5F612197">
            <w:pPr>
              <w:pStyle w:val="14"/>
              <w:bidi w:val="0"/>
              <w:rPr>
                <w:color w:val="auto"/>
                <w:highlight w:val="none"/>
                <w:lang w:val="zh-CN" w:eastAsia="zh-CN"/>
              </w:rPr>
            </w:pPr>
            <w:r>
              <w:rPr>
                <w:color w:val="auto"/>
                <w:highlight w:val="none"/>
                <w:lang w:val="zh-CN" w:eastAsia="zh-CN"/>
              </w:rPr>
              <w:t>单元板块</w:t>
            </w:r>
          </w:p>
        </w:tc>
        <w:tc>
          <w:tcPr>
            <w:tcW w:w="2447" w:type="dxa"/>
            <w:tcBorders>
              <w:top w:val="single" w:color="auto" w:sz="4" w:space="0"/>
              <w:left w:val="single" w:color="auto" w:sz="4" w:space="0"/>
              <w:bottom w:val="single" w:color="auto" w:sz="4" w:space="0"/>
              <w:right w:val="single" w:color="auto" w:sz="4" w:space="0"/>
            </w:tcBorders>
            <w:vAlign w:val="center"/>
          </w:tcPr>
          <w:p w14:paraId="52F07AF2">
            <w:pPr>
              <w:pStyle w:val="14"/>
              <w:bidi w:val="0"/>
              <w:rPr>
                <w:color w:val="auto"/>
                <w:highlight w:val="none"/>
                <w:lang w:val="zh-CN" w:eastAsia="zh-CN"/>
              </w:rPr>
            </w:pPr>
            <w:r>
              <w:rPr>
                <w:color w:val="auto"/>
                <w:highlight w:val="none"/>
                <w:lang w:val="zh-CN" w:eastAsia="zh-CN"/>
              </w:rPr>
              <w:t>单元板块角部由软性塑料泡沫保护，板块整体用塑料薄膜包裹；</w:t>
            </w:r>
          </w:p>
        </w:tc>
        <w:tc>
          <w:tcPr>
            <w:tcW w:w="4200" w:type="dxa"/>
            <w:tcBorders>
              <w:top w:val="single" w:color="auto" w:sz="4" w:space="0"/>
              <w:left w:val="single" w:color="auto" w:sz="4" w:space="0"/>
              <w:bottom w:val="single" w:color="auto" w:sz="4" w:space="0"/>
              <w:right w:val="single" w:color="auto" w:sz="4" w:space="0"/>
            </w:tcBorders>
            <w:vAlign w:val="center"/>
          </w:tcPr>
          <w:p w14:paraId="7046F61C">
            <w:pPr>
              <w:pStyle w:val="14"/>
              <w:bidi w:val="0"/>
              <w:rPr>
                <w:color w:val="auto"/>
                <w:highlight w:val="none"/>
                <w:lang w:val="zh-CN" w:eastAsia="zh-CN"/>
              </w:rPr>
            </w:pPr>
            <w:r>
              <w:rPr>
                <w:color w:val="auto"/>
                <w:highlight w:val="none"/>
                <w:lang w:val="zh-CN" w:eastAsia="zh-CN"/>
              </w:rPr>
              <w:drawing>
                <wp:inline distT="0" distB="0" distL="0" distR="0">
                  <wp:extent cx="2555875" cy="1986280"/>
                  <wp:effectExtent l="0" t="0" r="6350" b="4445"/>
                  <wp:docPr id="19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image99.jpeg"/>
                          <pic:cNvPicPr>
                            <a:picLocks noChangeAspect="1"/>
                          </pic:cNvPicPr>
                        </pic:nvPicPr>
                        <pic:blipFill>
                          <a:blip r:embed="rId66" cstate="print"/>
                          <a:stretch>
                            <a:fillRect/>
                          </a:stretch>
                        </pic:blipFill>
                        <pic:spPr>
                          <a:xfrm>
                            <a:off x="0" y="0"/>
                            <a:ext cx="2584014" cy="2007897"/>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14:paraId="72492DD6">
            <w:pPr>
              <w:pStyle w:val="14"/>
              <w:bidi w:val="0"/>
              <w:rPr>
                <w:color w:val="auto"/>
                <w:highlight w:val="none"/>
                <w:lang w:val="zh-CN" w:eastAsia="zh-CN"/>
              </w:rPr>
            </w:pPr>
          </w:p>
        </w:tc>
        <w:tc>
          <w:tcPr>
            <w:tcW w:w="795" w:type="dxa"/>
            <w:tcBorders>
              <w:top w:val="single" w:color="auto" w:sz="4" w:space="0"/>
              <w:left w:val="single" w:color="auto" w:sz="4" w:space="0"/>
              <w:bottom w:val="single" w:color="auto" w:sz="4" w:space="0"/>
              <w:right w:val="single" w:color="auto" w:sz="4" w:space="0"/>
            </w:tcBorders>
            <w:vAlign w:val="center"/>
          </w:tcPr>
          <w:p w14:paraId="22724D1B">
            <w:pPr>
              <w:pStyle w:val="14"/>
              <w:bidi w:val="0"/>
              <w:rPr>
                <w:color w:val="auto"/>
                <w:highlight w:val="none"/>
                <w:lang w:val="zh-CN" w:eastAsia="zh-CN"/>
              </w:rPr>
            </w:pPr>
          </w:p>
        </w:tc>
      </w:tr>
      <w:tr w14:paraId="2E13AA6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tcBorders>
              <w:top w:val="single" w:color="auto" w:sz="4" w:space="0"/>
              <w:left w:val="single" w:color="auto" w:sz="4" w:space="0"/>
              <w:bottom w:val="single" w:color="auto" w:sz="4" w:space="0"/>
              <w:right w:val="single" w:color="auto" w:sz="4" w:space="0"/>
            </w:tcBorders>
            <w:vAlign w:val="center"/>
          </w:tcPr>
          <w:p w14:paraId="1A030096">
            <w:pPr>
              <w:pStyle w:val="14"/>
              <w:bidi w:val="0"/>
              <w:rPr>
                <w:color w:val="auto"/>
                <w:highlight w:val="none"/>
                <w:lang w:val="zh-CN" w:eastAsia="zh-CN"/>
              </w:rPr>
            </w:pPr>
          </w:p>
        </w:tc>
        <w:tc>
          <w:tcPr>
            <w:tcW w:w="484" w:type="dxa"/>
            <w:tcBorders>
              <w:top w:val="single" w:color="auto" w:sz="4" w:space="0"/>
              <w:left w:val="single" w:color="auto" w:sz="4" w:space="0"/>
              <w:bottom w:val="single" w:color="auto" w:sz="4" w:space="0"/>
              <w:right w:val="single" w:color="auto" w:sz="4" w:space="0"/>
            </w:tcBorders>
            <w:vAlign w:val="center"/>
          </w:tcPr>
          <w:p w14:paraId="16C07BBD">
            <w:pPr>
              <w:pStyle w:val="14"/>
              <w:bidi w:val="0"/>
              <w:rPr>
                <w:color w:val="auto"/>
                <w:highlight w:val="none"/>
                <w:lang w:val="zh-CN" w:eastAsia="zh-CN"/>
              </w:rPr>
            </w:pPr>
            <w:r>
              <w:rPr>
                <w:color w:val="auto"/>
                <w:highlight w:val="none"/>
                <w:lang w:val="zh-CN" w:eastAsia="zh-CN"/>
              </w:rPr>
              <w:t>堆放</w:t>
            </w:r>
          </w:p>
        </w:tc>
        <w:tc>
          <w:tcPr>
            <w:tcW w:w="570" w:type="dxa"/>
            <w:vMerge w:val="continue"/>
            <w:tcBorders>
              <w:top w:val="single" w:color="auto" w:sz="4" w:space="0"/>
              <w:left w:val="single" w:color="auto" w:sz="4" w:space="0"/>
              <w:bottom w:val="single" w:color="auto" w:sz="4" w:space="0"/>
              <w:right w:val="single" w:color="auto" w:sz="4" w:space="0"/>
            </w:tcBorders>
            <w:vAlign w:val="center"/>
          </w:tcPr>
          <w:p w14:paraId="2F0E7F01">
            <w:pPr>
              <w:pStyle w:val="14"/>
              <w:bidi w:val="0"/>
              <w:rPr>
                <w:color w:val="auto"/>
                <w:highlight w:val="none"/>
                <w:lang w:val="zh-CN" w:eastAsia="zh-CN"/>
              </w:rPr>
            </w:pPr>
          </w:p>
        </w:tc>
        <w:tc>
          <w:tcPr>
            <w:tcW w:w="2447" w:type="dxa"/>
            <w:tcBorders>
              <w:top w:val="single" w:color="auto" w:sz="4" w:space="0"/>
              <w:left w:val="single" w:color="auto" w:sz="4" w:space="0"/>
              <w:bottom w:val="single" w:color="auto" w:sz="4" w:space="0"/>
              <w:right w:val="single" w:color="auto" w:sz="4" w:space="0"/>
            </w:tcBorders>
            <w:vAlign w:val="center"/>
          </w:tcPr>
          <w:p w14:paraId="5EA775DB">
            <w:pPr>
              <w:pStyle w:val="14"/>
              <w:bidi w:val="0"/>
              <w:rPr>
                <w:color w:val="auto"/>
                <w:highlight w:val="none"/>
                <w:lang w:val="zh-CN" w:eastAsia="zh-CN"/>
              </w:rPr>
            </w:pPr>
          </w:p>
          <w:p w14:paraId="7373D4E0">
            <w:pPr>
              <w:pStyle w:val="14"/>
              <w:bidi w:val="0"/>
              <w:rPr>
                <w:color w:val="auto"/>
                <w:highlight w:val="none"/>
                <w:lang w:val="zh-CN" w:eastAsia="zh-CN"/>
              </w:rPr>
            </w:pPr>
            <w:r>
              <w:rPr>
                <w:color w:val="auto"/>
                <w:highlight w:val="none"/>
                <w:lang w:val="zh-CN" w:eastAsia="zh-CN"/>
              </w:rPr>
              <w:t>现场单元板块堆放时不得将板块堆叠压放，各板块应独立放置于支撑架上且不得破坏外表保护材料；</w:t>
            </w:r>
          </w:p>
        </w:tc>
        <w:tc>
          <w:tcPr>
            <w:tcW w:w="4200" w:type="dxa"/>
            <w:tcBorders>
              <w:top w:val="single" w:color="auto" w:sz="4" w:space="0"/>
              <w:left w:val="single" w:color="auto" w:sz="4" w:space="0"/>
              <w:bottom w:val="single" w:color="auto" w:sz="4" w:space="0"/>
              <w:right w:val="single" w:color="auto" w:sz="4" w:space="0"/>
            </w:tcBorders>
            <w:vAlign w:val="center"/>
          </w:tcPr>
          <w:p w14:paraId="23B8FCB6">
            <w:pPr>
              <w:pStyle w:val="14"/>
              <w:bidi w:val="0"/>
              <w:rPr>
                <w:color w:val="auto"/>
                <w:highlight w:val="none"/>
                <w:lang w:val="zh-CN" w:eastAsia="zh-CN"/>
              </w:rPr>
            </w:pPr>
            <w:r>
              <w:rPr>
                <w:color w:val="auto"/>
                <w:highlight w:val="none"/>
                <w:lang w:val="zh-CN" w:eastAsia="zh-CN"/>
              </w:rPr>
              <w:drawing>
                <wp:inline distT="0" distB="0" distL="0" distR="0">
                  <wp:extent cx="2405380" cy="1875790"/>
                  <wp:effectExtent l="0" t="0" r="4445" b="635"/>
                  <wp:docPr id="193"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mage100.jpeg"/>
                          <pic:cNvPicPr>
                            <a:picLocks noChangeAspect="1"/>
                          </pic:cNvPicPr>
                        </pic:nvPicPr>
                        <pic:blipFill>
                          <a:blip r:embed="rId67" cstate="print"/>
                          <a:stretch>
                            <a:fillRect/>
                          </a:stretch>
                        </pic:blipFill>
                        <pic:spPr>
                          <a:xfrm>
                            <a:off x="0" y="0"/>
                            <a:ext cx="2425393" cy="1891356"/>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14:paraId="16AECBE4">
            <w:pPr>
              <w:pStyle w:val="14"/>
              <w:bidi w:val="0"/>
              <w:rPr>
                <w:color w:val="auto"/>
                <w:highlight w:val="none"/>
                <w:lang w:val="zh-CN" w:eastAsia="zh-CN"/>
              </w:rPr>
            </w:pPr>
            <w:r>
              <w:rPr>
                <w:color w:val="auto"/>
                <w:highlight w:val="none"/>
                <w:lang w:val="zh-CN" w:eastAsia="zh-CN"/>
              </w:rPr>
              <w:drawing>
                <wp:inline distT="0" distB="0" distL="0" distR="0">
                  <wp:extent cx="2703195" cy="2065020"/>
                  <wp:effectExtent l="0" t="0" r="1905" b="1905"/>
                  <wp:docPr id="195"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image101.jpeg"/>
                          <pic:cNvPicPr>
                            <a:picLocks noChangeAspect="1"/>
                          </pic:cNvPicPr>
                        </pic:nvPicPr>
                        <pic:blipFill>
                          <a:blip r:embed="rId68" cstate="print"/>
                          <a:stretch>
                            <a:fillRect/>
                          </a:stretch>
                        </pic:blipFill>
                        <pic:spPr>
                          <a:xfrm>
                            <a:off x="0" y="0"/>
                            <a:ext cx="2723473" cy="2080558"/>
                          </a:xfrm>
                          <a:prstGeom prst="rect">
                            <a:avLst/>
                          </a:prstGeom>
                        </pic:spPr>
                      </pic:pic>
                    </a:graphicData>
                  </a:graphic>
                </wp:inline>
              </w:drawing>
            </w:r>
          </w:p>
        </w:tc>
        <w:tc>
          <w:tcPr>
            <w:tcW w:w="795" w:type="dxa"/>
            <w:tcBorders>
              <w:top w:val="single" w:color="auto" w:sz="4" w:space="0"/>
              <w:left w:val="single" w:color="auto" w:sz="4" w:space="0"/>
              <w:bottom w:val="single" w:color="auto" w:sz="4" w:space="0"/>
              <w:right w:val="single" w:color="auto" w:sz="4" w:space="0"/>
            </w:tcBorders>
            <w:vAlign w:val="center"/>
          </w:tcPr>
          <w:p w14:paraId="39159175">
            <w:pPr>
              <w:pStyle w:val="14"/>
              <w:bidi w:val="0"/>
              <w:rPr>
                <w:color w:val="auto"/>
                <w:highlight w:val="none"/>
                <w:lang w:val="zh-CN" w:eastAsia="zh-CN"/>
              </w:rPr>
            </w:pPr>
          </w:p>
        </w:tc>
      </w:tr>
      <w:tr w14:paraId="140AB06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tcBorders>
              <w:top w:val="single" w:color="auto" w:sz="4" w:space="0"/>
              <w:left w:val="single" w:color="auto" w:sz="4" w:space="0"/>
              <w:bottom w:val="single" w:color="auto" w:sz="4" w:space="0"/>
              <w:right w:val="single" w:color="auto" w:sz="4" w:space="0"/>
            </w:tcBorders>
            <w:vAlign w:val="center"/>
          </w:tcPr>
          <w:p w14:paraId="39363D82">
            <w:pPr>
              <w:pStyle w:val="14"/>
              <w:bidi w:val="0"/>
              <w:rPr>
                <w:color w:val="auto"/>
                <w:highlight w:val="none"/>
                <w:lang w:val="zh-CN" w:eastAsia="zh-CN"/>
              </w:rPr>
            </w:pPr>
          </w:p>
        </w:tc>
        <w:tc>
          <w:tcPr>
            <w:tcW w:w="484" w:type="dxa"/>
            <w:tcBorders>
              <w:top w:val="single" w:color="auto" w:sz="4" w:space="0"/>
              <w:left w:val="single" w:color="auto" w:sz="4" w:space="0"/>
              <w:bottom w:val="single" w:color="auto" w:sz="4" w:space="0"/>
              <w:right w:val="single" w:color="auto" w:sz="4" w:space="0"/>
            </w:tcBorders>
            <w:vAlign w:val="center"/>
          </w:tcPr>
          <w:p w14:paraId="54C000F7">
            <w:pPr>
              <w:pStyle w:val="14"/>
              <w:bidi w:val="0"/>
              <w:rPr>
                <w:color w:val="auto"/>
                <w:highlight w:val="none"/>
                <w:lang w:val="zh-CN" w:eastAsia="zh-CN"/>
              </w:rPr>
            </w:pPr>
            <w:r>
              <w:rPr>
                <w:color w:val="auto"/>
                <w:highlight w:val="none"/>
                <w:lang w:val="zh-CN" w:eastAsia="zh-CN"/>
              </w:rPr>
              <w:t>成品安装</w:t>
            </w:r>
          </w:p>
        </w:tc>
        <w:tc>
          <w:tcPr>
            <w:tcW w:w="570" w:type="dxa"/>
            <w:vMerge w:val="continue"/>
            <w:tcBorders>
              <w:top w:val="single" w:color="auto" w:sz="4" w:space="0"/>
              <w:left w:val="single" w:color="auto" w:sz="4" w:space="0"/>
              <w:bottom w:val="single" w:color="auto" w:sz="4" w:space="0"/>
              <w:right w:val="single" w:color="auto" w:sz="4" w:space="0"/>
            </w:tcBorders>
            <w:vAlign w:val="center"/>
          </w:tcPr>
          <w:p w14:paraId="516EDDAE">
            <w:pPr>
              <w:pStyle w:val="14"/>
              <w:bidi w:val="0"/>
              <w:rPr>
                <w:color w:val="auto"/>
                <w:highlight w:val="none"/>
                <w:lang w:val="zh-CN" w:eastAsia="zh-CN"/>
              </w:rPr>
            </w:pPr>
          </w:p>
        </w:tc>
        <w:tc>
          <w:tcPr>
            <w:tcW w:w="2447" w:type="dxa"/>
            <w:tcBorders>
              <w:top w:val="single" w:color="auto" w:sz="4" w:space="0"/>
              <w:left w:val="single" w:color="auto" w:sz="4" w:space="0"/>
              <w:bottom w:val="single" w:color="auto" w:sz="4" w:space="0"/>
              <w:right w:val="single" w:color="auto" w:sz="4" w:space="0"/>
            </w:tcBorders>
            <w:vAlign w:val="center"/>
          </w:tcPr>
          <w:p w14:paraId="6D914B04">
            <w:pPr>
              <w:pStyle w:val="14"/>
              <w:bidi w:val="0"/>
              <w:rPr>
                <w:color w:val="auto"/>
                <w:highlight w:val="none"/>
                <w:lang w:val="zh-CN" w:eastAsia="zh-CN"/>
              </w:rPr>
            </w:pPr>
            <w:r>
              <w:rPr>
                <w:color w:val="auto"/>
                <w:highlight w:val="none"/>
                <w:lang w:val="zh-CN" w:eastAsia="zh-CN"/>
              </w:rPr>
              <w:t>单元板块安装完成后，在室内侧安装</w:t>
            </w:r>
          </w:p>
          <w:p w14:paraId="2898FC4D">
            <w:pPr>
              <w:pStyle w:val="14"/>
              <w:bidi w:val="0"/>
              <w:rPr>
                <w:color w:val="auto"/>
                <w:highlight w:val="none"/>
                <w:lang w:val="zh-CN" w:eastAsia="zh-CN"/>
              </w:rPr>
            </w:pPr>
            <w:r>
              <w:rPr>
                <w:color w:val="auto"/>
                <w:highlight w:val="none"/>
                <w:lang w:val="zh-CN" w:eastAsia="zh-CN"/>
              </w:rPr>
              <w:t>保护幕墙的塑料膜；</w:t>
            </w:r>
          </w:p>
        </w:tc>
        <w:tc>
          <w:tcPr>
            <w:tcW w:w="4200" w:type="dxa"/>
            <w:tcBorders>
              <w:top w:val="single" w:color="auto" w:sz="4" w:space="0"/>
              <w:left w:val="single" w:color="auto" w:sz="4" w:space="0"/>
              <w:bottom w:val="single" w:color="auto" w:sz="4" w:space="0"/>
              <w:right w:val="single" w:color="auto" w:sz="4" w:space="0"/>
            </w:tcBorders>
            <w:vAlign w:val="center"/>
          </w:tcPr>
          <w:p w14:paraId="1C2EFCF3">
            <w:pPr>
              <w:pStyle w:val="14"/>
              <w:bidi w:val="0"/>
              <w:rPr>
                <w:color w:val="auto"/>
                <w:highlight w:val="none"/>
                <w:lang w:val="zh-CN" w:eastAsia="zh-CN"/>
              </w:rPr>
            </w:pPr>
          </w:p>
          <w:p w14:paraId="6EEE52B6">
            <w:pPr>
              <w:pStyle w:val="14"/>
              <w:bidi w:val="0"/>
              <w:rPr>
                <w:color w:val="auto"/>
                <w:highlight w:val="none"/>
                <w:lang w:val="zh-CN" w:eastAsia="zh-CN"/>
              </w:rPr>
            </w:pPr>
            <w:r>
              <w:rPr>
                <w:color w:val="auto"/>
                <w:highlight w:val="none"/>
                <w:lang w:val="zh-CN" w:eastAsia="zh-CN"/>
              </w:rPr>
              <w:drawing>
                <wp:inline distT="0" distB="0" distL="0" distR="0">
                  <wp:extent cx="2454275" cy="2379980"/>
                  <wp:effectExtent l="0" t="0" r="3175" b="1270"/>
                  <wp:docPr id="197"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image102.jpeg"/>
                          <pic:cNvPicPr>
                            <a:picLocks noChangeAspect="1"/>
                          </pic:cNvPicPr>
                        </pic:nvPicPr>
                        <pic:blipFill>
                          <a:blip r:embed="rId69" cstate="print"/>
                          <a:stretch>
                            <a:fillRect/>
                          </a:stretch>
                        </pic:blipFill>
                        <pic:spPr>
                          <a:xfrm>
                            <a:off x="0" y="0"/>
                            <a:ext cx="2470883" cy="2395811"/>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14:paraId="0809C243">
            <w:pPr>
              <w:pStyle w:val="14"/>
              <w:bidi w:val="0"/>
              <w:rPr>
                <w:color w:val="auto"/>
                <w:highlight w:val="none"/>
                <w:lang w:val="zh-CN" w:eastAsia="zh-CN"/>
              </w:rPr>
            </w:pPr>
          </w:p>
        </w:tc>
        <w:tc>
          <w:tcPr>
            <w:tcW w:w="795" w:type="dxa"/>
            <w:tcBorders>
              <w:top w:val="single" w:color="auto" w:sz="4" w:space="0"/>
              <w:left w:val="single" w:color="auto" w:sz="4" w:space="0"/>
              <w:bottom w:val="single" w:color="auto" w:sz="4" w:space="0"/>
              <w:right w:val="single" w:color="auto" w:sz="4" w:space="0"/>
            </w:tcBorders>
            <w:vAlign w:val="center"/>
          </w:tcPr>
          <w:p w14:paraId="68C5C64A">
            <w:pPr>
              <w:pStyle w:val="14"/>
              <w:bidi w:val="0"/>
              <w:rPr>
                <w:color w:val="auto"/>
                <w:highlight w:val="none"/>
                <w:lang w:val="zh-CN" w:eastAsia="zh-CN"/>
              </w:rPr>
            </w:pPr>
          </w:p>
        </w:tc>
      </w:tr>
      <w:tr w14:paraId="1DC3AC0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restart"/>
            <w:tcBorders>
              <w:top w:val="single" w:color="auto" w:sz="4" w:space="0"/>
              <w:left w:val="single" w:color="auto" w:sz="4" w:space="0"/>
              <w:bottom w:val="single" w:color="auto" w:sz="4" w:space="0"/>
              <w:right w:val="single" w:color="auto" w:sz="4" w:space="0"/>
            </w:tcBorders>
            <w:vAlign w:val="center"/>
          </w:tcPr>
          <w:p w14:paraId="5BFABEEA">
            <w:pPr>
              <w:pStyle w:val="14"/>
              <w:bidi w:val="0"/>
              <w:rPr>
                <w:color w:val="auto"/>
                <w:highlight w:val="none"/>
                <w:lang w:val="zh-CN" w:eastAsia="zh-CN"/>
              </w:rPr>
            </w:pPr>
            <w:r>
              <w:rPr>
                <w:color w:val="auto"/>
                <w:highlight w:val="none"/>
                <w:lang w:val="zh-CN" w:eastAsia="zh-CN"/>
              </w:rPr>
              <w:t>2</w:t>
            </w:r>
          </w:p>
        </w:tc>
        <w:tc>
          <w:tcPr>
            <w:tcW w:w="484" w:type="dxa"/>
            <w:tcBorders>
              <w:top w:val="single" w:color="auto" w:sz="4" w:space="0"/>
              <w:left w:val="single" w:color="auto" w:sz="4" w:space="0"/>
              <w:bottom w:val="single" w:color="auto" w:sz="4" w:space="0"/>
              <w:right w:val="single" w:color="auto" w:sz="4" w:space="0"/>
            </w:tcBorders>
            <w:vAlign w:val="center"/>
          </w:tcPr>
          <w:p w14:paraId="5067A2C3">
            <w:pPr>
              <w:pStyle w:val="14"/>
              <w:bidi w:val="0"/>
              <w:rPr>
                <w:color w:val="auto"/>
                <w:highlight w:val="none"/>
                <w:lang w:val="zh-CN" w:eastAsia="zh-CN"/>
              </w:rPr>
            </w:pPr>
            <w:r>
              <w:rPr>
                <w:color w:val="auto"/>
                <w:highlight w:val="none"/>
                <w:lang w:val="zh-CN" w:eastAsia="zh-CN"/>
              </w:rPr>
              <w:t>工厂包装</w:t>
            </w:r>
          </w:p>
          <w:p w14:paraId="32B8E34E">
            <w:pPr>
              <w:pStyle w:val="14"/>
              <w:bidi w:val="0"/>
              <w:rPr>
                <w:color w:val="auto"/>
                <w:highlight w:val="none"/>
                <w:lang w:val="zh-CN" w:eastAsia="zh-CN"/>
              </w:rPr>
            </w:pPr>
            <w:r>
              <w:rPr>
                <w:color w:val="auto"/>
                <w:highlight w:val="none"/>
                <w:lang w:val="zh-CN" w:eastAsia="zh-CN"/>
              </w:rPr>
              <w:t>、堆放</w:t>
            </w:r>
          </w:p>
        </w:tc>
        <w:tc>
          <w:tcPr>
            <w:tcW w:w="570" w:type="dxa"/>
            <w:vMerge w:val="restart"/>
            <w:tcBorders>
              <w:top w:val="single" w:color="auto" w:sz="4" w:space="0"/>
              <w:left w:val="single" w:color="auto" w:sz="4" w:space="0"/>
              <w:bottom w:val="single" w:color="auto" w:sz="4" w:space="0"/>
              <w:right w:val="single" w:color="auto" w:sz="4" w:space="0"/>
            </w:tcBorders>
            <w:vAlign w:val="center"/>
          </w:tcPr>
          <w:p w14:paraId="510C4DEA">
            <w:pPr>
              <w:pStyle w:val="14"/>
              <w:bidi w:val="0"/>
              <w:rPr>
                <w:color w:val="auto"/>
                <w:highlight w:val="none"/>
                <w:lang w:val="zh-CN" w:eastAsia="zh-CN"/>
              </w:rPr>
            </w:pPr>
            <w:r>
              <w:rPr>
                <w:color w:val="auto"/>
                <w:highlight w:val="none"/>
                <w:lang w:val="zh-CN" w:eastAsia="zh-CN"/>
              </w:rPr>
              <w:t>铝型材</w:t>
            </w:r>
          </w:p>
        </w:tc>
        <w:tc>
          <w:tcPr>
            <w:tcW w:w="2447" w:type="dxa"/>
            <w:tcBorders>
              <w:top w:val="single" w:color="auto" w:sz="4" w:space="0"/>
              <w:left w:val="single" w:color="auto" w:sz="4" w:space="0"/>
              <w:bottom w:val="single" w:color="auto" w:sz="4" w:space="0"/>
              <w:right w:val="single" w:color="auto" w:sz="4" w:space="0"/>
            </w:tcBorders>
            <w:vAlign w:val="center"/>
          </w:tcPr>
          <w:p w14:paraId="6CFC8462">
            <w:pPr>
              <w:pStyle w:val="14"/>
              <w:bidi w:val="0"/>
              <w:rPr>
                <w:color w:val="auto"/>
                <w:highlight w:val="none"/>
                <w:lang w:val="zh-CN" w:eastAsia="zh-CN"/>
              </w:rPr>
            </w:pPr>
            <w:r>
              <w:rPr>
                <w:color w:val="auto"/>
                <w:highlight w:val="none"/>
                <w:lang w:val="zh-CN" w:eastAsia="zh-CN"/>
              </w:rPr>
              <w:t>先贴保护胶带， 然后外包带塑料膜的</w:t>
            </w:r>
          </w:p>
          <w:p w14:paraId="672D0ABB">
            <w:pPr>
              <w:pStyle w:val="14"/>
              <w:bidi w:val="0"/>
              <w:rPr>
                <w:color w:val="auto"/>
                <w:highlight w:val="none"/>
                <w:lang w:val="zh-CN" w:eastAsia="zh-CN"/>
              </w:rPr>
            </w:pPr>
            <w:r>
              <w:rPr>
                <w:color w:val="auto"/>
                <w:highlight w:val="none"/>
                <w:lang w:val="zh-CN" w:eastAsia="zh-CN"/>
              </w:rPr>
              <w:t>牛皮纸；型材堆放应有专用的摆放；</w:t>
            </w:r>
          </w:p>
        </w:tc>
        <w:tc>
          <w:tcPr>
            <w:tcW w:w="4200" w:type="dxa"/>
            <w:tcBorders>
              <w:top w:val="single" w:color="auto" w:sz="4" w:space="0"/>
              <w:left w:val="single" w:color="auto" w:sz="4" w:space="0"/>
              <w:bottom w:val="single" w:color="auto" w:sz="4" w:space="0"/>
              <w:right w:val="single" w:color="auto" w:sz="4" w:space="0"/>
            </w:tcBorders>
            <w:vAlign w:val="center"/>
          </w:tcPr>
          <w:p w14:paraId="1BFEED21">
            <w:pPr>
              <w:pStyle w:val="14"/>
              <w:bidi w:val="0"/>
              <w:rPr>
                <w:color w:val="auto"/>
                <w:highlight w:val="none"/>
                <w:lang w:val="zh-CN" w:eastAsia="zh-CN"/>
              </w:rPr>
            </w:pPr>
          </w:p>
          <w:p w14:paraId="390E5246">
            <w:pPr>
              <w:pStyle w:val="14"/>
              <w:bidi w:val="0"/>
              <w:rPr>
                <w:color w:val="auto"/>
                <w:highlight w:val="none"/>
                <w:lang w:val="zh-CN" w:eastAsia="zh-CN"/>
              </w:rPr>
            </w:pPr>
            <w:r>
              <w:rPr>
                <w:color w:val="auto"/>
                <w:highlight w:val="none"/>
                <w:lang w:val="zh-CN" w:eastAsia="zh-CN"/>
              </w:rPr>
              <w:drawing>
                <wp:inline distT="0" distB="0" distL="0" distR="0">
                  <wp:extent cx="2517775" cy="1986280"/>
                  <wp:effectExtent l="0" t="0" r="6350" b="4445"/>
                  <wp:docPr id="199"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image103.jpeg"/>
                          <pic:cNvPicPr>
                            <a:picLocks noChangeAspect="1"/>
                          </pic:cNvPicPr>
                        </pic:nvPicPr>
                        <pic:blipFill>
                          <a:blip r:embed="rId70" cstate="print"/>
                          <a:stretch>
                            <a:fillRect/>
                          </a:stretch>
                        </pic:blipFill>
                        <pic:spPr>
                          <a:xfrm>
                            <a:off x="0" y="0"/>
                            <a:ext cx="2532027" cy="1997534"/>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14:paraId="4538B109">
            <w:pPr>
              <w:pStyle w:val="14"/>
              <w:bidi w:val="0"/>
              <w:rPr>
                <w:color w:val="auto"/>
                <w:highlight w:val="none"/>
                <w:lang w:val="zh-CN" w:eastAsia="zh-CN"/>
              </w:rPr>
            </w:pPr>
          </w:p>
        </w:tc>
        <w:tc>
          <w:tcPr>
            <w:tcW w:w="795" w:type="dxa"/>
            <w:tcBorders>
              <w:top w:val="single" w:color="auto" w:sz="4" w:space="0"/>
              <w:left w:val="single" w:color="auto" w:sz="4" w:space="0"/>
              <w:bottom w:val="single" w:color="auto" w:sz="4" w:space="0"/>
              <w:right w:val="single" w:color="auto" w:sz="4" w:space="0"/>
            </w:tcBorders>
            <w:vAlign w:val="center"/>
          </w:tcPr>
          <w:p w14:paraId="739030AB">
            <w:pPr>
              <w:pStyle w:val="14"/>
              <w:bidi w:val="0"/>
              <w:rPr>
                <w:color w:val="auto"/>
                <w:highlight w:val="none"/>
                <w:lang w:val="zh-CN" w:eastAsia="zh-CN"/>
              </w:rPr>
            </w:pPr>
          </w:p>
        </w:tc>
      </w:tr>
      <w:tr w14:paraId="5CEFD29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tcBorders>
              <w:top w:val="single" w:color="auto" w:sz="4" w:space="0"/>
              <w:bottom w:val="single" w:color="auto" w:sz="4" w:space="0"/>
              <w:right w:val="single" w:color="auto" w:sz="4" w:space="0"/>
            </w:tcBorders>
            <w:vAlign w:val="center"/>
          </w:tcPr>
          <w:p w14:paraId="37CA2290">
            <w:pPr>
              <w:pStyle w:val="14"/>
              <w:bidi w:val="0"/>
              <w:rPr>
                <w:color w:val="auto"/>
                <w:highlight w:val="none"/>
                <w:lang w:val="zh-CN" w:eastAsia="zh-CN"/>
              </w:rPr>
            </w:pPr>
          </w:p>
        </w:tc>
        <w:tc>
          <w:tcPr>
            <w:tcW w:w="484" w:type="dxa"/>
            <w:tcBorders>
              <w:top w:val="single" w:color="auto" w:sz="4" w:space="0"/>
              <w:left w:val="single" w:color="auto" w:sz="4" w:space="0"/>
              <w:bottom w:val="single" w:color="auto" w:sz="4" w:space="0"/>
              <w:right w:val="single" w:color="auto" w:sz="4" w:space="0"/>
            </w:tcBorders>
            <w:vAlign w:val="center"/>
          </w:tcPr>
          <w:p w14:paraId="0CEEB556">
            <w:pPr>
              <w:pStyle w:val="14"/>
              <w:bidi w:val="0"/>
              <w:rPr>
                <w:color w:val="auto"/>
                <w:highlight w:val="none"/>
                <w:lang w:val="zh-CN" w:eastAsia="zh-CN"/>
              </w:rPr>
            </w:pPr>
            <w:r>
              <w:rPr>
                <w:color w:val="auto"/>
                <w:highlight w:val="none"/>
                <w:lang w:val="zh-CN" w:eastAsia="zh-CN"/>
              </w:rPr>
              <w:t>成品安装</w:t>
            </w:r>
          </w:p>
        </w:tc>
        <w:tc>
          <w:tcPr>
            <w:tcW w:w="570" w:type="dxa"/>
            <w:vMerge w:val="continue"/>
            <w:tcBorders>
              <w:top w:val="single" w:color="auto" w:sz="4" w:space="0"/>
              <w:left w:val="single" w:color="auto" w:sz="4" w:space="0"/>
              <w:bottom w:val="single" w:color="auto" w:sz="4" w:space="0"/>
              <w:right w:val="single" w:color="auto" w:sz="4" w:space="0"/>
            </w:tcBorders>
            <w:vAlign w:val="center"/>
          </w:tcPr>
          <w:p w14:paraId="405EE18C">
            <w:pPr>
              <w:pStyle w:val="14"/>
              <w:bidi w:val="0"/>
              <w:rPr>
                <w:color w:val="auto"/>
                <w:highlight w:val="none"/>
                <w:lang w:val="zh-CN" w:eastAsia="zh-CN"/>
              </w:rPr>
            </w:pPr>
          </w:p>
        </w:tc>
        <w:tc>
          <w:tcPr>
            <w:tcW w:w="2447" w:type="dxa"/>
            <w:tcBorders>
              <w:top w:val="single" w:color="auto" w:sz="4" w:space="0"/>
              <w:left w:val="single" w:color="auto" w:sz="4" w:space="0"/>
              <w:bottom w:val="single" w:color="auto" w:sz="4" w:space="0"/>
              <w:right w:val="single" w:color="auto" w:sz="4" w:space="0"/>
            </w:tcBorders>
            <w:vAlign w:val="center"/>
          </w:tcPr>
          <w:p w14:paraId="02233783">
            <w:pPr>
              <w:pStyle w:val="14"/>
              <w:bidi w:val="0"/>
              <w:rPr>
                <w:color w:val="auto"/>
                <w:highlight w:val="none"/>
                <w:lang w:val="zh-CN" w:eastAsia="zh-CN"/>
              </w:rPr>
            </w:pPr>
            <w:r>
              <w:rPr>
                <w:color w:val="auto"/>
                <w:highlight w:val="none"/>
                <w:lang w:val="zh-CN" w:eastAsia="zh-CN"/>
              </w:rPr>
              <w:t>安装型材时不得将表面贴合的保护膜破坏或除去；在施工通道口的铝型材还应有木板包裹保护；</w:t>
            </w:r>
          </w:p>
        </w:tc>
        <w:tc>
          <w:tcPr>
            <w:tcW w:w="4200" w:type="dxa"/>
            <w:tcBorders>
              <w:top w:val="single" w:color="auto" w:sz="4" w:space="0"/>
              <w:left w:val="single" w:color="auto" w:sz="4" w:space="0"/>
              <w:bottom w:val="single" w:color="auto" w:sz="4" w:space="0"/>
              <w:right w:val="single" w:color="auto" w:sz="4" w:space="0"/>
            </w:tcBorders>
            <w:vAlign w:val="center"/>
          </w:tcPr>
          <w:p w14:paraId="76E13A4D">
            <w:pPr>
              <w:pStyle w:val="14"/>
              <w:bidi w:val="0"/>
              <w:rPr>
                <w:color w:val="auto"/>
                <w:highlight w:val="none"/>
                <w:lang w:val="zh-CN" w:eastAsia="zh-CN"/>
              </w:rPr>
            </w:pPr>
            <w:r>
              <w:rPr>
                <w:color w:val="auto"/>
                <w:highlight w:val="none"/>
                <w:lang w:val="zh-CN" w:eastAsia="zh-CN"/>
              </w:rPr>
              <w:drawing>
                <wp:inline distT="0" distB="0" distL="0" distR="0">
                  <wp:extent cx="2538095" cy="2159000"/>
                  <wp:effectExtent l="0" t="0" r="5080" b="3175"/>
                  <wp:docPr id="201"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image104.jpeg"/>
                          <pic:cNvPicPr>
                            <a:picLocks noChangeAspect="1"/>
                          </pic:cNvPicPr>
                        </pic:nvPicPr>
                        <pic:blipFill>
                          <a:blip r:embed="rId71" cstate="print"/>
                          <a:stretch>
                            <a:fillRect/>
                          </a:stretch>
                        </pic:blipFill>
                        <pic:spPr>
                          <a:xfrm>
                            <a:off x="0" y="0"/>
                            <a:ext cx="2545227" cy="2165110"/>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14:paraId="233B4310">
            <w:pPr>
              <w:pStyle w:val="14"/>
              <w:bidi w:val="0"/>
              <w:rPr>
                <w:color w:val="auto"/>
                <w:highlight w:val="none"/>
                <w:lang w:val="zh-CN" w:eastAsia="zh-CN"/>
              </w:rPr>
            </w:pPr>
            <w:r>
              <w:rPr>
                <w:color w:val="auto"/>
                <w:highlight w:val="none"/>
                <w:lang w:val="zh-CN" w:eastAsia="zh-CN"/>
              </w:rPr>
              <w:drawing>
                <wp:inline distT="0" distB="0" distL="0" distR="0">
                  <wp:extent cx="2693035" cy="2064385"/>
                  <wp:effectExtent l="0" t="0" r="2540" b="2540"/>
                  <wp:docPr id="203"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image105.jpeg"/>
                          <pic:cNvPicPr>
                            <a:picLocks noChangeAspect="1"/>
                          </pic:cNvPicPr>
                        </pic:nvPicPr>
                        <pic:blipFill>
                          <a:blip r:embed="rId72" cstate="print"/>
                          <a:stretch>
                            <a:fillRect/>
                          </a:stretch>
                        </pic:blipFill>
                        <pic:spPr>
                          <a:xfrm>
                            <a:off x="0" y="0"/>
                            <a:ext cx="2698219" cy="2068346"/>
                          </a:xfrm>
                          <a:prstGeom prst="rect">
                            <a:avLst/>
                          </a:prstGeom>
                        </pic:spPr>
                      </pic:pic>
                    </a:graphicData>
                  </a:graphic>
                </wp:inline>
              </w:drawing>
            </w:r>
          </w:p>
        </w:tc>
        <w:tc>
          <w:tcPr>
            <w:tcW w:w="795" w:type="dxa"/>
            <w:tcBorders>
              <w:top w:val="single" w:color="auto" w:sz="4" w:space="0"/>
              <w:left w:val="single" w:color="auto" w:sz="4" w:space="0"/>
              <w:bottom w:val="single" w:color="auto" w:sz="4" w:space="0"/>
              <w:right w:val="single" w:color="auto" w:sz="4" w:space="0"/>
            </w:tcBorders>
            <w:vAlign w:val="center"/>
          </w:tcPr>
          <w:p w14:paraId="23712A4C">
            <w:pPr>
              <w:pStyle w:val="14"/>
              <w:bidi w:val="0"/>
              <w:rPr>
                <w:color w:val="auto"/>
                <w:highlight w:val="none"/>
                <w:lang w:val="zh-CN" w:eastAsia="zh-CN"/>
              </w:rPr>
            </w:pPr>
          </w:p>
        </w:tc>
      </w:tr>
      <w:tr w14:paraId="77C9A5C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restart"/>
            <w:tcBorders>
              <w:top w:val="single" w:color="auto" w:sz="4" w:space="0"/>
              <w:left w:val="single" w:color="auto" w:sz="4" w:space="0"/>
              <w:bottom w:val="single" w:color="auto" w:sz="4" w:space="0"/>
              <w:right w:val="single" w:color="auto" w:sz="4" w:space="0"/>
            </w:tcBorders>
            <w:vAlign w:val="center"/>
          </w:tcPr>
          <w:p w14:paraId="413A8DAD">
            <w:pPr>
              <w:pStyle w:val="14"/>
              <w:bidi w:val="0"/>
              <w:rPr>
                <w:color w:val="auto"/>
                <w:highlight w:val="none"/>
                <w:lang w:val="zh-CN" w:eastAsia="zh-CN"/>
              </w:rPr>
            </w:pPr>
            <w:r>
              <w:rPr>
                <w:color w:val="auto"/>
                <w:highlight w:val="none"/>
                <w:lang w:val="zh-CN" w:eastAsia="zh-CN"/>
              </w:rPr>
              <w:t>3</w:t>
            </w:r>
          </w:p>
        </w:tc>
        <w:tc>
          <w:tcPr>
            <w:tcW w:w="484" w:type="dxa"/>
            <w:vMerge w:val="restart"/>
            <w:tcBorders>
              <w:top w:val="single" w:color="auto" w:sz="4" w:space="0"/>
              <w:left w:val="single" w:color="auto" w:sz="4" w:space="0"/>
              <w:bottom w:val="single" w:color="auto" w:sz="4" w:space="0"/>
              <w:right w:val="single" w:color="auto" w:sz="4" w:space="0"/>
            </w:tcBorders>
            <w:vAlign w:val="center"/>
          </w:tcPr>
          <w:p w14:paraId="49D87CB6">
            <w:pPr>
              <w:pStyle w:val="14"/>
              <w:bidi w:val="0"/>
              <w:rPr>
                <w:color w:val="auto"/>
                <w:highlight w:val="none"/>
                <w:lang w:val="zh-CN" w:eastAsia="zh-CN"/>
              </w:rPr>
            </w:pPr>
            <w:r>
              <w:rPr>
                <w:color w:val="auto"/>
                <w:highlight w:val="none"/>
                <w:lang w:val="zh-CN" w:eastAsia="zh-CN"/>
              </w:rPr>
              <w:t>工厂包装</w:t>
            </w:r>
          </w:p>
        </w:tc>
        <w:tc>
          <w:tcPr>
            <w:tcW w:w="570" w:type="dxa"/>
            <w:vMerge w:val="restart"/>
            <w:tcBorders>
              <w:top w:val="single" w:color="auto" w:sz="4" w:space="0"/>
              <w:left w:val="single" w:color="auto" w:sz="4" w:space="0"/>
              <w:bottom w:val="single" w:color="auto" w:sz="4" w:space="0"/>
              <w:right w:val="single" w:color="auto" w:sz="4" w:space="0"/>
            </w:tcBorders>
            <w:vAlign w:val="center"/>
          </w:tcPr>
          <w:p w14:paraId="07869573">
            <w:pPr>
              <w:pStyle w:val="14"/>
              <w:bidi w:val="0"/>
              <w:rPr>
                <w:color w:val="auto"/>
                <w:highlight w:val="none"/>
                <w:lang w:val="zh-CN" w:eastAsia="zh-CN"/>
              </w:rPr>
            </w:pPr>
            <w:r>
              <w:rPr>
                <w:color w:val="auto"/>
                <w:highlight w:val="none"/>
                <w:lang w:val="zh-CN" w:eastAsia="zh-CN"/>
              </w:rPr>
              <w:t>门、窗框</w:t>
            </w:r>
          </w:p>
        </w:tc>
        <w:tc>
          <w:tcPr>
            <w:tcW w:w="2447" w:type="dxa"/>
            <w:tcBorders>
              <w:top w:val="single" w:color="auto" w:sz="4" w:space="0"/>
              <w:left w:val="single" w:color="auto" w:sz="4" w:space="0"/>
              <w:bottom w:val="single" w:color="auto" w:sz="4" w:space="0"/>
              <w:right w:val="single" w:color="auto" w:sz="4" w:space="0"/>
            </w:tcBorders>
            <w:vAlign w:val="center"/>
          </w:tcPr>
          <w:p w14:paraId="221CD49E">
            <w:pPr>
              <w:pStyle w:val="14"/>
              <w:bidi w:val="0"/>
              <w:rPr>
                <w:color w:val="auto"/>
                <w:highlight w:val="none"/>
                <w:lang w:eastAsia="zh-CN"/>
              </w:rPr>
            </w:pPr>
            <w:r>
              <w:rPr>
                <w:color w:val="auto"/>
                <w:highlight w:val="none"/>
                <w:lang w:val="zh-CN" w:eastAsia="zh-CN"/>
              </w:rPr>
              <w:t>生产厂运到工地，应选择洁净、无污染源的车等工具运输；存放门窗的库房应通风、干燥，无热源或腐蚀性介质侵袭。库房场地应平整，地面上垫枕木，枕木顶面离地应不少于200mm。门窗框扇应按型号、规格分类编号捆扎竖放，两端</w:t>
            </w:r>
            <w:r>
              <w:rPr>
                <w:rFonts w:hint="eastAsia"/>
                <w:color w:val="auto"/>
                <w:highlight w:val="none"/>
                <w:lang w:eastAsia="zh-CN"/>
              </w:rPr>
              <w:t>挑出100mm</w:t>
            </w:r>
          </w:p>
        </w:tc>
        <w:tc>
          <w:tcPr>
            <w:tcW w:w="4200" w:type="dxa"/>
            <w:tcBorders>
              <w:top w:val="single" w:color="auto" w:sz="4" w:space="0"/>
              <w:left w:val="single" w:color="auto" w:sz="4" w:space="0"/>
              <w:bottom w:val="single" w:color="auto" w:sz="4" w:space="0"/>
              <w:right w:val="single" w:color="auto" w:sz="4" w:space="0"/>
            </w:tcBorders>
            <w:vAlign w:val="center"/>
          </w:tcPr>
          <w:p w14:paraId="18504BDF">
            <w:pPr>
              <w:pStyle w:val="14"/>
              <w:bidi w:val="0"/>
              <w:rPr>
                <w:color w:val="auto"/>
                <w:highlight w:val="none"/>
                <w:lang w:val="zh-CN" w:eastAsia="zh-CN"/>
              </w:rPr>
            </w:pPr>
            <w:r>
              <w:rPr>
                <w:color w:val="auto"/>
                <w:highlight w:val="none"/>
                <w:lang w:val="zh-CN" w:eastAsia="zh-CN"/>
              </w:rPr>
              <w:drawing>
                <wp:inline distT="0" distB="0" distL="0" distR="0">
                  <wp:extent cx="3064510" cy="2499995"/>
                  <wp:effectExtent l="0" t="0" r="2540" b="5080"/>
                  <wp:docPr id="205"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image106.jpeg"/>
                          <pic:cNvPicPr>
                            <a:picLocks noChangeAspect="1"/>
                          </pic:cNvPicPr>
                        </pic:nvPicPr>
                        <pic:blipFill>
                          <a:blip r:embed="rId73" cstate="print"/>
                          <a:stretch>
                            <a:fillRect/>
                          </a:stretch>
                        </pic:blipFill>
                        <pic:spPr>
                          <a:xfrm>
                            <a:off x="0" y="0"/>
                            <a:ext cx="3064830" cy="2500122"/>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14:paraId="3FA7C300">
            <w:pPr>
              <w:pStyle w:val="14"/>
              <w:bidi w:val="0"/>
              <w:rPr>
                <w:color w:val="auto"/>
                <w:highlight w:val="none"/>
                <w:lang w:val="zh-CN" w:eastAsia="zh-CN"/>
              </w:rPr>
            </w:pPr>
          </w:p>
        </w:tc>
        <w:tc>
          <w:tcPr>
            <w:tcW w:w="795" w:type="dxa"/>
            <w:tcBorders>
              <w:top w:val="single" w:color="auto" w:sz="4" w:space="0"/>
              <w:left w:val="single" w:color="auto" w:sz="4" w:space="0"/>
              <w:bottom w:val="single" w:color="auto" w:sz="4" w:space="0"/>
              <w:right w:val="single" w:color="auto" w:sz="4" w:space="0"/>
            </w:tcBorders>
            <w:vAlign w:val="center"/>
          </w:tcPr>
          <w:p w14:paraId="483DCA99">
            <w:pPr>
              <w:pStyle w:val="14"/>
              <w:bidi w:val="0"/>
              <w:rPr>
                <w:color w:val="auto"/>
                <w:highlight w:val="none"/>
                <w:lang w:val="zh-CN" w:eastAsia="zh-CN"/>
              </w:rPr>
            </w:pPr>
          </w:p>
        </w:tc>
      </w:tr>
      <w:tr w14:paraId="09920D4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tcBorders>
              <w:top w:val="single" w:color="auto" w:sz="4" w:space="0"/>
              <w:left w:val="single" w:color="auto" w:sz="4" w:space="0"/>
              <w:bottom w:val="single" w:color="auto" w:sz="4" w:space="0"/>
              <w:right w:val="single" w:color="auto" w:sz="4" w:space="0"/>
            </w:tcBorders>
            <w:vAlign w:val="center"/>
          </w:tcPr>
          <w:p w14:paraId="1E766196">
            <w:pPr>
              <w:pStyle w:val="14"/>
              <w:bidi w:val="0"/>
              <w:rPr>
                <w:color w:val="auto"/>
                <w:highlight w:val="none"/>
                <w:lang w:val="zh-CN" w:eastAsia="zh-CN"/>
              </w:rPr>
            </w:pPr>
          </w:p>
        </w:tc>
        <w:tc>
          <w:tcPr>
            <w:tcW w:w="484" w:type="dxa"/>
            <w:vMerge w:val="continue"/>
            <w:tcBorders>
              <w:top w:val="single" w:color="auto" w:sz="4" w:space="0"/>
              <w:left w:val="single" w:color="auto" w:sz="4" w:space="0"/>
              <w:bottom w:val="single" w:color="auto" w:sz="4" w:space="0"/>
              <w:right w:val="single" w:color="auto" w:sz="4" w:space="0"/>
            </w:tcBorders>
            <w:vAlign w:val="center"/>
          </w:tcPr>
          <w:p w14:paraId="403B9A93">
            <w:pPr>
              <w:pStyle w:val="14"/>
              <w:bidi w:val="0"/>
              <w:rPr>
                <w:color w:val="auto"/>
                <w:highlight w:val="none"/>
                <w:lang w:val="zh-CN" w:eastAsia="zh-CN"/>
              </w:rPr>
            </w:pPr>
          </w:p>
        </w:tc>
        <w:tc>
          <w:tcPr>
            <w:tcW w:w="570" w:type="dxa"/>
            <w:vMerge w:val="continue"/>
            <w:tcBorders>
              <w:top w:val="single" w:color="auto" w:sz="4" w:space="0"/>
              <w:left w:val="single" w:color="auto" w:sz="4" w:space="0"/>
              <w:bottom w:val="single" w:color="auto" w:sz="4" w:space="0"/>
              <w:right w:val="single" w:color="auto" w:sz="4" w:space="0"/>
            </w:tcBorders>
            <w:vAlign w:val="center"/>
          </w:tcPr>
          <w:p w14:paraId="066BAF78">
            <w:pPr>
              <w:pStyle w:val="14"/>
              <w:bidi w:val="0"/>
              <w:rPr>
                <w:color w:val="auto"/>
                <w:highlight w:val="none"/>
                <w:lang w:val="zh-CN" w:eastAsia="zh-CN"/>
              </w:rPr>
            </w:pPr>
          </w:p>
        </w:tc>
        <w:tc>
          <w:tcPr>
            <w:tcW w:w="2447" w:type="dxa"/>
            <w:tcBorders>
              <w:top w:val="single" w:color="auto" w:sz="4" w:space="0"/>
              <w:left w:val="single" w:color="auto" w:sz="4" w:space="0"/>
              <w:bottom w:val="single" w:color="auto" w:sz="4" w:space="0"/>
              <w:right w:val="single" w:color="auto" w:sz="4" w:space="0"/>
            </w:tcBorders>
            <w:vAlign w:val="center"/>
          </w:tcPr>
          <w:p w14:paraId="01EB73BA">
            <w:pPr>
              <w:pStyle w:val="14"/>
              <w:bidi w:val="0"/>
              <w:rPr>
                <w:color w:val="auto"/>
                <w:highlight w:val="none"/>
                <w:lang w:val="zh-CN" w:eastAsia="zh-CN"/>
              </w:rPr>
            </w:pPr>
            <w:r>
              <w:rPr>
                <w:color w:val="auto"/>
                <w:highlight w:val="none"/>
                <w:lang w:val="zh-CN" w:eastAsia="zh-CN"/>
              </w:rPr>
              <w:t>为了门窗铝型材施工过程中成品保护的方便性和有效性，要求铝型材门窗框型材表面必须采用至少双层厚胶膜贴覆保护，底层必须采用不污染铝型材的自粘胶带纸，上层必须采用较厚耐破损胶带。贴膜保护完成后，门窗边角位置需用硬纸壳或硬胶纸做额外的防碰撞保护。</w:t>
            </w:r>
          </w:p>
        </w:tc>
        <w:tc>
          <w:tcPr>
            <w:tcW w:w="4200" w:type="dxa"/>
            <w:tcBorders>
              <w:top w:val="single" w:color="auto" w:sz="4" w:space="0"/>
              <w:left w:val="single" w:color="auto" w:sz="4" w:space="0"/>
              <w:bottom w:val="single" w:color="auto" w:sz="4" w:space="0"/>
              <w:right w:val="single" w:color="auto" w:sz="4" w:space="0"/>
            </w:tcBorders>
            <w:vAlign w:val="center"/>
          </w:tcPr>
          <w:p w14:paraId="2E3735C9">
            <w:pPr>
              <w:pStyle w:val="14"/>
              <w:bidi w:val="0"/>
              <w:rPr>
                <w:color w:val="auto"/>
                <w:highlight w:val="none"/>
                <w:lang w:val="zh-CN" w:eastAsia="zh-CN"/>
              </w:rPr>
            </w:pPr>
            <w:r>
              <w:rPr>
                <w:color w:val="auto"/>
                <w:highlight w:val="none"/>
                <w:lang w:val="zh-CN" w:eastAsia="zh-CN"/>
              </w:rPr>
              <w:drawing>
                <wp:inline distT="0" distB="0" distL="0" distR="0">
                  <wp:extent cx="2495550" cy="2419985"/>
                  <wp:effectExtent l="0" t="0" r="0" b="8890"/>
                  <wp:docPr id="209"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image108.jpeg"/>
                          <pic:cNvPicPr>
                            <a:picLocks noChangeAspect="1"/>
                          </pic:cNvPicPr>
                        </pic:nvPicPr>
                        <pic:blipFill>
                          <a:blip r:embed="rId74" cstate="print"/>
                          <a:stretch>
                            <a:fillRect/>
                          </a:stretch>
                        </pic:blipFill>
                        <pic:spPr>
                          <a:xfrm>
                            <a:off x="0" y="0"/>
                            <a:ext cx="2500452" cy="2425220"/>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14:paraId="0BC88FA2">
            <w:pPr>
              <w:pStyle w:val="14"/>
              <w:bidi w:val="0"/>
              <w:rPr>
                <w:color w:val="auto"/>
                <w:highlight w:val="none"/>
                <w:lang w:val="zh-CN" w:eastAsia="zh-CN"/>
              </w:rPr>
            </w:pPr>
          </w:p>
        </w:tc>
        <w:tc>
          <w:tcPr>
            <w:tcW w:w="795" w:type="dxa"/>
            <w:tcBorders>
              <w:top w:val="single" w:color="auto" w:sz="4" w:space="0"/>
              <w:left w:val="single" w:color="auto" w:sz="4" w:space="0"/>
              <w:bottom w:val="single" w:color="auto" w:sz="4" w:space="0"/>
              <w:right w:val="single" w:color="auto" w:sz="4" w:space="0"/>
            </w:tcBorders>
            <w:vAlign w:val="center"/>
          </w:tcPr>
          <w:p w14:paraId="7071460F">
            <w:pPr>
              <w:pStyle w:val="14"/>
              <w:bidi w:val="0"/>
              <w:rPr>
                <w:color w:val="auto"/>
                <w:highlight w:val="none"/>
                <w:lang w:val="zh-CN" w:eastAsia="zh-CN"/>
              </w:rPr>
            </w:pPr>
          </w:p>
        </w:tc>
      </w:tr>
      <w:tr w14:paraId="4933BA5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restart"/>
            <w:tcBorders>
              <w:top w:val="single" w:color="auto" w:sz="4" w:space="0"/>
              <w:left w:val="single" w:color="auto" w:sz="4" w:space="0"/>
              <w:bottom w:val="single" w:color="auto" w:sz="4" w:space="0"/>
              <w:right w:val="single" w:color="auto" w:sz="4" w:space="0"/>
            </w:tcBorders>
            <w:vAlign w:val="center"/>
          </w:tcPr>
          <w:p w14:paraId="20990394">
            <w:pPr>
              <w:pStyle w:val="14"/>
              <w:bidi w:val="0"/>
              <w:rPr>
                <w:color w:val="auto"/>
                <w:highlight w:val="none"/>
                <w:lang w:val="zh-CN" w:eastAsia="zh-CN"/>
              </w:rPr>
            </w:pPr>
            <w:r>
              <w:rPr>
                <w:rFonts w:hint="eastAsia"/>
                <w:color w:val="auto"/>
                <w:highlight w:val="none"/>
                <w:lang w:val="zh-CN" w:eastAsia="zh-CN"/>
              </w:rPr>
              <w:t>4</w:t>
            </w:r>
          </w:p>
        </w:tc>
        <w:tc>
          <w:tcPr>
            <w:tcW w:w="484" w:type="dxa"/>
            <w:vMerge w:val="restart"/>
            <w:tcBorders>
              <w:top w:val="single" w:color="auto" w:sz="4" w:space="0"/>
              <w:left w:val="single" w:color="auto" w:sz="4" w:space="0"/>
              <w:bottom w:val="single" w:color="auto" w:sz="4" w:space="0"/>
              <w:right w:val="single" w:color="auto" w:sz="4" w:space="0"/>
            </w:tcBorders>
            <w:vAlign w:val="center"/>
          </w:tcPr>
          <w:p w14:paraId="1C9146D4">
            <w:pPr>
              <w:pStyle w:val="14"/>
              <w:bidi w:val="0"/>
              <w:rPr>
                <w:color w:val="auto"/>
                <w:highlight w:val="none"/>
                <w:lang w:val="zh-CN" w:eastAsia="zh-CN"/>
              </w:rPr>
            </w:pPr>
            <w:r>
              <w:rPr>
                <w:color w:val="auto"/>
                <w:highlight w:val="none"/>
                <w:lang w:val="zh-CN" w:eastAsia="zh-CN"/>
              </w:rPr>
              <w:t>工厂</w:t>
            </w:r>
          </w:p>
        </w:tc>
        <w:tc>
          <w:tcPr>
            <w:tcW w:w="570" w:type="dxa"/>
            <w:vMerge w:val="restart"/>
            <w:tcBorders>
              <w:top w:val="single" w:color="auto" w:sz="4" w:space="0"/>
              <w:left w:val="single" w:color="auto" w:sz="4" w:space="0"/>
              <w:bottom w:val="single" w:color="auto" w:sz="4" w:space="0"/>
              <w:right w:val="single" w:color="auto" w:sz="4" w:space="0"/>
            </w:tcBorders>
            <w:vAlign w:val="center"/>
          </w:tcPr>
          <w:p w14:paraId="240E515C">
            <w:pPr>
              <w:pStyle w:val="14"/>
              <w:bidi w:val="0"/>
              <w:rPr>
                <w:color w:val="auto"/>
                <w:highlight w:val="none"/>
                <w:lang w:val="zh-CN" w:eastAsia="zh-CN"/>
              </w:rPr>
            </w:pPr>
            <w:r>
              <w:rPr>
                <w:color w:val="auto"/>
                <w:highlight w:val="none"/>
                <w:lang w:val="zh-CN" w:eastAsia="zh-CN"/>
              </w:rPr>
              <w:t>包装做法图示</w:t>
            </w:r>
          </w:p>
        </w:tc>
        <w:tc>
          <w:tcPr>
            <w:tcW w:w="2447" w:type="dxa"/>
            <w:vMerge w:val="restart"/>
            <w:tcBorders>
              <w:top w:val="single" w:color="auto" w:sz="4" w:space="0"/>
              <w:left w:val="single" w:color="auto" w:sz="4" w:space="0"/>
              <w:bottom w:val="single" w:color="auto" w:sz="4" w:space="0"/>
              <w:right w:val="single" w:color="auto" w:sz="4" w:space="0"/>
            </w:tcBorders>
            <w:vAlign w:val="center"/>
          </w:tcPr>
          <w:p w14:paraId="5C4DFA16">
            <w:pPr>
              <w:pStyle w:val="14"/>
              <w:bidi w:val="0"/>
              <w:rPr>
                <w:color w:val="auto"/>
                <w:highlight w:val="none"/>
                <w:lang w:val="zh-CN" w:eastAsia="zh-CN"/>
              </w:rPr>
            </w:pPr>
            <w:r>
              <w:rPr>
                <w:color w:val="auto"/>
                <w:highlight w:val="none"/>
                <w:lang w:val="zh-CN" w:eastAsia="zh-CN"/>
              </w:rPr>
              <w:t>为了解决室内外作业时其他施工单位交底不到位，现场抹灰收口时将铝型材保护膜全部撕掉， 造成型材大量污染的问题。现强制要求铝型材厂贴膜和加工厂后贴膜都必须保证膜边距离型材外边5~10mm左  右，具体边距根据室内外抹灰收口压住型材的宽度确定。要求包装时可放大几毫米吸收抹灰误差。</w:t>
            </w:r>
          </w:p>
        </w:tc>
        <w:tc>
          <w:tcPr>
            <w:tcW w:w="4200" w:type="dxa"/>
            <w:tcBorders>
              <w:top w:val="single" w:color="auto" w:sz="4" w:space="0"/>
              <w:left w:val="single" w:color="auto" w:sz="4" w:space="0"/>
              <w:bottom w:val="single" w:color="auto" w:sz="4" w:space="0"/>
              <w:right w:val="single" w:color="auto" w:sz="4" w:space="0"/>
            </w:tcBorders>
            <w:vAlign w:val="center"/>
          </w:tcPr>
          <w:p w14:paraId="3410597F">
            <w:pPr>
              <w:pStyle w:val="14"/>
              <w:bidi w:val="0"/>
              <w:rPr>
                <w:color w:val="auto"/>
                <w:highlight w:val="none"/>
                <w:lang w:val="zh-CN" w:eastAsia="zh-CN"/>
              </w:rPr>
            </w:pPr>
            <w:r>
              <w:rPr>
                <w:color w:val="auto"/>
                <w:highlight w:val="none"/>
                <w:lang w:val="zh-CN" w:eastAsia="zh-CN"/>
              </w:rPr>
              <w:drawing>
                <wp:inline distT="0" distB="0" distL="0" distR="0">
                  <wp:extent cx="2101215" cy="2209165"/>
                  <wp:effectExtent l="0" t="0" r="3810" b="635"/>
                  <wp:docPr id="213" name="image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mage110.png"/>
                          <pic:cNvPicPr>
                            <a:picLocks noChangeAspect="1"/>
                          </pic:cNvPicPr>
                        </pic:nvPicPr>
                        <pic:blipFill>
                          <a:blip r:embed="rId75" cstate="print"/>
                          <a:stretch>
                            <a:fillRect/>
                          </a:stretch>
                        </pic:blipFill>
                        <pic:spPr>
                          <a:xfrm>
                            <a:off x="0" y="0"/>
                            <a:ext cx="2101215" cy="2209165"/>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14:paraId="449896F5">
            <w:pPr>
              <w:pStyle w:val="14"/>
              <w:bidi w:val="0"/>
              <w:rPr>
                <w:color w:val="auto"/>
                <w:highlight w:val="none"/>
                <w:lang w:val="zh-CN" w:eastAsia="zh-CN"/>
              </w:rPr>
            </w:pPr>
            <w:r>
              <w:rPr>
                <w:color w:val="auto"/>
                <w:highlight w:val="none"/>
                <w:lang w:val="zh-CN" w:eastAsia="zh-CN"/>
              </w:rPr>
              <w:drawing>
                <wp:inline distT="0" distB="0" distL="0" distR="0">
                  <wp:extent cx="2178685" cy="2350770"/>
                  <wp:effectExtent l="0" t="0" r="2540" b="1905"/>
                  <wp:docPr id="215" name="image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image111.png"/>
                          <pic:cNvPicPr>
                            <a:picLocks noChangeAspect="1"/>
                          </pic:cNvPicPr>
                        </pic:nvPicPr>
                        <pic:blipFill>
                          <a:blip r:embed="rId76" cstate="print"/>
                          <a:stretch>
                            <a:fillRect/>
                          </a:stretch>
                        </pic:blipFill>
                        <pic:spPr>
                          <a:xfrm>
                            <a:off x="0" y="0"/>
                            <a:ext cx="2178685" cy="2350770"/>
                          </a:xfrm>
                          <a:prstGeom prst="rect">
                            <a:avLst/>
                          </a:prstGeom>
                        </pic:spPr>
                      </pic:pic>
                    </a:graphicData>
                  </a:graphic>
                </wp:inline>
              </w:drawing>
            </w:r>
          </w:p>
        </w:tc>
        <w:tc>
          <w:tcPr>
            <w:tcW w:w="795" w:type="dxa"/>
            <w:vMerge w:val="restart"/>
            <w:tcBorders>
              <w:top w:val="single" w:color="auto" w:sz="4" w:space="0"/>
              <w:left w:val="single" w:color="auto" w:sz="4" w:space="0"/>
              <w:bottom w:val="single" w:color="auto" w:sz="4" w:space="0"/>
              <w:right w:val="single" w:color="auto" w:sz="4" w:space="0"/>
            </w:tcBorders>
            <w:vAlign w:val="center"/>
          </w:tcPr>
          <w:p w14:paraId="50DDF8A8">
            <w:pPr>
              <w:pStyle w:val="14"/>
              <w:bidi w:val="0"/>
              <w:rPr>
                <w:color w:val="auto"/>
                <w:highlight w:val="none"/>
                <w:lang w:val="zh-CN" w:eastAsia="zh-CN"/>
              </w:rPr>
            </w:pPr>
          </w:p>
        </w:tc>
      </w:tr>
      <w:tr w14:paraId="397AAFC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2" w:hRule="atLeast"/>
        </w:trPr>
        <w:tc>
          <w:tcPr>
            <w:tcW w:w="430" w:type="dxa"/>
            <w:vMerge w:val="continue"/>
            <w:tcBorders>
              <w:top w:val="single" w:color="auto" w:sz="4" w:space="0"/>
              <w:left w:val="single" w:color="auto" w:sz="4" w:space="0"/>
              <w:bottom w:val="single" w:color="auto" w:sz="4" w:space="0"/>
              <w:right w:val="single" w:color="auto" w:sz="4" w:space="0"/>
            </w:tcBorders>
            <w:vAlign w:val="center"/>
          </w:tcPr>
          <w:p w14:paraId="246EAC85">
            <w:pPr>
              <w:pStyle w:val="14"/>
              <w:bidi w:val="0"/>
              <w:rPr>
                <w:color w:val="auto"/>
                <w:highlight w:val="none"/>
                <w:lang w:val="zh-CN" w:eastAsia="zh-CN"/>
              </w:rPr>
            </w:pPr>
          </w:p>
        </w:tc>
        <w:tc>
          <w:tcPr>
            <w:tcW w:w="484" w:type="dxa"/>
            <w:vMerge w:val="continue"/>
            <w:tcBorders>
              <w:top w:val="single" w:color="auto" w:sz="4" w:space="0"/>
              <w:left w:val="single" w:color="auto" w:sz="4" w:space="0"/>
              <w:bottom w:val="single" w:color="auto" w:sz="4" w:space="0"/>
              <w:right w:val="single" w:color="auto" w:sz="4" w:space="0"/>
            </w:tcBorders>
            <w:vAlign w:val="center"/>
          </w:tcPr>
          <w:p w14:paraId="5977FB92">
            <w:pPr>
              <w:pStyle w:val="14"/>
              <w:bidi w:val="0"/>
              <w:rPr>
                <w:color w:val="auto"/>
                <w:highlight w:val="none"/>
                <w:lang w:val="zh-CN" w:eastAsia="zh-CN"/>
              </w:rPr>
            </w:pPr>
          </w:p>
        </w:tc>
        <w:tc>
          <w:tcPr>
            <w:tcW w:w="570" w:type="dxa"/>
            <w:vMerge w:val="continue"/>
            <w:tcBorders>
              <w:top w:val="single" w:color="auto" w:sz="4" w:space="0"/>
              <w:left w:val="single" w:color="auto" w:sz="4" w:space="0"/>
              <w:bottom w:val="single" w:color="auto" w:sz="4" w:space="0"/>
              <w:right w:val="single" w:color="auto" w:sz="4" w:space="0"/>
            </w:tcBorders>
            <w:vAlign w:val="center"/>
          </w:tcPr>
          <w:p w14:paraId="0C65950C">
            <w:pPr>
              <w:pStyle w:val="14"/>
              <w:bidi w:val="0"/>
              <w:rPr>
                <w:color w:val="auto"/>
                <w:highlight w:val="none"/>
                <w:lang w:val="zh-CN" w:eastAsia="zh-CN"/>
              </w:rPr>
            </w:pPr>
          </w:p>
        </w:tc>
        <w:tc>
          <w:tcPr>
            <w:tcW w:w="2447" w:type="dxa"/>
            <w:vMerge w:val="continue"/>
            <w:tcBorders>
              <w:top w:val="single" w:color="auto" w:sz="4" w:space="0"/>
              <w:left w:val="single" w:color="auto" w:sz="4" w:space="0"/>
              <w:bottom w:val="single" w:color="auto" w:sz="4" w:space="0"/>
              <w:right w:val="single" w:color="auto" w:sz="4" w:space="0"/>
            </w:tcBorders>
            <w:vAlign w:val="center"/>
          </w:tcPr>
          <w:p w14:paraId="45553D96">
            <w:pPr>
              <w:pStyle w:val="14"/>
              <w:bidi w:val="0"/>
              <w:rPr>
                <w:color w:val="auto"/>
                <w:highlight w:val="none"/>
                <w:lang w:val="zh-CN" w:eastAsia="zh-CN"/>
              </w:rPr>
            </w:pPr>
          </w:p>
        </w:tc>
        <w:tc>
          <w:tcPr>
            <w:tcW w:w="4200" w:type="dxa"/>
            <w:vMerge w:val="restart"/>
            <w:tcBorders>
              <w:top w:val="single" w:color="auto" w:sz="4" w:space="0"/>
              <w:left w:val="single" w:color="auto" w:sz="4" w:space="0"/>
              <w:bottom w:val="single" w:color="auto" w:sz="4" w:space="0"/>
              <w:right w:val="single" w:color="auto" w:sz="4" w:space="0"/>
            </w:tcBorders>
            <w:vAlign w:val="center"/>
          </w:tcPr>
          <w:p w14:paraId="17C751B3">
            <w:pPr>
              <w:pStyle w:val="14"/>
              <w:bidi w:val="0"/>
              <w:rPr>
                <w:color w:val="auto"/>
                <w:highlight w:val="none"/>
                <w:lang w:val="zh-CN" w:eastAsia="zh-CN"/>
              </w:rPr>
            </w:pPr>
            <w:r>
              <w:rPr>
                <w:rFonts w:hint="eastAsia"/>
                <w:color w:val="auto"/>
                <w:highlight w:val="none"/>
                <w:lang w:val="zh-CN" w:eastAsia="zh-CN"/>
              </w:rPr>
              <w:t>工厂门窗边框保护膜包裹做法节点详图</w:t>
            </w:r>
          </w:p>
        </w:tc>
        <w:tc>
          <w:tcPr>
            <w:tcW w:w="4414" w:type="dxa"/>
            <w:vMerge w:val="restart"/>
            <w:tcBorders>
              <w:top w:val="single" w:color="auto" w:sz="4" w:space="0"/>
              <w:left w:val="single" w:color="auto" w:sz="4" w:space="0"/>
              <w:bottom w:val="single" w:color="auto" w:sz="4" w:space="0"/>
              <w:right w:val="single" w:color="auto" w:sz="4" w:space="0"/>
            </w:tcBorders>
            <w:vAlign w:val="center"/>
          </w:tcPr>
          <w:p w14:paraId="7088EF61">
            <w:pPr>
              <w:pStyle w:val="14"/>
              <w:bidi w:val="0"/>
              <w:rPr>
                <w:color w:val="auto"/>
                <w:highlight w:val="none"/>
                <w:lang w:val="zh-CN" w:eastAsia="zh-CN"/>
              </w:rPr>
            </w:pPr>
            <w:r>
              <w:rPr>
                <w:rFonts w:hint="eastAsia"/>
                <w:color w:val="auto"/>
                <w:highlight w:val="none"/>
                <w:lang w:val="zh-CN" w:eastAsia="zh-CN"/>
              </w:rPr>
              <w:t>工厂门窗边框保护膜包裹做法整体示意图</w:t>
            </w:r>
          </w:p>
        </w:tc>
        <w:tc>
          <w:tcPr>
            <w:tcW w:w="795" w:type="dxa"/>
            <w:vMerge w:val="continue"/>
            <w:tcBorders>
              <w:top w:val="single" w:color="auto" w:sz="4" w:space="0"/>
              <w:left w:val="single" w:color="auto" w:sz="4" w:space="0"/>
              <w:bottom w:val="single" w:color="auto" w:sz="4" w:space="0"/>
              <w:right w:val="single" w:color="auto" w:sz="4" w:space="0"/>
            </w:tcBorders>
            <w:vAlign w:val="center"/>
          </w:tcPr>
          <w:p w14:paraId="1FA86330">
            <w:pPr>
              <w:pStyle w:val="14"/>
              <w:bidi w:val="0"/>
              <w:rPr>
                <w:color w:val="auto"/>
                <w:highlight w:val="none"/>
                <w:lang w:val="zh-CN" w:eastAsia="zh-CN"/>
              </w:rPr>
            </w:pPr>
          </w:p>
        </w:tc>
      </w:tr>
      <w:tr w14:paraId="37F9010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tcBorders>
              <w:top w:val="single" w:color="auto" w:sz="4" w:space="0"/>
              <w:left w:val="single" w:color="auto" w:sz="4" w:space="0"/>
              <w:bottom w:val="single" w:color="auto" w:sz="4" w:space="0"/>
              <w:right w:val="single" w:color="auto" w:sz="4" w:space="0"/>
            </w:tcBorders>
            <w:vAlign w:val="center"/>
          </w:tcPr>
          <w:p w14:paraId="03068776">
            <w:pPr>
              <w:pStyle w:val="14"/>
              <w:bidi w:val="0"/>
              <w:rPr>
                <w:color w:val="auto"/>
                <w:highlight w:val="none"/>
                <w:lang w:val="zh-CN" w:eastAsia="zh-CN"/>
              </w:rPr>
            </w:pPr>
          </w:p>
        </w:tc>
        <w:tc>
          <w:tcPr>
            <w:tcW w:w="484" w:type="dxa"/>
            <w:vMerge w:val="continue"/>
            <w:tcBorders>
              <w:top w:val="single" w:color="auto" w:sz="4" w:space="0"/>
              <w:left w:val="single" w:color="auto" w:sz="4" w:space="0"/>
              <w:bottom w:val="single" w:color="auto" w:sz="4" w:space="0"/>
              <w:right w:val="single" w:color="auto" w:sz="4" w:space="0"/>
            </w:tcBorders>
            <w:vAlign w:val="center"/>
          </w:tcPr>
          <w:p w14:paraId="7F8DFCE9">
            <w:pPr>
              <w:pStyle w:val="14"/>
              <w:bidi w:val="0"/>
              <w:rPr>
                <w:color w:val="auto"/>
                <w:highlight w:val="none"/>
                <w:lang w:val="zh-CN" w:eastAsia="zh-CN"/>
              </w:rPr>
            </w:pPr>
          </w:p>
        </w:tc>
        <w:tc>
          <w:tcPr>
            <w:tcW w:w="570" w:type="dxa"/>
            <w:vMerge w:val="continue"/>
            <w:tcBorders>
              <w:top w:val="single" w:color="auto" w:sz="4" w:space="0"/>
              <w:left w:val="single" w:color="auto" w:sz="4" w:space="0"/>
              <w:bottom w:val="single" w:color="auto" w:sz="4" w:space="0"/>
              <w:right w:val="single" w:color="auto" w:sz="4" w:space="0"/>
            </w:tcBorders>
            <w:vAlign w:val="center"/>
          </w:tcPr>
          <w:p w14:paraId="019299C9">
            <w:pPr>
              <w:pStyle w:val="14"/>
              <w:bidi w:val="0"/>
              <w:rPr>
                <w:color w:val="auto"/>
                <w:highlight w:val="none"/>
                <w:lang w:val="zh-CN" w:eastAsia="zh-CN"/>
              </w:rPr>
            </w:pPr>
          </w:p>
        </w:tc>
        <w:tc>
          <w:tcPr>
            <w:tcW w:w="2447" w:type="dxa"/>
            <w:vMerge w:val="continue"/>
            <w:tcBorders>
              <w:top w:val="single" w:color="auto" w:sz="4" w:space="0"/>
              <w:left w:val="single" w:color="auto" w:sz="4" w:space="0"/>
              <w:bottom w:val="single" w:color="auto" w:sz="4" w:space="0"/>
              <w:right w:val="single" w:color="auto" w:sz="4" w:space="0"/>
            </w:tcBorders>
            <w:vAlign w:val="center"/>
          </w:tcPr>
          <w:p w14:paraId="1EA806FC">
            <w:pPr>
              <w:pStyle w:val="14"/>
              <w:bidi w:val="0"/>
              <w:rPr>
                <w:color w:val="auto"/>
                <w:highlight w:val="none"/>
                <w:lang w:val="zh-CN" w:eastAsia="zh-CN"/>
              </w:rPr>
            </w:pPr>
          </w:p>
        </w:tc>
        <w:tc>
          <w:tcPr>
            <w:tcW w:w="4200" w:type="dxa"/>
            <w:vMerge w:val="continue"/>
            <w:tcBorders>
              <w:top w:val="single" w:color="auto" w:sz="4" w:space="0"/>
              <w:left w:val="single" w:color="auto" w:sz="4" w:space="0"/>
              <w:bottom w:val="single" w:color="auto" w:sz="4" w:space="0"/>
              <w:right w:val="single" w:color="auto" w:sz="4" w:space="0"/>
            </w:tcBorders>
            <w:vAlign w:val="center"/>
          </w:tcPr>
          <w:p w14:paraId="765ED914">
            <w:pPr>
              <w:pStyle w:val="14"/>
              <w:bidi w:val="0"/>
              <w:rPr>
                <w:color w:val="auto"/>
                <w:highlight w:val="none"/>
                <w:lang w:val="zh-CN" w:eastAsia="zh-CN"/>
              </w:rPr>
            </w:pPr>
          </w:p>
        </w:tc>
        <w:tc>
          <w:tcPr>
            <w:tcW w:w="4414" w:type="dxa"/>
            <w:vMerge w:val="continue"/>
            <w:tcBorders>
              <w:top w:val="single" w:color="auto" w:sz="4" w:space="0"/>
              <w:left w:val="single" w:color="auto" w:sz="4" w:space="0"/>
              <w:bottom w:val="single" w:color="auto" w:sz="4" w:space="0"/>
              <w:right w:val="single" w:color="auto" w:sz="4" w:space="0"/>
            </w:tcBorders>
            <w:vAlign w:val="center"/>
          </w:tcPr>
          <w:p w14:paraId="111A8FDD">
            <w:pPr>
              <w:pStyle w:val="14"/>
              <w:bidi w:val="0"/>
              <w:rPr>
                <w:color w:val="auto"/>
                <w:highlight w:val="none"/>
                <w:lang w:val="zh-CN" w:eastAsia="zh-CN"/>
              </w:rPr>
            </w:pPr>
          </w:p>
        </w:tc>
        <w:tc>
          <w:tcPr>
            <w:tcW w:w="795" w:type="dxa"/>
            <w:tcBorders>
              <w:top w:val="single" w:color="auto" w:sz="4" w:space="0"/>
              <w:left w:val="single" w:color="auto" w:sz="4" w:space="0"/>
              <w:bottom w:val="single" w:color="auto" w:sz="4" w:space="0"/>
              <w:right w:val="single" w:color="auto" w:sz="4" w:space="0"/>
            </w:tcBorders>
            <w:vAlign w:val="center"/>
          </w:tcPr>
          <w:p w14:paraId="59D4371F">
            <w:pPr>
              <w:pStyle w:val="14"/>
              <w:bidi w:val="0"/>
              <w:rPr>
                <w:color w:val="auto"/>
                <w:highlight w:val="none"/>
                <w:lang w:val="zh-CN" w:eastAsia="zh-CN"/>
              </w:rPr>
            </w:pPr>
          </w:p>
        </w:tc>
      </w:tr>
      <w:tr w14:paraId="4C5953A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restart"/>
            <w:tcBorders>
              <w:top w:val="single" w:color="auto" w:sz="4" w:space="0"/>
            </w:tcBorders>
            <w:vAlign w:val="center"/>
          </w:tcPr>
          <w:p w14:paraId="6A6FFB3C">
            <w:pPr>
              <w:pStyle w:val="14"/>
              <w:bidi w:val="0"/>
              <w:rPr>
                <w:color w:val="auto"/>
                <w:highlight w:val="none"/>
                <w:lang w:val="zh-CN" w:eastAsia="zh-CN"/>
              </w:rPr>
            </w:pPr>
          </w:p>
        </w:tc>
        <w:tc>
          <w:tcPr>
            <w:tcW w:w="484" w:type="dxa"/>
            <w:vMerge w:val="restart"/>
            <w:tcBorders>
              <w:top w:val="single" w:color="auto" w:sz="4" w:space="0"/>
            </w:tcBorders>
            <w:vAlign w:val="center"/>
          </w:tcPr>
          <w:p w14:paraId="08D68C86">
            <w:pPr>
              <w:pStyle w:val="14"/>
              <w:bidi w:val="0"/>
              <w:rPr>
                <w:color w:val="auto"/>
                <w:highlight w:val="none"/>
                <w:lang w:val="zh-CN" w:eastAsia="zh-CN"/>
              </w:rPr>
            </w:pPr>
            <w:r>
              <w:rPr>
                <w:color w:val="auto"/>
                <w:highlight w:val="none"/>
                <w:lang w:val="zh-CN" w:eastAsia="zh-CN"/>
              </w:rPr>
              <w:t>包装</w:t>
            </w:r>
          </w:p>
        </w:tc>
        <w:tc>
          <w:tcPr>
            <w:tcW w:w="570" w:type="dxa"/>
            <w:vMerge w:val="restart"/>
            <w:tcBorders>
              <w:top w:val="single" w:color="auto" w:sz="4" w:space="0"/>
            </w:tcBorders>
            <w:vAlign w:val="center"/>
          </w:tcPr>
          <w:p w14:paraId="6FFEFE08">
            <w:pPr>
              <w:pStyle w:val="14"/>
              <w:bidi w:val="0"/>
              <w:rPr>
                <w:color w:val="auto"/>
                <w:highlight w:val="none"/>
                <w:lang w:val="zh-CN" w:eastAsia="zh-CN"/>
              </w:rPr>
            </w:pPr>
            <w:r>
              <w:rPr>
                <w:color w:val="auto"/>
                <w:highlight w:val="none"/>
                <w:lang w:val="zh-CN" w:eastAsia="zh-CN"/>
              </w:rPr>
              <w:t>开启扇</w:t>
            </w:r>
          </w:p>
        </w:tc>
        <w:tc>
          <w:tcPr>
            <w:tcW w:w="2447" w:type="dxa"/>
            <w:vMerge w:val="restart"/>
            <w:tcBorders>
              <w:top w:val="single" w:color="auto" w:sz="4" w:space="0"/>
            </w:tcBorders>
            <w:vAlign w:val="center"/>
          </w:tcPr>
          <w:p w14:paraId="065CF73D">
            <w:pPr>
              <w:pStyle w:val="14"/>
              <w:bidi w:val="0"/>
              <w:rPr>
                <w:color w:val="auto"/>
                <w:highlight w:val="none"/>
                <w:lang w:val="zh-CN" w:eastAsia="zh-CN"/>
              </w:rPr>
            </w:pPr>
            <w:r>
              <w:rPr>
                <w:color w:val="auto"/>
                <w:highlight w:val="none"/>
                <w:lang w:val="zh-CN" w:eastAsia="zh-CN"/>
              </w:rPr>
              <w:t>门窗开启扇应在</w:t>
            </w:r>
          </w:p>
          <w:p w14:paraId="6772F694">
            <w:pPr>
              <w:pStyle w:val="14"/>
              <w:bidi w:val="0"/>
              <w:rPr>
                <w:color w:val="auto"/>
                <w:highlight w:val="none"/>
                <w:lang w:val="zh-CN" w:eastAsia="zh-CN"/>
              </w:rPr>
            </w:pPr>
            <w:r>
              <w:rPr>
                <w:color w:val="auto"/>
                <w:highlight w:val="none"/>
                <w:lang w:val="zh-CN" w:eastAsia="zh-CN"/>
              </w:rPr>
              <w:t>加工厂完成玻璃</w:t>
            </w:r>
          </w:p>
          <w:p w14:paraId="5729F24D">
            <w:pPr>
              <w:pStyle w:val="14"/>
              <w:bidi w:val="0"/>
              <w:rPr>
                <w:color w:val="auto"/>
                <w:highlight w:val="none"/>
                <w:lang w:val="zh-CN" w:eastAsia="zh-CN"/>
              </w:rPr>
            </w:pPr>
            <w:r>
              <w:rPr>
                <w:color w:val="auto"/>
                <w:highlight w:val="none"/>
                <w:lang w:val="zh-CN" w:eastAsia="zh-CN"/>
              </w:rPr>
              <w:t>、五金组装，以</w:t>
            </w:r>
          </w:p>
          <w:p w14:paraId="7D6CE1A1">
            <w:pPr>
              <w:pStyle w:val="14"/>
              <w:bidi w:val="0"/>
              <w:rPr>
                <w:color w:val="auto"/>
                <w:highlight w:val="none"/>
                <w:lang w:val="zh-CN" w:eastAsia="zh-CN"/>
              </w:rPr>
            </w:pPr>
            <w:r>
              <w:rPr>
                <w:color w:val="auto"/>
                <w:highlight w:val="none"/>
                <w:lang w:val="zh-CN" w:eastAsia="zh-CN"/>
              </w:rPr>
              <w:t>避免后期现场交</w:t>
            </w:r>
          </w:p>
          <w:p w14:paraId="734B1366">
            <w:pPr>
              <w:pStyle w:val="14"/>
              <w:bidi w:val="0"/>
              <w:rPr>
                <w:color w:val="auto"/>
                <w:highlight w:val="none"/>
                <w:lang w:val="zh-CN" w:eastAsia="zh-CN"/>
              </w:rPr>
            </w:pPr>
            <w:r>
              <w:rPr>
                <w:color w:val="auto"/>
                <w:highlight w:val="none"/>
                <w:lang w:val="zh-CN" w:eastAsia="zh-CN"/>
              </w:rPr>
              <w:t>叉施工破坏成品</w:t>
            </w:r>
          </w:p>
          <w:p w14:paraId="505AB29A">
            <w:pPr>
              <w:pStyle w:val="14"/>
              <w:bidi w:val="0"/>
              <w:rPr>
                <w:color w:val="auto"/>
                <w:highlight w:val="none"/>
                <w:lang w:val="zh-CN" w:eastAsia="zh-CN"/>
              </w:rPr>
            </w:pPr>
            <w:r>
              <w:rPr>
                <w:color w:val="auto"/>
                <w:highlight w:val="none"/>
                <w:lang w:val="zh-CN" w:eastAsia="zh-CN"/>
              </w:rPr>
              <w:t>保护，加工厂必</w:t>
            </w:r>
          </w:p>
          <w:p w14:paraId="1817E3BB">
            <w:pPr>
              <w:pStyle w:val="14"/>
              <w:bidi w:val="0"/>
              <w:rPr>
                <w:color w:val="auto"/>
                <w:highlight w:val="none"/>
                <w:lang w:val="zh-CN" w:eastAsia="zh-CN"/>
              </w:rPr>
            </w:pPr>
            <w:r>
              <w:rPr>
                <w:color w:val="auto"/>
                <w:highlight w:val="none"/>
                <w:lang w:val="zh-CN" w:eastAsia="zh-CN"/>
              </w:rPr>
              <w:t>须对开启扇进行</w:t>
            </w:r>
          </w:p>
          <w:p w14:paraId="057D6AD8">
            <w:pPr>
              <w:pStyle w:val="14"/>
              <w:bidi w:val="0"/>
              <w:rPr>
                <w:color w:val="auto"/>
                <w:highlight w:val="none"/>
                <w:lang w:val="zh-CN" w:eastAsia="zh-CN"/>
              </w:rPr>
            </w:pPr>
            <w:r>
              <w:rPr>
                <w:color w:val="auto"/>
                <w:highlight w:val="none"/>
                <w:lang w:val="zh-CN" w:eastAsia="zh-CN"/>
              </w:rPr>
              <w:t>完善的保护，边</w:t>
            </w:r>
          </w:p>
          <w:p w14:paraId="585D4A48">
            <w:pPr>
              <w:pStyle w:val="14"/>
              <w:bidi w:val="0"/>
              <w:rPr>
                <w:color w:val="auto"/>
                <w:highlight w:val="none"/>
                <w:lang w:val="zh-CN" w:eastAsia="zh-CN"/>
              </w:rPr>
            </w:pPr>
            <w:r>
              <w:rPr>
                <w:color w:val="auto"/>
                <w:highlight w:val="none"/>
                <w:lang w:val="zh-CN" w:eastAsia="zh-CN"/>
              </w:rPr>
              <w:t>框用硬质胶纸对五金进行保护。</w:t>
            </w:r>
          </w:p>
          <w:p w14:paraId="70010BC6">
            <w:pPr>
              <w:pStyle w:val="14"/>
              <w:bidi w:val="0"/>
              <w:rPr>
                <w:color w:val="auto"/>
                <w:highlight w:val="none"/>
                <w:lang w:val="zh-CN" w:eastAsia="zh-CN"/>
              </w:rPr>
            </w:pPr>
            <w:r>
              <w:rPr>
                <w:color w:val="auto"/>
                <w:highlight w:val="none"/>
                <w:lang w:val="zh-CN" w:eastAsia="zh-CN"/>
              </w:rPr>
              <w:t>门窗扇安装后，</w:t>
            </w:r>
          </w:p>
          <w:p w14:paraId="0CF925F2">
            <w:pPr>
              <w:pStyle w:val="14"/>
              <w:bidi w:val="0"/>
              <w:rPr>
                <w:color w:val="auto"/>
                <w:highlight w:val="none"/>
                <w:lang w:val="zh-CN" w:eastAsia="zh-CN"/>
              </w:rPr>
            </w:pPr>
            <w:r>
              <w:rPr>
                <w:color w:val="auto"/>
                <w:highlight w:val="none"/>
                <w:lang w:val="zh-CN" w:eastAsia="zh-CN"/>
              </w:rPr>
              <w:t>关窗锁门，以防</w:t>
            </w:r>
          </w:p>
          <w:p w14:paraId="182CE96A">
            <w:pPr>
              <w:pStyle w:val="14"/>
              <w:bidi w:val="0"/>
              <w:rPr>
                <w:color w:val="auto"/>
                <w:highlight w:val="none"/>
                <w:lang w:val="zh-CN" w:eastAsia="zh-CN"/>
              </w:rPr>
            </w:pPr>
            <w:r>
              <w:rPr>
                <w:color w:val="auto"/>
                <w:highlight w:val="none"/>
                <w:lang w:val="zh-CN" w:eastAsia="zh-CN"/>
              </w:rPr>
              <w:t>风吹损坏门窗。</w:t>
            </w:r>
          </w:p>
          <w:p w14:paraId="28D4F620">
            <w:pPr>
              <w:pStyle w:val="14"/>
              <w:bidi w:val="0"/>
              <w:rPr>
                <w:color w:val="auto"/>
                <w:highlight w:val="none"/>
                <w:lang w:val="zh-CN" w:eastAsia="zh-CN"/>
              </w:rPr>
            </w:pPr>
            <w:r>
              <w:rPr>
                <w:color w:val="auto"/>
                <w:highlight w:val="none"/>
                <w:lang w:val="zh-CN" w:eastAsia="zh-CN"/>
              </w:rPr>
              <w:t>如现场存在门窗</w:t>
            </w:r>
          </w:p>
          <w:p w14:paraId="7A470DDD">
            <w:pPr>
              <w:pStyle w:val="14"/>
              <w:bidi w:val="0"/>
              <w:rPr>
                <w:color w:val="auto"/>
                <w:highlight w:val="none"/>
                <w:lang w:val="zh-CN" w:eastAsia="zh-CN"/>
              </w:rPr>
            </w:pPr>
            <w:r>
              <w:rPr>
                <w:color w:val="auto"/>
                <w:highlight w:val="none"/>
                <w:lang w:val="zh-CN" w:eastAsia="zh-CN"/>
              </w:rPr>
              <w:t>未装锁、钢（含</w:t>
            </w:r>
          </w:p>
          <w:p w14:paraId="2DF1EA75">
            <w:pPr>
              <w:pStyle w:val="14"/>
              <w:bidi w:val="0"/>
              <w:rPr>
                <w:color w:val="auto"/>
                <w:highlight w:val="none"/>
                <w:lang w:val="zh-CN" w:eastAsia="zh-CN"/>
              </w:rPr>
            </w:pPr>
            <w:r>
              <w:rPr>
                <w:color w:val="auto"/>
                <w:highlight w:val="none"/>
                <w:lang w:val="zh-CN" w:eastAsia="zh-CN"/>
              </w:rPr>
              <w:t>塑料）窗未装撑</w:t>
            </w:r>
          </w:p>
          <w:p w14:paraId="70FF6078">
            <w:pPr>
              <w:pStyle w:val="14"/>
              <w:bidi w:val="0"/>
              <w:rPr>
                <w:color w:val="auto"/>
                <w:highlight w:val="none"/>
                <w:lang w:val="zh-CN" w:eastAsia="zh-CN"/>
              </w:rPr>
            </w:pPr>
            <w:r>
              <w:rPr>
                <w:color w:val="auto"/>
                <w:highlight w:val="none"/>
                <w:lang w:val="zh-CN" w:eastAsia="zh-CN"/>
              </w:rPr>
              <w:t>挡，则应用木楔</w:t>
            </w:r>
          </w:p>
          <w:p w14:paraId="76289087">
            <w:pPr>
              <w:pStyle w:val="14"/>
              <w:bidi w:val="0"/>
              <w:rPr>
                <w:color w:val="auto"/>
                <w:highlight w:val="none"/>
                <w:lang w:val="zh-CN" w:eastAsia="zh-CN"/>
              </w:rPr>
            </w:pPr>
            <w:r>
              <w:rPr>
                <w:color w:val="auto"/>
                <w:highlight w:val="none"/>
                <w:lang w:val="zh-CN" w:eastAsia="zh-CN"/>
              </w:rPr>
              <w:t>塞紧以防开启，</w:t>
            </w:r>
          </w:p>
          <w:p w14:paraId="62621FE0">
            <w:pPr>
              <w:pStyle w:val="14"/>
              <w:bidi w:val="0"/>
              <w:rPr>
                <w:color w:val="auto"/>
                <w:highlight w:val="none"/>
                <w:lang w:val="zh-CN" w:eastAsia="zh-CN"/>
              </w:rPr>
            </w:pPr>
            <w:r>
              <w:rPr>
                <w:color w:val="auto"/>
                <w:highlight w:val="none"/>
                <w:lang w:val="zh-CN" w:eastAsia="zh-CN"/>
              </w:rPr>
              <w:t>并有专人管理。</w:t>
            </w:r>
          </w:p>
        </w:tc>
        <w:tc>
          <w:tcPr>
            <w:tcW w:w="4200" w:type="dxa"/>
            <w:tcBorders>
              <w:top w:val="single" w:color="auto" w:sz="4" w:space="0"/>
            </w:tcBorders>
            <w:vAlign w:val="center"/>
          </w:tcPr>
          <w:p w14:paraId="0B17E7E9">
            <w:pPr>
              <w:pStyle w:val="14"/>
              <w:bidi w:val="0"/>
              <w:rPr>
                <w:color w:val="auto"/>
                <w:highlight w:val="none"/>
                <w:lang w:val="zh-CN" w:eastAsia="zh-CN"/>
              </w:rPr>
            </w:pPr>
            <w:r>
              <w:rPr>
                <w:color w:val="auto"/>
                <w:highlight w:val="none"/>
                <w:lang w:val="zh-CN" w:eastAsia="zh-CN"/>
              </w:rPr>
              <w:drawing>
                <wp:inline distT="0" distB="0" distL="0" distR="0">
                  <wp:extent cx="2343150" cy="1971040"/>
                  <wp:effectExtent l="0" t="0" r="0" b="635"/>
                  <wp:docPr id="217"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image112.jpeg"/>
                          <pic:cNvPicPr>
                            <a:picLocks noChangeAspect="1"/>
                          </pic:cNvPicPr>
                        </pic:nvPicPr>
                        <pic:blipFill>
                          <a:blip r:embed="rId77" cstate="print"/>
                          <a:stretch>
                            <a:fillRect/>
                          </a:stretch>
                        </pic:blipFill>
                        <pic:spPr>
                          <a:xfrm>
                            <a:off x="0" y="0"/>
                            <a:ext cx="2349162" cy="1976338"/>
                          </a:xfrm>
                          <a:prstGeom prst="rect">
                            <a:avLst/>
                          </a:prstGeom>
                        </pic:spPr>
                      </pic:pic>
                    </a:graphicData>
                  </a:graphic>
                </wp:inline>
              </w:drawing>
            </w:r>
          </w:p>
        </w:tc>
        <w:tc>
          <w:tcPr>
            <w:tcW w:w="4414" w:type="dxa"/>
            <w:tcBorders>
              <w:top w:val="single" w:color="auto" w:sz="4" w:space="0"/>
            </w:tcBorders>
            <w:vAlign w:val="center"/>
          </w:tcPr>
          <w:p w14:paraId="4AC02657">
            <w:pPr>
              <w:pStyle w:val="14"/>
              <w:bidi w:val="0"/>
              <w:rPr>
                <w:color w:val="auto"/>
                <w:highlight w:val="none"/>
                <w:lang w:val="zh-CN" w:eastAsia="zh-CN"/>
              </w:rPr>
            </w:pPr>
          </w:p>
        </w:tc>
        <w:tc>
          <w:tcPr>
            <w:tcW w:w="795" w:type="dxa"/>
            <w:vMerge w:val="restart"/>
            <w:tcBorders>
              <w:top w:val="single" w:color="auto" w:sz="4" w:space="0"/>
            </w:tcBorders>
            <w:vAlign w:val="center"/>
          </w:tcPr>
          <w:p w14:paraId="6157E2E3">
            <w:pPr>
              <w:pStyle w:val="14"/>
              <w:bidi w:val="0"/>
              <w:rPr>
                <w:color w:val="auto"/>
                <w:highlight w:val="none"/>
                <w:lang w:val="zh-CN" w:eastAsia="zh-CN"/>
              </w:rPr>
            </w:pPr>
          </w:p>
        </w:tc>
      </w:tr>
      <w:tr w14:paraId="683B6F4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tcBorders>
              <w:top w:val="nil"/>
              <w:bottom w:val="single" w:color="auto" w:sz="4" w:space="0"/>
            </w:tcBorders>
            <w:vAlign w:val="center"/>
          </w:tcPr>
          <w:p w14:paraId="5DC78F06">
            <w:pPr>
              <w:pStyle w:val="14"/>
              <w:bidi w:val="0"/>
              <w:rPr>
                <w:color w:val="auto"/>
                <w:highlight w:val="none"/>
                <w:lang w:val="zh-CN" w:eastAsia="zh-CN"/>
              </w:rPr>
            </w:pPr>
          </w:p>
        </w:tc>
        <w:tc>
          <w:tcPr>
            <w:tcW w:w="484" w:type="dxa"/>
            <w:vMerge w:val="continue"/>
            <w:tcBorders>
              <w:bottom w:val="single" w:color="auto" w:sz="4" w:space="0"/>
            </w:tcBorders>
            <w:vAlign w:val="center"/>
          </w:tcPr>
          <w:p w14:paraId="1457A966">
            <w:pPr>
              <w:pStyle w:val="14"/>
              <w:bidi w:val="0"/>
              <w:rPr>
                <w:color w:val="auto"/>
                <w:highlight w:val="none"/>
                <w:lang w:val="zh-CN" w:eastAsia="zh-CN"/>
              </w:rPr>
            </w:pPr>
          </w:p>
        </w:tc>
        <w:tc>
          <w:tcPr>
            <w:tcW w:w="570" w:type="dxa"/>
            <w:vMerge w:val="continue"/>
            <w:tcBorders>
              <w:bottom w:val="single" w:color="auto" w:sz="4" w:space="0"/>
            </w:tcBorders>
            <w:vAlign w:val="center"/>
          </w:tcPr>
          <w:p w14:paraId="1EC62C93">
            <w:pPr>
              <w:pStyle w:val="14"/>
              <w:bidi w:val="0"/>
              <w:rPr>
                <w:color w:val="auto"/>
                <w:highlight w:val="none"/>
                <w:lang w:val="zh-CN" w:eastAsia="zh-CN"/>
              </w:rPr>
            </w:pPr>
          </w:p>
        </w:tc>
        <w:tc>
          <w:tcPr>
            <w:tcW w:w="2447" w:type="dxa"/>
            <w:vMerge w:val="continue"/>
            <w:tcBorders>
              <w:bottom w:val="single" w:color="auto" w:sz="4" w:space="0"/>
            </w:tcBorders>
            <w:vAlign w:val="center"/>
          </w:tcPr>
          <w:p w14:paraId="7551E36D">
            <w:pPr>
              <w:pStyle w:val="14"/>
              <w:bidi w:val="0"/>
              <w:rPr>
                <w:color w:val="auto"/>
                <w:highlight w:val="none"/>
                <w:lang w:val="zh-CN" w:eastAsia="zh-CN"/>
              </w:rPr>
            </w:pPr>
          </w:p>
        </w:tc>
        <w:tc>
          <w:tcPr>
            <w:tcW w:w="4200" w:type="dxa"/>
            <w:tcBorders>
              <w:bottom w:val="single" w:color="auto" w:sz="4" w:space="0"/>
            </w:tcBorders>
            <w:vAlign w:val="center"/>
          </w:tcPr>
          <w:p w14:paraId="483D844C">
            <w:pPr>
              <w:pStyle w:val="14"/>
              <w:bidi w:val="0"/>
              <w:rPr>
                <w:color w:val="auto"/>
                <w:highlight w:val="none"/>
                <w:lang w:val="zh-CN" w:eastAsia="zh-CN"/>
              </w:rPr>
            </w:pPr>
            <w:r>
              <w:rPr>
                <w:rFonts w:hint="eastAsia"/>
                <w:color w:val="auto"/>
                <w:highlight w:val="none"/>
                <w:lang w:val="zh-CN" w:eastAsia="zh-CN"/>
              </w:rPr>
              <w:t>开启扇组装完成后边部有硬纸壳保护边框和里面五金</w:t>
            </w:r>
          </w:p>
        </w:tc>
        <w:tc>
          <w:tcPr>
            <w:tcW w:w="4414" w:type="dxa"/>
            <w:tcBorders>
              <w:bottom w:val="single" w:color="auto" w:sz="4" w:space="0"/>
            </w:tcBorders>
            <w:vAlign w:val="center"/>
          </w:tcPr>
          <w:p w14:paraId="630522EB">
            <w:pPr>
              <w:pStyle w:val="14"/>
              <w:bidi w:val="0"/>
              <w:rPr>
                <w:color w:val="auto"/>
                <w:highlight w:val="none"/>
                <w:lang w:val="zh-CN" w:eastAsia="zh-CN"/>
              </w:rPr>
            </w:pPr>
          </w:p>
        </w:tc>
        <w:tc>
          <w:tcPr>
            <w:tcW w:w="795" w:type="dxa"/>
            <w:vMerge w:val="continue"/>
            <w:tcBorders>
              <w:top w:val="nil"/>
              <w:bottom w:val="single" w:color="auto" w:sz="4" w:space="0"/>
            </w:tcBorders>
            <w:vAlign w:val="center"/>
          </w:tcPr>
          <w:p w14:paraId="35EAE423">
            <w:pPr>
              <w:pStyle w:val="14"/>
              <w:bidi w:val="0"/>
              <w:rPr>
                <w:color w:val="auto"/>
                <w:highlight w:val="none"/>
                <w:lang w:val="zh-CN" w:eastAsia="zh-CN"/>
              </w:rPr>
            </w:pPr>
          </w:p>
        </w:tc>
      </w:tr>
      <w:tr w14:paraId="72D09C1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restart"/>
            <w:tcBorders>
              <w:top w:val="single" w:color="auto" w:sz="4" w:space="0"/>
              <w:left w:val="single" w:color="auto" w:sz="4" w:space="0"/>
              <w:bottom w:val="single" w:color="auto" w:sz="4" w:space="0"/>
              <w:right w:val="single" w:color="auto" w:sz="4" w:space="0"/>
            </w:tcBorders>
            <w:vAlign w:val="center"/>
          </w:tcPr>
          <w:p w14:paraId="3A00E13E">
            <w:pPr>
              <w:pStyle w:val="14"/>
              <w:bidi w:val="0"/>
              <w:rPr>
                <w:color w:val="auto"/>
                <w:highlight w:val="none"/>
                <w:lang w:val="zh-CN" w:eastAsia="zh-CN"/>
              </w:rPr>
            </w:pPr>
            <w:r>
              <w:rPr>
                <w:color w:val="auto"/>
                <w:highlight w:val="none"/>
                <w:lang w:val="zh-CN" w:eastAsia="zh-CN"/>
              </w:rPr>
              <w:t>5</w:t>
            </w:r>
          </w:p>
        </w:tc>
        <w:tc>
          <w:tcPr>
            <w:tcW w:w="484" w:type="dxa"/>
            <w:vMerge w:val="restart"/>
            <w:tcBorders>
              <w:top w:val="single" w:color="auto" w:sz="4" w:space="0"/>
              <w:left w:val="single" w:color="auto" w:sz="4" w:space="0"/>
              <w:bottom w:val="single" w:color="auto" w:sz="4" w:space="0"/>
              <w:right w:val="single" w:color="auto" w:sz="4" w:space="0"/>
            </w:tcBorders>
            <w:vAlign w:val="center"/>
          </w:tcPr>
          <w:p w14:paraId="282DD377">
            <w:pPr>
              <w:pStyle w:val="14"/>
              <w:bidi w:val="0"/>
              <w:rPr>
                <w:color w:val="auto"/>
                <w:highlight w:val="none"/>
                <w:lang w:val="zh-CN" w:eastAsia="zh-CN"/>
              </w:rPr>
            </w:pPr>
            <w:r>
              <w:rPr>
                <w:color w:val="auto"/>
                <w:highlight w:val="none"/>
                <w:lang w:val="zh-CN" w:eastAsia="zh-CN"/>
              </w:rPr>
              <w:t>工厂包装</w:t>
            </w:r>
          </w:p>
        </w:tc>
        <w:tc>
          <w:tcPr>
            <w:tcW w:w="570" w:type="dxa"/>
            <w:vMerge w:val="restart"/>
            <w:tcBorders>
              <w:top w:val="single" w:color="auto" w:sz="4" w:space="0"/>
              <w:left w:val="single" w:color="auto" w:sz="4" w:space="0"/>
              <w:bottom w:val="single" w:color="auto" w:sz="4" w:space="0"/>
              <w:right w:val="single" w:color="auto" w:sz="4" w:space="0"/>
            </w:tcBorders>
            <w:vAlign w:val="center"/>
          </w:tcPr>
          <w:p w14:paraId="5C40FC5A">
            <w:pPr>
              <w:pStyle w:val="14"/>
              <w:bidi w:val="0"/>
              <w:rPr>
                <w:color w:val="auto"/>
                <w:highlight w:val="none"/>
                <w:lang w:val="zh-CN" w:eastAsia="zh-CN"/>
              </w:rPr>
            </w:pPr>
            <w:r>
              <w:rPr>
                <w:color w:val="auto"/>
                <w:highlight w:val="none"/>
                <w:lang w:val="zh-CN" w:eastAsia="zh-CN"/>
              </w:rPr>
              <w:t>开启</w:t>
            </w:r>
          </w:p>
          <w:p w14:paraId="3ABA0C8E">
            <w:pPr>
              <w:pStyle w:val="14"/>
              <w:bidi w:val="0"/>
              <w:rPr>
                <w:color w:val="auto"/>
                <w:highlight w:val="none"/>
                <w:lang w:val="zh-CN" w:eastAsia="zh-CN"/>
              </w:rPr>
            </w:pPr>
            <w:r>
              <w:rPr>
                <w:color w:val="auto"/>
                <w:highlight w:val="none"/>
                <w:lang w:val="zh-CN" w:eastAsia="zh-CN"/>
              </w:rPr>
              <w:t>扇保护做</w:t>
            </w:r>
          </w:p>
          <w:p w14:paraId="4924D271">
            <w:pPr>
              <w:pStyle w:val="14"/>
              <w:bidi w:val="0"/>
              <w:rPr>
                <w:color w:val="auto"/>
                <w:highlight w:val="none"/>
                <w:lang w:val="zh-CN" w:eastAsia="zh-CN"/>
              </w:rPr>
            </w:pPr>
            <w:r>
              <w:rPr>
                <w:color w:val="auto"/>
                <w:highlight w:val="none"/>
                <w:lang w:val="zh-CN" w:eastAsia="zh-CN"/>
              </w:rPr>
              <w:t>法图</w:t>
            </w:r>
          </w:p>
          <w:p w14:paraId="572E9E39">
            <w:pPr>
              <w:pStyle w:val="14"/>
              <w:bidi w:val="0"/>
              <w:rPr>
                <w:color w:val="auto"/>
                <w:highlight w:val="none"/>
                <w:lang w:val="zh-CN" w:eastAsia="zh-CN"/>
              </w:rPr>
            </w:pPr>
            <w:r>
              <w:rPr>
                <w:color w:val="auto"/>
                <w:highlight w:val="none"/>
                <w:lang w:val="zh-CN" w:eastAsia="zh-CN"/>
              </w:rPr>
              <w:t>示</w:t>
            </w:r>
          </w:p>
        </w:tc>
        <w:tc>
          <w:tcPr>
            <w:tcW w:w="2447" w:type="dxa"/>
            <w:vMerge w:val="restart"/>
            <w:tcBorders>
              <w:top w:val="single" w:color="auto" w:sz="4" w:space="0"/>
              <w:left w:val="single" w:color="auto" w:sz="4" w:space="0"/>
              <w:bottom w:val="single" w:color="auto" w:sz="4" w:space="0"/>
              <w:right w:val="single" w:color="auto" w:sz="4" w:space="0"/>
            </w:tcBorders>
            <w:vAlign w:val="center"/>
          </w:tcPr>
          <w:p w14:paraId="59738EA9">
            <w:pPr>
              <w:pStyle w:val="14"/>
              <w:bidi w:val="0"/>
              <w:rPr>
                <w:color w:val="auto"/>
                <w:highlight w:val="none"/>
                <w:lang w:val="zh-CN" w:eastAsia="zh-CN"/>
              </w:rPr>
            </w:pPr>
          </w:p>
        </w:tc>
        <w:tc>
          <w:tcPr>
            <w:tcW w:w="4200" w:type="dxa"/>
            <w:tcBorders>
              <w:top w:val="single" w:color="auto" w:sz="4" w:space="0"/>
              <w:left w:val="single" w:color="auto" w:sz="4" w:space="0"/>
              <w:bottom w:val="single" w:color="auto" w:sz="4" w:space="0"/>
              <w:right w:val="single" w:color="auto" w:sz="4" w:space="0"/>
            </w:tcBorders>
            <w:vAlign w:val="center"/>
          </w:tcPr>
          <w:p w14:paraId="3941282E">
            <w:pPr>
              <w:pStyle w:val="14"/>
              <w:bidi w:val="0"/>
              <w:rPr>
                <w:color w:val="auto"/>
                <w:highlight w:val="none"/>
                <w:lang w:val="zh-CN" w:eastAsia="zh-CN"/>
              </w:rPr>
            </w:pPr>
            <w:r>
              <w:rPr>
                <w:color w:val="auto"/>
                <w:highlight w:val="none"/>
                <w:lang w:val="zh-CN" w:eastAsia="zh-CN"/>
              </w:rPr>
              <w:drawing>
                <wp:inline distT="0" distB="0" distL="0" distR="0">
                  <wp:extent cx="2305050" cy="1667510"/>
                  <wp:effectExtent l="0" t="0" r="0" b="8890"/>
                  <wp:docPr id="221" name="image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image114.png"/>
                          <pic:cNvPicPr>
                            <a:picLocks noChangeAspect="1"/>
                          </pic:cNvPicPr>
                        </pic:nvPicPr>
                        <pic:blipFill>
                          <a:blip r:embed="rId78" cstate="print"/>
                          <a:stretch>
                            <a:fillRect/>
                          </a:stretch>
                        </pic:blipFill>
                        <pic:spPr>
                          <a:xfrm>
                            <a:off x="0" y="0"/>
                            <a:ext cx="2307961" cy="1669841"/>
                          </a:xfrm>
                          <a:prstGeom prst="rect">
                            <a:avLst/>
                          </a:prstGeom>
                        </pic:spPr>
                      </pic:pic>
                    </a:graphicData>
                  </a:graphic>
                </wp:inline>
              </w:drawing>
            </w:r>
          </w:p>
        </w:tc>
        <w:tc>
          <w:tcPr>
            <w:tcW w:w="4414" w:type="dxa"/>
            <w:vMerge w:val="restart"/>
            <w:tcBorders>
              <w:top w:val="single" w:color="auto" w:sz="4" w:space="0"/>
              <w:left w:val="single" w:color="auto" w:sz="4" w:space="0"/>
              <w:bottom w:val="single" w:color="auto" w:sz="4" w:space="0"/>
              <w:right w:val="single" w:color="auto" w:sz="4" w:space="0"/>
            </w:tcBorders>
            <w:vAlign w:val="center"/>
          </w:tcPr>
          <w:p w14:paraId="5245D740">
            <w:pPr>
              <w:pStyle w:val="14"/>
              <w:bidi w:val="0"/>
              <w:rPr>
                <w:color w:val="auto"/>
                <w:highlight w:val="none"/>
                <w:lang w:val="zh-CN" w:eastAsia="zh-CN"/>
              </w:rPr>
            </w:pPr>
          </w:p>
        </w:tc>
        <w:tc>
          <w:tcPr>
            <w:tcW w:w="795" w:type="dxa"/>
            <w:vMerge w:val="restart"/>
            <w:tcBorders>
              <w:top w:val="single" w:color="auto" w:sz="4" w:space="0"/>
              <w:left w:val="single" w:color="auto" w:sz="4" w:space="0"/>
              <w:bottom w:val="single" w:color="auto" w:sz="4" w:space="0"/>
              <w:right w:val="single" w:color="auto" w:sz="4" w:space="0"/>
            </w:tcBorders>
            <w:vAlign w:val="center"/>
          </w:tcPr>
          <w:p w14:paraId="5C3D8021">
            <w:pPr>
              <w:pStyle w:val="14"/>
              <w:bidi w:val="0"/>
              <w:rPr>
                <w:color w:val="auto"/>
                <w:highlight w:val="none"/>
                <w:lang w:val="zh-CN" w:eastAsia="zh-CN"/>
              </w:rPr>
            </w:pPr>
          </w:p>
        </w:tc>
      </w:tr>
      <w:tr w14:paraId="64EF746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tcBorders>
              <w:top w:val="single" w:color="auto" w:sz="4" w:space="0"/>
              <w:left w:val="single" w:color="auto" w:sz="4" w:space="0"/>
              <w:bottom w:val="single" w:color="auto" w:sz="4" w:space="0"/>
              <w:right w:val="single" w:color="auto" w:sz="4" w:space="0"/>
            </w:tcBorders>
            <w:vAlign w:val="center"/>
          </w:tcPr>
          <w:p w14:paraId="00165B9F">
            <w:pPr>
              <w:pStyle w:val="14"/>
              <w:bidi w:val="0"/>
              <w:rPr>
                <w:color w:val="auto"/>
                <w:highlight w:val="none"/>
                <w:lang w:val="zh-CN" w:eastAsia="zh-CN"/>
              </w:rPr>
            </w:pPr>
          </w:p>
        </w:tc>
        <w:tc>
          <w:tcPr>
            <w:tcW w:w="484" w:type="dxa"/>
            <w:vMerge w:val="continue"/>
            <w:tcBorders>
              <w:top w:val="single" w:color="auto" w:sz="4" w:space="0"/>
              <w:left w:val="single" w:color="auto" w:sz="4" w:space="0"/>
              <w:bottom w:val="single" w:color="auto" w:sz="4" w:space="0"/>
              <w:right w:val="single" w:color="auto" w:sz="4" w:space="0"/>
            </w:tcBorders>
            <w:vAlign w:val="center"/>
          </w:tcPr>
          <w:p w14:paraId="3C2FC2E4">
            <w:pPr>
              <w:pStyle w:val="14"/>
              <w:bidi w:val="0"/>
              <w:rPr>
                <w:color w:val="auto"/>
                <w:highlight w:val="none"/>
                <w:lang w:val="zh-CN" w:eastAsia="zh-CN"/>
              </w:rPr>
            </w:pPr>
          </w:p>
        </w:tc>
        <w:tc>
          <w:tcPr>
            <w:tcW w:w="570" w:type="dxa"/>
            <w:vMerge w:val="continue"/>
            <w:tcBorders>
              <w:top w:val="single" w:color="auto" w:sz="4" w:space="0"/>
              <w:left w:val="single" w:color="auto" w:sz="4" w:space="0"/>
              <w:bottom w:val="single" w:color="auto" w:sz="4" w:space="0"/>
              <w:right w:val="single" w:color="auto" w:sz="4" w:space="0"/>
            </w:tcBorders>
            <w:vAlign w:val="center"/>
          </w:tcPr>
          <w:p w14:paraId="5CD479E2">
            <w:pPr>
              <w:pStyle w:val="14"/>
              <w:bidi w:val="0"/>
              <w:rPr>
                <w:color w:val="auto"/>
                <w:highlight w:val="none"/>
                <w:lang w:val="zh-CN" w:eastAsia="zh-CN"/>
              </w:rPr>
            </w:pPr>
          </w:p>
        </w:tc>
        <w:tc>
          <w:tcPr>
            <w:tcW w:w="2447" w:type="dxa"/>
            <w:vMerge w:val="continue"/>
            <w:tcBorders>
              <w:top w:val="single" w:color="auto" w:sz="4" w:space="0"/>
              <w:left w:val="single" w:color="auto" w:sz="4" w:space="0"/>
              <w:bottom w:val="single" w:color="auto" w:sz="4" w:space="0"/>
              <w:right w:val="single" w:color="auto" w:sz="4" w:space="0"/>
            </w:tcBorders>
            <w:vAlign w:val="center"/>
          </w:tcPr>
          <w:p w14:paraId="24160C1C">
            <w:pPr>
              <w:pStyle w:val="14"/>
              <w:bidi w:val="0"/>
              <w:rPr>
                <w:color w:val="auto"/>
                <w:highlight w:val="none"/>
                <w:lang w:val="zh-CN" w:eastAsia="zh-CN"/>
              </w:rPr>
            </w:pPr>
          </w:p>
        </w:tc>
        <w:tc>
          <w:tcPr>
            <w:tcW w:w="4200" w:type="dxa"/>
            <w:tcBorders>
              <w:top w:val="single" w:color="auto" w:sz="4" w:space="0"/>
              <w:left w:val="single" w:color="auto" w:sz="4" w:space="0"/>
              <w:bottom w:val="single" w:color="auto" w:sz="4" w:space="0"/>
              <w:right w:val="single" w:color="auto" w:sz="4" w:space="0"/>
            </w:tcBorders>
            <w:vAlign w:val="center"/>
          </w:tcPr>
          <w:p w14:paraId="10C120C7">
            <w:pPr>
              <w:pStyle w:val="14"/>
              <w:bidi w:val="0"/>
              <w:rPr>
                <w:color w:val="auto"/>
                <w:highlight w:val="none"/>
                <w:lang w:val="zh-CN" w:eastAsia="zh-CN"/>
              </w:rPr>
            </w:pPr>
            <w:r>
              <w:rPr>
                <w:rFonts w:hint="eastAsia"/>
                <w:color w:val="auto"/>
                <w:highlight w:val="none"/>
                <w:lang w:val="zh-CN" w:eastAsia="zh-CN"/>
              </w:rPr>
              <w:t>工厂开启扇边框保护包裹做法大样图图</w:t>
            </w:r>
          </w:p>
        </w:tc>
        <w:tc>
          <w:tcPr>
            <w:tcW w:w="4414" w:type="dxa"/>
            <w:vMerge w:val="continue"/>
            <w:tcBorders>
              <w:top w:val="single" w:color="auto" w:sz="4" w:space="0"/>
              <w:left w:val="single" w:color="auto" w:sz="4" w:space="0"/>
              <w:bottom w:val="single" w:color="auto" w:sz="4" w:space="0"/>
              <w:right w:val="single" w:color="auto" w:sz="4" w:space="0"/>
            </w:tcBorders>
            <w:vAlign w:val="center"/>
          </w:tcPr>
          <w:p w14:paraId="267C1CC3">
            <w:pPr>
              <w:pStyle w:val="14"/>
              <w:bidi w:val="0"/>
              <w:rPr>
                <w:color w:val="auto"/>
                <w:highlight w:val="none"/>
                <w:lang w:val="zh-CN" w:eastAsia="zh-CN"/>
              </w:rPr>
            </w:pPr>
          </w:p>
        </w:tc>
        <w:tc>
          <w:tcPr>
            <w:tcW w:w="795" w:type="dxa"/>
            <w:vMerge w:val="continue"/>
            <w:tcBorders>
              <w:top w:val="single" w:color="auto" w:sz="4" w:space="0"/>
              <w:left w:val="single" w:color="auto" w:sz="4" w:space="0"/>
              <w:bottom w:val="single" w:color="auto" w:sz="4" w:space="0"/>
              <w:right w:val="single" w:color="auto" w:sz="4" w:space="0"/>
            </w:tcBorders>
            <w:vAlign w:val="center"/>
          </w:tcPr>
          <w:p w14:paraId="6E43ADDE">
            <w:pPr>
              <w:pStyle w:val="14"/>
              <w:bidi w:val="0"/>
              <w:rPr>
                <w:color w:val="auto"/>
                <w:highlight w:val="none"/>
                <w:lang w:val="zh-CN" w:eastAsia="zh-CN"/>
              </w:rPr>
            </w:pPr>
          </w:p>
        </w:tc>
      </w:tr>
      <w:tr w14:paraId="16D5A53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tcBorders>
              <w:top w:val="single" w:color="auto" w:sz="4" w:space="0"/>
              <w:left w:val="single" w:color="auto" w:sz="4" w:space="0"/>
              <w:bottom w:val="single" w:color="auto" w:sz="4" w:space="0"/>
              <w:right w:val="single" w:color="auto" w:sz="4" w:space="0"/>
            </w:tcBorders>
            <w:vAlign w:val="center"/>
          </w:tcPr>
          <w:p w14:paraId="6C1516A7">
            <w:pPr>
              <w:pStyle w:val="14"/>
              <w:bidi w:val="0"/>
              <w:rPr>
                <w:color w:val="auto"/>
                <w:highlight w:val="none"/>
                <w:lang w:val="zh-CN" w:eastAsia="zh-CN"/>
              </w:rPr>
            </w:pPr>
            <w:r>
              <w:rPr>
                <w:color w:val="auto"/>
                <w:highlight w:val="none"/>
                <w:lang w:val="zh-CN" w:eastAsia="zh-CN"/>
              </w:rPr>
              <w:t>6</w:t>
            </w:r>
          </w:p>
        </w:tc>
        <w:tc>
          <w:tcPr>
            <w:tcW w:w="484" w:type="dxa"/>
            <w:tcBorders>
              <w:top w:val="single" w:color="auto" w:sz="4" w:space="0"/>
              <w:left w:val="single" w:color="auto" w:sz="4" w:space="0"/>
              <w:bottom w:val="single" w:color="auto" w:sz="4" w:space="0"/>
              <w:right w:val="single" w:color="auto" w:sz="4" w:space="0"/>
            </w:tcBorders>
            <w:vAlign w:val="center"/>
          </w:tcPr>
          <w:p w14:paraId="5A847E90">
            <w:pPr>
              <w:pStyle w:val="14"/>
              <w:bidi w:val="0"/>
              <w:rPr>
                <w:color w:val="auto"/>
                <w:highlight w:val="none"/>
                <w:lang w:val="zh-CN" w:eastAsia="zh-CN"/>
              </w:rPr>
            </w:pPr>
            <w:r>
              <w:rPr>
                <w:color w:val="auto"/>
                <w:highlight w:val="none"/>
                <w:lang w:val="zh-CN" w:eastAsia="zh-CN"/>
              </w:rPr>
              <w:t>现场过程保护</w:t>
            </w:r>
          </w:p>
        </w:tc>
        <w:tc>
          <w:tcPr>
            <w:tcW w:w="570" w:type="dxa"/>
            <w:tcBorders>
              <w:top w:val="single" w:color="auto" w:sz="4" w:space="0"/>
              <w:left w:val="single" w:color="auto" w:sz="4" w:space="0"/>
              <w:bottom w:val="single" w:color="auto" w:sz="4" w:space="0"/>
              <w:right w:val="single" w:color="auto" w:sz="4" w:space="0"/>
            </w:tcBorders>
            <w:vAlign w:val="center"/>
          </w:tcPr>
          <w:p w14:paraId="7ED4E0C2">
            <w:pPr>
              <w:pStyle w:val="14"/>
              <w:bidi w:val="0"/>
              <w:rPr>
                <w:color w:val="auto"/>
                <w:highlight w:val="none"/>
                <w:lang w:val="zh-CN" w:eastAsia="zh-CN"/>
              </w:rPr>
            </w:pPr>
            <w:r>
              <w:rPr>
                <w:color w:val="auto"/>
                <w:highlight w:val="none"/>
                <w:lang w:val="zh-CN" w:eastAsia="zh-CN"/>
              </w:rPr>
              <w:t>窗户现场保护</w:t>
            </w:r>
          </w:p>
        </w:tc>
        <w:tc>
          <w:tcPr>
            <w:tcW w:w="2447" w:type="dxa"/>
            <w:tcBorders>
              <w:top w:val="single" w:color="auto" w:sz="4" w:space="0"/>
              <w:left w:val="single" w:color="auto" w:sz="4" w:space="0"/>
              <w:bottom w:val="single" w:color="auto" w:sz="4" w:space="0"/>
              <w:right w:val="single" w:color="auto" w:sz="4" w:space="0"/>
            </w:tcBorders>
            <w:vAlign w:val="center"/>
          </w:tcPr>
          <w:p w14:paraId="084B24D1">
            <w:pPr>
              <w:pStyle w:val="14"/>
              <w:bidi w:val="0"/>
              <w:rPr>
                <w:color w:val="auto"/>
                <w:highlight w:val="none"/>
                <w:lang w:val="zh-CN" w:eastAsia="zh-CN"/>
              </w:rPr>
            </w:pPr>
            <w:r>
              <w:rPr>
                <w:color w:val="auto"/>
                <w:highlight w:val="none"/>
                <w:lang w:val="zh-CN" w:eastAsia="zh-CN"/>
              </w:rPr>
              <w:t>门窗玻璃以及</w:t>
            </w:r>
            <w:r>
              <w:rPr>
                <w:rFonts w:hint="eastAsia"/>
                <w:color w:val="auto"/>
                <w:highlight w:val="none"/>
                <w:lang w:eastAsia="zh-CN"/>
              </w:rPr>
              <w:t>开</w:t>
            </w:r>
            <w:r>
              <w:rPr>
                <w:color w:val="auto"/>
                <w:highlight w:val="none"/>
                <w:lang w:val="zh-CN" w:eastAsia="zh-CN"/>
              </w:rPr>
              <w:t>启扇安装完成</w:t>
            </w:r>
          </w:p>
          <w:p w14:paraId="32EB23F3">
            <w:pPr>
              <w:pStyle w:val="14"/>
              <w:bidi w:val="0"/>
              <w:rPr>
                <w:color w:val="auto"/>
                <w:highlight w:val="none"/>
                <w:lang w:val="zh-CN" w:eastAsia="zh-CN"/>
              </w:rPr>
            </w:pPr>
            <w:r>
              <w:rPr>
                <w:color w:val="auto"/>
                <w:highlight w:val="none"/>
                <w:lang w:val="zh-CN" w:eastAsia="zh-CN"/>
              </w:rPr>
              <w:t>后，由于整体工</w:t>
            </w:r>
          </w:p>
          <w:p w14:paraId="24F6B7E0">
            <w:pPr>
              <w:pStyle w:val="14"/>
              <w:bidi w:val="0"/>
              <w:rPr>
                <w:color w:val="auto"/>
                <w:highlight w:val="none"/>
                <w:lang w:val="zh-CN" w:eastAsia="zh-CN"/>
              </w:rPr>
            </w:pPr>
            <w:r>
              <w:rPr>
                <w:color w:val="auto"/>
                <w:highlight w:val="none"/>
                <w:lang w:val="zh-CN" w:eastAsia="zh-CN"/>
              </w:rPr>
              <w:t>期的不确定性以</w:t>
            </w:r>
          </w:p>
          <w:p w14:paraId="51A59EE9">
            <w:pPr>
              <w:pStyle w:val="14"/>
              <w:bidi w:val="0"/>
              <w:rPr>
                <w:color w:val="auto"/>
                <w:highlight w:val="none"/>
                <w:lang w:val="zh-CN" w:eastAsia="zh-CN"/>
              </w:rPr>
            </w:pPr>
            <w:r>
              <w:rPr>
                <w:color w:val="auto"/>
                <w:highlight w:val="none"/>
                <w:lang w:val="zh-CN" w:eastAsia="zh-CN"/>
              </w:rPr>
              <w:t>及室内外可能仍</w:t>
            </w:r>
          </w:p>
          <w:p w14:paraId="5C024E90">
            <w:pPr>
              <w:pStyle w:val="14"/>
              <w:bidi w:val="0"/>
              <w:rPr>
                <w:color w:val="auto"/>
                <w:highlight w:val="none"/>
                <w:lang w:val="zh-CN" w:eastAsia="zh-CN"/>
              </w:rPr>
            </w:pPr>
            <w:r>
              <w:rPr>
                <w:color w:val="auto"/>
                <w:highlight w:val="none"/>
                <w:lang w:val="zh-CN" w:eastAsia="zh-CN"/>
              </w:rPr>
              <w:t>有其他作业工作，现可选择性要求施工单位将铝型材原保护膜全部撕掉（避免工期过长膜老化无法撕除），现场重新用糯米胶和硬质塑料将门窗室内外的玻璃以及型材重新全部保护，从根本上杜绝其他后续污染，现场应慎</w:t>
            </w:r>
          </w:p>
          <w:p w14:paraId="472A27B1">
            <w:pPr>
              <w:pStyle w:val="14"/>
              <w:bidi w:val="0"/>
              <w:rPr>
                <w:color w:val="auto"/>
                <w:highlight w:val="none"/>
                <w:lang w:val="zh-CN" w:eastAsia="zh-CN"/>
              </w:rPr>
            </w:pPr>
            <w:r>
              <w:rPr>
                <w:color w:val="auto"/>
                <w:highlight w:val="none"/>
                <w:lang w:val="zh-CN" w:eastAsia="zh-CN"/>
              </w:rPr>
              <w:t>重选择保护膜，应选择厚质、抗老化薄膜。</w:t>
            </w:r>
          </w:p>
        </w:tc>
        <w:tc>
          <w:tcPr>
            <w:tcW w:w="4200" w:type="dxa"/>
            <w:tcBorders>
              <w:top w:val="single" w:color="auto" w:sz="4" w:space="0"/>
              <w:left w:val="single" w:color="auto" w:sz="4" w:space="0"/>
              <w:bottom w:val="single" w:color="auto" w:sz="4" w:space="0"/>
              <w:right w:val="single" w:color="auto" w:sz="4" w:space="0"/>
            </w:tcBorders>
            <w:vAlign w:val="center"/>
          </w:tcPr>
          <w:p w14:paraId="1715F0FE">
            <w:pPr>
              <w:pStyle w:val="14"/>
              <w:bidi w:val="0"/>
              <w:rPr>
                <w:color w:val="auto"/>
                <w:highlight w:val="none"/>
                <w:lang w:val="zh-CN" w:eastAsia="zh-CN"/>
              </w:rPr>
            </w:pPr>
            <w:r>
              <w:rPr>
                <w:color w:val="auto"/>
                <w:highlight w:val="none"/>
                <w:lang w:val="zh-CN" w:eastAsia="zh-CN"/>
              </w:rPr>
              <w:drawing>
                <wp:inline distT="0" distB="0" distL="0" distR="0">
                  <wp:extent cx="2437765" cy="1885950"/>
                  <wp:effectExtent l="0" t="0" r="635" b="0"/>
                  <wp:docPr id="223"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image115.jpeg"/>
                          <pic:cNvPicPr>
                            <a:picLocks noChangeAspect="1"/>
                          </pic:cNvPicPr>
                        </pic:nvPicPr>
                        <pic:blipFill>
                          <a:blip r:embed="rId79" cstate="print"/>
                          <a:stretch>
                            <a:fillRect/>
                          </a:stretch>
                        </pic:blipFill>
                        <pic:spPr>
                          <a:xfrm>
                            <a:off x="0" y="0"/>
                            <a:ext cx="2445738" cy="1891887"/>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14:paraId="30AC7EDA">
            <w:pPr>
              <w:pStyle w:val="14"/>
              <w:bidi w:val="0"/>
              <w:rPr>
                <w:color w:val="auto"/>
                <w:highlight w:val="none"/>
                <w:lang w:val="zh-CN" w:eastAsia="zh-CN"/>
              </w:rPr>
            </w:pPr>
          </w:p>
        </w:tc>
        <w:tc>
          <w:tcPr>
            <w:tcW w:w="795" w:type="dxa"/>
            <w:tcBorders>
              <w:top w:val="single" w:color="auto" w:sz="4" w:space="0"/>
              <w:left w:val="single" w:color="auto" w:sz="4" w:space="0"/>
              <w:bottom w:val="single" w:color="auto" w:sz="4" w:space="0"/>
              <w:right w:val="single" w:color="auto" w:sz="4" w:space="0"/>
            </w:tcBorders>
            <w:vAlign w:val="center"/>
          </w:tcPr>
          <w:p w14:paraId="028BEB2B">
            <w:pPr>
              <w:pStyle w:val="14"/>
              <w:bidi w:val="0"/>
              <w:rPr>
                <w:color w:val="auto"/>
                <w:highlight w:val="none"/>
                <w:lang w:val="zh-CN" w:eastAsia="zh-CN"/>
              </w:rPr>
            </w:pPr>
          </w:p>
        </w:tc>
      </w:tr>
      <w:tr w14:paraId="7585A10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restart"/>
            <w:vAlign w:val="center"/>
          </w:tcPr>
          <w:p w14:paraId="34EB6B27">
            <w:pPr>
              <w:pStyle w:val="14"/>
              <w:bidi w:val="0"/>
              <w:rPr>
                <w:color w:val="auto"/>
                <w:highlight w:val="none"/>
                <w:lang w:val="zh-CN" w:eastAsia="zh-CN"/>
              </w:rPr>
            </w:pPr>
            <w:r>
              <w:rPr>
                <w:color w:val="auto"/>
                <w:highlight w:val="none"/>
                <w:lang w:val="zh-CN" w:eastAsia="zh-CN"/>
              </w:rPr>
              <mc:AlternateContent>
                <mc:Choice Requires="wpg">
                  <w:drawing>
                    <wp:anchor distT="0" distB="0" distL="114300" distR="114300" simplePos="0" relativeHeight="251659264" behindDoc="1" locked="0" layoutInCell="1" allowOverlap="1">
                      <wp:simplePos x="0" y="0"/>
                      <wp:positionH relativeFrom="page">
                        <wp:posOffset>4896485</wp:posOffset>
                      </wp:positionH>
                      <wp:positionV relativeFrom="page">
                        <wp:posOffset>13865225</wp:posOffset>
                      </wp:positionV>
                      <wp:extent cx="3286760" cy="3080385"/>
                      <wp:effectExtent l="635" t="0" r="8255" b="5715"/>
                      <wp:wrapNone/>
                      <wp:docPr id="168" name="组合 6"/>
                      <wp:cNvGraphicFramePr/>
                      <a:graphic xmlns:a="http://schemas.openxmlformats.org/drawingml/2006/main">
                        <a:graphicData uri="http://schemas.microsoft.com/office/word/2010/wordprocessingGroup">
                          <wpg:wgp>
                            <wpg:cNvGrpSpPr/>
                            <wpg:grpSpPr>
                              <a:xfrm>
                                <a:off x="0" y="0"/>
                                <a:ext cx="3286760" cy="3080385"/>
                                <a:chOff x="7712" y="21835"/>
                                <a:chExt cx="5176" cy="4851"/>
                              </a:xfrm>
                            </wpg:grpSpPr>
                            <pic:pic xmlns:pic="http://schemas.openxmlformats.org/drawingml/2006/picture">
                              <pic:nvPicPr>
                                <pic:cNvPr id="32" name="图片 7"/>
                                <pic:cNvPicPr>
                                  <a:picLocks noChangeAspect="1"/>
                                </pic:cNvPicPr>
                              </pic:nvPicPr>
                              <pic:blipFill>
                                <a:blip r:embed="rId80"/>
                                <a:stretch>
                                  <a:fillRect/>
                                </a:stretch>
                              </pic:blipFill>
                              <pic:spPr>
                                <a:xfrm>
                                  <a:off x="7711" y="21835"/>
                                  <a:ext cx="5176" cy="4851"/>
                                </a:xfrm>
                                <a:prstGeom prst="rect">
                                  <a:avLst/>
                                </a:prstGeom>
                                <a:noFill/>
                                <a:ln>
                                  <a:noFill/>
                                </a:ln>
                              </pic:spPr>
                            </pic:pic>
                            <wps:wsp>
                              <wps:cNvPr id="34" name="矩形 8"/>
                              <wps:cNvSpPr/>
                              <wps:spPr>
                                <a:xfrm>
                                  <a:off x="11750" y="24345"/>
                                  <a:ext cx="741" cy="402"/>
                                </a:xfrm>
                                <a:prstGeom prst="rect">
                                  <a:avLst/>
                                </a:prstGeom>
                                <a:solidFill>
                                  <a:srgbClr val="4F81BC"/>
                                </a:solidFill>
                                <a:ln>
                                  <a:noFill/>
                                </a:ln>
                              </wps:spPr>
                              <wps:bodyPr upright="1"/>
                            </wps:wsp>
                            <wps:wsp>
                              <wps:cNvPr id="36" name="直线 9"/>
                              <wps:cNvCnPr/>
                              <wps:spPr>
                                <a:xfrm flipH="1">
                                  <a:off x="11413" y="24420"/>
                                  <a:ext cx="276" cy="192"/>
                                </a:xfrm>
                                <a:prstGeom prst="line">
                                  <a:avLst/>
                                </a:prstGeom>
                                <a:ln w="18148" cap="flat" cmpd="sng">
                                  <a:solidFill>
                                    <a:srgbClr val="385D89"/>
                                  </a:solidFill>
                                  <a:prstDash val="solid"/>
                                  <a:headEnd type="none" w="med" len="med"/>
                                  <a:tailEnd type="none" w="med" len="med"/>
                                </a:ln>
                              </wps:spPr>
                              <wps:bodyPr/>
                            </wps:wsp>
                          </wpg:wgp>
                        </a:graphicData>
                      </a:graphic>
                    </wp:anchor>
                  </w:drawing>
                </mc:Choice>
                <mc:Fallback>
                  <w:pict>
                    <v:group id="组合 6" o:spid="_x0000_s1026" o:spt="203" style="position:absolute;left:0pt;margin-left:385.55pt;margin-top:1091.75pt;height:242.55pt;width:258.8pt;mso-position-horizontal-relative:page;mso-position-vertical-relative:page;z-index:-251657216;mso-width-relative:page;mso-height-relative:page;" coordorigin="7712,21835" coordsize="5176,4851" o:gfxdata="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">
                      <o:lock v:ext="edit" aspectratio="f"/>
                      <v:shape id="图片 7" o:spid="_x0000_s1026" o:spt="75" type="#_x0000_t75" style="position:absolute;left:7711;top:21835;height:4851;width:5176;" filled="f" o:preferrelative="t" stroked="f" coordsize="21600,21600" o:gfxdata="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Pnvs5C2AAAA2wAAAA8A&#10;AAAAAAAAAQAgAAAAIgAAAGRycy9kb3ducmV2LnhtbFBLAQIUABQAAAAIAIdO4kAzLwWeOwAAADkA&#10;AAAQAAAAAAAAAAEAIAAAAAUBAABkcnMvc2hhcGV4bWwueG1sUEsFBgAAAAAGAAYAWwEAAK8DAAAA&#10;AA==&#10;">
                        <v:fill on="f" focussize="0,0"/>
                        <v:stroke on="f"/>
                        <v:imagedata r:id="rId80" o:title=""/>
                        <o:lock v:ext="edit" aspectratio="t"/>
                      </v:shape>
                      <v:rect id="矩形 8" o:spid="_x0000_s1026" o:spt="1" style="position:absolute;left:11750;top:24345;height:402;width:741;" fillcolor="#4F81BC" filled="t" stroked="f" coordsize="21600,21600" o:gfxdata="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ziDwvQAA&#10;ANsAAAAPAAAAAAAAAAEAIAAAACIAAABkcnMvZG93bnJldi54bWxQSwECFAAUAAAACACHTuJAMy8F&#10;njsAAAA5AAAAEAAAAAAAAAABACAAAAAMAQAAZHJzL3NoYXBleG1sLnhtbFBLBQYAAAAABgAGAFsB&#10;AAC2AwAAAAA=&#10;">
                        <v:fill on="t" focussize="0,0"/>
                        <v:stroke on="f"/>
                        <v:imagedata o:title=""/>
                        <o:lock v:ext="edit" aspectratio="f"/>
                      </v:rect>
                      <v:line id="直线 9" o:spid="_x0000_s1026" o:spt="20" style="position:absolute;left:11413;top:24420;flip:x;height:192;width:276;" filled="f" stroked="t" coordsize="21600,21600" o:gfxdata="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ySf+L4A&#10;AADbAAAADwAAAAAAAAABACAAAAAiAAAAZHJzL2Rvd25yZXYueG1sUEsBAhQAFAAAAAgAh07iQDMv&#10;BZ47AAAAOQAAABAAAAAAAAAAAQAgAAAADQEAAGRycy9zaGFwZXhtbC54bWxQSwUGAAAAAAYABgBb&#10;AQAAtwMAAAAA&#10;">
                        <v:fill on="f" focussize="0,0"/>
                        <v:stroke weight="1.42897637795276pt" color="#385D89" joinstyle="round"/>
                        <v:imagedata o:title=""/>
                        <o:lock v:ext="edit" aspectratio="f"/>
                      </v:line>
                    </v:group>
                  </w:pict>
                </mc:Fallback>
              </mc:AlternateContent>
            </w:r>
            <w:r>
              <w:rPr>
                <w:color w:val="auto"/>
                <w:highlight w:val="none"/>
                <w:lang w:val="zh-CN" w:eastAsia="zh-CN"/>
              </w:rPr>
              <w:t>7</w:t>
            </w:r>
          </w:p>
        </w:tc>
        <w:tc>
          <w:tcPr>
            <w:tcW w:w="484" w:type="dxa"/>
            <w:vMerge w:val="restart"/>
            <w:vAlign w:val="center"/>
          </w:tcPr>
          <w:p w14:paraId="6D13CD09">
            <w:pPr>
              <w:pStyle w:val="14"/>
              <w:bidi w:val="0"/>
              <w:rPr>
                <w:color w:val="auto"/>
                <w:highlight w:val="none"/>
                <w:lang w:val="zh-CN" w:eastAsia="zh-CN"/>
              </w:rPr>
            </w:pPr>
            <w:r>
              <w:rPr>
                <w:color w:val="auto"/>
                <w:highlight w:val="none"/>
                <w:lang w:val="zh-CN" w:eastAsia="zh-CN"/>
              </w:rPr>
              <w:t>现场过程</w:t>
            </w:r>
          </w:p>
          <w:p w14:paraId="0A0DC8A6">
            <w:pPr>
              <w:pStyle w:val="14"/>
              <w:bidi w:val="0"/>
              <w:rPr>
                <w:color w:val="auto"/>
                <w:highlight w:val="none"/>
                <w:lang w:val="zh-CN" w:eastAsia="zh-CN"/>
              </w:rPr>
            </w:pPr>
            <w:r>
              <w:rPr>
                <w:color w:val="auto"/>
                <w:highlight w:val="none"/>
                <w:lang w:val="zh-CN" w:eastAsia="zh-CN"/>
              </w:rPr>
              <w:t>保护</w:t>
            </w:r>
          </w:p>
        </w:tc>
        <w:tc>
          <w:tcPr>
            <w:tcW w:w="570" w:type="dxa"/>
            <w:vMerge w:val="restart"/>
            <w:vAlign w:val="center"/>
          </w:tcPr>
          <w:p w14:paraId="7F2CC4EC">
            <w:pPr>
              <w:pStyle w:val="14"/>
              <w:bidi w:val="0"/>
              <w:rPr>
                <w:color w:val="auto"/>
                <w:highlight w:val="none"/>
                <w:lang w:val="zh-CN" w:eastAsia="zh-CN"/>
              </w:rPr>
            </w:pPr>
            <w:r>
              <w:rPr>
                <w:color w:val="auto"/>
                <w:highlight w:val="none"/>
                <w:lang w:val="zh-CN" w:eastAsia="zh-CN"/>
              </w:rPr>
              <w:t>窗户</w:t>
            </w:r>
          </w:p>
          <w:p w14:paraId="64468F6C">
            <w:pPr>
              <w:pStyle w:val="14"/>
              <w:bidi w:val="0"/>
              <w:rPr>
                <w:color w:val="auto"/>
                <w:highlight w:val="none"/>
                <w:lang w:val="zh-CN" w:eastAsia="zh-CN"/>
              </w:rPr>
            </w:pPr>
            <w:r>
              <w:rPr>
                <w:color w:val="auto"/>
                <w:highlight w:val="none"/>
                <w:lang w:val="zh-CN" w:eastAsia="zh-CN"/>
              </w:rPr>
              <w:t>保护</w:t>
            </w:r>
          </w:p>
          <w:p w14:paraId="3B274D31">
            <w:pPr>
              <w:pStyle w:val="14"/>
              <w:bidi w:val="0"/>
              <w:rPr>
                <w:color w:val="auto"/>
                <w:highlight w:val="none"/>
                <w:lang w:val="zh-CN" w:eastAsia="zh-CN"/>
              </w:rPr>
            </w:pPr>
            <w:r>
              <w:rPr>
                <w:color w:val="auto"/>
                <w:highlight w:val="none"/>
                <w:lang w:val="zh-CN" w:eastAsia="zh-CN"/>
              </w:rPr>
              <w:t>图示</w:t>
            </w:r>
          </w:p>
          <w:p w14:paraId="6B194518">
            <w:pPr>
              <w:pStyle w:val="14"/>
              <w:bidi w:val="0"/>
              <w:rPr>
                <w:color w:val="auto"/>
                <w:highlight w:val="none"/>
                <w:lang w:val="zh-CN" w:eastAsia="zh-CN"/>
              </w:rPr>
            </w:pPr>
            <w:r>
              <w:rPr>
                <w:color w:val="auto"/>
                <w:highlight w:val="none"/>
                <w:lang w:val="zh-CN" w:eastAsia="zh-CN"/>
              </w:rPr>
              <w:t>整体</w:t>
            </w:r>
          </w:p>
          <w:p w14:paraId="12030A13">
            <w:pPr>
              <w:pStyle w:val="14"/>
              <w:bidi w:val="0"/>
              <w:rPr>
                <w:color w:val="auto"/>
                <w:highlight w:val="none"/>
                <w:lang w:val="zh-CN" w:eastAsia="zh-CN"/>
              </w:rPr>
            </w:pPr>
            <w:r>
              <w:rPr>
                <w:color w:val="auto"/>
                <w:highlight w:val="none"/>
                <w:lang w:val="zh-CN" w:eastAsia="zh-CN"/>
              </w:rPr>
              <w:t>做法</w:t>
            </w:r>
          </w:p>
        </w:tc>
        <w:tc>
          <w:tcPr>
            <w:tcW w:w="2447" w:type="dxa"/>
            <w:vMerge w:val="restart"/>
            <w:vAlign w:val="center"/>
          </w:tcPr>
          <w:p w14:paraId="09D59A1F">
            <w:pPr>
              <w:pStyle w:val="14"/>
              <w:bidi w:val="0"/>
              <w:rPr>
                <w:color w:val="auto"/>
                <w:highlight w:val="none"/>
                <w:lang w:val="zh-CN" w:eastAsia="zh-CN"/>
              </w:rPr>
            </w:pPr>
          </w:p>
        </w:tc>
        <w:tc>
          <w:tcPr>
            <w:tcW w:w="4200" w:type="dxa"/>
            <w:vAlign w:val="center"/>
          </w:tcPr>
          <w:p w14:paraId="12F6CAE1">
            <w:pPr>
              <w:pStyle w:val="14"/>
              <w:bidi w:val="0"/>
              <w:rPr>
                <w:color w:val="auto"/>
                <w:highlight w:val="none"/>
                <w:lang w:val="zh-CN" w:eastAsia="zh-CN"/>
              </w:rPr>
            </w:pPr>
          </w:p>
          <w:p w14:paraId="46B1454F">
            <w:pPr>
              <w:pStyle w:val="14"/>
              <w:bidi w:val="0"/>
              <w:rPr>
                <w:color w:val="auto"/>
                <w:highlight w:val="none"/>
                <w:lang w:val="zh-CN" w:eastAsia="zh-CN"/>
              </w:rPr>
            </w:pPr>
            <w:r>
              <w:rPr>
                <w:color w:val="auto"/>
                <w:highlight w:val="none"/>
                <w:lang w:val="zh-CN" w:eastAsia="zh-CN"/>
              </w:rPr>
              <w:drawing>
                <wp:inline distT="0" distB="0" distL="0" distR="0">
                  <wp:extent cx="2482215" cy="1905000"/>
                  <wp:effectExtent l="0" t="0" r="3810" b="0"/>
                  <wp:docPr id="227" name="image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image118.png"/>
                          <pic:cNvPicPr>
                            <a:picLocks noChangeAspect="1"/>
                          </pic:cNvPicPr>
                        </pic:nvPicPr>
                        <pic:blipFill>
                          <a:blip r:embed="rId81" cstate="print"/>
                          <a:stretch>
                            <a:fillRect/>
                          </a:stretch>
                        </pic:blipFill>
                        <pic:spPr>
                          <a:xfrm>
                            <a:off x="0" y="0"/>
                            <a:ext cx="2489393" cy="1910350"/>
                          </a:xfrm>
                          <a:prstGeom prst="rect">
                            <a:avLst/>
                          </a:prstGeom>
                        </pic:spPr>
                      </pic:pic>
                    </a:graphicData>
                  </a:graphic>
                </wp:inline>
              </w:drawing>
            </w:r>
          </w:p>
        </w:tc>
        <w:tc>
          <w:tcPr>
            <w:tcW w:w="4414" w:type="dxa"/>
            <w:vMerge w:val="restart"/>
            <w:vAlign w:val="center"/>
          </w:tcPr>
          <w:p w14:paraId="31AB063A">
            <w:pPr>
              <w:pStyle w:val="14"/>
              <w:bidi w:val="0"/>
              <w:rPr>
                <w:color w:val="auto"/>
                <w:highlight w:val="none"/>
                <w:lang w:val="zh-CN" w:eastAsia="zh-CN"/>
              </w:rPr>
            </w:pPr>
          </w:p>
        </w:tc>
        <w:tc>
          <w:tcPr>
            <w:tcW w:w="795" w:type="dxa"/>
            <w:vMerge w:val="restart"/>
            <w:vAlign w:val="center"/>
          </w:tcPr>
          <w:p w14:paraId="7C505025">
            <w:pPr>
              <w:pStyle w:val="14"/>
              <w:bidi w:val="0"/>
              <w:rPr>
                <w:color w:val="auto"/>
                <w:highlight w:val="none"/>
                <w:lang w:val="zh-CN" w:eastAsia="zh-CN"/>
              </w:rPr>
            </w:pPr>
          </w:p>
        </w:tc>
      </w:tr>
      <w:tr w14:paraId="24120FE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vAlign w:val="center"/>
          </w:tcPr>
          <w:p w14:paraId="7A33D7C2">
            <w:pPr>
              <w:pStyle w:val="14"/>
              <w:bidi w:val="0"/>
              <w:rPr>
                <w:color w:val="auto"/>
                <w:highlight w:val="none"/>
                <w:lang w:val="zh-CN" w:eastAsia="zh-CN"/>
              </w:rPr>
            </w:pPr>
          </w:p>
        </w:tc>
        <w:tc>
          <w:tcPr>
            <w:tcW w:w="484" w:type="dxa"/>
            <w:vMerge w:val="continue"/>
            <w:vAlign w:val="center"/>
          </w:tcPr>
          <w:p w14:paraId="3C263547">
            <w:pPr>
              <w:pStyle w:val="14"/>
              <w:bidi w:val="0"/>
              <w:rPr>
                <w:color w:val="auto"/>
                <w:highlight w:val="none"/>
                <w:lang w:val="zh-CN" w:eastAsia="zh-CN"/>
              </w:rPr>
            </w:pPr>
          </w:p>
        </w:tc>
        <w:tc>
          <w:tcPr>
            <w:tcW w:w="570" w:type="dxa"/>
            <w:vMerge w:val="continue"/>
            <w:vAlign w:val="center"/>
          </w:tcPr>
          <w:p w14:paraId="12964CFD">
            <w:pPr>
              <w:pStyle w:val="14"/>
              <w:bidi w:val="0"/>
              <w:rPr>
                <w:color w:val="auto"/>
                <w:highlight w:val="none"/>
                <w:lang w:val="zh-CN" w:eastAsia="zh-CN"/>
              </w:rPr>
            </w:pPr>
          </w:p>
        </w:tc>
        <w:tc>
          <w:tcPr>
            <w:tcW w:w="2447" w:type="dxa"/>
            <w:vMerge w:val="continue"/>
            <w:tcBorders>
              <w:top w:val="nil"/>
            </w:tcBorders>
            <w:vAlign w:val="center"/>
          </w:tcPr>
          <w:p w14:paraId="570EDB92">
            <w:pPr>
              <w:pStyle w:val="14"/>
              <w:bidi w:val="0"/>
              <w:rPr>
                <w:color w:val="auto"/>
                <w:highlight w:val="none"/>
                <w:lang w:val="zh-CN" w:eastAsia="zh-CN"/>
              </w:rPr>
            </w:pPr>
          </w:p>
        </w:tc>
        <w:tc>
          <w:tcPr>
            <w:tcW w:w="4200" w:type="dxa"/>
            <w:vAlign w:val="center"/>
          </w:tcPr>
          <w:p w14:paraId="33A298CC">
            <w:pPr>
              <w:pStyle w:val="14"/>
              <w:bidi w:val="0"/>
              <w:rPr>
                <w:color w:val="auto"/>
                <w:highlight w:val="none"/>
                <w:lang w:val="zh-CN" w:eastAsia="zh-CN"/>
              </w:rPr>
            </w:pPr>
            <w:r>
              <w:rPr>
                <w:rFonts w:hint="eastAsia"/>
                <w:color w:val="auto"/>
                <w:highlight w:val="none"/>
                <w:lang w:val="zh-CN" w:eastAsia="zh-CN"/>
              </w:rPr>
              <w:t>门窗玻璃、开启扇安装完成后糯米胶粘保护膜做法大样图</w:t>
            </w:r>
          </w:p>
        </w:tc>
        <w:tc>
          <w:tcPr>
            <w:tcW w:w="4414" w:type="dxa"/>
            <w:vMerge w:val="continue"/>
            <w:tcBorders>
              <w:top w:val="nil"/>
            </w:tcBorders>
            <w:vAlign w:val="center"/>
          </w:tcPr>
          <w:p w14:paraId="6ECC1EA4">
            <w:pPr>
              <w:pStyle w:val="14"/>
              <w:bidi w:val="0"/>
              <w:rPr>
                <w:color w:val="auto"/>
                <w:highlight w:val="none"/>
                <w:lang w:val="zh-CN" w:eastAsia="zh-CN"/>
              </w:rPr>
            </w:pPr>
          </w:p>
        </w:tc>
        <w:tc>
          <w:tcPr>
            <w:tcW w:w="795" w:type="dxa"/>
            <w:vMerge w:val="continue"/>
            <w:tcBorders>
              <w:top w:val="nil"/>
            </w:tcBorders>
            <w:vAlign w:val="center"/>
          </w:tcPr>
          <w:p w14:paraId="6DD7F209">
            <w:pPr>
              <w:pStyle w:val="14"/>
              <w:bidi w:val="0"/>
              <w:rPr>
                <w:color w:val="auto"/>
                <w:highlight w:val="none"/>
                <w:lang w:val="zh-CN" w:eastAsia="zh-CN"/>
              </w:rPr>
            </w:pPr>
          </w:p>
        </w:tc>
      </w:tr>
      <w:tr w14:paraId="716BB9D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vAlign w:val="center"/>
          </w:tcPr>
          <w:p w14:paraId="3BBEF799">
            <w:pPr>
              <w:pStyle w:val="14"/>
              <w:bidi w:val="0"/>
              <w:rPr>
                <w:color w:val="auto"/>
                <w:highlight w:val="none"/>
                <w:lang w:val="zh-CN" w:eastAsia="zh-CN"/>
              </w:rPr>
            </w:pPr>
          </w:p>
        </w:tc>
        <w:tc>
          <w:tcPr>
            <w:tcW w:w="484" w:type="dxa"/>
            <w:vMerge w:val="continue"/>
            <w:vAlign w:val="center"/>
          </w:tcPr>
          <w:p w14:paraId="3B42639B">
            <w:pPr>
              <w:pStyle w:val="14"/>
              <w:bidi w:val="0"/>
              <w:rPr>
                <w:color w:val="auto"/>
                <w:highlight w:val="none"/>
                <w:lang w:val="zh-CN" w:eastAsia="zh-CN"/>
              </w:rPr>
            </w:pPr>
          </w:p>
        </w:tc>
        <w:tc>
          <w:tcPr>
            <w:tcW w:w="570" w:type="dxa"/>
            <w:vMerge w:val="restart"/>
            <w:vAlign w:val="center"/>
          </w:tcPr>
          <w:p w14:paraId="32174316">
            <w:pPr>
              <w:pStyle w:val="14"/>
              <w:bidi w:val="0"/>
              <w:rPr>
                <w:color w:val="auto"/>
                <w:highlight w:val="none"/>
                <w:lang w:val="zh-CN" w:eastAsia="zh-CN"/>
              </w:rPr>
            </w:pPr>
            <w:r>
              <w:rPr>
                <w:color w:val="auto"/>
                <w:highlight w:val="none"/>
                <w:lang w:val="zh-CN" w:eastAsia="zh-CN"/>
              </w:rPr>
              <w:t>窗户</w:t>
            </w:r>
          </w:p>
          <w:p w14:paraId="7ADEC3B5">
            <w:pPr>
              <w:pStyle w:val="14"/>
              <w:bidi w:val="0"/>
              <w:rPr>
                <w:color w:val="auto"/>
                <w:highlight w:val="none"/>
                <w:lang w:val="zh-CN" w:eastAsia="zh-CN"/>
              </w:rPr>
            </w:pPr>
            <w:r>
              <w:rPr>
                <w:color w:val="auto"/>
                <w:highlight w:val="none"/>
                <w:lang w:val="zh-CN" w:eastAsia="zh-CN"/>
              </w:rPr>
              <w:t>保护</w:t>
            </w:r>
          </w:p>
          <w:p w14:paraId="6F85C844">
            <w:pPr>
              <w:pStyle w:val="14"/>
              <w:bidi w:val="0"/>
              <w:rPr>
                <w:color w:val="auto"/>
                <w:highlight w:val="none"/>
                <w:lang w:val="zh-CN" w:eastAsia="zh-CN"/>
              </w:rPr>
            </w:pPr>
            <w:r>
              <w:rPr>
                <w:color w:val="auto"/>
                <w:highlight w:val="none"/>
                <w:lang w:val="zh-CN" w:eastAsia="zh-CN"/>
              </w:rPr>
              <w:t>图示</w:t>
            </w:r>
          </w:p>
          <w:p w14:paraId="455D9672">
            <w:pPr>
              <w:pStyle w:val="14"/>
              <w:bidi w:val="0"/>
              <w:rPr>
                <w:color w:val="auto"/>
                <w:highlight w:val="none"/>
                <w:lang w:val="zh-CN" w:eastAsia="zh-CN"/>
              </w:rPr>
            </w:pPr>
            <w:r>
              <w:rPr>
                <w:color w:val="auto"/>
                <w:highlight w:val="none"/>
                <w:lang w:val="zh-CN" w:eastAsia="zh-CN"/>
              </w:rPr>
              <w:t>细节</w:t>
            </w:r>
          </w:p>
          <w:p w14:paraId="5C9250AB">
            <w:pPr>
              <w:pStyle w:val="14"/>
              <w:bidi w:val="0"/>
              <w:rPr>
                <w:color w:val="auto"/>
                <w:highlight w:val="none"/>
                <w:lang w:val="zh-CN" w:eastAsia="zh-CN"/>
              </w:rPr>
            </w:pPr>
            <w:r>
              <w:rPr>
                <w:color w:val="auto"/>
                <w:highlight w:val="none"/>
                <w:lang w:val="zh-CN" w:eastAsia="zh-CN"/>
              </w:rPr>
              <w:t>做法</w:t>
            </w:r>
          </w:p>
        </w:tc>
        <w:tc>
          <w:tcPr>
            <w:tcW w:w="2447" w:type="dxa"/>
            <w:vMerge w:val="restart"/>
            <w:vAlign w:val="center"/>
          </w:tcPr>
          <w:p w14:paraId="0B62A4A4">
            <w:pPr>
              <w:pStyle w:val="14"/>
              <w:bidi w:val="0"/>
              <w:rPr>
                <w:color w:val="auto"/>
                <w:highlight w:val="none"/>
                <w:lang w:val="zh-CN" w:eastAsia="zh-CN"/>
              </w:rPr>
            </w:pPr>
            <w:r>
              <w:rPr>
                <w:color w:val="auto"/>
                <w:highlight w:val="none"/>
                <w:lang w:val="zh-CN" w:eastAsia="zh-CN"/>
              </w:rPr>
              <w:t>毛坯交房和精装交房糯米胶贴 膜，边部做法不同</w:t>
            </w:r>
          </w:p>
        </w:tc>
        <w:tc>
          <w:tcPr>
            <w:tcW w:w="4200" w:type="dxa"/>
            <w:vAlign w:val="center"/>
          </w:tcPr>
          <w:p w14:paraId="5F28893B">
            <w:pPr>
              <w:pStyle w:val="14"/>
              <w:bidi w:val="0"/>
              <w:rPr>
                <w:color w:val="auto"/>
                <w:highlight w:val="none"/>
                <w:lang w:val="zh-CN" w:eastAsia="zh-CN"/>
              </w:rPr>
            </w:pPr>
          </w:p>
          <w:p w14:paraId="58B0BFF3">
            <w:pPr>
              <w:pStyle w:val="14"/>
              <w:bidi w:val="0"/>
              <w:rPr>
                <w:color w:val="auto"/>
                <w:highlight w:val="none"/>
                <w:lang w:val="zh-CN" w:eastAsia="zh-CN"/>
              </w:rPr>
            </w:pPr>
            <w:r>
              <w:rPr>
                <w:color w:val="auto"/>
                <w:highlight w:val="none"/>
                <w:lang w:val="zh-CN" w:eastAsia="zh-CN"/>
              </w:rPr>
              <w:drawing>
                <wp:inline distT="0" distB="0" distL="0" distR="0">
                  <wp:extent cx="2379980" cy="1905000"/>
                  <wp:effectExtent l="0" t="0" r="1270" b="0"/>
                  <wp:docPr id="229" name="image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image119.png"/>
                          <pic:cNvPicPr>
                            <a:picLocks noChangeAspect="1"/>
                          </pic:cNvPicPr>
                        </pic:nvPicPr>
                        <pic:blipFill>
                          <a:blip r:embed="rId82" cstate="print"/>
                          <a:stretch>
                            <a:fillRect/>
                          </a:stretch>
                        </pic:blipFill>
                        <pic:spPr>
                          <a:xfrm>
                            <a:off x="0" y="0"/>
                            <a:ext cx="2389732" cy="1912636"/>
                          </a:xfrm>
                          <a:prstGeom prst="rect">
                            <a:avLst/>
                          </a:prstGeom>
                        </pic:spPr>
                      </pic:pic>
                    </a:graphicData>
                  </a:graphic>
                </wp:inline>
              </w:drawing>
            </w:r>
          </w:p>
        </w:tc>
        <w:tc>
          <w:tcPr>
            <w:tcW w:w="4414" w:type="dxa"/>
            <w:vAlign w:val="center"/>
          </w:tcPr>
          <w:p w14:paraId="2D4D981B">
            <w:pPr>
              <w:pStyle w:val="14"/>
              <w:bidi w:val="0"/>
              <w:rPr>
                <w:color w:val="auto"/>
                <w:highlight w:val="none"/>
                <w:lang w:val="zh-CN" w:eastAsia="zh-CN"/>
              </w:rPr>
            </w:pPr>
          </w:p>
          <w:p w14:paraId="033222BD">
            <w:pPr>
              <w:pStyle w:val="14"/>
              <w:bidi w:val="0"/>
              <w:rPr>
                <w:color w:val="auto"/>
                <w:highlight w:val="none"/>
                <w:lang w:val="zh-CN" w:eastAsia="zh-CN"/>
              </w:rPr>
            </w:pPr>
            <w:r>
              <w:rPr>
                <w:color w:val="auto"/>
                <w:highlight w:val="none"/>
                <w:lang w:val="zh-CN" w:eastAsia="zh-CN"/>
              </w:rPr>
              <w:drawing>
                <wp:inline distT="0" distB="0" distL="0" distR="0">
                  <wp:extent cx="2592705" cy="2076450"/>
                  <wp:effectExtent l="0" t="0" r="7620" b="0"/>
                  <wp:docPr id="231" name="image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image120.png"/>
                          <pic:cNvPicPr>
                            <a:picLocks noChangeAspect="1"/>
                          </pic:cNvPicPr>
                        </pic:nvPicPr>
                        <pic:blipFill>
                          <a:blip r:embed="rId83" cstate="print"/>
                          <a:stretch>
                            <a:fillRect/>
                          </a:stretch>
                        </pic:blipFill>
                        <pic:spPr>
                          <a:xfrm>
                            <a:off x="0" y="0"/>
                            <a:ext cx="2598478" cy="2080981"/>
                          </a:xfrm>
                          <a:prstGeom prst="rect">
                            <a:avLst/>
                          </a:prstGeom>
                        </pic:spPr>
                      </pic:pic>
                    </a:graphicData>
                  </a:graphic>
                </wp:inline>
              </w:drawing>
            </w:r>
          </w:p>
        </w:tc>
        <w:tc>
          <w:tcPr>
            <w:tcW w:w="795" w:type="dxa"/>
            <w:vMerge w:val="restart"/>
            <w:vAlign w:val="center"/>
          </w:tcPr>
          <w:p w14:paraId="3C31E3AD">
            <w:pPr>
              <w:pStyle w:val="14"/>
              <w:bidi w:val="0"/>
              <w:rPr>
                <w:color w:val="auto"/>
                <w:highlight w:val="none"/>
                <w:lang w:val="zh-CN" w:eastAsia="zh-CN"/>
              </w:rPr>
            </w:pPr>
          </w:p>
        </w:tc>
      </w:tr>
      <w:tr w14:paraId="25641D4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vAlign w:val="center"/>
          </w:tcPr>
          <w:p w14:paraId="6E3D2C40">
            <w:pPr>
              <w:pStyle w:val="14"/>
              <w:bidi w:val="0"/>
              <w:rPr>
                <w:color w:val="auto"/>
                <w:highlight w:val="none"/>
                <w:lang w:val="zh-CN" w:eastAsia="zh-CN"/>
              </w:rPr>
            </w:pPr>
          </w:p>
        </w:tc>
        <w:tc>
          <w:tcPr>
            <w:tcW w:w="484" w:type="dxa"/>
            <w:vMerge w:val="continue"/>
            <w:vAlign w:val="center"/>
          </w:tcPr>
          <w:p w14:paraId="7F3EB0C0">
            <w:pPr>
              <w:pStyle w:val="14"/>
              <w:bidi w:val="0"/>
              <w:rPr>
                <w:color w:val="auto"/>
                <w:highlight w:val="none"/>
                <w:lang w:val="zh-CN" w:eastAsia="zh-CN"/>
              </w:rPr>
            </w:pPr>
          </w:p>
        </w:tc>
        <w:tc>
          <w:tcPr>
            <w:tcW w:w="570" w:type="dxa"/>
            <w:vMerge w:val="continue"/>
            <w:vAlign w:val="center"/>
          </w:tcPr>
          <w:p w14:paraId="3D6882DA">
            <w:pPr>
              <w:pStyle w:val="14"/>
              <w:bidi w:val="0"/>
              <w:rPr>
                <w:color w:val="auto"/>
                <w:highlight w:val="none"/>
                <w:lang w:val="zh-CN" w:eastAsia="zh-CN"/>
              </w:rPr>
            </w:pPr>
          </w:p>
        </w:tc>
        <w:tc>
          <w:tcPr>
            <w:tcW w:w="2447" w:type="dxa"/>
            <w:vMerge w:val="continue"/>
            <w:tcBorders>
              <w:top w:val="nil"/>
            </w:tcBorders>
            <w:vAlign w:val="center"/>
          </w:tcPr>
          <w:p w14:paraId="14992160">
            <w:pPr>
              <w:pStyle w:val="14"/>
              <w:bidi w:val="0"/>
              <w:rPr>
                <w:color w:val="auto"/>
                <w:highlight w:val="none"/>
                <w:lang w:val="zh-CN" w:eastAsia="zh-CN"/>
              </w:rPr>
            </w:pPr>
          </w:p>
        </w:tc>
        <w:tc>
          <w:tcPr>
            <w:tcW w:w="4200" w:type="dxa"/>
            <w:vAlign w:val="center"/>
          </w:tcPr>
          <w:p w14:paraId="330ED840">
            <w:pPr>
              <w:pStyle w:val="14"/>
              <w:bidi w:val="0"/>
              <w:rPr>
                <w:color w:val="auto"/>
                <w:highlight w:val="none"/>
                <w:lang w:val="zh-CN" w:eastAsia="zh-CN"/>
              </w:rPr>
            </w:pPr>
            <w:r>
              <w:rPr>
                <w:rFonts w:hint="eastAsia"/>
                <w:color w:val="auto"/>
                <w:highlight w:val="none"/>
                <w:lang w:val="zh-CN" w:eastAsia="zh-CN"/>
              </w:rPr>
              <w:t>门窗玻璃、开启扇安装完成后糯米胶粘保护膜做法</w:t>
            </w:r>
          </w:p>
        </w:tc>
        <w:tc>
          <w:tcPr>
            <w:tcW w:w="4414" w:type="dxa"/>
            <w:vAlign w:val="center"/>
          </w:tcPr>
          <w:p w14:paraId="60858C33">
            <w:pPr>
              <w:pStyle w:val="14"/>
              <w:bidi w:val="0"/>
              <w:rPr>
                <w:color w:val="auto"/>
                <w:highlight w:val="none"/>
                <w:lang w:val="zh-CN" w:eastAsia="zh-CN"/>
              </w:rPr>
            </w:pPr>
            <w:r>
              <w:rPr>
                <w:rFonts w:hint="eastAsia"/>
                <w:color w:val="auto"/>
                <w:highlight w:val="none"/>
                <w:lang w:val="zh-CN" w:eastAsia="zh-CN"/>
              </w:rPr>
              <w:t>门窗玻璃、开启扇安装完成后糯米胶粘保护膜做法细</w:t>
            </w:r>
          </w:p>
        </w:tc>
        <w:tc>
          <w:tcPr>
            <w:tcW w:w="795" w:type="dxa"/>
            <w:vMerge w:val="continue"/>
            <w:tcBorders>
              <w:top w:val="nil"/>
            </w:tcBorders>
            <w:vAlign w:val="center"/>
          </w:tcPr>
          <w:p w14:paraId="38FD2246">
            <w:pPr>
              <w:pStyle w:val="14"/>
              <w:bidi w:val="0"/>
              <w:rPr>
                <w:color w:val="auto"/>
                <w:highlight w:val="none"/>
                <w:lang w:val="zh-CN" w:eastAsia="zh-CN"/>
              </w:rPr>
            </w:pPr>
          </w:p>
        </w:tc>
      </w:tr>
    </w:tbl>
    <w:p w14:paraId="6CE053D2">
      <w:pPr>
        <w:numPr>
          <w:ilvl w:val="0"/>
          <w:numId w:val="0"/>
        </w:numPr>
        <w:spacing w:before="120" w:beforeLines="50" w:after="120" w:afterLines="50"/>
        <w:ind w:left="851" w:firstLine="0"/>
        <w:rPr>
          <w:rFonts w:hint="eastAsia" w:eastAsia="宋体" w:cs="Arial"/>
          <w:color w:val="auto"/>
          <w:highlight w:val="none"/>
          <w:lang w:eastAsia="zh-CN"/>
        </w:rPr>
        <w:sectPr>
          <w:headerReference r:id="rId9" w:type="default"/>
          <w:footerReference r:id="rId10" w:type="default"/>
          <w:endnotePr>
            <w:numFmt w:val="decimal"/>
          </w:endnotePr>
          <w:pgSz w:w="16838" w:h="11905" w:orient="landscape"/>
          <w:pgMar w:top="1446" w:right="1429" w:bottom="1378" w:left="1310" w:header="0" w:footer="1145" w:gutter="0"/>
          <w:pgNumType w:fmt="decimal"/>
          <w:cols w:space="0" w:num="1"/>
          <w:rtlGutter w:val="0"/>
          <w:docGrid w:linePitch="326" w:charSpace="0"/>
        </w:sectPr>
      </w:pPr>
    </w:p>
    <w:p w14:paraId="666AF0BE">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lang w:eastAsia="zh-CN"/>
        </w:rPr>
      </w:pPr>
      <w:bookmarkStart w:id="209" w:name="_Toc169722212"/>
      <w:r>
        <w:rPr>
          <w:rFonts w:hint="eastAsia"/>
          <w:color w:val="auto"/>
          <w:highlight w:val="none"/>
          <w:lang w:eastAsia="zh-CN"/>
        </w:rPr>
        <w:t>质量过程检查</w:t>
      </w:r>
    </w:p>
    <w:p w14:paraId="5C4D1A51">
      <w:pPr>
        <w:keepNext w:val="0"/>
        <w:keepLines w:val="0"/>
        <w:pageBreakBefore w:val="0"/>
        <w:widowControl w:val="0"/>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发包人将根据不同施工阶段进行土建过程检查、精装过程检查、交付预检等专项检查，检查标准</w:t>
      </w:r>
      <w:r>
        <w:rPr>
          <w:rFonts w:hint="eastAsia"/>
          <w:color w:val="auto"/>
          <w:highlight w:val="none"/>
          <w:lang w:val="en-US" w:eastAsia="zh-CN"/>
        </w:rPr>
        <w:t>参见附件</w:t>
      </w:r>
      <w:r>
        <w:rPr>
          <w:rFonts w:hint="eastAsia"/>
          <w:b/>
          <w:bCs/>
          <w:color w:val="auto"/>
          <w:highlight w:val="none"/>
          <w:lang w:val="en-US" w:eastAsia="zh-CN"/>
        </w:rPr>
        <w:t>《【附件B-2】项目第三方评估方案》</w:t>
      </w:r>
      <w:r>
        <w:rPr>
          <w:rFonts w:hint="eastAsia"/>
          <w:color w:val="auto"/>
          <w:highlight w:val="none"/>
          <w:lang w:eastAsia="zh-CN"/>
        </w:rPr>
        <w:t>，对</w:t>
      </w:r>
      <w:r>
        <w:rPr>
          <w:rFonts w:hint="eastAsia"/>
          <w:color w:val="auto"/>
          <w:highlight w:val="none"/>
          <w:lang w:val="en-US" w:eastAsia="zh-CN"/>
        </w:rPr>
        <w:t>专业承包人</w:t>
      </w:r>
      <w:r>
        <w:rPr>
          <w:rFonts w:hint="eastAsia"/>
          <w:color w:val="auto"/>
          <w:highlight w:val="none"/>
          <w:lang w:eastAsia="zh-CN"/>
        </w:rPr>
        <w:t>、监理进行季度检查。</w:t>
      </w:r>
    </w:p>
    <w:p w14:paraId="3A34F9CB">
      <w:pPr>
        <w:keepNext w:val="0"/>
        <w:keepLines w:val="0"/>
        <w:pageBreakBefore w:val="0"/>
        <w:widowControl w:val="0"/>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lang w:val="en-US" w:eastAsia="zh-CN"/>
        </w:rPr>
        <w:t>本技术要求</w:t>
      </w:r>
      <w:r>
        <w:rPr>
          <w:rFonts w:hint="default"/>
          <w:color w:val="auto"/>
          <w:highlight w:val="none"/>
          <w:lang w:val="en-US" w:eastAsia="zh-CN"/>
        </w:rPr>
        <w:t>所述的</w:t>
      </w:r>
      <w:r>
        <w:rPr>
          <w:rFonts w:hint="eastAsia"/>
          <w:color w:val="auto"/>
          <w:highlight w:val="none"/>
          <w:lang w:val="en-US" w:eastAsia="zh-CN"/>
        </w:rPr>
        <w:t>质量检查内容及</w:t>
      </w:r>
      <w:r>
        <w:rPr>
          <w:rFonts w:hint="eastAsia"/>
          <w:b/>
          <w:bCs/>
          <w:color w:val="auto"/>
          <w:highlight w:val="none"/>
          <w:lang w:val="en-US" w:eastAsia="zh-CN"/>
        </w:rPr>
        <w:t>《【附件B-2】项目第三方评估方案》</w:t>
      </w:r>
      <w:r>
        <w:rPr>
          <w:rFonts w:hint="eastAsia"/>
          <w:color w:val="auto"/>
          <w:highlight w:val="none"/>
          <w:lang w:val="en-US" w:eastAsia="zh-CN"/>
        </w:rPr>
        <w:t>中介绍的检查内容不排除存在更新、调整的可能，</w:t>
      </w:r>
      <w:r>
        <w:rPr>
          <w:rFonts w:hint="eastAsia"/>
          <w:color w:val="auto"/>
          <w:highlight w:val="none"/>
          <w:lang w:eastAsia="zh-CN"/>
        </w:rPr>
        <w:t>检查标准及规则发包人有权根据当季度实际情况进行调整修改。</w:t>
      </w:r>
      <w:r>
        <w:rPr>
          <w:rFonts w:hint="eastAsia"/>
          <w:color w:val="auto"/>
          <w:highlight w:val="none"/>
          <w:lang w:val="en-US" w:eastAsia="zh-CN"/>
        </w:rPr>
        <w:t>发包人将在检查启动前对专业承包人进行文件宣贯交底，专业承包人应按照最新检查文件执行</w:t>
      </w:r>
      <w:r>
        <w:rPr>
          <w:rFonts w:hint="default"/>
          <w:color w:val="auto"/>
          <w:highlight w:val="none"/>
          <w:lang w:val="en-US" w:eastAsia="zh-CN"/>
        </w:rPr>
        <w:t>；</w:t>
      </w:r>
    </w:p>
    <w:p w14:paraId="27A000AB">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210" w:name="_Toc17344"/>
      <w:bookmarkStart w:id="211" w:name="_Toc8765"/>
      <w:bookmarkStart w:id="212" w:name="_Toc2700"/>
      <w:bookmarkStart w:id="213" w:name="_Toc16374"/>
      <w:bookmarkStart w:id="214" w:name="_Toc28931"/>
      <w:bookmarkStart w:id="215" w:name="_Toc21495"/>
      <w:bookmarkStart w:id="216" w:name="_Toc1984"/>
      <w:bookmarkStart w:id="217" w:name="_Toc25415"/>
      <w:bookmarkStart w:id="218" w:name="_Toc32688"/>
      <w:bookmarkStart w:id="219" w:name="_Toc31549"/>
      <w:bookmarkStart w:id="220" w:name="_Toc31536"/>
      <w:bookmarkStart w:id="221" w:name="_Toc17428"/>
      <w:r>
        <w:rPr>
          <w:color w:val="auto"/>
          <w:highlight w:val="none"/>
        </w:rPr>
        <w:t>进度管理要求</w:t>
      </w:r>
      <w:bookmarkEnd w:id="209"/>
      <w:bookmarkEnd w:id="210"/>
      <w:bookmarkEnd w:id="211"/>
      <w:bookmarkEnd w:id="212"/>
      <w:bookmarkEnd w:id="213"/>
      <w:bookmarkEnd w:id="214"/>
      <w:bookmarkEnd w:id="215"/>
      <w:bookmarkEnd w:id="216"/>
      <w:bookmarkEnd w:id="217"/>
      <w:bookmarkEnd w:id="218"/>
      <w:bookmarkEnd w:id="219"/>
      <w:bookmarkEnd w:id="220"/>
      <w:bookmarkEnd w:id="221"/>
    </w:p>
    <w:p w14:paraId="18ECEDD7">
      <w:pPr>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lang w:eastAsia="zh-CN"/>
        </w:rPr>
        <w:t>专业承包人</w:t>
      </w:r>
      <w:r>
        <w:rPr>
          <w:rFonts w:hint="eastAsia"/>
          <w:color w:val="auto"/>
          <w:highlight w:val="none"/>
        </w:rPr>
        <w:t>应依据发包人要求的进度目标编制《工程施工进度计划》，把工程施工准备至竣工验收、移交物业为止期间的，</w:t>
      </w:r>
      <w:r>
        <w:rPr>
          <w:rFonts w:hint="eastAsia"/>
          <w:color w:val="auto"/>
          <w:highlight w:val="none"/>
          <w:lang w:eastAsia="zh-CN"/>
        </w:rPr>
        <w:t>专业承包人</w:t>
      </w:r>
      <w:r>
        <w:rPr>
          <w:rFonts w:hint="eastAsia"/>
          <w:color w:val="auto"/>
          <w:highlight w:val="none"/>
        </w:rPr>
        <w:t>承建部分以及与</w:t>
      </w:r>
      <w:r>
        <w:rPr>
          <w:rFonts w:hint="eastAsia"/>
          <w:color w:val="auto"/>
          <w:highlight w:val="none"/>
          <w:lang w:eastAsia="zh-CN"/>
        </w:rPr>
        <w:t>专业承包人</w:t>
      </w:r>
      <w:r>
        <w:rPr>
          <w:rFonts w:hint="eastAsia"/>
          <w:color w:val="auto"/>
          <w:highlight w:val="none"/>
        </w:rPr>
        <w:t>管理相关的所有工作以计划的形式合理地组织起来。</w:t>
      </w:r>
      <w:r>
        <w:rPr>
          <w:rFonts w:hint="eastAsia"/>
          <w:color w:val="auto"/>
          <w:highlight w:val="none"/>
          <w:lang w:eastAsia="zh-CN"/>
        </w:rPr>
        <w:t>专业承包人</w:t>
      </w:r>
      <w:r>
        <w:rPr>
          <w:rFonts w:hint="eastAsia"/>
          <w:color w:val="auto"/>
          <w:highlight w:val="none"/>
        </w:rPr>
        <w:t>以此为依据进行装修工程施工、及时检查项目施工进度、分析计划执行的偏差并进行调整或修正，服从发包人的进度要求以及管理安排，以保证实现合同约定的目标工期。。</w:t>
      </w:r>
    </w:p>
    <w:p w14:paraId="320A77E9">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工程进度</w:t>
      </w:r>
      <w:r>
        <w:rPr>
          <w:color w:val="auto"/>
          <w:highlight w:val="none"/>
        </w:rPr>
        <w:t>计划的分类</w:t>
      </w:r>
    </w:p>
    <w:p w14:paraId="2B0F0106">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color w:val="auto"/>
          <w:highlight w:val="none"/>
        </w:rPr>
        <w:t>按计划内容分</w:t>
      </w:r>
    </w:p>
    <w:p w14:paraId="38AAE98C">
      <w:pPr>
        <w:keepNext w:val="0"/>
        <w:keepLines w:val="0"/>
        <w:pageBreakBefore w:val="0"/>
        <w:widowControl w:val="0"/>
        <w:numPr>
          <w:ilvl w:val="0"/>
          <w:numId w:val="16"/>
        </w:numPr>
        <w:kinsoku/>
        <w:wordWrap/>
        <w:overflowPunct/>
        <w:topLinePunct w:val="0"/>
        <w:autoSpaceDE/>
        <w:autoSpaceDN/>
        <w:bidi w:val="0"/>
        <w:rPr>
          <w:rFonts w:hint="eastAsia"/>
          <w:color w:val="auto"/>
          <w:highlight w:val="none"/>
        </w:rPr>
      </w:pPr>
      <w:r>
        <w:rPr>
          <w:rFonts w:hint="eastAsia"/>
          <w:color w:val="auto"/>
          <w:highlight w:val="none"/>
        </w:rPr>
        <w:t>《装修施工进度计划》</w:t>
      </w:r>
    </w:p>
    <w:p w14:paraId="4C439546">
      <w:pPr>
        <w:keepNext w:val="0"/>
        <w:keepLines w:val="0"/>
        <w:pageBreakBefore w:val="0"/>
        <w:widowControl w:val="0"/>
        <w:numPr>
          <w:ilvl w:val="0"/>
          <w:numId w:val="16"/>
        </w:numPr>
        <w:kinsoku/>
        <w:wordWrap/>
        <w:overflowPunct/>
        <w:topLinePunct w:val="0"/>
        <w:autoSpaceDE/>
        <w:autoSpaceDN/>
        <w:bidi w:val="0"/>
        <w:rPr>
          <w:rFonts w:hint="eastAsia"/>
          <w:color w:val="auto"/>
          <w:highlight w:val="none"/>
        </w:rPr>
      </w:pPr>
      <w:r>
        <w:rPr>
          <w:rFonts w:hint="eastAsia"/>
          <w:color w:val="auto"/>
          <w:highlight w:val="none"/>
        </w:rPr>
        <w:t>《劳动力计划》</w:t>
      </w:r>
    </w:p>
    <w:p w14:paraId="3EEA52D4">
      <w:pPr>
        <w:keepNext w:val="0"/>
        <w:keepLines w:val="0"/>
        <w:pageBreakBefore w:val="0"/>
        <w:widowControl w:val="0"/>
        <w:numPr>
          <w:ilvl w:val="0"/>
          <w:numId w:val="16"/>
        </w:numPr>
        <w:kinsoku/>
        <w:wordWrap/>
        <w:overflowPunct/>
        <w:topLinePunct w:val="0"/>
        <w:autoSpaceDE/>
        <w:autoSpaceDN/>
        <w:bidi w:val="0"/>
        <w:rPr>
          <w:rFonts w:hint="eastAsia"/>
          <w:color w:val="auto"/>
          <w:highlight w:val="none"/>
        </w:rPr>
      </w:pPr>
      <w:r>
        <w:rPr>
          <w:rFonts w:hint="eastAsia"/>
          <w:color w:val="auto"/>
          <w:highlight w:val="none"/>
        </w:rPr>
        <w:t>《机械设备进退场计划》</w:t>
      </w:r>
    </w:p>
    <w:p w14:paraId="5984BA8D">
      <w:pPr>
        <w:keepNext w:val="0"/>
        <w:keepLines w:val="0"/>
        <w:pageBreakBefore w:val="0"/>
        <w:widowControl w:val="0"/>
        <w:numPr>
          <w:ilvl w:val="0"/>
          <w:numId w:val="16"/>
        </w:numPr>
        <w:kinsoku/>
        <w:wordWrap/>
        <w:overflowPunct/>
        <w:topLinePunct w:val="0"/>
        <w:autoSpaceDE/>
        <w:autoSpaceDN/>
        <w:bidi w:val="0"/>
        <w:rPr>
          <w:rFonts w:hint="eastAsia"/>
          <w:color w:val="auto"/>
          <w:highlight w:val="none"/>
        </w:rPr>
      </w:pPr>
      <w:r>
        <w:rPr>
          <w:rFonts w:hint="eastAsia"/>
          <w:color w:val="auto"/>
          <w:highlight w:val="none"/>
        </w:rPr>
        <w:t>《材料设备采购供应计划》（含甲供材料进场计划）</w:t>
      </w:r>
    </w:p>
    <w:p w14:paraId="67365B6C">
      <w:pPr>
        <w:keepNext w:val="0"/>
        <w:keepLines w:val="0"/>
        <w:pageBreakBefore w:val="0"/>
        <w:widowControl w:val="0"/>
        <w:numPr>
          <w:ilvl w:val="0"/>
          <w:numId w:val="16"/>
        </w:numPr>
        <w:kinsoku/>
        <w:wordWrap/>
        <w:overflowPunct/>
        <w:topLinePunct w:val="0"/>
        <w:autoSpaceDE/>
        <w:autoSpaceDN/>
        <w:bidi w:val="0"/>
        <w:rPr>
          <w:rFonts w:hint="eastAsia"/>
          <w:color w:val="auto"/>
          <w:highlight w:val="none"/>
        </w:rPr>
      </w:pPr>
      <w:r>
        <w:rPr>
          <w:rFonts w:hint="eastAsia"/>
          <w:color w:val="auto"/>
          <w:highlight w:val="none"/>
        </w:rPr>
        <w:t>《深化设计计划》</w:t>
      </w:r>
    </w:p>
    <w:p w14:paraId="40EE1FB6">
      <w:pPr>
        <w:keepNext w:val="0"/>
        <w:keepLines w:val="0"/>
        <w:pageBreakBefore w:val="0"/>
        <w:widowControl w:val="0"/>
        <w:numPr>
          <w:ilvl w:val="0"/>
          <w:numId w:val="16"/>
        </w:numPr>
        <w:kinsoku/>
        <w:wordWrap/>
        <w:overflowPunct/>
        <w:topLinePunct w:val="0"/>
        <w:autoSpaceDE/>
        <w:autoSpaceDN/>
        <w:bidi w:val="0"/>
        <w:rPr>
          <w:rFonts w:hint="eastAsia"/>
          <w:color w:val="auto"/>
          <w:highlight w:val="none"/>
        </w:rPr>
      </w:pPr>
      <w:r>
        <w:rPr>
          <w:rFonts w:hint="eastAsia"/>
          <w:color w:val="auto"/>
          <w:highlight w:val="none"/>
        </w:rPr>
        <w:t>《专项施工方案编制计划》</w:t>
      </w:r>
    </w:p>
    <w:p w14:paraId="0138E55D">
      <w:pPr>
        <w:keepNext w:val="0"/>
        <w:keepLines w:val="0"/>
        <w:pageBreakBefore w:val="0"/>
        <w:widowControl w:val="0"/>
        <w:numPr>
          <w:ilvl w:val="0"/>
          <w:numId w:val="16"/>
        </w:numPr>
        <w:kinsoku/>
        <w:wordWrap/>
        <w:overflowPunct/>
        <w:topLinePunct w:val="0"/>
        <w:autoSpaceDE/>
        <w:autoSpaceDN/>
        <w:bidi w:val="0"/>
        <w:rPr>
          <w:rFonts w:hint="eastAsia"/>
          <w:color w:val="auto"/>
          <w:highlight w:val="none"/>
        </w:rPr>
      </w:pPr>
      <w:r>
        <w:rPr>
          <w:rFonts w:hint="eastAsia"/>
          <w:color w:val="auto"/>
          <w:highlight w:val="none"/>
        </w:rPr>
        <w:t>《施工停检点计划》</w:t>
      </w:r>
    </w:p>
    <w:p w14:paraId="301166B0">
      <w:pPr>
        <w:keepNext w:val="0"/>
        <w:keepLines w:val="0"/>
        <w:pageBreakBefore w:val="0"/>
        <w:widowControl w:val="0"/>
        <w:numPr>
          <w:ilvl w:val="0"/>
          <w:numId w:val="16"/>
        </w:numPr>
        <w:kinsoku/>
        <w:wordWrap/>
        <w:overflowPunct/>
        <w:topLinePunct w:val="0"/>
        <w:autoSpaceDE/>
        <w:autoSpaceDN/>
        <w:bidi w:val="0"/>
        <w:rPr>
          <w:rFonts w:hint="eastAsia"/>
          <w:color w:val="auto"/>
          <w:highlight w:val="none"/>
        </w:rPr>
      </w:pPr>
      <w:r>
        <w:rPr>
          <w:rFonts w:hint="eastAsia"/>
          <w:color w:val="auto"/>
          <w:highlight w:val="none"/>
        </w:rPr>
        <w:t>《材料封样计划》</w:t>
      </w:r>
    </w:p>
    <w:p w14:paraId="35D340FC">
      <w:pPr>
        <w:keepNext w:val="0"/>
        <w:keepLines w:val="0"/>
        <w:pageBreakBefore w:val="0"/>
        <w:widowControl w:val="0"/>
        <w:numPr>
          <w:ilvl w:val="0"/>
          <w:numId w:val="16"/>
        </w:numPr>
        <w:kinsoku/>
        <w:wordWrap/>
        <w:overflowPunct/>
        <w:topLinePunct w:val="0"/>
        <w:autoSpaceDE/>
        <w:autoSpaceDN/>
        <w:bidi w:val="0"/>
        <w:rPr>
          <w:rFonts w:hint="eastAsia"/>
          <w:color w:val="auto"/>
          <w:highlight w:val="none"/>
        </w:rPr>
      </w:pPr>
      <w:r>
        <w:rPr>
          <w:rFonts w:hint="eastAsia"/>
          <w:color w:val="auto"/>
          <w:highlight w:val="none"/>
        </w:rPr>
        <w:t>《施工工艺样板计划》</w:t>
      </w:r>
    </w:p>
    <w:p w14:paraId="25235A53">
      <w:pPr>
        <w:keepNext w:val="0"/>
        <w:keepLines w:val="0"/>
        <w:pageBreakBefore w:val="0"/>
        <w:widowControl w:val="0"/>
        <w:numPr>
          <w:ilvl w:val="0"/>
          <w:numId w:val="16"/>
        </w:numPr>
        <w:kinsoku/>
        <w:wordWrap/>
        <w:overflowPunct/>
        <w:topLinePunct w:val="0"/>
        <w:autoSpaceDE/>
        <w:autoSpaceDN/>
        <w:bidi w:val="0"/>
        <w:rPr>
          <w:rFonts w:hint="eastAsia"/>
          <w:color w:val="auto"/>
          <w:highlight w:val="none"/>
        </w:rPr>
      </w:pPr>
      <w:r>
        <w:rPr>
          <w:rFonts w:hint="eastAsia"/>
          <w:color w:val="auto"/>
          <w:highlight w:val="none"/>
        </w:rPr>
        <w:t>《工作面移交计划》</w:t>
      </w:r>
    </w:p>
    <w:p w14:paraId="37B1E5E6">
      <w:pPr>
        <w:keepNext w:val="0"/>
        <w:keepLines w:val="0"/>
        <w:pageBreakBefore w:val="0"/>
        <w:widowControl w:val="0"/>
        <w:numPr>
          <w:ilvl w:val="0"/>
          <w:numId w:val="16"/>
        </w:numPr>
        <w:kinsoku/>
        <w:wordWrap/>
        <w:overflowPunct/>
        <w:topLinePunct w:val="0"/>
        <w:autoSpaceDE/>
        <w:autoSpaceDN/>
        <w:bidi w:val="0"/>
        <w:rPr>
          <w:rFonts w:hint="eastAsia"/>
          <w:color w:val="auto"/>
          <w:highlight w:val="none"/>
        </w:rPr>
      </w:pPr>
      <w:r>
        <w:rPr>
          <w:rFonts w:hint="eastAsia"/>
          <w:color w:val="auto"/>
          <w:highlight w:val="none"/>
        </w:rPr>
        <w:t>《竣工验收计划》</w:t>
      </w:r>
    </w:p>
    <w:p w14:paraId="27F14817">
      <w:pPr>
        <w:keepNext w:val="0"/>
        <w:keepLines w:val="0"/>
        <w:pageBreakBefore w:val="0"/>
        <w:widowControl w:val="0"/>
        <w:numPr>
          <w:ilvl w:val="0"/>
          <w:numId w:val="16"/>
        </w:numPr>
        <w:kinsoku/>
        <w:wordWrap/>
        <w:overflowPunct/>
        <w:topLinePunct w:val="0"/>
        <w:autoSpaceDE/>
        <w:autoSpaceDN/>
        <w:bidi w:val="0"/>
        <w:rPr>
          <w:color w:val="auto"/>
          <w:highlight w:val="none"/>
        </w:rPr>
      </w:pPr>
      <w:r>
        <w:rPr>
          <w:rFonts w:hint="eastAsia"/>
          <w:color w:val="auto"/>
          <w:highlight w:val="none"/>
        </w:rPr>
        <w:t>《工程移交计划》》</w:t>
      </w:r>
    </w:p>
    <w:p w14:paraId="0C51CB55">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default"/>
          <w:color w:val="auto"/>
          <w:highlight w:val="none"/>
          <w:lang w:val="en-US" w:eastAsia="zh-CN"/>
        </w:rPr>
        <w:t>按时间跨度分</w:t>
      </w:r>
    </w:p>
    <w:p w14:paraId="34E222E3">
      <w:pPr>
        <w:keepNext w:val="0"/>
        <w:keepLines w:val="0"/>
        <w:pageBreakBefore w:val="0"/>
        <w:widowControl w:val="0"/>
        <w:numPr>
          <w:ilvl w:val="0"/>
          <w:numId w:val="17"/>
        </w:numPr>
        <w:kinsoku/>
        <w:wordWrap/>
        <w:overflowPunct/>
        <w:topLinePunct w:val="0"/>
        <w:autoSpaceDE/>
        <w:autoSpaceDN/>
        <w:bidi w:val="0"/>
        <w:spacing w:after="120" w:afterLines="50"/>
        <w:ind w:firstLine="480"/>
        <w:jc w:val="left"/>
        <w:rPr>
          <w:color w:val="auto"/>
          <w:highlight w:val="none"/>
        </w:rPr>
      </w:pPr>
      <w:r>
        <w:rPr>
          <w:rFonts w:hint="eastAsia"/>
          <w:color w:val="auto"/>
          <w:highlight w:val="none"/>
        </w:rPr>
        <w:t>装修工程总进度计划</w:t>
      </w:r>
    </w:p>
    <w:p w14:paraId="78631FB5">
      <w:pPr>
        <w:keepNext w:val="0"/>
        <w:keepLines w:val="0"/>
        <w:pageBreakBefore w:val="0"/>
        <w:widowControl w:val="0"/>
        <w:numPr>
          <w:ilvl w:val="0"/>
          <w:numId w:val="17"/>
        </w:numPr>
        <w:kinsoku/>
        <w:wordWrap/>
        <w:overflowPunct/>
        <w:topLinePunct w:val="0"/>
        <w:autoSpaceDE/>
        <w:autoSpaceDN/>
        <w:bidi w:val="0"/>
        <w:spacing w:after="120" w:afterLines="50"/>
        <w:ind w:firstLine="480"/>
        <w:jc w:val="left"/>
        <w:rPr>
          <w:color w:val="auto"/>
          <w:highlight w:val="none"/>
        </w:rPr>
      </w:pPr>
      <w:r>
        <w:rPr>
          <w:rFonts w:hint="eastAsia"/>
          <w:color w:val="auto"/>
          <w:highlight w:val="none"/>
        </w:rPr>
        <w:t>季度工程进度计划(每季度计划及人、机、料清单)</w:t>
      </w:r>
    </w:p>
    <w:p w14:paraId="3634F3CE">
      <w:pPr>
        <w:keepNext w:val="0"/>
        <w:keepLines w:val="0"/>
        <w:pageBreakBefore w:val="0"/>
        <w:widowControl w:val="0"/>
        <w:numPr>
          <w:ilvl w:val="0"/>
          <w:numId w:val="17"/>
        </w:numPr>
        <w:kinsoku/>
        <w:wordWrap/>
        <w:overflowPunct/>
        <w:topLinePunct w:val="0"/>
        <w:autoSpaceDE/>
        <w:autoSpaceDN/>
        <w:bidi w:val="0"/>
        <w:spacing w:after="120" w:afterLines="50"/>
        <w:ind w:firstLine="480"/>
        <w:jc w:val="left"/>
        <w:rPr>
          <w:color w:val="auto"/>
          <w:highlight w:val="none"/>
        </w:rPr>
      </w:pPr>
      <w:r>
        <w:rPr>
          <w:rFonts w:hint="eastAsia"/>
          <w:color w:val="auto"/>
          <w:highlight w:val="none"/>
        </w:rPr>
        <w:t>月工程进度计划(每月度计划及人、机、料清单)</w:t>
      </w:r>
    </w:p>
    <w:p w14:paraId="66123B9F">
      <w:pPr>
        <w:keepNext w:val="0"/>
        <w:keepLines w:val="0"/>
        <w:pageBreakBefore w:val="0"/>
        <w:widowControl w:val="0"/>
        <w:numPr>
          <w:ilvl w:val="0"/>
          <w:numId w:val="17"/>
        </w:numPr>
        <w:kinsoku/>
        <w:wordWrap/>
        <w:overflowPunct/>
        <w:topLinePunct w:val="0"/>
        <w:autoSpaceDE/>
        <w:autoSpaceDN/>
        <w:bidi w:val="0"/>
        <w:spacing w:after="120" w:afterLines="50"/>
        <w:ind w:firstLine="480"/>
        <w:jc w:val="left"/>
        <w:rPr>
          <w:color w:val="auto"/>
          <w:highlight w:val="none"/>
        </w:rPr>
      </w:pPr>
      <w:r>
        <w:rPr>
          <w:rFonts w:hint="eastAsia"/>
          <w:color w:val="auto"/>
          <w:highlight w:val="none"/>
        </w:rPr>
        <w:t>周工程进度计划(每周度计划及人、机、料清单)</w:t>
      </w:r>
    </w:p>
    <w:p w14:paraId="1F14127A">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工程进度计划的编制依据</w:t>
      </w:r>
    </w:p>
    <w:p w14:paraId="1660F19A">
      <w:pPr>
        <w:keepNext w:val="0"/>
        <w:keepLines w:val="0"/>
        <w:pageBreakBefore w:val="0"/>
        <w:widowControl w:val="0"/>
        <w:numPr>
          <w:ilvl w:val="0"/>
          <w:numId w:val="18"/>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lang w:eastAsia="zh-CN"/>
        </w:rPr>
        <w:t>专业承包人</w:t>
      </w:r>
      <w:r>
        <w:rPr>
          <w:rFonts w:hint="eastAsia"/>
          <w:color w:val="auto"/>
          <w:highlight w:val="none"/>
        </w:rPr>
        <w:t>提供的《总承包工程施工进度计划》；</w:t>
      </w:r>
    </w:p>
    <w:p w14:paraId="42DB5E5D">
      <w:pPr>
        <w:keepNext w:val="0"/>
        <w:keepLines w:val="0"/>
        <w:pageBreakBefore w:val="0"/>
        <w:widowControl w:val="0"/>
        <w:numPr>
          <w:ilvl w:val="0"/>
          <w:numId w:val="18"/>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发包人提供的招标文件；</w:t>
      </w:r>
    </w:p>
    <w:p w14:paraId="431319C3">
      <w:pPr>
        <w:keepNext w:val="0"/>
        <w:keepLines w:val="0"/>
        <w:pageBreakBefore w:val="0"/>
        <w:widowControl w:val="0"/>
        <w:numPr>
          <w:ilvl w:val="0"/>
          <w:numId w:val="18"/>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发包人提供的项目合约界面划分明细；</w:t>
      </w:r>
    </w:p>
    <w:p w14:paraId="0624991D">
      <w:pPr>
        <w:keepNext w:val="0"/>
        <w:keepLines w:val="0"/>
        <w:pageBreakBefore w:val="0"/>
        <w:widowControl w:val="0"/>
        <w:numPr>
          <w:ilvl w:val="0"/>
          <w:numId w:val="18"/>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项目主要施工合约、技术文件：包括但不限于公区装修分包施工合同、施工图纸、总体施工组织设计以及处于关键线路的重要分部分项工程的施工方案；</w:t>
      </w:r>
    </w:p>
    <w:p w14:paraId="69731089">
      <w:pPr>
        <w:keepNext w:val="0"/>
        <w:keepLines w:val="0"/>
        <w:pageBreakBefore w:val="0"/>
        <w:widowControl w:val="0"/>
        <w:numPr>
          <w:ilvl w:val="0"/>
          <w:numId w:val="18"/>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往来函件及会议纪要</w:t>
      </w:r>
    </w:p>
    <w:p w14:paraId="68AB70DB">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lang w:eastAsia="zh-CN"/>
        </w:rPr>
        <w:t>工程</w:t>
      </w:r>
      <w:r>
        <w:rPr>
          <w:rFonts w:hint="eastAsia"/>
          <w:color w:val="auto"/>
          <w:highlight w:val="none"/>
        </w:rPr>
        <w:t>施工进度计划的审批</w:t>
      </w:r>
    </w:p>
    <w:p w14:paraId="72FE366E">
      <w:pPr>
        <w:keepNext w:val="0"/>
        <w:keepLines w:val="0"/>
        <w:pageBreakBefore w:val="0"/>
        <w:widowControl w:val="0"/>
        <w:numPr>
          <w:ilvl w:val="0"/>
          <w:numId w:val="0"/>
        </w:numPr>
        <w:kinsoku/>
        <w:wordWrap/>
        <w:overflowPunct/>
        <w:topLinePunct w:val="0"/>
        <w:autoSpaceDE/>
        <w:autoSpaceDN/>
        <w:bidi w:val="0"/>
        <w:adjustRightInd/>
        <w:snapToGrid w:val="0"/>
        <w:ind w:leftChars="0" w:firstLine="480" w:firstLineChars="200"/>
        <w:textAlignment w:val="auto"/>
        <w:rPr>
          <w:color w:val="auto"/>
          <w:highlight w:val="none"/>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）工程</w:t>
      </w:r>
      <w:r>
        <w:rPr>
          <w:rFonts w:hint="eastAsia"/>
          <w:color w:val="auto"/>
          <w:highlight w:val="none"/>
        </w:rPr>
        <w:t>施工进度计划编制完成后报监理人，由监理人审核是否满足项目整体开发计划要求及销售需求，审核并确定其它专业计划是否与项目施工进度计划匹配。</w:t>
      </w:r>
    </w:p>
    <w:p w14:paraId="41CDB3D7">
      <w:pPr>
        <w:keepNext w:val="0"/>
        <w:keepLines w:val="0"/>
        <w:pageBreakBefore w:val="0"/>
        <w:widowControl w:val="0"/>
        <w:numPr>
          <w:ilvl w:val="0"/>
          <w:numId w:val="0"/>
        </w:numPr>
        <w:kinsoku/>
        <w:wordWrap/>
        <w:overflowPunct/>
        <w:topLinePunct w:val="0"/>
        <w:autoSpaceDE/>
        <w:autoSpaceDN/>
        <w:bidi w:val="0"/>
        <w:adjustRightInd/>
        <w:snapToGrid w:val="0"/>
        <w:ind w:leftChars="0" w:firstLine="480" w:firstLineChars="200"/>
        <w:textAlignment w:val="auto"/>
        <w:rPr>
          <w:color w:val="auto"/>
          <w:highlight w:val="none"/>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）工程</w:t>
      </w:r>
      <w:r>
        <w:rPr>
          <w:rFonts w:hint="eastAsia"/>
          <w:color w:val="auto"/>
          <w:highlight w:val="none"/>
        </w:rPr>
        <w:t>施工进度计划经监理人和发包人审核通过后，作为项目施工阶段各项工作开展依据。</w:t>
      </w:r>
    </w:p>
    <w:p w14:paraId="5EC9BF67">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工程施工进度计划的调整</w:t>
      </w:r>
    </w:p>
    <w:p w14:paraId="2B0A84CC">
      <w:pPr>
        <w:keepNext w:val="0"/>
        <w:keepLines w:val="0"/>
        <w:pageBreakBefore w:val="0"/>
        <w:widowControl w:val="0"/>
        <w:kinsoku/>
        <w:wordWrap/>
        <w:overflowPunct/>
        <w:topLinePunct w:val="0"/>
        <w:autoSpaceDE/>
        <w:autoSpaceDN/>
        <w:bidi w:val="0"/>
        <w:rPr>
          <w:rFonts w:hint="eastAsia"/>
          <w:color w:val="auto"/>
          <w:highlight w:val="none"/>
        </w:rPr>
      </w:pPr>
      <w:r>
        <w:rPr>
          <w:rFonts w:hint="eastAsia"/>
          <w:color w:val="auto"/>
          <w:highlight w:val="none"/>
          <w:lang w:eastAsia="zh-CN"/>
        </w:rPr>
        <w:t>工程</w:t>
      </w:r>
      <w:r>
        <w:rPr>
          <w:rFonts w:hint="eastAsia"/>
          <w:color w:val="auto"/>
          <w:highlight w:val="none"/>
        </w:rPr>
        <w:t>施工进度计划不能随意调整，若发包人项目整体开发计划或销售计划发生变化，总承包工程施工进度计划可进行相应调整。</w:t>
      </w:r>
    </w:p>
    <w:p w14:paraId="1249E855">
      <w:pPr>
        <w:keepNext w:val="0"/>
        <w:keepLines w:val="0"/>
        <w:pageBreakBefore w:val="0"/>
        <w:widowControl w:val="0"/>
        <w:kinsoku/>
        <w:wordWrap/>
        <w:overflowPunct/>
        <w:topLinePunct w:val="0"/>
        <w:autoSpaceDE/>
        <w:autoSpaceDN/>
        <w:bidi w:val="0"/>
        <w:rPr>
          <w:rFonts w:hint="eastAsia"/>
          <w:color w:val="auto"/>
          <w:highlight w:val="none"/>
        </w:rPr>
      </w:pPr>
      <w:r>
        <w:rPr>
          <w:rFonts w:hint="eastAsia"/>
          <w:color w:val="auto"/>
          <w:highlight w:val="none"/>
          <w:lang w:eastAsia="zh-CN"/>
        </w:rPr>
        <w:t>专业承包人</w:t>
      </w:r>
      <w:r>
        <w:rPr>
          <w:rFonts w:hint="eastAsia"/>
          <w:color w:val="auto"/>
          <w:highlight w:val="none"/>
        </w:rPr>
        <w:t>进场后应对项目所有不利条件进行充分探勘，因场地条件、周边环境、交通运输、供水供电、排水排污等施工前置条件的影响、不作为工期调整及索赔的依据。</w:t>
      </w:r>
    </w:p>
    <w:p w14:paraId="35044C6E">
      <w:pPr>
        <w:keepNext w:val="0"/>
        <w:keepLines w:val="0"/>
        <w:pageBreakBefore w:val="0"/>
        <w:widowControl w:val="0"/>
        <w:kinsoku/>
        <w:wordWrap/>
        <w:overflowPunct/>
        <w:topLinePunct w:val="0"/>
        <w:autoSpaceDE/>
        <w:autoSpaceDN/>
        <w:bidi w:val="0"/>
        <w:rPr>
          <w:rFonts w:hint="eastAsia"/>
          <w:color w:val="auto"/>
          <w:highlight w:val="none"/>
        </w:rPr>
      </w:pPr>
      <w:r>
        <w:rPr>
          <w:rFonts w:hint="eastAsia"/>
          <w:color w:val="auto"/>
          <w:highlight w:val="none"/>
        </w:rPr>
        <w:t>根据节点工期要求编制各节点机械设备、劳动力、材料投入计划并进行考核，对材料、机械设备、劳动力投入不足等情况追究施工方的违约责任。</w:t>
      </w:r>
    </w:p>
    <w:p w14:paraId="634DF4C6">
      <w:pPr>
        <w:keepNext w:val="0"/>
        <w:keepLines w:val="0"/>
        <w:pageBreakBefore w:val="0"/>
        <w:widowControl w:val="0"/>
        <w:kinsoku/>
        <w:wordWrap/>
        <w:overflowPunct/>
        <w:topLinePunct w:val="0"/>
        <w:autoSpaceDE/>
        <w:autoSpaceDN/>
        <w:bidi w:val="0"/>
        <w:rPr>
          <w:rFonts w:hint="eastAsia"/>
          <w:color w:val="auto"/>
          <w:highlight w:val="none"/>
        </w:rPr>
      </w:pPr>
      <w:r>
        <w:rPr>
          <w:rFonts w:hint="eastAsia"/>
          <w:color w:val="auto"/>
          <w:highlight w:val="none"/>
          <w:lang w:eastAsia="zh-CN"/>
        </w:rPr>
        <w:t>专业承包人</w:t>
      </w:r>
      <w:r>
        <w:rPr>
          <w:rFonts w:hint="eastAsia"/>
          <w:color w:val="auto"/>
          <w:highlight w:val="none"/>
        </w:rPr>
        <w:t>在施工过程中需要为政府部门、建设单位、监理单位、检测单位的检查、检测预留足够的时间，其时间相应计入总工期中，不作为工期调整的依据。</w:t>
      </w:r>
    </w:p>
    <w:p w14:paraId="52CE257B">
      <w:pPr>
        <w:keepNext w:val="0"/>
        <w:keepLines w:val="0"/>
        <w:pageBreakBefore w:val="0"/>
        <w:widowControl w:val="0"/>
        <w:kinsoku/>
        <w:wordWrap/>
        <w:overflowPunct/>
        <w:topLinePunct w:val="0"/>
        <w:autoSpaceDE/>
        <w:autoSpaceDN/>
        <w:bidi w:val="0"/>
        <w:rPr>
          <w:rFonts w:hint="eastAsia"/>
          <w:color w:val="auto"/>
          <w:highlight w:val="none"/>
        </w:rPr>
      </w:pPr>
      <w:r>
        <w:rPr>
          <w:rFonts w:hint="eastAsia"/>
          <w:color w:val="auto"/>
          <w:highlight w:val="none"/>
          <w:lang w:eastAsia="zh-CN"/>
        </w:rPr>
        <w:t>专业承包人</w:t>
      </w:r>
      <w:r>
        <w:rPr>
          <w:rFonts w:hint="eastAsia"/>
          <w:color w:val="auto"/>
          <w:highlight w:val="none"/>
        </w:rPr>
        <w:t>在施工过程中需要给各</w:t>
      </w:r>
      <w:r>
        <w:rPr>
          <w:rFonts w:hint="eastAsia"/>
          <w:color w:val="auto"/>
          <w:highlight w:val="none"/>
          <w:lang w:eastAsia="zh-CN"/>
        </w:rPr>
        <w:t>专业承包</w:t>
      </w:r>
      <w:r>
        <w:rPr>
          <w:rFonts w:hint="eastAsia"/>
          <w:color w:val="auto"/>
          <w:highlight w:val="none"/>
        </w:rPr>
        <w:t>单位的施工及调试和成品保护预留足够的时间，其时间相应计入总工期中，不作为工期调整</w:t>
      </w:r>
      <w:r>
        <w:rPr>
          <w:rFonts w:hint="eastAsia"/>
          <w:color w:val="auto"/>
          <w:highlight w:val="none"/>
          <w:lang w:val="en-US" w:eastAsia="zh-CN"/>
        </w:rPr>
        <w:t>的</w:t>
      </w:r>
      <w:r>
        <w:rPr>
          <w:rFonts w:hint="eastAsia"/>
          <w:color w:val="auto"/>
          <w:highlight w:val="none"/>
        </w:rPr>
        <w:t>依据。</w:t>
      </w:r>
    </w:p>
    <w:p w14:paraId="1EB5593F">
      <w:pPr>
        <w:keepNext w:val="0"/>
        <w:keepLines w:val="0"/>
        <w:pageBreakBefore w:val="0"/>
        <w:widowControl w:val="0"/>
        <w:kinsoku/>
        <w:wordWrap/>
        <w:overflowPunct/>
        <w:topLinePunct w:val="0"/>
        <w:autoSpaceDE/>
        <w:autoSpaceDN/>
        <w:bidi w:val="0"/>
        <w:rPr>
          <w:rFonts w:hint="eastAsia"/>
          <w:color w:val="auto"/>
          <w:highlight w:val="none"/>
        </w:rPr>
      </w:pPr>
      <w:r>
        <w:rPr>
          <w:rFonts w:hint="eastAsia"/>
          <w:color w:val="auto"/>
          <w:highlight w:val="none"/>
        </w:rPr>
        <w:t>地质条件变化、地下障碍物等不作为工期调整的依据。</w:t>
      </w:r>
    </w:p>
    <w:p w14:paraId="595FEA46">
      <w:pPr>
        <w:keepNext w:val="0"/>
        <w:keepLines w:val="0"/>
        <w:pageBreakBefore w:val="0"/>
        <w:widowControl w:val="0"/>
        <w:kinsoku/>
        <w:wordWrap/>
        <w:overflowPunct/>
        <w:topLinePunct w:val="0"/>
        <w:autoSpaceDE/>
        <w:autoSpaceDN/>
        <w:bidi w:val="0"/>
        <w:rPr>
          <w:rFonts w:hint="default" w:eastAsia="宋体"/>
          <w:color w:val="auto"/>
          <w:highlight w:val="none"/>
          <w:lang w:val="en-US" w:eastAsia="zh-CN"/>
        </w:rPr>
      </w:pPr>
      <w:r>
        <w:rPr>
          <w:rFonts w:hint="eastAsia"/>
          <w:color w:val="auto"/>
          <w:highlight w:val="none"/>
          <w:lang w:val="en-US" w:eastAsia="zh-CN"/>
        </w:rPr>
        <w:t>工期调整的其他要求按合同相关条款进行。</w:t>
      </w:r>
    </w:p>
    <w:p w14:paraId="0F3EF8E0">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工程进度计划的管理要求</w:t>
      </w:r>
    </w:p>
    <w:p w14:paraId="6E9D3966">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工程进度计划的实施</w:t>
      </w:r>
    </w:p>
    <w:p w14:paraId="7435FFF0">
      <w:pPr>
        <w:keepNext w:val="0"/>
        <w:keepLines w:val="0"/>
        <w:pageBreakBefore w:val="0"/>
        <w:widowControl w:val="0"/>
        <w:numPr>
          <w:ilvl w:val="0"/>
          <w:numId w:val="0"/>
        </w:numPr>
        <w:kinsoku/>
        <w:wordWrap/>
        <w:overflowPunct/>
        <w:topLinePunct w:val="0"/>
        <w:autoSpaceDE/>
        <w:autoSpaceDN/>
        <w:bidi w:val="0"/>
        <w:adjustRightInd/>
        <w:snapToGrid w:val="0"/>
        <w:ind w:leftChars="0" w:firstLine="480" w:firstLineChars="200"/>
        <w:textAlignment w:val="auto"/>
        <w:rPr>
          <w:color w:val="auto"/>
          <w:highlight w:val="none"/>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）专业承包人</w:t>
      </w:r>
      <w:r>
        <w:rPr>
          <w:rFonts w:hint="eastAsia"/>
          <w:color w:val="auto"/>
          <w:highlight w:val="none"/>
        </w:rPr>
        <w:t>按照发包人审批确认的工程施工进度计划施工。</w:t>
      </w:r>
    </w:p>
    <w:p w14:paraId="2EC5DD61">
      <w:pPr>
        <w:keepNext w:val="0"/>
        <w:keepLines w:val="0"/>
        <w:pageBreakBefore w:val="0"/>
        <w:widowControl w:val="0"/>
        <w:numPr>
          <w:ilvl w:val="0"/>
          <w:numId w:val="0"/>
        </w:numPr>
        <w:kinsoku/>
        <w:wordWrap/>
        <w:overflowPunct/>
        <w:topLinePunct w:val="0"/>
        <w:autoSpaceDE/>
        <w:autoSpaceDN/>
        <w:bidi w:val="0"/>
        <w:adjustRightInd/>
        <w:snapToGrid w:val="0"/>
        <w:ind w:leftChars="0" w:firstLine="480" w:firstLineChars="200"/>
        <w:textAlignment w:val="auto"/>
        <w:rPr>
          <w:color w:val="auto"/>
          <w:highlight w:val="none"/>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）专业承包人</w:t>
      </w:r>
      <w:r>
        <w:rPr>
          <w:rFonts w:hint="eastAsia"/>
          <w:color w:val="auto"/>
          <w:highlight w:val="none"/>
        </w:rPr>
        <w:t>负责监督、协调自有工作界面的施工进度。</w:t>
      </w:r>
    </w:p>
    <w:p w14:paraId="57B9B719">
      <w:pPr>
        <w:keepNext w:val="0"/>
        <w:keepLines w:val="0"/>
        <w:pageBreakBefore w:val="0"/>
        <w:widowControl w:val="0"/>
        <w:numPr>
          <w:ilvl w:val="0"/>
          <w:numId w:val="0"/>
        </w:numPr>
        <w:kinsoku/>
        <w:wordWrap/>
        <w:overflowPunct/>
        <w:topLinePunct w:val="0"/>
        <w:autoSpaceDE/>
        <w:autoSpaceDN/>
        <w:bidi w:val="0"/>
        <w:adjustRightInd/>
        <w:snapToGrid w:val="0"/>
        <w:ind w:leftChars="0" w:firstLine="480" w:firstLineChars="200"/>
        <w:textAlignment w:val="auto"/>
        <w:rPr>
          <w:color w:val="auto"/>
          <w:highlight w:val="none"/>
        </w:rPr>
      </w:pPr>
      <w:r>
        <w:rPr>
          <w:rFonts w:hint="eastAsia"/>
          <w:color w:val="auto"/>
          <w:highlight w:val="none"/>
          <w:lang w:eastAsia="zh-CN"/>
        </w:rPr>
        <w:t>（</w:t>
      </w:r>
      <w:r>
        <w:rPr>
          <w:rFonts w:hint="eastAsia"/>
          <w:color w:val="auto"/>
          <w:highlight w:val="none"/>
          <w:lang w:val="en-US" w:eastAsia="zh-CN"/>
        </w:rPr>
        <w:t>3</w:t>
      </w:r>
      <w:r>
        <w:rPr>
          <w:rFonts w:hint="eastAsia"/>
          <w:color w:val="auto"/>
          <w:highlight w:val="none"/>
          <w:lang w:eastAsia="zh-CN"/>
        </w:rPr>
        <w:t>）</w:t>
      </w:r>
      <w:r>
        <w:rPr>
          <w:rFonts w:hint="eastAsia"/>
          <w:color w:val="auto"/>
          <w:highlight w:val="none"/>
        </w:rPr>
        <w:t>周例会召开前一天17:00前按要求提交周报告和下周施工计划；每月</w:t>
      </w:r>
      <w:r>
        <w:rPr>
          <w:color w:val="auto"/>
          <w:highlight w:val="none"/>
        </w:rPr>
        <w:t>24</w:t>
      </w:r>
      <w:r>
        <w:rPr>
          <w:rFonts w:hint="eastAsia"/>
          <w:color w:val="auto"/>
          <w:highlight w:val="none"/>
        </w:rPr>
        <w:t>日上午</w:t>
      </w:r>
      <w:r>
        <w:rPr>
          <w:color w:val="auto"/>
          <w:highlight w:val="none"/>
        </w:rPr>
        <w:t>10</w:t>
      </w:r>
      <w:r>
        <w:rPr>
          <w:rFonts w:hint="eastAsia"/>
          <w:color w:val="auto"/>
          <w:highlight w:val="none"/>
        </w:rPr>
        <w:t>:</w:t>
      </w:r>
      <w:r>
        <w:rPr>
          <w:color w:val="auto"/>
          <w:highlight w:val="none"/>
        </w:rPr>
        <w:t>00</w:t>
      </w:r>
      <w:r>
        <w:rPr>
          <w:rFonts w:hint="eastAsia"/>
          <w:color w:val="auto"/>
          <w:highlight w:val="none"/>
        </w:rPr>
        <w:t>前提交本月月报及下月月施工计划。</w:t>
      </w:r>
    </w:p>
    <w:p w14:paraId="6F43999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工程</w:t>
      </w:r>
      <w:r>
        <w:rPr>
          <w:color w:val="auto"/>
          <w:highlight w:val="none"/>
        </w:rPr>
        <w:t>进度计划的检查和纠偏</w:t>
      </w:r>
    </w:p>
    <w:p w14:paraId="2289ACE2">
      <w:pPr>
        <w:keepNext w:val="0"/>
        <w:keepLines w:val="0"/>
        <w:pageBreakBefore w:val="0"/>
        <w:widowControl w:val="0"/>
        <w:numPr>
          <w:ilvl w:val="0"/>
          <w:numId w:val="0"/>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w:t>
      </w:r>
      <w:r>
        <w:rPr>
          <w:rFonts w:hint="eastAsia"/>
          <w:color w:val="auto"/>
          <w:highlight w:val="none"/>
        </w:rPr>
        <w:t>发包人、监理人对</w:t>
      </w:r>
      <w:r>
        <w:rPr>
          <w:rFonts w:hint="eastAsia"/>
          <w:color w:val="auto"/>
          <w:highlight w:val="none"/>
          <w:lang w:eastAsia="zh-CN"/>
        </w:rPr>
        <w:t>专业承包人</w:t>
      </w:r>
      <w:r>
        <w:rPr>
          <w:rFonts w:hint="eastAsia"/>
          <w:color w:val="auto"/>
          <w:highlight w:val="none"/>
        </w:rPr>
        <w:t>的施工组织、进度、资源投入进行检查，发现不符合施工组织设计和计划的施工组织方法、工作面管理，或者施工投入不足、效率低下，影响计划时，</w:t>
      </w:r>
      <w:r>
        <w:rPr>
          <w:rFonts w:hint="eastAsia"/>
          <w:color w:val="auto"/>
          <w:highlight w:val="none"/>
          <w:lang w:eastAsia="zh-CN"/>
        </w:rPr>
        <w:t>专业承包人</w:t>
      </w:r>
      <w:r>
        <w:rPr>
          <w:rFonts w:hint="eastAsia"/>
          <w:color w:val="auto"/>
          <w:highlight w:val="none"/>
        </w:rPr>
        <w:t>应积极配合调整。</w:t>
      </w:r>
    </w:p>
    <w:p w14:paraId="25327B6F">
      <w:pPr>
        <w:keepNext w:val="0"/>
        <w:keepLines w:val="0"/>
        <w:pageBreakBefore w:val="0"/>
        <w:widowControl w:val="0"/>
        <w:numPr>
          <w:ilvl w:val="0"/>
          <w:numId w:val="0"/>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w:t>
      </w:r>
      <w:r>
        <w:rPr>
          <w:rFonts w:hint="eastAsia"/>
          <w:color w:val="auto"/>
          <w:highlight w:val="none"/>
        </w:rPr>
        <w:t>纠偏措施审批：</w:t>
      </w:r>
    </w:p>
    <w:p w14:paraId="6D9E6CF2">
      <w:pPr>
        <w:keepNext w:val="0"/>
        <w:keepLines w:val="0"/>
        <w:pageBreakBefore w:val="0"/>
        <w:widowControl w:val="0"/>
        <w:numPr>
          <w:ilvl w:val="0"/>
          <w:numId w:val="0"/>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lang w:eastAsia="zh-CN"/>
        </w:rPr>
        <w:t>（</w:t>
      </w:r>
      <w:r>
        <w:rPr>
          <w:rFonts w:hint="eastAsia"/>
          <w:color w:val="auto"/>
          <w:highlight w:val="none"/>
          <w:lang w:val="en-US" w:eastAsia="zh-CN"/>
        </w:rPr>
        <w:t>3</w:t>
      </w:r>
      <w:r>
        <w:rPr>
          <w:rFonts w:hint="eastAsia"/>
          <w:color w:val="auto"/>
          <w:highlight w:val="none"/>
          <w:lang w:eastAsia="zh-CN"/>
        </w:rPr>
        <w:t>）</w:t>
      </w:r>
      <w:r>
        <w:rPr>
          <w:rFonts w:hint="eastAsia"/>
          <w:color w:val="auto"/>
          <w:highlight w:val="none"/>
        </w:rPr>
        <w:t>周进度偏差：针对周进度偏差，分析偏差原因，</w:t>
      </w:r>
      <w:r>
        <w:rPr>
          <w:rFonts w:hint="eastAsia"/>
          <w:color w:val="auto"/>
          <w:highlight w:val="none"/>
          <w:lang w:eastAsia="zh-CN"/>
        </w:rPr>
        <w:t>专业承包人</w:t>
      </w:r>
      <w:r>
        <w:rPr>
          <w:rFonts w:hint="eastAsia"/>
          <w:color w:val="auto"/>
          <w:highlight w:val="none"/>
        </w:rPr>
        <w:t>应根据发包人和监理人意见提出纠偏措施，由监理人、发包人确认并督促执行。</w:t>
      </w:r>
    </w:p>
    <w:p w14:paraId="0448DD17">
      <w:pPr>
        <w:keepNext w:val="0"/>
        <w:keepLines w:val="0"/>
        <w:pageBreakBefore w:val="0"/>
        <w:widowControl w:val="0"/>
        <w:numPr>
          <w:ilvl w:val="0"/>
          <w:numId w:val="0"/>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lang w:eastAsia="zh-CN"/>
        </w:rPr>
        <w:t>（</w:t>
      </w:r>
      <w:r>
        <w:rPr>
          <w:rFonts w:hint="eastAsia"/>
          <w:color w:val="auto"/>
          <w:highlight w:val="none"/>
          <w:lang w:val="en-US" w:eastAsia="zh-CN"/>
        </w:rPr>
        <w:t>4</w:t>
      </w:r>
      <w:r>
        <w:rPr>
          <w:rFonts w:hint="eastAsia"/>
          <w:color w:val="auto"/>
          <w:highlight w:val="none"/>
          <w:lang w:eastAsia="zh-CN"/>
        </w:rPr>
        <w:t>）</w:t>
      </w:r>
      <w:r>
        <w:rPr>
          <w:rFonts w:hint="eastAsia"/>
          <w:color w:val="auto"/>
          <w:highlight w:val="none"/>
        </w:rPr>
        <w:t>累积偏差：当实际进度与</w:t>
      </w:r>
      <w:r>
        <w:rPr>
          <w:rFonts w:hint="eastAsia"/>
          <w:color w:val="auto"/>
          <w:highlight w:val="none"/>
          <w:lang w:eastAsia="zh-CN"/>
        </w:rPr>
        <w:t>专业承包人</w:t>
      </w:r>
      <w:r>
        <w:rPr>
          <w:rFonts w:hint="eastAsia"/>
          <w:color w:val="auto"/>
          <w:highlight w:val="none"/>
        </w:rPr>
        <w:t>整体施工计划累计偏差超过两周时，监理人应向发包人提交专项报告，并责令</w:t>
      </w:r>
      <w:r>
        <w:rPr>
          <w:rFonts w:hint="eastAsia"/>
          <w:color w:val="auto"/>
          <w:highlight w:val="none"/>
          <w:lang w:eastAsia="zh-CN"/>
        </w:rPr>
        <w:t>专业承包人</w:t>
      </w:r>
      <w:r>
        <w:rPr>
          <w:rFonts w:hint="eastAsia"/>
          <w:color w:val="auto"/>
          <w:highlight w:val="none"/>
        </w:rPr>
        <w:t>提交进度纠偏方案，三方共同就</w:t>
      </w:r>
      <w:r>
        <w:rPr>
          <w:rFonts w:hint="eastAsia"/>
          <w:color w:val="auto"/>
          <w:highlight w:val="none"/>
          <w:lang w:eastAsia="zh-CN"/>
        </w:rPr>
        <w:t>专业承包人</w:t>
      </w:r>
      <w:r>
        <w:rPr>
          <w:rFonts w:hint="eastAsia"/>
          <w:color w:val="auto"/>
          <w:highlight w:val="none"/>
        </w:rPr>
        <w:t>进度纠偏方案确认，</w:t>
      </w:r>
      <w:r>
        <w:rPr>
          <w:rFonts w:hint="eastAsia"/>
          <w:color w:val="auto"/>
          <w:highlight w:val="none"/>
          <w:lang w:eastAsia="zh-CN"/>
        </w:rPr>
        <w:t>专业承包人</w:t>
      </w:r>
      <w:r>
        <w:rPr>
          <w:rFonts w:hint="eastAsia"/>
          <w:color w:val="auto"/>
          <w:highlight w:val="none"/>
        </w:rPr>
        <w:t>必须按纠偏方案执行。</w:t>
      </w:r>
    </w:p>
    <w:p w14:paraId="13ABB813">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color w:val="auto"/>
          <w:highlight w:val="none"/>
        </w:rPr>
        <w:t>进度管理报表</w:t>
      </w:r>
    </w:p>
    <w:p w14:paraId="3C040C3F">
      <w:pPr>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lang w:eastAsia="zh-CN"/>
        </w:rPr>
        <w:t>专业承包人</w:t>
      </w:r>
      <w:r>
        <w:rPr>
          <w:rFonts w:hint="eastAsia"/>
          <w:color w:val="auto"/>
          <w:highlight w:val="none"/>
        </w:rPr>
        <w:t>应向监理人和发包人按时提交《周工作报告》、《月工作报告》，在《周工作报告》、《月工作报告》中应包含周、月度工作计划。</w:t>
      </w:r>
    </w:p>
    <w:p w14:paraId="025CD194">
      <w:pPr>
        <w:keepNext w:val="0"/>
        <w:keepLines w:val="0"/>
        <w:pageBreakBefore w:val="0"/>
        <w:widowControl w:val="0"/>
        <w:numPr>
          <w:ilvl w:val="0"/>
          <w:numId w:val="0"/>
        </w:numPr>
        <w:kinsoku/>
        <w:wordWrap/>
        <w:overflowPunct/>
        <w:topLinePunct w:val="0"/>
        <w:autoSpaceDE/>
        <w:autoSpaceDN/>
        <w:bidi w:val="0"/>
        <w:ind w:leftChars="200"/>
        <w:rPr>
          <w:color w:val="auto"/>
          <w:highlight w:val="none"/>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w:t>
      </w:r>
      <w:r>
        <w:rPr>
          <w:rFonts w:hint="eastAsia"/>
          <w:color w:val="auto"/>
          <w:highlight w:val="none"/>
        </w:rPr>
        <w:t>各进度报表的内容</w:t>
      </w:r>
    </w:p>
    <w:p w14:paraId="34E83472">
      <w:pPr>
        <w:keepNext w:val="0"/>
        <w:keepLines w:val="0"/>
        <w:pageBreakBefore w:val="0"/>
        <w:widowControl w:val="0"/>
        <w:numPr>
          <w:ilvl w:val="0"/>
          <w:numId w:val="19"/>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在现场工作的技术管理人员数量、工程技术工人和非技术工人数量，同时包括</w:t>
      </w:r>
      <w:r>
        <w:rPr>
          <w:rFonts w:hint="eastAsia"/>
          <w:color w:val="auto"/>
          <w:highlight w:val="none"/>
          <w:lang w:eastAsia="zh-CN"/>
        </w:rPr>
        <w:t>专业承包人</w:t>
      </w:r>
      <w:r>
        <w:rPr>
          <w:rFonts w:hint="eastAsia"/>
          <w:color w:val="auto"/>
          <w:highlight w:val="none"/>
        </w:rPr>
        <w:t>的人员数量,是否满足工程需要</w:t>
      </w:r>
      <w:r>
        <w:rPr>
          <w:rFonts w:hint="eastAsia"/>
          <w:color w:val="auto"/>
          <w:highlight w:val="none"/>
          <w:lang w:eastAsia="zh-CN"/>
        </w:rPr>
        <w:t>。</w:t>
      </w:r>
    </w:p>
    <w:p w14:paraId="28B2071A">
      <w:pPr>
        <w:keepNext w:val="0"/>
        <w:keepLines w:val="0"/>
        <w:pageBreakBefore w:val="0"/>
        <w:widowControl w:val="0"/>
        <w:numPr>
          <w:ilvl w:val="0"/>
          <w:numId w:val="19"/>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现场所使用的各种主要机械设备和车辆的型号、数量和台班，工作区段，工程进度情况，天气情况记录，诸如停工、事故等特别事项说明。</w:t>
      </w:r>
    </w:p>
    <w:p w14:paraId="1B53E050">
      <w:pPr>
        <w:keepNext w:val="0"/>
        <w:keepLines w:val="0"/>
        <w:pageBreakBefore w:val="0"/>
        <w:widowControl w:val="0"/>
        <w:numPr>
          <w:ilvl w:val="0"/>
          <w:numId w:val="19"/>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、作业队、班组进度计划完成情况，进场材料、物品或设备分类汇总表、用于次周或下月的工程进度计划。</w:t>
      </w:r>
    </w:p>
    <w:p w14:paraId="244B7136">
      <w:pPr>
        <w:keepNext w:val="0"/>
        <w:keepLines w:val="0"/>
        <w:pageBreakBefore w:val="0"/>
        <w:widowControl w:val="0"/>
        <w:numPr>
          <w:ilvl w:val="0"/>
          <w:numId w:val="19"/>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工程变更、价格调整、索赔及工程款收支情况。</w:t>
      </w:r>
    </w:p>
    <w:p w14:paraId="73F306C1">
      <w:pPr>
        <w:keepNext w:val="0"/>
        <w:keepLines w:val="0"/>
        <w:pageBreakBefore w:val="0"/>
        <w:widowControl w:val="0"/>
        <w:numPr>
          <w:ilvl w:val="0"/>
          <w:numId w:val="19"/>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工期偏差的状况和导致偏差的原因分析。</w:t>
      </w:r>
    </w:p>
    <w:p w14:paraId="3B3EED15">
      <w:pPr>
        <w:keepNext w:val="0"/>
        <w:keepLines w:val="0"/>
        <w:pageBreakBefore w:val="0"/>
        <w:widowControl w:val="0"/>
        <w:numPr>
          <w:ilvl w:val="0"/>
          <w:numId w:val="0"/>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w:t>
      </w:r>
      <w:r>
        <w:rPr>
          <w:rFonts w:hint="eastAsia"/>
          <w:color w:val="auto"/>
          <w:highlight w:val="none"/>
        </w:rPr>
        <w:t>报告制度</w:t>
      </w:r>
    </w:p>
    <w:p w14:paraId="200B7266">
      <w:pPr>
        <w:keepNext w:val="0"/>
        <w:keepLines w:val="0"/>
        <w:pageBreakBefore w:val="0"/>
        <w:widowControl w:val="0"/>
        <w:numPr>
          <w:ilvl w:val="0"/>
          <w:numId w:val="20"/>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应设立专人负责工程</w:t>
      </w:r>
      <w:r>
        <w:rPr>
          <w:color w:val="auto"/>
          <w:highlight w:val="none"/>
        </w:rPr>
        <w:t>实施的</w:t>
      </w:r>
      <w:r>
        <w:rPr>
          <w:rFonts w:hint="eastAsia"/>
          <w:color w:val="auto"/>
          <w:highlight w:val="none"/>
        </w:rPr>
        <w:t>进度管理，对施工全过程进度管理，重点是协调</w:t>
      </w:r>
      <w:r>
        <w:rPr>
          <w:rFonts w:hint="eastAsia"/>
          <w:color w:val="auto"/>
          <w:highlight w:val="none"/>
          <w:lang w:eastAsia="zh-CN"/>
        </w:rPr>
        <w:t>专业承包人</w:t>
      </w:r>
      <w:r>
        <w:rPr>
          <w:rFonts w:hint="eastAsia"/>
          <w:color w:val="auto"/>
          <w:highlight w:val="none"/>
        </w:rPr>
        <w:t>的进度管理。</w:t>
      </w:r>
    </w:p>
    <w:p w14:paraId="67FB1977">
      <w:pPr>
        <w:keepNext w:val="0"/>
        <w:keepLines w:val="0"/>
        <w:pageBreakBefore w:val="0"/>
        <w:widowControl w:val="0"/>
        <w:numPr>
          <w:ilvl w:val="0"/>
          <w:numId w:val="20"/>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应向发包人呈递一式三份周进度报表和月进度报表。</w:t>
      </w:r>
    </w:p>
    <w:p w14:paraId="3AE5E4F6">
      <w:pPr>
        <w:keepNext w:val="0"/>
        <w:keepLines w:val="0"/>
        <w:pageBreakBefore w:val="0"/>
        <w:widowControl w:val="0"/>
        <w:numPr>
          <w:ilvl w:val="0"/>
          <w:numId w:val="20"/>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月度施工进度报告经</w:t>
      </w:r>
      <w:r>
        <w:rPr>
          <w:rFonts w:hint="eastAsia"/>
          <w:color w:val="auto"/>
          <w:highlight w:val="none"/>
          <w:lang w:eastAsia="zh-CN"/>
        </w:rPr>
        <w:t>项目负责人</w:t>
      </w:r>
      <w:r>
        <w:rPr>
          <w:rFonts w:hint="eastAsia"/>
          <w:color w:val="auto"/>
          <w:highlight w:val="none"/>
        </w:rPr>
        <w:t>审核，每月</w:t>
      </w:r>
      <w:r>
        <w:rPr>
          <w:color w:val="auto"/>
          <w:highlight w:val="none"/>
        </w:rPr>
        <w:t>24</w:t>
      </w:r>
      <w:r>
        <w:rPr>
          <w:rFonts w:hint="eastAsia"/>
          <w:color w:val="auto"/>
          <w:highlight w:val="none"/>
        </w:rPr>
        <w:t>日前上报。</w:t>
      </w:r>
    </w:p>
    <w:p w14:paraId="434E678B">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工程</w:t>
      </w:r>
      <w:r>
        <w:rPr>
          <w:color w:val="auto"/>
          <w:highlight w:val="none"/>
        </w:rPr>
        <w:t>进度计划考核</w:t>
      </w:r>
    </w:p>
    <w:p w14:paraId="56933BE6">
      <w:pPr>
        <w:keepNext w:val="0"/>
        <w:keepLines w:val="0"/>
        <w:pageBreakBefore w:val="0"/>
        <w:widowControl w:val="0"/>
        <w:numPr>
          <w:ilvl w:val="0"/>
          <w:numId w:val="0"/>
        </w:numPr>
        <w:kinsoku/>
        <w:wordWrap/>
        <w:overflowPunct/>
        <w:topLinePunct w:val="0"/>
        <w:autoSpaceDE/>
        <w:autoSpaceDN/>
        <w:bidi w:val="0"/>
        <w:adjustRightInd/>
        <w:snapToGrid w:val="0"/>
        <w:spacing w:before="120" w:beforeLines="50" w:after="120" w:afterLines="50"/>
        <w:ind w:leftChars="0" w:firstLine="480" w:firstLineChars="200"/>
        <w:textAlignment w:val="auto"/>
        <w:rPr>
          <w:color w:val="auto"/>
          <w:highlight w:val="none"/>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w:t>
      </w:r>
      <w:r>
        <w:rPr>
          <w:rFonts w:hint="eastAsia"/>
          <w:color w:val="auto"/>
          <w:highlight w:val="none"/>
        </w:rPr>
        <w:t>不符合计划进度，进度拖延累计超过3天，由</w:t>
      </w:r>
      <w:r>
        <w:rPr>
          <w:rFonts w:hint="eastAsia"/>
          <w:color w:val="auto"/>
          <w:highlight w:val="none"/>
          <w:lang w:eastAsia="zh-CN"/>
        </w:rPr>
        <w:t>专业承包人项目负责人</w:t>
      </w:r>
      <w:r>
        <w:rPr>
          <w:rFonts w:hint="eastAsia"/>
          <w:color w:val="auto"/>
          <w:highlight w:val="none"/>
        </w:rPr>
        <w:t>汇报原因并制定措施。</w:t>
      </w:r>
    </w:p>
    <w:p w14:paraId="66988858">
      <w:pPr>
        <w:keepNext w:val="0"/>
        <w:keepLines w:val="0"/>
        <w:pageBreakBefore w:val="0"/>
        <w:widowControl w:val="0"/>
        <w:numPr>
          <w:ilvl w:val="0"/>
          <w:numId w:val="0"/>
        </w:numPr>
        <w:kinsoku/>
        <w:wordWrap/>
        <w:overflowPunct/>
        <w:topLinePunct w:val="0"/>
        <w:autoSpaceDE/>
        <w:autoSpaceDN/>
        <w:bidi w:val="0"/>
        <w:adjustRightInd/>
        <w:snapToGrid w:val="0"/>
        <w:spacing w:before="120" w:beforeLines="50" w:after="120" w:afterLines="50"/>
        <w:ind w:leftChars="0" w:firstLine="480" w:firstLineChars="200"/>
        <w:textAlignment w:val="auto"/>
        <w:rPr>
          <w:color w:val="auto"/>
          <w:highlight w:val="none"/>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w:t>
      </w:r>
      <w:r>
        <w:rPr>
          <w:rFonts w:hint="eastAsia"/>
          <w:color w:val="auto"/>
          <w:highlight w:val="none"/>
        </w:rPr>
        <w:t>不符合计划进度，进度拖延累计超过7天或</w:t>
      </w:r>
      <w:r>
        <w:rPr>
          <w:rFonts w:hint="eastAsia"/>
          <w:color w:val="auto"/>
          <w:highlight w:val="none"/>
          <w:lang w:val="en-US" w:eastAsia="zh-CN"/>
        </w:rPr>
        <w:t>15</w:t>
      </w:r>
      <w:r>
        <w:rPr>
          <w:rFonts w:hint="eastAsia"/>
          <w:color w:val="auto"/>
          <w:highlight w:val="none"/>
        </w:rPr>
        <w:t>天内没有抢回拖后的3天工期，</w:t>
      </w:r>
      <w:r>
        <w:rPr>
          <w:rFonts w:hint="eastAsia"/>
          <w:color w:val="auto"/>
          <w:highlight w:val="none"/>
          <w:lang w:eastAsia="zh-CN"/>
        </w:rPr>
        <w:t>专业承包人项目指挥长</w:t>
      </w:r>
      <w:r>
        <w:rPr>
          <w:rFonts w:hint="eastAsia"/>
          <w:color w:val="auto"/>
          <w:highlight w:val="none"/>
        </w:rPr>
        <w:t>制定措施。</w:t>
      </w:r>
    </w:p>
    <w:p w14:paraId="6F141846">
      <w:pPr>
        <w:keepNext w:val="0"/>
        <w:keepLines w:val="0"/>
        <w:pageBreakBefore w:val="0"/>
        <w:widowControl w:val="0"/>
        <w:numPr>
          <w:ilvl w:val="0"/>
          <w:numId w:val="0"/>
        </w:numPr>
        <w:kinsoku/>
        <w:wordWrap/>
        <w:overflowPunct/>
        <w:topLinePunct w:val="0"/>
        <w:autoSpaceDE/>
        <w:autoSpaceDN/>
        <w:bidi w:val="0"/>
        <w:adjustRightInd/>
        <w:snapToGrid w:val="0"/>
        <w:spacing w:before="120" w:beforeLines="50" w:after="120" w:afterLines="50"/>
        <w:ind w:leftChars="0" w:firstLine="480" w:firstLineChars="200"/>
        <w:textAlignment w:val="auto"/>
        <w:rPr>
          <w:color w:val="auto"/>
          <w:highlight w:val="none"/>
        </w:rPr>
      </w:pPr>
      <w:r>
        <w:rPr>
          <w:rFonts w:hint="eastAsia"/>
          <w:color w:val="auto"/>
          <w:highlight w:val="none"/>
          <w:lang w:eastAsia="zh-CN"/>
        </w:rPr>
        <w:t>（</w:t>
      </w:r>
      <w:r>
        <w:rPr>
          <w:rFonts w:hint="eastAsia"/>
          <w:color w:val="auto"/>
          <w:highlight w:val="none"/>
          <w:lang w:val="en-US" w:eastAsia="zh-CN"/>
        </w:rPr>
        <w:t>3</w:t>
      </w:r>
      <w:r>
        <w:rPr>
          <w:rFonts w:hint="eastAsia"/>
          <w:color w:val="auto"/>
          <w:highlight w:val="none"/>
          <w:lang w:eastAsia="zh-CN"/>
        </w:rPr>
        <w:t>）</w:t>
      </w:r>
      <w:r>
        <w:rPr>
          <w:rFonts w:hint="eastAsia"/>
          <w:color w:val="auto"/>
          <w:highlight w:val="none"/>
        </w:rPr>
        <w:t>不符合计划进度，进度拖延累计超过10天或</w:t>
      </w:r>
      <w:r>
        <w:rPr>
          <w:rFonts w:hint="eastAsia"/>
          <w:color w:val="auto"/>
          <w:highlight w:val="none"/>
          <w:lang w:val="en-US" w:eastAsia="zh-CN"/>
        </w:rPr>
        <w:t>20</w:t>
      </w:r>
      <w:r>
        <w:rPr>
          <w:rFonts w:hint="eastAsia"/>
          <w:color w:val="auto"/>
          <w:highlight w:val="none"/>
        </w:rPr>
        <w:t>天内没有抢回拖后的5天工期，</w:t>
      </w:r>
      <w:r>
        <w:rPr>
          <w:rFonts w:hint="eastAsia"/>
          <w:color w:val="auto"/>
          <w:highlight w:val="none"/>
          <w:lang w:eastAsia="zh-CN"/>
        </w:rPr>
        <w:t>专业承包人项目指挥长</w:t>
      </w:r>
      <w:r>
        <w:rPr>
          <w:rFonts w:hint="eastAsia"/>
          <w:color w:val="auto"/>
          <w:highlight w:val="none"/>
        </w:rPr>
        <w:t>驻场制定措施，</w:t>
      </w:r>
      <w:r>
        <w:rPr>
          <w:color w:val="auto"/>
          <w:highlight w:val="none"/>
        </w:rPr>
        <w:t>并直至赶回工期</w:t>
      </w:r>
      <w:r>
        <w:rPr>
          <w:rFonts w:hint="eastAsia"/>
          <w:color w:val="auto"/>
          <w:highlight w:val="none"/>
        </w:rPr>
        <w:t>。</w:t>
      </w:r>
    </w:p>
    <w:p w14:paraId="06E7B19D">
      <w:pPr>
        <w:keepNext w:val="0"/>
        <w:keepLines w:val="0"/>
        <w:pageBreakBefore w:val="0"/>
        <w:widowControl w:val="0"/>
        <w:numPr>
          <w:ilvl w:val="0"/>
          <w:numId w:val="0"/>
        </w:numPr>
        <w:kinsoku/>
        <w:wordWrap/>
        <w:overflowPunct/>
        <w:topLinePunct w:val="0"/>
        <w:autoSpaceDE/>
        <w:autoSpaceDN/>
        <w:bidi w:val="0"/>
        <w:adjustRightInd/>
        <w:snapToGrid w:val="0"/>
        <w:ind w:leftChars="0" w:firstLine="480" w:firstLineChars="200"/>
        <w:textAlignment w:val="auto"/>
        <w:rPr>
          <w:color w:val="auto"/>
          <w:highlight w:val="none"/>
        </w:rPr>
      </w:pPr>
      <w:r>
        <w:rPr>
          <w:rFonts w:hint="eastAsia"/>
          <w:color w:val="auto"/>
          <w:highlight w:val="none"/>
          <w:lang w:eastAsia="zh-CN"/>
        </w:rPr>
        <w:t>（</w:t>
      </w:r>
      <w:r>
        <w:rPr>
          <w:rFonts w:hint="eastAsia"/>
          <w:color w:val="auto"/>
          <w:highlight w:val="none"/>
          <w:lang w:val="en-US" w:eastAsia="zh-CN"/>
        </w:rPr>
        <w:t>4</w:t>
      </w:r>
      <w:r>
        <w:rPr>
          <w:rFonts w:hint="eastAsia"/>
          <w:color w:val="auto"/>
          <w:highlight w:val="none"/>
          <w:lang w:eastAsia="zh-CN"/>
        </w:rPr>
        <w:t>）</w:t>
      </w:r>
      <w:r>
        <w:rPr>
          <w:rFonts w:hint="eastAsia"/>
          <w:color w:val="auto"/>
          <w:highlight w:val="none"/>
        </w:rPr>
        <w:t>如果进度计划累计15天或</w:t>
      </w:r>
      <w:r>
        <w:rPr>
          <w:rFonts w:hint="eastAsia"/>
          <w:color w:val="auto"/>
          <w:highlight w:val="none"/>
          <w:lang w:val="en-US" w:eastAsia="zh-CN"/>
        </w:rPr>
        <w:t>30</w:t>
      </w:r>
      <w:r>
        <w:rPr>
          <w:rFonts w:hint="eastAsia"/>
          <w:color w:val="auto"/>
          <w:highlight w:val="none"/>
        </w:rPr>
        <w:t>天内未抢回拖后的7天工期，</w:t>
      </w:r>
      <w:r>
        <w:rPr>
          <w:rFonts w:hint="eastAsia"/>
          <w:color w:val="auto"/>
          <w:highlight w:val="none"/>
          <w:lang w:eastAsia="zh-CN"/>
        </w:rPr>
        <w:t>专业承包人</w:t>
      </w:r>
      <w:r>
        <w:rPr>
          <w:rFonts w:hint="eastAsia"/>
          <w:color w:val="auto"/>
          <w:highlight w:val="none"/>
        </w:rPr>
        <w:t>公司总经理制定措施。</w:t>
      </w:r>
    </w:p>
    <w:p w14:paraId="1A6EF5B5">
      <w:pPr>
        <w:pStyle w:val="6"/>
        <w:keepNext w:val="0"/>
        <w:keepLines w:val="0"/>
        <w:pageBreakBefore w:val="0"/>
        <w:widowControl w:val="0"/>
        <w:numPr>
          <w:ilvl w:val="3"/>
          <w:numId w:val="15"/>
        </w:numPr>
        <w:kinsoku/>
        <w:wordWrap/>
        <w:overflowPunct/>
        <w:topLinePunct w:val="0"/>
        <w:autoSpaceDE/>
        <w:autoSpaceDN/>
        <w:bidi w:val="0"/>
        <w:adjustRightInd/>
        <w:snapToGrid w:val="0"/>
        <w:spacing w:beforeLines="0" w:afterLines="0"/>
        <w:ind w:left="0" w:leftChars="0" w:firstLine="480" w:firstLineChars="200"/>
        <w:textAlignment w:val="auto"/>
        <w:rPr>
          <w:color w:val="auto"/>
          <w:highlight w:val="none"/>
        </w:rPr>
      </w:pPr>
      <w:r>
        <w:rPr>
          <w:color w:val="auto"/>
          <w:highlight w:val="none"/>
        </w:rPr>
        <w:t>工程进度管理会议</w:t>
      </w:r>
    </w:p>
    <w:p w14:paraId="77E57A1B">
      <w:pPr>
        <w:keepNext w:val="0"/>
        <w:keepLines w:val="0"/>
        <w:pageBreakBefore w:val="0"/>
        <w:widowControl w:val="0"/>
        <w:numPr>
          <w:ilvl w:val="0"/>
          <w:numId w:val="0"/>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w:t>
      </w:r>
      <w:r>
        <w:rPr>
          <w:rFonts w:hint="eastAsia"/>
          <w:color w:val="auto"/>
          <w:highlight w:val="none"/>
        </w:rPr>
        <w:t>每周召开由发包人工程经理、</w:t>
      </w:r>
      <w:r>
        <w:rPr>
          <w:rFonts w:hint="eastAsia"/>
          <w:color w:val="auto"/>
          <w:highlight w:val="none"/>
          <w:lang w:eastAsia="zh-CN"/>
        </w:rPr>
        <w:t>专业承包人项目负责人</w:t>
      </w:r>
      <w:r>
        <w:rPr>
          <w:rFonts w:hint="eastAsia"/>
          <w:color w:val="auto"/>
          <w:highlight w:val="none"/>
        </w:rPr>
        <w:t>、监理人总监参加的监理例会。监理例会包括进度协调议题，内容包括上周现场进度核对、下周重点现场工作安排、进度偏差原因分析、纠偏措施、重要施工方案进展、现场质量情况、样板进展、安全文明施工等情况安排责任单位进行通报，对存在的问题协调解决。</w:t>
      </w:r>
    </w:p>
    <w:p w14:paraId="73ABBDED">
      <w:pPr>
        <w:keepNext w:val="0"/>
        <w:keepLines w:val="0"/>
        <w:pageBreakBefore w:val="0"/>
        <w:widowControl w:val="0"/>
        <w:numPr>
          <w:ilvl w:val="0"/>
          <w:numId w:val="0"/>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w:t>
      </w:r>
      <w:r>
        <w:rPr>
          <w:rFonts w:hint="eastAsia"/>
          <w:color w:val="auto"/>
          <w:highlight w:val="none"/>
        </w:rPr>
        <w:t>不定期召开专项工作会，重点解决项目推进中的难点问题。</w:t>
      </w:r>
    </w:p>
    <w:p w14:paraId="208D326C">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影像</w:t>
      </w:r>
      <w:r>
        <w:rPr>
          <w:color w:val="auto"/>
          <w:highlight w:val="none"/>
        </w:rPr>
        <w:t>资料</w:t>
      </w:r>
    </w:p>
    <w:p w14:paraId="4FFD491A">
      <w:pPr>
        <w:keepNext w:val="0"/>
        <w:keepLines w:val="0"/>
        <w:pageBreakBefore w:val="0"/>
        <w:widowControl w:val="0"/>
        <w:kinsoku/>
        <w:wordWrap/>
        <w:overflowPunct/>
        <w:topLinePunct w:val="0"/>
        <w:autoSpaceDE/>
        <w:autoSpaceDN/>
        <w:bidi w:val="0"/>
        <w:rPr>
          <w:rFonts w:hint="eastAsia"/>
          <w:color w:val="auto"/>
          <w:highlight w:val="none"/>
        </w:rPr>
      </w:pPr>
      <w:r>
        <w:rPr>
          <w:rFonts w:hint="eastAsia"/>
          <w:color w:val="auto"/>
          <w:highlight w:val="none"/>
          <w:lang w:eastAsia="zh-CN"/>
        </w:rPr>
        <w:t>专业承包人</w:t>
      </w:r>
      <w:r>
        <w:rPr>
          <w:rFonts w:hint="eastAsia"/>
          <w:color w:val="auto"/>
          <w:highlight w:val="none"/>
        </w:rPr>
        <w:t>每</w:t>
      </w:r>
      <w:r>
        <w:rPr>
          <w:rFonts w:hint="eastAsia"/>
          <w:color w:val="auto"/>
          <w:highlight w:val="none"/>
          <w:lang w:val="en-US" w:eastAsia="zh-CN"/>
        </w:rPr>
        <w:t>半</w:t>
      </w:r>
      <w:r>
        <w:rPr>
          <w:rFonts w:hint="eastAsia"/>
          <w:color w:val="auto"/>
          <w:highlight w:val="none"/>
        </w:rPr>
        <w:t>月应呈交给发包人工程进度照片，并在经监理人批准的不同位置定期拍摄。要求每月呈交的每套照片中，每栋单体不少于2张，以两个不同的固定位置拍摄的最能体现本工程特点的全貌照片2张，每张照片都应标上相应的拍摄日期和简要文字说明。</w:t>
      </w:r>
    </w:p>
    <w:p w14:paraId="1A0A85DE">
      <w:pPr>
        <w:keepNext w:val="0"/>
        <w:keepLines w:val="0"/>
        <w:pageBreakBefore w:val="0"/>
        <w:widowControl w:val="0"/>
        <w:kinsoku/>
        <w:wordWrap/>
        <w:overflowPunct/>
        <w:topLinePunct w:val="0"/>
        <w:autoSpaceDE/>
        <w:autoSpaceDN/>
        <w:bidi w:val="0"/>
        <w:rPr>
          <w:rFonts w:hint="eastAsia"/>
          <w:color w:val="auto"/>
          <w:highlight w:val="none"/>
          <w:lang w:val="en-US" w:eastAsia="zh-CN"/>
        </w:rPr>
      </w:pPr>
      <w:r>
        <w:rPr>
          <w:rFonts w:hint="eastAsia"/>
          <w:color w:val="auto"/>
          <w:highlight w:val="none"/>
          <w:lang w:val="en-US" w:eastAsia="zh-CN"/>
        </w:rPr>
        <w:t>每道工序样板施工验收完成后及大面施工完成后，拍摄最能体现本工序施工质量亮点的照片不少于2张。</w:t>
      </w:r>
    </w:p>
    <w:p w14:paraId="64920ED6">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val="en-US" w:eastAsia="zh-CN"/>
        </w:rPr>
      </w:pPr>
      <w:r>
        <w:rPr>
          <w:rFonts w:hint="eastAsia"/>
          <w:color w:val="auto"/>
          <w:highlight w:val="none"/>
          <w:lang w:val="en-US" w:eastAsia="zh-CN"/>
        </w:rPr>
        <w:t>其他</w:t>
      </w:r>
    </w:p>
    <w:p w14:paraId="6ACD5D34">
      <w:pPr>
        <w:keepNext w:val="0"/>
        <w:keepLines w:val="0"/>
        <w:pageBreakBefore w:val="0"/>
        <w:widowControl w:val="0"/>
        <w:kinsoku/>
        <w:wordWrap/>
        <w:overflowPunct/>
        <w:topLinePunct w:val="0"/>
        <w:autoSpaceDE/>
        <w:autoSpaceDN/>
        <w:bidi w:val="0"/>
        <w:rPr>
          <w:rFonts w:hint="default"/>
          <w:color w:val="auto"/>
          <w:highlight w:val="none"/>
          <w:lang w:val="en-US" w:eastAsia="zh-CN"/>
        </w:rPr>
      </w:pPr>
      <w:r>
        <w:rPr>
          <w:rFonts w:hint="default"/>
          <w:color w:val="auto"/>
          <w:highlight w:val="none"/>
          <w:lang w:val="en-US" w:eastAsia="zh-CN"/>
        </w:rPr>
        <w:t>(1)现场施工人员数量必须满足施工进度要求，当发现施工人员数量无法满足施工进度要求时，总</w:t>
      </w:r>
      <w:r>
        <w:rPr>
          <w:rFonts w:hint="eastAsia"/>
          <w:color w:val="auto"/>
          <w:highlight w:val="none"/>
          <w:lang w:val="en-US" w:eastAsia="zh-CN"/>
        </w:rPr>
        <w:t>承包人</w:t>
      </w:r>
      <w:r>
        <w:rPr>
          <w:rFonts w:hint="default"/>
          <w:color w:val="auto"/>
          <w:highlight w:val="none"/>
          <w:lang w:val="en-US" w:eastAsia="zh-CN"/>
        </w:rPr>
        <w:t>、监理人、发包人均有权要求</w:t>
      </w:r>
      <w:r>
        <w:rPr>
          <w:rFonts w:hint="eastAsia"/>
          <w:color w:val="auto"/>
          <w:highlight w:val="none"/>
          <w:lang w:val="en-US" w:eastAsia="zh-CN"/>
        </w:rPr>
        <w:t>专业承包人</w:t>
      </w:r>
      <w:r>
        <w:rPr>
          <w:rFonts w:hint="default"/>
          <w:color w:val="auto"/>
          <w:highlight w:val="none"/>
          <w:lang w:val="en-US" w:eastAsia="zh-CN"/>
        </w:rPr>
        <w:t>增加施工人员和管理人员，</w:t>
      </w:r>
      <w:r>
        <w:rPr>
          <w:rFonts w:hint="eastAsia"/>
          <w:color w:val="auto"/>
          <w:highlight w:val="none"/>
          <w:lang w:val="en-US" w:eastAsia="zh-CN"/>
        </w:rPr>
        <w:t>专业承包人</w:t>
      </w:r>
      <w:r>
        <w:rPr>
          <w:rFonts w:hint="default"/>
          <w:color w:val="auto"/>
          <w:highlight w:val="none"/>
          <w:lang w:val="en-US" w:eastAsia="zh-CN"/>
        </w:rPr>
        <w:t>需在48小时内按总</w:t>
      </w:r>
      <w:r>
        <w:rPr>
          <w:rFonts w:hint="eastAsia"/>
          <w:color w:val="auto"/>
          <w:highlight w:val="none"/>
          <w:lang w:val="en-US" w:eastAsia="zh-CN"/>
        </w:rPr>
        <w:t>承包人</w:t>
      </w:r>
      <w:r>
        <w:rPr>
          <w:rFonts w:hint="default"/>
          <w:color w:val="auto"/>
          <w:highlight w:val="none"/>
          <w:lang w:val="en-US" w:eastAsia="zh-CN"/>
        </w:rPr>
        <w:t>、监理人、发包人要求将人员补充到位。</w:t>
      </w:r>
    </w:p>
    <w:p w14:paraId="3C450C84">
      <w:pPr>
        <w:keepNext w:val="0"/>
        <w:keepLines w:val="0"/>
        <w:pageBreakBefore w:val="0"/>
        <w:widowControl w:val="0"/>
        <w:kinsoku/>
        <w:wordWrap/>
        <w:overflowPunct/>
        <w:topLinePunct w:val="0"/>
        <w:autoSpaceDE/>
        <w:autoSpaceDN/>
        <w:bidi w:val="0"/>
        <w:rPr>
          <w:rFonts w:hint="default"/>
          <w:color w:val="auto"/>
          <w:highlight w:val="none"/>
          <w:lang w:val="en-US" w:eastAsia="zh-CN"/>
        </w:rPr>
      </w:pPr>
      <w:r>
        <w:rPr>
          <w:rFonts w:hint="default"/>
          <w:color w:val="auto"/>
          <w:highlight w:val="none"/>
          <w:lang w:val="en-US" w:eastAsia="zh-CN"/>
        </w:rPr>
        <w:t>对一些关键节点、工序或</w:t>
      </w:r>
      <w:r>
        <w:rPr>
          <w:rFonts w:hint="eastAsia"/>
          <w:color w:val="auto"/>
          <w:highlight w:val="none"/>
          <w:lang w:val="en-US" w:eastAsia="zh-CN"/>
        </w:rPr>
        <w:t>发包人</w:t>
      </w:r>
      <w:r>
        <w:rPr>
          <w:rFonts w:hint="default"/>
          <w:color w:val="auto"/>
          <w:highlight w:val="none"/>
          <w:lang w:val="en-US" w:eastAsia="zh-CN"/>
        </w:rPr>
        <w:t>有特殊要求必须在某个时间段完成的工作，</w:t>
      </w:r>
      <w:r>
        <w:rPr>
          <w:rFonts w:hint="eastAsia"/>
          <w:color w:val="auto"/>
          <w:highlight w:val="none"/>
          <w:lang w:val="en-US" w:eastAsia="zh-CN"/>
        </w:rPr>
        <w:t>专业承包人</w:t>
      </w:r>
      <w:r>
        <w:rPr>
          <w:rFonts w:hint="default"/>
          <w:color w:val="auto"/>
          <w:highlight w:val="none"/>
          <w:lang w:val="en-US" w:eastAsia="zh-CN"/>
        </w:rPr>
        <w:t>必须在人员、材料、机械方面全力予以配合，确保在要求的时间内完成。</w:t>
      </w:r>
    </w:p>
    <w:p w14:paraId="6D608CEB">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222" w:name="_Toc12821"/>
      <w:bookmarkStart w:id="223" w:name="_Toc11919"/>
      <w:bookmarkStart w:id="224" w:name="_Toc2635"/>
      <w:bookmarkStart w:id="225" w:name="_Toc17061"/>
      <w:bookmarkStart w:id="226" w:name="_Toc18220"/>
      <w:bookmarkStart w:id="227" w:name="_Toc16226"/>
      <w:bookmarkStart w:id="228" w:name="_Toc169722213"/>
      <w:bookmarkStart w:id="229" w:name="_Toc24953"/>
      <w:bookmarkStart w:id="230" w:name="_Toc17543"/>
      <w:bookmarkStart w:id="231" w:name="_Toc6347"/>
      <w:bookmarkStart w:id="232" w:name="_Toc18128"/>
      <w:bookmarkStart w:id="233" w:name="_Toc2919"/>
      <w:bookmarkStart w:id="234" w:name="_Toc30340"/>
      <w:r>
        <w:rPr>
          <w:color w:val="auto"/>
          <w:highlight w:val="none"/>
        </w:rPr>
        <w:t>深化设计要求</w:t>
      </w:r>
      <w:bookmarkEnd w:id="222"/>
      <w:bookmarkEnd w:id="223"/>
      <w:bookmarkEnd w:id="224"/>
      <w:bookmarkEnd w:id="225"/>
      <w:bookmarkEnd w:id="226"/>
      <w:bookmarkEnd w:id="227"/>
      <w:bookmarkEnd w:id="228"/>
      <w:bookmarkEnd w:id="229"/>
      <w:bookmarkEnd w:id="230"/>
      <w:bookmarkEnd w:id="231"/>
      <w:bookmarkEnd w:id="232"/>
      <w:bookmarkEnd w:id="233"/>
      <w:bookmarkEnd w:id="234"/>
    </w:p>
    <w:p w14:paraId="60909C47">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深化</w:t>
      </w:r>
      <w:r>
        <w:rPr>
          <w:color w:val="auto"/>
          <w:highlight w:val="none"/>
        </w:rPr>
        <w:t>设计</w:t>
      </w:r>
      <w:r>
        <w:rPr>
          <w:rFonts w:hint="eastAsia"/>
          <w:color w:val="auto"/>
          <w:highlight w:val="none"/>
          <w:lang w:val="en-US" w:eastAsia="zh-CN"/>
        </w:rPr>
        <w:t>原则</w:t>
      </w:r>
    </w:p>
    <w:p w14:paraId="131B927A">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lang w:eastAsia="zh-CN"/>
        </w:rPr>
        <w:t>专业承包人</w:t>
      </w:r>
      <w:r>
        <w:rPr>
          <w:rFonts w:hint="eastAsia"/>
          <w:color w:val="auto"/>
          <w:highlight w:val="none"/>
        </w:rPr>
        <w:t>投标文件中需提供深化图纸目录和中标后提交出图计划时间表。</w:t>
      </w:r>
    </w:p>
    <w:p w14:paraId="4B6B3F13">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所有现场施工前必须有图可依、有图可查，对施工现场给出明确做法，准确的尺寸，确定的材料标注，尽可能在同一张图纸中反映多种信息。</w:t>
      </w:r>
    </w:p>
    <w:p w14:paraId="204F731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lang w:eastAsia="zh-CN"/>
        </w:rPr>
        <w:t>专业承包人</w:t>
      </w:r>
      <w:r>
        <w:rPr>
          <w:rFonts w:hint="eastAsia"/>
          <w:color w:val="auto"/>
          <w:highlight w:val="none"/>
        </w:rPr>
        <w:t>深化图纸应基于施工图纸进行必要的修改及调整，且须在相关工程开始前提供深化图纸。</w:t>
      </w:r>
    </w:p>
    <w:p w14:paraId="32A67525">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若需对原设计进行节点构造等优化，首先应征得设计人和发包人同意，并提交详细的设计图纸及计算书。</w:t>
      </w:r>
    </w:p>
    <w:p w14:paraId="1ED9379C">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深化设计图纸一经确认，必须按图施工，不得随意更改；如需修改，须再次经设计人、监理人、发包人确认。</w:t>
      </w:r>
    </w:p>
    <w:p w14:paraId="0163111B">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lang w:eastAsia="zh-CN"/>
        </w:rPr>
        <w:t>专业承包人</w:t>
      </w:r>
      <w:r>
        <w:rPr>
          <w:rFonts w:hint="eastAsia"/>
          <w:color w:val="auto"/>
          <w:highlight w:val="none"/>
        </w:rPr>
        <w:t>须对装修受力结构（如钢结构等）进行计算复核并出具符合规范要求的报告（须有出图资质的单位盖章），在深化图中对原设计图纸不符合结构计算要求部位进行优化并达到结构计算要求。</w:t>
      </w:r>
    </w:p>
    <w:p w14:paraId="4CBD3BCB">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lang w:eastAsia="zh-CN"/>
        </w:rPr>
        <w:t>专业承包人</w:t>
      </w:r>
      <w:r>
        <w:rPr>
          <w:rFonts w:hint="eastAsia"/>
          <w:color w:val="auto"/>
          <w:highlight w:val="none"/>
        </w:rPr>
        <w:t>提交的深化图纸无论是过程文件还是最终成果，都必须进行自审自查，必须有绘图、设计、校核、审核、项目经理、审定的人员签字。若发包人提出的意见违反规范，</w:t>
      </w:r>
      <w:r>
        <w:rPr>
          <w:rFonts w:hint="eastAsia"/>
          <w:color w:val="auto"/>
          <w:highlight w:val="none"/>
          <w:lang w:eastAsia="zh-CN"/>
        </w:rPr>
        <w:t>专业承包人</w:t>
      </w:r>
      <w:r>
        <w:rPr>
          <w:rFonts w:hint="eastAsia"/>
          <w:color w:val="auto"/>
          <w:highlight w:val="none"/>
        </w:rPr>
        <w:t>应该及时提出违反规范的具体内容；若</w:t>
      </w:r>
      <w:r>
        <w:rPr>
          <w:rFonts w:hint="eastAsia"/>
          <w:color w:val="auto"/>
          <w:highlight w:val="none"/>
          <w:lang w:eastAsia="zh-CN"/>
        </w:rPr>
        <w:t>专业承包人</w:t>
      </w:r>
      <w:r>
        <w:rPr>
          <w:rFonts w:hint="eastAsia"/>
          <w:color w:val="auto"/>
          <w:highlight w:val="none"/>
        </w:rPr>
        <w:t>未提出而带来的损失均由</w:t>
      </w:r>
      <w:r>
        <w:rPr>
          <w:rFonts w:hint="eastAsia"/>
          <w:color w:val="auto"/>
          <w:highlight w:val="none"/>
          <w:lang w:eastAsia="zh-CN"/>
        </w:rPr>
        <w:t>专业承包人</w:t>
      </w:r>
      <w:r>
        <w:rPr>
          <w:rFonts w:hint="eastAsia"/>
          <w:color w:val="auto"/>
          <w:highlight w:val="none"/>
        </w:rPr>
        <w:t>负责；无论该图纸是否经过发包人确认，图纸中有未发现的错误而造成</w:t>
      </w:r>
      <w:r>
        <w:rPr>
          <w:rFonts w:hint="eastAsia"/>
          <w:color w:val="auto"/>
          <w:highlight w:val="none"/>
          <w:lang w:eastAsia="zh-CN"/>
        </w:rPr>
        <w:t>发包人</w:t>
      </w:r>
      <w:r>
        <w:rPr>
          <w:rFonts w:hint="eastAsia"/>
          <w:color w:val="auto"/>
          <w:highlight w:val="none"/>
        </w:rPr>
        <w:t>损失，</w:t>
      </w:r>
      <w:r>
        <w:rPr>
          <w:rFonts w:hint="eastAsia"/>
          <w:color w:val="auto"/>
          <w:highlight w:val="none"/>
          <w:lang w:eastAsia="zh-CN"/>
        </w:rPr>
        <w:t>专业承包人</w:t>
      </w:r>
      <w:r>
        <w:rPr>
          <w:rFonts w:hint="eastAsia"/>
          <w:color w:val="auto"/>
          <w:highlight w:val="none"/>
        </w:rPr>
        <w:t>应负违约责任；</w:t>
      </w:r>
    </w:p>
    <w:p w14:paraId="7BC9BDDC">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lang w:eastAsia="zh-CN"/>
        </w:rPr>
        <w:t>专业承包人</w:t>
      </w:r>
      <w:r>
        <w:rPr>
          <w:rFonts w:hint="eastAsia"/>
          <w:color w:val="auto"/>
          <w:highlight w:val="none"/>
        </w:rPr>
        <w:t>需考虑排版图深化设计引起的损耗增加。</w:t>
      </w:r>
    </w:p>
    <w:p w14:paraId="10ECDC4E">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图纸会审时须符合装修工程审图要点。</w:t>
      </w:r>
    </w:p>
    <w:p w14:paraId="04A900DD">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default"/>
          <w:color w:val="auto"/>
          <w:highlight w:val="none"/>
        </w:rPr>
        <w:t>深化</w:t>
      </w:r>
      <w:r>
        <w:rPr>
          <w:color w:val="auto"/>
          <w:highlight w:val="none"/>
        </w:rPr>
        <w:t>设计时间要求：</w:t>
      </w:r>
      <w:r>
        <w:rPr>
          <w:rFonts w:hint="eastAsia"/>
          <w:color w:val="auto"/>
          <w:highlight w:val="none"/>
        </w:rPr>
        <w:t>1</w:t>
      </w:r>
      <w:r>
        <w:rPr>
          <w:rFonts w:hint="eastAsia"/>
          <w:color w:val="auto"/>
          <w:highlight w:val="none"/>
          <w:lang w:eastAsia="zh-CN"/>
        </w:rPr>
        <w:t>）</w:t>
      </w:r>
      <w:r>
        <w:rPr>
          <w:rFonts w:hint="eastAsia"/>
          <w:color w:val="auto"/>
          <w:highlight w:val="none"/>
        </w:rPr>
        <w:t>深化设计时间为收到中标通知书之日起45日历天内全部完成，装修</w:t>
      </w:r>
      <w:r>
        <w:rPr>
          <w:rFonts w:hint="eastAsia"/>
          <w:color w:val="auto"/>
          <w:highlight w:val="none"/>
          <w:lang w:eastAsia="zh-CN"/>
        </w:rPr>
        <w:t>专业承包人</w:t>
      </w:r>
      <w:r>
        <w:rPr>
          <w:rFonts w:hint="eastAsia"/>
          <w:color w:val="auto"/>
          <w:highlight w:val="none"/>
        </w:rPr>
        <w:t>中标后应5天内上报施工图深化的进度计划。2</w:t>
      </w:r>
      <w:r>
        <w:rPr>
          <w:rFonts w:hint="eastAsia"/>
          <w:color w:val="auto"/>
          <w:highlight w:val="none"/>
          <w:lang w:eastAsia="zh-CN"/>
        </w:rPr>
        <w:t>）专业承包人</w:t>
      </w:r>
      <w:r>
        <w:rPr>
          <w:rFonts w:hint="eastAsia"/>
          <w:color w:val="auto"/>
          <w:highlight w:val="none"/>
        </w:rPr>
        <w:t>如未能准时提交深化施工图纸，所导致的赶工及其他额外开支，由</w:t>
      </w:r>
      <w:r>
        <w:rPr>
          <w:rFonts w:hint="eastAsia"/>
          <w:color w:val="auto"/>
          <w:highlight w:val="none"/>
          <w:lang w:eastAsia="zh-CN"/>
        </w:rPr>
        <w:t>专业承包人</w:t>
      </w:r>
      <w:r>
        <w:rPr>
          <w:rFonts w:hint="eastAsia"/>
          <w:color w:val="auto"/>
          <w:highlight w:val="none"/>
        </w:rPr>
        <w:t>负责。</w:t>
      </w:r>
    </w:p>
    <w:p w14:paraId="193DB55B">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default"/>
          <w:color w:val="auto"/>
          <w:highlight w:val="none"/>
          <w:lang w:eastAsia="zh-CN"/>
        </w:rPr>
        <w:t>深化设计选用的材料厂家及品牌应</w:t>
      </w:r>
      <w:r>
        <w:rPr>
          <w:rFonts w:hint="eastAsia"/>
          <w:color w:val="auto"/>
          <w:highlight w:val="none"/>
          <w:lang w:eastAsia="zh-CN"/>
        </w:rPr>
        <w:t>等同或相当于</w:t>
      </w:r>
      <w:r>
        <w:rPr>
          <w:rFonts w:hint="default"/>
          <w:color w:val="auto"/>
          <w:highlight w:val="none"/>
          <w:lang w:eastAsia="zh-CN"/>
        </w:rPr>
        <w:t>《主要设备材料推荐</w:t>
      </w:r>
      <w:r>
        <w:rPr>
          <w:rFonts w:hint="default"/>
          <w:color w:val="auto"/>
          <w:highlight w:val="none"/>
          <w:lang w:val="en-US" w:eastAsia="zh-CN"/>
        </w:rPr>
        <w:t>品牌</w:t>
      </w:r>
      <w:r>
        <w:rPr>
          <w:rFonts w:hint="default"/>
          <w:color w:val="auto"/>
          <w:highlight w:val="none"/>
          <w:lang w:eastAsia="zh-CN"/>
        </w:rPr>
        <w:t>表》</w:t>
      </w:r>
      <w:r>
        <w:rPr>
          <w:rFonts w:hint="eastAsia"/>
          <w:color w:val="auto"/>
          <w:highlight w:val="none"/>
          <w:lang w:val="en-US" w:eastAsia="zh-CN"/>
        </w:rPr>
        <w:t>中的材料品牌标准</w:t>
      </w:r>
      <w:r>
        <w:rPr>
          <w:rFonts w:hint="default"/>
          <w:color w:val="auto"/>
          <w:highlight w:val="none"/>
          <w:lang w:eastAsia="zh-CN"/>
        </w:rPr>
        <w:t>。如经考察，</w:t>
      </w:r>
      <w:r>
        <w:rPr>
          <w:rFonts w:hint="eastAsia"/>
          <w:color w:val="auto"/>
          <w:highlight w:val="none"/>
          <w:lang w:eastAsia="zh-CN"/>
        </w:rPr>
        <w:t>专业承包人</w:t>
      </w:r>
      <w:r>
        <w:rPr>
          <w:rFonts w:hint="default"/>
          <w:color w:val="auto"/>
          <w:highlight w:val="none"/>
          <w:lang w:eastAsia="zh-CN"/>
        </w:rPr>
        <w:t>选用的材料不满足工程需要，发包人有权在</w:t>
      </w:r>
      <w:r>
        <w:rPr>
          <w:rFonts w:hint="eastAsia"/>
          <w:color w:val="auto"/>
          <w:highlight w:val="none"/>
          <w:lang w:eastAsia="zh-CN"/>
        </w:rPr>
        <w:t>《主要设备材料推荐品牌表》</w:t>
      </w:r>
      <w:r>
        <w:rPr>
          <w:rFonts w:hint="default"/>
          <w:color w:val="auto"/>
          <w:highlight w:val="none"/>
          <w:lang w:eastAsia="zh-CN"/>
        </w:rPr>
        <w:t>中选择其他满足规定的材料厂家及品牌，合同价款不作调整。</w:t>
      </w:r>
    </w:p>
    <w:p w14:paraId="169D886F">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深化设计的计量计价原则：在满足招标技术要求（包括强制性条款、推荐品牌要求）的前提下，深化设计引起的材质、参数（含规格、型号等)的调整均不作为调价的依据，若造成工程量变化参照合同相关条款。</w:t>
      </w:r>
    </w:p>
    <w:p w14:paraId="6B302D10">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深化设计图纸要求及制图规范</w:t>
      </w:r>
    </w:p>
    <w:p w14:paraId="4630CC2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default"/>
          <w:color w:val="auto"/>
          <w:highlight w:val="none"/>
        </w:rPr>
      </w:pPr>
      <w:r>
        <w:rPr>
          <w:rFonts w:hint="default"/>
          <w:color w:val="auto"/>
          <w:highlight w:val="none"/>
        </w:rPr>
        <w:t>必须以施工图纸为依据，并现场勘查，测量仔细，须标注给排水管、暖通、消防、电气及特殊建筑构件（梁、柱、门垛等）的准确位置及尺寸，并现场与相关单位复核、书面确认，彻底清除设计盲区。并对现场拍照，留影像资料。</w:t>
      </w:r>
    </w:p>
    <w:p w14:paraId="28E8B664">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default"/>
          <w:color w:val="auto"/>
          <w:highlight w:val="none"/>
        </w:rPr>
      </w:pPr>
      <w:r>
        <w:rPr>
          <w:rFonts w:hint="default"/>
          <w:color w:val="auto"/>
          <w:highlight w:val="none"/>
        </w:rPr>
        <w:t>特别要求对吊顶图纸的深化，如吊杆布置图、吊顶龙骨排版图、综合天花图的绘制。</w:t>
      </w:r>
    </w:p>
    <w:p w14:paraId="584D2D9F">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default"/>
          <w:color w:val="auto"/>
          <w:highlight w:val="none"/>
        </w:rPr>
      </w:pPr>
      <w:r>
        <w:rPr>
          <w:rFonts w:hint="default"/>
          <w:color w:val="auto"/>
          <w:highlight w:val="none"/>
        </w:rPr>
        <w:t>对石材、瓷砖等饰面材料安装排版的深化。</w:t>
      </w:r>
    </w:p>
    <w:p w14:paraId="607FFCA0">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default"/>
          <w:color w:val="auto"/>
          <w:highlight w:val="none"/>
        </w:rPr>
      </w:pPr>
      <w:r>
        <w:rPr>
          <w:rFonts w:hint="default"/>
          <w:color w:val="auto"/>
          <w:highlight w:val="none"/>
        </w:rPr>
        <w:t>洁具、灯具、电气等均须以最终所选款式、尺寸大小在深化图中表示。</w:t>
      </w:r>
    </w:p>
    <w:p w14:paraId="13E73A9F">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default"/>
          <w:color w:val="auto"/>
          <w:highlight w:val="none"/>
        </w:rPr>
      </w:pPr>
      <w:r>
        <w:rPr>
          <w:rFonts w:hint="default"/>
          <w:color w:val="auto"/>
          <w:highlight w:val="none"/>
        </w:rPr>
        <w:t>开关插座等位置的深化。</w:t>
      </w:r>
    </w:p>
    <w:p w14:paraId="75F24FF6">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default"/>
          <w:color w:val="auto"/>
          <w:highlight w:val="none"/>
        </w:rPr>
      </w:pPr>
      <w:r>
        <w:rPr>
          <w:rFonts w:hint="default"/>
          <w:color w:val="auto"/>
          <w:highlight w:val="none"/>
        </w:rPr>
        <w:t>不同材质之间或者不同施工面之间须出构造节点深化图。</w:t>
      </w:r>
    </w:p>
    <w:p w14:paraId="25F72C6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ascii="宋体" w:hAnsi="宋体" w:eastAsia="宋体"/>
          <w:color w:val="auto"/>
          <w:highlight w:val="none"/>
        </w:rPr>
      </w:pPr>
      <w:r>
        <w:rPr>
          <w:rFonts w:hint="default"/>
          <w:color w:val="auto"/>
          <w:highlight w:val="none"/>
        </w:rPr>
        <w:t>图纸应分册深化，按不同专业、不同区域划分成册。</w:t>
      </w:r>
    </w:p>
    <w:p w14:paraId="3D97504B">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深化</w:t>
      </w:r>
      <w:r>
        <w:rPr>
          <w:color w:val="auto"/>
          <w:highlight w:val="none"/>
        </w:rPr>
        <w:t>设计</w:t>
      </w:r>
      <w:r>
        <w:rPr>
          <w:rFonts w:hint="eastAsia"/>
          <w:color w:val="auto"/>
          <w:highlight w:val="none"/>
        </w:rPr>
        <w:t>审核</w:t>
      </w:r>
      <w:r>
        <w:rPr>
          <w:color w:val="auto"/>
          <w:highlight w:val="none"/>
        </w:rPr>
        <w:t>的要求</w:t>
      </w:r>
    </w:p>
    <w:p w14:paraId="61511AF0">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深化设计工作由</w:t>
      </w:r>
      <w:r>
        <w:rPr>
          <w:rFonts w:hint="eastAsia"/>
          <w:color w:val="auto"/>
          <w:highlight w:val="none"/>
          <w:lang w:eastAsia="zh-CN"/>
        </w:rPr>
        <w:t>专业承包人</w:t>
      </w:r>
      <w:r>
        <w:rPr>
          <w:rFonts w:hint="eastAsia"/>
          <w:color w:val="auto"/>
          <w:highlight w:val="none"/>
        </w:rPr>
        <w:t>中标后立即进行，深化设计图纸应提交监理人、发包人，由监理人、发包人组织相关单位进行审定。深化设计审批单位主要包括监理人、设计人、发包人。</w:t>
      </w:r>
    </w:p>
    <w:p w14:paraId="1994402C">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深化设计成果应分阶段报批，审批单位应根据分阶段报批计划审查</w:t>
      </w:r>
      <w:r>
        <w:rPr>
          <w:rFonts w:hint="eastAsia"/>
          <w:color w:val="auto"/>
          <w:highlight w:val="none"/>
          <w:lang w:eastAsia="zh-CN"/>
        </w:rPr>
        <w:t>专业承包人</w:t>
      </w:r>
      <w:r>
        <w:rPr>
          <w:rFonts w:hint="eastAsia"/>
          <w:color w:val="auto"/>
          <w:highlight w:val="none"/>
        </w:rPr>
        <w:t>提交的任何深化设计成果，并在规定时间内给予审查意见。</w:t>
      </w:r>
    </w:p>
    <w:p w14:paraId="59FFBFFC">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应认真对待审批单位的审查意见，及时修订重报，同时积极跟踪审查进度，不得因审批进度为由追加工程费用和工期。</w:t>
      </w:r>
    </w:p>
    <w:p w14:paraId="6FEC76C4">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深化设计获得批准后，由深化设计单位根据各自负责内容分别向相关单位和人员交底。</w:t>
      </w:r>
    </w:p>
    <w:p w14:paraId="5124639D">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235" w:name="_Toc17556"/>
      <w:bookmarkStart w:id="236" w:name="_Toc20160"/>
      <w:r>
        <w:rPr>
          <w:rFonts w:hint="eastAsia"/>
          <w:color w:val="auto"/>
          <w:highlight w:val="none"/>
          <w:lang w:val="en-US" w:eastAsia="zh-CN"/>
        </w:rPr>
        <w:t>样板管理要求</w:t>
      </w:r>
      <w:bookmarkEnd w:id="235"/>
      <w:bookmarkEnd w:id="236"/>
    </w:p>
    <w:p w14:paraId="2207380E">
      <w:pPr>
        <w:keepNext w:val="0"/>
        <w:keepLines w:val="0"/>
        <w:pageBreakBefore w:val="0"/>
        <w:widowControl w:val="0"/>
        <w:kinsoku/>
        <w:wordWrap/>
        <w:overflowPunct/>
        <w:topLinePunct w:val="0"/>
        <w:autoSpaceDE/>
        <w:autoSpaceDN/>
        <w:bidi w:val="0"/>
        <w:rPr>
          <w:rFonts w:hint="eastAsia"/>
          <w:color w:val="auto"/>
          <w:highlight w:val="none"/>
          <w:lang w:val="en-US" w:eastAsia="zh-CN"/>
        </w:rPr>
      </w:pPr>
      <w:bookmarkStart w:id="237" w:name="_Toc6501"/>
      <w:bookmarkStart w:id="238" w:name="_Toc26418"/>
      <w:bookmarkStart w:id="239" w:name="_Toc2059"/>
      <w:bookmarkStart w:id="240" w:name="_Toc12013"/>
      <w:bookmarkStart w:id="241" w:name="_Toc2081"/>
      <w:r>
        <w:rPr>
          <w:rFonts w:hint="eastAsia"/>
          <w:color w:val="auto"/>
          <w:highlight w:val="none"/>
          <w:lang w:val="en-US" w:eastAsia="zh-CN"/>
        </w:rPr>
        <w:t>本项目样板设置主要分为：</w:t>
      </w:r>
    </w:p>
    <w:p w14:paraId="0AA96F32">
      <w:pPr>
        <w:keepNext w:val="0"/>
        <w:keepLines w:val="0"/>
        <w:pageBreakBefore w:val="0"/>
        <w:widowControl w:val="0"/>
        <w:numPr>
          <w:ilvl w:val="0"/>
          <w:numId w:val="21"/>
        </w:numPr>
        <w:kinsoku/>
        <w:wordWrap/>
        <w:overflowPunct/>
        <w:topLinePunct w:val="0"/>
        <w:autoSpaceDE/>
        <w:autoSpaceDN/>
        <w:bidi w:val="0"/>
        <w:rPr>
          <w:rFonts w:hint="eastAsia"/>
          <w:color w:val="auto"/>
          <w:highlight w:val="none"/>
          <w:lang w:val="en-US" w:eastAsia="zh-CN"/>
        </w:rPr>
      </w:pPr>
      <w:r>
        <w:rPr>
          <w:rFonts w:hint="eastAsia"/>
          <w:color w:val="auto"/>
          <w:highlight w:val="none"/>
          <w:lang w:val="en-US" w:eastAsia="zh-CN"/>
        </w:rPr>
        <w:t>材料样板：要求设置单位材料封样间，保证所有主控材料百分百封样，达到材料品控管理的目的。</w:t>
      </w:r>
    </w:p>
    <w:p w14:paraId="44ABB598">
      <w:pPr>
        <w:keepNext w:val="0"/>
        <w:keepLines w:val="0"/>
        <w:pageBreakBefore w:val="0"/>
        <w:widowControl w:val="0"/>
        <w:numPr>
          <w:ilvl w:val="0"/>
          <w:numId w:val="21"/>
        </w:numPr>
        <w:kinsoku/>
        <w:wordWrap/>
        <w:overflowPunct/>
        <w:topLinePunct w:val="0"/>
        <w:autoSpaceDE/>
        <w:autoSpaceDN/>
        <w:bidi w:val="0"/>
        <w:rPr>
          <w:rFonts w:hint="default"/>
          <w:color w:val="auto"/>
          <w:highlight w:val="none"/>
          <w:lang w:val="en-US" w:eastAsia="zh-CN"/>
        </w:rPr>
      </w:pPr>
      <w:r>
        <w:rPr>
          <w:rFonts w:hint="eastAsia"/>
          <w:color w:val="auto"/>
          <w:highlight w:val="none"/>
          <w:lang w:val="en-US" w:eastAsia="zh-CN"/>
        </w:rPr>
        <w:t>实体工序样板：每道工序开始施工的第一块区域，严格按照规范、图纸设计要求及交底进行施工。施工完成后由专业承包人、设计人、监理人、发包人共同进行验收，验收合格后按照样板标准进行大面积施工。有条件的情况下还需要保留工序工艺做法，形成工序样板展示间。</w:t>
      </w:r>
    </w:p>
    <w:p w14:paraId="3AE2A4C1">
      <w:pPr>
        <w:keepNext w:val="0"/>
        <w:keepLines w:val="0"/>
        <w:pageBreakBefore w:val="0"/>
        <w:widowControl w:val="0"/>
        <w:numPr>
          <w:ilvl w:val="0"/>
          <w:numId w:val="21"/>
        </w:numPr>
        <w:kinsoku/>
        <w:wordWrap/>
        <w:overflowPunct/>
        <w:topLinePunct w:val="0"/>
        <w:autoSpaceDE/>
        <w:autoSpaceDN/>
        <w:bidi w:val="0"/>
        <w:rPr>
          <w:rFonts w:hint="default"/>
          <w:color w:val="auto"/>
          <w:highlight w:val="none"/>
          <w:lang w:val="en-US" w:eastAsia="zh-CN"/>
        </w:rPr>
      </w:pPr>
      <w:r>
        <w:rPr>
          <w:rFonts w:hint="eastAsia"/>
          <w:color w:val="auto"/>
          <w:highlight w:val="none"/>
          <w:lang w:val="en-US" w:eastAsia="zh-CN"/>
        </w:rPr>
        <w:t>交付</w:t>
      </w:r>
      <w:r>
        <w:rPr>
          <w:rFonts w:hint="eastAsia"/>
          <w:color w:val="auto"/>
          <w:highlight w:val="none"/>
          <w:lang w:eastAsia="zh-CN"/>
        </w:rPr>
        <w:t>样板：指在工序施工完成后，明确交付标准且无质量问题的建筑结构区域，</w:t>
      </w:r>
      <w:r>
        <w:rPr>
          <w:rFonts w:hint="eastAsia"/>
          <w:color w:val="auto"/>
          <w:highlight w:val="none"/>
          <w:lang w:val="en-US" w:eastAsia="zh-CN"/>
        </w:rPr>
        <w:t>即地下室、精装、外立面、景观园林大面施工前，按照交付标准首先完成一定范围的施工展示。由专业承包人、设计人、监理人、发包人共同进行验收，验收合格后按照样板标准进行大面积施工。</w:t>
      </w:r>
    </w:p>
    <w:p w14:paraId="7B0E98E0">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lang w:eastAsia="zh-CN"/>
        </w:rPr>
      </w:pPr>
      <w:r>
        <w:rPr>
          <w:rFonts w:hint="eastAsia"/>
          <w:color w:val="auto"/>
          <w:highlight w:val="none"/>
          <w:lang w:eastAsia="zh-CN"/>
        </w:rPr>
        <w:t>材料</w:t>
      </w:r>
      <w:r>
        <w:rPr>
          <w:rFonts w:hint="eastAsia"/>
          <w:color w:val="auto"/>
          <w:highlight w:val="none"/>
          <w:lang w:val="en-US" w:eastAsia="zh-CN"/>
        </w:rPr>
        <w:t>样板</w:t>
      </w:r>
    </w:p>
    <w:p w14:paraId="3FE488D9">
      <w:pPr>
        <w:keepNext w:val="0"/>
        <w:keepLines w:val="0"/>
        <w:pageBreakBefore w:val="0"/>
        <w:widowControl w:val="0"/>
        <w:kinsoku/>
        <w:wordWrap/>
        <w:overflowPunct/>
        <w:topLinePunct w:val="0"/>
        <w:autoSpaceDE/>
        <w:autoSpaceDN/>
        <w:bidi w:val="0"/>
        <w:rPr>
          <w:color w:val="auto"/>
          <w:highlight w:val="none"/>
          <w:lang w:eastAsia="zh-CN"/>
        </w:rPr>
      </w:pPr>
      <w:r>
        <w:rPr>
          <w:rFonts w:hint="eastAsia"/>
          <w:color w:val="auto"/>
          <w:highlight w:val="none"/>
          <w:lang w:eastAsia="zh-CN"/>
        </w:rPr>
        <w:t>（1）涉及观感类：专业承包人按施工进度节点提供样品，经发包人现场看样签认后进行进行封样留存，保证后期进场的材料与封样样品完全一致。</w:t>
      </w:r>
    </w:p>
    <w:p w14:paraId="428BC3B1">
      <w:pPr>
        <w:keepNext w:val="0"/>
        <w:keepLines w:val="0"/>
        <w:pageBreakBefore w:val="0"/>
        <w:widowControl w:val="0"/>
        <w:kinsoku/>
        <w:wordWrap/>
        <w:overflowPunct/>
        <w:topLinePunct w:val="0"/>
        <w:autoSpaceDE/>
        <w:autoSpaceDN/>
        <w:bidi w:val="0"/>
        <w:rPr>
          <w:color w:val="auto"/>
          <w:highlight w:val="none"/>
          <w:lang w:eastAsia="zh-CN"/>
        </w:rPr>
      </w:pPr>
      <w:r>
        <w:rPr>
          <w:rFonts w:hint="eastAsia"/>
          <w:color w:val="auto"/>
          <w:highlight w:val="none"/>
          <w:lang w:eastAsia="zh-CN"/>
        </w:rPr>
        <w:t>（2）非观感类：专业承包人采购的材料设备必须符合合同文件约定的规格、质量和性能，材料设备品牌选择范围应等同或相当于《主要设备材料推荐品牌表》并按看样定板制度里的申报附件要求提供资料，并经监理人审议后确定。</w:t>
      </w:r>
    </w:p>
    <w:p w14:paraId="05939E80">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实体工序样板</w:t>
      </w:r>
    </w:p>
    <w:p w14:paraId="53841CD0">
      <w:pPr>
        <w:keepNext w:val="0"/>
        <w:keepLines w:val="0"/>
        <w:pageBreakBefore w:val="0"/>
        <w:widowControl w:val="0"/>
        <w:kinsoku/>
        <w:wordWrap/>
        <w:overflowPunct/>
        <w:topLinePunct w:val="0"/>
        <w:autoSpaceDE/>
        <w:autoSpaceDN/>
        <w:bidi w:val="0"/>
        <w:rPr>
          <w:color w:val="auto"/>
          <w:highlight w:val="none"/>
          <w:lang w:eastAsia="zh-CN"/>
        </w:rPr>
      </w:pPr>
      <w:r>
        <w:rPr>
          <w:rFonts w:hint="eastAsia"/>
          <w:color w:val="auto"/>
          <w:highlight w:val="none"/>
          <w:lang w:eastAsia="zh-CN"/>
        </w:rPr>
        <w:t>（1）</w:t>
      </w:r>
      <w:r>
        <w:rPr>
          <w:rFonts w:hint="eastAsia"/>
          <w:color w:val="auto"/>
          <w:highlight w:val="none"/>
          <w:lang w:val="en-US" w:eastAsia="zh-CN"/>
        </w:rPr>
        <w:t>正式</w:t>
      </w:r>
      <w:r>
        <w:rPr>
          <w:rFonts w:hint="eastAsia"/>
          <w:color w:val="auto"/>
          <w:highlight w:val="none"/>
          <w:lang w:eastAsia="zh-CN"/>
        </w:rPr>
        <w:t>蓝图下发后30日内，专业承包人需结合项目自身质量管理实际的基础上，就做样类别及范围与发包人充分沟通，编制《工程样板清单及实施计划》，经监理人审核后方可实施。</w:t>
      </w:r>
    </w:p>
    <w:p w14:paraId="2DE62730">
      <w:pPr>
        <w:keepNext w:val="0"/>
        <w:keepLines w:val="0"/>
        <w:pageBreakBefore w:val="0"/>
        <w:widowControl w:val="0"/>
        <w:kinsoku/>
        <w:wordWrap/>
        <w:overflowPunct/>
        <w:topLinePunct w:val="0"/>
        <w:autoSpaceDE/>
        <w:autoSpaceDN/>
        <w:bidi w:val="0"/>
        <w:rPr>
          <w:color w:val="auto"/>
          <w:highlight w:val="none"/>
          <w:lang w:eastAsia="zh-CN"/>
        </w:rPr>
      </w:pPr>
      <w:r>
        <w:rPr>
          <w:rFonts w:hint="eastAsia"/>
          <w:color w:val="auto"/>
          <w:highlight w:val="none"/>
          <w:lang w:eastAsia="zh-CN"/>
        </w:rPr>
        <w:t>（2）专业承包人应在施工前为提前了解施工工序，统一施工工艺做法，确保大面积施工按要求顺利展开，应在每一分项工程施工前，进行样板的施工</w:t>
      </w:r>
      <w:r>
        <w:rPr>
          <w:rFonts w:hint="eastAsia"/>
          <w:color w:val="auto"/>
          <w:highlight w:val="none"/>
          <w:lang w:val="en-US" w:eastAsia="zh-CN"/>
        </w:rPr>
        <w:t>,在施工完成后经监理人验收并签确样板验收确认单，样板确认过程中的整改专业承包人需无条件配合，工程样板清单内的所有工序均需在样板确认单签确后实施</w:t>
      </w:r>
      <w:r>
        <w:rPr>
          <w:rFonts w:hint="eastAsia"/>
          <w:color w:val="auto"/>
          <w:highlight w:val="none"/>
          <w:lang w:eastAsia="zh-CN"/>
        </w:rPr>
        <w:t>。</w:t>
      </w:r>
    </w:p>
    <w:p w14:paraId="6DE4B56E">
      <w:pPr>
        <w:keepNext w:val="0"/>
        <w:keepLines w:val="0"/>
        <w:pageBreakBefore w:val="0"/>
        <w:widowControl w:val="0"/>
        <w:kinsoku/>
        <w:wordWrap/>
        <w:overflowPunct/>
        <w:topLinePunct w:val="0"/>
        <w:autoSpaceDE/>
        <w:autoSpaceDN/>
        <w:bidi w:val="0"/>
        <w:rPr>
          <w:color w:val="auto"/>
          <w:highlight w:val="none"/>
          <w:lang w:eastAsia="zh-CN"/>
        </w:rPr>
      </w:pPr>
      <w:r>
        <w:rPr>
          <w:rFonts w:hint="eastAsia"/>
          <w:color w:val="auto"/>
          <w:highlight w:val="none"/>
          <w:lang w:eastAsia="zh-CN"/>
        </w:rPr>
        <w:t>（3）实体工序样板包含但不限于一个完整标准层、首层大堂</w:t>
      </w:r>
      <w:r>
        <w:rPr>
          <w:rFonts w:hint="eastAsia"/>
          <w:color w:val="auto"/>
          <w:highlight w:val="none"/>
          <w:lang w:val="en-US" w:eastAsia="zh-CN"/>
        </w:rPr>
        <w:t>(大堂及拓展区)</w:t>
      </w:r>
      <w:r>
        <w:rPr>
          <w:rFonts w:hint="eastAsia"/>
          <w:color w:val="auto"/>
          <w:highlight w:val="none"/>
          <w:lang w:eastAsia="zh-CN"/>
        </w:rPr>
        <w:t>、地下室电梯厅等）。</w:t>
      </w:r>
    </w:p>
    <w:p w14:paraId="3893929B">
      <w:pPr>
        <w:keepNext w:val="0"/>
        <w:keepLines w:val="0"/>
        <w:pageBreakBefore w:val="0"/>
        <w:widowControl w:val="0"/>
        <w:kinsoku/>
        <w:wordWrap/>
        <w:overflowPunct/>
        <w:topLinePunct w:val="0"/>
        <w:autoSpaceDE/>
        <w:autoSpaceDN/>
        <w:bidi w:val="0"/>
        <w:rPr>
          <w:color w:val="auto"/>
          <w:highlight w:val="none"/>
          <w:lang w:eastAsia="zh-CN"/>
        </w:rPr>
      </w:pPr>
      <w:r>
        <w:rPr>
          <w:rFonts w:hint="eastAsia"/>
          <w:color w:val="auto"/>
          <w:highlight w:val="none"/>
          <w:lang w:eastAsia="zh-CN"/>
        </w:rPr>
        <w:t>当每项实体工序样板中存在材料不同将引起工艺改变时，应分不同材料加做样板。特别说明，对于砌体</w:t>
      </w:r>
      <w:r>
        <w:rPr>
          <w:rFonts w:hint="eastAsia"/>
          <w:color w:val="auto"/>
          <w:highlight w:val="none"/>
          <w:lang w:val="en-US" w:eastAsia="zh-CN"/>
        </w:rPr>
        <w:t>/</w:t>
      </w:r>
      <w:r>
        <w:rPr>
          <w:rFonts w:hint="eastAsia"/>
          <w:color w:val="auto"/>
          <w:highlight w:val="none"/>
          <w:lang w:eastAsia="zh-CN"/>
        </w:rPr>
        <w:t>ALC样板除完成砌体</w:t>
      </w:r>
      <w:r>
        <w:rPr>
          <w:rFonts w:hint="eastAsia"/>
          <w:color w:val="auto"/>
          <w:highlight w:val="none"/>
          <w:lang w:val="en-US" w:eastAsia="zh-CN"/>
        </w:rPr>
        <w:t>/</w:t>
      </w:r>
      <w:r>
        <w:rPr>
          <w:rFonts w:hint="eastAsia"/>
          <w:color w:val="auto"/>
          <w:highlight w:val="none"/>
          <w:lang w:eastAsia="zh-CN"/>
        </w:rPr>
        <w:t>ALC外，尚应完成样板范围内所有机电专业管线、设备设施的安装工作（包括强弱电线管安装，强弱电箱安装，开关、插座及弱电设备底盒预埋，空调洞口预留，给排水管道安装），当受条件影响不能以实物安装时，应以同规格尺寸的替代物模拟安装完成。</w:t>
      </w:r>
    </w:p>
    <w:p w14:paraId="15E3975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val="en-US" w:eastAsia="zh-CN"/>
        </w:rPr>
        <w:t>交付</w:t>
      </w:r>
      <w:r>
        <w:rPr>
          <w:rFonts w:hint="eastAsia"/>
          <w:color w:val="auto"/>
          <w:highlight w:val="none"/>
          <w:lang w:eastAsia="zh-CN"/>
        </w:rPr>
        <w:t>样板</w:t>
      </w:r>
    </w:p>
    <w:p w14:paraId="396C48E7">
      <w:pPr>
        <w:keepNext w:val="0"/>
        <w:keepLines w:val="0"/>
        <w:pageBreakBefore w:val="0"/>
        <w:widowControl w:val="0"/>
        <w:kinsoku/>
        <w:wordWrap/>
        <w:overflowPunct/>
        <w:topLinePunct w:val="0"/>
        <w:autoSpaceDE/>
        <w:autoSpaceDN/>
        <w:bidi w:val="0"/>
        <w:rPr>
          <w:color w:val="auto"/>
          <w:highlight w:val="none"/>
          <w:lang w:eastAsia="zh-CN"/>
        </w:rPr>
      </w:pPr>
      <w:r>
        <w:rPr>
          <w:rFonts w:hint="eastAsia"/>
          <w:color w:val="auto"/>
          <w:highlight w:val="none"/>
          <w:lang w:val="en-US" w:eastAsia="zh-CN"/>
        </w:rPr>
        <w:t>交付</w:t>
      </w:r>
      <w:r>
        <w:rPr>
          <w:rFonts w:hint="eastAsia"/>
          <w:color w:val="auto"/>
          <w:highlight w:val="none"/>
          <w:lang w:eastAsia="zh-CN"/>
        </w:rPr>
        <w:t>样板包含五类：典型户型室内交付标准、大堂装饰交付标准、标准层电梯厅交付标准、外墙装饰样板、综合机电样板（地下室及公共区域）。专业承包人须完成对应</w:t>
      </w:r>
      <w:r>
        <w:rPr>
          <w:rFonts w:hint="eastAsia"/>
          <w:color w:val="auto"/>
          <w:highlight w:val="none"/>
          <w:lang w:val="en-US" w:eastAsia="zh-CN"/>
        </w:rPr>
        <w:t>合同</w:t>
      </w:r>
      <w:r>
        <w:rPr>
          <w:rFonts w:hint="eastAsia"/>
          <w:color w:val="auto"/>
          <w:highlight w:val="none"/>
          <w:lang w:eastAsia="zh-CN"/>
        </w:rPr>
        <w:t>工程范围内的样板施工。</w:t>
      </w:r>
    </w:p>
    <w:p w14:paraId="7FF331A8">
      <w:pPr>
        <w:keepNext w:val="0"/>
        <w:keepLines w:val="0"/>
        <w:pageBreakBefore w:val="0"/>
        <w:widowControl w:val="0"/>
        <w:kinsoku/>
        <w:wordWrap/>
        <w:overflowPunct/>
        <w:topLinePunct w:val="0"/>
        <w:autoSpaceDE/>
        <w:autoSpaceDN/>
        <w:bidi w:val="0"/>
        <w:rPr>
          <w:color w:val="auto"/>
          <w:highlight w:val="none"/>
          <w:lang w:eastAsia="zh-CN"/>
        </w:rPr>
      </w:pPr>
      <w:r>
        <w:rPr>
          <w:rFonts w:hint="eastAsia"/>
          <w:color w:val="auto"/>
          <w:highlight w:val="none"/>
          <w:lang w:eastAsia="zh-CN"/>
        </w:rPr>
        <w:t>交房标准样板的具体项目及数量如下表所示：</w:t>
      </w:r>
    </w:p>
    <w:tbl>
      <w:tblPr>
        <w:tblStyle w:val="22"/>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3"/>
        <w:gridCol w:w="2445"/>
        <w:gridCol w:w="5993"/>
      </w:tblGrid>
      <w:tr w14:paraId="0B48D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14:paraId="50212389">
            <w:pPr>
              <w:pStyle w:val="14"/>
              <w:keepNext w:val="0"/>
              <w:keepLines w:val="0"/>
              <w:pageBreakBefore w:val="0"/>
              <w:widowControl w:val="0"/>
              <w:kinsoku/>
              <w:wordWrap/>
              <w:overflowPunct/>
              <w:topLinePunct w:val="0"/>
              <w:autoSpaceDE/>
              <w:autoSpaceDN/>
              <w:bidi w:val="0"/>
              <w:rPr>
                <w:b/>
                <w:bCs/>
                <w:color w:val="auto"/>
                <w:highlight w:val="none"/>
                <w:lang w:eastAsia="zh-CN"/>
              </w:rPr>
            </w:pPr>
            <w:r>
              <w:rPr>
                <w:rFonts w:hint="eastAsia"/>
                <w:b/>
                <w:bCs/>
                <w:color w:val="auto"/>
                <w:highlight w:val="none"/>
                <w:lang w:eastAsia="zh-CN"/>
              </w:rPr>
              <w:t>序号</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14:paraId="78EB7623">
            <w:pPr>
              <w:pStyle w:val="14"/>
              <w:keepNext w:val="0"/>
              <w:keepLines w:val="0"/>
              <w:pageBreakBefore w:val="0"/>
              <w:widowControl w:val="0"/>
              <w:kinsoku/>
              <w:wordWrap/>
              <w:overflowPunct/>
              <w:topLinePunct w:val="0"/>
              <w:autoSpaceDE/>
              <w:autoSpaceDN/>
              <w:bidi w:val="0"/>
              <w:rPr>
                <w:b/>
                <w:bCs/>
                <w:color w:val="auto"/>
                <w:highlight w:val="none"/>
                <w:lang w:eastAsia="zh-CN"/>
              </w:rPr>
            </w:pPr>
            <w:r>
              <w:rPr>
                <w:rFonts w:hint="eastAsia"/>
                <w:b/>
                <w:bCs/>
                <w:color w:val="auto"/>
                <w:highlight w:val="none"/>
                <w:lang w:eastAsia="zh-CN"/>
              </w:rPr>
              <w:t>样板名称</w:t>
            </w:r>
          </w:p>
        </w:tc>
        <w:tc>
          <w:tcPr>
            <w:tcW w:w="3224" w:type="pct"/>
            <w:tcBorders>
              <w:top w:val="single" w:color="auto" w:sz="4" w:space="0"/>
              <w:left w:val="single" w:color="auto" w:sz="4" w:space="0"/>
              <w:bottom w:val="single" w:color="auto" w:sz="4" w:space="0"/>
              <w:right w:val="single" w:color="auto" w:sz="4" w:space="0"/>
            </w:tcBorders>
            <w:shd w:val="clear" w:color="auto" w:fill="auto"/>
            <w:vAlign w:val="center"/>
          </w:tcPr>
          <w:p w14:paraId="34FD0165">
            <w:pPr>
              <w:pStyle w:val="14"/>
              <w:keepNext w:val="0"/>
              <w:keepLines w:val="0"/>
              <w:pageBreakBefore w:val="0"/>
              <w:widowControl w:val="0"/>
              <w:kinsoku/>
              <w:wordWrap/>
              <w:overflowPunct/>
              <w:topLinePunct w:val="0"/>
              <w:autoSpaceDE/>
              <w:autoSpaceDN/>
              <w:bidi w:val="0"/>
              <w:rPr>
                <w:b/>
                <w:bCs/>
                <w:color w:val="auto"/>
                <w:highlight w:val="none"/>
                <w:lang w:eastAsia="zh-CN"/>
              </w:rPr>
            </w:pPr>
            <w:r>
              <w:rPr>
                <w:rFonts w:hint="eastAsia"/>
                <w:b/>
                <w:bCs/>
                <w:color w:val="auto"/>
                <w:highlight w:val="none"/>
                <w:lang w:eastAsia="zh-CN"/>
              </w:rPr>
              <w:t>验收要点</w:t>
            </w:r>
          </w:p>
        </w:tc>
      </w:tr>
      <w:tr w14:paraId="576C3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14:paraId="125415C0">
            <w:pPr>
              <w:pStyle w:val="14"/>
              <w:keepNext w:val="0"/>
              <w:keepLines w:val="0"/>
              <w:pageBreakBefore w:val="0"/>
              <w:widowControl w:val="0"/>
              <w:kinsoku/>
              <w:wordWrap/>
              <w:overflowPunct/>
              <w:topLinePunct w:val="0"/>
              <w:autoSpaceDE/>
              <w:autoSpaceDN/>
              <w:bidi w:val="0"/>
              <w:rPr>
                <w:color w:val="auto"/>
                <w:highlight w:val="none"/>
                <w:lang w:eastAsia="zh-CN"/>
              </w:rPr>
            </w:pPr>
            <w:r>
              <w:rPr>
                <w:color w:val="auto"/>
                <w:highlight w:val="none"/>
                <w:lang w:eastAsia="zh-CN"/>
              </w:rPr>
              <w:t>1</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14:paraId="40D23BCA">
            <w:pPr>
              <w:pStyle w:val="14"/>
              <w:keepNext w:val="0"/>
              <w:keepLines w:val="0"/>
              <w:pageBreakBefore w:val="0"/>
              <w:widowControl w:val="0"/>
              <w:kinsoku/>
              <w:wordWrap/>
              <w:overflowPunct/>
              <w:topLinePunct w:val="0"/>
              <w:autoSpaceDE/>
              <w:autoSpaceDN/>
              <w:bidi w:val="0"/>
              <w:rPr>
                <w:color w:val="auto"/>
                <w:highlight w:val="none"/>
                <w:lang w:eastAsia="zh-CN"/>
              </w:rPr>
            </w:pPr>
            <w:r>
              <w:rPr>
                <w:rFonts w:hint="eastAsia"/>
                <w:color w:val="auto"/>
                <w:highlight w:val="none"/>
                <w:lang w:eastAsia="zh-CN"/>
              </w:rPr>
              <w:t>典型户型室内交付标准</w:t>
            </w:r>
          </w:p>
        </w:tc>
        <w:tc>
          <w:tcPr>
            <w:tcW w:w="3224" w:type="pct"/>
            <w:vMerge w:val="restart"/>
            <w:tcBorders>
              <w:top w:val="single" w:color="auto" w:sz="4" w:space="0"/>
              <w:left w:val="single" w:color="auto" w:sz="4" w:space="0"/>
              <w:right w:val="single" w:color="auto" w:sz="4" w:space="0"/>
            </w:tcBorders>
            <w:shd w:val="clear" w:color="auto" w:fill="auto"/>
            <w:vAlign w:val="center"/>
          </w:tcPr>
          <w:p w14:paraId="08B7968B">
            <w:pPr>
              <w:pStyle w:val="14"/>
              <w:keepNext w:val="0"/>
              <w:keepLines w:val="0"/>
              <w:pageBreakBefore w:val="0"/>
              <w:widowControl w:val="0"/>
              <w:kinsoku/>
              <w:wordWrap/>
              <w:overflowPunct/>
              <w:topLinePunct w:val="0"/>
              <w:autoSpaceDE/>
              <w:autoSpaceDN/>
              <w:bidi w:val="0"/>
              <w:rPr>
                <w:color w:val="auto"/>
                <w:highlight w:val="none"/>
                <w:lang w:eastAsia="zh-CN"/>
              </w:rPr>
            </w:pPr>
            <w:r>
              <w:rPr>
                <w:color w:val="auto"/>
                <w:highlight w:val="none"/>
                <w:lang w:eastAsia="zh-CN"/>
              </w:rPr>
              <w:t>1</w:t>
            </w:r>
            <w:r>
              <w:rPr>
                <w:rFonts w:hint="eastAsia"/>
                <w:color w:val="auto"/>
                <w:highlight w:val="none"/>
                <w:lang w:eastAsia="zh-CN"/>
              </w:rPr>
              <w:t>、与交付标准是否相符；</w:t>
            </w:r>
            <w:r>
              <w:rPr>
                <w:color w:val="auto"/>
                <w:highlight w:val="none"/>
                <w:lang w:eastAsia="zh-CN"/>
              </w:rPr>
              <w:t>2</w:t>
            </w:r>
            <w:r>
              <w:rPr>
                <w:rFonts w:hint="eastAsia"/>
                <w:color w:val="auto"/>
                <w:highlight w:val="none"/>
                <w:lang w:eastAsia="zh-CN"/>
              </w:rPr>
              <w:t>、使用功能是否合理；</w:t>
            </w:r>
            <w:r>
              <w:rPr>
                <w:color w:val="auto"/>
                <w:highlight w:val="none"/>
                <w:lang w:eastAsia="zh-CN"/>
              </w:rPr>
              <w:t>3</w:t>
            </w:r>
            <w:r>
              <w:rPr>
                <w:rFonts w:hint="eastAsia"/>
                <w:color w:val="auto"/>
                <w:highlight w:val="none"/>
                <w:lang w:eastAsia="zh-CN"/>
              </w:rPr>
              <w:t>、施工图纸是否合理；</w:t>
            </w:r>
            <w:r>
              <w:rPr>
                <w:color w:val="auto"/>
                <w:highlight w:val="none"/>
                <w:lang w:eastAsia="zh-CN"/>
              </w:rPr>
              <w:t>4</w:t>
            </w:r>
            <w:r>
              <w:rPr>
                <w:rFonts w:hint="eastAsia"/>
                <w:color w:val="auto"/>
                <w:highlight w:val="none"/>
                <w:lang w:eastAsia="zh-CN"/>
              </w:rPr>
              <w:t>、界面分判是否合理；</w:t>
            </w:r>
            <w:r>
              <w:rPr>
                <w:color w:val="auto"/>
                <w:highlight w:val="none"/>
                <w:lang w:eastAsia="zh-CN"/>
              </w:rPr>
              <w:t>5</w:t>
            </w:r>
            <w:r>
              <w:rPr>
                <w:rFonts w:hint="eastAsia"/>
                <w:color w:val="auto"/>
                <w:highlight w:val="none"/>
                <w:lang w:eastAsia="zh-CN"/>
              </w:rPr>
              <w:t>、感观标准是否满足要求</w:t>
            </w:r>
          </w:p>
        </w:tc>
      </w:tr>
      <w:tr w14:paraId="2F846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14:paraId="5002D6BE">
            <w:pPr>
              <w:pStyle w:val="14"/>
              <w:keepNext w:val="0"/>
              <w:keepLines w:val="0"/>
              <w:pageBreakBefore w:val="0"/>
              <w:widowControl w:val="0"/>
              <w:kinsoku/>
              <w:wordWrap/>
              <w:overflowPunct/>
              <w:topLinePunct w:val="0"/>
              <w:autoSpaceDE/>
              <w:autoSpaceDN/>
              <w:bidi w:val="0"/>
              <w:rPr>
                <w:color w:val="auto"/>
                <w:highlight w:val="none"/>
                <w:lang w:eastAsia="zh-CN"/>
              </w:rPr>
            </w:pPr>
            <w:r>
              <w:rPr>
                <w:color w:val="auto"/>
                <w:highlight w:val="none"/>
                <w:lang w:eastAsia="zh-CN"/>
              </w:rPr>
              <w:t>2</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14:paraId="0FB256A2">
            <w:pPr>
              <w:pStyle w:val="14"/>
              <w:keepNext w:val="0"/>
              <w:keepLines w:val="0"/>
              <w:pageBreakBefore w:val="0"/>
              <w:widowControl w:val="0"/>
              <w:kinsoku/>
              <w:wordWrap/>
              <w:overflowPunct/>
              <w:topLinePunct w:val="0"/>
              <w:autoSpaceDE/>
              <w:autoSpaceDN/>
              <w:bidi w:val="0"/>
              <w:rPr>
                <w:color w:val="auto"/>
                <w:highlight w:val="none"/>
                <w:lang w:eastAsia="zh-CN"/>
              </w:rPr>
            </w:pPr>
            <w:r>
              <w:rPr>
                <w:rFonts w:hint="eastAsia"/>
                <w:color w:val="auto"/>
                <w:highlight w:val="none"/>
                <w:lang w:eastAsia="zh-CN"/>
              </w:rPr>
              <w:t>大堂装饰交付标准</w:t>
            </w:r>
          </w:p>
        </w:tc>
        <w:tc>
          <w:tcPr>
            <w:tcW w:w="3224" w:type="pct"/>
            <w:vMerge w:val="continue"/>
            <w:tcBorders>
              <w:left w:val="single" w:color="auto" w:sz="4" w:space="0"/>
              <w:right w:val="single" w:color="auto" w:sz="4" w:space="0"/>
            </w:tcBorders>
            <w:shd w:val="clear" w:color="auto" w:fill="auto"/>
            <w:vAlign w:val="center"/>
          </w:tcPr>
          <w:p w14:paraId="1DBC5AD6">
            <w:pPr>
              <w:pStyle w:val="14"/>
              <w:keepNext w:val="0"/>
              <w:keepLines w:val="0"/>
              <w:pageBreakBefore w:val="0"/>
              <w:widowControl w:val="0"/>
              <w:kinsoku/>
              <w:wordWrap/>
              <w:overflowPunct/>
              <w:topLinePunct w:val="0"/>
              <w:autoSpaceDE/>
              <w:autoSpaceDN/>
              <w:bidi w:val="0"/>
              <w:rPr>
                <w:color w:val="auto"/>
                <w:highlight w:val="none"/>
              </w:rPr>
            </w:pPr>
          </w:p>
        </w:tc>
      </w:tr>
      <w:tr w14:paraId="315A2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14:paraId="038FD089">
            <w:pPr>
              <w:pStyle w:val="14"/>
              <w:keepNext w:val="0"/>
              <w:keepLines w:val="0"/>
              <w:pageBreakBefore w:val="0"/>
              <w:widowControl w:val="0"/>
              <w:kinsoku/>
              <w:wordWrap/>
              <w:overflowPunct/>
              <w:topLinePunct w:val="0"/>
              <w:autoSpaceDE/>
              <w:autoSpaceDN/>
              <w:bidi w:val="0"/>
              <w:rPr>
                <w:color w:val="auto"/>
                <w:highlight w:val="none"/>
                <w:lang w:eastAsia="zh-CN"/>
              </w:rPr>
            </w:pPr>
            <w:r>
              <w:rPr>
                <w:color w:val="auto"/>
                <w:highlight w:val="none"/>
                <w:lang w:eastAsia="zh-CN"/>
              </w:rPr>
              <w:t>3</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14:paraId="4D67A195">
            <w:pPr>
              <w:pStyle w:val="14"/>
              <w:keepNext w:val="0"/>
              <w:keepLines w:val="0"/>
              <w:pageBreakBefore w:val="0"/>
              <w:widowControl w:val="0"/>
              <w:kinsoku/>
              <w:wordWrap/>
              <w:overflowPunct/>
              <w:topLinePunct w:val="0"/>
              <w:autoSpaceDE/>
              <w:autoSpaceDN/>
              <w:bidi w:val="0"/>
              <w:rPr>
                <w:color w:val="auto"/>
                <w:highlight w:val="none"/>
                <w:lang w:eastAsia="zh-CN"/>
              </w:rPr>
            </w:pPr>
            <w:r>
              <w:rPr>
                <w:rFonts w:hint="eastAsia"/>
                <w:color w:val="auto"/>
                <w:highlight w:val="none"/>
                <w:lang w:eastAsia="zh-CN"/>
              </w:rPr>
              <w:t>标准层电梯厅交付标准</w:t>
            </w:r>
          </w:p>
        </w:tc>
        <w:tc>
          <w:tcPr>
            <w:tcW w:w="3224" w:type="pct"/>
            <w:vMerge w:val="continue"/>
            <w:tcBorders>
              <w:left w:val="single" w:color="auto" w:sz="4" w:space="0"/>
              <w:right w:val="single" w:color="auto" w:sz="4" w:space="0"/>
            </w:tcBorders>
            <w:shd w:val="clear" w:color="auto" w:fill="auto"/>
            <w:vAlign w:val="center"/>
          </w:tcPr>
          <w:p w14:paraId="46141557">
            <w:pPr>
              <w:pStyle w:val="14"/>
              <w:keepNext w:val="0"/>
              <w:keepLines w:val="0"/>
              <w:pageBreakBefore w:val="0"/>
              <w:widowControl w:val="0"/>
              <w:kinsoku/>
              <w:wordWrap/>
              <w:overflowPunct/>
              <w:topLinePunct w:val="0"/>
              <w:autoSpaceDE/>
              <w:autoSpaceDN/>
              <w:bidi w:val="0"/>
              <w:rPr>
                <w:color w:val="auto"/>
                <w:highlight w:val="none"/>
                <w:lang w:eastAsia="zh-CN"/>
              </w:rPr>
            </w:pPr>
          </w:p>
        </w:tc>
      </w:tr>
      <w:tr w14:paraId="18933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14:paraId="0D1DAE35">
            <w:pPr>
              <w:pStyle w:val="14"/>
              <w:keepNext w:val="0"/>
              <w:keepLines w:val="0"/>
              <w:pageBreakBefore w:val="0"/>
              <w:widowControl w:val="0"/>
              <w:kinsoku/>
              <w:wordWrap/>
              <w:overflowPunct/>
              <w:topLinePunct w:val="0"/>
              <w:autoSpaceDE/>
              <w:autoSpaceDN/>
              <w:bidi w:val="0"/>
              <w:rPr>
                <w:color w:val="auto"/>
                <w:highlight w:val="none"/>
                <w:lang w:eastAsia="zh-CN"/>
              </w:rPr>
            </w:pPr>
            <w:r>
              <w:rPr>
                <w:color w:val="auto"/>
                <w:highlight w:val="none"/>
                <w:lang w:eastAsia="zh-CN"/>
              </w:rPr>
              <w:t>4</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14:paraId="084F50CF">
            <w:pPr>
              <w:pStyle w:val="14"/>
              <w:keepNext w:val="0"/>
              <w:keepLines w:val="0"/>
              <w:pageBreakBefore w:val="0"/>
              <w:widowControl w:val="0"/>
              <w:kinsoku/>
              <w:wordWrap/>
              <w:overflowPunct/>
              <w:topLinePunct w:val="0"/>
              <w:autoSpaceDE/>
              <w:autoSpaceDN/>
              <w:bidi w:val="0"/>
              <w:rPr>
                <w:color w:val="auto"/>
                <w:highlight w:val="none"/>
                <w:lang w:eastAsia="zh-CN"/>
              </w:rPr>
            </w:pPr>
            <w:r>
              <w:rPr>
                <w:rFonts w:hint="eastAsia"/>
                <w:color w:val="auto"/>
                <w:highlight w:val="none"/>
                <w:lang w:eastAsia="zh-CN"/>
              </w:rPr>
              <w:t>外墙装饰样板</w:t>
            </w:r>
          </w:p>
        </w:tc>
        <w:tc>
          <w:tcPr>
            <w:tcW w:w="3224" w:type="pct"/>
            <w:vMerge w:val="continue"/>
            <w:tcBorders>
              <w:left w:val="single" w:color="auto" w:sz="4" w:space="0"/>
              <w:right w:val="single" w:color="auto" w:sz="4" w:space="0"/>
            </w:tcBorders>
            <w:shd w:val="clear" w:color="auto" w:fill="auto"/>
            <w:vAlign w:val="center"/>
          </w:tcPr>
          <w:p w14:paraId="324C7BA0">
            <w:pPr>
              <w:pStyle w:val="14"/>
              <w:keepNext w:val="0"/>
              <w:keepLines w:val="0"/>
              <w:pageBreakBefore w:val="0"/>
              <w:widowControl w:val="0"/>
              <w:kinsoku/>
              <w:wordWrap/>
              <w:overflowPunct/>
              <w:topLinePunct w:val="0"/>
              <w:autoSpaceDE/>
              <w:autoSpaceDN/>
              <w:bidi w:val="0"/>
              <w:rPr>
                <w:color w:val="auto"/>
                <w:highlight w:val="none"/>
                <w:lang w:eastAsia="zh-CN"/>
              </w:rPr>
            </w:pPr>
          </w:p>
        </w:tc>
      </w:tr>
      <w:tr w14:paraId="4B7CF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14:paraId="4B5B5452">
            <w:pPr>
              <w:pStyle w:val="14"/>
              <w:keepNext w:val="0"/>
              <w:keepLines w:val="0"/>
              <w:pageBreakBefore w:val="0"/>
              <w:widowControl w:val="0"/>
              <w:kinsoku/>
              <w:wordWrap/>
              <w:overflowPunct/>
              <w:topLinePunct w:val="0"/>
              <w:autoSpaceDE/>
              <w:autoSpaceDN/>
              <w:bidi w:val="0"/>
              <w:rPr>
                <w:color w:val="auto"/>
                <w:highlight w:val="none"/>
                <w:lang w:eastAsia="zh-CN"/>
              </w:rPr>
            </w:pPr>
            <w:r>
              <w:rPr>
                <w:color w:val="auto"/>
                <w:highlight w:val="none"/>
                <w:lang w:eastAsia="zh-CN"/>
              </w:rPr>
              <w:t>5</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14:paraId="3FCC31A6">
            <w:pPr>
              <w:pStyle w:val="14"/>
              <w:keepNext w:val="0"/>
              <w:keepLines w:val="0"/>
              <w:pageBreakBefore w:val="0"/>
              <w:widowControl w:val="0"/>
              <w:kinsoku/>
              <w:wordWrap/>
              <w:overflowPunct/>
              <w:topLinePunct w:val="0"/>
              <w:autoSpaceDE/>
              <w:autoSpaceDN/>
              <w:bidi w:val="0"/>
              <w:rPr>
                <w:color w:val="auto"/>
                <w:highlight w:val="none"/>
                <w:lang w:eastAsia="zh-CN"/>
              </w:rPr>
            </w:pPr>
            <w:r>
              <w:rPr>
                <w:rFonts w:hint="eastAsia"/>
                <w:color w:val="auto"/>
                <w:highlight w:val="none"/>
                <w:lang w:eastAsia="zh-CN"/>
              </w:rPr>
              <w:t>综合机电样板</w:t>
            </w:r>
          </w:p>
        </w:tc>
        <w:tc>
          <w:tcPr>
            <w:tcW w:w="3224" w:type="pct"/>
            <w:vMerge w:val="continue"/>
            <w:tcBorders>
              <w:left w:val="single" w:color="auto" w:sz="4" w:space="0"/>
              <w:right w:val="single" w:color="auto" w:sz="4" w:space="0"/>
            </w:tcBorders>
            <w:shd w:val="clear" w:color="auto" w:fill="auto"/>
            <w:vAlign w:val="center"/>
          </w:tcPr>
          <w:p w14:paraId="0D1C02C2">
            <w:pPr>
              <w:pStyle w:val="14"/>
              <w:keepNext w:val="0"/>
              <w:keepLines w:val="0"/>
              <w:pageBreakBefore w:val="0"/>
              <w:widowControl w:val="0"/>
              <w:kinsoku/>
              <w:wordWrap/>
              <w:overflowPunct/>
              <w:topLinePunct w:val="0"/>
              <w:autoSpaceDE/>
              <w:autoSpaceDN/>
              <w:bidi w:val="0"/>
              <w:rPr>
                <w:color w:val="auto"/>
                <w:highlight w:val="none"/>
              </w:rPr>
            </w:pPr>
          </w:p>
        </w:tc>
      </w:tr>
      <w:tr w14:paraId="6E8E4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14:paraId="6E143AA7">
            <w:pPr>
              <w:pStyle w:val="14"/>
              <w:keepNext w:val="0"/>
              <w:keepLines w:val="0"/>
              <w:pageBreakBefore w:val="0"/>
              <w:widowControl w:val="0"/>
              <w:kinsoku/>
              <w:wordWrap/>
              <w:overflowPunct/>
              <w:topLinePunct w:val="0"/>
              <w:autoSpaceDE/>
              <w:autoSpaceDN/>
              <w:bidi w:val="0"/>
              <w:rPr>
                <w:rFonts w:hint="default"/>
                <w:color w:val="auto"/>
                <w:highlight w:val="none"/>
                <w:lang w:val="en-US" w:eastAsia="zh-CN"/>
              </w:rPr>
            </w:pPr>
            <w:r>
              <w:rPr>
                <w:rFonts w:hint="eastAsia"/>
                <w:color w:val="auto"/>
                <w:highlight w:val="none"/>
                <w:lang w:val="en-US" w:eastAsia="zh-CN"/>
              </w:rPr>
              <w:t>6</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14:paraId="2079F05D">
            <w:pPr>
              <w:pStyle w:val="14"/>
              <w:keepNext w:val="0"/>
              <w:keepLines w:val="0"/>
              <w:pageBreakBefore w:val="0"/>
              <w:widowControl w:val="0"/>
              <w:kinsoku/>
              <w:wordWrap/>
              <w:overflowPunct/>
              <w:topLinePunct w:val="0"/>
              <w:autoSpaceDE/>
              <w:autoSpaceDN/>
              <w:bidi w:val="0"/>
              <w:rPr>
                <w:rFonts w:hint="default"/>
                <w:color w:val="auto"/>
                <w:highlight w:val="none"/>
                <w:lang w:val="en-US" w:eastAsia="zh-CN"/>
              </w:rPr>
            </w:pPr>
            <w:r>
              <w:rPr>
                <w:rFonts w:hint="eastAsia"/>
                <w:color w:val="auto"/>
                <w:highlight w:val="none"/>
                <w:lang w:val="en-US" w:eastAsia="zh-CN"/>
              </w:rPr>
              <w:t>景观样板</w:t>
            </w:r>
          </w:p>
        </w:tc>
        <w:tc>
          <w:tcPr>
            <w:tcW w:w="3224" w:type="pct"/>
            <w:vMerge w:val="continue"/>
            <w:tcBorders>
              <w:left w:val="single" w:color="auto" w:sz="4" w:space="0"/>
              <w:bottom w:val="single" w:color="auto" w:sz="4" w:space="0"/>
              <w:right w:val="single" w:color="auto" w:sz="4" w:space="0"/>
            </w:tcBorders>
            <w:shd w:val="clear" w:color="auto" w:fill="auto"/>
            <w:vAlign w:val="center"/>
          </w:tcPr>
          <w:p w14:paraId="110C4628">
            <w:pPr>
              <w:pStyle w:val="14"/>
              <w:keepNext w:val="0"/>
              <w:keepLines w:val="0"/>
              <w:pageBreakBefore w:val="0"/>
              <w:widowControl w:val="0"/>
              <w:kinsoku/>
              <w:wordWrap/>
              <w:overflowPunct/>
              <w:topLinePunct w:val="0"/>
              <w:autoSpaceDE/>
              <w:autoSpaceDN/>
              <w:bidi w:val="0"/>
              <w:rPr>
                <w:color w:val="auto"/>
                <w:highlight w:val="none"/>
              </w:rPr>
            </w:pPr>
          </w:p>
        </w:tc>
      </w:tr>
    </w:tbl>
    <w:p w14:paraId="759DDA05">
      <w:pPr>
        <w:pStyle w:val="5"/>
        <w:keepNext w:val="0"/>
        <w:keepLines w:val="0"/>
        <w:pageBreakBefore w:val="0"/>
        <w:widowControl w:val="0"/>
        <w:numPr>
          <w:ilvl w:val="2"/>
          <w:numId w:val="15"/>
        </w:numPr>
        <w:kinsoku/>
        <w:wordWrap/>
        <w:overflowPunct/>
        <w:topLinePunct w:val="0"/>
        <w:autoSpaceDE/>
        <w:autoSpaceDN/>
        <w:bidi w:val="0"/>
        <w:adjustRightInd/>
        <w:snapToGrid w:val="0"/>
        <w:spacing w:before="0" w:beforeLines="50"/>
        <w:ind w:left="0" w:firstLine="480" w:firstLineChars="200"/>
        <w:textAlignment w:val="auto"/>
        <w:rPr>
          <w:rFonts w:hint="eastAsia"/>
          <w:color w:val="auto"/>
          <w:highlight w:val="none"/>
          <w:lang w:val="en-US" w:eastAsia="zh-CN"/>
        </w:rPr>
      </w:pPr>
      <w:r>
        <w:rPr>
          <w:rFonts w:hint="eastAsia"/>
          <w:color w:val="auto"/>
          <w:highlight w:val="none"/>
          <w:lang w:val="en-US" w:eastAsia="zh-CN"/>
        </w:rPr>
        <w:t>未尽样板管理要求详见【附件B-5】样板引路管理办法</w:t>
      </w:r>
    </w:p>
    <w:p w14:paraId="21EF1B94">
      <w:pPr>
        <w:pStyle w:val="4"/>
        <w:keepNext w:val="0"/>
        <w:keepLines w:val="0"/>
        <w:pageBreakBefore w:val="0"/>
        <w:widowControl w:val="0"/>
        <w:numPr>
          <w:ilvl w:val="1"/>
          <w:numId w:val="15"/>
        </w:numPr>
        <w:kinsoku/>
        <w:wordWrap/>
        <w:overflowPunct/>
        <w:topLinePunct w:val="0"/>
        <w:autoSpaceDE/>
        <w:autoSpaceDN/>
        <w:bidi w:val="0"/>
        <w:adjustRightInd/>
        <w:snapToGrid w:val="0"/>
        <w:ind w:left="573" w:hanging="573"/>
        <w:textAlignment w:val="auto"/>
        <w:rPr>
          <w:color w:val="auto"/>
          <w:highlight w:val="none"/>
        </w:rPr>
      </w:pPr>
      <w:bookmarkStart w:id="242" w:name="_Toc28374"/>
      <w:bookmarkStart w:id="243" w:name="_Toc1598"/>
      <w:r>
        <w:rPr>
          <w:rFonts w:hint="eastAsia"/>
          <w:color w:val="auto"/>
          <w:highlight w:val="none"/>
        </w:rPr>
        <w:t>施工策划管理要求</w:t>
      </w:r>
      <w:bookmarkEnd w:id="237"/>
      <w:bookmarkEnd w:id="238"/>
      <w:bookmarkEnd w:id="239"/>
      <w:bookmarkEnd w:id="240"/>
      <w:bookmarkEnd w:id="241"/>
      <w:bookmarkEnd w:id="242"/>
      <w:bookmarkEnd w:id="243"/>
    </w:p>
    <w:p w14:paraId="24B22CB6">
      <w:pPr>
        <w:keepNext w:val="0"/>
        <w:keepLines w:val="0"/>
        <w:pageBreakBefore w:val="0"/>
        <w:widowControl w:val="0"/>
        <w:kinsoku/>
        <w:wordWrap/>
        <w:overflowPunct/>
        <w:topLinePunct w:val="0"/>
        <w:autoSpaceDE/>
        <w:autoSpaceDN/>
        <w:bidi w:val="0"/>
        <w:adjustRightInd/>
        <w:snapToGrid w:val="0"/>
        <w:ind w:firstLine="500"/>
        <w:textAlignment w:val="auto"/>
        <w:rPr>
          <w:rFonts w:hint="eastAsia" w:cs="宋体"/>
          <w:color w:val="auto"/>
          <w:spacing w:val="5"/>
          <w:position w:val="17"/>
          <w:highlight w:val="none"/>
          <w:lang w:bidi="ar"/>
        </w:rPr>
      </w:pPr>
      <w:r>
        <w:rPr>
          <w:rFonts w:hint="eastAsia" w:cs="宋体"/>
          <w:color w:val="auto"/>
          <w:spacing w:val="5"/>
          <w:position w:val="17"/>
          <w:highlight w:val="none"/>
          <w:lang w:bidi="ar"/>
        </w:rPr>
        <w:t>根据发包人要求完成项目</w:t>
      </w:r>
      <w:r>
        <w:rPr>
          <w:rFonts w:hint="eastAsia" w:cs="宋体"/>
          <w:color w:val="auto"/>
          <w:spacing w:val="5"/>
          <w:position w:val="17"/>
          <w:highlight w:val="none"/>
          <w:lang w:val="en-US" w:eastAsia="zh-CN" w:bidi="ar"/>
        </w:rPr>
        <w:t>精装</w:t>
      </w:r>
      <w:r>
        <w:rPr>
          <w:rFonts w:hint="eastAsia" w:cs="宋体"/>
          <w:color w:val="auto"/>
          <w:spacing w:val="5"/>
          <w:position w:val="17"/>
          <w:highlight w:val="none"/>
          <w:lang w:bidi="ar"/>
        </w:rPr>
        <w:t>管理策划（首栋塔楼第一个标准层拆模完成后1个月内，参与）、交付策划（所有塔楼封顶3个月内）。以上时间节点为暂定时间具体以发包人要求为准。以上策划经发包人、发包</w:t>
      </w:r>
      <w:r>
        <w:rPr>
          <w:rFonts w:hint="eastAsia" w:cs="宋体"/>
          <w:color w:val="auto"/>
          <w:spacing w:val="5"/>
          <w:position w:val="17"/>
          <w:highlight w:val="none"/>
          <w:lang w:val="en-US" w:eastAsia="zh-CN" w:bidi="ar"/>
        </w:rPr>
        <w:t>人</w:t>
      </w:r>
      <w:r>
        <w:rPr>
          <w:rFonts w:hint="eastAsia" w:cs="宋体"/>
          <w:color w:val="auto"/>
          <w:spacing w:val="5"/>
          <w:position w:val="17"/>
          <w:highlight w:val="none"/>
          <w:lang w:bidi="ar"/>
        </w:rPr>
        <w:t>委托</w:t>
      </w:r>
      <w:r>
        <w:rPr>
          <w:rFonts w:hint="eastAsia" w:cs="宋体"/>
          <w:color w:val="auto"/>
          <w:spacing w:val="5"/>
          <w:position w:val="17"/>
          <w:highlight w:val="none"/>
          <w:lang w:val="en-US" w:eastAsia="zh-CN" w:bidi="ar"/>
        </w:rPr>
        <w:t>的咨询服务</w:t>
      </w:r>
      <w:r>
        <w:rPr>
          <w:rFonts w:hint="eastAsia" w:cs="宋体"/>
          <w:color w:val="auto"/>
          <w:spacing w:val="5"/>
          <w:position w:val="17"/>
          <w:highlight w:val="none"/>
          <w:lang w:bidi="ar"/>
        </w:rPr>
        <w:t>单位、监理单位以及专家评审通过后由</w:t>
      </w:r>
      <w:r>
        <w:rPr>
          <w:rFonts w:hint="eastAsia" w:cs="宋体"/>
          <w:color w:val="auto"/>
          <w:spacing w:val="5"/>
          <w:position w:val="17"/>
          <w:highlight w:val="none"/>
          <w:lang w:eastAsia="zh-CN" w:bidi="ar"/>
        </w:rPr>
        <w:t>专业承包人</w:t>
      </w:r>
      <w:r>
        <w:rPr>
          <w:rFonts w:hint="eastAsia" w:cs="宋体"/>
          <w:color w:val="auto"/>
          <w:spacing w:val="5"/>
          <w:position w:val="17"/>
          <w:highlight w:val="none"/>
          <w:lang w:bidi="ar"/>
        </w:rPr>
        <w:t>上报纸质盖章版到发包人处留档。</w:t>
      </w:r>
    </w:p>
    <w:p w14:paraId="373979E3">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244" w:name="_Toc2939"/>
      <w:bookmarkStart w:id="245" w:name="_Toc17357"/>
      <w:bookmarkStart w:id="246" w:name="_Toc7784"/>
      <w:bookmarkStart w:id="247" w:name="_Toc20075"/>
      <w:bookmarkStart w:id="248" w:name="_Toc30134"/>
      <w:bookmarkStart w:id="249" w:name="_Toc31378"/>
      <w:bookmarkStart w:id="250" w:name="_Toc20428"/>
      <w:bookmarkStart w:id="251" w:name="_Toc24624"/>
      <w:bookmarkStart w:id="252" w:name="_Toc12550"/>
      <w:bookmarkStart w:id="253" w:name="_Toc169722215"/>
      <w:bookmarkStart w:id="254" w:name="_Toc1602"/>
      <w:bookmarkStart w:id="255" w:name="_Toc14402"/>
      <w:bookmarkStart w:id="256" w:name="_Toc6956"/>
      <w:r>
        <w:rPr>
          <w:rFonts w:hint="eastAsia"/>
          <w:color w:val="auto"/>
          <w:highlight w:val="none"/>
        </w:rPr>
        <w:t>工序交接</w:t>
      </w:r>
      <w:r>
        <w:rPr>
          <w:color w:val="auto"/>
          <w:highlight w:val="none"/>
        </w:rPr>
        <w:t>管理要求</w:t>
      </w:r>
      <w:bookmarkEnd w:id="244"/>
      <w:bookmarkEnd w:id="245"/>
      <w:bookmarkEnd w:id="246"/>
      <w:bookmarkEnd w:id="247"/>
      <w:bookmarkEnd w:id="248"/>
      <w:bookmarkEnd w:id="249"/>
      <w:bookmarkEnd w:id="250"/>
      <w:bookmarkEnd w:id="251"/>
      <w:bookmarkEnd w:id="252"/>
      <w:bookmarkEnd w:id="253"/>
      <w:bookmarkEnd w:id="254"/>
      <w:bookmarkEnd w:id="255"/>
      <w:bookmarkEnd w:id="256"/>
    </w:p>
    <w:p w14:paraId="7B5F8C70">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为保证上道工序施工质量满足下道工序施工的需要，控制专业间的工序转换工作，所有工程必须进行工序交接。</w:t>
      </w:r>
    </w:p>
    <w:p w14:paraId="62C239DC">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重要工序施工完毕并经自检合格，由上道工序质检员向监理单位提出工序交接申请。</w:t>
      </w:r>
    </w:p>
    <w:p w14:paraId="72006ED6">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监理人负责组织重要工序交接，交接双方质检员和主要技术人员参加。</w:t>
      </w:r>
    </w:p>
    <w:p w14:paraId="29B5EF0C">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交接检查中有异议时，由监理人组织协调，如确有不满足下道工序施工要求时，由移交方处理，处理完毕，重新进行工序交接。</w:t>
      </w:r>
    </w:p>
    <w:p w14:paraId="790D782E">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工序控制与工程款支付相结合，付款时</w:t>
      </w:r>
      <w:r>
        <w:rPr>
          <w:rFonts w:hint="eastAsia"/>
          <w:color w:val="auto"/>
          <w:highlight w:val="none"/>
          <w:lang w:eastAsia="zh-CN"/>
        </w:rPr>
        <w:t>专业承包人</w:t>
      </w:r>
      <w:r>
        <w:rPr>
          <w:rFonts w:hint="eastAsia"/>
          <w:color w:val="auto"/>
          <w:highlight w:val="none"/>
        </w:rPr>
        <w:t>应附上各控制表格签字情况。未按上述要求办理或违反上述规定时，发包人将暂停支付相关工程量的工程款。</w:t>
      </w:r>
    </w:p>
    <w:p w14:paraId="693EB9F6">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所有现场的工序交接务必遵循如下原则：土建移交装修需按照相关规定与规范标准移交，交接必须逐一进行实体验收，验收必须要有纸面记录，参与人员必须写明验收内容与意见，不合格要求必须有整改关闭时间，复验必须执行，资料必须齐全存档。</w:t>
      </w:r>
    </w:p>
    <w:p w14:paraId="18942CE7">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257" w:name="_Toc27289"/>
      <w:bookmarkStart w:id="258" w:name="_Toc28157"/>
      <w:bookmarkStart w:id="259" w:name="_Toc11452"/>
      <w:bookmarkStart w:id="260" w:name="_Toc16323"/>
      <w:bookmarkStart w:id="261" w:name="_Toc2674"/>
      <w:bookmarkStart w:id="262" w:name="_Toc29455"/>
      <w:bookmarkStart w:id="263" w:name="_Toc24708"/>
      <w:bookmarkStart w:id="264" w:name="_Toc29565"/>
      <w:bookmarkStart w:id="265" w:name="_Toc169722216"/>
      <w:bookmarkStart w:id="266" w:name="_Toc27942"/>
      <w:bookmarkStart w:id="267" w:name="_Toc14422"/>
      <w:bookmarkStart w:id="268" w:name="_Toc18037"/>
      <w:bookmarkStart w:id="269" w:name="_Toc16561"/>
      <w:r>
        <w:rPr>
          <w:color w:val="auto"/>
          <w:highlight w:val="none"/>
        </w:rPr>
        <w:t>工作面交接管理要求</w:t>
      </w:r>
      <w:bookmarkEnd w:id="257"/>
      <w:bookmarkEnd w:id="258"/>
      <w:bookmarkEnd w:id="259"/>
      <w:bookmarkEnd w:id="260"/>
      <w:bookmarkEnd w:id="261"/>
      <w:bookmarkEnd w:id="262"/>
      <w:bookmarkEnd w:id="263"/>
      <w:bookmarkEnd w:id="264"/>
      <w:bookmarkEnd w:id="265"/>
      <w:bookmarkEnd w:id="266"/>
      <w:bookmarkEnd w:id="267"/>
      <w:bookmarkEnd w:id="268"/>
      <w:bookmarkEnd w:id="269"/>
    </w:p>
    <w:p w14:paraId="7A172EE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及其他</w:t>
      </w:r>
      <w:r>
        <w:rPr>
          <w:rFonts w:hint="eastAsia"/>
          <w:color w:val="auto"/>
          <w:highlight w:val="none"/>
          <w:lang w:eastAsia="zh-CN"/>
        </w:rPr>
        <w:t>专业承包人</w:t>
      </w:r>
      <w:r>
        <w:rPr>
          <w:rFonts w:hint="eastAsia"/>
          <w:color w:val="auto"/>
          <w:highlight w:val="none"/>
        </w:rPr>
        <w:t>工作面移交的通用要求</w:t>
      </w:r>
    </w:p>
    <w:p w14:paraId="2E505C8E">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应参加发包人组织的由</w:t>
      </w:r>
      <w:r>
        <w:rPr>
          <w:rFonts w:hint="eastAsia"/>
          <w:color w:val="auto"/>
          <w:highlight w:val="none"/>
          <w:lang w:eastAsia="zh-CN"/>
        </w:rPr>
        <w:t>专业承包人</w:t>
      </w:r>
      <w:r>
        <w:rPr>
          <w:rFonts w:hint="eastAsia"/>
          <w:color w:val="auto"/>
          <w:highlight w:val="none"/>
        </w:rPr>
        <w:t>、总</w:t>
      </w:r>
      <w:r>
        <w:rPr>
          <w:rFonts w:hint="eastAsia"/>
          <w:color w:val="auto"/>
          <w:highlight w:val="none"/>
          <w:lang w:eastAsia="zh-CN"/>
        </w:rPr>
        <w:t>承包人</w:t>
      </w:r>
      <w:r>
        <w:rPr>
          <w:rFonts w:hint="eastAsia"/>
          <w:color w:val="auto"/>
          <w:highlight w:val="none"/>
        </w:rPr>
        <w:t>、监理人及相关人员等参加的本工程工作面的检验及交接。四方共同以现场交接验收的方式确认质量缺陷责任并签字生效。对于认定的缺陷责任，限期由责任方负责安排整改完毕，经监理人及发包人验收合格后方可办理正式移交手续，并填写《工作面移交验收表》。</w:t>
      </w:r>
    </w:p>
    <w:p w14:paraId="69452785">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负责制订移交计划，经总</w:t>
      </w:r>
      <w:r>
        <w:rPr>
          <w:rFonts w:hint="eastAsia"/>
          <w:color w:val="auto"/>
          <w:highlight w:val="none"/>
          <w:lang w:eastAsia="zh-CN"/>
        </w:rPr>
        <w:t>承包人</w:t>
      </w:r>
      <w:r>
        <w:rPr>
          <w:rFonts w:hint="eastAsia"/>
          <w:color w:val="auto"/>
          <w:highlight w:val="none"/>
        </w:rPr>
        <w:t>、监理人及发包人审核通过后方可执行。同时必须保证其他</w:t>
      </w:r>
      <w:r>
        <w:rPr>
          <w:rFonts w:hint="eastAsia"/>
          <w:color w:val="auto"/>
          <w:highlight w:val="none"/>
          <w:lang w:eastAsia="zh-CN"/>
        </w:rPr>
        <w:t>专业承包人</w:t>
      </w:r>
      <w:r>
        <w:rPr>
          <w:rFonts w:hint="eastAsia"/>
          <w:color w:val="auto"/>
          <w:highlight w:val="none"/>
        </w:rPr>
        <w:t>都具有施工工作面。</w:t>
      </w:r>
    </w:p>
    <w:p w14:paraId="6DE04B72">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提前做好移交场地的清理及质量检查工作，并做好相关记录。</w:t>
      </w:r>
    </w:p>
    <w:p w14:paraId="38B1FFE1">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负责提供移交工作面的控制点、标高点。</w:t>
      </w:r>
    </w:p>
    <w:p w14:paraId="4599C36C">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负责提供移交工作面无质量问题，满足后续施工要求，由接收方确认。</w:t>
      </w:r>
    </w:p>
    <w:p w14:paraId="012696C6">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根据验收意见及时编制整改计划，明确整改时间。</w:t>
      </w:r>
      <w:r>
        <w:rPr>
          <w:rFonts w:hint="eastAsia"/>
          <w:color w:val="auto"/>
          <w:highlight w:val="none"/>
          <w:lang w:eastAsia="zh-CN"/>
        </w:rPr>
        <w:t>专业承包人</w:t>
      </w:r>
      <w:r>
        <w:rPr>
          <w:rFonts w:hint="eastAsia"/>
          <w:color w:val="auto"/>
          <w:highlight w:val="none"/>
        </w:rPr>
        <w:t>必须成立专职整改队伍，对整改内容和漏项工程，无偿负责整改、施工，保证施工质量及交接进度。</w:t>
      </w:r>
    </w:p>
    <w:p w14:paraId="309F4A8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验收项目需要</w:t>
      </w:r>
      <w:r>
        <w:rPr>
          <w:rFonts w:hint="eastAsia"/>
          <w:color w:val="auto"/>
          <w:highlight w:val="none"/>
          <w:lang w:eastAsia="zh-CN"/>
        </w:rPr>
        <w:t>专业承包人</w:t>
      </w:r>
      <w:r>
        <w:rPr>
          <w:rFonts w:hint="eastAsia"/>
          <w:color w:val="auto"/>
          <w:highlight w:val="none"/>
        </w:rPr>
        <w:t>提供相应检测工具并配合的，</w:t>
      </w:r>
      <w:r>
        <w:rPr>
          <w:rFonts w:hint="eastAsia"/>
          <w:color w:val="auto"/>
          <w:highlight w:val="none"/>
          <w:lang w:eastAsia="zh-CN"/>
        </w:rPr>
        <w:t>专业承包人</w:t>
      </w:r>
      <w:r>
        <w:rPr>
          <w:rFonts w:hint="eastAsia"/>
          <w:color w:val="auto"/>
          <w:highlight w:val="none"/>
        </w:rPr>
        <w:t>负责提供所需的检测工具并协助检测工作。</w:t>
      </w:r>
    </w:p>
    <w:p w14:paraId="78793AFB">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与总</w:t>
      </w:r>
      <w:r>
        <w:rPr>
          <w:rFonts w:hint="eastAsia"/>
          <w:color w:val="auto"/>
          <w:highlight w:val="none"/>
          <w:lang w:eastAsia="zh-CN"/>
        </w:rPr>
        <w:t>承包人</w:t>
      </w:r>
      <w:r>
        <w:rPr>
          <w:rFonts w:hint="eastAsia"/>
          <w:color w:val="auto"/>
          <w:highlight w:val="none"/>
        </w:rPr>
        <w:t>应在监理人的监督下就施工用水、用电的临时设施进行交接，并做好相关记录。总</w:t>
      </w:r>
      <w:r>
        <w:rPr>
          <w:rFonts w:hint="eastAsia"/>
          <w:color w:val="auto"/>
          <w:highlight w:val="none"/>
          <w:lang w:eastAsia="zh-CN"/>
        </w:rPr>
        <w:t>承包人</w:t>
      </w:r>
      <w:r>
        <w:rPr>
          <w:rFonts w:hint="eastAsia"/>
          <w:color w:val="auto"/>
          <w:highlight w:val="none"/>
        </w:rPr>
        <w:t>应提供给</w:t>
      </w:r>
      <w:r>
        <w:rPr>
          <w:rFonts w:hint="eastAsia"/>
          <w:color w:val="auto"/>
          <w:highlight w:val="none"/>
          <w:lang w:eastAsia="zh-CN"/>
        </w:rPr>
        <w:t>专业承包人</w:t>
      </w:r>
      <w:r>
        <w:rPr>
          <w:rFonts w:hint="eastAsia"/>
          <w:color w:val="auto"/>
          <w:highlight w:val="none"/>
        </w:rPr>
        <w:t>临时用水、用电接驳点，由此等接驳点再接出的临时用水电系统则由</w:t>
      </w:r>
      <w:r>
        <w:rPr>
          <w:rFonts w:hint="eastAsia"/>
          <w:color w:val="auto"/>
          <w:highlight w:val="none"/>
          <w:lang w:eastAsia="zh-CN"/>
        </w:rPr>
        <w:t>专业承包人</w:t>
      </w:r>
      <w:r>
        <w:rPr>
          <w:rFonts w:hint="eastAsia"/>
          <w:color w:val="auto"/>
          <w:highlight w:val="none"/>
        </w:rPr>
        <w:t>自行负责，包括在不需要时拆除及复原相关破损。</w:t>
      </w:r>
    </w:p>
    <w:p w14:paraId="318EAAC0">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负责施工范围内的工作面交接，须提前做好交接场地的清理及质量检查工作，并做好相关记录。</w:t>
      </w:r>
    </w:p>
    <w:p w14:paraId="0E8AE783">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负责接收总</w:t>
      </w:r>
      <w:r>
        <w:rPr>
          <w:rFonts w:hint="eastAsia"/>
          <w:color w:val="auto"/>
          <w:highlight w:val="none"/>
          <w:lang w:eastAsia="zh-CN"/>
        </w:rPr>
        <w:t>承包人</w:t>
      </w:r>
      <w:r>
        <w:rPr>
          <w:rFonts w:hint="eastAsia"/>
          <w:color w:val="auto"/>
          <w:highlight w:val="none"/>
        </w:rPr>
        <w:t>或其他</w:t>
      </w:r>
      <w:r>
        <w:rPr>
          <w:rFonts w:hint="eastAsia"/>
          <w:color w:val="auto"/>
          <w:highlight w:val="none"/>
          <w:lang w:eastAsia="zh-CN"/>
        </w:rPr>
        <w:t>专业承包人</w:t>
      </w:r>
      <w:r>
        <w:rPr>
          <w:rFonts w:hint="eastAsia"/>
          <w:color w:val="auto"/>
          <w:highlight w:val="none"/>
        </w:rPr>
        <w:t>的工作面移交。</w:t>
      </w:r>
    </w:p>
    <w:p w14:paraId="414E2017">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其他工作面交接管理要求：</w:t>
      </w:r>
      <w:r>
        <w:rPr>
          <w:rFonts w:hint="eastAsia"/>
          <w:color w:val="auto"/>
          <w:highlight w:val="none"/>
          <w:lang w:eastAsia="zh-CN"/>
        </w:rPr>
        <w:t>专业承包人</w:t>
      </w:r>
      <w:r>
        <w:rPr>
          <w:rFonts w:hint="eastAsia"/>
          <w:color w:val="auto"/>
          <w:highlight w:val="none"/>
        </w:rPr>
        <w:t>应在进场时做好与总分包单位做好场地移交，包含室内出楼板洞口的密闭性、墙面空鼓、墙面垂直度与平整度、房间开间</w:t>
      </w:r>
      <w:r>
        <w:rPr>
          <w:rFonts w:hint="eastAsia"/>
          <w:color w:val="auto"/>
          <w:highlight w:val="none"/>
          <w:lang w:val="en-US" w:eastAsia="zh-CN"/>
        </w:rPr>
        <w:t>尺寸</w:t>
      </w:r>
      <w:r>
        <w:rPr>
          <w:rFonts w:hint="eastAsia"/>
          <w:color w:val="auto"/>
          <w:highlight w:val="none"/>
        </w:rPr>
        <w:t>、门窗洞口尺寸、入户门门框垂直度、窗框垂直度、预埋水电点位精准度、地面标高关系、防雷接地等。移交要做好书面记录，满足移交条件的，由</w:t>
      </w:r>
      <w:r>
        <w:rPr>
          <w:rFonts w:hint="eastAsia"/>
          <w:color w:val="auto"/>
          <w:highlight w:val="none"/>
          <w:lang w:eastAsia="zh-CN"/>
        </w:rPr>
        <w:t>专业承包人</w:t>
      </w:r>
      <w:r>
        <w:rPr>
          <w:rFonts w:hint="eastAsia"/>
          <w:color w:val="auto"/>
          <w:highlight w:val="none"/>
        </w:rPr>
        <w:t>接手；对不合格的部位详细描述，及时反馈给相应责任单位、监理与发包人，制定详细的移交计划，严格落实。特别说明，上述移交内容，</w:t>
      </w:r>
      <w:r>
        <w:rPr>
          <w:rFonts w:hint="eastAsia"/>
          <w:color w:val="auto"/>
          <w:highlight w:val="none"/>
          <w:lang w:eastAsia="zh-CN"/>
        </w:rPr>
        <w:t>专业承包人</w:t>
      </w:r>
      <w:r>
        <w:rPr>
          <w:rFonts w:hint="eastAsia"/>
          <w:color w:val="auto"/>
          <w:highlight w:val="none"/>
        </w:rPr>
        <w:t>均需要每户每个部位逐一验收，不可笼统移交，要求要有相应不部位的具体数据，移交标准需符合相关规定及规范的验收标准。</w:t>
      </w:r>
    </w:p>
    <w:p w14:paraId="1D56DB2C">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270" w:name="_Toc29290"/>
      <w:bookmarkStart w:id="271" w:name="_Toc19640"/>
      <w:bookmarkStart w:id="272" w:name="_Toc169722217"/>
      <w:bookmarkStart w:id="273" w:name="_Toc17202"/>
      <w:bookmarkStart w:id="274" w:name="_Toc12406"/>
      <w:bookmarkStart w:id="275" w:name="_Toc11168"/>
      <w:bookmarkStart w:id="276" w:name="_Toc6328"/>
      <w:bookmarkStart w:id="277" w:name="_Toc26739"/>
      <w:bookmarkStart w:id="278" w:name="_Toc17624"/>
      <w:bookmarkStart w:id="279" w:name="_Toc15187"/>
      <w:bookmarkStart w:id="280" w:name="_Toc22156"/>
      <w:bookmarkStart w:id="281" w:name="_Toc10251"/>
      <w:bookmarkStart w:id="282" w:name="_Toc14637"/>
      <w:r>
        <w:rPr>
          <w:color w:val="auto"/>
          <w:highlight w:val="none"/>
        </w:rPr>
        <w:t>成品保护要求</w:t>
      </w:r>
      <w:bookmarkEnd w:id="270"/>
      <w:bookmarkEnd w:id="271"/>
      <w:bookmarkEnd w:id="272"/>
      <w:bookmarkEnd w:id="273"/>
      <w:bookmarkEnd w:id="274"/>
      <w:bookmarkEnd w:id="275"/>
      <w:bookmarkEnd w:id="276"/>
      <w:bookmarkEnd w:id="277"/>
      <w:bookmarkEnd w:id="278"/>
      <w:bookmarkEnd w:id="279"/>
      <w:bookmarkEnd w:id="280"/>
      <w:bookmarkEnd w:id="281"/>
      <w:bookmarkEnd w:id="282"/>
    </w:p>
    <w:p w14:paraId="62801B78">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总则</w:t>
      </w:r>
    </w:p>
    <w:p w14:paraId="58C4D48A">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工程竣工移交前，</w:t>
      </w:r>
      <w:r>
        <w:rPr>
          <w:rFonts w:hint="eastAsia"/>
          <w:color w:val="auto"/>
          <w:highlight w:val="none"/>
          <w:lang w:eastAsia="zh-CN"/>
        </w:rPr>
        <w:t>专业承包人</w:t>
      </w:r>
      <w:r>
        <w:rPr>
          <w:rFonts w:hint="eastAsia"/>
          <w:color w:val="auto"/>
          <w:highlight w:val="none"/>
        </w:rPr>
        <w:t>负责其自身承建工程项目的成品保护责任。</w:t>
      </w:r>
    </w:p>
    <w:p w14:paraId="0FB4C79A">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责任划分</w:t>
      </w:r>
    </w:p>
    <w:p w14:paraId="08B77185">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成品保护应遵循“谁</w:t>
      </w:r>
      <w:r>
        <w:rPr>
          <w:rFonts w:hint="eastAsia"/>
          <w:color w:val="auto"/>
          <w:highlight w:val="none"/>
          <w:lang w:val="en-US" w:eastAsia="zh-CN"/>
        </w:rPr>
        <w:t>施工(安装)</w:t>
      </w:r>
      <w:r>
        <w:rPr>
          <w:rFonts w:hint="eastAsia"/>
          <w:color w:val="auto"/>
          <w:highlight w:val="none"/>
        </w:rPr>
        <w:t>，谁保护”、“谁破坏，谁负责”、“</w:t>
      </w:r>
      <w:r>
        <w:rPr>
          <w:rFonts w:hint="eastAsia"/>
          <w:color w:val="auto"/>
          <w:highlight w:val="none"/>
          <w:lang w:eastAsia="zh-CN"/>
        </w:rPr>
        <w:t>专业承包人</w:t>
      </w:r>
      <w:r>
        <w:rPr>
          <w:rFonts w:hint="eastAsia"/>
          <w:color w:val="auto"/>
          <w:highlight w:val="none"/>
        </w:rPr>
        <w:t>监管”原则。</w:t>
      </w:r>
    </w:p>
    <w:p w14:paraId="448307C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如果成品保护责任方未按要求完成成品保护工作，或未做到位而造成的成品破坏，无论是否有明确责任单位，所有损失由成品保护责任方承担。</w:t>
      </w:r>
    </w:p>
    <w:p w14:paraId="5794B0C7">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如果成品保护责任方已按要求完成成品保护工作，其产品仍被破坏，若成品保护责任方有明确证据指证责任单位的，由责任单位赔付所有直接和间接损失。若不能明确责任单位，则由成品保护责任方负责。如各当事方对责任争执不下，则由监理人鉴定责任，发包人给出结果。</w:t>
      </w:r>
    </w:p>
    <w:p w14:paraId="7AD47E1D">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实施细则</w:t>
      </w:r>
    </w:p>
    <w:p w14:paraId="3833BC1F">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须向发包人提供详细的成品保护方案，包括相关工序的具体成品、半成品保护措施，并对其承建范围内的工程项目的成品保护负责。</w:t>
      </w:r>
    </w:p>
    <w:p w14:paraId="3BC5036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现场成品保护应有专人负责对整个施工现场巡视和检查，防止成品、半成品被破坏。</w:t>
      </w:r>
    </w:p>
    <w:p w14:paraId="4761D452">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先施工的单位必须向后施工办理书面交接手续，双方签字认可，后施工单位应对施工区域内的所有成品、半成品履行保护的责任和义务。</w:t>
      </w:r>
    </w:p>
    <w:p w14:paraId="17619DA8">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施工过程中未按成品保护方案执行或成品保护执行严重不到位的，将予以处罚。</w:t>
      </w:r>
    </w:p>
    <w:p w14:paraId="110E3F0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工程交接验收单、成品移交以监理人/发包人签字确认为准。无正式工程交接验收单，成品或半成品损坏丢失由</w:t>
      </w:r>
      <w:r>
        <w:rPr>
          <w:rFonts w:hint="eastAsia"/>
          <w:color w:val="auto"/>
          <w:highlight w:val="none"/>
          <w:lang w:eastAsia="zh-CN"/>
        </w:rPr>
        <w:t>专业承包人</w:t>
      </w:r>
      <w:r>
        <w:rPr>
          <w:rFonts w:hint="eastAsia"/>
          <w:color w:val="auto"/>
          <w:highlight w:val="none"/>
        </w:rPr>
        <w:t>自行承担。</w:t>
      </w:r>
    </w:p>
    <w:p w14:paraId="6F50FEBB">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283" w:name="_Toc4929"/>
      <w:bookmarkStart w:id="284" w:name="_Toc18600"/>
      <w:bookmarkStart w:id="285" w:name="_Toc169722218"/>
      <w:bookmarkStart w:id="286" w:name="_Toc6225"/>
      <w:bookmarkStart w:id="287" w:name="_Toc16449"/>
      <w:bookmarkStart w:id="288" w:name="_Toc22500"/>
      <w:bookmarkStart w:id="289" w:name="_Toc4551"/>
      <w:bookmarkStart w:id="290" w:name="_Toc28863"/>
      <w:bookmarkStart w:id="291" w:name="_Toc26943"/>
      <w:bookmarkStart w:id="292" w:name="_Toc19462"/>
      <w:bookmarkStart w:id="293" w:name="_Toc10929"/>
      <w:bookmarkStart w:id="294" w:name="_Toc15390"/>
      <w:bookmarkStart w:id="295" w:name="_Toc25131"/>
      <w:r>
        <w:rPr>
          <w:rFonts w:hint="eastAsia"/>
          <w:color w:val="auto"/>
          <w:highlight w:val="none"/>
        </w:rPr>
        <w:t>甲供物资</w:t>
      </w:r>
      <w:r>
        <w:rPr>
          <w:color w:val="auto"/>
          <w:highlight w:val="none"/>
        </w:rPr>
        <w:t>管理要求</w:t>
      </w:r>
      <w:bookmarkEnd w:id="283"/>
      <w:bookmarkEnd w:id="284"/>
      <w:bookmarkEnd w:id="285"/>
      <w:bookmarkEnd w:id="286"/>
      <w:r>
        <w:rPr>
          <w:rFonts w:hint="eastAsia"/>
          <w:color w:val="auto"/>
          <w:highlight w:val="none"/>
          <w:lang w:eastAsia="zh-CN"/>
        </w:rPr>
        <w:t>（</w:t>
      </w:r>
      <w:r>
        <w:rPr>
          <w:rFonts w:hint="eastAsia"/>
          <w:color w:val="auto"/>
          <w:highlight w:val="none"/>
          <w:lang w:val="en-US" w:eastAsia="zh-CN"/>
        </w:rPr>
        <w:t>如有</w:t>
      </w:r>
      <w:r>
        <w:rPr>
          <w:rFonts w:hint="eastAsia"/>
          <w:color w:val="auto"/>
          <w:highlight w:val="none"/>
          <w:lang w:eastAsia="zh-CN"/>
        </w:rPr>
        <w:t>）</w:t>
      </w:r>
      <w:bookmarkEnd w:id="287"/>
      <w:bookmarkEnd w:id="288"/>
      <w:bookmarkEnd w:id="289"/>
      <w:bookmarkEnd w:id="290"/>
      <w:bookmarkEnd w:id="291"/>
      <w:bookmarkEnd w:id="292"/>
      <w:bookmarkEnd w:id="293"/>
      <w:bookmarkEnd w:id="294"/>
      <w:bookmarkEnd w:id="295"/>
    </w:p>
    <w:p w14:paraId="26ACC384">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bookmarkStart w:id="296" w:name="_Toc328755017"/>
      <w:bookmarkStart w:id="297" w:name="_Toc329131560"/>
      <w:bookmarkStart w:id="298" w:name="_Toc406435935"/>
      <w:r>
        <w:rPr>
          <w:rFonts w:hint="eastAsia"/>
          <w:color w:val="auto"/>
          <w:highlight w:val="none"/>
        </w:rPr>
        <w:t>甲供物资</w:t>
      </w:r>
    </w:p>
    <w:p w14:paraId="24972C70">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发包人招标，与供应商签订供货合同，发包人直接付款。</w:t>
      </w:r>
    </w:p>
    <w:p w14:paraId="1D125ED1">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供应计划管理流程</w:t>
      </w:r>
    </w:p>
    <w:p w14:paraId="13C60881">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bookmarkStart w:id="299" w:name="_Hlk168667710"/>
      <w:bookmarkStart w:id="300" w:name="_Hlk168668529"/>
      <w:bookmarkStart w:id="301" w:name="_Toc328755015"/>
      <w:bookmarkStart w:id="302" w:name="_Toc329131558"/>
      <w:bookmarkStart w:id="303" w:name="_Toc406435933"/>
      <w:bookmarkStart w:id="304" w:name="_Toc436410800"/>
      <w:bookmarkStart w:id="305" w:name="_Toc437937241"/>
      <w:bookmarkStart w:id="306" w:name="_Toc436410967"/>
      <w:r>
        <w:rPr>
          <w:rFonts w:hint="eastAsia"/>
          <w:color w:val="auto"/>
          <w:highlight w:val="none"/>
          <w:lang w:eastAsia="zh-CN"/>
        </w:rPr>
        <w:t>专业承包人</w:t>
      </w:r>
      <w:r>
        <w:rPr>
          <w:rFonts w:hint="eastAsia"/>
          <w:color w:val="auto"/>
          <w:highlight w:val="none"/>
        </w:rPr>
        <w:t>应组织</w:t>
      </w:r>
      <w:r>
        <w:rPr>
          <w:rFonts w:hint="eastAsia"/>
          <w:color w:val="auto"/>
          <w:highlight w:val="none"/>
          <w:lang w:val="en-US" w:eastAsia="zh-CN"/>
        </w:rPr>
        <w:t>其他</w:t>
      </w:r>
      <w:r>
        <w:rPr>
          <w:rFonts w:hint="eastAsia"/>
          <w:color w:val="auto"/>
          <w:highlight w:val="none"/>
          <w:lang w:eastAsia="zh-CN"/>
        </w:rPr>
        <w:t>专业承包人</w:t>
      </w:r>
      <w:r>
        <w:rPr>
          <w:rFonts w:hint="eastAsia"/>
          <w:color w:val="auto"/>
          <w:highlight w:val="none"/>
        </w:rPr>
        <w:t>共同编制并提交包含自身及</w:t>
      </w:r>
      <w:r>
        <w:rPr>
          <w:rFonts w:hint="eastAsia"/>
          <w:color w:val="auto"/>
          <w:highlight w:val="none"/>
          <w:lang w:eastAsia="zh-CN"/>
        </w:rPr>
        <w:t>专业承包人</w:t>
      </w:r>
      <w:r>
        <w:rPr>
          <w:rFonts w:hint="eastAsia"/>
          <w:color w:val="auto"/>
          <w:highlight w:val="none"/>
        </w:rPr>
        <w:t>的《甲供物资供应计划表》→监理人审核确认→发包人审核确认→发包人核对供货合约、确认→发包人于甲供材系统发起《甲供材料要货订单》→发包人督促供应商确认订单→发</w:t>
      </w:r>
    </w:p>
    <w:p w14:paraId="4345B949">
      <w:pPr>
        <w:keepNext w:val="0"/>
        <w:keepLines w:val="0"/>
        <w:pageBreakBefore w:val="0"/>
        <w:widowControl w:val="0"/>
        <w:kinsoku/>
        <w:wordWrap/>
        <w:overflowPunct/>
        <w:topLinePunct w:val="0"/>
        <w:autoSpaceDE/>
        <w:autoSpaceDN/>
        <w:bidi w:val="0"/>
        <w:adjustRightInd/>
        <w:snapToGrid w:val="0"/>
        <w:ind w:left="0" w:leftChars="0" w:firstLine="0" w:firstLineChars="0"/>
        <w:textAlignment w:val="auto"/>
        <w:rPr>
          <w:color w:val="auto"/>
          <w:highlight w:val="none"/>
        </w:rPr>
      </w:pPr>
      <w:r>
        <w:rPr>
          <w:rFonts w:hint="eastAsia"/>
          <w:color w:val="auto"/>
          <w:highlight w:val="none"/>
        </w:rPr>
        <w:t>包人督促供应商按要求及时、保质、足量交货→发包人督促供应商于甲供材系统及时确认到货→发包人督促并配合甲供材单位完成线上四方验收→发包人于甲供材系统发起付款流程</w:t>
      </w:r>
      <w:bookmarkEnd w:id="299"/>
      <w:r>
        <w:rPr>
          <w:rFonts w:hint="eastAsia"/>
          <w:color w:val="auto"/>
          <w:highlight w:val="none"/>
        </w:rPr>
        <w:t>。</w:t>
      </w:r>
    </w:p>
    <w:bookmarkEnd w:id="300"/>
    <w:p w14:paraId="023E9D46">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rFonts w:cs="Arial"/>
          <w:color w:val="auto"/>
          <w:highlight w:val="none"/>
        </w:rPr>
      </w:pPr>
      <w:r>
        <w:rPr>
          <w:rFonts w:hint="eastAsia" w:cs="Arial"/>
          <w:color w:val="auto"/>
          <w:highlight w:val="none"/>
        </w:rPr>
        <w:t>甲供</w:t>
      </w:r>
      <w:r>
        <w:rPr>
          <w:rFonts w:hint="eastAsia"/>
          <w:color w:val="auto"/>
          <w:highlight w:val="none"/>
        </w:rPr>
        <w:t>物资</w:t>
      </w:r>
      <w:r>
        <w:rPr>
          <w:rFonts w:hint="eastAsia" w:cs="Arial"/>
          <w:color w:val="auto"/>
          <w:highlight w:val="none"/>
        </w:rPr>
        <w:t>采购供应计划编制与排产</w:t>
      </w:r>
      <w:bookmarkEnd w:id="301"/>
      <w:bookmarkEnd w:id="302"/>
      <w:bookmarkEnd w:id="303"/>
      <w:bookmarkEnd w:id="304"/>
      <w:bookmarkEnd w:id="305"/>
      <w:bookmarkEnd w:id="306"/>
      <w:r>
        <w:rPr>
          <w:rFonts w:cs="Arial"/>
          <w:color w:val="auto"/>
          <w:highlight w:val="none"/>
        </w:rPr>
        <w:tab/>
      </w:r>
    </w:p>
    <w:p w14:paraId="7F164656">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依据合同约定，根据已审批的工程总施工进度计划，考虑招标、排产、加工、运输、验收等因素，提前编制《甲供材料设备进场计划》报发包人，并对数量和规格的准确性负责。</w:t>
      </w:r>
    </w:p>
    <w:p w14:paraId="71F8462D">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发包人根据每种甲供物资现场使用时间及各自的制造周期，适时向供应商发出《甲供材料设备要货订单》。</w:t>
      </w:r>
    </w:p>
    <w:p w14:paraId="370100E1">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发包人根据每种甲供物资现场使用时间及合同约定的供货周期，适时于甲供材系统向供应商发起《甲供材料要货订单》</w:t>
      </w:r>
    </w:p>
    <w:p w14:paraId="39CF156C">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首批甲供物资到场：发包人在接到通知后组织监理人、</w:t>
      </w:r>
      <w:r>
        <w:rPr>
          <w:rFonts w:hint="eastAsia"/>
          <w:color w:val="auto"/>
          <w:highlight w:val="none"/>
          <w:lang w:eastAsia="zh-CN"/>
        </w:rPr>
        <w:t>专业承包人</w:t>
      </w:r>
      <w:r>
        <w:rPr>
          <w:rFonts w:hint="eastAsia"/>
          <w:color w:val="auto"/>
          <w:highlight w:val="none"/>
        </w:rPr>
        <w:t>等参与到货验收。</w:t>
      </w:r>
      <w:r>
        <w:rPr>
          <w:rFonts w:hint="eastAsia"/>
          <w:color w:val="auto"/>
          <w:highlight w:val="none"/>
          <w:lang w:eastAsia="zh-CN"/>
        </w:rPr>
        <w:t>专业承包人</w:t>
      </w:r>
      <w:r>
        <w:rPr>
          <w:rFonts w:hint="eastAsia"/>
          <w:color w:val="auto"/>
          <w:highlight w:val="none"/>
        </w:rPr>
        <w:t>填报《工程材料、构配件、设备报审表》，并报监理人。</w:t>
      </w:r>
    </w:p>
    <w:p w14:paraId="38EFA964">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以后批次物资进场：由监理人组织供货商、</w:t>
      </w:r>
      <w:r>
        <w:rPr>
          <w:rFonts w:hint="eastAsia"/>
          <w:color w:val="auto"/>
          <w:highlight w:val="none"/>
          <w:lang w:eastAsia="zh-CN"/>
        </w:rPr>
        <w:t>专业承包人</w:t>
      </w:r>
      <w:r>
        <w:rPr>
          <w:rFonts w:hint="eastAsia"/>
          <w:color w:val="auto"/>
          <w:highlight w:val="none"/>
        </w:rPr>
        <w:t>、发包人等相关单位共同验收。</w:t>
      </w:r>
    </w:p>
    <w:p w14:paraId="56C1DB5E">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bookmarkStart w:id="307" w:name="_Hlk168668669"/>
      <w:r>
        <w:rPr>
          <w:rFonts w:hint="eastAsia"/>
          <w:color w:val="auto"/>
          <w:highlight w:val="none"/>
        </w:rPr>
        <w:t>参加验收人员应按供货合同、供货样板及《甲供材料要货订单》的订单信息，对到货物料的数量、外观、包装、质量等进行现场验收。</w:t>
      </w:r>
    </w:p>
    <w:bookmarkEnd w:id="307"/>
    <w:p w14:paraId="39B6A35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各方检查验收结束后，应于货到现场</w:t>
      </w:r>
      <w:r>
        <w:rPr>
          <w:color w:val="auto"/>
          <w:highlight w:val="none"/>
        </w:rPr>
        <w:t>24</w:t>
      </w:r>
      <w:r>
        <w:rPr>
          <w:rFonts w:hint="eastAsia"/>
          <w:color w:val="auto"/>
          <w:highlight w:val="none"/>
        </w:rPr>
        <w:t>小时内于甲供材管理系统上签署验收单，各方签字确认并注明意见及日期，有不合格物资需退场的应注明。</w:t>
      </w:r>
    </w:p>
    <w:p w14:paraId="38722757">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若甲供物资需现场见证送检的，由监理人见证取样，由相关施工安装单位送检，检验所需费用按合同有关规定执行，检验所需时间应纳入计划。</w:t>
      </w:r>
    </w:p>
    <w:p w14:paraId="7ADBD81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对在设备工厂内做定型试验的大型设备（如制冷机组、空调机组、新风机组、水泵、冷却塔、高低压配电柜等），必要时，发包人组织相关部门（</w:t>
      </w:r>
      <w:r>
        <w:rPr>
          <w:rFonts w:hint="eastAsia"/>
          <w:color w:val="auto"/>
          <w:highlight w:val="none"/>
          <w:lang w:eastAsia="zh-CN"/>
        </w:rPr>
        <w:t>专业承包人</w:t>
      </w:r>
      <w:r>
        <w:rPr>
          <w:rFonts w:hint="eastAsia"/>
          <w:color w:val="auto"/>
          <w:highlight w:val="none"/>
        </w:rPr>
        <w:t>及监理人）到工厂进行监督及设备试验参数的采集。</w:t>
      </w:r>
    </w:p>
    <w:p w14:paraId="5C129BB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对重要物资，必要时，发包人组织监理人、</w:t>
      </w:r>
      <w:r>
        <w:rPr>
          <w:rFonts w:hint="eastAsia"/>
          <w:color w:val="auto"/>
          <w:highlight w:val="none"/>
          <w:lang w:eastAsia="zh-CN"/>
        </w:rPr>
        <w:t>专业承包人</w:t>
      </w:r>
      <w:r>
        <w:rPr>
          <w:rFonts w:hint="eastAsia"/>
          <w:color w:val="auto"/>
          <w:highlight w:val="none"/>
        </w:rPr>
        <w:t>及</w:t>
      </w:r>
      <w:r>
        <w:rPr>
          <w:rFonts w:hint="eastAsia"/>
          <w:color w:val="auto"/>
          <w:highlight w:val="none"/>
          <w:lang w:val="en-US" w:eastAsia="zh-CN"/>
        </w:rPr>
        <w:t>其他</w:t>
      </w:r>
      <w:r>
        <w:rPr>
          <w:rFonts w:hint="eastAsia"/>
          <w:color w:val="auto"/>
          <w:highlight w:val="none"/>
          <w:lang w:eastAsia="zh-CN"/>
        </w:rPr>
        <w:t>专业承包人</w:t>
      </w:r>
      <w:r>
        <w:rPr>
          <w:rFonts w:hint="eastAsia"/>
          <w:color w:val="auto"/>
          <w:highlight w:val="none"/>
        </w:rPr>
        <w:t>相关人员到工厂进行驻场监造，费用由各自单位承担。</w:t>
      </w:r>
    </w:p>
    <w:p w14:paraId="7640CAF2">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应根据甲供材管理系统上签署的验收单登记《甲供材料设备验收入库台帐》，每月统计一次报送发包人。</w:t>
      </w:r>
    </w:p>
    <w:p w14:paraId="0C4CDBF8">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所有发包人采购供应的物资由供应商运送到施工工地现场并卸货至发包人指定地点（汽车可到达区域）。到场后，由相应安装单位负责上述材料设备的二次运输和搬运、接收、验收、保管等管理工作。若因接收单位管理不当造成的损失，接收单位负责补偿。</w:t>
      </w:r>
    </w:p>
    <w:bookmarkEnd w:id="296"/>
    <w:bookmarkEnd w:id="297"/>
    <w:bookmarkEnd w:id="298"/>
    <w:p w14:paraId="63F028A9">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308" w:name="_Toc24101"/>
      <w:bookmarkStart w:id="309" w:name="_Toc185"/>
      <w:bookmarkStart w:id="310" w:name="_Toc27384"/>
      <w:bookmarkStart w:id="311" w:name="_Toc17563"/>
      <w:bookmarkStart w:id="312" w:name="_Toc6112"/>
      <w:bookmarkStart w:id="313" w:name="_Toc22876"/>
      <w:bookmarkStart w:id="314" w:name="_Toc14084"/>
      <w:bookmarkStart w:id="315" w:name="_Toc169722219"/>
      <w:bookmarkStart w:id="316" w:name="_Toc983"/>
      <w:bookmarkStart w:id="317" w:name="_Toc1003"/>
      <w:bookmarkStart w:id="318" w:name="_Toc31479"/>
      <w:bookmarkStart w:id="319" w:name="_Toc21301"/>
      <w:bookmarkStart w:id="320" w:name="_Toc3704"/>
      <w:r>
        <w:rPr>
          <w:rFonts w:hint="eastAsia"/>
          <w:color w:val="auto"/>
          <w:highlight w:val="none"/>
        </w:rPr>
        <w:t>乙</w:t>
      </w:r>
      <w:r>
        <w:rPr>
          <w:color w:val="auto"/>
          <w:highlight w:val="none"/>
        </w:rPr>
        <w:t>供</w:t>
      </w:r>
      <w:r>
        <w:rPr>
          <w:rFonts w:hint="eastAsia"/>
          <w:color w:val="auto"/>
          <w:highlight w:val="none"/>
        </w:rPr>
        <w:t>物资</w:t>
      </w:r>
      <w:r>
        <w:rPr>
          <w:color w:val="auto"/>
          <w:highlight w:val="none"/>
        </w:rPr>
        <w:t>管理要求</w:t>
      </w:r>
      <w:bookmarkEnd w:id="308"/>
      <w:bookmarkEnd w:id="309"/>
      <w:bookmarkEnd w:id="310"/>
      <w:bookmarkEnd w:id="311"/>
      <w:bookmarkEnd w:id="312"/>
      <w:bookmarkEnd w:id="313"/>
      <w:bookmarkEnd w:id="314"/>
      <w:bookmarkEnd w:id="315"/>
      <w:bookmarkEnd w:id="316"/>
      <w:bookmarkEnd w:id="317"/>
      <w:bookmarkEnd w:id="318"/>
      <w:bookmarkEnd w:id="319"/>
      <w:bookmarkEnd w:id="320"/>
    </w:p>
    <w:p w14:paraId="004C4AA7">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bookmarkStart w:id="321" w:name="_Toc436410804"/>
      <w:bookmarkStart w:id="322" w:name="_Toc328755019"/>
      <w:bookmarkStart w:id="323" w:name="_Toc329131562"/>
      <w:bookmarkStart w:id="324" w:name="_Toc437937245"/>
      <w:bookmarkStart w:id="325" w:name="_Toc406435937"/>
      <w:bookmarkStart w:id="326" w:name="_Toc436410971"/>
      <w:bookmarkStart w:id="327" w:name="_Toc491332899"/>
      <w:bookmarkStart w:id="328" w:name="_Toc491089032"/>
      <w:bookmarkStart w:id="329" w:name="_Toc491453747"/>
      <w:bookmarkStart w:id="330" w:name="_Toc490829813"/>
      <w:r>
        <w:rPr>
          <w:rFonts w:hint="eastAsia"/>
          <w:color w:val="auto"/>
          <w:highlight w:val="none"/>
        </w:rPr>
        <w:t>乙供物资分类</w:t>
      </w:r>
      <w:bookmarkEnd w:id="321"/>
      <w:bookmarkEnd w:id="322"/>
      <w:bookmarkEnd w:id="323"/>
      <w:bookmarkEnd w:id="324"/>
      <w:bookmarkEnd w:id="325"/>
      <w:bookmarkEnd w:id="326"/>
    </w:p>
    <w:p w14:paraId="1E2D252B">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乙方供应：</w:t>
      </w:r>
      <w:r>
        <w:rPr>
          <w:rFonts w:hint="eastAsia"/>
          <w:color w:val="auto"/>
          <w:highlight w:val="none"/>
          <w:lang w:eastAsia="zh-CN"/>
        </w:rPr>
        <w:t>材料设备品牌选择范围应等同或相当于《主要设备材料推荐品牌表》，并按看样定板制度里的申报附件要求提供资料，并经监理人审议后确定</w:t>
      </w:r>
      <w:r>
        <w:rPr>
          <w:rFonts w:hint="eastAsia"/>
          <w:color w:val="auto"/>
          <w:highlight w:val="none"/>
        </w:rPr>
        <w:t>，</w:t>
      </w:r>
      <w:r>
        <w:rPr>
          <w:rFonts w:hint="eastAsia"/>
          <w:color w:val="auto"/>
          <w:highlight w:val="none"/>
          <w:lang w:eastAsia="zh-CN"/>
        </w:rPr>
        <w:t>专业承包人</w:t>
      </w:r>
      <w:r>
        <w:rPr>
          <w:rFonts w:hint="eastAsia"/>
          <w:color w:val="auto"/>
          <w:highlight w:val="none"/>
        </w:rPr>
        <w:t>自行与供应商签订合同并付款。</w:t>
      </w:r>
    </w:p>
    <w:p w14:paraId="34D0E805">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bookmarkStart w:id="331" w:name="_Toc29009"/>
      <w:bookmarkStart w:id="332" w:name="_Toc436410972"/>
      <w:bookmarkStart w:id="333" w:name="_Toc329131563"/>
      <w:bookmarkStart w:id="334" w:name="_Toc328755020"/>
      <w:bookmarkStart w:id="335" w:name="_Toc436410805"/>
      <w:bookmarkStart w:id="336" w:name="_Toc406435938"/>
      <w:bookmarkStart w:id="337" w:name="_Toc437937246"/>
      <w:r>
        <w:rPr>
          <w:rFonts w:hint="eastAsia"/>
          <w:color w:val="auto"/>
          <w:highlight w:val="none"/>
        </w:rPr>
        <w:t>乙供物资</w:t>
      </w:r>
      <w:r>
        <w:rPr>
          <w:rFonts w:hint="eastAsia"/>
          <w:color w:val="auto"/>
          <w:highlight w:val="none"/>
          <w:lang w:eastAsia="zh-CN"/>
        </w:rPr>
        <w:t>计划管理</w:t>
      </w:r>
      <w:bookmarkEnd w:id="331"/>
    </w:p>
    <w:p w14:paraId="05D7E16D">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r>
        <w:rPr>
          <w:rFonts w:hint="eastAsia"/>
          <w:color w:val="auto"/>
          <w:highlight w:val="none"/>
          <w:lang w:eastAsia="zh-CN"/>
        </w:rPr>
        <w:t>专业承包人进场后应根据设计图纸及施工进度计划制定主要材料设备采购计划，及时签订采购合同（签订供货合同的时间必须至少比第一批货物计划进场的时间提前两个月+备货期），影响工程造价较大的大批量材料设备，专业承包人必须提前定制或锁定价格，否则由此引起的工期调整或价格调整，发包人有权不予批准。其中：</w:t>
      </w:r>
    </w:p>
    <w:p w14:paraId="71DFC8E0">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主要材料设备采购计划需报监理单位审核，审核合格后报发包人备案，并作为第一期工程进度款的支付条件之一；</w:t>
      </w:r>
    </w:p>
    <w:p w14:paraId="6ED122CF">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主要材料设备的采购合同必须报发包人备案（具体需要备案的材料设备采购合同种类由发包人根据项目实际需要确定），作为涉及相应材料设备的中间计量进度款的支付条件之一。</w:t>
      </w:r>
    </w:p>
    <w:p w14:paraId="314BDBFA">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bookmarkStart w:id="338" w:name="_Toc4922"/>
      <w:r>
        <w:rPr>
          <w:rFonts w:hint="eastAsia"/>
          <w:color w:val="auto"/>
          <w:highlight w:val="none"/>
        </w:rPr>
        <w:t>乙供物资</w:t>
      </w:r>
      <w:r>
        <w:rPr>
          <w:rFonts w:hint="eastAsia"/>
          <w:color w:val="auto"/>
          <w:highlight w:val="none"/>
          <w:lang w:eastAsia="zh-CN"/>
        </w:rPr>
        <w:t>采购管理</w:t>
      </w:r>
      <w:bookmarkEnd w:id="338"/>
    </w:p>
    <w:p w14:paraId="51D88557">
      <w:pPr>
        <w:keepNext w:val="0"/>
        <w:keepLines w:val="0"/>
        <w:pageBreakBefore w:val="0"/>
        <w:widowControl w:val="0"/>
        <w:kinsoku/>
        <w:wordWrap/>
        <w:overflowPunct/>
        <w:topLinePunct w:val="0"/>
        <w:autoSpaceDE/>
        <w:autoSpaceDN/>
        <w:bidi w:val="0"/>
        <w:adjustRightInd/>
        <w:snapToGrid w:val="0"/>
        <w:spacing w:before="120" w:beforeLines="50" w:after="120" w:afterLines="50"/>
        <w:ind w:left="0" w:leftChars="0" w:firstLine="480" w:firstLineChars="200"/>
        <w:jc w:val="both"/>
        <w:textAlignment w:val="auto"/>
        <w:rPr>
          <w:rFonts w:hint="eastAsia"/>
          <w:color w:val="auto"/>
          <w:highlight w:val="none"/>
          <w:lang w:eastAsia="zh-CN"/>
        </w:rPr>
      </w:pPr>
      <w:r>
        <w:rPr>
          <w:rFonts w:hint="eastAsia"/>
          <w:color w:val="auto"/>
          <w:highlight w:val="none"/>
          <w:lang w:eastAsia="zh-CN"/>
        </w:rPr>
        <w:t>专业承包人必须确保在满足或优于招标文件（包括招标文件各专业主要设备材料技术参数）、招标图纸和相关规范要求的条件下采购主要材料设备。甲方保留对材料设备进行集中采购的权利，乙方须无条件配合。其中：</w:t>
      </w:r>
    </w:p>
    <w:p w14:paraId="7734F62B">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r>
        <w:rPr>
          <w:rFonts w:hint="eastAsia"/>
          <w:color w:val="auto"/>
          <w:highlight w:val="none"/>
          <w:lang w:eastAsia="zh-CN"/>
        </w:rPr>
        <w:t>招标文件有推荐品牌范围的主要材料设备，</w:t>
      </w:r>
      <w:r>
        <w:rPr>
          <w:rFonts w:hint="eastAsia"/>
          <w:color w:val="auto"/>
          <w:highlight w:val="none"/>
          <w:lang w:val="en-US" w:eastAsia="zh-CN"/>
        </w:rPr>
        <w:t>推荐专业承包人在</w:t>
      </w:r>
      <w:r>
        <w:rPr>
          <w:rFonts w:hint="eastAsia"/>
          <w:color w:val="auto"/>
          <w:highlight w:val="none"/>
          <w:lang w:eastAsia="zh-CN"/>
        </w:rPr>
        <w:t>推荐品牌范围内选用（具体见《主要设备材料推荐品牌表》）。</w:t>
      </w:r>
    </w:p>
    <w:p w14:paraId="362F59B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r>
        <w:rPr>
          <w:rFonts w:hint="eastAsia"/>
          <w:color w:val="auto"/>
          <w:highlight w:val="none"/>
          <w:lang w:eastAsia="zh-CN"/>
        </w:rPr>
        <w:t>若专业承包人选用同等或优于推荐品牌的，在采购前必须经发包人审批同意，否则，视为专业承包人自行更换品牌，按招标文件和合同规定承担违约责任。</w:t>
      </w:r>
    </w:p>
    <w:p w14:paraId="39F23293">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r>
        <w:rPr>
          <w:rFonts w:hint="eastAsia"/>
          <w:color w:val="auto"/>
          <w:highlight w:val="none"/>
          <w:lang w:eastAsia="zh-CN"/>
        </w:rPr>
        <w:t>不在推荐品牌范围的主要材料设备，专业承包人按中国名牌、国家免检产品、省知名品牌的顺序选定，同时须严格按照发包人看样定板的相关规定执行。</w:t>
      </w:r>
    </w:p>
    <w:p w14:paraId="242D3688">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r>
        <w:rPr>
          <w:rFonts w:hint="eastAsia"/>
          <w:color w:val="auto"/>
          <w:highlight w:val="none"/>
          <w:lang w:eastAsia="zh-CN"/>
        </w:rPr>
        <w:t>本项目主要设备材料品牌/生产厂家推荐表，详见合同《主要设备材料推荐品牌表》。</w:t>
      </w:r>
    </w:p>
    <w:p w14:paraId="7EDE5E09">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bookmarkStart w:id="339" w:name="_Toc19132"/>
      <w:r>
        <w:rPr>
          <w:rFonts w:hint="eastAsia"/>
          <w:color w:val="auto"/>
          <w:highlight w:val="none"/>
          <w:lang w:val="en-US" w:eastAsia="zh-CN"/>
        </w:rPr>
        <w:t>乙供物资</w:t>
      </w:r>
      <w:r>
        <w:rPr>
          <w:rFonts w:hint="eastAsia"/>
          <w:color w:val="auto"/>
          <w:highlight w:val="none"/>
          <w:lang w:eastAsia="zh-CN"/>
        </w:rPr>
        <w:t>检验、试验管理</w:t>
      </w:r>
      <w:bookmarkEnd w:id="339"/>
    </w:p>
    <w:p w14:paraId="35B79412">
      <w:pPr>
        <w:keepNext w:val="0"/>
        <w:keepLines w:val="0"/>
        <w:pageBreakBefore w:val="0"/>
        <w:widowControl w:val="0"/>
        <w:kinsoku/>
        <w:wordWrap/>
        <w:overflowPunct/>
        <w:topLinePunct w:val="0"/>
        <w:autoSpaceDE/>
        <w:autoSpaceDN/>
        <w:bidi w:val="0"/>
        <w:adjustRightInd/>
        <w:snapToGrid w:val="0"/>
        <w:spacing w:before="0" w:beforeLines="-2147483648" w:after="0" w:afterLines="-2147483648"/>
        <w:ind w:left="0" w:leftChars="0" w:firstLine="480" w:firstLineChars="200"/>
        <w:jc w:val="left"/>
        <w:textAlignment w:val="auto"/>
        <w:rPr>
          <w:color w:val="auto"/>
          <w:highlight w:val="none"/>
          <w:lang w:eastAsia="zh-CN"/>
        </w:rPr>
      </w:pPr>
      <w:r>
        <w:rPr>
          <w:rFonts w:hint="eastAsia"/>
          <w:color w:val="auto"/>
          <w:highlight w:val="none"/>
          <w:lang w:eastAsia="zh-CN"/>
        </w:rPr>
        <w:t>无论发包人是否推荐品牌范围，所有用于本工程的材料设备必须严格按合同条款的约定进行检验、试验，确保材料设备质量。材料进场批次要与见证取样检测批次一致，否则，多出批次的检测费由专业承包人承担。</w:t>
      </w:r>
    </w:p>
    <w:p w14:paraId="5BF717CE">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bookmarkStart w:id="340" w:name="_Toc2801"/>
      <w:r>
        <w:rPr>
          <w:rFonts w:hint="eastAsia"/>
          <w:color w:val="auto"/>
          <w:highlight w:val="none"/>
          <w:lang w:eastAsia="zh-CN"/>
        </w:rPr>
        <w:t>乙供材料设备看样定板管理</w:t>
      </w:r>
      <w:bookmarkEnd w:id="340"/>
    </w:p>
    <w:p w14:paraId="7B76C732">
      <w:pPr>
        <w:keepNext w:val="0"/>
        <w:keepLines w:val="0"/>
        <w:pageBreakBefore w:val="0"/>
        <w:widowControl w:val="0"/>
        <w:kinsoku/>
        <w:wordWrap/>
        <w:overflowPunct/>
        <w:topLinePunct w:val="0"/>
        <w:autoSpaceDE/>
        <w:autoSpaceDN/>
        <w:bidi w:val="0"/>
        <w:adjustRightInd/>
        <w:snapToGrid w:val="0"/>
        <w:spacing w:before="0" w:beforeLines="-2147483648" w:after="0" w:afterLines="-2147483648"/>
        <w:ind w:left="0" w:leftChars="0" w:firstLine="480" w:firstLineChars="200"/>
        <w:jc w:val="left"/>
        <w:textAlignment w:val="auto"/>
        <w:rPr>
          <w:color w:val="auto"/>
          <w:highlight w:val="none"/>
          <w:lang w:eastAsia="zh-CN"/>
        </w:rPr>
      </w:pPr>
      <w:r>
        <w:rPr>
          <w:rFonts w:hint="eastAsia"/>
          <w:color w:val="auto"/>
          <w:highlight w:val="none"/>
          <w:lang w:eastAsia="zh-CN"/>
        </w:rPr>
        <w:t>为加强本工程所使用的乙供材料设备的质量管理，确保专业承包人所选购的材料设备的质量、技术性能、款式、效果等方面满足设计和使用需求，所有主要材料设备在看样定板之前，发包人、使用业主、监理单位、设计单位有权对乙供材料设备厂家的生产能力、制造水平、生产工艺等方面进行综合考察评估，考核评估合格的方能采购。如经综合考察评估不合格，发包人有权在《主要设备材料推荐品牌表》中选择其他满足规定的材料厂家及品牌，经考核评估合格后予以选用，合同价款不作调整。</w:t>
      </w:r>
    </w:p>
    <w:p w14:paraId="1304A842">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bookmarkStart w:id="341" w:name="_Toc6871"/>
      <w:r>
        <w:rPr>
          <w:rFonts w:hint="eastAsia"/>
          <w:color w:val="auto"/>
          <w:highlight w:val="none"/>
          <w:lang w:eastAsia="zh-CN"/>
        </w:rPr>
        <w:t>乙供材料设备供应商管理</w:t>
      </w:r>
      <w:bookmarkEnd w:id="341"/>
    </w:p>
    <w:p w14:paraId="4F47C7A8">
      <w:pPr>
        <w:keepNext w:val="0"/>
        <w:keepLines w:val="0"/>
        <w:pageBreakBefore w:val="0"/>
        <w:widowControl w:val="0"/>
        <w:kinsoku/>
        <w:wordWrap/>
        <w:overflowPunct/>
        <w:topLinePunct w:val="0"/>
        <w:autoSpaceDE/>
        <w:autoSpaceDN/>
        <w:bidi w:val="0"/>
        <w:adjustRightInd/>
        <w:snapToGrid w:val="0"/>
        <w:spacing w:before="0" w:beforeLines="-2147483648" w:after="0" w:afterLines="-2147483648"/>
        <w:ind w:left="0" w:leftChars="0" w:firstLine="480" w:firstLineChars="200"/>
        <w:jc w:val="left"/>
        <w:textAlignment w:val="auto"/>
        <w:rPr>
          <w:color w:val="auto"/>
          <w:highlight w:val="none"/>
          <w:lang w:eastAsia="zh-CN"/>
        </w:rPr>
      </w:pPr>
      <w:r>
        <w:rPr>
          <w:rFonts w:hint="eastAsia"/>
          <w:color w:val="auto"/>
          <w:highlight w:val="none"/>
          <w:lang w:eastAsia="zh-CN"/>
        </w:rPr>
        <w:t>专业承包人应在确定主要乙供材料设备供应商的7个工作日内，将供应商的清单明细（包括供应商的名称、联系人、联系电话、联系地址等）报监理单位和发包人备案。供应商须服从监理单位和发包人的管理，并按要求参加相关工作例会。</w:t>
      </w:r>
    </w:p>
    <w:p w14:paraId="75D4FB23">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bookmarkStart w:id="342" w:name="_Toc11145"/>
      <w:r>
        <w:rPr>
          <w:rFonts w:hint="eastAsia"/>
          <w:color w:val="auto"/>
          <w:highlight w:val="none"/>
          <w:lang w:eastAsia="zh-CN"/>
        </w:rPr>
        <w:t>材料设备专用于本工程</w:t>
      </w:r>
      <w:bookmarkEnd w:id="342"/>
    </w:p>
    <w:p w14:paraId="79DC115A">
      <w:pPr>
        <w:keepNext w:val="0"/>
        <w:keepLines w:val="0"/>
        <w:pageBreakBefore w:val="0"/>
        <w:widowControl w:val="0"/>
        <w:kinsoku/>
        <w:wordWrap/>
        <w:overflowPunct/>
        <w:topLinePunct w:val="0"/>
        <w:autoSpaceDE/>
        <w:autoSpaceDN/>
        <w:bidi w:val="0"/>
        <w:adjustRightInd/>
        <w:snapToGrid w:val="0"/>
        <w:spacing w:before="0" w:beforeLines="-2147483648" w:after="0" w:afterLines="-2147483648"/>
        <w:ind w:left="0" w:leftChars="0" w:firstLine="480" w:firstLineChars="200"/>
        <w:jc w:val="left"/>
        <w:textAlignment w:val="auto"/>
        <w:rPr>
          <w:color w:val="auto"/>
          <w:highlight w:val="none"/>
          <w:lang w:eastAsia="zh-CN"/>
        </w:rPr>
      </w:pPr>
      <w:r>
        <w:rPr>
          <w:rFonts w:hint="eastAsia"/>
          <w:color w:val="auto"/>
          <w:highlight w:val="none"/>
          <w:lang w:eastAsia="zh-CN"/>
        </w:rPr>
        <w:t>专业承包人运入施工现场的材料、工程设备、施工设备以及在施工场地建设的临时设施，包括备品备件、安装工具与资料，必须专用于工程。未经发包人批准不得运出施工现场或挪作他用。</w:t>
      </w:r>
    </w:p>
    <w:bookmarkEnd w:id="327"/>
    <w:bookmarkEnd w:id="328"/>
    <w:bookmarkEnd w:id="329"/>
    <w:bookmarkEnd w:id="330"/>
    <w:bookmarkEnd w:id="332"/>
    <w:bookmarkEnd w:id="333"/>
    <w:bookmarkEnd w:id="334"/>
    <w:bookmarkEnd w:id="335"/>
    <w:bookmarkEnd w:id="336"/>
    <w:bookmarkEnd w:id="337"/>
    <w:p w14:paraId="339BEB27">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343" w:name="_Toc520245252"/>
      <w:bookmarkEnd w:id="343"/>
      <w:bookmarkStart w:id="344" w:name="_Toc520244624"/>
      <w:bookmarkEnd w:id="344"/>
      <w:bookmarkStart w:id="345" w:name="_Toc490829814"/>
      <w:bookmarkStart w:id="346" w:name="_Toc11607"/>
      <w:bookmarkStart w:id="347" w:name="_Toc31472"/>
      <w:bookmarkStart w:id="348" w:name="_Toc32477"/>
      <w:bookmarkStart w:id="349" w:name="_Toc169722221"/>
      <w:bookmarkStart w:id="350" w:name="_Toc18710"/>
      <w:bookmarkStart w:id="351" w:name="_Toc23641"/>
      <w:bookmarkStart w:id="352" w:name="_Toc491089033"/>
      <w:bookmarkStart w:id="353" w:name="_Toc491332900"/>
      <w:bookmarkStart w:id="354" w:name="_Toc15766"/>
      <w:bookmarkStart w:id="355" w:name="_Toc6533"/>
      <w:bookmarkStart w:id="356" w:name="_Toc21722"/>
      <w:bookmarkStart w:id="357" w:name="_Toc16579"/>
      <w:bookmarkStart w:id="358" w:name="_Toc31524"/>
      <w:bookmarkStart w:id="359" w:name="_Toc491453748"/>
      <w:bookmarkStart w:id="360" w:name="_Toc1041"/>
      <w:bookmarkStart w:id="361" w:name="_Toc2009"/>
      <w:r>
        <w:rPr>
          <w:color w:val="auto"/>
          <w:highlight w:val="none"/>
        </w:rPr>
        <w:t>劳务队伍</w:t>
      </w:r>
      <w:r>
        <w:rPr>
          <w:rFonts w:hint="eastAsia"/>
          <w:color w:val="auto"/>
          <w:highlight w:val="none"/>
        </w:rPr>
        <w:t>选择</w:t>
      </w:r>
      <w:r>
        <w:rPr>
          <w:color w:val="auto"/>
          <w:highlight w:val="none"/>
        </w:rPr>
        <w:t>要求</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1D1AEBEE">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bookmarkStart w:id="362" w:name="_Toc32722"/>
      <w:bookmarkStart w:id="363" w:name="_Toc169722222"/>
      <w:bookmarkStart w:id="364" w:name="_Toc264"/>
      <w:bookmarkStart w:id="365" w:name="_Toc19201"/>
      <w:bookmarkStart w:id="366" w:name="_Toc9323"/>
      <w:bookmarkStart w:id="367" w:name="_Toc21904"/>
      <w:bookmarkStart w:id="368" w:name="_Toc490829815"/>
      <w:bookmarkStart w:id="369" w:name="_Toc22983"/>
      <w:bookmarkStart w:id="370" w:name="_Toc491332901"/>
      <w:bookmarkStart w:id="371" w:name="_Toc491089034"/>
      <w:bookmarkStart w:id="372" w:name="_Toc3138"/>
      <w:bookmarkStart w:id="373" w:name="_Toc7875"/>
      <w:bookmarkStart w:id="374" w:name="_Toc19297"/>
      <w:bookmarkStart w:id="375" w:name="_Toc5548"/>
      <w:bookmarkStart w:id="376" w:name="_Toc491453749"/>
      <w:r>
        <w:rPr>
          <w:rFonts w:hint="eastAsia"/>
          <w:color w:val="auto"/>
          <w:highlight w:val="none"/>
        </w:rPr>
        <w:t>劳务分包的选定</w:t>
      </w:r>
    </w:p>
    <w:p w14:paraId="4B140CA0">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具有劳务分包资质，不存在被停止招投标、安全生产许可证被暂扣或吊销等情况。已完成在项目所在地备案手续。</w:t>
      </w:r>
    </w:p>
    <w:p w14:paraId="0FF40E2D">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具备与招标项目类似的项目工程经验。</w:t>
      </w:r>
    </w:p>
    <w:p w14:paraId="7E47D01F">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近3年内无劳务纠纷、群众事件、集体上访事件。</w:t>
      </w:r>
    </w:p>
    <w:p w14:paraId="347864B0">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不得使用建筑行业信用警戒提示企业名单、个人名单内的劳务企业及施工队长。</w:t>
      </w:r>
    </w:p>
    <w:p w14:paraId="0456E3D7">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劳务分包需经过发包人及监理人的考察，通过后方可进场。</w:t>
      </w:r>
    </w:p>
    <w:p w14:paraId="5ADFA792">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劳务分包的管理要求</w:t>
      </w:r>
    </w:p>
    <w:p w14:paraId="69F5A855">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劳务分包的组织机构健全，有完整的管理体系。</w:t>
      </w:r>
    </w:p>
    <w:p w14:paraId="2006ADC2">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劳务分包的项目人员架构齐全，并有相应的资格证书。</w:t>
      </w:r>
    </w:p>
    <w:p w14:paraId="3DD24D0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需要向发包人提交与劳务公司的具体承包方式及材料设备界面划分等详细信息。</w:t>
      </w:r>
    </w:p>
    <w:p w14:paraId="68C5A678">
      <w:pPr>
        <w:keepNext w:val="0"/>
        <w:keepLines w:val="0"/>
        <w:pageBreakBefore w:val="0"/>
        <w:widowControl w:val="0"/>
        <w:numPr>
          <w:ilvl w:val="0"/>
          <w:numId w:val="22"/>
        </w:numPr>
        <w:tabs>
          <w:tab w:val="left" w:pos="40"/>
        </w:tabs>
        <w:kinsoku/>
        <w:wordWrap/>
        <w:overflowPunct/>
        <w:topLinePunct w:val="0"/>
        <w:autoSpaceDE/>
        <w:autoSpaceDN/>
        <w:bidi w:val="0"/>
        <w:adjustRightInd/>
        <w:snapToGrid w:val="0"/>
        <w:ind w:left="0" w:leftChars="0" w:firstLine="480" w:firstLineChars="200"/>
        <w:jc w:val="left"/>
        <w:textAlignment w:val="auto"/>
        <w:rPr>
          <w:bCs/>
          <w:color w:val="auto"/>
          <w:highlight w:val="none"/>
        </w:rPr>
      </w:pPr>
      <w:r>
        <w:rPr>
          <w:rFonts w:hint="eastAsia"/>
          <w:bCs/>
          <w:color w:val="auto"/>
          <w:highlight w:val="none"/>
        </w:rPr>
        <w:t>劳务分包的机器设备、工具应在总</w:t>
      </w:r>
      <w:r>
        <w:rPr>
          <w:rFonts w:hint="eastAsia"/>
          <w:bCs/>
          <w:color w:val="auto"/>
          <w:highlight w:val="none"/>
          <w:lang w:eastAsia="zh-CN"/>
        </w:rPr>
        <w:t>承包人</w:t>
      </w:r>
      <w:r>
        <w:rPr>
          <w:rFonts w:hint="eastAsia"/>
          <w:bCs/>
          <w:color w:val="auto"/>
          <w:highlight w:val="none"/>
        </w:rPr>
        <w:t>的指导和检查下使用，统一管理。</w:t>
      </w:r>
    </w:p>
    <w:p w14:paraId="142525D8">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377" w:name="_Toc15699"/>
      <w:bookmarkStart w:id="378" w:name="_Toc4863"/>
      <w:r>
        <w:rPr>
          <w:rFonts w:hint="eastAsia"/>
          <w:color w:val="auto"/>
          <w:highlight w:val="none"/>
          <w:lang w:val="en-US" w:eastAsia="zh-CN"/>
        </w:rPr>
        <w:t>竣工</w:t>
      </w:r>
      <w:r>
        <w:rPr>
          <w:rFonts w:hint="eastAsia"/>
          <w:color w:val="auto"/>
          <w:highlight w:val="none"/>
        </w:rPr>
        <w:t>验收及移交要求</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782BFF2E">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bookmarkStart w:id="379" w:name="_Toc385333225"/>
      <w:r>
        <w:rPr>
          <w:rFonts w:hint="eastAsia"/>
          <w:color w:val="auto"/>
          <w:highlight w:val="none"/>
          <w:lang w:val="en-US" w:eastAsia="zh-CN"/>
        </w:rPr>
        <w:t>竣工</w:t>
      </w:r>
      <w:r>
        <w:rPr>
          <w:color w:val="auto"/>
          <w:highlight w:val="none"/>
        </w:rPr>
        <w:t>验收</w:t>
      </w:r>
      <w:bookmarkEnd w:id="379"/>
    </w:p>
    <w:p w14:paraId="21F2ACCB">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工程竣工后，由总</w:t>
      </w:r>
      <w:r>
        <w:rPr>
          <w:rFonts w:hint="eastAsia"/>
          <w:color w:val="auto"/>
          <w:highlight w:val="none"/>
          <w:lang w:eastAsia="zh-CN"/>
        </w:rPr>
        <w:t>承包人</w:t>
      </w:r>
      <w:r>
        <w:rPr>
          <w:rFonts w:hint="eastAsia"/>
          <w:color w:val="auto"/>
          <w:highlight w:val="none"/>
        </w:rPr>
        <w:t>、发包人组织验收，</w:t>
      </w:r>
      <w:r>
        <w:rPr>
          <w:rFonts w:hint="eastAsia"/>
          <w:color w:val="auto"/>
          <w:highlight w:val="none"/>
          <w:lang w:eastAsia="zh-CN"/>
        </w:rPr>
        <w:t>专业承包人</w:t>
      </w:r>
      <w:r>
        <w:rPr>
          <w:rFonts w:hint="eastAsia"/>
          <w:color w:val="auto"/>
          <w:highlight w:val="none"/>
        </w:rPr>
        <w:t>将严格按照“工程竣工图、文件编制规定”和国家档案管理的有关规定，向发包人提供完整、正确的竣工资料，包括但不限于竣工图纸资料、各类检验和检测报告、工程记录数据和维护保养手册、本项目建设期间的文字、影像资料和定点拍摄照片、隐蔽工程验收资料、材料厂家的巡场报告等；</w:t>
      </w:r>
    </w:p>
    <w:p w14:paraId="1524FD7B">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竣工后</w:t>
      </w:r>
      <w:r>
        <w:rPr>
          <w:rFonts w:hint="eastAsia"/>
          <w:color w:val="auto"/>
          <w:highlight w:val="none"/>
          <w:lang w:eastAsia="zh-CN"/>
        </w:rPr>
        <w:t>专业承包人</w:t>
      </w:r>
      <w:r>
        <w:rPr>
          <w:rFonts w:hint="eastAsia"/>
          <w:color w:val="auto"/>
          <w:highlight w:val="none"/>
        </w:rPr>
        <w:t>应提供的资料和文件：</w:t>
      </w:r>
    </w:p>
    <w:p w14:paraId="5D5DA709">
      <w:pPr>
        <w:pStyle w:val="6"/>
        <w:keepNext w:val="0"/>
        <w:keepLines w:val="0"/>
        <w:pageBreakBefore w:val="0"/>
        <w:widowControl w:val="0"/>
        <w:numPr>
          <w:ilvl w:val="0"/>
          <w:numId w:val="23"/>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设计变更通知单,包括图纸会审纪要及材料代用记录；</w:t>
      </w:r>
    </w:p>
    <w:p w14:paraId="48006BA1">
      <w:pPr>
        <w:pStyle w:val="6"/>
        <w:keepNext w:val="0"/>
        <w:keepLines w:val="0"/>
        <w:pageBreakBefore w:val="0"/>
        <w:widowControl w:val="0"/>
        <w:numPr>
          <w:ilvl w:val="0"/>
          <w:numId w:val="23"/>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原材料及半成品出厂质量合格证及抽检试样代用记录；</w:t>
      </w:r>
    </w:p>
    <w:p w14:paraId="3D8EBFB4">
      <w:pPr>
        <w:pStyle w:val="6"/>
        <w:keepNext w:val="0"/>
        <w:keepLines w:val="0"/>
        <w:pageBreakBefore w:val="0"/>
        <w:widowControl w:val="0"/>
        <w:numPr>
          <w:ilvl w:val="0"/>
          <w:numId w:val="23"/>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施工总结；</w:t>
      </w:r>
    </w:p>
    <w:p w14:paraId="1A6D124F">
      <w:pPr>
        <w:pStyle w:val="6"/>
        <w:keepNext w:val="0"/>
        <w:keepLines w:val="0"/>
        <w:pageBreakBefore w:val="0"/>
        <w:widowControl w:val="0"/>
        <w:numPr>
          <w:ilvl w:val="0"/>
          <w:numId w:val="23"/>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工程验收记录，分项、分部及单位工程质量检验评定记录，重大质量事故情况及处理记录，施工缺陷处理明细表及附图；</w:t>
      </w:r>
    </w:p>
    <w:p w14:paraId="075C6E7C">
      <w:pPr>
        <w:pStyle w:val="6"/>
        <w:keepNext w:val="0"/>
        <w:keepLines w:val="0"/>
        <w:pageBreakBefore w:val="0"/>
        <w:widowControl w:val="0"/>
        <w:numPr>
          <w:ilvl w:val="0"/>
          <w:numId w:val="23"/>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工程施工记录，工程隐蔽验收记录；</w:t>
      </w:r>
    </w:p>
    <w:p w14:paraId="77BCC2B6">
      <w:pPr>
        <w:pStyle w:val="6"/>
        <w:keepNext w:val="0"/>
        <w:keepLines w:val="0"/>
        <w:pageBreakBefore w:val="0"/>
        <w:widowControl w:val="0"/>
        <w:numPr>
          <w:ilvl w:val="0"/>
          <w:numId w:val="23"/>
        </w:numPr>
        <w:kinsoku/>
        <w:wordWrap/>
        <w:overflowPunct/>
        <w:topLinePunct w:val="0"/>
        <w:autoSpaceDE/>
        <w:autoSpaceDN/>
        <w:bidi w:val="0"/>
        <w:adjustRightInd/>
        <w:snapToGrid w:val="0"/>
        <w:ind w:left="0" w:leftChars="0" w:firstLine="480" w:firstLineChars="200"/>
        <w:textAlignment w:val="auto"/>
        <w:rPr>
          <w:color w:val="auto"/>
          <w:highlight w:val="none"/>
          <w:lang w:eastAsia="zh-CN"/>
        </w:rPr>
      </w:pPr>
      <w:r>
        <w:rPr>
          <w:rFonts w:hint="eastAsia"/>
          <w:color w:val="auto"/>
          <w:highlight w:val="none"/>
        </w:rPr>
        <w:t>工程竣工资料要求按规定准确、完整、清析并按规定分类装订成册，在竣工验收前移交给发包人；移交的竣工应一式八份，统一用A4纸尺寸。</w:t>
      </w:r>
    </w:p>
    <w:p w14:paraId="0538D8F5">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bookmarkStart w:id="380" w:name="_Toc385333226"/>
      <w:r>
        <w:rPr>
          <w:rFonts w:hint="eastAsia"/>
          <w:color w:val="auto"/>
          <w:highlight w:val="none"/>
          <w:lang w:val="en-US" w:eastAsia="zh-CN"/>
        </w:rPr>
        <w:t>开荒</w:t>
      </w:r>
      <w:r>
        <w:rPr>
          <w:rFonts w:hint="eastAsia"/>
          <w:color w:val="auto"/>
          <w:highlight w:val="none"/>
        </w:rPr>
        <w:t>保洁要求</w:t>
      </w:r>
    </w:p>
    <w:p w14:paraId="48A67833">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rFonts w:hint="default" w:eastAsia="宋体"/>
          <w:color w:val="auto"/>
          <w:highlight w:val="none"/>
          <w:lang w:val="en-US" w:eastAsia="zh-CN"/>
        </w:rPr>
      </w:pPr>
      <w:r>
        <w:rPr>
          <w:rFonts w:hint="eastAsia"/>
          <w:color w:val="auto"/>
          <w:highlight w:val="none"/>
        </w:rPr>
        <w:t>移交前</w:t>
      </w:r>
      <w:r>
        <w:rPr>
          <w:rFonts w:hint="eastAsia"/>
          <w:color w:val="auto"/>
          <w:highlight w:val="none"/>
          <w:lang w:eastAsia="zh-CN"/>
        </w:rPr>
        <w:t>专业承包人</w:t>
      </w:r>
      <w:r>
        <w:rPr>
          <w:rFonts w:hint="eastAsia"/>
          <w:color w:val="auto"/>
          <w:highlight w:val="none"/>
        </w:rPr>
        <w:t>必须请专业保洁公司对各自施工楼层区域进行全面开荒保洁，保洁干净后方可向发包人移交。精细保洁应达到</w:t>
      </w:r>
      <w:r>
        <w:rPr>
          <w:rFonts w:hint="eastAsia"/>
          <w:color w:val="auto"/>
          <w:highlight w:val="none"/>
          <w:lang w:val="en-US" w:eastAsia="zh-CN"/>
        </w:rPr>
        <w:t>发包人</w:t>
      </w:r>
      <w:r>
        <w:rPr>
          <w:rFonts w:hint="eastAsia"/>
          <w:color w:val="auto"/>
          <w:highlight w:val="none"/>
        </w:rPr>
        <w:t>验收标准，否则发包人有权拒绝接收。开荒保洁的实施时间以发包人书面指令为准。</w:t>
      </w:r>
      <w:r>
        <w:rPr>
          <w:rFonts w:hint="eastAsia"/>
          <w:color w:val="auto"/>
          <w:highlight w:val="none"/>
          <w:lang w:val="en-US" w:eastAsia="zh-CN"/>
        </w:rPr>
        <w:t>保洁要求详见【附件B-8】开荒保洁要求。</w:t>
      </w:r>
    </w:p>
    <w:p w14:paraId="7746F497">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color w:val="auto"/>
          <w:highlight w:val="none"/>
        </w:rPr>
        <w:t>工程移交</w:t>
      </w:r>
      <w:bookmarkEnd w:id="380"/>
    </w:p>
    <w:p w14:paraId="01120A03">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default"/>
          <w:color w:val="auto"/>
          <w:highlight w:val="none"/>
        </w:rPr>
      </w:pPr>
      <w:r>
        <w:rPr>
          <w:rFonts w:hint="eastAsia"/>
          <w:color w:val="auto"/>
          <w:highlight w:val="none"/>
          <w:lang w:eastAsia="zh-CN"/>
        </w:rPr>
        <w:t>专业承包人</w:t>
      </w:r>
      <w:r>
        <w:rPr>
          <w:rFonts w:hint="default"/>
          <w:color w:val="auto"/>
          <w:highlight w:val="none"/>
        </w:rPr>
        <w:t>全部完成验收（监理验收）后，由监理组织，以运营单位检查人员为主，对各层进行第一次全面的初验（在问题处做出标记并做好记录），初验完成后将问题发给</w:t>
      </w:r>
      <w:r>
        <w:rPr>
          <w:rFonts w:hint="eastAsia"/>
          <w:color w:val="auto"/>
          <w:highlight w:val="none"/>
          <w:lang w:eastAsia="zh-CN"/>
        </w:rPr>
        <w:t>专业承包人</w:t>
      </w:r>
      <w:r>
        <w:rPr>
          <w:rFonts w:hint="default"/>
          <w:color w:val="auto"/>
          <w:highlight w:val="none"/>
        </w:rPr>
        <w:t>进行第一次全面整改，整改合格后报监理进行消项验收，全部问题消项后报请物业进行第二次验收（复验），复验整改完成经消项验收合格后准备进行移交程序。</w:t>
      </w:r>
    </w:p>
    <w:p w14:paraId="1A5BBE40">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default"/>
          <w:color w:val="auto"/>
          <w:highlight w:val="none"/>
        </w:rPr>
      </w:pPr>
      <w:r>
        <w:rPr>
          <w:rFonts w:hint="eastAsia"/>
          <w:color w:val="auto"/>
          <w:highlight w:val="none"/>
          <w:lang w:eastAsia="zh-CN"/>
        </w:rPr>
        <w:t>专业承包人</w:t>
      </w:r>
      <w:r>
        <w:rPr>
          <w:rFonts w:hint="default"/>
          <w:color w:val="auto"/>
          <w:highlight w:val="none"/>
        </w:rPr>
        <w:t>向运营方移交相关的竣工资料，编制完成《使用说明书》和《质量保证书》等。</w:t>
      </w:r>
    </w:p>
    <w:p w14:paraId="796F9E78">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default"/>
          <w:color w:val="auto"/>
          <w:highlight w:val="none"/>
        </w:rPr>
      </w:pPr>
      <w:r>
        <w:rPr>
          <w:rFonts w:hint="default"/>
          <w:color w:val="auto"/>
          <w:highlight w:val="none"/>
        </w:rPr>
        <w:t>根据移交计划，要求各</w:t>
      </w:r>
      <w:r>
        <w:rPr>
          <w:rFonts w:hint="eastAsia"/>
          <w:color w:val="auto"/>
          <w:highlight w:val="none"/>
          <w:lang w:eastAsia="zh-CN"/>
        </w:rPr>
        <w:t>专业承包人</w:t>
      </w:r>
      <w:r>
        <w:rPr>
          <w:rFonts w:hint="default"/>
          <w:color w:val="auto"/>
          <w:highlight w:val="none"/>
        </w:rPr>
        <w:t>准备移交所需的相关检查工具，移交检查工具的准备必须满足移交的计划安排。</w:t>
      </w:r>
    </w:p>
    <w:p w14:paraId="33549EF2">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default"/>
          <w:color w:val="auto"/>
          <w:highlight w:val="none"/>
        </w:rPr>
      </w:pPr>
      <w:r>
        <w:rPr>
          <w:rFonts w:hint="default"/>
          <w:color w:val="auto"/>
          <w:highlight w:val="none"/>
        </w:rPr>
        <w:t>安排各</w:t>
      </w:r>
      <w:r>
        <w:rPr>
          <w:rFonts w:hint="eastAsia"/>
          <w:color w:val="auto"/>
          <w:highlight w:val="none"/>
          <w:lang w:eastAsia="zh-CN"/>
        </w:rPr>
        <w:t>专业承包人</w:t>
      </w:r>
      <w:r>
        <w:rPr>
          <w:rFonts w:hint="default"/>
          <w:color w:val="auto"/>
          <w:highlight w:val="none"/>
        </w:rPr>
        <w:t>根据移交计划安排移交检查陪同人员。</w:t>
      </w:r>
    </w:p>
    <w:p w14:paraId="1F40D148">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default"/>
          <w:color w:val="auto"/>
          <w:highlight w:val="none"/>
        </w:rPr>
        <w:t>竣工备案完成且移交验收完成合格后7日内，</w:t>
      </w:r>
      <w:r>
        <w:rPr>
          <w:rFonts w:hint="eastAsia"/>
          <w:color w:val="auto"/>
          <w:highlight w:val="none"/>
          <w:lang w:eastAsia="zh-CN"/>
        </w:rPr>
        <w:t>专业承包人</w:t>
      </w:r>
      <w:r>
        <w:rPr>
          <w:rFonts w:hint="default"/>
          <w:color w:val="auto"/>
          <w:highlight w:val="none"/>
        </w:rPr>
        <w:t>提交《工程移交书》，经发包人、运营及其物业单位（或发包人指定的其他部门）检查确认合同范围内工作已完成后签字认可，工程移交完成。</w:t>
      </w:r>
    </w:p>
    <w:p w14:paraId="27AE35EF">
      <w:pPr>
        <w:pStyle w:val="4"/>
        <w:keepNext w:val="0"/>
        <w:keepLines w:val="0"/>
        <w:pageBreakBefore w:val="0"/>
        <w:widowControl w:val="0"/>
        <w:numPr>
          <w:ilvl w:val="1"/>
          <w:numId w:val="15"/>
        </w:numPr>
        <w:kinsoku/>
        <w:wordWrap/>
        <w:overflowPunct/>
        <w:topLinePunct w:val="0"/>
        <w:autoSpaceDE/>
        <w:autoSpaceDN/>
        <w:bidi w:val="0"/>
        <w:adjustRightInd/>
        <w:snapToGrid w:val="0"/>
        <w:ind w:left="0" w:leftChars="0" w:firstLine="0" w:firstLineChars="0"/>
        <w:textAlignment w:val="auto"/>
        <w:rPr>
          <w:rFonts w:hint="eastAsia"/>
          <w:color w:val="auto"/>
          <w:highlight w:val="none"/>
        </w:rPr>
      </w:pPr>
      <w:bookmarkStart w:id="381" w:name="_Toc9402"/>
      <w:bookmarkStart w:id="382" w:name="_Toc10861"/>
      <w:r>
        <w:rPr>
          <w:rFonts w:hint="eastAsia"/>
          <w:color w:val="auto"/>
          <w:highlight w:val="none"/>
        </w:rPr>
        <w:t>检测与试验要求</w:t>
      </w:r>
      <w:bookmarkEnd w:id="381"/>
      <w:bookmarkEnd w:id="382"/>
    </w:p>
    <w:p w14:paraId="679B4528">
      <w:pPr>
        <w:keepNext w:val="0"/>
        <w:keepLines w:val="0"/>
        <w:pageBreakBefore w:val="0"/>
        <w:widowControl w:val="0"/>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lang w:eastAsia="zh-CN"/>
        </w:rPr>
        <w:t>专业承包人</w:t>
      </w:r>
      <w:r>
        <w:rPr>
          <w:rFonts w:hint="eastAsia"/>
          <w:color w:val="auto"/>
          <w:highlight w:val="none"/>
        </w:rPr>
        <w:t>需做的材料检测和试验包括但不限于:</w:t>
      </w:r>
    </w:p>
    <w:p w14:paraId="5002B629">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材料检测。</w:t>
      </w:r>
      <w:r>
        <w:rPr>
          <w:rFonts w:hint="eastAsia"/>
          <w:color w:val="auto"/>
          <w:highlight w:val="none"/>
          <w:lang w:eastAsia="zh-CN"/>
        </w:rPr>
        <w:t>专业承包人</w:t>
      </w:r>
      <w:r>
        <w:rPr>
          <w:rFonts w:hint="eastAsia"/>
          <w:color w:val="auto"/>
          <w:highlight w:val="none"/>
        </w:rPr>
        <w:t>工程范围内的材料须按照国家、行业和地方相关检验标准进行检验，合格后方可使用。</w:t>
      </w:r>
    </w:p>
    <w:p w14:paraId="3A036F6B">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性能试验。</w:t>
      </w:r>
      <w:r>
        <w:rPr>
          <w:rFonts w:hint="eastAsia"/>
          <w:color w:val="auto"/>
          <w:highlight w:val="none"/>
          <w:lang w:eastAsia="zh-CN"/>
        </w:rPr>
        <w:t>专业承包人</w:t>
      </w:r>
      <w:r>
        <w:rPr>
          <w:rFonts w:hint="eastAsia"/>
          <w:color w:val="auto"/>
          <w:highlight w:val="none"/>
        </w:rPr>
        <w:t>须按照国家、行业和地方及发包人的相关标准进行有关性能试验，具体试验内容包括不限于：装饰装修材料有关检测及性能试验、空气检测等。</w:t>
      </w:r>
    </w:p>
    <w:p w14:paraId="3107F745">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本工程所使用的材料和设备必须符合国家、地方及企业标准，有质量检验合格证明和有中文标识的产品名称、规格、型号、生产厂厂名、厂址等。禁止使用国家明令淘汰的建筑装饰装修材料和设备。</w:t>
      </w:r>
    </w:p>
    <w:p w14:paraId="0EA88F93">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所有装饰材料必须满足防火要求。</w:t>
      </w:r>
    </w:p>
    <w:p w14:paraId="3E45ABEE">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所有装饰材料禁止使用超标的甲醛、挥发性有机化合物(VOC)、苯、甲苯、二甲苯、甲苯二异氰酸酯、铅、镉、汞、砷等有毒污染物的产品。</w:t>
      </w:r>
    </w:p>
    <w:p w14:paraId="31D646A2">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涉及使用安全及人体健康的材料，均需按相关规范要求进行复检。</w:t>
      </w:r>
    </w:p>
    <w:p w14:paraId="446C4716">
      <w:pPr>
        <w:pStyle w:val="5"/>
        <w:keepNext w:val="0"/>
        <w:keepLines w:val="0"/>
        <w:pageBreakBefore w:val="0"/>
        <w:widowControl w:val="0"/>
        <w:numPr>
          <w:ilvl w:val="2"/>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在工程完工后，由发包人委托的第三方检测单位进行环保检测，出具室内空气质量检测报告，如果检测不合格，</w:t>
      </w:r>
      <w:r>
        <w:rPr>
          <w:rFonts w:hint="eastAsia"/>
          <w:color w:val="auto"/>
          <w:highlight w:val="none"/>
          <w:lang w:eastAsia="zh-CN"/>
        </w:rPr>
        <w:t>专业承包人</w:t>
      </w:r>
      <w:r>
        <w:rPr>
          <w:rFonts w:hint="eastAsia"/>
          <w:color w:val="auto"/>
          <w:highlight w:val="none"/>
        </w:rPr>
        <w:t>承担违约责任。</w:t>
      </w:r>
    </w:p>
    <w:p w14:paraId="2BEDE772">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383" w:name="_Toc20786"/>
      <w:bookmarkStart w:id="384" w:name="_Toc6530"/>
      <w:bookmarkStart w:id="385" w:name="_Toc7773"/>
      <w:bookmarkStart w:id="386" w:name="_Toc24999"/>
      <w:bookmarkStart w:id="387" w:name="_Toc31657"/>
      <w:bookmarkStart w:id="388" w:name="_Toc7635"/>
      <w:bookmarkStart w:id="389" w:name="_Toc21413"/>
      <w:bookmarkStart w:id="390" w:name="_Toc19846"/>
      <w:bookmarkStart w:id="391" w:name="_Toc169722225"/>
      <w:bookmarkStart w:id="392" w:name="_Toc20732"/>
      <w:bookmarkStart w:id="393" w:name="_Toc20015"/>
      <w:bookmarkStart w:id="394" w:name="_Toc10801"/>
      <w:bookmarkStart w:id="395" w:name="_Toc20215"/>
      <w:r>
        <w:rPr>
          <w:rFonts w:hint="eastAsia"/>
          <w:color w:val="auto"/>
          <w:highlight w:val="none"/>
        </w:rPr>
        <w:t>治污减霾要求</w:t>
      </w:r>
      <w:bookmarkEnd w:id="383"/>
      <w:bookmarkEnd w:id="384"/>
      <w:bookmarkEnd w:id="385"/>
      <w:bookmarkEnd w:id="386"/>
      <w:bookmarkEnd w:id="387"/>
      <w:bookmarkEnd w:id="388"/>
      <w:bookmarkEnd w:id="389"/>
      <w:bookmarkEnd w:id="390"/>
      <w:bookmarkEnd w:id="391"/>
      <w:bookmarkEnd w:id="392"/>
      <w:bookmarkEnd w:id="393"/>
      <w:bookmarkEnd w:id="394"/>
      <w:bookmarkEnd w:id="395"/>
    </w:p>
    <w:p w14:paraId="52D00E3E">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应充分了解当地政府治污减霾、大气污染综合治理的要求，落实相关措施。</w:t>
      </w:r>
    </w:p>
    <w:p w14:paraId="238E410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专业承包人应积极应对雾霾天气对施工的影响，采取必要的措施，确保工程质量、安全、进度等目标的实现。</w:t>
      </w:r>
      <w:bookmarkStart w:id="396" w:name="_Toc2930"/>
      <w:bookmarkStart w:id="397" w:name="_Toc5598"/>
      <w:bookmarkStart w:id="398" w:name="_Toc6346"/>
      <w:bookmarkStart w:id="399" w:name="_Toc30578"/>
      <w:bookmarkStart w:id="400" w:name="_Toc14822"/>
      <w:bookmarkStart w:id="401" w:name="_Toc13398"/>
      <w:bookmarkStart w:id="402" w:name="_Toc9265"/>
      <w:bookmarkStart w:id="403" w:name="_Toc17261"/>
      <w:bookmarkStart w:id="404" w:name="_Toc15470"/>
      <w:bookmarkStart w:id="405" w:name="_Toc23589"/>
      <w:bookmarkStart w:id="406" w:name="_Toc15089"/>
    </w:p>
    <w:p w14:paraId="1BAA7DCD">
      <w:pPr>
        <w:pStyle w:val="4"/>
        <w:keepNext w:val="0"/>
        <w:keepLines w:val="0"/>
        <w:pageBreakBefore w:val="0"/>
        <w:widowControl w:val="0"/>
        <w:numPr>
          <w:ilvl w:val="1"/>
          <w:numId w:val="15"/>
        </w:numPr>
        <w:kinsoku/>
        <w:wordWrap/>
        <w:overflowPunct/>
        <w:topLinePunct w:val="0"/>
        <w:autoSpaceDE/>
        <w:autoSpaceDN/>
        <w:bidi w:val="0"/>
        <w:rPr>
          <w:color w:val="auto"/>
          <w:highlight w:val="none"/>
          <w:lang w:eastAsia="zh-CN"/>
        </w:rPr>
      </w:pPr>
      <w:bookmarkStart w:id="407" w:name="_Toc22157"/>
      <w:bookmarkStart w:id="408" w:name="_Toc12330"/>
      <w:r>
        <w:rPr>
          <w:rFonts w:hint="eastAsia"/>
          <w:color w:val="auto"/>
          <w:highlight w:val="none"/>
          <w:lang w:eastAsia="zh-CN"/>
        </w:rPr>
        <w:t>绿色施工管理要求</w:t>
      </w:r>
      <w:bookmarkEnd w:id="396"/>
      <w:bookmarkEnd w:id="397"/>
      <w:bookmarkEnd w:id="398"/>
      <w:bookmarkEnd w:id="399"/>
      <w:bookmarkEnd w:id="400"/>
      <w:bookmarkEnd w:id="401"/>
      <w:bookmarkEnd w:id="402"/>
      <w:bookmarkEnd w:id="403"/>
      <w:bookmarkEnd w:id="404"/>
      <w:bookmarkEnd w:id="405"/>
      <w:bookmarkEnd w:id="406"/>
      <w:bookmarkEnd w:id="407"/>
      <w:bookmarkEnd w:id="408"/>
    </w:p>
    <w:p w14:paraId="50581E61">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ascii="宋体" w:hAnsi="宋体" w:eastAsia="宋体"/>
          <w:color w:val="auto"/>
          <w:highlight w:val="none"/>
          <w:lang w:eastAsia="zh-CN"/>
        </w:rPr>
      </w:pPr>
      <w:r>
        <w:rPr>
          <w:rFonts w:hint="eastAsia" w:ascii="宋体" w:hAnsi="宋体" w:eastAsia="宋体"/>
          <w:color w:val="auto"/>
          <w:highlight w:val="none"/>
          <w:lang w:eastAsia="zh-CN"/>
        </w:rPr>
        <w:t>施工管理要求。加强绿色施工管理，主要包括组织管理、规划管理、实施管理、评价管理和人员安全与健康管理五个方面。建立绿色施工管理体系，并制定相应的管理制度与目标；编制绿色施工方案，该方案应在施工组织设计中独立成章，并按有关规定进行审批；绿色施工应对整个施工过程实施动态管理，加强对施工策划、施工准备、材料采购、现场施工、工程验收等各阶段的管理和监督。</w:t>
      </w:r>
    </w:p>
    <w:p w14:paraId="5C13A300">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ascii="宋体" w:hAnsi="宋体" w:eastAsia="宋体"/>
          <w:color w:val="auto"/>
          <w:highlight w:val="none"/>
          <w:lang w:eastAsia="zh-CN"/>
        </w:rPr>
      </w:pPr>
      <w:r>
        <w:rPr>
          <w:rFonts w:hint="eastAsia" w:ascii="宋体" w:hAnsi="宋体" w:eastAsia="宋体"/>
          <w:color w:val="auto"/>
          <w:highlight w:val="none"/>
          <w:lang w:eastAsia="zh-CN"/>
        </w:rPr>
        <w:t>推广使用节水与水资源利用技术，要求采取多种措施提高用水效率。如施工中采用先进的节水施工工艺。</w:t>
      </w:r>
    </w:p>
    <w:p w14:paraId="69FDDFD8">
      <w:pPr>
        <w:pStyle w:val="4"/>
        <w:keepNext w:val="0"/>
        <w:keepLines w:val="0"/>
        <w:pageBreakBefore w:val="0"/>
        <w:widowControl w:val="0"/>
        <w:numPr>
          <w:ilvl w:val="1"/>
          <w:numId w:val="15"/>
        </w:numPr>
        <w:kinsoku/>
        <w:wordWrap/>
        <w:overflowPunct/>
        <w:topLinePunct w:val="0"/>
        <w:autoSpaceDE/>
        <w:autoSpaceDN/>
        <w:bidi w:val="0"/>
        <w:adjustRightInd/>
        <w:textAlignment w:val="auto"/>
        <w:rPr>
          <w:rFonts w:hint="default"/>
          <w:color w:val="auto"/>
          <w:highlight w:val="none"/>
          <w:lang w:val="en-US" w:eastAsia="zh-CN"/>
        </w:rPr>
      </w:pPr>
      <w:bookmarkStart w:id="409" w:name="_Toc18471"/>
      <w:bookmarkStart w:id="410" w:name="_Toc19186"/>
      <w:r>
        <w:rPr>
          <w:rFonts w:hint="eastAsia"/>
          <w:color w:val="auto"/>
          <w:highlight w:val="none"/>
          <w:lang w:val="en-US" w:eastAsia="zh-CN"/>
        </w:rPr>
        <w:t>专业承包人履约要求</w:t>
      </w:r>
      <w:bookmarkEnd w:id="409"/>
      <w:bookmarkEnd w:id="410"/>
    </w:p>
    <w:p w14:paraId="37377F83">
      <w:pPr>
        <w:bidi w:val="0"/>
        <w:rPr>
          <w:rFonts w:hint="eastAsia"/>
          <w:color w:val="auto"/>
          <w:highlight w:val="none"/>
          <w:lang w:eastAsia="zh-CN"/>
        </w:rPr>
      </w:pPr>
      <w:r>
        <w:rPr>
          <w:rFonts w:hint="eastAsia"/>
          <w:color w:val="auto"/>
          <w:highlight w:val="none"/>
          <w:lang w:val="en-US" w:eastAsia="zh-CN"/>
        </w:rPr>
        <w:t>专业承包人在施工过程中拒</w:t>
      </w:r>
      <w:r>
        <w:rPr>
          <w:rFonts w:hint="eastAsia"/>
          <w:color w:val="auto"/>
          <w:highlight w:val="none"/>
          <w:lang w:eastAsia="zh-CN"/>
        </w:rPr>
        <w:t>不履行</w:t>
      </w:r>
      <w:r>
        <w:rPr>
          <w:rFonts w:hint="eastAsia"/>
          <w:color w:val="auto"/>
          <w:highlight w:val="none"/>
          <w:lang w:val="en-US" w:eastAsia="zh-CN"/>
        </w:rPr>
        <w:t>本</w:t>
      </w:r>
      <w:r>
        <w:rPr>
          <w:rFonts w:hint="eastAsia"/>
          <w:color w:val="auto"/>
          <w:highlight w:val="none"/>
          <w:lang w:eastAsia="zh-CN"/>
        </w:rPr>
        <w:t>合同</w:t>
      </w:r>
      <w:r>
        <w:rPr>
          <w:rFonts w:hint="eastAsia"/>
          <w:color w:val="auto"/>
          <w:highlight w:val="none"/>
          <w:lang w:val="en-US" w:eastAsia="zh-CN"/>
        </w:rPr>
        <w:t>要求内容或者</w:t>
      </w:r>
      <w:r>
        <w:rPr>
          <w:rFonts w:hint="eastAsia"/>
          <w:color w:val="auto"/>
          <w:highlight w:val="none"/>
          <w:lang w:eastAsia="zh-CN"/>
        </w:rPr>
        <w:t>履行</w:t>
      </w:r>
      <w:r>
        <w:rPr>
          <w:rFonts w:hint="eastAsia"/>
          <w:color w:val="auto"/>
          <w:highlight w:val="none"/>
          <w:lang w:val="en-US" w:eastAsia="zh-CN"/>
        </w:rPr>
        <w:t>标准</w:t>
      </w:r>
      <w:r>
        <w:rPr>
          <w:rFonts w:hint="eastAsia"/>
          <w:color w:val="auto"/>
          <w:highlight w:val="none"/>
          <w:lang w:eastAsia="zh-CN"/>
        </w:rPr>
        <w:t>不符合</w:t>
      </w:r>
      <w:r>
        <w:rPr>
          <w:rFonts w:hint="eastAsia"/>
          <w:color w:val="auto"/>
          <w:highlight w:val="none"/>
          <w:lang w:val="en-US" w:eastAsia="zh-CN"/>
        </w:rPr>
        <w:t>要求</w:t>
      </w:r>
      <w:r>
        <w:rPr>
          <w:rFonts w:hint="eastAsia"/>
          <w:color w:val="auto"/>
          <w:highlight w:val="none"/>
          <w:lang w:eastAsia="zh-CN"/>
        </w:rPr>
        <w:t>的，</w:t>
      </w:r>
      <w:r>
        <w:rPr>
          <w:rFonts w:hint="eastAsia"/>
          <w:color w:val="auto"/>
          <w:highlight w:val="none"/>
          <w:lang w:val="en-US" w:eastAsia="zh-CN"/>
        </w:rPr>
        <w:t>发包人有权</w:t>
      </w:r>
      <w:r>
        <w:rPr>
          <w:rFonts w:hint="eastAsia"/>
          <w:color w:val="auto"/>
          <w:highlight w:val="none"/>
          <w:lang w:eastAsia="zh-CN"/>
        </w:rPr>
        <w:t>委托第三方单位替代履行，</w:t>
      </w:r>
      <w:r>
        <w:rPr>
          <w:rFonts w:hint="eastAsia"/>
          <w:color w:val="auto"/>
          <w:highlight w:val="none"/>
          <w:lang w:val="en-US" w:eastAsia="zh-CN"/>
        </w:rPr>
        <w:t>所造成的费用按第三方单位实际发生费用与专业承包人合同费用之间的高值扣除，并赔偿由此引起的所有损失。</w:t>
      </w:r>
    </w:p>
    <w:p w14:paraId="12DE795D">
      <w:pPr>
        <w:bidi w:val="0"/>
        <w:rPr>
          <w:color w:val="auto"/>
          <w:highlight w:val="none"/>
        </w:rPr>
      </w:pPr>
      <w:bookmarkStart w:id="411" w:name="_Toc169722229"/>
      <w:bookmarkStart w:id="412" w:name="_Toc18333"/>
      <w:bookmarkStart w:id="413" w:name="_Toc2881"/>
      <w:bookmarkStart w:id="414" w:name="_Toc26687"/>
      <w:bookmarkStart w:id="415" w:name="_Toc27700"/>
      <w:bookmarkStart w:id="416" w:name="_Toc10269"/>
      <w:bookmarkStart w:id="417" w:name="_Toc32168"/>
      <w:r>
        <w:rPr>
          <w:rFonts w:hint="eastAsia"/>
          <w:color w:val="auto"/>
          <w:highlight w:val="none"/>
        </w:rPr>
        <w:br w:type="page"/>
      </w:r>
    </w:p>
    <w:bookmarkEnd w:id="411"/>
    <w:bookmarkEnd w:id="412"/>
    <w:bookmarkEnd w:id="413"/>
    <w:bookmarkEnd w:id="414"/>
    <w:bookmarkEnd w:id="415"/>
    <w:bookmarkEnd w:id="416"/>
    <w:bookmarkEnd w:id="417"/>
    <w:p w14:paraId="69D0685D">
      <w:pPr>
        <w:pStyle w:val="3"/>
        <w:keepNext w:val="0"/>
        <w:keepLines w:val="0"/>
        <w:pageBreakBefore w:val="0"/>
        <w:widowControl w:val="0"/>
        <w:numPr>
          <w:ilvl w:val="0"/>
          <w:numId w:val="15"/>
        </w:numPr>
        <w:kinsoku/>
        <w:wordWrap/>
        <w:overflowPunct/>
        <w:topLinePunct w:val="0"/>
        <w:autoSpaceDE/>
        <w:autoSpaceDN/>
        <w:bidi w:val="0"/>
        <w:rPr>
          <w:color w:val="auto"/>
          <w:highlight w:val="none"/>
        </w:rPr>
      </w:pPr>
      <w:bookmarkStart w:id="418" w:name="_Toc520245831"/>
      <w:bookmarkEnd w:id="418"/>
      <w:bookmarkStart w:id="419" w:name="_Toc520245204"/>
      <w:bookmarkEnd w:id="419"/>
      <w:bookmarkStart w:id="420" w:name="_Toc12837"/>
      <w:bookmarkStart w:id="421" w:name="_Toc14726"/>
      <w:bookmarkStart w:id="422" w:name="_Toc5480"/>
      <w:bookmarkStart w:id="423" w:name="_Toc4704"/>
      <w:bookmarkStart w:id="424" w:name="_Toc19727"/>
      <w:bookmarkStart w:id="425" w:name="_Toc15469"/>
      <w:bookmarkStart w:id="426" w:name="_Toc13723"/>
      <w:r>
        <w:rPr>
          <w:rFonts w:hint="eastAsia"/>
          <w:color w:val="auto"/>
          <w:highlight w:val="none"/>
        </w:rPr>
        <w:t>技术要求</w:t>
      </w:r>
      <w:bookmarkEnd w:id="420"/>
      <w:bookmarkEnd w:id="421"/>
      <w:bookmarkEnd w:id="422"/>
      <w:bookmarkEnd w:id="423"/>
      <w:bookmarkEnd w:id="424"/>
      <w:bookmarkEnd w:id="425"/>
    </w:p>
    <w:p w14:paraId="07E5E5FB">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427" w:name="_Toc6809"/>
      <w:bookmarkStart w:id="428" w:name="_Toc169722230"/>
      <w:bookmarkStart w:id="429" w:name="_Toc14586"/>
      <w:bookmarkStart w:id="430" w:name="_Toc4172"/>
      <w:bookmarkStart w:id="431" w:name="_Toc32693"/>
      <w:bookmarkStart w:id="432" w:name="_Toc29996"/>
      <w:bookmarkStart w:id="433" w:name="_Toc29940"/>
      <w:bookmarkStart w:id="434" w:name="_Toc30936"/>
      <w:bookmarkStart w:id="435" w:name="_Toc4683"/>
      <w:bookmarkStart w:id="436" w:name="_Toc17160"/>
      <w:bookmarkStart w:id="437" w:name="_Toc24527"/>
      <w:bookmarkStart w:id="438" w:name="_Toc25992"/>
      <w:bookmarkStart w:id="439" w:name="_Toc8345"/>
      <w:r>
        <w:rPr>
          <w:color w:val="auto"/>
          <w:highlight w:val="none"/>
        </w:rPr>
        <w:t>技术规范和标准</w:t>
      </w:r>
      <w:bookmarkEnd w:id="427"/>
      <w:bookmarkEnd w:id="428"/>
      <w:bookmarkEnd w:id="429"/>
      <w:bookmarkEnd w:id="430"/>
      <w:bookmarkEnd w:id="431"/>
      <w:bookmarkEnd w:id="432"/>
      <w:bookmarkEnd w:id="433"/>
      <w:bookmarkEnd w:id="434"/>
      <w:bookmarkEnd w:id="435"/>
      <w:bookmarkEnd w:id="436"/>
      <w:bookmarkEnd w:id="437"/>
      <w:bookmarkEnd w:id="438"/>
      <w:bookmarkEnd w:id="439"/>
      <w:bookmarkStart w:id="440" w:name="_Toc489520047"/>
      <w:bookmarkStart w:id="441" w:name="_Toc489516866"/>
      <w:bookmarkStart w:id="442" w:name="_Toc490643538"/>
      <w:bookmarkStart w:id="443" w:name="_Toc422854852"/>
    </w:p>
    <w:p w14:paraId="73502466">
      <w:pPr>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lang w:eastAsia="zh-CN"/>
        </w:rPr>
        <w:t>专业承包人</w:t>
      </w:r>
      <w:r>
        <w:rPr>
          <w:rFonts w:hint="eastAsia"/>
          <w:color w:val="auto"/>
          <w:highlight w:val="none"/>
        </w:rPr>
        <w:t>应严格执行最新的现行国家、行业和地方相关技术</w:t>
      </w:r>
      <w:r>
        <w:rPr>
          <w:color w:val="auto"/>
          <w:highlight w:val="none"/>
        </w:rPr>
        <w:t>规范</w:t>
      </w:r>
      <w:r>
        <w:rPr>
          <w:rFonts w:hint="eastAsia"/>
          <w:color w:val="auto"/>
          <w:highlight w:val="none"/>
        </w:rPr>
        <w:t>和</w:t>
      </w:r>
      <w:r>
        <w:rPr>
          <w:color w:val="auto"/>
          <w:highlight w:val="none"/>
        </w:rPr>
        <w:t>标准</w:t>
      </w:r>
      <w:r>
        <w:rPr>
          <w:rFonts w:hint="eastAsia"/>
          <w:color w:val="auto"/>
          <w:highlight w:val="none"/>
        </w:rPr>
        <w:t>。</w:t>
      </w:r>
      <w:r>
        <w:rPr>
          <w:color w:val="auto"/>
          <w:highlight w:val="none"/>
        </w:rPr>
        <w:t>若</w:t>
      </w:r>
      <w:r>
        <w:rPr>
          <w:rFonts w:hint="eastAsia"/>
          <w:color w:val="auto"/>
          <w:highlight w:val="none"/>
        </w:rPr>
        <w:t>上</w:t>
      </w:r>
      <w:r>
        <w:rPr>
          <w:color w:val="auto"/>
          <w:highlight w:val="none"/>
        </w:rPr>
        <w:t>述规范和标准内容有互相抵触时，应按较严格的条款执行</w:t>
      </w:r>
      <w:r>
        <w:rPr>
          <w:rFonts w:hint="eastAsia"/>
          <w:color w:val="auto"/>
          <w:highlight w:val="none"/>
        </w:rPr>
        <w:t>。</w:t>
      </w:r>
      <w:bookmarkEnd w:id="440"/>
      <w:bookmarkEnd w:id="441"/>
      <w:bookmarkEnd w:id="442"/>
    </w:p>
    <w:bookmarkEnd w:id="443"/>
    <w:p w14:paraId="60A573BD">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444" w:name="_Toc10679"/>
      <w:bookmarkStart w:id="445" w:name="_Toc153907581"/>
      <w:bookmarkStart w:id="446" w:name="_Toc1415"/>
      <w:r>
        <w:rPr>
          <w:rFonts w:hint="eastAsia"/>
          <w:color w:val="auto"/>
          <w:highlight w:val="none"/>
        </w:rPr>
        <w:t>测量放线技术要求</w:t>
      </w:r>
      <w:bookmarkEnd w:id="444"/>
      <w:bookmarkEnd w:id="445"/>
      <w:bookmarkEnd w:id="446"/>
    </w:p>
    <w:p w14:paraId="5E060F6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测量基准点移交</w:t>
      </w:r>
    </w:p>
    <w:p w14:paraId="0923E984">
      <w:pPr>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lang w:eastAsia="zh-CN"/>
        </w:rPr>
        <w:t>专业承包人</w:t>
      </w:r>
      <w:r>
        <w:rPr>
          <w:rFonts w:hint="eastAsia"/>
          <w:color w:val="auto"/>
          <w:highlight w:val="none"/>
        </w:rPr>
        <w:t>应根据总承包商统一提供的测量原始基准点、轴线和标高线对工程进行定位和放线，由监理人、发包人及相关专业</w:t>
      </w:r>
      <w:r>
        <w:rPr>
          <w:rFonts w:hint="eastAsia"/>
          <w:color w:val="auto"/>
          <w:highlight w:val="none"/>
          <w:lang w:eastAsia="zh-CN"/>
        </w:rPr>
        <w:t>承包人</w:t>
      </w:r>
      <w:r>
        <w:rPr>
          <w:rFonts w:hint="eastAsia"/>
          <w:color w:val="auto"/>
          <w:highlight w:val="none"/>
        </w:rPr>
        <w:t>在工地现场签字确认并形成书面移交记录。装修分包应安排测量人员对测量基准点进行复测。工程的测量基准点由装修分包负责管理及保护，并负责损坏后的修补工作。</w:t>
      </w:r>
    </w:p>
    <w:p w14:paraId="35790FF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测量组织管理</w:t>
      </w:r>
    </w:p>
    <w:p w14:paraId="6DA2D84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应安排专业的测量人员持证上岗，设立专门的测量组负责管理。</w:t>
      </w:r>
    </w:p>
    <w:p w14:paraId="02C3430A">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bookmarkStart w:id="447" w:name="_Toc503543589"/>
      <w:bookmarkStart w:id="448" w:name="_Toc526942497"/>
      <w:bookmarkStart w:id="449" w:name="_Toc523308090"/>
      <w:bookmarkStart w:id="450" w:name="_Toc520387414"/>
      <w:bookmarkStart w:id="451" w:name="_Toc524082890"/>
      <w:r>
        <w:rPr>
          <w:rFonts w:hint="eastAsia"/>
          <w:color w:val="auto"/>
          <w:highlight w:val="none"/>
          <w:lang w:eastAsia="zh-CN"/>
        </w:rPr>
        <w:t>专业承包人</w:t>
      </w:r>
      <w:r>
        <w:rPr>
          <w:rFonts w:hint="eastAsia"/>
          <w:color w:val="auto"/>
          <w:highlight w:val="none"/>
        </w:rPr>
        <w:t>应配备满足本工程需要的测量放线人员，人员应有测量资质和三年以上装修住宅、商业综合体、大型场馆类测量经验。</w:t>
      </w:r>
      <w:bookmarkEnd w:id="447"/>
      <w:bookmarkEnd w:id="448"/>
      <w:bookmarkEnd w:id="449"/>
      <w:bookmarkEnd w:id="450"/>
      <w:bookmarkEnd w:id="451"/>
    </w:p>
    <w:p w14:paraId="0B62658C">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val="en-US" w:eastAsia="zh-CN"/>
        </w:rPr>
      </w:pPr>
      <w:bookmarkStart w:id="452" w:name="_Toc524082891"/>
      <w:bookmarkStart w:id="453" w:name="_Toc526942498"/>
      <w:bookmarkStart w:id="454" w:name="_Toc503543590"/>
      <w:bookmarkStart w:id="455" w:name="_Toc523308091"/>
      <w:bookmarkStart w:id="456" w:name="_Toc520387415"/>
      <w:r>
        <w:rPr>
          <w:rFonts w:hint="eastAsia"/>
          <w:color w:val="auto"/>
          <w:highlight w:val="none"/>
          <w:lang w:val="en-US" w:eastAsia="zh-CN"/>
        </w:rPr>
        <w:t>专业承包人应配备满足本工程需要的测量设备，测量设备应按规定进行年检，并保证工程测量精度。</w:t>
      </w:r>
      <w:bookmarkEnd w:id="452"/>
      <w:bookmarkEnd w:id="453"/>
      <w:bookmarkEnd w:id="454"/>
      <w:bookmarkEnd w:id="455"/>
      <w:bookmarkEnd w:id="456"/>
    </w:p>
    <w:p w14:paraId="510DB33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bookmarkStart w:id="457" w:name="_Toc520387416"/>
      <w:bookmarkStart w:id="458" w:name="_Toc503543591"/>
      <w:bookmarkStart w:id="459" w:name="_Toc524082892"/>
      <w:bookmarkStart w:id="460" w:name="_Toc523308092"/>
      <w:bookmarkStart w:id="461" w:name="_Toc526942499"/>
      <w:r>
        <w:rPr>
          <w:rFonts w:hint="eastAsia"/>
          <w:color w:val="auto"/>
          <w:highlight w:val="none"/>
          <w:lang w:eastAsia="zh-CN"/>
        </w:rPr>
        <w:t>专业承包人应编制专项测量方案，并对实体工程平整度、垂直度、净高等指标制定相关的控制保证措施，在工程实施过程中切实执行。</w:t>
      </w:r>
      <w:bookmarkEnd w:id="457"/>
      <w:bookmarkEnd w:id="458"/>
      <w:bookmarkEnd w:id="459"/>
      <w:bookmarkEnd w:id="460"/>
      <w:bookmarkEnd w:id="461"/>
    </w:p>
    <w:p w14:paraId="735C419C">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测量工作内容</w:t>
      </w:r>
    </w:p>
    <w:p w14:paraId="1E19875F">
      <w:pPr>
        <w:keepNext w:val="0"/>
        <w:keepLines w:val="0"/>
        <w:pageBreakBefore w:val="0"/>
        <w:widowControl w:val="0"/>
        <w:numPr>
          <w:ilvl w:val="0"/>
          <w:numId w:val="24"/>
        </w:numPr>
        <w:kinsoku/>
        <w:wordWrap/>
        <w:overflowPunct/>
        <w:topLinePunct w:val="0"/>
        <w:autoSpaceDE/>
        <w:autoSpaceDN/>
        <w:bidi w:val="0"/>
        <w:ind w:firstLine="480"/>
        <w:rPr>
          <w:rFonts w:ascii="宋体" w:hAnsi="宋体" w:eastAsia="宋体" w:cs="宋体"/>
          <w:color w:val="auto"/>
          <w:kern w:val="1"/>
          <w:highlight w:val="none"/>
        </w:rPr>
      </w:pPr>
      <w:r>
        <w:rPr>
          <w:rFonts w:hint="eastAsia" w:cs="宋体"/>
          <w:color w:val="auto"/>
          <w:kern w:val="1"/>
          <w:highlight w:val="none"/>
          <w:lang w:eastAsia="zh-CN"/>
        </w:rPr>
        <w:t>专业承包人</w:t>
      </w:r>
      <w:r>
        <w:rPr>
          <w:rFonts w:hint="eastAsia" w:ascii="宋体" w:hAnsi="宋体" w:eastAsia="宋体" w:cs="宋体"/>
          <w:color w:val="auto"/>
          <w:kern w:val="1"/>
          <w:highlight w:val="none"/>
        </w:rPr>
        <w:t>施工前须复核的测量内容：</w:t>
      </w:r>
    </w:p>
    <w:p w14:paraId="28E22D01">
      <w:pPr>
        <w:keepNext w:val="0"/>
        <w:keepLines w:val="0"/>
        <w:pageBreakBefore w:val="0"/>
        <w:widowControl w:val="0"/>
        <w:numPr>
          <w:ilvl w:val="0"/>
          <w:numId w:val="2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楼层的标高，开间进深，建筑尺寸的复测。</w:t>
      </w:r>
    </w:p>
    <w:p w14:paraId="3BDA49F8">
      <w:pPr>
        <w:keepNext w:val="0"/>
        <w:keepLines w:val="0"/>
        <w:pageBreakBefore w:val="0"/>
        <w:widowControl w:val="0"/>
        <w:numPr>
          <w:ilvl w:val="0"/>
          <w:numId w:val="2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构筑物、梁、中心线复测，并计算出偏移尺寸。</w:t>
      </w:r>
    </w:p>
    <w:p w14:paraId="75E23BB9">
      <w:pPr>
        <w:keepNext w:val="0"/>
        <w:keepLines w:val="0"/>
        <w:pageBreakBefore w:val="0"/>
        <w:widowControl w:val="0"/>
        <w:numPr>
          <w:ilvl w:val="0"/>
          <w:numId w:val="2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强弱电系统、通风空调系统、消防系统等机电工程及其它天花上走管标高位置是否影响天花造型施工。</w:t>
      </w:r>
    </w:p>
    <w:p w14:paraId="514D7B6F">
      <w:pPr>
        <w:keepNext w:val="0"/>
        <w:keepLines w:val="0"/>
        <w:pageBreakBefore w:val="0"/>
        <w:widowControl w:val="0"/>
        <w:numPr>
          <w:ilvl w:val="0"/>
          <w:numId w:val="2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地面平整度如何，是否需设找平层。</w:t>
      </w:r>
    </w:p>
    <w:p w14:paraId="2DA94D70">
      <w:pPr>
        <w:keepNext w:val="0"/>
        <w:keepLines w:val="0"/>
        <w:pageBreakBefore w:val="0"/>
        <w:widowControl w:val="0"/>
        <w:numPr>
          <w:ilvl w:val="0"/>
          <w:numId w:val="2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砼墙、柱面垂直度、方正度如何，是否影响墙饰面施工等。</w:t>
      </w:r>
    </w:p>
    <w:p w14:paraId="21C13E8F">
      <w:pPr>
        <w:keepNext w:val="0"/>
        <w:keepLines w:val="0"/>
        <w:pageBreakBefore w:val="0"/>
        <w:widowControl w:val="0"/>
        <w:numPr>
          <w:ilvl w:val="0"/>
          <w:numId w:val="2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门窗洞口大小尺寸的复测及周边造型是否有矛盾。</w:t>
      </w:r>
    </w:p>
    <w:p w14:paraId="7E1F6C57">
      <w:pPr>
        <w:keepNext w:val="0"/>
        <w:keepLines w:val="0"/>
        <w:pageBreakBefore w:val="0"/>
        <w:widowControl w:val="0"/>
        <w:numPr>
          <w:ilvl w:val="0"/>
          <w:numId w:val="24"/>
        </w:numPr>
        <w:kinsoku/>
        <w:wordWrap/>
        <w:overflowPunct/>
        <w:topLinePunct w:val="0"/>
        <w:autoSpaceDE/>
        <w:autoSpaceDN/>
        <w:bidi w:val="0"/>
        <w:ind w:firstLine="480"/>
        <w:rPr>
          <w:rFonts w:ascii="宋体" w:hAnsi="宋体" w:eastAsia="宋体" w:cs="宋体"/>
          <w:color w:val="auto"/>
          <w:kern w:val="1"/>
          <w:highlight w:val="none"/>
        </w:rPr>
      </w:pPr>
      <w:r>
        <w:rPr>
          <w:rFonts w:hint="eastAsia" w:cs="宋体"/>
          <w:color w:val="auto"/>
          <w:kern w:val="1"/>
          <w:highlight w:val="none"/>
          <w:lang w:eastAsia="zh-CN"/>
        </w:rPr>
        <w:t>专业承包人</w:t>
      </w:r>
      <w:r>
        <w:rPr>
          <w:rFonts w:hint="eastAsia" w:ascii="宋体" w:hAnsi="宋体" w:eastAsia="宋体" w:cs="宋体"/>
          <w:color w:val="auto"/>
          <w:kern w:val="1"/>
          <w:highlight w:val="none"/>
        </w:rPr>
        <w:t>自身精准放线内容：</w:t>
      </w:r>
    </w:p>
    <w:p w14:paraId="24B0B96D">
      <w:pPr>
        <w:keepNext w:val="0"/>
        <w:keepLines w:val="0"/>
        <w:pageBreakBefore w:val="0"/>
        <w:widowControl w:val="0"/>
        <w:numPr>
          <w:ilvl w:val="0"/>
          <w:numId w:val="26"/>
        </w:numPr>
        <w:tabs>
          <w:tab w:val="left" w:pos="40"/>
        </w:tabs>
        <w:kinsoku/>
        <w:wordWrap/>
        <w:overflowPunct/>
        <w:topLinePunct w:val="0"/>
        <w:autoSpaceDE/>
        <w:autoSpaceDN/>
        <w:bidi w:val="0"/>
        <w:adjustRightInd/>
        <w:snapToGrid w:val="0"/>
        <w:ind w:left="0" w:firstLine="480"/>
        <w:jc w:val="left"/>
        <w:textAlignment w:val="auto"/>
        <w:rPr>
          <w:bCs/>
          <w:color w:val="auto"/>
          <w:highlight w:val="none"/>
        </w:rPr>
      </w:pPr>
      <w:r>
        <w:rPr>
          <w:rFonts w:hint="eastAsia"/>
          <w:bCs/>
          <w:color w:val="auto"/>
          <w:highlight w:val="none"/>
        </w:rPr>
        <w:t>室内立面图的分格及造型设计，在施工立面以实际发生的尺寸分配定位放线。</w:t>
      </w:r>
    </w:p>
    <w:p w14:paraId="631EEC61">
      <w:pPr>
        <w:keepNext w:val="0"/>
        <w:keepLines w:val="0"/>
        <w:pageBreakBefore w:val="0"/>
        <w:widowControl w:val="0"/>
        <w:numPr>
          <w:ilvl w:val="0"/>
          <w:numId w:val="26"/>
        </w:numPr>
        <w:tabs>
          <w:tab w:val="left" w:pos="40"/>
        </w:tabs>
        <w:kinsoku/>
        <w:wordWrap/>
        <w:overflowPunct/>
        <w:topLinePunct w:val="0"/>
        <w:autoSpaceDE/>
        <w:autoSpaceDN/>
        <w:bidi w:val="0"/>
        <w:adjustRightInd/>
        <w:snapToGrid w:val="0"/>
        <w:ind w:left="0" w:firstLine="480"/>
        <w:jc w:val="left"/>
        <w:textAlignment w:val="auto"/>
        <w:rPr>
          <w:bCs/>
          <w:color w:val="auto"/>
          <w:highlight w:val="none"/>
        </w:rPr>
      </w:pPr>
      <w:r>
        <w:rPr>
          <w:rFonts w:hint="eastAsia"/>
          <w:bCs/>
          <w:color w:val="auto"/>
          <w:highlight w:val="none"/>
        </w:rPr>
        <w:t>对天花吊点进行精确放线，排列天花基础施工吊点、网格线，确保与风机盘管相联的风口与顶棚镶板相匹配。</w:t>
      </w:r>
    </w:p>
    <w:p w14:paraId="74DE5018">
      <w:pPr>
        <w:keepNext w:val="0"/>
        <w:keepLines w:val="0"/>
        <w:pageBreakBefore w:val="0"/>
        <w:widowControl w:val="0"/>
        <w:numPr>
          <w:ilvl w:val="0"/>
          <w:numId w:val="26"/>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涉及到天花造型从地面引出控制线到天花后，还要在墙面弹出对应的标识控制线。</w:t>
      </w:r>
    </w:p>
    <w:p w14:paraId="57E7BACC">
      <w:pPr>
        <w:keepNext w:val="0"/>
        <w:keepLines w:val="0"/>
        <w:pageBreakBefore w:val="0"/>
        <w:widowControl w:val="0"/>
        <w:numPr>
          <w:ilvl w:val="0"/>
          <w:numId w:val="26"/>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墙面除了标高控制线和经复核后的建筑</w:t>
      </w:r>
      <w:r>
        <w:rPr>
          <w:bCs/>
          <w:color w:val="auto"/>
          <w:highlight w:val="none"/>
        </w:rPr>
        <w:t>1m</w:t>
      </w:r>
      <w:r>
        <w:rPr>
          <w:rFonts w:hint="eastAsia"/>
          <w:bCs/>
          <w:color w:val="auto"/>
          <w:highlight w:val="none"/>
        </w:rPr>
        <w:t>线外，墙面造型的排版线。</w:t>
      </w:r>
    </w:p>
    <w:p w14:paraId="3D2E9C40">
      <w:pPr>
        <w:keepNext w:val="0"/>
        <w:keepLines w:val="0"/>
        <w:pageBreakBefore w:val="0"/>
        <w:widowControl w:val="0"/>
        <w:numPr>
          <w:ilvl w:val="0"/>
          <w:numId w:val="26"/>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门边线处都弹出边线和所有待加工的内径控制线。</w:t>
      </w:r>
    </w:p>
    <w:p w14:paraId="44D1D5D5">
      <w:pPr>
        <w:keepNext w:val="0"/>
        <w:keepLines w:val="0"/>
        <w:pageBreakBefore w:val="0"/>
        <w:widowControl w:val="0"/>
        <w:numPr>
          <w:ilvl w:val="0"/>
          <w:numId w:val="26"/>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天花跌级造型的定位，以地面中线坐标定位后，将天花跌级造型投影在地面上进行放线造型。</w:t>
      </w:r>
    </w:p>
    <w:p w14:paraId="21E2DCE2">
      <w:pPr>
        <w:keepNext w:val="0"/>
        <w:keepLines w:val="0"/>
        <w:pageBreakBefore w:val="0"/>
        <w:widowControl w:val="0"/>
        <w:numPr>
          <w:ilvl w:val="0"/>
          <w:numId w:val="24"/>
        </w:numPr>
        <w:kinsoku/>
        <w:wordWrap/>
        <w:overflowPunct/>
        <w:topLinePunct w:val="0"/>
        <w:autoSpaceDE/>
        <w:autoSpaceDN/>
        <w:bidi w:val="0"/>
        <w:ind w:firstLine="480"/>
        <w:rPr>
          <w:rFonts w:ascii="宋体" w:hAnsi="宋体" w:eastAsia="宋体" w:cs="宋体"/>
          <w:color w:val="auto"/>
          <w:kern w:val="1"/>
          <w:highlight w:val="none"/>
        </w:rPr>
      </w:pPr>
      <w:r>
        <w:rPr>
          <w:rFonts w:hint="eastAsia" w:cs="宋体"/>
          <w:color w:val="auto"/>
          <w:kern w:val="1"/>
          <w:highlight w:val="none"/>
          <w:lang w:eastAsia="zh-CN"/>
        </w:rPr>
        <w:t>专业承包人</w:t>
      </w:r>
      <w:r>
        <w:rPr>
          <w:rFonts w:hint="eastAsia" w:ascii="宋体" w:hAnsi="宋体" w:eastAsia="宋体" w:cs="宋体"/>
          <w:color w:val="auto"/>
          <w:kern w:val="1"/>
          <w:highlight w:val="none"/>
        </w:rPr>
        <w:t>配合其他专业点位放线及钻孔要求</w:t>
      </w:r>
    </w:p>
    <w:tbl>
      <w:tblPr>
        <w:tblStyle w:val="22"/>
        <w:tblW w:w="81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6"/>
        <w:gridCol w:w="1371"/>
        <w:gridCol w:w="5853"/>
      </w:tblGrid>
      <w:tr w14:paraId="40B05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 w:hRule="atLeast"/>
          <w:jc w:val="center"/>
        </w:trPr>
        <w:tc>
          <w:tcPr>
            <w:tcW w:w="876" w:type="dxa"/>
            <w:vAlign w:val="center"/>
          </w:tcPr>
          <w:p w14:paraId="7FFFA5DF">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部位</w:t>
            </w:r>
          </w:p>
        </w:tc>
        <w:tc>
          <w:tcPr>
            <w:tcW w:w="1371" w:type="dxa"/>
            <w:vAlign w:val="center"/>
          </w:tcPr>
          <w:p w14:paraId="2560B56A">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专业点位</w:t>
            </w:r>
          </w:p>
        </w:tc>
        <w:tc>
          <w:tcPr>
            <w:tcW w:w="5853" w:type="dxa"/>
            <w:vAlign w:val="center"/>
          </w:tcPr>
          <w:p w14:paraId="79C98ED4">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放线要求</w:t>
            </w:r>
          </w:p>
        </w:tc>
      </w:tr>
      <w:tr w14:paraId="57EBA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 w:hRule="atLeast"/>
          <w:jc w:val="center"/>
        </w:trPr>
        <w:tc>
          <w:tcPr>
            <w:tcW w:w="876" w:type="dxa"/>
            <w:vMerge w:val="restart"/>
            <w:vAlign w:val="center"/>
          </w:tcPr>
          <w:p w14:paraId="418D5D80">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地面</w:t>
            </w:r>
          </w:p>
        </w:tc>
        <w:tc>
          <w:tcPr>
            <w:tcW w:w="1371" w:type="dxa"/>
            <w:vAlign w:val="center"/>
          </w:tcPr>
          <w:p w14:paraId="2DFE731A">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建筑</w:t>
            </w:r>
          </w:p>
        </w:tc>
        <w:tc>
          <w:tcPr>
            <w:tcW w:w="5853" w:type="dxa"/>
            <w:vAlign w:val="center"/>
          </w:tcPr>
          <w:p w14:paraId="389CA8CA">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所有隔墙线（标注墙体厚度）。</w:t>
            </w:r>
          </w:p>
        </w:tc>
      </w:tr>
      <w:tr w14:paraId="59233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jc w:val="center"/>
        </w:trPr>
        <w:tc>
          <w:tcPr>
            <w:tcW w:w="876" w:type="dxa"/>
            <w:vMerge w:val="continue"/>
            <w:vAlign w:val="center"/>
          </w:tcPr>
          <w:p w14:paraId="0B26B872">
            <w:pPr>
              <w:pStyle w:val="14"/>
              <w:keepNext w:val="0"/>
              <w:keepLines w:val="0"/>
              <w:pageBreakBefore w:val="0"/>
              <w:widowControl w:val="0"/>
              <w:kinsoku/>
              <w:wordWrap/>
              <w:overflowPunct/>
              <w:topLinePunct w:val="0"/>
              <w:autoSpaceDE/>
              <w:autoSpaceDN/>
              <w:bidi w:val="0"/>
              <w:rPr>
                <w:color w:val="auto"/>
                <w:highlight w:val="none"/>
              </w:rPr>
            </w:pPr>
          </w:p>
        </w:tc>
        <w:tc>
          <w:tcPr>
            <w:tcW w:w="1371" w:type="dxa"/>
            <w:vAlign w:val="center"/>
          </w:tcPr>
          <w:p w14:paraId="0282EEBD">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给排水点位</w:t>
            </w:r>
          </w:p>
        </w:tc>
        <w:tc>
          <w:tcPr>
            <w:tcW w:w="5853" w:type="dxa"/>
            <w:vAlign w:val="center"/>
          </w:tcPr>
          <w:p w14:paraId="1114AC7A">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管中十字线并钻孔、恢复，钻孔尺寸按机电给出的要求施工。</w:t>
            </w:r>
          </w:p>
        </w:tc>
      </w:tr>
      <w:tr w14:paraId="60FE3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jc w:val="center"/>
        </w:trPr>
        <w:tc>
          <w:tcPr>
            <w:tcW w:w="876" w:type="dxa"/>
            <w:vMerge w:val="continue"/>
            <w:vAlign w:val="center"/>
          </w:tcPr>
          <w:p w14:paraId="5CA7411F">
            <w:pPr>
              <w:pStyle w:val="14"/>
              <w:keepNext w:val="0"/>
              <w:keepLines w:val="0"/>
              <w:pageBreakBefore w:val="0"/>
              <w:widowControl w:val="0"/>
              <w:kinsoku/>
              <w:wordWrap/>
              <w:overflowPunct/>
              <w:topLinePunct w:val="0"/>
              <w:autoSpaceDE/>
              <w:autoSpaceDN/>
              <w:bidi w:val="0"/>
              <w:rPr>
                <w:color w:val="auto"/>
                <w:highlight w:val="none"/>
              </w:rPr>
            </w:pPr>
          </w:p>
        </w:tc>
        <w:tc>
          <w:tcPr>
            <w:tcW w:w="1371" w:type="dxa"/>
            <w:vAlign w:val="center"/>
          </w:tcPr>
          <w:p w14:paraId="0A539B59">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强、弱电</w:t>
            </w:r>
          </w:p>
        </w:tc>
        <w:tc>
          <w:tcPr>
            <w:tcW w:w="5853" w:type="dxa"/>
            <w:vAlign w:val="center"/>
          </w:tcPr>
          <w:p w14:paraId="270D2E6A">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线盒点位十字交叉线，用文字说明。</w:t>
            </w:r>
          </w:p>
        </w:tc>
      </w:tr>
      <w:tr w14:paraId="1724D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jc w:val="center"/>
        </w:trPr>
        <w:tc>
          <w:tcPr>
            <w:tcW w:w="876" w:type="dxa"/>
            <w:vMerge w:val="restart"/>
            <w:vAlign w:val="center"/>
          </w:tcPr>
          <w:p w14:paraId="5398F1F4">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墙面</w:t>
            </w:r>
          </w:p>
        </w:tc>
        <w:tc>
          <w:tcPr>
            <w:tcW w:w="1371" w:type="dxa"/>
            <w:vAlign w:val="center"/>
          </w:tcPr>
          <w:p w14:paraId="2981A71B">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建筑、内装</w:t>
            </w:r>
          </w:p>
        </w:tc>
        <w:tc>
          <w:tcPr>
            <w:tcW w:w="5853" w:type="dxa"/>
            <w:vAlign w:val="center"/>
          </w:tcPr>
          <w:p w14:paraId="047D71D7">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最终完成面建筑1.0米标高线。</w:t>
            </w:r>
          </w:p>
          <w:p w14:paraId="783D2AB3">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墙体完成面线，石材及瓷砖排版控制线。</w:t>
            </w:r>
          </w:p>
          <w:p w14:paraId="56D22008">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洗手盆标高线。</w:t>
            </w:r>
          </w:p>
          <w:p w14:paraId="1C816C5B">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装修需要占用吊顶龙骨以上部位的标高标识。</w:t>
            </w:r>
          </w:p>
        </w:tc>
      </w:tr>
      <w:tr w14:paraId="14260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876" w:type="dxa"/>
            <w:vMerge w:val="continue"/>
            <w:vAlign w:val="center"/>
          </w:tcPr>
          <w:p w14:paraId="65525A1C">
            <w:pPr>
              <w:pStyle w:val="14"/>
              <w:keepNext w:val="0"/>
              <w:keepLines w:val="0"/>
              <w:pageBreakBefore w:val="0"/>
              <w:widowControl w:val="0"/>
              <w:kinsoku/>
              <w:wordWrap/>
              <w:overflowPunct/>
              <w:topLinePunct w:val="0"/>
              <w:autoSpaceDE/>
              <w:autoSpaceDN/>
              <w:bidi w:val="0"/>
              <w:rPr>
                <w:color w:val="auto"/>
                <w:highlight w:val="none"/>
              </w:rPr>
            </w:pPr>
          </w:p>
        </w:tc>
        <w:tc>
          <w:tcPr>
            <w:tcW w:w="1371" w:type="dxa"/>
            <w:vAlign w:val="center"/>
          </w:tcPr>
          <w:p w14:paraId="325F4EC9">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排水点位</w:t>
            </w:r>
          </w:p>
        </w:tc>
        <w:tc>
          <w:tcPr>
            <w:tcW w:w="5853" w:type="dxa"/>
            <w:vAlign w:val="center"/>
          </w:tcPr>
          <w:p w14:paraId="7CC20995">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管中十字线，用文字标识清楚。</w:t>
            </w:r>
          </w:p>
        </w:tc>
      </w:tr>
      <w:tr w14:paraId="425F5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jc w:val="center"/>
        </w:trPr>
        <w:tc>
          <w:tcPr>
            <w:tcW w:w="876" w:type="dxa"/>
            <w:vMerge w:val="continue"/>
            <w:vAlign w:val="center"/>
          </w:tcPr>
          <w:p w14:paraId="68EC83DB">
            <w:pPr>
              <w:pStyle w:val="14"/>
              <w:keepNext w:val="0"/>
              <w:keepLines w:val="0"/>
              <w:pageBreakBefore w:val="0"/>
              <w:widowControl w:val="0"/>
              <w:kinsoku/>
              <w:wordWrap/>
              <w:overflowPunct/>
              <w:topLinePunct w:val="0"/>
              <w:autoSpaceDE/>
              <w:autoSpaceDN/>
              <w:bidi w:val="0"/>
              <w:rPr>
                <w:color w:val="auto"/>
                <w:highlight w:val="none"/>
              </w:rPr>
            </w:pPr>
          </w:p>
        </w:tc>
        <w:tc>
          <w:tcPr>
            <w:tcW w:w="1371" w:type="dxa"/>
            <w:vAlign w:val="center"/>
          </w:tcPr>
          <w:p w14:paraId="7142A744">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消防点位</w:t>
            </w:r>
          </w:p>
        </w:tc>
        <w:tc>
          <w:tcPr>
            <w:tcW w:w="5853" w:type="dxa"/>
            <w:vAlign w:val="center"/>
          </w:tcPr>
          <w:p w14:paraId="00E3FD34">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消火栓箱完成面线。</w:t>
            </w:r>
          </w:p>
        </w:tc>
      </w:tr>
      <w:tr w14:paraId="4D6E3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jc w:val="center"/>
        </w:trPr>
        <w:tc>
          <w:tcPr>
            <w:tcW w:w="876" w:type="dxa"/>
            <w:vMerge w:val="continue"/>
            <w:vAlign w:val="center"/>
          </w:tcPr>
          <w:p w14:paraId="18EA5F73">
            <w:pPr>
              <w:pStyle w:val="14"/>
              <w:keepNext w:val="0"/>
              <w:keepLines w:val="0"/>
              <w:pageBreakBefore w:val="0"/>
              <w:widowControl w:val="0"/>
              <w:kinsoku/>
              <w:wordWrap/>
              <w:overflowPunct/>
              <w:topLinePunct w:val="0"/>
              <w:autoSpaceDE/>
              <w:autoSpaceDN/>
              <w:bidi w:val="0"/>
              <w:rPr>
                <w:color w:val="auto"/>
                <w:highlight w:val="none"/>
              </w:rPr>
            </w:pPr>
          </w:p>
        </w:tc>
        <w:tc>
          <w:tcPr>
            <w:tcW w:w="1371" w:type="dxa"/>
            <w:vAlign w:val="center"/>
          </w:tcPr>
          <w:p w14:paraId="5B1AB420">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给水点位</w:t>
            </w:r>
          </w:p>
        </w:tc>
        <w:tc>
          <w:tcPr>
            <w:tcW w:w="5853" w:type="dxa"/>
            <w:vAlign w:val="center"/>
          </w:tcPr>
          <w:p w14:paraId="365B9F16">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管中十字线，用文字标识清楚。</w:t>
            </w:r>
          </w:p>
        </w:tc>
      </w:tr>
      <w:tr w14:paraId="2DEA5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jc w:val="center"/>
        </w:trPr>
        <w:tc>
          <w:tcPr>
            <w:tcW w:w="876" w:type="dxa"/>
            <w:vMerge w:val="continue"/>
            <w:vAlign w:val="center"/>
          </w:tcPr>
          <w:p w14:paraId="62983B8A">
            <w:pPr>
              <w:pStyle w:val="14"/>
              <w:keepNext w:val="0"/>
              <w:keepLines w:val="0"/>
              <w:pageBreakBefore w:val="0"/>
              <w:widowControl w:val="0"/>
              <w:kinsoku/>
              <w:wordWrap/>
              <w:overflowPunct/>
              <w:topLinePunct w:val="0"/>
              <w:autoSpaceDE/>
              <w:autoSpaceDN/>
              <w:bidi w:val="0"/>
              <w:rPr>
                <w:color w:val="auto"/>
                <w:highlight w:val="none"/>
              </w:rPr>
            </w:pPr>
          </w:p>
        </w:tc>
        <w:tc>
          <w:tcPr>
            <w:tcW w:w="1371" w:type="dxa"/>
            <w:vAlign w:val="center"/>
          </w:tcPr>
          <w:p w14:paraId="7D658705">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强、弱电</w:t>
            </w:r>
          </w:p>
        </w:tc>
        <w:tc>
          <w:tcPr>
            <w:tcW w:w="5853" w:type="dxa"/>
            <w:vAlign w:val="center"/>
          </w:tcPr>
          <w:p w14:paraId="7CEC2DC3">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1、线盒点位十字交叉线，用文字说明。</w:t>
            </w:r>
          </w:p>
          <w:p w14:paraId="7E7EC5CD">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2、线箱定位线。</w:t>
            </w:r>
          </w:p>
          <w:p w14:paraId="3E2A65BC">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3、手报定位十字线。</w:t>
            </w:r>
          </w:p>
        </w:tc>
      </w:tr>
      <w:tr w14:paraId="56B87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jc w:val="center"/>
        </w:trPr>
        <w:tc>
          <w:tcPr>
            <w:tcW w:w="876" w:type="dxa"/>
            <w:vMerge w:val="restart"/>
            <w:vAlign w:val="center"/>
          </w:tcPr>
          <w:p w14:paraId="3FE5BE4F">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天花</w:t>
            </w:r>
          </w:p>
        </w:tc>
        <w:tc>
          <w:tcPr>
            <w:tcW w:w="1371" w:type="dxa"/>
            <w:vAlign w:val="center"/>
          </w:tcPr>
          <w:p w14:paraId="332840DB">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建筑</w:t>
            </w:r>
          </w:p>
        </w:tc>
        <w:tc>
          <w:tcPr>
            <w:tcW w:w="5853" w:type="dxa"/>
            <w:vAlign w:val="center"/>
          </w:tcPr>
          <w:p w14:paraId="2B434999">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天花标高及造型线（能辨认标高变化）。</w:t>
            </w:r>
          </w:p>
          <w:p w14:paraId="4629BA54">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检修口定位的地面投影线。</w:t>
            </w:r>
          </w:p>
        </w:tc>
      </w:tr>
      <w:tr w14:paraId="06FB4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jc w:val="center"/>
        </w:trPr>
        <w:tc>
          <w:tcPr>
            <w:tcW w:w="876" w:type="dxa"/>
            <w:vMerge w:val="continue"/>
            <w:vAlign w:val="center"/>
          </w:tcPr>
          <w:p w14:paraId="4EF9CAFB">
            <w:pPr>
              <w:pStyle w:val="14"/>
              <w:keepNext w:val="0"/>
              <w:keepLines w:val="0"/>
              <w:pageBreakBefore w:val="0"/>
              <w:widowControl w:val="0"/>
              <w:kinsoku/>
              <w:wordWrap/>
              <w:overflowPunct/>
              <w:topLinePunct w:val="0"/>
              <w:autoSpaceDE/>
              <w:autoSpaceDN/>
              <w:bidi w:val="0"/>
              <w:rPr>
                <w:color w:val="auto"/>
                <w:highlight w:val="none"/>
              </w:rPr>
            </w:pPr>
          </w:p>
        </w:tc>
        <w:tc>
          <w:tcPr>
            <w:tcW w:w="1371" w:type="dxa"/>
            <w:vAlign w:val="center"/>
          </w:tcPr>
          <w:p w14:paraId="460D3C76">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消防</w:t>
            </w:r>
          </w:p>
        </w:tc>
        <w:tc>
          <w:tcPr>
            <w:tcW w:w="5853" w:type="dxa"/>
            <w:vAlign w:val="center"/>
          </w:tcPr>
          <w:p w14:paraId="5C5A7565">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喷淋点位，封板前局部采用小块石膏板经放线定位钻孔后，准确给出喷淋点位，喷淋系统验收合格后封板。</w:t>
            </w:r>
          </w:p>
        </w:tc>
      </w:tr>
      <w:tr w14:paraId="04185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jc w:val="center"/>
        </w:trPr>
        <w:tc>
          <w:tcPr>
            <w:tcW w:w="876" w:type="dxa"/>
            <w:vMerge w:val="continue"/>
            <w:vAlign w:val="center"/>
          </w:tcPr>
          <w:p w14:paraId="1D96564F">
            <w:pPr>
              <w:pStyle w:val="14"/>
              <w:keepNext w:val="0"/>
              <w:keepLines w:val="0"/>
              <w:pageBreakBefore w:val="0"/>
              <w:widowControl w:val="0"/>
              <w:kinsoku/>
              <w:wordWrap/>
              <w:overflowPunct/>
              <w:topLinePunct w:val="0"/>
              <w:autoSpaceDE/>
              <w:autoSpaceDN/>
              <w:bidi w:val="0"/>
              <w:rPr>
                <w:color w:val="auto"/>
                <w:highlight w:val="none"/>
              </w:rPr>
            </w:pPr>
          </w:p>
        </w:tc>
        <w:tc>
          <w:tcPr>
            <w:tcW w:w="1371" w:type="dxa"/>
            <w:vAlign w:val="center"/>
          </w:tcPr>
          <w:p w14:paraId="15F880DD">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空调</w:t>
            </w:r>
          </w:p>
        </w:tc>
        <w:tc>
          <w:tcPr>
            <w:tcW w:w="5853" w:type="dxa"/>
            <w:vAlign w:val="center"/>
          </w:tcPr>
          <w:p w14:paraId="5EFF964F">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所有风口位置。风口位置应划出风口面尺寸。</w:t>
            </w:r>
          </w:p>
        </w:tc>
      </w:tr>
      <w:tr w14:paraId="477D4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jc w:val="center"/>
        </w:trPr>
        <w:tc>
          <w:tcPr>
            <w:tcW w:w="876" w:type="dxa"/>
            <w:vMerge w:val="continue"/>
            <w:vAlign w:val="center"/>
          </w:tcPr>
          <w:p w14:paraId="54DED913">
            <w:pPr>
              <w:pStyle w:val="14"/>
              <w:keepNext w:val="0"/>
              <w:keepLines w:val="0"/>
              <w:pageBreakBefore w:val="0"/>
              <w:widowControl w:val="0"/>
              <w:kinsoku/>
              <w:wordWrap/>
              <w:overflowPunct/>
              <w:topLinePunct w:val="0"/>
              <w:autoSpaceDE/>
              <w:autoSpaceDN/>
              <w:bidi w:val="0"/>
              <w:rPr>
                <w:color w:val="auto"/>
                <w:highlight w:val="none"/>
              </w:rPr>
            </w:pPr>
          </w:p>
        </w:tc>
        <w:tc>
          <w:tcPr>
            <w:tcW w:w="1371" w:type="dxa"/>
            <w:vAlign w:val="center"/>
          </w:tcPr>
          <w:p w14:paraId="054097B2">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强、弱电</w:t>
            </w:r>
          </w:p>
        </w:tc>
        <w:tc>
          <w:tcPr>
            <w:tcW w:w="5853" w:type="dxa"/>
            <w:vAlign w:val="center"/>
          </w:tcPr>
          <w:p w14:paraId="332507C3">
            <w:pPr>
              <w:pStyle w:val="14"/>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t>喇叭、烟感、温感、摄像头等点位放线、开孔及修复。</w:t>
            </w:r>
          </w:p>
        </w:tc>
      </w:tr>
    </w:tbl>
    <w:p w14:paraId="7D21DE90">
      <w:pPr>
        <w:keepNext w:val="0"/>
        <w:keepLines w:val="0"/>
        <w:pageBreakBefore w:val="0"/>
        <w:widowControl w:val="0"/>
        <w:tabs>
          <w:tab w:val="left" w:pos="567"/>
          <w:tab w:val="left" w:pos="851"/>
          <w:tab w:val="left" w:pos="1985"/>
        </w:tabs>
        <w:kinsoku/>
        <w:wordWrap/>
        <w:overflowPunct/>
        <w:topLinePunct w:val="0"/>
        <w:autoSpaceDE/>
        <w:autoSpaceDN/>
        <w:bidi w:val="0"/>
        <w:adjustRightInd/>
        <w:snapToGrid/>
        <w:spacing w:before="120" w:beforeLines="50" w:after="120" w:afterLines="50" w:line="360" w:lineRule="auto"/>
        <w:ind w:firstLine="480" w:firstLineChars="200"/>
        <w:jc w:val="left"/>
        <w:textAlignment w:val="auto"/>
        <w:rPr>
          <w:rFonts w:eastAsia="宋体"/>
          <w:color w:val="auto"/>
          <w:sz w:val="24"/>
          <w:szCs w:val="24"/>
          <w:highlight w:val="none"/>
        </w:rPr>
      </w:pPr>
      <w:r>
        <w:rPr>
          <w:rFonts w:hint="eastAsia" w:eastAsia="宋体"/>
          <w:color w:val="auto"/>
          <w:sz w:val="24"/>
          <w:szCs w:val="24"/>
          <w:highlight w:val="none"/>
        </w:rPr>
        <w:t>以上所有放线应有永久性参照，无参照者引起的其他专业的返工责任由</w:t>
      </w:r>
      <w:r>
        <w:rPr>
          <w:rFonts w:hint="eastAsia"/>
          <w:color w:val="auto"/>
          <w:sz w:val="24"/>
          <w:szCs w:val="24"/>
          <w:highlight w:val="none"/>
          <w:lang w:eastAsia="zh-CN"/>
        </w:rPr>
        <w:t>专业承包人</w:t>
      </w:r>
      <w:r>
        <w:rPr>
          <w:rFonts w:hint="eastAsia" w:eastAsia="宋体"/>
          <w:color w:val="auto"/>
          <w:sz w:val="24"/>
          <w:szCs w:val="24"/>
          <w:highlight w:val="none"/>
        </w:rPr>
        <w:t>负责。</w:t>
      </w:r>
    </w:p>
    <w:p w14:paraId="5ADC2A49">
      <w:pPr>
        <w:keepNext w:val="0"/>
        <w:keepLines w:val="0"/>
        <w:pageBreakBefore w:val="0"/>
        <w:widowControl w:val="0"/>
        <w:numPr>
          <w:ilvl w:val="0"/>
          <w:numId w:val="24"/>
        </w:numPr>
        <w:kinsoku/>
        <w:wordWrap/>
        <w:overflowPunct/>
        <w:topLinePunct w:val="0"/>
        <w:autoSpaceDE/>
        <w:autoSpaceDN/>
        <w:bidi w:val="0"/>
        <w:adjustRightInd/>
        <w:ind w:firstLine="480"/>
        <w:textAlignment w:val="auto"/>
        <w:rPr>
          <w:rFonts w:ascii="宋体" w:hAnsi="宋体" w:eastAsia="宋体" w:cs="宋体"/>
          <w:color w:val="auto"/>
          <w:kern w:val="1"/>
          <w:highlight w:val="none"/>
        </w:rPr>
      </w:pPr>
      <w:r>
        <w:rPr>
          <w:rFonts w:hint="eastAsia" w:ascii="宋体" w:hAnsi="宋体" w:eastAsia="宋体" w:cs="宋体"/>
          <w:color w:val="auto"/>
          <w:kern w:val="1"/>
          <w:highlight w:val="none"/>
        </w:rPr>
        <w:t>总</w:t>
      </w:r>
      <w:r>
        <w:rPr>
          <w:rFonts w:hint="eastAsia" w:ascii="宋体" w:hAnsi="宋体" w:eastAsia="宋体" w:cs="宋体"/>
          <w:color w:val="auto"/>
          <w:kern w:val="1"/>
          <w:highlight w:val="none"/>
          <w:lang w:eastAsia="zh-CN"/>
        </w:rPr>
        <w:t>承包人</w:t>
      </w:r>
      <w:r>
        <w:rPr>
          <w:rFonts w:hint="eastAsia" w:ascii="宋体" w:hAnsi="宋体" w:eastAsia="宋体" w:cs="宋体"/>
          <w:color w:val="auto"/>
          <w:kern w:val="1"/>
          <w:highlight w:val="none"/>
        </w:rPr>
        <w:t>提供给电梯安装单位基准线，电梯安装单位提供厅门地面十字线，</w:t>
      </w:r>
      <w:r>
        <w:rPr>
          <w:rFonts w:hint="eastAsia" w:cs="宋体"/>
          <w:color w:val="auto"/>
          <w:kern w:val="1"/>
          <w:highlight w:val="none"/>
          <w:lang w:eastAsia="zh-CN"/>
        </w:rPr>
        <w:t>专业承包人</w:t>
      </w:r>
      <w:r>
        <w:rPr>
          <w:rFonts w:hint="eastAsia" w:ascii="宋体" w:hAnsi="宋体" w:eastAsia="宋体" w:cs="宋体"/>
          <w:color w:val="auto"/>
          <w:kern w:val="1"/>
          <w:highlight w:val="none"/>
        </w:rPr>
        <w:t>提供标高线并复核全部工作。</w:t>
      </w:r>
    </w:p>
    <w:p w14:paraId="7976D5EC">
      <w:pPr>
        <w:pStyle w:val="4"/>
        <w:keepNext w:val="0"/>
        <w:keepLines w:val="0"/>
        <w:pageBreakBefore w:val="0"/>
        <w:widowControl w:val="0"/>
        <w:numPr>
          <w:ilvl w:val="1"/>
          <w:numId w:val="15"/>
        </w:numPr>
        <w:kinsoku/>
        <w:wordWrap/>
        <w:overflowPunct/>
        <w:topLinePunct w:val="0"/>
        <w:autoSpaceDE/>
        <w:autoSpaceDN/>
        <w:bidi w:val="0"/>
        <w:adjustRightInd/>
        <w:textAlignment w:val="auto"/>
        <w:rPr>
          <w:color w:val="auto"/>
          <w:highlight w:val="none"/>
        </w:rPr>
      </w:pPr>
      <w:bookmarkStart w:id="462" w:name="_Toc153907582"/>
      <w:bookmarkStart w:id="463" w:name="_Toc20796"/>
      <w:bookmarkStart w:id="464" w:name="_Toc7312"/>
      <w:r>
        <w:rPr>
          <w:rFonts w:hint="eastAsia"/>
          <w:color w:val="auto"/>
          <w:highlight w:val="none"/>
        </w:rPr>
        <w:t>吊顶工程技术要求</w:t>
      </w:r>
      <w:bookmarkEnd w:id="462"/>
      <w:bookmarkEnd w:id="463"/>
      <w:bookmarkEnd w:id="464"/>
    </w:p>
    <w:p w14:paraId="5287597C">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吊顶龙骨材料应满足设计及验收要求，禁止使用木制龙骨、玻镁板。</w:t>
      </w:r>
    </w:p>
    <w:p w14:paraId="33F17A29">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表面有产品标记，顺序为：产品名称，板材棱边形状的代号，板宽，板厚及标准号。</w:t>
      </w:r>
    </w:p>
    <w:p w14:paraId="44BA1E16">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外观质量：石膏板板面应平整，无波纹、沟槽、污痕和划伤等缺陷；尺寸允许偏差、含水率、单位面积重量应符合优等品的质量要求；护面纸与石膏芯的粘结、按规定的方法测定时，石膏板板芯不得有裸露。</w:t>
      </w:r>
    </w:p>
    <w:p w14:paraId="4E8EC85B">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产品应有质量合格证。在每张板材的背面应标明产品的名称、制造厂名、生产日期和商标。</w:t>
      </w:r>
    </w:p>
    <w:p w14:paraId="264A2D0A">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卫生间、厨房、阳台、地下室及海边环境等潮湿区域禁止使用普通石膏板与防潮石膏板。</w:t>
      </w:r>
    </w:p>
    <w:p w14:paraId="4483F7DB">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骨架和罩面板的材质、品种、式样、规格应符合设计要求，吊顶标高、尺寸和造型应符合设计要求。</w:t>
      </w:r>
    </w:p>
    <w:p w14:paraId="44DA5099">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轻钢骨架的吊杆，大、中、小龙骨安装位置正确，连接牢固，无松动。</w:t>
      </w:r>
    </w:p>
    <w:p w14:paraId="50B87147">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罩面板应无脱层、翘曲、折裂、缺棱掉角等缺陷，安装必须牢固。</w:t>
      </w:r>
    </w:p>
    <w:p w14:paraId="7443A08E">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金属吊杆、龙骨应采用热镀锌钢材；木基层采用阻燃胶合板时须进行防腐、防虫处理。</w:t>
      </w:r>
    </w:p>
    <w:p w14:paraId="56C3282C">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石膏板接口处须增加横撑龙骨加固，不允许接口处面板悬空。</w:t>
      </w:r>
    </w:p>
    <w:p w14:paraId="10D5924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石膏板与轻钢龙骨的的连接采用高强度自攻螺钉固定，不能先钻孔后固定，要采用自攻枪垂直地一次打入紧固，螺钉头表面埋入石膏板纸面约0.5~1.0mm，且不得破坏纸面。</w:t>
      </w:r>
    </w:p>
    <w:p w14:paraId="1CABC70E">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安装双层石膏板时，基层板拼缝位置必须设置在副龙骨的正中，面层板的接缝应错开，并不得在一根龙骨上接缝；两层石膏板间必须满涂环保型白胶。</w:t>
      </w:r>
    </w:p>
    <w:p w14:paraId="2CF5CBE9">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灯槽底及叠级底部第一层石膏板安装可以根据底部天花尺寸下料进行安装，第二层石膏板必需根据灯槽底部造型，采用整块石膏板切割出吻合的形状，与第一层石膏板错缝安装。</w:t>
      </w:r>
    </w:p>
    <w:p w14:paraId="2E9F3BF6">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在合理位置必须设置检修口，检修口四周必须进行加固处理，检修口为成品检修口，具体尺寸符合图纸并满足实际检修功能要求。</w:t>
      </w:r>
    </w:p>
    <w:p w14:paraId="6C4690D0">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天花转角位需采用L型或者T型石膏板防止开裂，L型边长大于等于300mm。</w:t>
      </w:r>
    </w:p>
    <w:p w14:paraId="0CE655EE">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天花石膏板阴阳角须采用护角。</w:t>
      </w:r>
    </w:p>
    <w:p w14:paraId="0C77F8CE">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天花石膏线条安装必须采用不锈钢自攻螺丝固定。</w:t>
      </w:r>
    </w:p>
    <w:p w14:paraId="106A80F5">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自攻螺钉固定时，距离石膏板边缘间距不得低于10mm（如加工板，距离不得小于15mm）。</w:t>
      </w:r>
    </w:p>
    <w:p w14:paraId="56E91DC1">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吊顶面积大于6m²的地方禁止使用卡式龙骨，特殊情况须发包人书面确认方可使用。</w:t>
      </w:r>
    </w:p>
    <w:p w14:paraId="7E2D1FD7">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石膏板距墙面留缝4~6mm（墙面无造型留缝的情况），采用模型石膏腻子嵌缝修补。</w:t>
      </w:r>
    </w:p>
    <w:p w14:paraId="4D98C237">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石膏板吊顶须采用双层9.5mm石膏板铺设，特殊情况须发包人书面确认方可使用。</w:t>
      </w:r>
    </w:p>
    <w:p w14:paraId="426A5D3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bookmarkStart w:id="465" w:name="_Toc153907583"/>
      <w:r>
        <w:rPr>
          <w:rFonts w:hint="eastAsia"/>
          <w:color w:val="auto"/>
          <w:highlight w:val="none"/>
        </w:rPr>
        <w:t>风口安装技术要求</w:t>
      </w:r>
      <w:bookmarkEnd w:id="465"/>
    </w:p>
    <w:p w14:paraId="33F3FC0A">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风口的规格以颈部外径与外边长为准，其尺寸的允许偏差值应符合国家规范规定。风口的外表应平整、叶片或扩散环的分布应匀称、颜色应均匀一致、无明显的划伤和压痕；调节装置转动应灵活、可靠，定位后应无明显自由松动。</w:t>
      </w:r>
    </w:p>
    <w:p w14:paraId="26687D18">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空调回风口、出风口等处要求设置木边框，木边框宽度不小于50mm，以便于风口及设施安装。风口与风管的连接应严密、牢固，与装饰面相紧贴；表面平整、不变形，调节灵活、可靠。条形风口的安装，接缝处应衔接自然，无明显缝隙。同一厅室、房间内的相同风口的安装高度应一致，排列应整齐。风口、及安装螺丝颜色同天花板面漆颜色一致，要求站在地板上看不到安装螺丝。</w:t>
      </w:r>
    </w:p>
    <w:p w14:paraId="3E2FC835">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风口水平安装，水平度的偏差不应大于3/1000。</w:t>
      </w:r>
    </w:p>
    <w:p w14:paraId="50F7261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风口垂直安装，垂直度的偏差不应大于2/1000。</w:t>
      </w:r>
    </w:p>
    <w:p w14:paraId="23586F13">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风口百叶朝向一致、均匀，有泛光灯槽的风口百叶至少水平方向。</w:t>
      </w:r>
    </w:p>
    <w:p w14:paraId="5198ECDC">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风口安装牢固、稳定，并居中安装。</w:t>
      </w:r>
    </w:p>
    <w:p w14:paraId="7536EED1">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风口安装高度：有泛光灯槽的风口底边框上口必须高出侧挡板至少20mm。</w:t>
      </w:r>
    </w:p>
    <w:p w14:paraId="5DCDE7D0">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bCs/>
          <w:color w:val="auto"/>
          <w:highlight w:val="none"/>
        </w:rPr>
      </w:pPr>
      <w:r>
        <w:rPr>
          <w:rFonts w:hint="eastAsia"/>
          <w:color w:val="auto"/>
          <w:highlight w:val="none"/>
        </w:rPr>
        <w:t>风口内部可视部位需进行喷黑/灰处理。</w:t>
      </w:r>
    </w:p>
    <w:p w14:paraId="53A2B712">
      <w:pPr>
        <w:pStyle w:val="4"/>
        <w:keepNext w:val="0"/>
        <w:keepLines w:val="0"/>
        <w:pageBreakBefore w:val="0"/>
        <w:widowControl w:val="0"/>
        <w:numPr>
          <w:ilvl w:val="1"/>
          <w:numId w:val="15"/>
        </w:numPr>
        <w:kinsoku/>
        <w:wordWrap/>
        <w:overflowPunct/>
        <w:topLinePunct w:val="0"/>
        <w:autoSpaceDE/>
        <w:autoSpaceDN/>
        <w:bidi w:val="0"/>
        <w:adjustRightInd/>
        <w:textAlignment w:val="auto"/>
        <w:rPr>
          <w:color w:val="auto"/>
          <w:highlight w:val="none"/>
        </w:rPr>
      </w:pPr>
      <w:bookmarkStart w:id="466" w:name="_Toc2345"/>
      <w:bookmarkStart w:id="467" w:name="_Toc153907584"/>
      <w:bookmarkStart w:id="468" w:name="_Toc16872"/>
      <w:r>
        <w:rPr>
          <w:rFonts w:hint="eastAsia"/>
          <w:color w:val="auto"/>
          <w:highlight w:val="none"/>
        </w:rPr>
        <w:t>地面铺贴石材技术要求</w:t>
      </w:r>
      <w:bookmarkEnd w:id="466"/>
      <w:bookmarkEnd w:id="467"/>
      <w:bookmarkEnd w:id="468"/>
    </w:p>
    <w:p w14:paraId="0A21F605">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粘结材料应采用指定品牌并匹配的型号石材专用粘结剂，其技术指标应符合石材粘结剂国家及行业要求，有出厂合格证和进场复试报告，并通过试验确定其适用性和使用要求。</w:t>
      </w:r>
    </w:p>
    <w:p w14:paraId="1A25B2C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嵌缝剂，应采用结构组织紧密、吸水率低、抗污、抗菌防霉效果好的的石材专用嵌缝剂。嵌缝剂的选择前须先做样板，通过后方可使用。</w:t>
      </w:r>
    </w:p>
    <w:p w14:paraId="2C641F1A">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石材须选择优等品，外观没有缺棱缺角、洞眼、开裂、色斑、色筋、色线、风化等缺陷，各块之间色差小；将板材平放在地面上，距板材1m处看不见的缺陷视为无缺陷。</w:t>
      </w:r>
    </w:p>
    <w:p w14:paraId="25C482E8">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加工完的成品石材必须出厂前做好六面水性防护，防护材料PH值：中性；石材防护剂须符合品牌要求，地面石材铺贴前必须铲除背面网格布，超大板块石材需增加纤维背筋等加强措施，现场补刷合规水性防护至晾干。</w:t>
      </w:r>
    </w:p>
    <w:p w14:paraId="1CFAF36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采用石材专用粘结剂进行铺设，面层与下一层应结合牢固，无空鼓。浅色石材采用白石屑掺白水泥找平，采用白色专用粘接剂铺贴。</w:t>
      </w:r>
    </w:p>
    <w:p w14:paraId="1BE24DCA">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石材铺贴包括但不限于水泥砂浆找平层、磨边、切割、开孔、背网铲除、底部防污、防腐、六面防护、检测、复试、石材表面晶面处理、表面无缝处理、成品保护措施，及一切所需的人工、材料（如高分子益胶泥、粘结剂、水泥、填缝胶、防污剂、结晶粉）及损耗等费用。</w:t>
      </w:r>
    </w:p>
    <w:p w14:paraId="4C192BC1">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排版合理，贴好标号标签，铺装前需进行试拼、试排，使板与板之间纹理、结晶通顺，颜色协调，无色差。阴阳角处搭接方式正确，地面不得出现朝天缝。</w:t>
      </w:r>
    </w:p>
    <w:p w14:paraId="748A1C5A">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所有外露边出厂前必须进行打磨抛光处理，不得现场切割、打磨。</w:t>
      </w:r>
    </w:p>
    <w:p w14:paraId="2880972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要求进行地面石材结晶处理的石材表面已经清洁干净；结晶完成面洁净、平整、坚实，光亮光滑，透明色泽一致，洁晶面层无裂纹，凹凸不平等现象。</w:t>
      </w:r>
    </w:p>
    <w:p w14:paraId="652F1381">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表面无泛碱、析盐、泛锈、水雾、水印等现象。</w:t>
      </w:r>
    </w:p>
    <w:p w14:paraId="7911468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石材面层表面应洁净、平整、无磨痕，且应图案清晰，色泽一致，接缝平整，周边顺直，镶嵌正确，板块无裂纹、缺楞、掉角等缺陷。</w:t>
      </w:r>
    </w:p>
    <w:p w14:paraId="2D995FB9">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踢脚线、窗台板表面应洁净、高度一致、结合牢固，出墙厚度、长宽度一致。</w:t>
      </w:r>
    </w:p>
    <w:p w14:paraId="2020FDE9">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石材厚度的允许偏差应符合国家规范要求。（GB/T19766）。</w:t>
      </w:r>
    </w:p>
    <w:p w14:paraId="71BEA43A">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地面石材结晶施工技术要求</w:t>
      </w:r>
    </w:p>
    <w:p w14:paraId="4C14C375">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石材打磨完成后必须晾干，石材含水率低于3%时方可进行交付前的晶面施工。</w:t>
      </w:r>
    </w:p>
    <w:p w14:paraId="1B5A08AA">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晶面完成后晶面光泽度满足设计要求，晶面处理后的地面石材接缝高低差为零，石材的表面平整光滑，完全干燥，光亮如镜。</w:t>
      </w:r>
    </w:p>
    <w:p w14:paraId="79571CA6">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结晶施工前，需上报专项施工方案,并经</w:t>
      </w:r>
      <w:r>
        <w:rPr>
          <w:rFonts w:hint="eastAsia"/>
          <w:color w:val="auto"/>
          <w:highlight w:val="none"/>
          <w:lang w:eastAsia="zh-CN"/>
        </w:rPr>
        <w:t>发包人</w:t>
      </w:r>
      <w:r>
        <w:rPr>
          <w:rFonts w:hint="eastAsia"/>
          <w:color w:val="auto"/>
          <w:highlight w:val="none"/>
        </w:rPr>
        <w:t>认可后方可施工。</w:t>
      </w:r>
    </w:p>
    <w:p w14:paraId="35422299">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石材结晶表面抗水性强，并达到产品的硬度要求。</w:t>
      </w:r>
    </w:p>
    <w:p w14:paraId="46619451">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要求进行地面石材结晶处理的石材表面已经清洁干净。</w:t>
      </w:r>
    </w:p>
    <w:p w14:paraId="554A9951">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表面无泛碱、析盐、泛锈、水雾、水印等现象。</w:t>
      </w:r>
    </w:p>
    <w:p w14:paraId="6B475AD2">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石材结晶完成面表面洁净、平整、坚实，光亮光滑，透明色泽一致，洁晶面层无裂纹，凹凸不平等现象。</w:t>
      </w:r>
    </w:p>
    <w:p w14:paraId="700049DB">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石材完成面结晶处理均匀，尤其是靠在建筑物和装饰物的地面边缘必须处理到位。</w:t>
      </w:r>
    </w:p>
    <w:p w14:paraId="73E32FB1">
      <w:pPr>
        <w:pStyle w:val="4"/>
        <w:keepNext w:val="0"/>
        <w:keepLines w:val="0"/>
        <w:pageBreakBefore w:val="0"/>
        <w:widowControl w:val="0"/>
        <w:numPr>
          <w:ilvl w:val="1"/>
          <w:numId w:val="15"/>
        </w:numPr>
        <w:kinsoku/>
        <w:wordWrap/>
        <w:overflowPunct/>
        <w:topLinePunct w:val="0"/>
        <w:autoSpaceDE/>
        <w:autoSpaceDN/>
        <w:bidi w:val="0"/>
        <w:adjustRightInd/>
        <w:snapToGrid w:val="0"/>
        <w:textAlignment w:val="auto"/>
        <w:rPr>
          <w:color w:val="auto"/>
          <w:highlight w:val="none"/>
        </w:rPr>
      </w:pPr>
      <w:bookmarkStart w:id="469" w:name="_Toc153907585"/>
      <w:bookmarkStart w:id="470" w:name="_Toc31922"/>
      <w:bookmarkStart w:id="471" w:name="_Toc7199"/>
      <w:r>
        <w:rPr>
          <w:rFonts w:hint="eastAsia"/>
          <w:color w:val="auto"/>
          <w:highlight w:val="none"/>
        </w:rPr>
        <w:t>地面铺贴瓷砖技术要求</w:t>
      </w:r>
      <w:bookmarkEnd w:id="469"/>
      <w:bookmarkEnd w:id="470"/>
      <w:bookmarkEnd w:id="471"/>
    </w:p>
    <w:p w14:paraId="7C48693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瓷砖粘结剂，应采用指定品牌并匹配型号的瓷砖专用粘结剂，有出厂合格证和进场复试报告，并通过试验确定其适用性和使用要求。</w:t>
      </w:r>
    </w:p>
    <w:p w14:paraId="53090E59">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嵌缝剂，应采用吸水率低、抗污、抗菌防霉效果好的的瓷砖专用嵌缝剂。</w:t>
      </w:r>
    </w:p>
    <w:p w14:paraId="6C11AC78">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地砖须有出厂合格证及性能检测报告，抗压、抗折及规格品种均符合设计要求，外观颜色一致、表面平整，图案花纹正确，边角齐整，无翘曲、裂纹等缺陷。</w:t>
      </w:r>
    </w:p>
    <w:p w14:paraId="79D1CD16">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面层与下一层应结合牢固，无空鼓、开孔大小合适、套割吻合。</w:t>
      </w:r>
    </w:p>
    <w:p w14:paraId="4F65B8C5">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面层表面的坡度应符合设计要求，不倒泛水、无积水；阴阳角处搭接方式正确，地面不得出现朝天缝。</w:t>
      </w:r>
    </w:p>
    <w:p w14:paraId="4BFC39F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根据深化图纸排版图进行现场排版，试拼中要检查瓷砖的颜色，板与板之间纹理、结晶通顺，颜色协调，确保铺装后的地面砖无明显色差，不可出现刀把砖。</w:t>
      </w:r>
    </w:p>
    <w:p w14:paraId="52568959">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水泥：硅酸盐水泥、普通硅酸盐水泥，强度等级不低于32.5MPa，并严禁混用不同品种、不同标号的水泥；中砂或粗砂，过8mm孔径筛子，其含泥量不应大于3%。禁止使用机制砂。</w:t>
      </w:r>
    </w:p>
    <w:p w14:paraId="332FED17">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砖面层表面应洁净、图案清晰，色泽一致，接缝平整，深浅一致，周边顺直。板块无裂纹、缺愣、掉角等缺陷。</w:t>
      </w:r>
    </w:p>
    <w:p w14:paraId="36EEA6F6">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面层邻接处的镶边用料及尺寸应符合设计要求，边角整齐光滑。</w:t>
      </w:r>
    </w:p>
    <w:p w14:paraId="2CCEEEC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踢脚线表面应洁净、高度一致、结合牢固，出墙厚度一致。</w:t>
      </w:r>
    </w:p>
    <w:p w14:paraId="3EDE1310">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砖面层的允许偏差应符合国家及行业标准。</w:t>
      </w:r>
    </w:p>
    <w:p w14:paraId="45665D10">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粘结剂的技术指标须符合JC/T547-20</w:t>
      </w:r>
      <w:r>
        <w:rPr>
          <w:rFonts w:hint="eastAsia"/>
          <w:color w:val="auto"/>
          <w:highlight w:val="none"/>
          <w:lang w:val="en-US" w:eastAsia="zh-CN"/>
        </w:rPr>
        <w:t>17</w:t>
      </w:r>
      <w:r>
        <w:rPr>
          <w:rFonts w:hint="eastAsia"/>
          <w:color w:val="auto"/>
          <w:highlight w:val="none"/>
        </w:rPr>
        <w:t>《陶瓷墙地砖胶粘剂》要求。</w:t>
      </w:r>
    </w:p>
    <w:p w14:paraId="3829342E">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地砖铺贴前，必须确认好室内与公区、客厅与阳台卫生间等的标高关系，确保标高关系正确（影响功能，整改困难）；</w:t>
      </w:r>
    </w:p>
    <w:p w14:paraId="2973E8F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地砖铺贴时，存在地漏的空间，地砖向地漏找坡；不存在地漏的空间，须用水平仪控制好标高，避免后期出现踢脚线/木饰面吊脚等情况（整改困难）；</w:t>
      </w:r>
    </w:p>
    <w:p w14:paraId="31EAD821">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地砖铺贴应先确认排版图，后进行施工，避免出现小条砖排版，如确实无法避免小条砖，应将小条砖布在不起眼的区域；</w:t>
      </w:r>
    </w:p>
    <w:p w14:paraId="734A6DDC">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地砖铺贴完成后，砂浆未凝固前禁止上人踩踏；可上人后按要求完成养护，然后尽快完成覆膜保护，覆膜前须清扫干净地面；</w:t>
      </w:r>
    </w:p>
    <w:p w14:paraId="4EF03897">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石材铺贴前，须确认其与设计样板一致，无色差、断裂、污染，六面防护到位；石材背网若不是免铲背网，需铲除背网后铺贴</w:t>
      </w:r>
      <w:r>
        <w:rPr>
          <w:rFonts w:hint="eastAsia"/>
          <w:color w:val="auto"/>
          <w:highlight w:val="none"/>
          <w:lang w:eastAsia="zh-CN"/>
        </w:rPr>
        <w:t>。</w:t>
      </w:r>
    </w:p>
    <w:p w14:paraId="146476D9">
      <w:pPr>
        <w:pStyle w:val="4"/>
        <w:keepNext w:val="0"/>
        <w:keepLines w:val="0"/>
        <w:pageBreakBefore w:val="0"/>
        <w:widowControl w:val="0"/>
        <w:numPr>
          <w:ilvl w:val="1"/>
          <w:numId w:val="15"/>
        </w:numPr>
        <w:kinsoku/>
        <w:wordWrap/>
        <w:overflowPunct/>
        <w:topLinePunct w:val="0"/>
        <w:autoSpaceDE/>
        <w:autoSpaceDN/>
        <w:bidi w:val="0"/>
        <w:adjustRightInd/>
        <w:snapToGrid w:val="0"/>
        <w:textAlignment w:val="auto"/>
        <w:rPr>
          <w:color w:val="auto"/>
          <w:highlight w:val="none"/>
        </w:rPr>
      </w:pPr>
      <w:bookmarkStart w:id="472" w:name="_Toc8312"/>
      <w:bookmarkStart w:id="473" w:name="_Toc153907586"/>
      <w:bookmarkStart w:id="474" w:name="_Toc19792"/>
      <w:r>
        <w:rPr>
          <w:rFonts w:hint="eastAsia"/>
          <w:color w:val="auto"/>
          <w:highlight w:val="none"/>
        </w:rPr>
        <w:t>墙面抹灰地面找平技术要求</w:t>
      </w:r>
      <w:bookmarkEnd w:id="472"/>
      <w:bookmarkEnd w:id="473"/>
      <w:bookmarkEnd w:id="474"/>
    </w:p>
    <w:p w14:paraId="41803B5B">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普通水泥砂浆抹灰</w:t>
      </w:r>
    </w:p>
    <w:p w14:paraId="30AA4EF2">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抹灰找平工程不空不裂，尺寸合格，表面平整清洁，无明显抹纹，接槎平整，无空鼓开裂，批嵌细腻，无脱皮。</w:t>
      </w:r>
    </w:p>
    <w:p w14:paraId="12DEB2A7">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立面垂直，阴阳角方正顺直，预留洞、槽、管道等的位置、尺寸正确、出墙口整洁、顺直。</w:t>
      </w:r>
    </w:p>
    <w:p w14:paraId="4B76E4A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基层墙面应清除浮浆、脱模剂、油污及模板残留物，螺杆洞封堵必须符合要求，不同界面交接位置必须进行挂网，挂网前高低差部位应用水泥砂浆填补，挂网要求采用耐碱玻璃纤维网或镀锌钢丝网。</w:t>
      </w:r>
    </w:p>
    <w:p w14:paraId="6378E510">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抹灰施工提前一天对墙面进行喷水湿润，甩浆施工当天再次对墙面进行洒水湿润。</w:t>
      </w:r>
    </w:p>
    <w:p w14:paraId="3C5D0B74">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甩浆拉毛：</w:t>
      </w:r>
    </w:p>
    <w:p w14:paraId="52928B08">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浆料采用高强度粘结剂、施工用水、复合硅酸盐水泥、砂，推荐配比为胶:水:水泥:砂=1:2:4:1，各项目应根据胶水的粘结性能、墙面的光滑程度等因素，配置合适的浆料配比。</w:t>
      </w:r>
    </w:p>
    <w:p w14:paraId="6BE20513">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甩浆面积不小于基面的95%，毛刺高度在0.5cm左右；浆料达到一定强度后，必须进行喷水养护，特别是边角部位，养护时间不低于3天。</w:t>
      </w:r>
    </w:p>
    <w:p w14:paraId="3F502C56">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抹灰施工应分层进行，第一层抹灰前需提前两天对甩浆墙面洒水润湿，确保墙面湿润，并滚涂界面剂，厚度控制在8mm左右，抹灰表面拉毛处理；第二层抹灰应在第二天进行，宜满挂抗碱玻璃纤维网格布，厚度控制在7mm左右。为避免和减少抹灰层砂浆空鼓、收缩裂缝，面层不宜过分压光，以表面不粗糙、无明显小凹坑、砂头不外露为准。</w:t>
      </w:r>
    </w:p>
    <w:p w14:paraId="1E443E88">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抹灰初凝后的养护，首选覆膜养护。覆膜时间控制在两遍抹灰完成后的12个小时左右。用胶:水=3:7的乳胶液滚涂在砂浆表面，之后将PE塑料膜粘覆其上，直至交付装修或交付。</w:t>
      </w:r>
    </w:p>
    <w:p w14:paraId="01BDDF32">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砂浆在楼层堆放时必须设垫板或使用容器，禁止现场加水及初凝后使用。</w:t>
      </w:r>
    </w:p>
    <w:p w14:paraId="5BA716B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轻质石膏抹灰（抹灰石膏）</w:t>
      </w:r>
    </w:p>
    <w:p w14:paraId="69228632">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材料须符合</w:t>
      </w:r>
      <w:r>
        <w:rPr>
          <w:rFonts w:hint="eastAsia"/>
          <w:color w:val="auto"/>
          <w:highlight w:val="none"/>
          <w:lang w:eastAsia="zh-CN"/>
        </w:rPr>
        <w:t>发包人</w:t>
      </w:r>
      <w:r>
        <w:rPr>
          <w:rFonts w:hint="eastAsia"/>
          <w:color w:val="auto"/>
          <w:highlight w:val="none"/>
        </w:rPr>
        <w:t>要求，辅材主要为专用界面剂、专用抗碱玻纤网格布等。</w:t>
      </w:r>
    </w:p>
    <w:p w14:paraId="3F1E2942">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施工方法：人工抹灰或机械喷涂施工。</w:t>
      </w:r>
    </w:p>
    <w:p w14:paraId="4B816FBA">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抹灰总厚度：根据各项目主体及砌筑平整度确定施工厚度。</w:t>
      </w:r>
    </w:p>
    <w:p w14:paraId="7CC151CD">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采用专用搅拌桶，按材料使用技术说明要求，在规定时间内完成用料，不得使用回笼材料进行抹灰。</w:t>
      </w:r>
    </w:p>
    <w:p w14:paraId="16B2388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分层抹灰则每层抹灰厚度不超过7mm。</w:t>
      </w:r>
    </w:p>
    <w:p w14:paraId="407B0A45">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对于墙面局部开槽部位、墙面防开裂工艺处理：粘贴专用配套网格布，开槽部位采用两边搭接幅宽左右各不低于150mm；待第一层抹灰完成墙面未初凝前及时张贴抗碱网格布，保障网格布粘贴牢固。</w:t>
      </w:r>
    </w:p>
    <w:p w14:paraId="4010FA4B">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抹灰前必须打灰饼、冲筋。</w:t>
      </w:r>
    </w:p>
    <w:p w14:paraId="2D618CE8">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抹灰前所有孔洞应封堵完毕，基层表面的尘土、污垢、油渍等应清除干净，并洒水润湿。</w:t>
      </w:r>
    </w:p>
    <w:p w14:paraId="298D3A90">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抹灰层与基层之间的各抹灰层之间必须粘结牢固，抹灰层无脱层、空鼓、变色，面层应无爆灰和裂缝。</w:t>
      </w:r>
    </w:p>
    <w:p w14:paraId="50896E3B">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抹灰表面应光滑、洁净，颜色均匀、无抹纹，应清晰美观。</w:t>
      </w:r>
    </w:p>
    <w:p w14:paraId="2B1A10DE">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护角、孔洞、槽、盒周围的抹灰应整齐、光滑。</w:t>
      </w:r>
    </w:p>
    <w:p w14:paraId="7E2F6DAA">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地面找平</w:t>
      </w:r>
    </w:p>
    <w:p w14:paraId="7A05A3C7">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需按照地面实际情况设置分隔条，分隔条方案需报监理人人/发包人审批。</w:t>
      </w:r>
    </w:p>
    <w:p w14:paraId="44404145">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地面施工后覆盖塑料薄膜，避免地面产生龟裂，并进行不少于7天的养护。覆膜保护可直至移交装修或竣工。</w:t>
      </w:r>
    </w:p>
    <w:p w14:paraId="58EF5FBA">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地坪表面平整，颜色一致，清洁干净，无污染，无开裂空鼓，表面无麻面，不起砂。</w:t>
      </w:r>
    </w:p>
    <w:p w14:paraId="252D8372">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地坪平整度允许偏差满足规范要求。踢脚线平整顺直，高度一致，无空鼓开裂，与墙面结合牢固，上下接槎平整，分色清楚。</w:t>
      </w:r>
    </w:p>
    <w:p w14:paraId="5625B65D">
      <w:pPr>
        <w:pStyle w:val="4"/>
        <w:keepNext w:val="0"/>
        <w:keepLines w:val="0"/>
        <w:pageBreakBefore w:val="0"/>
        <w:widowControl w:val="0"/>
        <w:numPr>
          <w:ilvl w:val="1"/>
          <w:numId w:val="15"/>
        </w:numPr>
        <w:kinsoku/>
        <w:wordWrap/>
        <w:overflowPunct/>
        <w:topLinePunct w:val="0"/>
        <w:autoSpaceDE/>
        <w:autoSpaceDN/>
        <w:bidi w:val="0"/>
        <w:adjustRightInd/>
        <w:textAlignment w:val="auto"/>
        <w:rPr>
          <w:color w:val="auto"/>
          <w:highlight w:val="none"/>
        </w:rPr>
      </w:pPr>
      <w:bookmarkStart w:id="475" w:name="_Toc5173"/>
      <w:bookmarkStart w:id="476" w:name="_Toc21359"/>
      <w:bookmarkStart w:id="477" w:name="_Toc153907587"/>
      <w:r>
        <w:rPr>
          <w:rFonts w:hint="eastAsia"/>
          <w:color w:val="auto"/>
          <w:highlight w:val="none"/>
        </w:rPr>
        <w:t>轻钢龙骨隔墙技术要求</w:t>
      </w:r>
      <w:bookmarkEnd w:id="475"/>
      <w:bookmarkEnd w:id="476"/>
      <w:bookmarkEnd w:id="477"/>
    </w:p>
    <w:p w14:paraId="0040B525">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轻钢龙骨可参考</w:t>
      </w:r>
      <w:r>
        <w:rPr>
          <w:rFonts w:hint="eastAsia"/>
          <w:color w:val="auto"/>
          <w:highlight w:val="none"/>
          <w:lang w:eastAsia="zh-CN"/>
        </w:rPr>
        <w:t>发包人</w:t>
      </w:r>
      <w:r>
        <w:rPr>
          <w:rFonts w:hint="eastAsia"/>
          <w:color w:val="auto"/>
          <w:highlight w:val="none"/>
        </w:rPr>
        <w:t>推荐的品牌，墙面基层板材禁止使用玻镁板。</w:t>
      </w:r>
    </w:p>
    <w:p w14:paraId="087CA65C">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轻钢龙骨主件：沿顶龙骨、沿地龙骨、加强龙骨、竖向龙骨、横向龙骨应符合规范要求。</w:t>
      </w:r>
    </w:p>
    <w:p w14:paraId="09F2634C">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轻钢骨架配件：支撑卡、卡托、角托、连接件、固定件、附墙龙骨、压条等应符合规范要求。</w:t>
      </w:r>
    </w:p>
    <w:p w14:paraId="7EC8ABC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紧固材料：射钉、膨胀螺栓、镀锌自攻螺丝、木螺丝和粘结嵌缝料应符合设计要求。</w:t>
      </w:r>
    </w:p>
    <w:p w14:paraId="2CAF2455">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轻钢龙骨双面镀锌量须达到120g/m²。</w:t>
      </w:r>
    </w:p>
    <w:p w14:paraId="221B2ED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超过3米须每隔1.2米增加一条穿心龙骨。</w:t>
      </w:r>
    </w:p>
    <w:p w14:paraId="708C37B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表面有产品标记，顺序为：产品名称，板材棱边形状的代号，板宽，板厚，及标准号。</w:t>
      </w:r>
    </w:p>
    <w:p w14:paraId="689794FE">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外观质量：普通纸面石膏板板面应平整，无波纹、沟槽、污痕和划伤等缺陷；尺寸允许偏差、含水率、单位面积重量应符合优等品的质量要求。</w:t>
      </w:r>
    </w:p>
    <w:p w14:paraId="0789EA6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产品应有质量合格证。在每张板材的背面应标明产品的名称、制造厂名、生产日期和商标。</w:t>
      </w:r>
    </w:p>
    <w:p w14:paraId="27A6DC20">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隔音棉：同一套房内隔墙防火隔音棉，容重不低于48kg/m³；分户墙防火隔音棉容重不低于80kg/m³。</w:t>
      </w:r>
    </w:p>
    <w:p w14:paraId="3F404FBB">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机电底盒垫块：轻质隔墙内部预埋机电底盒垫块材料须符合防火等级要求，但不得低于B1级。</w:t>
      </w:r>
    </w:p>
    <w:p w14:paraId="716658AA">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地下室及海边环境禁止使用普通石膏板或防潮石膏板。</w:t>
      </w:r>
    </w:p>
    <w:p w14:paraId="01C517A1">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隔墙需根据国家规范要求增加横向卡档龙骨，采用抽芯铆钉固定，不得使用龙骨钳压式固定。</w:t>
      </w:r>
    </w:p>
    <w:p w14:paraId="266CC24E">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龙骨安装质量、门洞口框是否符合设计及构造要求，龙骨间距是否符合石膏板宽度的模数，龙骨周边应留3mm伸缩缝，以减少墙体变形和裂缝现象。</w:t>
      </w:r>
    </w:p>
    <w:p w14:paraId="18798A3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石膏板应无脱层、翘曲、折裂、缺棱掉角等缺陷，安装必须牢固。安装墙体另一侧石膏板时，其接缝应与第一侧石膏板错开。</w:t>
      </w:r>
    </w:p>
    <w:p w14:paraId="3DF4E7E1">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安装双面石膏板时，面层板的接缝应与底层板错开，并不得在一根龙骨上接缝。不得出现通缝现象。</w:t>
      </w:r>
    </w:p>
    <w:p w14:paraId="63512D0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石膏板接口处需竖向龙骨，不允许接口处板悬空。</w:t>
      </w:r>
    </w:p>
    <w:p w14:paraId="7F88D3D8">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石膏板与轻钢龙骨的的连接采用高强度自攻螺钉固定，不能先钻孔后固定，要采用自攻枪垂直地一次打入紧固，石膏板需自由状态下就位安装，板间留缝4mm,板周边离墙4~6mm,周边接缝采用模型石膏填缝补平，螺钉头表面埋入石膏板纸面约0.5-1.0mm，不得破坏纸面，并刷防锈漆。</w:t>
      </w:r>
    </w:p>
    <w:p w14:paraId="747CAFCC">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轻钢龙骨隔墙需做导墙的采用C20混凝土导墙，导墙尺寸应符合设计要求，支模前必须植筋，直径Φ6光圆钢筋或者Φ8通丝，间距600mm，顶部使用对应Φ6光圆钢筋或者Φ8通丝焊接牢固。植筋必须与楼地面可靠连接，无松动。</w:t>
      </w:r>
    </w:p>
    <w:p w14:paraId="54CDAFC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隔墙的门框安装须符合设计要求。</w:t>
      </w:r>
    </w:p>
    <w:p w14:paraId="191DA236">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自攻螺钉固定时，距离石膏板边缘不得低于10mm（如加工板，距离不得小于15mm）。.</w:t>
      </w:r>
    </w:p>
    <w:p w14:paraId="0CF0063C">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整面轻钢骨架应顺直、无弯曲、无变形；连接件应符合产品组合的要求。</w:t>
      </w:r>
    </w:p>
    <w:p w14:paraId="2831E30E">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bCs/>
          <w:color w:val="auto"/>
          <w:highlight w:val="none"/>
        </w:rPr>
      </w:pPr>
      <w:r>
        <w:rPr>
          <w:rFonts w:hint="eastAsia"/>
          <w:color w:val="auto"/>
          <w:highlight w:val="none"/>
        </w:rPr>
        <w:t>轻钢龙骨材料及工艺须符合GB/T11981《建筑用轻钢龙骨》最新标准。</w:t>
      </w:r>
    </w:p>
    <w:p w14:paraId="60ECA183">
      <w:pPr>
        <w:pStyle w:val="4"/>
        <w:keepNext w:val="0"/>
        <w:keepLines w:val="0"/>
        <w:pageBreakBefore w:val="0"/>
        <w:widowControl w:val="0"/>
        <w:numPr>
          <w:ilvl w:val="1"/>
          <w:numId w:val="15"/>
        </w:numPr>
        <w:kinsoku/>
        <w:wordWrap/>
        <w:overflowPunct/>
        <w:topLinePunct w:val="0"/>
        <w:autoSpaceDE/>
        <w:autoSpaceDN/>
        <w:bidi w:val="0"/>
        <w:adjustRightInd/>
        <w:textAlignment w:val="auto"/>
        <w:rPr>
          <w:color w:val="auto"/>
          <w:highlight w:val="none"/>
        </w:rPr>
      </w:pPr>
      <w:bookmarkStart w:id="478" w:name="_Toc21365"/>
      <w:bookmarkStart w:id="479" w:name="_Toc153907588"/>
      <w:bookmarkStart w:id="480" w:name="_Toc8762"/>
      <w:r>
        <w:rPr>
          <w:rFonts w:hint="eastAsia"/>
          <w:color w:val="auto"/>
          <w:highlight w:val="none"/>
        </w:rPr>
        <w:t>墙面铺贴石材技术要求</w:t>
      </w:r>
      <w:bookmarkEnd w:id="478"/>
      <w:bookmarkEnd w:id="479"/>
      <w:bookmarkEnd w:id="480"/>
    </w:p>
    <w:p w14:paraId="675A77CA">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粘结材料可参考发包人推荐的品牌并匹配型号的石材专用粘结剂，其技术指标应符合国家及行业要求，并通过工艺样板及拉拔试验确定其适用性和使用要求。</w:t>
      </w:r>
    </w:p>
    <w:p w14:paraId="4C0018AB">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嵌缝剂材料可参考发包人推荐的品牌要求。应采用吸水率低、抗污、抗菌防霉效果好的石材专用嵌缝剂。采用与石材同色系或者相近的云石胶进行修补填缝。</w:t>
      </w:r>
    </w:p>
    <w:p w14:paraId="77CCF2A3">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石材须选择优等品，外观没有缺棱缺角、洞眼、开裂、色斑、色筋、色线、风化等缺陷，各块之间色差小；将板材平放在地面上，距板材1m处看不见的缺陷视为无缺陷。</w:t>
      </w:r>
    </w:p>
    <w:p w14:paraId="40084808">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加工完的成品石材必须做六面防护，防护材料PH值：中性。石材防护剂可参考发包人推荐的品牌要求。</w:t>
      </w:r>
    </w:p>
    <w:p w14:paraId="33F8AB73">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施工高度超过2.5m不得采用湿贴工艺，否则须采用加固处理，加固处理方案须经</w:t>
      </w:r>
      <w:r>
        <w:rPr>
          <w:rFonts w:hint="eastAsia"/>
          <w:color w:val="auto"/>
          <w:highlight w:val="none"/>
          <w:lang w:eastAsia="zh-CN"/>
        </w:rPr>
        <w:t>发包人</w:t>
      </w:r>
      <w:r>
        <w:rPr>
          <w:rFonts w:hint="eastAsia"/>
          <w:color w:val="auto"/>
          <w:highlight w:val="none"/>
        </w:rPr>
        <w:t>确认；施工高度超过3.0m，必须采用干挂。</w:t>
      </w:r>
    </w:p>
    <w:p w14:paraId="645E23FB">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墙面石材采用湿贴工艺时必须铲除背面网格布。墙面石材采用湿贴工艺时必须铲除背面网格布并现场补刷合规水性防护至晾干。</w:t>
      </w:r>
    </w:p>
    <w:p w14:paraId="2421C9BE">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满铺石材专用粘结剂进行铺设，面层与基层结合牢固，无空鼓。</w:t>
      </w:r>
    </w:p>
    <w:p w14:paraId="1BFBA8E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安装前需进行试拼、试排，使板与板之间纹理、结晶通顺，颜色协调，无色差。阴阳角处搭接方式正确，地面不得出现朝天缝。</w:t>
      </w:r>
    </w:p>
    <w:p w14:paraId="0AE7ABE7">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墙面石材如果非干挂施工方式，须采用铜丝绑扎等加固措施。</w:t>
      </w:r>
    </w:p>
    <w:p w14:paraId="24CCA4E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当石材横向单边长度超过900mm时，中间需增设一个拉结点，防止石材变形。</w:t>
      </w:r>
    </w:p>
    <w:p w14:paraId="13F6DEC8">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石材面层表面应洁净、平整、无磨痕，且应图案清晰，色泽一致，接缝平整，周边顺直，镶嵌正确，板块无裂纹、缺楞、掉角等缺陷。</w:t>
      </w:r>
    </w:p>
    <w:p w14:paraId="6411C6C8">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踢脚线表面应洁净、高度一致、结合牢固，出墙厚度一致。</w:t>
      </w:r>
    </w:p>
    <w:p w14:paraId="71E0A03E">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bCs/>
          <w:color w:val="auto"/>
          <w:highlight w:val="none"/>
        </w:rPr>
      </w:pPr>
      <w:r>
        <w:rPr>
          <w:rFonts w:hint="eastAsia"/>
          <w:color w:val="auto"/>
          <w:highlight w:val="none"/>
        </w:rPr>
        <w:t>石材厚度的允许偏差应符合国家规范要求。（GB/T19766）</w:t>
      </w:r>
    </w:p>
    <w:p w14:paraId="7D9A82E7">
      <w:pPr>
        <w:pStyle w:val="4"/>
        <w:keepNext w:val="0"/>
        <w:keepLines w:val="0"/>
        <w:pageBreakBefore w:val="0"/>
        <w:widowControl w:val="0"/>
        <w:numPr>
          <w:ilvl w:val="1"/>
          <w:numId w:val="15"/>
        </w:numPr>
        <w:kinsoku/>
        <w:wordWrap/>
        <w:overflowPunct/>
        <w:topLinePunct w:val="0"/>
        <w:autoSpaceDE/>
        <w:autoSpaceDN/>
        <w:bidi w:val="0"/>
        <w:adjustRightInd/>
        <w:snapToGrid w:val="0"/>
        <w:textAlignment w:val="auto"/>
        <w:rPr>
          <w:color w:val="auto"/>
          <w:highlight w:val="none"/>
        </w:rPr>
      </w:pPr>
      <w:bookmarkStart w:id="481" w:name="_Toc153907589"/>
      <w:bookmarkStart w:id="482" w:name="_Toc26941"/>
      <w:bookmarkStart w:id="483" w:name="_Toc15825"/>
      <w:r>
        <w:rPr>
          <w:rFonts w:hint="eastAsia"/>
          <w:color w:val="auto"/>
          <w:highlight w:val="none"/>
        </w:rPr>
        <w:t>墙面铺贴瓷砖技术要求</w:t>
      </w:r>
      <w:bookmarkEnd w:id="481"/>
      <w:bookmarkEnd w:id="482"/>
      <w:bookmarkEnd w:id="483"/>
    </w:p>
    <w:p w14:paraId="0479EDA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粘结材料可参考发包人推荐的品牌要求并匹配型号的瓷砖专用粘结剂，其技术指标应符合国家及行业要求，并通过工艺样板及拉拔试验确定其适用性和使用要求；</w:t>
      </w:r>
    </w:p>
    <w:p w14:paraId="0E49BE6A">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墙面玻化砖禁止采用普通水泥砂浆进行粘贴。</w:t>
      </w:r>
    </w:p>
    <w:p w14:paraId="4BEA7EF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施工高度超过2.5m不得采用湿贴工艺，否则须采用加固处理，加固处理方案须经</w:t>
      </w:r>
      <w:r>
        <w:rPr>
          <w:rFonts w:hint="eastAsia"/>
          <w:color w:val="auto"/>
          <w:highlight w:val="none"/>
          <w:lang w:eastAsia="zh-CN"/>
        </w:rPr>
        <w:t>发包人</w:t>
      </w:r>
      <w:r>
        <w:rPr>
          <w:rFonts w:hint="eastAsia"/>
          <w:color w:val="auto"/>
          <w:highlight w:val="none"/>
        </w:rPr>
        <w:t>确认。</w:t>
      </w:r>
    </w:p>
    <w:p w14:paraId="57EDE9D9">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嵌缝剂：品牌可参考发包人推荐的品牌要求。应采用吸水率低、抗污、抗菌防霉效果好的瓷砖专用嵌缝剂。</w:t>
      </w:r>
    </w:p>
    <w:p w14:paraId="4EE4013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面砖的表面应光洁、方正、平整、质地坚固，其品种、规格、尺寸、色泽、图案应均匀一致，必须符合设计规定。不得有缺楞、掉角、暗痕和裂纹等缺陷。</w:t>
      </w:r>
    </w:p>
    <w:p w14:paraId="7ACEF652">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饰面砖的品种、规格、颜色、图案和性能必须符合设计要求。</w:t>
      </w:r>
    </w:p>
    <w:p w14:paraId="13DB128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饰面砖粘贴工程的找平、防水、粘结和勾缝材料及施工方法应符合工艺要求。</w:t>
      </w:r>
      <w:r>
        <w:rPr>
          <w:rFonts w:hint="eastAsia"/>
          <w:color w:val="auto"/>
          <w:highlight w:val="none"/>
        </w:rPr>
        <w:tab/>
      </w:r>
      <w:r>
        <w:rPr>
          <w:rFonts w:hint="eastAsia"/>
          <w:color w:val="auto"/>
          <w:highlight w:val="none"/>
        </w:rPr>
        <w:t>砖缝须2mm以上，禁止无缝铺贴瓷砖。</w:t>
      </w:r>
    </w:p>
    <w:p w14:paraId="3E0A7A4A">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不建议采用后加工砖，如需采用后加工砖，常用规格不能超过6种。</w:t>
      </w:r>
    </w:p>
    <w:p w14:paraId="5E3FCDA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安装完成后需抽检进行墙面瓷砖拉拔试验。</w:t>
      </w:r>
    </w:p>
    <w:p w14:paraId="2DD6D2A8">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瓷砖排版合理，符合规范要求，门窗洞口不得出现刀把砖，电器开关面板位置合理美观、不得出现骑缝现象。</w:t>
      </w:r>
    </w:p>
    <w:p w14:paraId="686AEA89">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采用瓷砖胶贴墙砖时须双面刮浆法。（瓷砖背面及抹灰墙面双面批刮瓷砖专用粘结剂，双面批刮的方向应一面水平向批刮、一面垂直向批刮，以便达到粘接层相互咬合、防止空鼓的作用。粘接层厚度一般为6~10mm，并采用专用的锯状批刀纵横拉槽。）</w:t>
      </w:r>
    </w:p>
    <w:p w14:paraId="07934B3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饰面砖表面应平整、洁净、色泽一致，无裂痕和缺陷。</w:t>
      </w:r>
    </w:p>
    <w:p w14:paraId="374628B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阴阳角处搭接方式正确，地面不得出现朝天缝、非整砖使用部位应符合设计要求。</w:t>
      </w:r>
    </w:p>
    <w:p w14:paraId="70EDD0C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墙面突出物周围的饰面砖应整砖套割吻合，边缘应整齐。墙裙、贴脸突出墙面的厚度应一致。</w:t>
      </w:r>
    </w:p>
    <w:p w14:paraId="24904B29">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饰面砖接缝应平直、光滑，填嵌应连续、密实；宽度和深度应符合设计要求。</w:t>
      </w:r>
    </w:p>
    <w:p w14:paraId="48733B31">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先确认排版图，后进行施工；排版图上可注明不同墙面铺贴顺序，避免出现朝天缝及迎面缝.</w:t>
      </w:r>
    </w:p>
    <w:p w14:paraId="0B926077">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贴砖需正确使用统一缝宽的十字卡扣、调平器、水平仪等工具进行辅助；</w:t>
      </w:r>
    </w:p>
    <w:p w14:paraId="4E300AFC">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墙砖临近吊顶处易产生空鼓，需确保该块瓷砖胶泥饱满或增加补浆工序；</w:t>
      </w:r>
    </w:p>
    <w:p w14:paraId="3F26B16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bCs/>
          <w:color w:val="auto"/>
          <w:highlight w:val="none"/>
        </w:rPr>
      </w:pPr>
      <w:r>
        <w:rPr>
          <w:rFonts w:hint="eastAsia"/>
          <w:color w:val="auto"/>
          <w:highlight w:val="none"/>
        </w:rPr>
        <w:t>大板砖铺贴工序：大板砖上货（大板砖运输困难、时间长，需充分考虑）→检查基面→基层处理→弹线分格→大板砖砖背刮胶泥→墙面基层刮胶泥（使用专用齿刮双面刮浆）→大板砖铺贴（采用吸盘）→平整度调整及振捣（振动器振捣，确保胶泥密实均匀）→表面清洁及保护→填缝施工→工程验收</w:t>
      </w:r>
      <w:r>
        <w:rPr>
          <w:rFonts w:hint="eastAsia"/>
          <w:color w:val="auto"/>
          <w:highlight w:val="none"/>
          <w:lang w:eastAsia="zh-CN"/>
        </w:rPr>
        <w:t>。</w:t>
      </w:r>
    </w:p>
    <w:p w14:paraId="3DD63D19">
      <w:pPr>
        <w:pStyle w:val="4"/>
        <w:keepNext w:val="0"/>
        <w:keepLines w:val="0"/>
        <w:pageBreakBefore w:val="0"/>
        <w:widowControl w:val="0"/>
        <w:numPr>
          <w:ilvl w:val="1"/>
          <w:numId w:val="15"/>
        </w:numPr>
        <w:kinsoku/>
        <w:wordWrap/>
        <w:overflowPunct/>
        <w:topLinePunct w:val="0"/>
        <w:autoSpaceDE/>
        <w:autoSpaceDN/>
        <w:bidi w:val="0"/>
        <w:adjustRightInd/>
        <w:textAlignment w:val="auto"/>
        <w:rPr>
          <w:color w:val="auto"/>
          <w:highlight w:val="none"/>
        </w:rPr>
      </w:pPr>
      <w:bookmarkStart w:id="484" w:name="_Toc153907590"/>
      <w:bookmarkStart w:id="485" w:name="_Toc13676"/>
      <w:bookmarkStart w:id="486" w:name="_Toc24548"/>
      <w:r>
        <w:rPr>
          <w:rFonts w:hint="eastAsia"/>
          <w:color w:val="auto"/>
          <w:highlight w:val="none"/>
        </w:rPr>
        <w:t>墙面干挂石材技术要求</w:t>
      </w:r>
      <w:bookmarkEnd w:id="484"/>
      <w:bookmarkEnd w:id="485"/>
      <w:bookmarkEnd w:id="486"/>
    </w:p>
    <w:p w14:paraId="4ADFAF9B">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根据设计要求，确定石材的品种、颜色、花纹和尺寸规格，并严格控制、检查其抗折、抗拉及抗压强度，吸水率等性能。石材须提供放射线检测报告。</w:t>
      </w:r>
    </w:p>
    <w:p w14:paraId="1AC1A42B">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钢龙骨及干挂件：材料规格、型号符合规范要求，且为国标热镀锌型钢，钢架焊接、安装牢固安全，横龙骨排布符合石材排版要求，当石材单边长度达到900mm时，单排不锈钢干挂件不少于3个，干挂件厚度不得低于3mm。挂件采用钢号不低于304的不锈钢干挂件。挂件须提前报验，并经验收通过。</w:t>
      </w:r>
    </w:p>
    <w:p w14:paraId="0BF9FC0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合成树脂胶粘剂：用于粘贴石材背面的柔性背衬材料，要求具有防水和耐老化性能。</w:t>
      </w:r>
    </w:p>
    <w:p w14:paraId="3A3E2B72">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用于干挂石材挂件与石材间粘结固定，用双组份环氧型胶粘剂，不得采用云石胶。</w:t>
      </w:r>
    </w:p>
    <w:p w14:paraId="10280A7E">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嵌缝剂：品牌可参考发包人推荐的品牌要求。应采用吸水率低、抗污、抗菌防霉效果好的瓷砖专用嵌缝剂。采用与石材同色系或者相近的云石胶进行修补填缝。</w:t>
      </w:r>
    </w:p>
    <w:p w14:paraId="5D84393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膨胀螺栓、连接铁件、连接不锈钢钉等配套的铁垫板、垫圈、螺帽及与骨架固定的各种设计和安装所需要的连接件质量，必须符合要求。</w:t>
      </w:r>
    </w:p>
    <w:p w14:paraId="404F78D1">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采用干挂法，大理石厚度不能低于25mm。（公区装修分包石材下单排版图深化时须明确，并且在招标前充分考虑成本。）</w:t>
      </w:r>
    </w:p>
    <w:p w14:paraId="0FDE1998">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饰面石材板的品种、防护、规格、形状、平整度、几何尺寸、光洁度、颜色和图案必须符合设计要求，要有产品合格证。</w:t>
      </w:r>
    </w:p>
    <w:p w14:paraId="553546E6">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面层与基底应安装牢固，粘贴用料、干挂配件及焊接必须符合设计要求和国家现行有关标准的规定。</w:t>
      </w:r>
    </w:p>
    <w:p w14:paraId="121B3246">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石材安装工程的预埋件（或后置埋件）、连接件的数量、规格、位置、连接方法和防锈处理必须符合设计要求。预埋件的拉拔强度必须符合设计要求，石材安装必须牢固。</w:t>
      </w:r>
    </w:p>
    <w:p w14:paraId="2A867D0C">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墙面石材带“V”字、“U”字槽的石材符合标准节点要求。阳角采用与石材同色系或者接近的云石胶进行修补。</w:t>
      </w:r>
    </w:p>
    <w:p w14:paraId="548CD522">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墙面石材如果需要做晶面处理，则晶面完成后接缝高低差为零，施工完成后的晶面度数满足设计要求。</w:t>
      </w:r>
    </w:p>
    <w:p w14:paraId="779C9DD8">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表面平整、洁净；拼花正确、纹理清晰通顺，颜色均匀一致；非整板部位安排适宜，阴阳角处的板压向正确。</w:t>
      </w:r>
    </w:p>
    <w:p w14:paraId="146FFBD8">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缝格均匀，板缝通顺，接缝填嵌密实，宽窄一致，无错台错位。</w:t>
      </w:r>
    </w:p>
    <w:p w14:paraId="269635C7">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突出物周围的板采取整板套割，尺寸准确，边缘吻合整齐、平顺，墙裙、贴脸等上口平直。</w:t>
      </w:r>
    </w:p>
    <w:p w14:paraId="464F6BB2">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所有石材外露边出厂前必须打磨抛光，不允许现场打磨。</w:t>
      </w:r>
    </w:p>
    <w:p w14:paraId="112D0CD3">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石材干挂工艺及材料厚度要求须符合GB/T32834-2016《干挂饰面石材》标准。</w:t>
      </w:r>
    </w:p>
    <w:p w14:paraId="4ADCEB9C">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所有钢材需使用热镀锌钢材，钢材型号规格符合设计要求，不锈钢干挂件厚度不小于3mm，铝合金干挂件厚度不小于4mm。</w:t>
      </w:r>
    </w:p>
    <w:p w14:paraId="699AE728">
      <w:pPr>
        <w:pStyle w:val="4"/>
        <w:keepNext w:val="0"/>
        <w:keepLines w:val="0"/>
        <w:pageBreakBefore w:val="0"/>
        <w:widowControl w:val="0"/>
        <w:numPr>
          <w:ilvl w:val="1"/>
          <w:numId w:val="15"/>
        </w:numPr>
        <w:kinsoku/>
        <w:wordWrap/>
        <w:overflowPunct/>
        <w:topLinePunct w:val="0"/>
        <w:autoSpaceDE/>
        <w:autoSpaceDN/>
        <w:bidi w:val="0"/>
        <w:adjustRightInd/>
        <w:textAlignment w:val="auto"/>
        <w:rPr>
          <w:color w:val="auto"/>
          <w:highlight w:val="none"/>
        </w:rPr>
      </w:pPr>
      <w:bookmarkStart w:id="487" w:name="_Toc20452"/>
      <w:bookmarkStart w:id="488" w:name="_Toc153907591"/>
      <w:bookmarkStart w:id="489" w:name="_Toc13540"/>
      <w:r>
        <w:rPr>
          <w:rFonts w:hint="eastAsia"/>
          <w:color w:val="auto"/>
          <w:highlight w:val="none"/>
        </w:rPr>
        <w:t>乳胶漆涂饰工程技术要求</w:t>
      </w:r>
      <w:bookmarkEnd w:id="487"/>
      <w:bookmarkEnd w:id="488"/>
      <w:bookmarkEnd w:id="489"/>
    </w:p>
    <w:p w14:paraId="6DDEFD9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腻子打磨选择240目及以上砂纸，确保打磨砂痕肉眼不可见，不影响面层成型效果，打磨后砂痕明显处采用360目砂纸人工处理；</w:t>
      </w:r>
    </w:p>
    <w:p w14:paraId="6CC702FB">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打磨后应使用强光灯照验收完成效果，重点关注“三边两线”，验收合格后方可进行底漆施工；</w:t>
      </w:r>
    </w:p>
    <w:p w14:paraId="52365110">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天花宜采用喷涂进行施工，墙面面漆须使用辊涂施工，辊筒应采用中毛辊筒，细部采用小辊筒不得采用毛刷。</w:t>
      </w:r>
    </w:p>
    <w:p w14:paraId="304A1AFB">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三边两线相关工序须严格落实，大面点补应在二遍面漆前完成，确保面漆整体效果。</w:t>
      </w:r>
    </w:p>
    <w:p w14:paraId="6A2B86B8">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乳胶漆可参考发包人推荐的品牌要求。选用绿色环保产品，施工温度宜控制在5~35℃之间。</w:t>
      </w:r>
    </w:p>
    <w:p w14:paraId="5C5916E3">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油漆、填充料、催干剂、稀释剂等材料选用必须符合室内环境污染控制规范《民用建筑工程室内环境污染控制规范》（GB50325）要求并具备有关国家环境检测机构出具的有关有害物质限量等级检测报告。</w:t>
      </w:r>
    </w:p>
    <w:p w14:paraId="27A4054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T/A档次须使用优等品乳胶漆，耐擦洗次数5000次以上，甲醛净化性能≥75%、甲醛净化效果持久性≥60%，B/C/D档次须使用一等品以上乳胶漆，耐擦洗次数1000次以上，防霉等级0级，地下室及海边环境等潮湿区域需使用耐水腻子及防水乳胶漆。</w:t>
      </w:r>
    </w:p>
    <w:p w14:paraId="0DFDAB42">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选用乳胶漆涂料的颜色、光泽、图案应符合设计要求。</w:t>
      </w:r>
    </w:p>
    <w:p w14:paraId="7EB5AA9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涂料涂饰工程应涂饰均匀、粘结牢固，不得漏刷、透底、起皮和掉粉。</w:t>
      </w:r>
    </w:p>
    <w:p w14:paraId="5DE6E7D9">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新建筑物的混凝土或抹灰基层在涂饰前应刷抗碱封闭底漆。</w:t>
      </w:r>
    </w:p>
    <w:p w14:paraId="7DEF993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混凝土或抹灰基层涂刷溶剂型涂料时，含水率不得大于8%；涂刷乳液时，含水率不得大于8%。</w:t>
      </w:r>
    </w:p>
    <w:p w14:paraId="7EEADF22">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耐水腻子层应平整、坚实、牢固、无粉化、无起皮和裂缝；应符合JG/T298腻子粉质量执行标准。</w:t>
      </w:r>
    </w:p>
    <w:p w14:paraId="328B2557">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颜色均匀，不允许出现泛碱、咬色、流坠、疙瘩、无砂眼，无刷痕。</w:t>
      </w:r>
    </w:p>
    <w:p w14:paraId="14881143">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bCs/>
          <w:color w:val="auto"/>
          <w:highlight w:val="none"/>
        </w:rPr>
      </w:pPr>
      <w:r>
        <w:rPr>
          <w:rFonts w:hint="eastAsia"/>
          <w:color w:val="auto"/>
          <w:highlight w:val="none"/>
        </w:rPr>
        <w:t>装饰线、分色线直线度允许偏差为1mm。</w:t>
      </w:r>
    </w:p>
    <w:p w14:paraId="6494FF2D">
      <w:pPr>
        <w:pStyle w:val="4"/>
        <w:keepNext w:val="0"/>
        <w:keepLines w:val="0"/>
        <w:pageBreakBefore w:val="0"/>
        <w:widowControl w:val="0"/>
        <w:numPr>
          <w:ilvl w:val="1"/>
          <w:numId w:val="15"/>
        </w:numPr>
        <w:kinsoku/>
        <w:wordWrap/>
        <w:overflowPunct/>
        <w:topLinePunct w:val="0"/>
        <w:autoSpaceDE/>
        <w:autoSpaceDN/>
        <w:bidi w:val="0"/>
        <w:adjustRightInd/>
        <w:textAlignment w:val="auto"/>
        <w:rPr>
          <w:color w:val="auto"/>
          <w:highlight w:val="none"/>
        </w:rPr>
      </w:pPr>
      <w:bookmarkStart w:id="490" w:name="_Toc7005"/>
      <w:bookmarkStart w:id="491" w:name="_Toc10282"/>
      <w:bookmarkStart w:id="492" w:name="_Toc153907592"/>
      <w:r>
        <w:rPr>
          <w:rFonts w:hint="eastAsia"/>
          <w:color w:val="auto"/>
          <w:highlight w:val="none"/>
        </w:rPr>
        <w:t>金属板饰面板安装技术要求</w:t>
      </w:r>
      <w:bookmarkEnd w:id="490"/>
      <w:bookmarkEnd w:id="491"/>
      <w:bookmarkEnd w:id="492"/>
    </w:p>
    <w:p w14:paraId="11BBC5C7">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金属板材的品种、规格、厚度、颜色应符合设计要求。金属饰面板应具有产品出厂合格证和材料检测报告，其技术性能应符合规定。</w:t>
      </w:r>
    </w:p>
    <w:p w14:paraId="728B44D2">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当采用角钢、方通、槽钢作骨架时，须采用热镀锌钢材，焊缝饱满，焊缝处需进行防锈处理。</w:t>
      </w:r>
    </w:p>
    <w:p w14:paraId="57F78757">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膨胀螺栓、铁垫板、垫圈、螺帽及与骨架固定的各种设计和安装所需的连接件，其质量必须符合工艺要求。</w:t>
      </w:r>
    </w:p>
    <w:p w14:paraId="5F796BF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板面与骨架的固定必须牢固，不得松动。</w:t>
      </w:r>
    </w:p>
    <w:p w14:paraId="0499F456">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大幅金属饰面板需为蜂窝板或铝单板，以满足最终饰面平整度要求。</w:t>
      </w:r>
    </w:p>
    <w:p w14:paraId="1919973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金属饰面板安装工程预埋件或后置埋件、连接件的数量、规格、位置、连接方法和防腐处理必须通过工艺样板验收。后置埋件的现场拉拔检测值必须符合规范要求。</w:t>
      </w:r>
    </w:p>
    <w:p w14:paraId="0DACBE87">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板材安装时，搭接长度应符合规范要求，不得有明显透缝现象。</w:t>
      </w:r>
    </w:p>
    <w:p w14:paraId="5131B5D3">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金属面板平整度误差不大于1mm。</w:t>
      </w:r>
    </w:p>
    <w:p w14:paraId="5BA3E1AE">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金属饰面板之间无尖锐阳角、刀口、毛刺飞边，镀层无色差、颜色均匀一致，表面无焊点。</w:t>
      </w:r>
    </w:p>
    <w:p w14:paraId="6200E121">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金属饰面板表面应平整、洁净、美观、色泽一致，无划痕、麻点、凹坑、翘盐、褶皱、损伤，收口条割角整齐，搭接严密无缝隙。</w:t>
      </w:r>
    </w:p>
    <w:p w14:paraId="7B5AD81B">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金属饰面板上的各种孔洞套割吻合、边缘整齐，与其他专业设备的交界处，应位置正确、交接严密、无缝隙。</w:t>
      </w:r>
    </w:p>
    <w:p w14:paraId="54F6D1EB">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加工、安装过程中，饰面板保护膜如有脱落要及时补贴。加工操作台上需铺一层软垫，防止划伤金属饰面板。</w:t>
      </w:r>
    </w:p>
    <w:p w14:paraId="1C391E4C">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安装饰面板时，作业人员宜戴干净线手套，以防污染板面或板边划伤手。</w:t>
      </w:r>
    </w:p>
    <w:p w14:paraId="0D36F1B1">
      <w:pPr>
        <w:pStyle w:val="4"/>
        <w:keepNext w:val="0"/>
        <w:keepLines w:val="0"/>
        <w:pageBreakBefore w:val="0"/>
        <w:widowControl w:val="0"/>
        <w:numPr>
          <w:ilvl w:val="1"/>
          <w:numId w:val="15"/>
        </w:numPr>
        <w:kinsoku/>
        <w:wordWrap/>
        <w:overflowPunct/>
        <w:topLinePunct w:val="0"/>
        <w:autoSpaceDE/>
        <w:autoSpaceDN/>
        <w:bidi w:val="0"/>
        <w:adjustRightInd/>
        <w:textAlignment w:val="auto"/>
        <w:rPr>
          <w:color w:val="auto"/>
          <w:highlight w:val="none"/>
        </w:rPr>
      </w:pPr>
      <w:bookmarkStart w:id="493" w:name="_Toc153907593"/>
      <w:bookmarkStart w:id="494" w:name="_Toc24705"/>
      <w:bookmarkStart w:id="495" w:name="_Toc19379"/>
      <w:r>
        <w:rPr>
          <w:rFonts w:hint="eastAsia"/>
          <w:color w:val="auto"/>
          <w:highlight w:val="none"/>
        </w:rPr>
        <w:t>玻璃安装技术要求</w:t>
      </w:r>
      <w:bookmarkEnd w:id="493"/>
      <w:bookmarkEnd w:id="494"/>
      <w:bookmarkEnd w:id="495"/>
    </w:p>
    <w:p w14:paraId="1523D658">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玻璃的品种、规格、厚度和颜色应符合设计要求。</w:t>
      </w:r>
    </w:p>
    <w:p w14:paraId="3BAA7B19">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玻璃制口处做倒角处理，铝扣片必须能够保证玻璃安装牢固、可靠。</w:t>
      </w:r>
    </w:p>
    <w:p w14:paraId="6CDC1FD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按照玻璃的设计分格尺寸用经纬仪或其他测量议器进行分格定位。</w:t>
      </w:r>
    </w:p>
    <w:p w14:paraId="3AF519E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墙、隔断和顶棚镶嵌玻璃的骨架，应与结构连接牢固。</w:t>
      </w:r>
    </w:p>
    <w:p w14:paraId="36D36D2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应排列均匀整齐，表面平整，不得移位、翘曲和松动，其接缝应均匀、平直、密实。</w:t>
      </w:r>
    </w:p>
    <w:p w14:paraId="152451B5">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安装固定主支承器，用螺栓连接或焊接的方式将主支承器固定。</w:t>
      </w:r>
    </w:p>
    <w:p w14:paraId="740FD9B1">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在预埋件上检查各螺丝钉的位置及焊接口，涂刷防锈漆。</w:t>
      </w:r>
    </w:p>
    <w:p w14:paraId="34093DEC">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玻璃不得直接接触型材，玻璃限位槽内橡胶垫块厚度必须符合设计要求，与其他饰面材料结合部位不得出现可见面。</w:t>
      </w:r>
    </w:p>
    <w:p w14:paraId="63DE4758">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所用的型钢骨架、连接件（板）等的材质、品种、型号、规格及连接方式必须通过工艺样板验收。</w:t>
      </w:r>
    </w:p>
    <w:p w14:paraId="069BD451">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连接件与基层，骨架与连接件的连接，玻璃与边框连接安装必须牢固可靠无松动。</w:t>
      </w:r>
    </w:p>
    <w:p w14:paraId="78286F52">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采用螺栓、胀管连接处必须加弹簧垫圈并拧紧。</w:t>
      </w:r>
    </w:p>
    <w:p w14:paraId="34178D9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金属骨架表面洁净、无污染，连接牢固、安全可靠，横平竖直，无明显错台错位，不得弯曲和扭曲变形。垂直偏差不大于3mm，水平偏差不大于2mm。</w:t>
      </w:r>
    </w:p>
    <w:p w14:paraId="6B91591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焊缝要求构件满焊连接，焊缝外形均匀、成型较好、过渡平滑，焊渣清除打磨干净。</w:t>
      </w:r>
    </w:p>
    <w:p w14:paraId="62059439">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玻璃表面洁净，不得有毛刺、污渍、大面无划痕、碰伤、烧伤、腐蚀斑点。涂胶大面光滑，无气孔。</w:t>
      </w:r>
    </w:p>
    <w:p w14:paraId="0582D21C">
      <w:pPr>
        <w:pStyle w:val="4"/>
        <w:keepNext w:val="0"/>
        <w:keepLines w:val="0"/>
        <w:pageBreakBefore w:val="0"/>
        <w:widowControl w:val="0"/>
        <w:numPr>
          <w:ilvl w:val="1"/>
          <w:numId w:val="15"/>
        </w:numPr>
        <w:kinsoku/>
        <w:wordWrap/>
        <w:overflowPunct/>
        <w:topLinePunct w:val="0"/>
        <w:autoSpaceDE/>
        <w:autoSpaceDN/>
        <w:bidi w:val="0"/>
        <w:adjustRightInd/>
        <w:textAlignment w:val="auto"/>
        <w:rPr>
          <w:color w:val="auto"/>
          <w:highlight w:val="none"/>
        </w:rPr>
      </w:pPr>
      <w:bookmarkStart w:id="496" w:name="_Toc29144"/>
      <w:bookmarkStart w:id="497" w:name="_Toc11388"/>
      <w:bookmarkStart w:id="498" w:name="_Toc153907594"/>
      <w:r>
        <w:rPr>
          <w:rFonts w:hint="eastAsia"/>
          <w:color w:val="auto"/>
          <w:highlight w:val="none"/>
        </w:rPr>
        <w:t>镜面安装技术要求</w:t>
      </w:r>
      <w:bookmarkEnd w:id="496"/>
      <w:bookmarkEnd w:id="497"/>
      <w:bookmarkEnd w:id="498"/>
    </w:p>
    <w:p w14:paraId="49C33E3E">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镜面的表面须平整、颜色一致、无明显划伤和压痕。</w:t>
      </w:r>
    </w:p>
    <w:p w14:paraId="19B2CA5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镜面基层须满铺夹板并安装牢固、平整，四边须磨光封边加工，粘贴牢固。</w:t>
      </w:r>
    </w:p>
    <w:p w14:paraId="7CE5AA3B">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镜子镀层不得脱落、泛锈。</w:t>
      </w:r>
    </w:p>
    <w:p w14:paraId="726B93DB">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镜子安装需采用在基层上粘贴“3M”双面胶带，间隔300mm一道，并打“S”形中性结构胶进行组合安装。</w:t>
      </w:r>
    </w:p>
    <w:p w14:paraId="2BD78473">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周边须有装饰性边框收边固定镜子，边框需安装牢固、稳定。</w:t>
      </w:r>
    </w:p>
    <w:p w14:paraId="4E339323">
      <w:pPr>
        <w:pStyle w:val="4"/>
        <w:keepNext w:val="0"/>
        <w:keepLines w:val="0"/>
        <w:pageBreakBefore w:val="0"/>
        <w:widowControl w:val="0"/>
        <w:numPr>
          <w:ilvl w:val="1"/>
          <w:numId w:val="15"/>
        </w:numPr>
        <w:kinsoku/>
        <w:wordWrap/>
        <w:overflowPunct/>
        <w:topLinePunct w:val="0"/>
        <w:autoSpaceDE/>
        <w:autoSpaceDN/>
        <w:bidi w:val="0"/>
        <w:adjustRightInd/>
        <w:textAlignment w:val="auto"/>
        <w:rPr>
          <w:color w:val="auto"/>
          <w:highlight w:val="none"/>
        </w:rPr>
      </w:pPr>
      <w:bookmarkStart w:id="499" w:name="_Toc21821"/>
      <w:bookmarkStart w:id="500" w:name="_Toc7595"/>
      <w:bookmarkStart w:id="501" w:name="_Toc153907595"/>
      <w:r>
        <w:rPr>
          <w:rFonts w:hint="eastAsia"/>
          <w:color w:val="auto"/>
          <w:highlight w:val="none"/>
        </w:rPr>
        <w:t>踢脚板安装技术要求</w:t>
      </w:r>
      <w:bookmarkEnd w:id="499"/>
      <w:bookmarkEnd w:id="500"/>
      <w:bookmarkEnd w:id="501"/>
    </w:p>
    <w:p w14:paraId="2978F46B">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不锈钢</w:t>
      </w:r>
    </w:p>
    <w:p w14:paraId="1D1141FD">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所用的材料必须符合设计要求及国家相关规范规定，钢号不得低于304。材料厚度偏差须符合国标要求。</w:t>
      </w:r>
    </w:p>
    <w:p w14:paraId="2AD8FB2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在墙内安装踢脚线基板的位置，每隔300mm呈“之”字形打入楔件，并避开相应机电管线。</w:t>
      </w:r>
    </w:p>
    <w:p w14:paraId="36A4E5F7">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不锈钢踢脚线与基层板胶结时，应间隔胶结，间隔距＜300mm，接口处应采用压条压平整，表面保护膜竣工前撕除。</w:t>
      </w:r>
    </w:p>
    <w:p w14:paraId="4B0B0D37">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踢脚线基层板应钉牢墙角，表面平直，安装牢固，不应发生翘曲或呈波浪形等情况。</w:t>
      </w:r>
    </w:p>
    <w:p w14:paraId="138AC7A7">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不锈钢饰面板板缝、接口处高差不大于0.5mm，平整不大于0.5mm、接缝宽度不大于1mm。</w:t>
      </w:r>
    </w:p>
    <w:p w14:paraId="7F5D345C">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与地面留缝间隙为1.5mm，不得无缝。</w:t>
      </w:r>
    </w:p>
    <w:p w14:paraId="6A12AF32">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阳角圆润光滑、无刀口、毛刺、飞边，镀层无色差、颜色均匀一致，表面无焊点、锈迹。</w:t>
      </w:r>
    </w:p>
    <w:p w14:paraId="5FC083B5">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6m以内线条踢脚线必须为整根、无接头。</w:t>
      </w:r>
    </w:p>
    <w:p w14:paraId="5BC2E9A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木质踢脚线</w:t>
      </w:r>
    </w:p>
    <w:p w14:paraId="527C70FF">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材料品种、规格、外观、尺寸必须符合设计要求，必须包装完好；</w:t>
      </w:r>
    </w:p>
    <w:p w14:paraId="32BF098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材料应干净整洁、色泽一致、规格统一，不得有缺棱掉角、脱漆、锈蚀等缺陷；进场的粘接剂、玻璃胶等必须按照国家标准和设计要求，有出厂证明和复试合格报告</w:t>
      </w:r>
    </w:p>
    <w:p w14:paraId="4226A2D6">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踢脚线部位的基层应平整，并具有一定的强度。在抹灰阶段就需要注重踢脚线位置的平整度，一般不超过2mm</w:t>
      </w:r>
    </w:p>
    <w:p w14:paraId="59AAF574">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依据弹出的完成面线，使用枪钉将踢脚线固定在墙上。固定前踢脚线背面以玻璃胶或发泡剂辅助固定。</w:t>
      </w:r>
    </w:p>
    <w:p w14:paraId="6D55D7D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安装完成后对其钉眼进行修补，先用原子灰补平钉眼，再用厂家配套或自行调色配置的有色漆进行修补。</w:t>
      </w:r>
    </w:p>
    <w:p w14:paraId="5FA1A307">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允许偏差及检测方法如下：</w:t>
      </w:r>
    </w:p>
    <w:p w14:paraId="7195C329">
      <w:pPr>
        <w:pStyle w:val="27"/>
        <w:keepNext w:val="0"/>
        <w:keepLines w:val="0"/>
        <w:pageBreakBefore w:val="0"/>
        <w:widowControl w:val="0"/>
        <w:kinsoku/>
        <w:wordWrap/>
        <w:overflowPunct/>
        <w:topLinePunct w:val="0"/>
        <w:autoSpaceDE/>
        <w:autoSpaceDN/>
        <w:bidi w:val="0"/>
        <w:rPr>
          <w:color w:val="auto"/>
          <w:highlight w:val="none"/>
        </w:rPr>
      </w:pPr>
      <w:r>
        <w:rPr>
          <w:rFonts w:hint="eastAsia"/>
          <w:color w:val="auto"/>
          <w:highlight w:val="none"/>
        </w:rPr>
        <w:drawing>
          <wp:inline distT="0" distB="0" distL="114300" distR="114300">
            <wp:extent cx="4249420" cy="2083435"/>
            <wp:effectExtent l="0" t="0" r="8255"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4"/>
                    <a:stretch>
                      <a:fillRect/>
                    </a:stretch>
                  </pic:blipFill>
                  <pic:spPr>
                    <a:xfrm>
                      <a:off x="0" y="0"/>
                      <a:ext cx="4249420" cy="2083435"/>
                    </a:xfrm>
                    <a:prstGeom prst="rect">
                      <a:avLst/>
                    </a:prstGeom>
                    <a:noFill/>
                    <a:ln>
                      <a:noFill/>
                    </a:ln>
                  </pic:spPr>
                </pic:pic>
              </a:graphicData>
            </a:graphic>
          </wp:inline>
        </w:drawing>
      </w:r>
    </w:p>
    <w:p w14:paraId="53F29AE9">
      <w:pPr>
        <w:pStyle w:val="4"/>
        <w:keepNext w:val="0"/>
        <w:keepLines w:val="0"/>
        <w:pageBreakBefore w:val="0"/>
        <w:widowControl w:val="0"/>
        <w:numPr>
          <w:ilvl w:val="1"/>
          <w:numId w:val="15"/>
        </w:numPr>
        <w:kinsoku/>
        <w:wordWrap/>
        <w:overflowPunct/>
        <w:topLinePunct w:val="0"/>
        <w:autoSpaceDE/>
        <w:autoSpaceDN/>
        <w:bidi w:val="0"/>
        <w:adjustRightInd/>
        <w:textAlignment w:val="auto"/>
        <w:rPr>
          <w:color w:val="auto"/>
          <w:highlight w:val="none"/>
        </w:rPr>
      </w:pPr>
      <w:bookmarkStart w:id="502" w:name="_Toc28267"/>
      <w:bookmarkStart w:id="503" w:name="_Toc153907596"/>
      <w:bookmarkStart w:id="504" w:name="_Toc30662"/>
      <w:r>
        <w:rPr>
          <w:rFonts w:hint="eastAsia"/>
          <w:color w:val="auto"/>
          <w:highlight w:val="none"/>
        </w:rPr>
        <w:t>玻璃门安装技术要求</w:t>
      </w:r>
      <w:bookmarkEnd w:id="502"/>
      <w:bookmarkEnd w:id="503"/>
      <w:bookmarkEnd w:id="504"/>
    </w:p>
    <w:p w14:paraId="31627816">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所用的材料必须符合设计要求及国家相关规范规定。</w:t>
      </w:r>
    </w:p>
    <w:p w14:paraId="4F83B653">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地弹簧：安装牢固、位置准确，须采取角钢架焊接固定方式，不得采用水泥砂浆捂嵌方式固定安装。</w:t>
      </w:r>
    </w:p>
    <w:p w14:paraId="1C15313A">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玻璃门的预埋件的数量、位置、埋设方式、与框的连接方式必须牢固方正。</w:t>
      </w:r>
    </w:p>
    <w:p w14:paraId="2F2523D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玻璃门的配件应齐全，位置应正确，安装应牢固，应满足使用要求和特种门的各项性能要求。</w:t>
      </w:r>
    </w:p>
    <w:p w14:paraId="4D1608D9">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玻璃门的表面装饰应符合设计要求。</w:t>
      </w:r>
    </w:p>
    <w:p w14:paraId="3559464B">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玻璃门的表面应洁净、无油污，无划痕、碰伤、缺损、掉角、焊渣烫伤等。</w:t>
      </w:r>
    </w:p>
    <w:p w14:paraId="6AC60882">
      <w:pPr>
        <w:pStyle w:val="4"/>
        <w:keepNext w:val="0"/>
        <w:keepLines w:val="0"/>
        <w:pageBreakBefore w:val="0"/>
        <w:widowControl w:val="0"/>
        <w:numPr>
          <w:ilvl w:val="1"/>
          <w:numId w:val="15"/>
        </w:numPr>
        <w:kinsoku/>
        <w:wordWrap/>
        <w:overflowPunct/>
        <w:topLinePunct w:val="0"/>
        <w:autoSpaceDE/>
        <w:autoSpaceDN/>
        <w:bidi w:val="0"/>
        <w:adjustRightInd/>
        <w:textAlignment w:val="auto"/>
        <w:rPr>
          <w:color w:val="auto"/>
          <w:highlight w:val="none"/>
        </w:rPr>
      </w:pPr>
      <w:bookmarkStart w:id="505" w:name="_Toc12593"/>
      <w:bookmarkStart w:id="506" w:name="_Toc153907597"/>
      <w:bookmarkStart w:id="507" w:name="_Toc12911"/>
      <w:r>
        <w:rPr>
          <w:rFonts w:hint="eastAsia"/>
          <w:color w:val="auto"/>
          <w:highlight w:val="none"/>
        </w:rPr>
        <w:t>木饰面安装技术要求</w:t>
      </w:r>
      <w:bookmarkEnd w:id="505"/>
      <w:bookmarkEnd w:id="506"/>
      <w:bookmarkEnd w:id="507"/>
    </w:p>
    <w:p w14:paraId="2558E64A">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木材的品种、材质必须干燥、无裂痕、无蛀腐。</w:t>
      </w:r>
    </w:p>
    <w:p w14:paraId="39A847C2">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木饰面必须进行三防处理，即：防火、防虫、防腐。装饰性防火门木饰面颜色、防火等级符合设计要求。</w:t>
      </w:r>
    </w:p>
    <w:p w14:paraId="777C1E12">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饰面板表面不得有缺陷，在同一完整饰面上不能在纹理的垂直方向出现接口，平行方向的接缝要拼密，其他偏差范围在规定范围之内。</w:t>
      </w:r>
    </w:p>
    <w:p w14:paraId="1F7AF682">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木制品必须工厂化加工，现场安装。木皮厚度应不低于50丝（其中，局部转角造型处满足发包人特定要求除外），对于造型较复杂的线条，须使用实木线条，并在工厂制作完成后现场安装。安装时背面必须刷防潮漆或贴平衡纸（起到防潮、防变形的作用），不允许在装饰面用枪钉固定。</w:t>
      </w:r>
    </w:p>
    <w:p w14:paraId="61E04D88">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木制品与基层必须牢固，无松动。</w:t>
      </w:r>
    </w:p>
    <w:p w14:paraId="46D12BC5">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木饰面板采用背挂式安装方式，可见面无钉眼外露。</w:t>
      </w:r>
    </w:p>
    <w:p w14:paraId="58E16CA9">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6m以内装饰性线条采用整根，特殊部位须设置工艺缝。</w:t>
      </w:r>
    </w:p>
    <w:p w14:paraId="782A530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木饰面尺寸正确，表面平直光滑，棱角方正，线条顺直，不露钉帽、刨痕、毛刺和锤印。</w:t>
      </w:r>
    </w:p>
    <w:p w14:paraId="204B5C01">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木饰面安装位置正确，切角整齐，接缝严密，平直通顺，与墙面紧贴，出墙尺寸一致。</w:t>
      </w:r>
    </w:p>
    <w:p w14:paraId="39B33156">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木饰面所有油漆作业须在工厂完成，漆面应涂饰均匀、粘贴牢固，不得漏涂、透底、起皮和反锈。</w:t>
      </w:r>
    </w:p>
    <w:p w14:paraId="494D7677">
      <w:pPr>
        <w:pStyle w:val="4"/>
        <w:keepNext w:val="0"/>
        <w:keepLines w:val="0"/>
        <w:pageBreakBefore w:val="0"/>
        <w:widowControl w:val="0"/>
        <w:numPr>
          <w:ilvl w:val="1"/>
          <w:numId w:val="15"/>
        </w:numPr>
        <w:kinsoku/>
        <w:wordWrap/>
        <w:overflowPunct/>
        <w:topLinePunct w:val="0"/>
        <w:autoSpaceDE/>
        <w:autoSpaceDN/>
        <w:bidi w:val="0"/>
        <w:adjustRightInd/>
        <w:textAlignment w:val="auto"/>
        <w:rPr>
          <w:color w:val="auto"/>
          <w:highlight w:val="none"/>
        </w:rPr>
      </w:pPr>
      <w:bookmarkStart w:id="508" w:name="_Toc503543613"/>
      <w:bookmarkStart w:id="509" w:name="_Toc526942521"/>
      <w:bookmarkStart w:id="510" w:name="_Toc19528"/>
      <w:bookmarkStart w:id="511" w:name="_Toc153907599"/>
      <w:bookmarkStart w:id="512" w:name="_Toc6666"/>
      <w:r>
        <w:rPr>
          <w:rFonts w:hint="eastAsia"/>
          <w:color w:val="auto"/>
          <w:highlight w:val="none"/>
        </w:rPr>
        <w:t>淋浴房玻璃隔断安装工程</w:t>
      </w:r>
      <w:bookmarkEnd w:id="508"/>
      <w:r>
        <w:rPr>
          <w:rFonts w:hint="eastAsia"/>
          <w:color w:val="auto"/>
          <w:highlight w:val="none"/>
        </w:rPr>
        <w:t>技术要求</w:t>
      </w:r>
      <w:bookmarkEnd w:id="509"/>
      <w:bookmarkEnd w:id="510"/>
      <w:bookmarkEnd w:id="511"/>
      <w:bookmarkEnd w:id="512"/>
    </w:p>
    <w:p w14:paraId="30ABA67C">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bookmarkStart w:id="513" w:name="_Toc503543614"/>
      <w:bookmarkStart w:id="514" w:name="_Toc526942522"/>
      <w:r>
        <w:rPr>
          <w:rFonts w:hint="eastAsia"/>
          <w:color w:val="auto"/>
          <w:highlight w:val="none"/>
        </w:rPr>
        <w:t>淋浴间隔断的骨架、玻璃、配件必须符合设计和</w:t>
      </w:r>
      <w:r>
        <w:rPr>
          <w:rFonts w:hint="eastAsia"/>
          <w:color w:val="auto"/>
          <w:highlight w:val="none"/>
          <w:lang w:eastAsia="zh-CN"/>
        </w:rPr>
        <w:t>专业承包人</w:t>
      </w:r>
      <w:r>
        <w:rPr>
          <w:rFonts w:hint="eastAsia"/>
          <w:color w:val="auto"/>
          <w:highlight w:val="none"/>
        </w:rPr>
        <w:t>要求。</w:t>
      </w:r>
    </w:p>
    <w:p w14:paraId="62B896F6">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卫生间淋浴隔断材质，必须办理材料设备报验手续，报验合格</w:t>
      </w:r>
      <w:r>
        <w:rPr>
          <w:rFonts w:hint="eastAsia"/>
          <w:color w:val="auto"/>
          <w:highlight w:val="none"/>
          <w:lang w:eastAsia="zh-CN"/>
        </w:rPr>
        <w:t>专业承包人</w:t>
      </w:r>
      <w:r>
        <w:rPr>
          <w:rFonts w:hint="eastAsia"/>
          <w:color w:val="auto"/>
          <w:highlight w:val="none"/>
        </w:rPr>
        <w:t>才可施工；</w:t>
      </w:r>
    </w:p>
    <w:p w14:paraId="31C309B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淋浴间隔断的安装必须牢固可靠，隔板方正竖直，不墙面结合顺直、缝隙均匀，地面结合平稳、严密；</w:t>
      </w:r>
    </w:p>
    <w:p w14:paraId="35930F2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淋浴间的门必须开启灵活、关闭定位正确；</w:t>
      </w:r>
    </w:p>
    <w:p w14:paraId="582AEE77">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淋浴间安装完工后，必须采取有效的保护措施，如采用PVC泡沫棉包裹，1.2m以下区域采用硬质瓦楞板进行保护以防磕碰，在竣工验收交接前不得使用、不得破损</w:t>
      </w:r>
      <w:r>
        <w:rPr>
          <w:rFonts w:hint="eastAsia"/>
          <w:color w:val="auto"/>
          <w:highlight w:val="none"/>
          <w:lang w:eastAsia="zh-CN"/>
        </w:rPr>
        <w:t>。</w:t>
      </w:r>
    </w:p>
    <w:p w14:paraId="1A0D0D15">
      <w:pPr>
        <w:pStyle w:val="4"/>
        <w:keepNext w:val="0"/>
        <w:keepLines w:val="0"/>
        <w:pageBreakBefore w:val="0"/>
        <w:widowControl w:val="0"/>
        <w:numPr>
          <w:ilvl w:val="1"/>
          <w:numId w:val="15"/>
        </w:numPr>
        <w:kinsoku/>
        <w:wordWrap/>
        <w:overflowPunct/>
        <w:topLinePunct w:val="0"/>
        <w:autoSpaceDE/>
        <w:autoSpaceDN/>
        <w:bidi w:val="0"/>
        <w:adjustRightInd/>
        <w:textAlignment w:val="auto"/>
        <w:rPr>
          <w:color w:val="auto"/>
          <w:highlight w:val="none"/>
        </w:rPr>
      </w:pPr>
      <w:bookmarkStart w:id="515" w:name="_Toc26027"/>
      <w:bookmarkStart w:id="516" w:name="_Toc1266"/>
      <w:bookmarkStart w:id="517" w:name="_Toc153907600"/>
      <w:r>
        <w:rPr>
          <w:rFonts w:hint="eastAsia"/>
          <w:color w:val="auto"/>
          <w:highlight w:val="none"/>
        </w:rPr>
        <w:t>木地板铺装工程</w:t>
      </w:r>
      <w:bookmarkEnd w:id="513"/>
      <w:r>
        <w:rPr>
          <w:rFonts w:hint="eastAsia"/>
          <w:color w:val="auto"/>
          <w:highlight w:val="none"/>
        </w:rPr>
        <w:t>技术要求</w:t>
      </w:r>
      <w:bookmarkEnd w:id="514"/>
      <w:bookmarkEnd w:id="515"/>
      <w:bookmarkEnd w:id="516"/>
      <w:bookmarkEnd w:id="517"/>
    </w:p>
    <w:p w14:paraId="5310086A">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板材材质、木皮品种及厚度、材料花纹、规格、基材层数、板材厚度符合设计要求及国家现行木地板铺装标准的规定。</w:t>
      </w:r>
    </w:p>
    <w:p w14:paraId="059E4AB0">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油漆面抗黄变、表面抗划伤、耐磨指数、漆膜厚度等各项技术指标符合国标要求。</w:t>
      </w:r>
    </w:p>
    <w:p w14:paraId="1CE4A7C5">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背面有防潮、防开裂工艺处理。</w:t>
      </w:r>
    </w:p>
    <w:p w14:paraId="073F0395">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饰面基本无色差、划伤、断裂、毛刺，外观质量良好。</w:t>
      </w:r>
    </w:p>
    <w:p w14:paraId="74315098">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地板防潮、防开裂工艺技术处理合理、正确。</w:t>
      </w:r>
    </w:p>
    <w:p w14:paraId="7AFD4846">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防潮垫厚度不低于3mm，接缝采用50mm宽封箱带粘贴牢固，无松动、移位。</w:t>
      </w:r>
    </w:p>
    <w:p w14:paraId="04916F2E">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水泥地面不起砂、起灰、空鼓、开裂等；铺装前检查地面平整度、水平度，平整度不超过3mm，水平度不超过2mm。</w:t>
      </w:r>
    </w:p>
    <w:p w14:paraId="250385C0">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铺装前检测地面含水率，含水率不超过12%。</w:t>
      </w:r>
    </w:p>
    <w:p w14:paraId="3E4EB0F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周边与墙面留有8~12mm伸缩缝。地面清扫干净、无垃圾、无灰尘。</w:t>
      </w:r>
    </w:p>
    <w:p w14:paraId="295083A6">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木地板与踢脚板留缝1.5mm，不得无缝；表面平整度不超过2mm，水平度不超过2mm；接缝高低差不超过0.5mm；踢脚线与面层的接缝不超过1.0mm。</w:t>
      </w:r>
    </w:p>
    <w:p w14:paraId="02FEA37A">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木踢脚线应在墙面找平并干燥后再安装，以保证踢脚线的表面平整。6米以内踢脚线必须为整根，踢脚线上口接缝不超过1.0mm，进行阴角45°的拼接，采用背挂式安装，可见面不得出现钉眼。</w:t>
      </w:r>
    </w:p>
    <w:p w14:paraId="796DA03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在墙内安装踢脚线背挂条的位置，每隔400mm打入木楔并避开相应机电管线。安装前，先按设计标高将控制线弹到墙面，使木踢脚线上口与标高控制线重合。</w:t>
      </w:r>
    </w:p>
    <w:p w14:paraId="112EFEF6">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木踢脚线接缝处应做榫接或斜坡压槎，在90°转角处可做成45°斜角接槎。</w:t>
      </w:r>
    </w:p>
    <w:p w14:paraId="265BBAF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踢脚线的外观质量不得有裂缝、起泡、弯曲、扭翘等缺陷。</w:t>
      </w:r>
    </w:p>
    <w:p w14:paraId="5A3CC28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木地板安装后须平实、无松动、起拱、嘎吱声等异响、无爆灰现象；表面基本无色差、无大小头等。</w:t>
      </w:r>
    </w:p>
    <w:p w14:paraId="5DC03655">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地板铺装方向正确，一般以顺光方向或者顺门方向为宜。</w:t>
      </w:r>
    </w:p>
    <w:p w14:paraId="17321FE4">
      <w:pPr>
        <w:pStyle w:val="4"/>
        <w:keepNext w:val="0"/>
        <w:keepLines w:val="0"/>
        <w:pageBreakBefore w:val="0"/>
        <w:widowControl w:val="0"/>
        <w:numPr>
          <w:ilvl w:val="1"/>
          <w:numId w:val="15"/>
        </w:numPr>
        <w:kinsoku/>
        <w:wordWrap/>
        <w:overflowPunct/>
        <w:topLinePunct w:val="0"/>
        <w:autoSpaceDE/>
        <w:autoSpaceDN/>
        <w:bidi w:val="0"/>
        <w:adjustRightInd/>
        <w:textAlignment w:val="auto"/>
        <w:rPr>
          <w:color w:val="auto"/>
          <w:highlight w:val="none"/>
        </w:rPr>
      </w:pPr>
      <w:bookmarkStart w:id="518" w:name="_Toc503543616"/>
      <w:bookmarkStart w:id="519" w:name="_Toc526942524"/>
      <w:bookmarkStart w:id="520" w:name="_Toc153907602"/>
      <w:bookmarkStart w:id="521" w:name="_Toc22398"/>
      <w:bookmarkStart w:id="522" w:name="_Toc26877"/>
      <w:r>
        <w:rPr>
          <w:rFonts w:hint="eastAsia"/>
          <w:color w:val="auto"/>
          <w:highlight w:val="none"/>
        </w:rPr>
        <w:t>龙头、花洒等五金安装</w:t>
      </w:r>
      <w:bookmarkEnd w:id="518"/>
      <w:r>
        <w:rPr>
          <w:rFonts w:hint="eastAsia"/>
          <w:color w:val="auto"/>
          <w:highlight w:val="none"/>
        </w:rPr>
        <w:t>技术要求</w:t>
      </w:r>
      <w:bookmarkEnd w:id="519"/>
      <w:bookmarkEnd w:id="520"/>
      <w:bookmarkEnd w:id="521"/>
      <w:bookmarkEnd w:id="522"/>
    </w:p>
    <w:p w14:paraId="1296C421">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龙头、花洒等卫浴五金件的材料规格、型号符合设计要求；产品具有合格证。五金件表面光滑、美观、无裂纹，边缘平滑，色调一致。</w:t>
      </w:r>
    </w:p>
    <w:p w14:paraId="1677026A">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龙头、花洒等卫浴五金件符合国家标准及合同要求，外表光滑，电镀均匀，螺纹清晰，锁母松紧适度，无砂眼、裂纹等缺陷。</w:t>
      </w:r>
    </w:p>
    <w:p w14:paraId="352761F6">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角阀与金属软管接头连接时，无渗漏现象，排水形式符合设计要求。</w:t>
      </w:r>
    </w:p>
    <w:p w14:paraId="3DDE6908">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龙头、花洒等五金件安装美观、不倾斜，在立面中成排成线。</w:t>
      </w:r>
    </w:p>
    <w:p w14:paraId="7A8C090C">
      <w:pPr>
        <w:pStyle w:val="4"/>
        <w:keepNext w:val="0"/>
        <w:keepLines w:val="0"/>
        <w:pageBreakBefore w:val="0"/>
        <w:widowControl w:val="0"/>
        <w:numPr>
          <w:ilvl w:val="1"/>
          <w:numId w:val="15"/>
        </w:numPr>
        <w:kinsoku/>
        <w:wordWrap/>
        <w:overflowPunct/>
        <w:topLinePunct w:val="0"/>
        <w:autoSpaceDE/>
        <w:autoSpaceDN/>
        <w:bidi w:val="0"/>
        <w:adjustRightInd/>
        <w:textAlignment w:val="auto"/>
        <w:rPr>
          <w:color w:val="auto"/>
          <w:highlight w:val="none"/>
        </w:rPr>
      </w:pPr>
      <w:bookmarkStart w:id="523" w:name="_Toc503543617"/>
      <w:bookmarkStart w:id="524" w:name="_Toc526942525"/>
      <w:bookmarkStart w:id="525" w:name="_Toc153907603"/>
      <w:bookmarkStart w:id="526" w:name="_Toc3649"/>
      <w:bookmarkStart w:id="527" w:name="_Toc28867"/>
      <w:r>
        <w:rPr>
          <w:rFonts w:hint="eastAsia"/>
          <w:color w:val="auto"/>
          <w:highlight w:val="none"/>
        </w:rPr>
        <w:t>浴缸、台盆等洁具安装</w:t>
      </w:r>
      <w:bookmarkEnd w:id="523"/>
      <w:r>
        <w:rPr>
          <w:rFonts w:hint="eastAsia"/>
          <w:color w:val="auto"/>
          <w:highlight w:val="none"/>
        </w:rPr>
        <w:t>技术要求</w:t>
      </w:r>
      <w:bookmarkEnd w:id="524"/>
      <w:bookmarkEnd w:id="525"/>
      <w:bookmarkEnd w:id="526"/>
      <w:bookmarkEnd w:id="527"/>
    </w:p>
    <w:p w14:paraId="12F0B73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卫生洁具的规格、型号符合设计要求，卫生洁具表面光滑、美观、无裂纹，边缘平滑，色调一致。</w:t>
      </w:r>
    </w:p>
    <w:p w14:paraId="16C3C24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卫生洁具及配件规格符合国标标准及合同要求，质量可靠，外表光滑，电镀均匀，螺纹清晰，锁母松紧适度，无砂眼、裂纹等缺陷。</w:t>
      </w:r>
    </w:p>
    <w:p w14:paraId="75FC5515">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坐便器与背水箱中心对正，不弯管歪扭，水箱离墙面距离不得超过20mm。</w:t>
      </w:r>
    </w:p>
    <w:p w14:paraId="701CF00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通水之前，将器具内污物清理干净，不得借通水之便将污物冲入下水管内，以免管道堵塞。</w:t>
      </w:r>
    </w:p>
    <w:p w14:paraId="59786196">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浴缸安装：嵌入式（非独立式）浴缸安装采用钢架、砌体的，必须设置可开启式检修暗门，暗门位置合理、大小合适，便于检修，浴缸安装高度不超过550mm，钢架必须采用热镀锌角钢、焊接牢固，空腔内部需设置双地漏，地面须找平并放坡。</w:t>
      </w:r>
    </w:p>
    <w:p w14:paraId="7FF9C616">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台盆底部尽量采取可拆卸的装修封闭处理。台盆迎面挂板高度不得超过200mm。台盆钢架安装牢固、无松动摇晃。台盆柜门扇退进台面板20mm为宜，不能与台面板齐平。</w:t>
      </w:r>
    </w:p>
    <w:p w14:paraId="12CCA5F2">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钢材需为国标热镀锌型钢，镀锌重量须达到120g/m²，焊缝饱满并作防锈处理。</w:t>
      </w:r>
    </w:p>
    <w:p w14:paraId="77BDC767">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安装浴缸等洁具安装固定时，禁止破坏防水层。如需打钉固定，须提前做预留预埋及防水加强处理。</w:t>
      </w:r>
    </w:p>
    <w:p w14:paraId="3D1716FA">
      <w:pPr>
        <w:pStyle w:val="4"/>
        <w:keepNext w:val="0"/>
        <w:keepLines w:val="0"/>
        <w:pageBreakBefore w:val="0"/>
        <w:widowControl w:val="0"/>
        <w:numPr>
          <w:ilvl w:val="1"/>
          <w:numId w:val="15"/>
        </w:numPr>
        <w:kinsoku/>
        <w:wordWrap/>
        <w:overflowPunct/>
        <w:topLinePunct w:val="0"/>
        <w:autoSpaceDE/>
        <w:autoSpaceDN/>
        <w:bidi w:val="0"/>
        <w:adjustRightInd/>
        <w:textAlignment w:val="auto"/>
        <w:rPr>
          <w:color w:val="auto"/>
          <w:highlight w:val="none"/>
        </w:rPr>
      </w:pPr>
      <w:bookmarkStart w:id="528" w:name="_Toc5931"/>
      <w:bookmarkStart w:id="529" w:name="_Toc12979"/>
      <w:bookmarkStart w:id="530" w:name="_Toc153907604"/>
      <w:r>
        <w:rPr>
          <w:rFonts w:hint="eastAsia"/>
          <w:color w:val="auto"/>
          <w:highlight w:val="none"/>
        </w:rPr>
        <w:t>电气工程技术要求</w:t>
      </w:r>
      <w:bookmarkEnd w:id="528"/>
      <w:bookmarkEnd w:id="529"/>
      <w:bookmarkEnd w:id="530"/>
    </w:p>
    <w:p w14:paraId="1A22FDB5">
      <w:pPr>
        <w:pStyle w:val="5"/>
        <w:keepNext w:val="0"/>
        <w:keepLines w:val="0"/>
        <w:pageBreakBefore w:val="0"/>
        <w:widowControl w:val="0"/>
        <w:numPr>
          <w:ilvl w:val="2"/>
          <w:numId w:val="15"/>
        </w:numPr>
        <w:kinsoku/>
        <w:wordWrap/>
        <w:overflowPunct/>
        <w:topLinePunct w:val="0"/>
        <w:autoSpaceDE/>
        <w:autoSpaceDN/>
        <w:bidi w:val="0"/>
        <w:adjustRightInd/>
        <w:snapToGrid w:val="0"/>
        <w:spacing w:beforeLines="0" w:afterLines="0" w:line="360" w:lineRule="auto"/>
        <w:ind w:left="0" w:firstLine="480" w:firstLineChars="200"/>
        <w:textAlignment w:val="auto"/>
        <w:rPr>
          <w:color w:val="auto"/>
          <w:highlight w:val="none"/>
        </w:rPr>
      </w:pPr>
      <w:bookmarkStart w:id="531" w:name="_Toc523308120"/>
      <w:bookmarkStart w:id="532" w:name="_Toc520387444"/>
      <w:bookmarkStart w:id="533" w:name="_Toc524082920"/>
      <w:bookmarkStart w:id="534" w:name="_Toc526942527"/>
      <w:bookmarkStart w:id="535" w:name="_Toc501462763"/>
      <w:r>
        <w:rPr>
          <w:rFonts w:hint="eastAsia"/>
          <w:color w:val="auto"/>
          <w:highlight w:val="none"/>
        </w:rPr>
        <w:t>砌体墙面线管暗埋及后开槽技术措施</w:t>
      </w:r>
      <w:bookmarkEnd w:id="531"/>
      <w:bookmarkEnd w:id="532"/>
      <w:bookmarkEnd w:id="533"/>
      <w:bookmarkEnd w:id="534"/>
    </w:p>
    <w:p w14:paraId="7D49E9B9">
      <w:pPr>
        <w:pStyle w:val="6"/>
        <w:keepNext w:val="0"/>
        <w:keepLines w:val="0"/>
        <w:pageBreakBefore w:val="0"/>
        <w:widowControl w:val="0"/>
        <w:numPr>
          <w:ilvl w:val="3"/>
          <w:numId w:val="15"/>
        </w:numPr>
        <w:kinsoku/>
        <w:wordWrap/>
        <w:overflowPunct/>
        <w:topLinePunct w:val="0"/>
        <w:autoSpaceDE/>
        <w:autoSpaceDN/>
        <w:bidi w:val="0"/>
        <w:adjustRightInd/>
        <w:snapToGrid w:val="0"/>
        <w:spacing w:beforeLines="0" w:afterLines="0" w:line="360" w:lineRule="auto"/>
        <w:ind w:left="0" w:leftChars="0" w:firstLine="480" w:firstLineChars="200"/>
        <w:textAlignment w:val="auto"/>
        <w:rPr>
          <w:color w:val="auto"/>
          <w:highlight w:val="none"/>
        </w:rPr>
      </w:pPr>
      <w:r>
        <w:rPr>
          <w:rFonts w:hint="eastAsia"/>
          <w:color w:val="auto"/>
          <w:highlight w:val="none"/>
        </w:rPr>
        <w:t>线管管槽定位：根据装修图纸，确定线盒及配管位置、放线、画线。</w:t>
      </w:r>
    </w:p>
    <w:p w14:paraId="5B4F7B1F">
      <w:pPr>
        <w:pStyle w:val="6"/>
        <w:keepNext w:val="0"/>
        <w:keepLines w:val="0"/>
        <w:pageBreakBefore w:val="0"/>
        <w:widowControl w:val="0"/>
        <w:numPr>
          <w:ilvl w:val="3"/>
          <w:numId w:val="15"/>
        </w:numPr>
        <w:kinsoku/>
        <w:wordWrap/>
        <w:overflowPunct/>
        <w:topLinePunct w:val="0"/>
        <w:autoSpaceDE/>
        <w:autoSpaceDN/>
        <w:bidi w:val="0"/>
        <w:adjustRightInd/>
        <w:snapToGrid w:val="0"/>
        <w:spacing w:beforeLines="0" w:afterLines="0" w:line="360" w:lineRule="auto"/>
        <w:ind w:left="0" w:leftChars="0" w:firstLine="480" w:firstLineChars="200"/>
        <w:textAlignment w:val="auto"/>
        <w:rPr>
          <w:color w:val="auto"/>
          <w:highlight w:val="none"/>
        </w:rPr>
      </w:pPr>
      <w:r>
        <w:rPr>
          <w:rFonts w:hint="eastAsia"/>
          <w:color w:val="auto"/>
          <w:highlight w:val="none"/>
        </w:rPr>
        <w:t>切槽：使用多片切槽机切槽，用凿子剔出管槽里多余的砖渣,管槽宽度比管的外径大10mm，槽深为D+15mm。墙面水平开槽的长度不得大于50cm。</w:t>
      </w:r>
    </w:p>
    <w:p w14:paraId="222FA97B">
      <w:pPr>
        <w:pStyle w:val="6"/>
        <w:keepNext w:val="0"/>
        <w:keepLines w:val="0"/>
        <w:pageBreakBefore w:val="0"/>
        <w:widowControl w:val="0"/>
        <w:numPr>
          <w:ilvl w:val="3"/>
          <w:numId w:val="15"/>
        </w:numPr>
        <w:kinsoku/>
        <w:wordWrap/>
        <w:overflowPunct/>
        <w:topLinePunct w:val="0"/>
        <w:autoSpaceDE/>
        <w:autoSpaceDN/>
        <w:bidi w:val="0"/>
        <w:adjustRightInd/>
        <w:snapToGrid w:val="0"/>
        <w:spacing w:beforeLines="0" w:afterLines="0" w:line="360" w:lineRule="auto"/>
        <w:ind w:left="0" w:leftChars="0" w:firstLine="480" w:firstLineChars="200"/>
        <w:textAlignment w:val="auto"/>
        <w:rPr>
          <w:color w:val="auto"/>
          <w:highlight w:val="none"/>
        </w:rPr>
      </w:pPr>
      <w:r>
        <w:rPr>
          <w:rFonts w:hint="eastAsia"/>
          <w:color w:val="auto"/>
          <w:highlight w:val="none"/>
        </w:rPr>
        <w:t>敷设线管,固定线管:放入槽后，每隔0.5m须用铁钉固定。管先用水浇湿管槽，再用高一标号水泥砂浆修补（砂浆强度等级不低于M10，2根管槽以下）；三根配管以上用细石混凝土补槽，并挂玻纤网（玻纤网宽度超过管道两边不小于10cm）；最后交付由土建统一面层抹灰,并排管间距h≥15mm，D为线管直径。</w:t>
      </w:r>
    </w:p>
    <w:p w14:paraId="0FC01255">
      <w:pPr>
        <w:pStyle w:val="6"/>
        <w:keepNext w:val="0"/>
        <w:keepLines w:val="0"/>
        <w:pageBreakBefore w:val="0"/>
        <w:widowControl w:val="0"/>
        <w:numPr>
          <w:ilvl w:val="3"/>
          <w:numId w:val="15"/>
        </w:numPr>
        <w:kinsoku/>
        <w:wordWrap/>
        <w:overflowPunct/>
        <w:topLinePunct w:val="0"/>
        <w:autoSpaceDE/>
        <w:autoSpaceDN/>
        <w:bidi w:val="0"/>
        <w:adjustRightInd/>
        <w:snapToGrid w:val="0"/>
        <w:spacing w:beforeLines="0" w:afterLines="0" w:line="360" w:lineRule="auto"/>
        <w:ind w:left="0" w:leftChars="0" w:firstLine="480" w:firstLineChars="200"/>
        <w:textAlignment w:val="auto"/>
        <w:rPr>
          <w:color w:val="auto"/>
          <w:highlight w:val="none"/>
        </w:rPr>
      </w:pPr>
      <w:r>
        <w:rPr>
          <w:rFonts w:hint="eastAsia"/>
          <w:color w:val="auto"/>
          <w:highlight w:val="none"/>
        </w:rPr>
        <w:t>线管预留预埋注意事项：</w:t>
      </w:r>
    </w:p>
    <w:p w14:paraId="2AE3009D">
      <w:pPr>
        <w:pStyle w:val="6"/>
        <w:keepNext w:val="0"/>
        <w:keepLines w:val="0"/>
        <w:pageBreakBefore w:val="0"/>
        <w:widowControl w:val="0"/>
        <w:numPr>
          <w:ilvl w:val="3"/>
          <w:numId w:val="15"/>
        </w:numPr>
        <w:kinsoku/>
        <w:wordWrap/>
        <w:overflowPunct/>
        <w:topLinePunct w:val="0"/>
        <w:autoSpaceDE/>
        <w:autoSpaceDN/>
        <w:bidi w:val="0"/>
        <w:adjustRightInd/>
        <w:snapToGrid w:val="0"/>
        <w:spacing w:beforeLines="0" w:afterLines="0" w:line="360" w:lineRule="auto"/>
        <w:ind w:left="0" w:leftChars="0" w:firstLine="480" w:firstLineChars="200"/>
        <w:textAlignment w:val="auto"/>
        <w:rPr>
          <w:color w:val="auto"/>
          <w:highlight w:val="none"/>
        </w:rPr>
      </w:pPr>
      <w:r>
        <w:rPr>
          <w:rFonts w:hint="eastAsia"/>
          <w:color w:val="auto"/>
          <w:highlight w:val="none"/>
        </w:rPr>
        <w:t>现场抹灰墙面存在后开槽：在土建施工阶段加强与土建、装修施工图纸复核，将装修点位预留到位；加强现场施工工序的控制，管线开槽、封堵应在砌筑阶段施工完成。</w:t>
      </w:r>
    </w:p>
    <w:p w14:paraId="71DB77E6">
      <w:pPr>
        <w:pStyle w:val="5"/>
        <w:keepNext w:val="0"/>
        <w:keepLines w:val="0"/>
        <w:pageBreakBefore w:val="0"/>
        <w:widowControl w:val="0"/>
        <w:numPr>
          <w:ilvl w:val="2"/>
          <w:numId w:val="15"/>
        </w:numPr>
        <w:kinsoku/>
        <w:wordWrap/>
        <w:overflowPunct/>
        <w:topLinePunct w:val="0"/>
        <w:autoSpaceDE/>
        <w:autoSpaceDN/>
        <w:bidi w:val="0"/>
        <w:adjustRightInd/>
        <w:snapToGrid w:val="0"/>
        <w:spacing w:beforeLines="0" w:afterLines="0" w:line="360" w:lineRule="auto"/>
        <w:ind w:left="0" w:firstLine="480" w:firstLineChars="200"/>
        <w:textAlignment w:val="auto"/>
        <w:rPr>
          <w:rFonts w:hint="eastAsia"/>
          <w:color w:val="auto"/>
          <w:highlight w:val="none"/>
        </w:rPr>
      </w:pPr>
      <w:bookmarkStart w:id="536" w:name="_Toc523308121"/>
      <w:bookmarkStart w:id="537" w:name="_Toc503543620"/>
      <w:bookmarkStart w:id="538" w:name="_Toc520387445"/>
      <w:bookmarkStart w:id="539" w:name="_Toc526942528"/>
      <w:bookmarkStart w:id="540" w:name="_Toc524082921"/>
      <w:r>
        <w:rPr>
          <w:rFonts w:hint="eastAsia"/>
          <w:color w:val="auto"/>
          <w:highlight w:val="none"/>
        </w:rPr>
        <w:t>给排水工程</w:t>
      </w:r>
      <w:bookmarkEnd w:id="536"/>
      <w:bookmarkEnd w:id="537"/>
      <w:bookmarkEnd w:id="538"/>
      <w:bookmarkEnd w:id="539"/>
      <w:bookmarkEnd w:id="540"/>
    </w:p>
    <w:p w14:paraId="02DD2F67">
      <w:pPr>
        <w:pStyle w:val="6"/>
        <w:keepNext w:val="0"/>
        <w:keepLines w:val="0"/>
        <w:pageBreakBefore w:val="0"/>
        <w:widowControl w:val="0"/>
        <w:numPr>
          <w:ilvl w:val="3"/>
          <w:numId w:val="15"/>
        </w:numPr>
        <w:kinsoku/>
        <w:wordWrap/>
        <w:overflowPunct/>
        <w:topLinePunct w:val="0"/>
        <w:autoSpaceDE/>
        <w:autoSpaceDN/>
        <w:bidi w:val="0"/>
        <w:adjustRightInd/>
        <w:snapToGrid w:val="0"/>
        <w:spacing w:beforeLines="0" w:afterLines="0" w:line="360" w:lineRule="auto"/>
        <w:ind w:left="0" w:leftChars="0" w:firstLine="480" w:firstLineChars="200"/>
        <w:textAlignment w:val="auto"/>
        <w:rPr>
          <w:color w:val="auto"/>
          <w:highlight w:val="none"/>
        </w:rPr>
      </w:pPr>
      <w:r>
        <w:rPr>
          <w:rFonts w:hint="eastAsia"/>
          <w:color w:val="auto"/>
          <w:highlight w:val="none"/>
        </w:rPr>
        <w:t>给水系统-衬塑钢管安装</w:t>
      </w:r>
    </w:p>
    <w:p w14:paraId="118C3221">
      <w:pPr>
        <w:keepNext w:val="0"/>
        <w:keepLines w:val="0"/>
        <w:pageBreakBefore w:val="0"/>
        <w:widowControl w:val="0"/>
        <w:numPr>
          <w:ilvl w:val="0"/>
          <w:numId w:val="27"/>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cs="Arial"/>
          <w:color w:val="auto"/>
          <w:highlight w:val="none"/>
        </w:rPr>
      </w:pPr>
      <w:r>
        <w:rPr>
          <w:rFonts w:hint="eastAsia" w:ascii="宋体" w:hAnsi="宋体" w:eastAsia="宋体" w:cs="Arial"/>
          <w:color w:val="auto"/>
          <w:highlight w:val="none"/>
        </w:rPr>
        <w:t>装修分包需审核施工图纸及其它技术文件齐全，图纸技术交底是否满足施工要求。管道布置空间与建筑物及其它专业管道是否有交叉和矛盾，与设备、阀件相连接的口径、方位、坐标、标高是否相符。检查土建施工预留槽洞、套管位置是否正确。</w:t>
      </w:r>
    </w:p>
    <w:p w14:paraId="190C682F">
      <w:pPr>
        <w:keepNext w:val="0"/>
        <w:keepLines w:val="0"/>
        <w:pageBreakBefore w:val="0"/>
        <w:widowControl w:val="0"/>
        <w:numPr>
          <w:ilvl w:val="0"/>
          <w:numId w:val="27"/>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cs="Arial"/>
          <w:color w:val="auto"/>
          <w:highlight w:val="none"/>
        </w:rPr>
      </w:pPr>
      <w:r>
        <w:rPr>
          <w:rFonts w:hint="eastAsia" w:ascii="宋体" w:hAnsi="宋体" w:eastAsia="宋体" w:cs="Arial"/>
          <w:color w:val="auto"/>
          <w:highlight w:val="none"/>
        </w:rPr>
        <w:t>管材切割：应使用电动带锯、高速电动圆锯机等垂直切割，严防切管衬层变形、损坏。</w:t>
      </w:r>
    </w:p>
    <w:p w14:paraId="25FB35BD">
      <w:pPr>
        <w:keepNext w:val="0"/>
        <w:keepLines w:val="0"/>
        <w:pageBreakBefore w:val="0"/>
        <w:widowControl w:val="0"/>
        <w:numPr>
          <w:ilvl w:val="0"/>
          <w:numId w:val="27"/>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cs="Arial"/>
          <w:color w:val="auto"/>
          <w:highlight w:val="none"/>
        </w:rPr>
      </w:pPr>
      <w:r>
        <w:rPr>
          <w:rFonts w:hint="eastAsia" w:ascii="宋体" w:hAnsi="宋体" w:eastAsia="宋体" w:cs="Arial"/>
          <w:color w:val="auto"/>
          <w:highlight w:val="none"/>
        </w:rPr>
        <w:t>加工管螺纹：准备加工螺纹的管段，外圆必须正常（不椭圆、无损伤），使用套丝机或手工管子铰板加工</w:t>
      </w:r>
      <w:r>
        <w:rPr>
          <w:rFonts w:hint="eastAsia" w:ascii="宋体" w:hAnsi="宋体" w:eastAsia="宋体" w:cs="Arial"/>
          <w:color w:val="auto"/>
          <w:highlight w:val="none"/>
        </w:rPr>
        <w:tab/>
      </w:r>
      <w:r>
        <w:rPr>
          <w:rFonts w:hint="eastAsia" w:ascii="宋体" w:hAnsi="宋体" w:eastAsia="宋体" w:cs="Arial"/>
          <w:color w:val="auto"/>
          <w:highlight w:val="none"/>
        </w:rPr>
        <w:t>螺纹。加工螺纹后，要用螺纹规鉴定是否标准。</w:t>
      </w:r>
    </w:p>
    <w:p w14:paraId="323B1DCA">
      <w:pPr>
        <w:keepNext w:val="0"/>
        <w:keepLines w:val="0"/>
        <w:pageBreakBefore w:val="0"/>
        <w:widowControl w:val="0"/>
        <w:numPr>
          <w:ilvl w:val="0"/>
          <w:numId w:val="27"/>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cs="Arial"/>
          <w:color w:val="auto"/>
          <w:highlight w:val="none"/>
        </w:rPr>
      </w:pPr>
      <w:r>
        <w:rPr>
          <w:rFonts w:hint="eastAsia" w:ascii="宋体" w:hAnsi="宋体" w:eastAsia="宋体" w:cs="Arial"/>
          <w:color w:val="auto"/>
          <w:highlight w:val="none"/>
        </w:rPr>
        <w:t>里衬倒斜角：为了容易导入管件中的芯子夹层，用刮刀切去衬层厚度的一半；倒角处必须保留衬层厚度的1/2。</w:t>
      </w:r>
    </w:p>
    <w:p w14:paraId="277B58EC">
      <w:pPr>
        <w:keepNext w:val="0"/>
        <w:keepLines w:val="0"/>
        <w:pageBreakBefore w:val="0"/>
        <w:widowControl w:val="0"/>
        <w:numPr>
          <w:ilvl w:val="0"/>
          <w:numId w:val="27"/>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cs="Arial"/>
          <w:color w:val="auto"/>
          <w:highlight w:val="none"/>
        </w:rPr>
      </w:pPr>
      <w:r>
        <w:rPr>
          <w:rFonts w:hint="eastAsia" w:ascii="宋体" w:hAnsi="宋体" w:eastAsia="宋体" w:cs="Arial"/>
          <w:color w:val="auto"/>
          <w:highlight w:val="none"/>
        </w:rPr>
        <w:t>管道安装：用虎头钳子夹紧管子，装上管件，用手拧紧。</w:t>
      </w:r>
    </w:p>
    <w:p w14:paraId="53CFD9A6">
      <w:pPr>
        <w:keepNext w:val="0"/>
        <w:keepLines w:val="0"/>
        <w:pageBreakBefore w:val="0"/>
        <w:widowControl w:val="0"/>
        <w:numPr>
          <w:ilvl w:val="0"/>
          <w:numId w:val="27"/>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cs="Arial"/>
          <w:color w:val="auto"/>
          <w:highlight w:val="none"/>
        </w:rPr>
      </w:pPr>
      <w:r>
        <w:rPr>
          <w:rFonts w:hint="eastAsia" w:ascii="宋体" w:hAnsi="宋体" w:eastAsia="宋体" w:cs="Arial"/>
          <w:color w:val="auto"/>
          <w:highlight w:val="none"/>
        </w:rPr>
        <w:t>管道支吊架安装：所有管道支吊架应为钢制，制作完成后进行防锈刷漆处理。在阀门及大口径管道上需支撑的配件位置均应增设支吊架，以防止管道受力过大。</w:t>
      </w:r>
    </w:p>
    <w:p w14:paraId="1C9095CB">
      <w:pPr>
        <w:pStyle w:val="6"/>
        <w:keepNext w:val="0"/>
        <w:keepLines w:val="0"/>
        <w:pageBreakBefore w:val="0"/>
        <w:widowControl w:val="0"/>
        <w:numPr>
          <w:ilvl w:val="3"/>
          <w:numId w:val="15"/>
        </w:numPr>
        <w:kinsoku/>
        <w:wordWrap/>
        <w:overflowPunct/>
        <w:topLinePunct w:val="0"/>
        <w:autoSpaceDE/>
        <w:autoSpaceDN/>
        <w:bidi w:val="0"/>
        <w:adjustRightInd/>
        <w:snapToGrid w:val="0"/>
        <w:spacing w:beforeLines="0" w:afterLines="0" w:line="360" w:lineRule="auto"/>
        <w:ind w:left="0" w:leftChars="0" w:firstLine="480" w:firstLineChars="200"/>
        <w:textAlignment w:val="auto"/>
        <w:rPr>
          <w:rFonts w:hint="eastAsia"/>
          <w:color w:val="auto"/>
          <w:highlight w:val="none"/>
        </w:rPr>
      </w:pPr>
      <w:r>
        <w:rPr>
          <w:rFonts w:hint="eastAsia"/>
          <w:color w:val="auto"/>
          <w:highlight w:val="none"/>
        </w:rPr>
        <w:t>给水系统-PPR管道安装</w:t>
      </w:r>
    </w:p>
    <w:p w14:paraId="083008CF">
      <w:pPr>
        <w:keepNext w:val="0"/>
        <w:keepLines w:val="0"/>
        <w:pageBreakBefore w:val="0"/>
        <w:widowControl w:val="0"/>
        <w:numPr>
          <w:ilvl w:val="0"/>
          <w:numId w:val="28"/>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cs="Arial"/>
          <w:color w:val="auto"/>
          <w:highlight w:val="none"/>
        </w:rPr>
      </w:pPr>
      <w:r>
        <w:rPr>
          <w:rFonts w:hint="eastAsia" w:ascii="宋体" w:hAnsi="宋体" w:eastAsia="宋体" w:cs="Arial"/>
          <w:color w:val="auto"/>
          <w:highlight w:val="none"/>
        </w:rPr>
        <w:t>材料验收</w:t>
      </w:r>
    </w:p>
    <w:p w14:paraId="416AA524">
      <w:pPr>
        <w:keepNext w:val="0"/>
        <w:keepLines w:val="0"/>
        <w:pageBreakBefore w:val="0"/>
        <w:widowControl w:val="0"/>
        <w:numPr>
          <w:ilvl w:val="0"/>
          <w:numId w:val="29"/>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压力等级、外径、壁厚符合设计文件及规范要求，合格证等质量证明文件齐全。</w:t>
      </w:r>
    </w:p>
    <w:p w14:paraId="702BDBF3">
      <w:pPr>
        <w:keepNext w:val="0"/>
        <w:keepLines w:val="0"/>
        <w:pageBreakBefore w:val="0"/>
        <w:widowControl w:val="0"/>
        <w:numPr>
          <w:ilvl w:val="0"/>
          <w:numId w:val="29"/>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管材和管件的内外壁应光滑平整，无气泡、裂纹、脱皮和明显的痕纹、凹陷，色泽应基本一致。</w:t>
      </w:r>
    </w:p>
    <w:p w14:paraId="1D165D39">
      <w:pPr>
        <w:keepNext w:val="0"/>
        <w:keepLines w:val="0"/>
        <w:pageBreakBefore w:val="0"/>
        <w:widowControl w:val="0"/>
        <w:numPr>
          <w:ilvl w:val="0"/>
          <w:numId w:val="29"/>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管材的端面应垂直于管材的轴线。管件应完整、无缺损、无变形。</w:t>
      </w:r>
    </w:p>
    <w:p w14:paraId="065D2946">
      <w:pPr>
        <w:keepNext w:val="0"/>
        <w:keepLines w:val="0"/>
        <w:pageBreakBefore w:val="0"/>
        <w:widowControl w:val="0"/>
        <w:numPr>
          <w:ilvl w:val="0"/>
          <w:numId w:val="29"/>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搬运管材和管件时，应小心轻放，避免油污，严禁剧烈撞击，与尖锐触碰和抛、摔、拖。</w:t>
      </w:r>
    </w:p>
    <w:p w14:paraId="76B9E5AE">
      <w:pPr>
        <w:keepNext w:val="0"/>
        <w:keepLines w:val="0"/>
        <w:pageBreakBefore w:val="0"/>
        <w:widowControl w:val="0"/>
        <w:numPr>
          <w:ilvl w:val="0"/>
          <w:numId w:val="29"/>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现场设置材料架，具有遮阳措施，管件和管材按标签平整堆放，堆放高度不可高于</w:t>
      </w:r>
      <w:r>
        <w:rPr>
          <w:bCs/>
          <w:color w:val="auto"/>
          <w:highlight w:val="none"/>
        </w:rPr>
        <w:t>1.5m</w:t>
      </w:r>
      <w:r>
        <w:rPr>
          <w:rFonts w:hint="eastAsia"/>
          <w:bCs/>
          <w:color w:val="auto"/>
          <w:highlight w:val="none"/>
        </w:rPr>
        <w:t>。</w:t>
      </w:r>
    </w:p>
    <w:p w14:paraId="516E315B">
      <w:pPr>
        <w:keepNext w:val="0"/>
        <w:keepLines w:val="0"/>
        <w:pageBreakBefore w:val="0"/>
        <w:widowControl w:val="0"/>
        <w:numPr>
          <w:ilvl w:val="0"/>
          <w:numId w:val="28"/>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bCs/>
          <w:color w:val="auto"/>
          <w:highlight w:val="none"/>
        </w:rPr>
      </w:pPr>
      <w:r>
        <w:rPr>
          <w:rFonts w:hint="eastAsia" w:ascii="宋体" w:hAnsi="宋体" w:eastAsia="宋体"/>
          <w:bCs/>
          <w:color w:val="auto"/>
          <w:highlight w:val="none"/>
        </w:rPr>
        <w:t>支吊架施工</w:t>
      </w:r>
    </w:p>
    <w:p w14:paraId="2F361D8C">
      <w:pPr>
        <w:keepNext w:val="0"/>
        <w:keepLines w:val="0"/>
        <w:pageBreakBefore w:val="0"/>
        <w:widowControl w:val="0"/>
        <w:numPr>
          <w:ilvl w:val="0"/>
          <w:numId w:val="30"/>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支架间距、型材规格符合相关规范、图集要求。</w:t>
      </w:r>
    </w:p>
    <w:p w14:paraId="188A07FB">
      <w:pPr>
        <w:keepNext w:val="0"/>
        <w:keepLines w:val="0"/>
        <w:pageBreakBefore w:val="0"/>
        <w:widowControl w:val="0"/>
        <w:numPr>
          <w:ilvl w:val="0"/>
          <w:numId w:val="30"/>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分支管采用专用管卡。</w:t>
      </w:r>
    </w:p>
    <w:p w14:paraId="032D71CD">
      <w:pPr>
        <w:keepNext w:val="0"/>
        <w:keepLines w:val="0"/>
        <w:pageBreakBefore w:val="0"/>
        <w:widowControl w:val="0"/>
        <w:numPr>
          <w:ilvl w:val="0"/>
          <w:numId w:val="30"/>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主干管（联合管道）采用型钢支架，支吊架除锈、刷漆；交付时支吊架漆面光洁、无锈蚀，型钢支吊架倒角。</w:t>
      </w:r>
    </w:p>
    <w:p w14:paraId="6E27F567">
      <w:pPr>
        <w:keepNext w:val="0"/>
        <w:keepLines w:val="0"/>
        <w:pageBreakBefore w:val="0"/>
        <w:widowControl w:val="0"/>
        <w:numPr>
          <w:ilvl w:val="0"/>
          <w:numId w:val="30"/>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采用金属管卡时，需加设橡胶垫片。</w:t>
      </w:r>
    </w:p>
    <w:p w14:paraId="02876359">
      <w:pPr>
        <w:keepNext w:val="0"/>
        <w:keepLines w:val="0"/>
        <w:pageBreakBefore w:val="0"/>
        <w:widowControl w:val="0"/>
        <w:numPr>
          <w:ilvl w:val="0"/>
          <w:numId w:val="28"/>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bCs/>
          <w:color w:val="auto"/>
          <w:highlight w:val="none"/>
        </w:rPr>
      </w:pPr>
      <w:r>
        <w:rPr>
          <w:rFonts w:hint="eastAsia" w:ascii="宋体" w:hAnsi="宋体" w:eastAsia="宋体"/>
          <w:bCs/>
          <w:color w:val="auto"/>
          <w:highlight w:val="none"/>
        </w:rPr>
        <w:t>管道及管件安装</w:t>
      </w:r>
    </w:p>
    <w:p w14:paraId="31DC6A72">
      <w:pPr>
        <w:keepNext w:val="0"/>
        <w:keepLines w:val="0"/>
        <w:pageBreakBefore w:val="0"/>
        <w:widowControl w:val="0"/>
        <w:numPr>
          <w:ilvl w:val="0"/>
          <w:numId w:val="31"/>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管道不得穿越电气设备间、风道、电梯井、排水设施。</w:t>
      </w:r>
    </w:p>
    <w:p w14:paraId="450DB40F">
      <w:pPr>
        <w:keepNext w:val="0"/>
        <w:keepLines w:val="0"/>
        <w:pageBreakBefore w:val="0"/>
        <w:widowControl w:val="0"/>
        <w:numPr>
          <w:ilvl w:val="0"/>
          <w:numId w:val="31"/>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横干管与墙、地沟净距≥</w:t>
      </w:r>
      <w:r>
        <w:rPr>
          <w:bCs/>
          <w:color w:val="auto"/>
          <w:highlight w:val="none"/>
        </w:rPr>
        <w:t>100mm</w:t>
      </w:r>
      <w:r>
        <w:rPr>
          <w:rFonts w:hint="eastAsia"/>
          <w:bCs/>
          <w:color w:val="auto"/>
          <w:highlight w:val="none"/>
        </w:rPr>
        <w:t>，与梁、柱≥</w:t>
      </w:r>
      <w:r>
        <w:rPr>
          <w:bCs/>
          <w:color w:val="auto"/>
          <w:highlight w:val="none"/>
        </w:rPr>
        <w:t>50mm</w:t>
      </w:r>
      <w:r>
        <w:rPr>
          <w:rFonts w:hint="eastAsia"/>
          <w:bCs/>
          <w:color w:val="auto"/>
          <w:highlight w:val="none"/>
        </w:rPr>
        <w:t>（无接头）。</w:t>
      </w:r>
    </w:p>
    <w:p w14:paraId="242E05E7">
      <w:pPr>
        <w:keepNext w:val="0"/>
        <w:keepLines w:val="0"/>
        <w:pageBreakBefore w:val="0"/>
        <w:widowControl w:val="0"/>
        <w:numPr>
          <w:ilvl w:val="0"/>
          <w:numId w:val="31"/>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立管管中心距柱≥</w:t>
      </w:r>
      <w:r>
        <w:rPr>
          <w:bCs/>
          <w:color w:val="auto"/>
          <w:highlight w:val="none"/>
        </w:rPr>
        <w:t>50mm</w:t>
      </w:r>
      <w:r>
        <w:rPr>
          <w:rFonts w:hint="eastAsia"/>
          <w:bCs/>
          <w:color w:val="auto"/>
          <w:highlight w:val="none"/>
        </w:rPr>
        <w:t>，根据管径大小距墙面</w:t>
      </w:r>
      <w:r>
        <w:rPr>
          <w:bCs/>
          <w:color w:val="auto"/>
          <w:highlight w:val="none"/>
        </w:rPr>
        <w:t>25mm</w:t>
      </w:r>
      <w:r>
        <w:rPr>
          <w:rFonts w:hint="eastAsia"/>
          <w:bCs/>
          <w:color w:val="auto"/>
          <w:highlight w:val="none"/>
        </w:rPr>
        <w:t>～</w:t>
      </w:r>
      <w:r>
        <w:rPr>
          <w:bCs/>
          <w:color w:val="auto"/>
          <w:highlight w:val="none"/>
        </w:rPr>
        <w:t>60mm</w:t>
      </w:r>
      <w:r>
        <w:rPr>
          <w:rFonts w:hint="eastAsia"/>
          <w:bCs/>
          <w:color w:val="auto"/>
          <w:highlight w:val="none"/>
        </w:rPr>
        <w:t>。</w:t>
      </w:r>
    </w:p>
    <w:p w14:paraId="0CB390D7">
      <w:pPr>
        <w:keepNext w:val="0"/>
        <w:keepLines w:val="0"/>
        <w:pageBreakBefore w:val="0"/>
        <w:widowControl w:val="0"/>
        <w:numPr>
          <w:ilvl w:val="0"/>
          <w:numId w:val="31"/>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管道平行安装时，冷水管位于热水管下方，连接器具时，冷水管位于热水管右侧。</w:t>
      </w:r>
    </w:p>
    <w:p w14:paraId="1FAC1144">
      <w:pPr>
        <w:keepNext w:val="0"/>
        <w:keepLines w:val="0"/>
        <w:pageBreakBefore w:val="0"/>
        <w:widowControl w:val="0"/>
        <w:numPr>
          <w:ilvl w:val="0"/>
          <w:numId w:val="31"/>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管井内管道安装前，应深化图纸，保证安装及检修要求，合理排布。</w:t>
      </w:r>
    </w:p>
    <w:p w14:paraId="0317DF45">
      <w:pPr>
        <w:keepNext w:val="0"/>
        <w:keepLines w:val="0"/>
        <w:pageBreakBefore w:val="0"/>
        <w:widowControl w:val="0"/>
        <w:numPr>
          <w:ilvl w:val="0"/>
          <w:numId w:val="31"/>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与金属管连接时，采用丝扣或法兰连接。</w:t>
      </w:r>
    </w:p>
    <w:p w14:paraId="35AEE47A">
      <w:pPr>
        <w:keepNext w:val="0"/>
        <w:keepLines w:val="0"/>
        <w:pageBreakBefore w:val="0"/>
        <w:widowControl w:val="0"/>
        <w:numPr>
          <w:ilvl w:val="0"/>
          <w:numId w:val="31"/>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给水引入管应有≥</w:t>
      </w:r>
      <w:r>
        <w:rPr>
          <w:bCs/>
          <w:color w:val="auto"/>
          <w:highlight w:val="none"/>
        </w:rPr>
        <w:t>0.3%</w:t>
      </w:r>
      <w:r>
        <w:rPr>
          <w:rFonts w:hint="eastAsia"/>
          <w:bCs/>
          <w:color w:val="auto"/>
          <w:highlight w:val="none"/>
        </w:rPr>
        <w:t>的坡度坡向室外。</w:t>
      </w:r>
    </w:p>
    <w:p w14:paraId="2A13C9B4">
      <w:pPr>
        <w:keepNext w:val="0"/>
        <w:keepLines w:val="0"/>
        <w:pageBreakBefore w:val="0"/>
        <w:widowControl w:val="0"/>
        <w:numPr>
          <w:ilvl w:val="0"/>
          <w:numId w:val="31"/>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热熔时，量出热熔深度，并做好标记，环境温度＜</w:t>
      </w:r>
      <w:r>
        <w:rPr>
          <w:bCs/>
          <w:color w:val="auto"/>
          <w:highlight w:val="none"/>
        </w:rPr>
        <w:t>5</w:t>
      </w:r>
      <w:r>
        <w:rPr>
          <w:rFonts w:hint="eastAsia"/>
          <w:bCs/>
          <w:color w:val="auto"/>
          <w:highlight w:val="none"/>
        </w:rPr>
        <w:t>℃时，加热时间延长</w:t>
      </w:r>
      <w:r>
        <w:rPr>
          <w:bCs/>
          <w:color w:val="auto"/>
          <w:highlight w:val="none"/>
        </w:rPr>
        <w:t>50%</w:t>
      </w:r>
      <w:r>
        <w:rPr>
          <w:rFonts w:hint="eastAsia"/>
          <w:bCs/>
          <w:color w:val="auto"/>
          <w:highlight w:val="none"/>
        </w:rPr>
        <w:t>。</w:t>
      </w:r>
    </w:p>
    <w:p w14:paraId="603797C2">
      <w:pPr>
        <w:keepNext w:val="0"/>
        <w:keepLines w:val="0"/>
        <w:pageBreakBefore w:val="0"/>
        <w:widowControl w:val="0"/>
        <w:numPr>
          <w:ilvl w:val="0"/>
          <w:numId w:val="31"/>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法兰盘压力等级相同，法兰垂直于管轴线，表面相互平行，橡胶垫无毒、抗老化；螺栓规格相同，方向一致，螺栓应露出螺母</w:t>
      </w:r>
      <w:r>
        <w:rPr>
          <w:bCs/>
          <w:color w:val="auto"/>
          <w:highlight w:val="none"/>
        </w:rPr>
        <w:t>2</w:t>
      </w:r>
      <w:r>
        <w:rPr>
          <w:rFonts w:hint="eastAsia"/>
          <w:bCs/>
          <w:color w:val="auto"/>
          <w:highlight w:val="none"/>
        </w:rPr>
        <w:t>～</w:t>
      </w:r>
      <w:r>
        <w:rPr>
          <w:bCs/>
          <w:color w:val="auto"/>
          <w:highlight w:val="none"/>
        </w:rPr>
        <w:t>3</w:t>
      </w:r>
      <w:r>
        <w:rPr>
          <w:rFonts w:hint="eastAsia"/>
          <w:bCs/>
          <w:color w:val="auto"/>
          <w:highlight w:val="none"/>
        </w:rPr>
        <w:t>扣丝。</w:t>
      </w:r>
    </w:p>
    <w:p w14:paraId="05A5BC4A">
      <w:pPr>
        <w:keepNext w:val="0"/>
        <w:keepLines w:val="0"/>
        <w:pageBreakBefore w:val="0"/>
        <w:widowControl w:val="0"/>
        <w:numPr>
          <w:ilvl w:val="0"/>
          <w:numId w:val="28"/>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bCs/>
          <w:color w:val="auto"/>
          <w:highlight w:val="none"/>
        </w:rPr>
      </w:pPr>
      <w:r>
        <w:rPr>
          <w:rFonts w:hint="eastAsia" w:ascii="宋体" w:hAnsi="宋体" w:eastAsia="宋体"/>
          <w:bCs/>
          <w:color w:val="auto"/>
          <w:highlight w:val="none"/>
        </w:rPr>
        <w:t>管道试压及冲洗</w:t>
      </w:r>
    </w:p>
    <w:p w14:paraId="34C962DB">
      <w:pPr>
        <w:keepNext w:val="0"/>
        <w:keepLines w:val="0"/>
        <w:pageBreakBefore w:val="0"/>
        <w:widowControl w:val="0"/>
        <w:numPr>
          <w:ilvl w:val="0"/>
          <w:numId w:val="32"/>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压力试压前，系统管道中阀门位于开启状态，水表采用短支管替代。</w:t>
      </w:r>
    </w:p>
    <w:p w14:paraId="4F0D3FEF">
      <w:pPr>
        <w:keepNext w:val="0"/>
        <w:keepLines w:val="0"/>
        <w:pageBreakBefore w:val="0"/>
        <w:widowControl w:val="0"/>
        <w:numPr>
          <w:ilvl w:val="0"/>
          <w:numId w:val="32"/>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热连接的管道，水压试验的时间应在连接完成</w:t>
      </w:r>
      <w:r>
        <w:rPr>
          <w:bCs/>
          <w:color w:val="auto"/>
          <w:highlight w:val="none"/>
        </w:rPr>
        <w:t>24h</w:t>
      </w:r>
      <w:r>
        <w:rPr>
          <w:rFonts w:hint="eastAsia"/>
          <w:bCs/>
          <w:color w:val="auto"/>
          <w:highlight w:val="none"/>
        </w:rPr>
        <w:t>后进行。</w:t>
      </w:r>
    </w:p>
    <w:p w14:paraId="47CFF8D5">
      <w:pPr>
        <w:keepNext w:val="0"/>
        <w:keepLines w:val="0"/>
        <w:pageBreakBefore w:val="0"/>
        <w:widowControl w:val="0"/>
        <w:numPr>
          <w:ilvl w:val="0"/>
          <w:numId w:val="32"/>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水压试验前，试压管道应固定，但接头部位应明露。</w:t>
      </w:r>
    </w:p>
    <w:p w14:paraId="11DE1F0B">
      <w:pPr>
        <w:keepNext w:val="0"/>
        <w:keepLines w:val="0"/>
        <w:pageBreakBefore w:val="0"/>
        <w:widowControl w:val="0"/>
        <w:numPr>
          <w:ilvl w:val="0"/>
          <w:numId w:val="32"/>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管道压力试验合格后，管道余水应采用有组织排放。</w:t>
      </w:r>
    </w:p>
    <w:p w14:paraId="19DF1797">
      <w:pPr>
        <w:keepNext w:val="0"/>
        <w:keepLines w:val="0"/>
        <w:pageBreakBefore w:val="0"/>
        <w:widowControl w:val="0"/>
        <w:numPr>
          <w:ilvl w:val="0"/>
          <w:numId w:val="32"/>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在竣工验收前进行冲洗、消毒，冲洗水采用生活饮用水，流速≥</w:t>
      </w:r>
      <w:r>
        <w:rPr>
          <w:bCs/>
          <w:color w:val="auto"/>
          <w:highlight w:val="none"/>
        </w:rPr>
        <w:t>1.0m/s</w:t>
      </w:r>
      <w:r>
        <w:rPr>
          <w:rFonts w:hint="eastAsia"/>
          <w:bCs/>
          <w:color w:val="auto"/>
          <w:highlight w:val="none"/>
        </w:rPr>
        <w:t>。</w:t>
      </w:r>
    </w:p>
    <w:p w14:paraId="0E36337F">
      <w:pPr>
        <w:keepNext w:val="0"/>
        <w:keepLines w:val="0"/>
        <w:pageBreakBefore w:val="0"/>
        <w:widowControl w:val="0"/>
        <w:numPr>
          <w:ilvl w:val="0"/>
          <w:numId w:val="32"/>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管道的各配水点、受力点以及穿墙支管节点处，使用专用墙装弯头及管卡固定。</w:t>
      </w:r>
    </w:p>
    <w:p w14:paraId="2F2DDEFB">
      <w:pPr>
        <w:pStyle w:val="6"/>
        <w:keepNext w:val="0"/>
        <w:keepLines w:val="0"/>
        <w:pageBreakBefore w:val="0"/>
        <w:widowControl w:val="0"/>
        <w:numPr>
          <w:ilvl w:val="3"/>
          <w:numId w:val="15"/>
        </w:numPr>
        <w:kinsoku/>
        <w:wordWrap/>
        <w:overflowPunct/>
        <w:topLinePunct w:val="0"/>
        <w:autoSpaceDE/>
        <w:autoSpaceDN/>
        <w:bidi w:val="0"/>
        <w:adjustRightInd/>
        <w:snapToGrid w:val="0"/>
        <w:spacing w:beforeLines="0" w:afterLines="0" w:line="360" w:lineRule="auto"/>
        <w:ind w:left="0" w:leftChars="0" w:firstLine="480" w:firstLineChars="200"/>
        <w:textAlignment w:val="auto"/>
        <w:rPr>
          <w:rFonts w:hint="eastAsia"/>
          <w:color w:val="auto"/>
          <w:highlight w:val="none"/>
        </w:rPr>
      </w:pPr>
      <w:r>
        <w:rPr>
          <w:rFonts w:hint="eastAsia"/>
          <w:color w:val="auto"/>
          <w:highlight w:val="none"/>
        </w:rPr>
        <w:t>给水系统–不锈钢管安装</w:t>
      </w:r>
    </w:p>
    <w:p w14:paraId="1763EA63">
      <w:pPr>
        <w:keepNext w:val="0"/>
        <w:keepLines w:val="0"/>
        <w:pageBreakBefore w:val="0"/>
        <w:widowControl w:val="0"/>
        <w:numPr>
          <w:ilvl w:val="0"/>
          <w:numId w:val="33"/>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bCs/>
          <w:color w:val="auto"/>
          <w:highlight w:val="none"/>
        </w:rPr>
      </w:pPr>
      <w:r>
        <w:rPr>
          <w:rFonts w:hint="eastAsia" w:ascii="宋体" w:hAnsi="宋体" w:eastAsia="宋体"/>
          <w:bCs/>
          <w:color w:val="auto"/>
          <w:highlight w:val="none"/>
        </w:rPr>
        <w:t>管道不得浇注在钢筋混凝土结构层中。</w:t>
      </w:r>
    </w:p>
    <w:p w14:paraId="625298AD">
      <w:pPr>
        <w:keepNext w:val="0"/>
        <w:keepLines w:val="0"/>
        <w:pageBreakBefore w:val="0"/>
        <w:widowControl w:val="0"/>
        <w:numPr>
          <w:ilvl w:val="0"/>
          <w:numId w:val="33"/>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bCs/>
          <w:color w:val="auto"/>
          <w:highlight w:val="none"/>
        </w:rPr>
      </w:pPr>
      <w:r>
        <w:rPr>
          <w:rFonts w:hint="eastAsia" w:ascii="宋体" w:hAnsi="宋体" w:eastAsia="宋体"/>
          <w:bCs/>
          <w:color w:val="auto"/>
          <w:highlight w:val="none"/>
        </w:rPr>
        <w:t>不锈钢管材和管件不宜与水泥、水泥砂浆、混凝土直接接触。为防止氯化物对管道腐蚀，可在管外套塑料膜或缠绕防腐胶带保护。</w:t>
      </w:r>
    </w:p>
    <w:p w14:paraId="26A35C1A">
      <w:pPr>
        <w:keepNext w:val="0"/>
        <w:keepLines w:val="0"/>
        <w:pageBreakBefore w:val="0"/>
        <w:widowControl w:val="0"/>
        <w:numPr>
          <w:ilvl w:val="0"/>
          <w:numId w:val="33"/>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bCs/>
          <w:color w:val="auto"/>
          <w:highlight w:val="none"/>
        </w:rPr>
      </w:pPr>
      <w:r>
        <w:rPr>
          <w:rFonts w:hint="eastAsia" w:ascii="宋体" w:hAnsi="宋体" w:eastAsia="宋体"/>
          <w:bCs/>
          <w:color w:val="auto"/>
          <w:highlight w:val="none"/>
        </w:rPr>
        <w:t>埋地宜选用覆塑不锈钢管，可避免土壤对管外壁的酸碱腐蚀和硬质杂物对管材表面的损伤。亦可采用其他包扎材料作防腐措施，如外缠两层聚乙烯带，包扎两层沥青漆（或环氧树脂）玻璃纤维塑胶布防腐。</w:t>
      </w:r>
    </w:p>
    <w:p w14:paraId="6BC55171">
      <w:pPr>
        <w:keepNext w:val="0"/>
        <w:keepLines w:val="0"/>
        <w:pageBreakBefore w:val="0"/>
        <w:widowControl w:val="0"/>
        <w:numPr>
          <w:ilvl w:val="0"/>
          <w:numId w:val="33"/>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bCs/>
          <w:color w:val="auto"/>
          <w:highlight w:val="none"/>
        </w:rPr>
      </w:pPr>
      <w:r>
        <w:rPr>
          <w:rFonts w:hint="eastAsia" w:ascii="宋体" w:hAnsi="宋体" w:eastAsia="宋体"/>
          <w:bCs/>
          <w:color w:val="auto"/>
          <w:highlight w:val="none"/>
        </w:rPr>
        <w:t>室内不锈钢管宜距楼底面、墙面净距离10～15mm明敷，结合装饰成暗敷，即敷设在顶棚内、吊顶内、装饰板内。</w:t>
      </w:r>
    </w:p>
    <w:p w14:paraId="7A0C4CCC">
      <w:pPr>
        <w:keepNext w:val="0"/>
        <w:keepLines w:val="0"/>
        <w:pageBreakBefore w:val="0"/>
        <w:widowControl w:val="0"/>
        <w:numPr>
          <w:ilvl w:val="0"/>
          <w:numId w:val="33"/>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bCs/>
          <w:color w:val="auto"/>
          <w:highlight w:val="none"/>
        </w:rPr>
      </w:pPr>
      <w:r>
        <w:rPr>
          <w:rFonts w:hint="eastAsia" w:ascii="宋体" w:hAnsi="宋体" w:eastAsia="宋体"/>
          <w:bCs/>
          <w:color w:val="auto"/>
          <w:highlight w:val="none"/>
        </w:rPr>
        <w:t>嵌墙敷设的不锈钢管，管线应水平或垂直布置在预留或开槽的凹槽内，槽内不锈钢管应采用管卡固定。在管线转折处，应预留5～10mm净空，补偿管路因热胀冷缩引起的伸缩变化值。</w:t>
      </w:r>
    </w:p>
    <w:p w14:paraId="42C00FCE">
      <w:pPr>
        <w:keepNext w:val="0"/>
        <w:keepLines w:val="0"/>
        <w:pageBreakBefore w:val="0"/>
        <w:widowControl w:val="0"/>
        <w:numPr>
          <w:ilvl w:val="0"/>
          <w:numId w:val="33"/>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bCs/>
          <w:color w:val="auto"/>
          <w:highlight w:val="none"/>
        </w:rPr>
      </w:pPr>
      <w:r>
        <w:rPr>
          <w:rFonts w:hint="eastAsia" w:ascii="宋体" w:hAnsi="宋体" w:eastAsia="宋体"/>
          <w:bCs/>
          <w:color w:val="auto"/>
          <w:highlight w:val="none"/>
        </w:rPr>
        <w:t>明装不锈钢管，其外壁距装饰墙面的距离：公称直径10～25mm时应小于30mm；公称直径32～50mm时宜小于40mm。明装立管应靠近用水器具的墙角、柱旁或管道井内。</w:t>
      </w:r>
    </w:p>
    <w:p w14:paraId="68227C36">
      <w:pPr>
        <w:keepNext w:val="0"/>
        <w:keepLines w:val="0"/>
        <w:pageBreakBefore w:val="0"/>
        <w:widowControl w:val="0"/>
        <w:numPr>
          <w:ilvl w:val="0"/>
          <w:numId w:val="33"/>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bCs/>
          <w:color w:val="auto"/>
          <w:highlight w:val="none"/>
        </w:rPr>
      </w:pPr>
      <w:r>
        <w:rPr>
          <w:rFonts w:hint="eastAsia" w:ascii="宋体" w:hAnsi="宋体" w:eastAsia="宋体"/>
          <w:bCs/>
          <w:color w:val="auto"/>
          <w:highlight w:val="none"/>
        </w:rPr>
        <w:t>不锈钢管不宜穿越建筑物的沉降缝、伸缩缝和变形缝。当不可避免时，应采取防止管道被破坏的技术措施。</w:t>
      </w:r>
    </w:p>
    <w:p w14:paraId="604D333C">
      <w:pPr>
        <w:keepNext w:val="0"/>
        <w:keepLines w:val="0"/>
        <w:pageBreakBefore w:val="0"/>
        <w:widowControl w:val="0"/>
        <w:numPr>
          <w:ilvl w:val="0"/>
          <w:numId w:val="33"/>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bCs/>
          <w:color w:val="auto"/>
          <w:highlight w:val="none"/>
        </w:rPr>
      </w:pPr>
      <w:r>
        <w:rPr>
          <w:rFonts w:hint="eastAsia" w:ascii="宋体" w:hAnsi="宋体" w:eastAsia="宋体"/>
          <w:bCs/>
          <w:color w:val="auto"/>
          <w:highlight w:val="none"/>
        </w:rPr>
        <w:t>管道不得敷设在配电间、强弱电管道井、烟道、风道内和排水沟内，管道不宜穿越卧式、储藏室、橱窗、壁柜等处。</w:t>
      </w:r>
    </w:p>
    <w:p w14:paraId="1B3645E1">
      <w:pPr>
        <w:keepNext w:val="0"/>
        <w:keepLines w:val="0"/>
        <w:pageBreakBefore w:val="0"/>
        <w:widowControl w:val="0"/>
        <w:numPr>
          <w:ilvl w:val="0"/>
          <w:numId w:val="33"/>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bCs/>
          <w:color w:val="auto"/>
          <w:highlight w:val="none"/>
        </w:rPr>
      </w:pPr>
      <w:r>
        <w:rPr>
          <w:rFonts w:hint="eastAsia" w:ascii="宋体" w:hAnsi="宋体" w:eastAsia="宋体"/>
          <w:bCs/>
          <w:color w:val="auto"/>
          <w:highlight w:val="none"/>
        </w:rPr>
        <w:t>敷设水平干管宜具有0.002～0.003的坡度，坡向泄水装置。在引入管、折角进户管件、支管接出和仪表接口处，应采用螺纹转换接头或法兰连接。</w:t>
      </w:r>
    </w:p>
    <w:p w14:paraId="21AA9D07">
      <w:pPr>
        <w:keepNext w:val="0"/>
        <w:keepLines w:val="0"/>
        <w:pageBreakBefore w:val="0"/>
        <w:widowControl w:val="0"/>
        <w:numPr>
          <w:ilvl w:val="0"/>
          <w:numId w:val="33"/>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bCs/>
          <w:color w:val="auto"/>
          <w:highlight w:val="none"/>
        </w:rPr>
      </w:pPr>
      <w:r>
        <w:rPr>
          <w:rFonts w:hint="eastAsia" w:ascii="宋体" w:hAnsi="宋体" w:eastAsia="宋体"/>
          <w:bCs/>
          <w:color w:val="auto"/>
          <w:highlight w:val="none"/>
        </w:rPr>
        <w:t>不锈钢管应作防结露和保温处理。</w:t>
      </w:r>
    </w:p>
    <w:p w14:paraId="1D06DDCD">
      <w:pPr>
        <w:keepNext w:val="0"/>
        <w:keepLines w:val="0"/>
        <w:pageBreakBefore w:val="0"/>
        <w:widowControl w:val="0"/>
        <w:numPr>
          <w:ilvl w:val="0"/>
          <w:numId w:val="33"/>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eastAsia="宋体"/>
          <w:bCs/>
          <w:color w:val="auto"/>
          <w:highlight w:val="none"/>
        </w:rPr>
      </w:pPr>
      <w:r>
        <w:rPr>
          <w:rFonts w:hint="eastAsia" w:eastAsia="宋体"/>
          <w:bCs/>
          <w:color w:val="auto"/>
          <w:highlight w:val="none"/>
        </w:rPr>
        <w:t>薄壁不锈钢管安装注意事项</w:t>
      </w:r>
    </w:p>
    <w:p w14:paraId="1CCC5A06">
      <w:pPr>
        <w:keepNext w:val="0"/>
        <w:keepLines w:val="0"/>
        <w:pageBreakBefore w:val="0"/>
        <w:widowControl w:val="0"/>
        <w:numPr>
          <w:ilvl w:val="0"/>
          <w:numId w:val="34"/>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不锈钢材料吊运，不能与其他金属直接接触，应加垫木板或橡胶板等非金属材料。</w:t>
      </w:r>
    </w:p>
    <w:p w14:paraId="56BE66E9">
      <w:pPr>
        <w:keepNext w:val="0"/>
        <w:keepLines w:val="0"/>
        <w:pageBreakBefore w:val="0"/>
        <w:widowControl w:val="0"/>
        <w:numPr>
          <w:ilvl w:val="0"/>
          <w:numId w:val="34"/>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管子切割不允许用普通砂轮片切割，应采用不锈钢专用砂轮片或等离子切割。</w:t>
      </w:r>
    </w:p>
    <w:p w14:paraId="7EB12088">
      <w:pPr>
        <w:keepNext w:val="0"/>
        <w:keepLines w:val="0"/>
        <w:pageBreakBefore w:val="0"/>
        <w:widowControl w:val="0"/>
        <w:numPr>
          <w:ilvl w:val="0"/>
          <w:numId w:val="34"/>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不锈钢管材及管件定位焊时焊缝内侧应进行充氩保护。</w:t>
      </w:r>
    </w:p>
    <w:p w14:paraId="0CEF4A82">
      <w:pPr>
        <w:keepNext w:val="0"/>
        <w:keepLines w:val="0"/>
        <w:pageBreakBefore w:val="0"/>
        <w:widowControl w:val="0"/>
        <w:numPr>
          <w:ilvl w:val="0"/>
          <w:numId w:val="34"/>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起弧与收弧、起弧采用回焊法，收弧应填满弧坑，起弧必须在坡口内完成</w:t>
      </w:r>
      <w:r>
        <w:rPr>
          <w:bCs/>
          <w:color w:val="auto"/>
          <w:highlight w:val="none"/>
        </w:rPr>
        <w:t>,</w:t>
      </w:r>
      <w:r>
        <w:rPr>
          <w:rFonts w:hint="eastAsia"/>
          <w:bCs/>
          <w:color w:val="auto"/>
          <w:highlight w:val="none"/>
        </w:rPr>
        <w:t>禁止在管道、管件母材表面打弧与起弧。若起弧与收弧处发现气孔、裂纹应及时处理。</w:t>
      </w:r>
    </w:p>
    <w:p w14:paraId="2A5C4A4C">
      <w:pPr>
        <w:keepNext w:val="0"/>
        <w:keepLines w:val="0"/>
        <w:pageBreakBefore w:val="0"/>
        <w:widowControl w:val="0"/>
        <w:numPr>
          <w:ilvl w:val="0"/>
          <w:numId w:val="34"/>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不锈钢管道、管件以及不锈钢管道、管件与非不锈钢材质管道、管件的连接，焊接的对接接头打底焊接前管内及空腔内应充满氩气保护，才能进行钨极氩弧焊。</w:t>
      </w:r>
    </w:p>
    <w:p w14:paraId="29D73753">
      <w:pPr>
        <w:keepNext w:val="0"/>
        <w:keepLines w:val="0"/>
        <w:pageBreakBefore w:val="0"/>
        <w:widowControl w:val="0"/>
        <w:numPr>
          <w:ilvl w:val="0"/>
          <w:numId w:val="34"/>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多道多层焊的起弧、收弧处应相互错开。</w:t>
      </w:r>
    </w:p>
    <w:p w14:paraId="5A2532C0">
      <w:pPr>
        <w:keepNext w:val="0"/>
        <w:keepLines w:val="0"/>
        <w:pageBreakBefore w:val="0"/>
        <w:widowControl w:val="0"/>
        <w:numPr>
          <w:ilvl w:val="0"/>
          <w:numId w:val="34"/>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不锈钢材料连续焊接时，其层间温度不超过</w:t>
      </w:r>
      <w:r>
        <w:rPr>
          <w:bCs/>
          <w:color w:val="auto"/>
          <w:highlight w:val="none"/>
        </w:rPr>
        <w:t>60</w:t>
      </w:r>
      <w:r>
        <w:rPr>
          <w:rFonts w:hint="eastAsia"/>
          <w:bCs/>
          <w:color w:val="auto"/>
          <w:highlight w:val="none"/>
        </w:rPr>
        <w:t>℃。</w:t>
      </w:r>
    </w:p>
    <w:p w14:paraId="53CA1963">
      <w:pPr>
        <w:keepNext w:val="0"/>
        <w:keepLines w:val="0"/>
        <w:pageBreakBefore w:val="0"/>
        <w:widowControl w:val="0"/>
        <w:numPr>
          <w:ilvl w:val="0"/>
          <w:numId w:val="34"/>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管道连接的焊口焊接前后要进行酸洗和钝化处理。</w:t>
      </w:r>
    </w:p>
    <w:p w14:paraId="3928272A">
      <w:pPr>
        <w:pStyle w:val="6"/>
        <w:keepNext w:val="0"/>
        <w:keepLines w:val="0"/>
        <w:pageBreakBefore w:val="0"/>
        <w:widowControl w:val="0"/>
        <w:numPr>
          <w:ilvl w:val="3"/>
          <w:numId w:val="15"/>
        </w:numPr>
        <w:kinsoku/>
        <w:wordWrap/>
        <w:overflowPunct/>
        <w:topLinePunct w:val="0"/>
        <w:autoSpaceDE/>
        <w:autoSpaceDN/>
        <w:bidi w:val="0"/>
        <w:adjustRightInd/>
        <w:snapToGrid w:val="0"/>
        <w:spacing w:beforeLines="0" w:afterLines="0" w:line="360" w:lineRule="auto"/>
        <w:ind w:left="0" w:leftChars="0" w:firstLine="480" w:firstLineChars="200"/>
        <w:textAlignment w:val="auto"/>
        <w:rPr>
          <w:rFonts w:hint="eastAsia"/>
          <w:color w:val="auto"/>
          <w:highlight w:val="none"/>
        </w:rPr>
      </w:pPr>
      <w:r>
        <w:rPr>
          <w:rFonts w:hint="eastAsia"/>
          <w:color w:val="auto"/>
          <w:highlight w:val="none"/>
        </w:rPr>
        <w:t>给水系统–铜管安装</w:t>
      </w:r>
    </w:p>
    <w:p w14:paraId="62A2D52D">
      <w:pPr>
        <w:keepNext w:val="0"/>
        <w:keepLines w:val="0"/>
        <w:pageBreakBefore w:val="0"/>
        <w:widowControl w:val="0"/>
        <w:numPr>
          <w:ilvl w:val="0"/>
          <w:numId w:val="35"/>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eastAsia="宋体"/>
          <w:bCs/>
          <w:color w:val="auto"/>
          <w:highlight w:val="none"/>
        </w:rPr>
      </w:pPr>
      <w:r>
        <w:rPr>
          <w:rFonts w:hint="eastAsia" w:eastAsia="宋体"/>
          <w:bCs/>
          <w:color w:val="auto"/>
          <w:highlight w:val="none"/>
        </w:rPr>
        <w:t>给水系统使用的铜管，管材规格按设计要求确定。</w:t>
      </w:r>
    </w:p>
    <w:p w14:paraId="06AA6F31">
      <w:pPr>
        <w:keepNext w:val="0"/>
        <w:keepLines w:val="0"/>
        <w:pageBreakBefore w:val="0"/>
        <w:widowControl w:val="0"/>
        <w:numPr>
          <w:ilvl w:val="0"/>
          <w:numId w:val="35"/>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eastAsia="宋体"/>
          <w:bCs/>
          <w:color w:val="auto"/>
          <w:highlight w:val="none"/>
        </w:rPr>
      </w:pPr>
      <w:r>
        <w:rPr>
          <w:rFonts w:hint="eastAsia" w:eastAsia="宋体"/>
          <w:bCs/>
          <w:color w:val="auto"/>
          <w:highlight w:val="none"/>
        </w:rPr>
        <w:t>建筑给水铜管管系统宜采用铜制管件，铜管与钢制设备连接时，应采用铜合金配件。</w:t>
      </w:r>
    </w:p>
    <w:p w14:paraId="2854D488">
      <w:pPr>
        <w:keepNext w:val="0"/>
        <w:keepLines w:val="0"/>
        <w:pageBreakBefore w:val="0"/>
        <w:widowControl w:val="0"/>
        <w:numPr>
          <w:ilvl w:val="0"/>
          <w:numId w:val="35"/>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eastAsia="宋体"/>
          <w:bCs/>
          <w:color w:val="auto"/>
          <w:highlight w:val="none"/>
        </w:rPr>
      </w:pPr>
      <w:r>
        <w:rPr>
          <w:rFonts w:hint="eastAsia" w:eastAsia="宋体"/>
          <w:bCs/>
          <w:color w:val="auto"/>
          <w:highlight w:val="none"/>
        </w:rPr>
        <w:t>铜管可敷设在管沟内。埋地铜管宜有防腐措施。</w:t>
      </w:r>
    </w:p>
    <w:p w14:paraId="41996310">
      <w:pPr>
        <w:keepNext w:val="0"/>
        <w:keepLines w:val="0"/>
        <w:pageBreakBefore w:val="0"/>
        <w:widowControl w:val="0"/>
        <w:numPr>
          <w:ilvl w:val="0"/>
          <w:numId w:val="35"/>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eastAsia="宋体"/>
          <w:bCs/>
          <w:color w:val="auto"/>
          <w:highlight w:val="none"/>
        </w:rPr>
      </w:pPr>
      <w:r>
        <w:rPr>
          <w:rFonts w:hint="eastAsia" w:eastAsia="宋体"/>
          <w:bCs/>
          <w:color w:val="auto"/>
          <w:highlight w:val="none"/>
        </w:rPr>
        <w:t>建筑给水支管宜敷设在吊顶、地面垫层或墙壁内。高层建筑给水立管宜敷设在管道井内。管道不得浇注在钢筋混凝土内。</w:t>
      </w:r>
    </w:p>
    <w:p w14:paraId="1E56B3CA">
      <w:pPr>
        <w:keepNext w:val="0"/>
        <w:keepLines w:val="0"/>
        <w:pageBreakBefore w:val="0"/>
        <w:widowControl w:val="0"/>
        <w:numPr>
          <w:ilvl w:val="0"/>
          <w:numId w:val="35"/>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eastAsia="宋体"/>
          <w:bCs/>
          <w:color w:val="auto"/>
          <w:highlight w:val="none"/>
        </w:rPr>
      </w:pPr>
      <w:r>
        <w:rPr>
          <w:rFonts w:hint="eastAsia" w:eastAsia="宋体"/>
          <w:bCs/>
          <w:color w:val="auto"/>
          <w:highlight w:val="none"/>
        </w:rPr>
        <w:t>引入管穿过地下室外墙或地下构筑物墙壁时，应预留孔洞或敷设套管，并应考虑建筑物沉降等不利因素。管道不得穿建筑物的沉降缝、伸缩缝。如必须穿越时，应设置管道伸缩和剪切变形的补偿装置。</w:t>
      </w:r>
    </w:p>
    <w:p w14:paraId="50F4CB1C">
      <w:pPr>
        <w:keepNext w:val="0"/>
        <w:keepLines w:val="0"/>
        <w:pageBreakBefore w:val="0"/>
        <w:widowControl w:val="0"/>
        <w:numPr>
          <w:ilvl w:val="0"/>
          <w:numId w:val="35"/>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eastAsia="宋体"/>
          <w:bCs/>
          <w:color w:val="auto"/>
          <w:highlight w:val="none"/>
        </w:rPr>
      </w:pPr>
      <w:r>
        <w:rPr>
          <w:rFonts w:hint="eastAsia" w:eastAsia="宋体"/>
          <w:bCs/>
          <w:color w:val="auto"/>
          <w:highlight w:val="none"/>
        </w:rPr>
        <w:t>管道穿越楼板、承重墙时，应设钢制套管。穿楼板套管上端应高出室内地坪50mm，下端应与楼板底齐平。穿越承重墙时套管应与两墙面平齐。管道穿越地下防水墙、顶板时，应设防水套管。</w:t>
      </w:r>
    </w:p>
    <w:p w14:paraId="06689690">
      <w:pPr>
        <w:keepNext w:val="0"/>
        <w:keepLines w:val="0"/>
        <w:pageBreakBefore w:val="0"/>
        <w:widowControl w:val="0"/>
        <w:numPr>
          <w:ilvl w:val="0"/>
          <w:numId w:val="35"/>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eastAsia="宋体"/>
          <w:bCs/>
          <w:color w:val="auto"/>
          <w:highlight w:val="none"/>
        </w:rPr>
      </w:pPr>
      <w:r>
        <w:rPr>
          <w:rFonts w:hint="eastAsia" w:eastAsia="宋体"/>
          <w:bCs/>
          <w:color w:val="auto"/>
          <w:highlight w:val="none"/>
        </w:rPr>
        <w:t>敷设在垫层或墙槽内的铜管可采用覆塑铜管，外径不宜大于28mm,管线宜水平或垂直布置在预留或开凿的凹槽内，槽内铜管应设置管卡固定。</w:t>
      </w:r>
    </w:p>
    <w:p w14:paraId="3E4B8724">
      <w:pPr>
        <w:keepNext w:val="0"/>
        <w:keepLines w:val="0"/>
        <w:pageBreakBefore w:val="0"/>
        <w:widowControl w:val="0"/>
        <w:numPr>
          <w:ilvl w:val="0"/>
          <w:numId w:val="35"/>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eastAsia="宋体"/>
          <w:bCs/>
          <w:color w:val="auto"/>
          <w:highlight w:val="none"/>
        </w:rPr>
      </w:pPr>
      <w:r>
        <w:rPr>
          <w:rFonts w:hint="eastAsia" w:eastAsia="宋体"/>
          <w:bCs/>
          <w:color w:val="auto"/>
          <w:highlight w:val="none"/>
        </w:rPr>
        <w:t>管道不得敷设在卧室，贮藏室及烟道和风道内。</w:t>
      </w:r>
    </w:p>
    <w:p w14:paraId="7BB9447F">
      <w:pPr>
        <w:keepNext w:val="0"/>
        <w:keepLines w:val="0"/>
        <w:pageBreakBefore w:val="0"/>
        <w:widowControl w:val="0"/>
        <w:numPr>
          <w:ilvl w:val="0"/>
          <w:numId w:val="35"/>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eastAsia="宋体"/>
          <w:bCs/>
          <w:color w:val="auto"/>
          <w:highlight w:val="none"/>
        </w:rPr>
      </w:pPr>
      <w:r>
        <w:rPr>
          <w:rFonts w:hint="eastAsia" w:eastAsia="宋体"/>
          <w:bCs/>
          <w:color w:val="auto"/>
          <w:highlight w:val="none"/>
        </w:rPr>
        <w:t>横管敷设宜不小于0.002～0.005的放空坡度。</w:t>
      </w:r>
    </w:p>
    <w:p w14:paraId="692264DE">
      <w:pPr>
        <w:keepNext w:val="0"/>
        <w:keepLines w:val="0"/>
        <w:pageBreakBefore w:val="0"/>
        <w:widowControl w:val="0"/>
        <w:numPr>
          <w:ilvl w:val="0"/>
          <w:numId w:val="35"/>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eastAsia="宋体"/>
          <w:bCs/>
          <w:color w:val="auto"/>
          <w:highlight w:val="none"/>
        </w:rPr>
      </w:pPr>
      <w:r>
        <w:rPr>
          <w:rFonts w:hint="eastAsia" w:eastAsia="宋体"/>
          <w:bCs/>
          <w:color w:val="auto"/>
          <w:highlight w:val="none"/>
        </w:rPr>
        <w:t>铜管的连接方式应符合以下规定：</w:t>
      </w:r>
    </w:p>
    <w:p w14:paraId="313D92F4">
      <w:pPr>
        <w:keepNext w:val="0"/>
        <w:keepLines w:val="0"/>
        <w:pageBreakBefore w:val="0"/>
        <w:widowControl w:val="0"/>
        <w:numPr>
          <w:ilvl w:val="0"/>
          <w:numId w:val="36"/>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引入管、支管接出及水表接口处应采用便于检修拆卸的连接件。</w:t>
      </w:r>
    </w:p>
    <w:p w14:paraId="62023187">
      <w:pPr>
        <w:keepNext w:val="0"/>
        <w:keepLines w:val="0"/>
        <w:pageBreakBefore w:val="0"/>
        <w:widowControl w:val="0"/>
        <w:numPr>
          <w:ilvl w:val="0"/>
          <w:numId w:val="36"/>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埋地、敷设在垫层或墙槽内的铜管采用硬钎焊接。</w:t>
      </w:r>
    </w:p>
    <w:p w14:paraId="79F0703A">
      <w:pPr>
        <w:keepNext w:val="0"/>
        <w:keepLines w:val="0"/>
        <w:pageBreakBefore w:val="0"/>
        <w:widowControl w:val="0"/>
        <w:numPr>
          <w:ilvl w:val="0"/>
          <w:numId w:val="36"/>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外径小于</w:t>
      </w:r>
      <w:r>
        <w:rPr>
          <w:bCs/>
          <w:color w:val="auto"/>
          <w:highlight w:val="none"/>
        </w:rPr>
        <w:t>28mm</w:t>
      </w:r>
      <w:r>
        <w:rPr>
          <w:rFonts w:hint="eastAsia"/>
          <w:bCs/>
          <w:color w:val="auto"/>
          <w:highlight w:val="none"/>
        </w:rPr>
        <w:t>的明支管可采用软钎焊接、机械式连接</w:t>
      </w:r>
      <w:r>
        <w:rPr>
          <w:bCs/>
          <w:color w:val="auto"/>
          <w:highlight w:val="none"/>
        </w:rPr>
        <w:t>(</w:t>
      </w:r>
      <w:r>
        <w:rPr>
          <w:rFonts w:hint="eastAsia"/>
          <w:bCs/>
          <w:color w:val="auto"/>
          <w:highlight w:val="none"/>
        </w:rPr>
        <w:t>卡套、冷压接</w:t>
      </w:r>
      <w:r>
        <w:rPr>
          <w:bCs/>
          <w:color w:val="auto"/>
          <w:highlight w:val="none"/>
        </w:rPr>
        <w:t>)</w:t>
      </w:r>
      <w:r>
        <w:rPr>
          <w:rFonts w:hint="eastAsia"/>
          <w:bCs/>
          <w:color w:val="auto"/>
          <w:highlight w:val="none"/>
        </w:rPr>
        <w:t>。</w:t>
      </w:r>
    </w:p>
    <w:p w14:paraId="5F76D37F">
      <w:pPr>
        <w:keepNext w:val="0"/>
        <w:keepLines w:val="0"/>
        <w:pageBreakBefore w:val="0"/>
        <w:widowControl w:val="0"/>
        <w:numPr>
          <w:ilvl w:val="0"/>
          <w:numId w:val="36"/>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铜管与供水设备连接时，宜采用带螺纹端口连接或法兰连接。</w:t>
      </w:r>
    </w:p>
    <w:p w14:paraId="0FCFD993">
      <w:pPr>
        <w:keepNext w:val="0"/>
        <w:keepLines w:val="0"/>
        <w:pageBreakBefore w:val="0"/>
        <w:widowControl w:val="0"/>
        <w:numPr>
          <w:ilvl w:val="0"/>
          <w:numId w:val="36"/>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当热水铜管直线管段超过</w:t>
      </w:r>
      <w:r>
        <w:rPr>
          <w:bCs/>
          <w:color w:val="auto"/>
          <w:highlight w:val="none"/>
        </w:rPr>
        <w:t>10m</w:t>
      </w:r>
      <w:r>
        <w:rPr>
          <w:rFonts w:hint="eastAsia"/>
          <w:bCs/>
          <w:color w:val="auto"/>
          <w:highlight w:val="none"/>
        </w:rPr>
        <w:t>时，应有管道热伸长的措施。管道伸缩量宜根据实际温差进行计算。</w:t>
      </w:r>
    </w:p>
    <w:p w14:paraId="0E3F5F12">
      <w:pPr>
        <w:keepNext w:val="0"/>
        <w:keepLines w:val="0"/>
        <w:pageBreakBefore w:val="0"/>
        <w:widowControl w:val="0"/>
        <w:numPr>
          <w:ilvl w:val="0"/>
          <w:numId w:val="36"/>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连接水箱等设备进出口处的铜管，应做局部加强处理。</w:t>
      </w:r>
    </w:p>
    <w:p w14:paraId="0CEA7791">
      <w:pPr>
        <w:keepNext w:val="0"/>
        <w:keepLines w:val="0"/>
        <w:pageBreakBefore w:val="0"/>
        <w:widowControl w:val="0"/>
        <w:numPr>
          <w:ilvl w:val="0"/>
          <w:numId w:val="36"/>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室内明装给水铜管应做防结露处理，热水铜管应做保温处理。</w:t>
      </w:r>
    </w:p>
    <w:p w14:paraId="33951CA7">
      <w:pPr>
        <w:keepNext w:val="0"/>
        <w:keepLines w:val="0"/>
        <w:pageBreakBefore w:val="0"/>
        <w:widowControl w:val="0"/>
        <w:numPr>
          <w:ilvl w:val="0"/>
          <w:numId w:val="36"/>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铜管焊接不得使用含铅钎料、含氨焊剂。</w:t>
      </w:r>
    </w:p>
    <w:p w14:paraId="4C9D56B0">
      <w:pPr>
        <w:keepNext w:val="0"/>
        <w:keepLines w:val="0"/>
        <w:pageBreakBefore w:val="0"/>
        <w:widowControl w:val="0"/>
        <w:numPr>
          <w:ilvl w:val="0"/>
          <w:numId w:val="35"/>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eastAsia="宋体"/>
          <w:bCs/>
          <w:color w:val="auto"/>
          <w:highlight w:val="none"/>
        </w:rPr>
      </w:pPr>
      <w:r>
        <w:rPr>
          <w:rFonts w:hint="eastAsia" w:eastAsia="宋体"/>
          <w:bCs/>
          <w:color w:val="auto"/>
          <w:highlight w:val="none"/>
        </w:rPr>
        <w:t>管道安装施工的注意事项</w:t>
      </w:r>
    </w:p>
    <w:p w14:paraId="03CEF09C">
      <w:pPr>
        <w:keepNext w:val="0"/>
        <w:keepLines w:val="0"/>
        <w:pageBreakBefore w:val="0"/>
        <w:widowControl w:val="0"/>
        <w:numPr>
          <w:ilvl w:val="0"/>
          <w:numId w:val="37"/>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施工过程中应防止与酸、碱等对铜管有腐蚀按设计要求核对无误。</w:t>
      </w:r>
    </w:p>
    <w:p w14:paraId="72805483">
      <w:pPr>
        <w:keepNext w:val="0"/>
        <w:keepLines w:val="0"/>
        <w:pageBreakBefore w:val="0"/>
        <w:widowControl w:val="0"/>
        <w:numPr>
          <w:ilvl w:val="0"/>
          <w:numId w:val="37"/>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管道在安装前应检查其外观和管口，有明显伤痕的管道不得使用，变形管口应用专用工具整圆。受污染的管材、管件内外污垢及杂物应清理干净。</w:t>
      </w:r>
    </w:p>
    <w:p w14:paraId="52D6F829">
      <w:pPr>
        <w:keepNext w:val="0"/>
        <w:keepLines w:val="0"/>
        <w:pageBreakBefore w:val="0"/>
        <w:widowControl w:val="0"/>
        <w:numPr>
          <w:ilvl w:val="0"/>
          <w:numId w:val="37"/>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弯曲的管道调直时，外径小于等于</w:t>
      </w:r>
      <w:r>
        <w:rPr>
          <w:bCs/>
          <w:color w:val="auto"/>
          <w:highlight w:val="none"/>
        </w:rPr>
        <w:t>108mm</w:t>
      </w:r>
      <w:r>
        <w:rPr>
          <w:rFonts w:hint="eastAsia"/>
          <w:bCs/>
          <w:color w:val="auto"/>
          <w:highlight w:val="none"/>
        </w:rPr>
        <w:t>管道可采用冷调法，外径大于</w:t>
      </w:r>
      <w:r>
        <w:rPr>
          <w:bCs/>
          <w:color w:val="auto"/>
          <w:highlight w:val="none"/>
        </w:rPr>
        <w:t>108mm</w:t>
      </w:r>
      <w:r>
        <w:rPr>
          <w:rFonts w:hint="eastAsia"/>
          <w:bCs/>
          <w:color w:val="auto"/>
          <w:highlight w:val="none"/>
        </w:rPr>
        <w:t>的管道可采用热调法。调直后不应有凹陷、破损现象。采用胀口或翻边连接的管子，施工前应每批抽</w:t>
      </w:r>
      <w:r>
        <w:rPr>
          <w:bCs/>
          <w:color w:val="auto"/>
          <w:highlight w:val="none"/>
        </w:rPr>
        <w:t>1%</w:t>
      </w:r>
      <w:r>
        <w:rPr>
          <w:rFonts w:hint="eastAsia"/>
          <w:bCs/>
          <w:color w:val="auto"/>
          <w:highlight w:val="none"/>
        </w:rPr>
        <w:t>且不少于两根进行胀口或翻边试验。如有裂纹，需要退火、试验处理，应重做试验。如仍有裂纹，则该批管子须逐根退火、试验，不合格的不得使用。</w:t>
      </w:r>
    </w:p>
    <w:p w14:paraId="7EB0C24C">
      <w:pPr>
        <w:pStyle w:val="6"/>
        <w:keepNext w:val="0"/>
        <w:keepLines w:val="0"/>
        <w:pageBreakBefore w:val="0"/>
        <w:widowControl w:val="0"/>
        <w:numPr>
          <w:ilvl w:val="3"/>
          <w:numId w:val="15"/>
        </w:numPr>
        <w:kinsoku/>
        <w:wordWrap/>
        <w:overflowPunct/>
        <w:topLinePunct w:val="0"/>
        <w:autoSpaceDE/>
        <w:autoSpaceDN/>
        <w:bidi w:val="0"/>
        <w:adjustRightInd/>
        <w:snapToGrid w:val="0"/>
        <w:spacing w:beforeLines="0" w:afterLines="0" w:line="360" w:lineRule="auto"/>
        <w:ind w:left="0" w:leftChars="0" w:firstLine="480" w:firstLineChars="200"/>
        <w:textAlignment w:val="auto"/>
        <w:rPr>
          <w:rFonts w:hint="eastAsia"/>
          <w:color w:val="auto"/>
          <w:highlight w:val="none"/>
        </w:rPr>
      </w:pPr>
      <w:r>
        <w:rPr>
          <w:rFonts w:hint="eastAsia"/>
          <w:color w:val="auto"/>
          <w:highlight w:val="none"/>
        </w:rPr>
        <w:t>排水系统–UPVC安装</w:t>
      </w:r>
    </w:p>
    <w:p w14:paraId="55408DD2">
      <w:pPr>
        <w:keepNext w:val="0"/>
        <w:keepLines w:val="0"/>
        <w:pageBreakBefore w:val="0"/>
        <w:widowControl w:val="0"/>
        <w:numPr>
          <w:ilvl w:val="0"/>
          <w:numId w:val="38"/>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eastAsia="宋体"/>
          <w:bCs/>
          <w:color w:val="auto"/>
          <w:highlight w:val="none"/>
        </w:rPr>
      </w:pPr>
      <w:r>
        <w:rPr>
          <w:rFonts w:hint="eastAsia" w:eastAsia="宋体"/>
          <w:bCs/>
          <w:color w:val="auto"/>
          <w:highlight w:val="none"/>
        </w:rPr>
        <w:t>预留洞</w:t>
      </w:r>
    </w:p>
    <w:p w14:paraId="69E3C720">
      <w:pPr>
        <w:keepNext w:val="0"/>
        <w:keepLines w:val="0"/>
        <w:pageBreakBefore w:val="0"/>
        <w:widowControl w:val="0"/>
        <w:numPr>
          <w:ilvl w:val="0"/>
          <w:numId w:val="39"/>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预留洞尺寸比待安装的排水管管径大两号，标准层预留洞距墙尺寸统一，预留洞用的钢管应固定牢固。</w:t>
      </w:r>
    </w:p>
    <w:p w14:paraId="43BCF90A">
      <w:pPr>
        <w:keepNext w:val="0"/>
        <w:keepLines w:val="0"/>
        <w:pageBreakBefore w:val="0"/>
        <w:widowControl w:val="0"/>
        <w:numPr>
          <w:ilvl w:val="0"/>
          <w:numId w:val="39"/>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如采用积水处理器、止水节等成品预埋件，则应根据设计要求及产品安装要求预埋。</w:t>
      </w:r>
    </w:p>
    <w:p w14:paraId="76A7034F">
      <w:pPr>
        <w:keepNext w:val="0"/>
        <w:keepLines w:val="0"/>
        <w:pageBreakBefore w:val="0"/>
        <w:widowControl w:val="0"/>
        <w:numPr>
          <w:ilvl w:val="0"/>
          <w:numId w:val="38"/>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eastAsia="宋体"/>
          <w:bCs/>
          <w:color w:val="auto"/>
          <w:highlight w:val="none"/>
        </w:rPr>
      </w:pPr>
      <w:r>
        <w:rPr>
          <w:rFonts w:hint="eastAsia" w:eastAsia="宋体"/>
          <w:bCs/>
          <w:color w:val="auto"/>
          <w:highlight w:val="none"/>
        </w:rPr>
        <w:t>立管安装</w:t>
      </w:r>
    </w:p>
    <w:p w14:paraId="6ACCE18A">
      <w:pPr>
        <w:keepNext w:val="0"/>
        <w:keepLines w:val="0"/>
        <w:pageBreakBefore w:val="0"/>
        <w:widowControl w:val="0"/>
        <w:numPr>
          <w:ilvl w:val="0"/>
          <w:numId w:val="40"/>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立管垂直度允许偏差</w:t>
      </w:r>
      <w:r>
        <w:rPr>
          <w:bCs/>
          <w:color w:val="auto"/>
          <w:highlight w:val="none"/>
        </w:rPr>
        <w:t>3mm/m</w:t>
      </w:r>
      <w:r>
        <w:rPr>
          <w:rFonts w:hint="eastAsia"/>
          <w:bCs/>
          <w:color w:val="auto"/>
          <w:highlight w:val="none"/>
        </w:rPr>
        <w:t>，全长（</w:t>
      </w:r>
      <w:r>
        <w:rPr>
          <w:bCs/>
          <w:color w:val="auto"/>
          <w:highlight w:val="none"/>
        </w:rPr>
        <w:t>5m</w:t>
      </w:r>
      <w:r>
        <w:rPr>
          <w:rFonts w:hint="eastAsia"/>
          <w:bCs/>
          <w:color w:val="auto"/>
          <w:highlight w:val="none"/>
        </w:rPr>
        <w:t>以上）≤</w:t>
      </w:r>
      <w:r>
        <w:rPr>
          <w:bCs/>
          <w:color w:val="auto"/>
          <w:highlight w:val="none"/>
        </w:rPr>
        <w:t>15mm</w:t>
      </w:r>
      <w:r>
        <w:rPr>
          <w:rFonts w:hint="eastAsia"/>
          <w:bCs/>
          <w:color w:val="auto"/>
          <w:highlight w:val="none"/>
        </w:rPr>
        <w:t>。检查口距地高度统一，朝向便于检修。</w:t>
      </w:r>
    </w:p>
    <w:p w14:paraId="12AFC03C">
      <w:pPr>
        <w:keepNext w:val="0"/>
        <w:keepLines w:val="0"/>
        <w:pageBreakBefore w:val="0"/>
        <w:widowControl w:val="0"/>
        <w:numPr>
          <w:ilvl w:val="0"/>
          <w:numId w:val="40"/>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阻火圈：高层建筑内公称外径大于或等于</w:t>
      </w:r>
      <w:r>
        <w:rPr>
          <w:bCs/>
          <w:color w:val="auto"/>
          <w:highlight w:val="none"/>
        </w:rPr>
        <w:t>110mm</w:t>
      </w:r>
      <w:r>
        <w:rPr>
          <w:rFonts w:hint="eastAsia"/>
          <w:bCs/>
          <w:color w:val="auto"/>
          <w:highlight w:val="none"/>
        </w:rPr>
        <w:t>的明设排水立管，在穿越楼层处应采取设置阻火圈或防火套管等防止火灾贯穿的措施。</w:t>
      </w:r>
    </w:p>
    <w:p w14:paraId="7D28873F">
      <w:pPr>
        <w:keepNext w:val="0"/>
        <w:keepLines w:val="0"/>
        <w:pageBreakBefore w:val="0"/>
        <w:widowControl w:val="0"/>
        <w:numPr>
          <w:ilvl w:val="0"/>
          <w:numId w:val="40"/>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立管伸缩节：当层高≤</w:t>
      </w:r>
      <w:r>
        <w:rPr>
          <w:bCs/>
          <w:color w:val="auto"/>
          <w:highlight w:val="none"/>
        </w:rPr>
        <w:t>4m</w:t>
      </w:r>
      <w:r>
        <w:rPr>
          <w:rFonts w:hint="eastAsia"/>
          <w:bCs/>
          <w:color w:val="auto"/>
          <w:highlight w:val="none"/>
        </w:rPr>
        <w:t>时，立管上应每层设置一个伸缩节；当层高</w:t>
      </w:r>
      <w:r>
        <w:rPr>
          <w:bCs/>
          <w:color w:val="auto"/>
          <w:highlight w:val="none"/>
        </w:rPr>
        <w:t>&gt;4m</w:t>
      </w:r>
      <w:r>
        <w:rPr>
          <w:rFonts w:hint="eastAsia"/>
          <w:bCs/>
          <w:color w:val="auto"/>
          <w:highlight w:val="none"/>
        </w:rPr>
        <w:t>时，根据设计计算设置伸缩节；楼层内有横管接入的，汇合管件设置在楼板上部靠近地坪时，应在汇合管件上方设伸缩节；汇合管件设置在楼板下部时，在汇合管件下部设伸缩节；伸缩节的承口方向应迎水流方向。</w:t>
      </w:r>
    </w:p>
    <w:p w14:paraId="398A9509">
      <w:pPr>
        <w:keepNext w:val="0"/>
        <w:keepLines w:val="0"/>
        <w:pageBreakBefore w:val="0"/>
        <w:widowControl w:val="0"/>
        <w:numPr>
          <w:ilvl w:val="0"/>
          <w:numId w:val="38"/>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eastAsia="宋体"/>
          <w:bCs/>
          <w:color w:val="auto"/>
          <w:highlight w:val="none"/>
        </w:rPr>
      </w:pPr>
      <w:r>
        <w:rPr>
          <w:rFonts w:hint="eastAsia" w:eastAsia="宋体"/>
          <w:bCs/>
          <w:color w:val="auto"/>
          <w:highlight w:val="none"/>
        </w:rPr>
        <w:t>水平支管安装</w:t>
      </w:r>
    </w:p>
    <w:p w14:paraId="45FD96A2">
      <w:pPr>
        <w:keepNext w:val="0"/>
        <w:keepLines w:val="0"/>
        <w:pageBreakBefore w:val="0"/>
        <w:widowControl w:val="0"/>
        <w:numPr>
          <w:ilvl w:val="0"/>
          <w:numId w:val="41"/>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坡度和吊架间距满足规范要求</w:t>
      </w:r>
    </w:p>
    <w:p w14:paraId="27132C78">
      <w:pPr>
        <w:keepNext w:val="0"/>
        <w:keepLines w:val="0"/>
        <w:pageBreakBefore w:val="0"/>
        <w:widowControl w:val="0"/>
        <w:numPr>
          <w:ilvl w:val="0"/>
          <w:numId w:val="41"/>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横管伸缩节：横支管、横干管无汇合管道接入，且与立管相连管段的长度大于</w:t>
      </w:r>
      <w:r>
        <w:rPr>
          <w:bCs/>
          <w:color w:val="auto"/>
          <w:highlight w:val="none"/>
        </w:rPr>
        <w:t>2.2m</w:t>
      </w:r>
      <w:r>
        <w:rPr>
          <w:rFonts w:hint="eastAsia"/>
          <w:bCs/>
          <w:color w:val="auto"/>
          <w:highlight w:val="none"/>
        </w:rPr>
        <w:t>时，在靠近汇合管件的横管侧设置伸缩节；横管上伸缩节间距不宜超过</w:t>
      </w:r>
      <w:r>
        <w:rPr>
          <w:bCs/>
          <w:color w:val="auto"/>
          <w:highlight w:val="none"/>
        </w:rPr>
        <w:t>4m</w:t>
      </w:r>
      <w:r>
        <w:rPr>
          <w:rFonts w:hint="eastAsia"/>
          <w:bCs/>
          <w:color w:val="auto"/>
          <w:highlight w:val="none"/>
        </w:rPr>
        <w:t>，超过</w:t>
      </w:r>
      <w:r>
        <w:rPr>
          <w:bCs/>
          <w:color w:val="auto"/>
          <w:highlight w:val="none"/>
        </w:rPr>
        <w:t>4m</w:t>
      </w:r>
      <w:r>
        <w:rPr>
          <w:rFonts w:hint="eastAsia"/>
          <w:bCs/>
          <w:color w:val="auto"/>
          <w:highlight w:val="none"/>
        </w:rPr>
        <w:t>时，应根据设计计算设置伸缩节；伸缩节的承口方向应迎水流方向。</w:t>
      </w:r>
    </w:p>
    <w:p w14:paraId="7D9AD938">
      <w:pPr>
        <w:keepNext w:val="0"/>
        <w:keepLines w:val="0"/>
        <w:pageBreakBefore w:val="0"/>
        <w:widowControl w:val="0"/>
        <w:numPr>
          <w:ilvl w:val="0"/>
          <w:numId w:val="41"/>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管道变径：当水平支管由上游小管汇入下游大管时，应采用偏心补心，顶平连接。</w:t>
      </w:r>
    </w:p>
    <w:p w14:paraId="1BDEBB18">
      <w:pPr>
        <w:keepNext w:val="0"/>
        <w:keepLines w:val="0"/>
        <w:pageBreakBefore w:val="0"/>
        <w:widowControl w:val="0"/>
        <w:numPr>
          <w:ilvl w:val="0"/>
          <w:numId w:val="41"/>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水平管道末端转换：</w:t>
      </w:r>
      <w:r>
        <w:rPr>
          <w:bCs/>
          <w:color w:val="auto"/>
          <w:highlight w:val="none"/>
        </w:rPr>
        <w:t>UPVC</w:t>
      </w:r>
      <w:r>
        <w:rPr>
          <w:rFonts w:hint="eastAsia"/>
          <w:bCs/>
          <w:color w:val="auto"/>
          <w:highlight w:val="none"/>
        </w:rPr>
        <w:t>水平排水支管与柔性排水铸铁立管应采用卡箍橡胶圈接口；</w:t>
      </w:r>
    </w:p>
    <w:p w14:paraId="415F7C10">
      <w:pPr>
        <w:keepNext w:val="0"/>
        <w:keepLines w:val="0"/>
        <w:pageBreakBefore w:val="0"/>
        <w:widowControl w:val="0"/>
        <w:numPr>
          <w:ilvl w:val="0"/>
          <w:numId w:val="38"/>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eastAsia="宋体"/>
          <w:bCs/>
          <w:color w:val="auto"/>
          <w:highlight w:val="none"/>
        </w:rPr>
      </w:pPr>
      <w:r>
        <w:rPr>
          <w:rFonts w:hint="eastAsia" w:eastAsia="宋体"/>
          <w:bCs/>
          <w:color w:val="auto"/>
          <w:highlight w:val="none"/>
        </w:rPr>
        <w:t>成品保护</w:t>
      </w:r>
    </w:p>
    <w:p w14:paraId="1548B27C">
      <w:pPr>
        <w:keepNext w:val="0"/>
        <w:keepLines w:val="0"/>
        <w:pageBreakBefore w:val="0"/>
        <w:widowControl w:val="0"/>
        <w:kinsoku/>
        <w:wordWrap/>
        <w:overflowPunct/>
        <w:topLinePunct w:val="0"/>
        <w:autoSpaceDE/>
        <w:autoSpaceDN/>
        <w:bidi w:val="0"/>
        <w:adjustRightInd/>
        <w:snapToGrid/>
        <w:spacing w:line="360" w:lineRule="auto"/>
        <w:ind w:firstLine="480"/>
        <w:jc w:val="left"/>
        <w:textAlignment w:val="auto"/>
        <w:rPr>
          <w:rFonts w:ascii="宋体" w:hAnsi="宋体" w:eastAsia="宋体"/>
          <w:color w:val="auto"/>
          <w:highlight w:val="none"/>
        </w:rPr>
      </w:pPr>
      <w:r>
        <w:rPr>
          <w:rFonts w:hint="eastAsia" w:ascii="宋体" w:hAnsi="宋体" w:eastAsia="宋体"/>
          <w:color w:val="auto"/>
          <w:highlight w:val="none"/>
        </w:rPr>
        <w:t>对已施工完的UPVC排水管做有效的成品保护：所有预留管口封闭严密，管道应采用塑料布等材料包裹。对同层排水预埋件，在现浇楼板完成后须将产品保护盖上的多余水泥浆清理干净，保证盖中心排水孔洞的通畅。</w:t>
      </w:r>
    </w:p>
    <w:p w14:paraId="79FC83C1">
      <w:pPr>
        <w:pStyle w:val="6"/>
        <w:keepNext w:val="0"/>
        <w:keepLines w:val="0"/>
        <w:pageBreakBefore w:val="0"/>
        <w:widowControl w:val="0"/>
        <w:numPr>
          <w:ilvl w:val="3"/>
          <w:numId w:val="15"/>
        </w:numPr>
        <w:kinsoku/>
        <w:wordWrap/>
        <w:overflowPunct/>
        <w:topLinePunct w:val="0"/>
        <w:autoSpaceDE/>
        <w:autoSpaceDN/>
        <w:bidi w:val="0"/>
        <w:adjustRightInd/>
        <w:snapToGrid w:val="0"/>
        <w:spacing w:beforeLines="0" w:afterLines="0" w:line="360" w:lineRule="auto"/>
        <w:ind w:left="0" w:leftChars="0" w:firstLine="480" w:firstLineChars="200"/>
        <w:textAlignment w:val="auto"/>
        <w:rPr>
          <w:rFonts w:hint="eastAsia"/>
          <w:color w:val="auto"/>
          <w:highlight w:val="none"/>
        </w:rPr>
      </w:pPr>
      <w:r>
        <w:rPr>
          <w:rFonts w:hint="eastAsia"/>
          <w:color w:val="auto"/>
          <w:highlight w:val="none"/>
        </w:rPr>
        <w:t>排水系统-铸铁管安装</w:t>
      </w:r>
    </w:p>
    <w:p w14:paraId="093ADCE5">
      <w:pPr>
        <w:keepNext w:val="0"/>
        <w:keepLines w:val="0"/>
        <w:pageBreakBefore w:val="0"/>
        <w:widowControl w:val="0"/>
        <w:numPr>
          <w:ilvl w:val="0"/>
          <w:numId w:val="42"/>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eastAsia="宋体"/>
          <w:bCs/>
          <w:color w:val="auto"/>
          <w:highlight w:val="none"/>
        </w:rPr>
      </w:pPr>
      <w:r>
        <w:rPr>
          <w:rFonts w:hint="eastAsia" w:eastAsia="宋体"/>
          <w:bCs/>
          <w:color w:val="auto"/>
          <w:highlight w:val="none"/>
        </w:rPr>
        <w:t>柔性机制铸铁管承插连接：</w:t>
      </w:r>
    </w:p>
    <w:p w14:paraId="43220B8A">
      <w:pPr>
        <w:keepNext w:val="0"/>
        <w:keepLines w:val="0"/>
        <w:pageBreakBefore w:val="0"/>
        <w:widowControl w:val="0"/>
        <w:numPr>
          <w:ilvl w:val="0"/>
          <w:numId w:val="43"/>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承口、插口及法兰压盖工作面上不得有泥沙及制作毛刺。</w:t>
      </w:r>
    </w:p>
    <w:p w14:paraId="23F10082">
      <w:pPr>
        <w:keepNext w:val="0"/>
        <w:keepLines w:val="0"/>
        <w:pageBreakBefore w:val="0"/>
        <w:widowControl w:val="0"/>
        <w:numPr>
          <w:ilvl w:val="0"/>
          <w:numId w:val="43"/>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安装所在的平面应与管的轴线垂直。</w:t>
      </w:r>
    </w:p>
    <w:p w14:paraId="20DEAB1E">
      <w:pPr>
        <w:keepNext w:val="0"/>
        <w:keepLines w:val="0"/>
        <w:pageBreakBefore w:val="0"/>
        <w:widowControl w:val="0"/>
        <w:numPr>
          <w:ilvl w:val="0"/>
          <w:numId w:val="43"/>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胶圈边缘与上、下端对齐。</w:t>
      </w:r>
    </w:p>
    <w:p w14:paraId="2E28B93D">
      <w:pPr>
        <w:keepNext w:val="0"/>
        <w:keepLines w:val="0"/>
        <w:pageBreakBefore w:val="0"/>
        <w:widowControl w:val="0"/>
        <w:numPr>
          <w:ilvl w:val="0"/>
          <w:numId w:val="43"/>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插口端插入承口内，为保持橡胶圈在承口深度四周相同，在插进中要保证插入管的轴线与承口管的轴线在同一直线上。</w:t>
      </w:r>
    </w:p>
    <w:p w14:paraId="24AEEEE4">
      <w:pPr>
        <w:keepNext w:val="0"/>
        <w:keepLines w:val="0"/>
        <w:pageBreakBefore w:val="0"/>
        <w:widowControl w:val="0"/>
        <w:numPr>
          <w:ilvl w:val="0"/>
          <w:numId w:val="43"/>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拧紧螺栓时，要使密封圈均匀受力，不得一次拧紧，应逐个逐次拧紧到位。</w:t>
      </w:r>
    </w:p>
    <w:p w14:paraId="0B9D122C">
      <w:pPr>
        <w:keepNext w:val="0"/>
        <w:keepLines w:val="0"/>
        <w:pageBreakBefore w:val="0"/>
        <w:widowControl w:val="0"/>
        <w:numPr>
          <w:ilvl w:val="0"/>
          <w:numId w:val="43"/>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安装立管时，每个接口处，要用管箍固定在建筑物上。</w:t>
      </w:r>
    </w:p>
    <w:p w14:paraId="2D949E13">
      <w:pPr>
        <w:keepNext w:val="0"/>
        <w:keepLines w:val="0"/>
        <w:pageBreakBefore w:val="0"/>
        <w:widowControl w:val="0"/>
        <w:numPr>
          <w:ilvl w:val="0"/>
          <w:numId w:val="42"/>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eastAsia="宋体"/>
          <w:bCs/>
          <w:color w:val="auto"/>
          <w:highlight w:val="none"/>
        </w:rPr>
      </w:pPr>
      <w:r>
        <w:rPr>
          <w:rFonts w:hint="eastAsia" w:eastAsia="宋体"/>
          <w:bCs/>
          <w:color w:val="auto"/>
          <w:highlight w:val="none"/>
        </w:rPr>
        <w:t>卡箍连接：</w:t>
      </w:r>
    </w:p>
    <w:p w14:paraId="02AFDFF1">
      <w:pPr>
        <w:keepNext w:val="0"/>
        <w:keepLines w:val="0"/>
        <w:pageBreakBefore w:val="0"/>
        <w:widowControl w:val="0"/>
        <w:numPr>
          <w:ilvl w:val="0"/>
          <w:numId w:val="44"/>
        </w:numPr>
        <w:tabs>
          <w:tab w:val="left" w:pos="40"/>
        </w:tabs>
        <w:kinsoku/>
        <w:wordWrap/>
        <w:overflowPunct/>
        <w:topLinePunct w:val="0"/>
        <w:autoSpaceDE/>
        <w:autoSpaceDN/>
        <w:bidi w:val="0"/>
        <w:adjustRightInd/>
        <w:snapToGrid w:val="0"/>
        <w:spacing w:line="360" w:lineRule="auto"/>
        <w:ind w:left="0" w:firstLine="480"/>
        <w:jc w:val="left"/>
        <w:textAlignment w:val="auto"/>
        <w:rPr>
          <w:bCs/>
          <w:color w:val="auto"/>
          <w:highlight w:val="none"/>
        </w:rPr>
      </w:pPr>
      <w:r>
        <w:rPr>
          <w:rFonts w:hint="eastAsia"/>
          <w:bCs/>
          <w:color w:val="auto"/>
          <w:highlight w:val="none"/>
        </w:rPr>
        <w:t>沟槽式卡箍连接：管接头与管体相连，确保管体和管件之间不会轴向脱开，在密封圈的包裹下确保接头处无渗漏。</w:t>
      </w:r>
    </w:p>
    <w:p w14:paraId="3678BFBE">
      <w:pPr>
        <w:keepNext w:val="0"/>
        <w:keepLines w:val="0"/>
        <w:pageBreakBefore w:val="0"/>
        <w:widowControl w:val="0"/>
        <w:numPr>
          <w:ilvl w:val="0"/>
          <w:numId w:val="44"/>
        </w:numPr>
        <w:tabs>
          <w:tab w:val="left" w:pos="40"/>
        </w:tabs>
        <w:kinsoku/>
        <w:wordWrap/>
        <w:overflowPunct/>
        <w:topLinePunct w:val="0"/>
        <w:autoSpaceDE/>
        <w:autoSpaceDN/>
        <w:bidi w:val="0"/>
        <w:adjustRightInd/>
        <w:snapToGrid w:val="0"/>
        <w:spacing w:line="360" w:lineRule="auto"/>
        <w:ind w:left="0" w:firstLine="480"/>
        <w:jc w:val="left"/>
        <w:textAlignment w:val="auto"/>
        <w:rPr>
          <w:bCs/>
          <w:color w:val="auto"/>
          <w:highlight w:val="none"/>
        </w:rPr>
      </w:pPr>
      <w:r>
        <w:rPr>
          <w:rFonts w:hint="eastAsia"/>
          <w:bCs/>
          <w:color w:val="auto"/>
          <w:highlight w:val="none"/>
        </w:rPr>
        <w:t>柔性机制铸铁管卡箍连接：排水坡度符合设计要求。管道断口平整、光滑、无毛刺、台阶、裂缝。橡胶密封圈应均匀平整地套在相连接的两管道上，相连接管道平直度应符合规范要求。</w:t>
      </w:r>
    </w:p>
    <w:p w14:paraId="4CCC2602">
      <w:pPr>
        <w:keepNext w:val="0"/>
        <w:keepLines w:val="0"/>
        <w:pageBreakBefore w:val="0"/>
        <w:widowControl w:val="0"/>
        <w:numPr>
          <w:ilvl w:val="0"/>
          <w:numId w:val="44"/>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加强卡箍：柔性机制铸铁排水干管和立管使用加强卡箍连接。</w:t>
      </w:r>
    </w:p>
    <w:p w14:paraId="0317A219">
      <w:pPr>
        <w:keepNext w:val="0"/>
        <w:keepLines w:val="0"/>
        <w:pageBreakBefore w:val="0"/>
        <w:widowControl w:val="0"/>
        <w:numPr>
          <w:ilvl w:val="0"/>
          <w:numId w:val="44"/>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排水立管应每层设置支架固定，支架间距不宜大于</w:t>
      </w:r>
      <w:r>
        <w:rPr>
          <w:bCs/>
          <w:color w:val="auto"/>
          <w:highlight w:val="none"/>
        </w:rPr>
        <w:t>1.5</w:t>
      </w:r>
      <w:r>
        <w:rPr>
          <w:rFonts w:hint="eastAsia"/>
          <w:bCs/>
          <w:color w:val="auto"/>
          <w:highlight w:val="none"/>
        </w:rPr>
        <w:t>米，层高小于或等于</w:t>
      </w:r>
      <w:r>
        <w:rPr>
          <w:bCs/>
          <w:color w:val="auto"/>
          <w:highlight w:val="none"/>
        </w:rPr>
        <w:t>3</w:t>
      </w:r>
      <w:r>
        <w:rPr>
          <w:rFonts w:hint="eastAsia"/>
          <w:bCs/>
          <w:color w:val="auto"/>
          <w:highlight w:val="none"/>
        </w:rPr>
        <w:t>米时，可只设一个支架。</w:t>
      </w:r>
    </w:p>
    <w:p w14:paraId="0AF52C96">
      <w:pPr>
        <w:keepNext w:val="0"/>
        <w:keepLines w:val="0"/>
        <w:pageBreakBefore w:val="0"/>
        <w:widowControl w:val="0"/>
        <w:numPr>
          <w:ilvl w:val="0"/>
          <w:numId w:val="44"/>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铸铁管水平管段按规范要求增加清扫口。</w:t>
      </w:r>
    </w:p>
    <w:p w14:paraId="77F2DE50">
      <w:pPr>
        <w:pStyle w:val="5"/>
        <w:keepNext w:val="0"/>
        <w:keepLines w:val="0"/>
        <w:pageBreakBefore w:val="0"/>
        <w:widowControl w:val="0"/>
        <w:numPr>
          <w:ilvl w:val="2"/>
          <w:numId w:val="15"/>
        </w:numPr>
        <w:kinsoku/>
        <w:wordWrap/>
        <w:overflowPunct/>
        <w:topLinePunct w:val="0"/>
        <w:autoSpaceDE/>
        <w:autoSpaceDN/>
        <w:bidi w:val="0"/>
        <w:adjustRightInd/>
        <w:snapToGrid w:val="0"/>
        <w:spacing w:beforeLines="0" w:afterLines="0" w:line="360" w:lineRule="auto"/>
        <w:ind w:left="0" w:firstLine="480" w:firstLineChars="200"/>
        <w:textAlignment w:val="auto"/>
        <w:rPr>
          <w:rFonts w:hint="eastAsia"/>
          <w:color w:val="auto"/>
          <w:highlight w:val="none"/>
        </w:rPr>
      </w:pPr>
      <w:bookmarkStart w:id="541" w:name="_Toc523308122"/>
      <w:bookmarkStart w:id="542" w:name="_Toc524082922"/>
      <w:bookmarkStart w:id="543" w:name="_Toc436899121"/>
      <w:bookmarkStart w:id="544" w:name="_Toc526942529"/>
      <w:bookmarkStart w:id="545" w:name="_Toc520387446"/>
      <w:bookmarkStart w:id="546" w:name="_Toc503543621"/>
      <w:r>
        <w:rPr>
          <w:rFonts w:hint="eastAsia"/>
          <w:color w:val="auto"/>
          <w:highlight w:val="none"/>
        </w:rPr>
        <w:t>电气工程</w:t>
      </w:r>
      <w:bookmarkEnd w:id="541"/>
      <w:bookmarkEnd w:id="542"/>
      <w:bookmarkEnd w:id="543"/>
      <w:bookmarkEnd w:id="544"/>
      <w:bookmarkEnd w:id="545"/>
      <w:bookmarkEnd w:id="546"/>
    </w:p>
    <w:p w14:paraId="236EE8FD">
      <w:pPr>
        <w:pStyle w:val="6"/>
        <w:keepNext w:val="0"/>
        <w:keepLines w:val="0"/>
        <w:pageBreakBefore w:val="0"/>
        <w:widowControl w:val="0"/>
        <w:numPr>
          <w:ilvl w:val="3"/>
          <w:numId w:val="15"/>
        </w:numPr>
        <w:kinsoku/>
        <w:wordWrap/>
        <w:overflowPunct/>
        <w:topLinePunct w:val="0"/>
        <w:autoSpaceDE/>
        <w:autoSpaceDN/>
        <w:bidi w:val="0"/>
        <w:adjustRightInd/>
        <w:snapToGrid w:val="0"/>
        <w:spacing w:beforeLines="0" w:afterLines="0" w:line="360" w:lineRule="auto"/>
        <w:ind w:left="0" w:leftChars="0" w:firstLine="480" w:firstLineChars="200"/>
        <w:textAlignment w:val="auto"/>
        <w:rPr>
          <w:color w:val="auto"/>
          <w:highlight w:val="none"/>
        </w:rPr>
      </w:pPr>
      <w:r>
        <w:rPr>
          <w:rFonts w:hint="eastAsia"/>
          <w:color w:val="auto"/>
          <w:highlight w:val="none"/>
        </w:rPr>
        <w:t>电线导管安装</w:t>
      </w:r>
    </w:p>
    <w:p w14:paraId="4292A4D3">
      <w:pPr>
        <w:keepNext w:val="0"/>
        <w:keepLines w:val="0"/>
        <w:pageBreakBefore w:val="0"/>
        <w:widowControl w:val="0"/>
        <w:numPr>
          <w:ilvl w:val="0"/>
          <w:numId w:val="45"/>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eastAsia="宋体"/>
          <w:bCs/>
          <w:color w:val="auto"/>
          <w:highlight w:val="none"/>
        </w:rPr>
      </w:pPr>
      <w:r>
        <w:rPr>
          <w:rFonts w:hint="eastAsia" w:eastAsia="宋体"/>
          <w:bCs/>
          <w:color w:val="auto"/>
          <w:highlight w:val="none"/>
        </w:rPr>
        <w:t>材料要求</w:t>
      </w:r>
    </w:p>
    <w:p w14:paraId="3A6C7F20">
      <w:pPr>
        <w:keepNext w:val="0"/>
        <w:keepLines w:val="0"/>
        <w:pageBreakBefore w:val="0"/>
        <w:widowControl w:val="0"/>
        <w:numPr>
          <w:ilvl w:val="0"/>
          <w:numId w:val="46"/>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钢管：内外表面热镀锌处理，镀层完整，内焊缝应平滑、圆顺，钢管无压扁。</w:t>
      </w:r>
    </w:p>
    <w:p w14:paraId="401CFAC0">
      <w:pPr>
        <w:keepNext w:val="0"/>
        <w:keepLines w:val="0"/>
        <w:pageBreakBefore w:val="0"/>
        <w:widowControl w:val="0"/>
        <w:numPr>
          <w:ilvl w:val="0"/>
          <w:numId w:val="46"/>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管箍：使用通丝管箍，丝扣清晰，不乱扣，镀锌层完整无脱落、无劈裂。</w:t>
      </w:r>
    </w:p>
    <w:p w14:paraId="7C0E1BC6">
      <w:pPr>
        <w:keepNext w:val="0"/>
        <w:keepLines w:val="0"/>
        <w:pageBreakBefore w:val="0"/>
        <w:widowControl w:val="0"/>
        <w:numPr>
          <w:ilvl w:val="0"/>
          <w:numId w:val="46"/>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锁紧螺母：外形完好无损，丝扣清晰。</w:t>
      </w:r>
    </w:p>
    <w:p w14:paraId="71D89EAF">
      <w:pPr>
        <w:keepNext w:val="0"/>
        <w:keepLines w:val="0"/>
        <w:pageBreakBefore w:val="0"/>
        <w:widowControl w:val="0"/>
        <w:numPr>
          <w:ilvl w:val="0"/>
          <w:numId w:val="46"/>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护口：使用专用护口，护口要完整无损。</w:t>
      </w:r>
    </w:p>
    <w:p w14:paraId="143D300C">
      <w:pPr>
        <w:keepNext w:val="0"/>
        <w:keepLines w:val="0"/>
        <w:pageBreakBefore w:val="0"/>
        <w:widowControl w:val="0"/>
        <w:numPr>
          <w:ilvl w:val="0"/>
          <w:numId w:val="46"/>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接线盒：盒板厚度符合规范要求，接线盒底部有接地螺丝及接地标志。</w:t>
      </w:r>
    </w:p>
    <w:p w14:paraId="4DA91048">
      <w:pPr>
        <w:keepNext w:val="0"/>
        <w:keepLines w:val="0"/>
        <w:pageBreakBefore w:val="0"/>
        <w:widowControl w:val="0"/>
        <w:numPr>
          <w:ilvl w:val="0"/>
          <w:numId w:val="45"/>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eastAsia="宋体"/>
          <w:bCs/>
          <w:color w:val="auto"/>
          <w:highlight w:val="none"/>
        </w:rPr>
      </w:pPr>
      <w:r>
        <w:rPr>
          <w:rFonts w:hint="eastAsia" w:eastAsia="宋体"/>
          <w:bCs/>
          <w:color w:val="auto"/>
          <w:highlight w:val="none"/>
        </w:rPr>
        <w:t>管材及支吊架加工要求</w:t>
      </w:r>
    </w:p>
    <w:p w14:paraId="2679044C">
      <w:pPr>
        <w:keepNext w:val="0"/>
        <w:keepLines w:val="0"/>
        <w:pageBreakBefore w:val="0"/>
        <w:widowControl w:val="0"/>
        <w:numPr>
          <w:ilvl w:val="0"/>
          <w:numId w:val="47"/>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管道切割：应选用钢锯或砂轮切割机切管，切管的长度要测量准确。</w:t>
      </w:r>
    </w:p>
    <w:p w14:paraId="5740A3AF">
      <w:pPr>
        <w:keepNext w:val="0"/>
        <w:keepLines w:val="0"/>
        <w:pageBreakBefore w:val="0"/>
        <w:widowControl w:val="0"/>
        <w:numPr>
          <w:ilvl w:val="0"/>
          <w:numId w:val="47"/>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管道套丝：采用套丝板、套管机，根据管外径选择相应的板牙，将管子用台虎钳或压力钳固定，再把绞板套在管端，先慢慢用力，套上扣后再均匀用力。套丝时应及时用毛刷涂抹机油，保证丝扣完整不断扣、乱扣，用套管机套丝时，应注意随套随浇冷却液。</w:t>
      </w:r>
    </w:p>
    <w:p w14:paraId="3B2F778F">
      <w:pPr>
        <w:keepNext w:val="0"/>
        <w:keepLines w:val="0"/>
        <w:pageBreakBefore w:val="0"/>
        <w:widowControl w:val="0"/>
        <w:numPr>
          <w:ilvl w:val="0"/>
          <w:numId w:val="47"/>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管道弯曲：管径大于</w:t>
      </w:r>
      <w:r>
        <w:rPr>
          <w:bCs/>
          <w:color w:val="auto"/>
          <w:highlight w:val="none"/>
        </w:rPr>
        <w:t>32mm</w:t>
      </w:r>
      <w:r>
        <w:rPr>
          <w:rFonts w:hint="eastAsia"/>
          <w:bCs/>
          <w:color w:val="auto"/>
          <w:highlight w:val="none"/>
        </w:rPr>
        <w:t>的钢管须采用液压煨管机弯制，管径</w:t>
      </w:r>
      <w:r>
        <w:rPr>
          <w:bCs/>
          <w:color w:val="auto"/>
          <w:highlight w:val="none"/>
        </w:rPr>
        <w:t>25mm</w:t>
      </w:r>
      <w:r>
        <w:rPr>
          <w:rFonts w:hint="eastAsia"/>
          <w:bCs/>
          <w:color w:val="auto"/>
          <w:highlight w:val="none"/>
        </w:rPr>
        <w:t>以下的钢管采用手动煨管机弯制。钢管弯曲处不能出现凹凸和裂缝。</w:t>
      </w:r>
    </w:p>
    <w:p w14:paraId="18D10F98">
      <w:pPr>
        <w:keepNext w:val="0"/>
        <w:keepLines w:val="0"/>
        <w:pageBreakBefore w:val="0"/>
        <w:widowControl w:val="0"/>
        <w:numPr>
          <w:ilvl w:val="0"/>
          <w:numId w:val="47"/>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支吊架固定：固定点的间距应均匀，固定点与终端、转弯中点、电气器具或接线盒边缘的距离为</w:t>
      </w:r>
      <w:r>
        <w:rPr>
          <w:bCs/>
          <w:color w:val="auto"/>
          <w:highlight w:val="none"/>
        </w:rPr>
        <w:t>300mm</w:t>
      </w:r>
      <w:r>
        <w:rPr>
          <w:rFonts w:hint="eastAsia"/>
          <w:bCs/>
          <w:color w:val="auto"/>
          <w:highlight w:val="none"/>
        </w:rPr>
        <w:t>，固定点之间的最大距离应满足规范要求。</w:t>
      </w:r>
    </w:p>
    <w:p w14:paraId="1933D61D">
      <w:pPr>
        <w:keepNext w:val="0"/>
        <w:keepLines w:val="0"/>
        <w:pageBreakBefore w:val="0"/>
        <w:widowControl w:val="0"/>
        <w:numPr>
          <w:ilvl w:val="0"/>
          <w:numId w:val="47"/>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管路敷设：钢管采用丝扣连接，套丝后要对管口进行打磨、清扫，施工过程中要尽量减少弯头。电气管路敷设时有下列情况时须加装接线盒：直线段超过</w:t>
      </w:r>
      <w:r>
        <w:rPr>
          <w:bCs/>
          <w:color w:val="auto"/>
          <w:highlight w:val="none"/>
        </w:rPr>
        <w:t>30m</w:t>
      </w:r>
      <w:r>
        <w:rPr>
          <w:rFonts w:hint="eastAsia"/>
          <w:bCs/>
          <w:color w:val="auto"/>
          <w:highlight w:val="none"/>
        </w:rPr>
        <w:t>；有一个转弯且超过</w:t>
      </w:r>
      <w:r>
        <w:rPr>
          <w:bCs/>
          <w:color w:val="auto"/>
          <w:highlight w:val="none"/>
        </w:rPr>
        <w:t>20m</w:t>
      </w:r>
      <w:r>
        <w:rPr>
          <w:rFonts w:hint="eastAsia"/>
          <w:bCs/>
          <w:color w:val="auto"/>
          <w:highlight w:val="none"/>
        </w:rPr>
        <w:t>；有两个转弯且超过</w:t>
      </w:r>
      <w:r>
        <w:rPr>
          <w:bCs/>
          <w:color w:val="auto"/>
          <w:highlight w:val="none"/>
        </w:rPr>
        <w:t>15m</w:t>
      </w:r>
      <w:r>
        <w:rPr>
          <w:rFonts w:hint="eastAsia"/>
          <w:bCs/>
          <w:color w:val="auto"/>
          <w:highlight w:val="none"/>
        </w:rPr>
        <w:t>；有</w:t>
      </w:r>
      <w:r>
        <w:rPr>
          <w:bCs/>
          <w:color w:val="auto"/>
          <w:highlight w:val="none"/>
        </w:rPr>
        <w:t>3</w:t>
      </w:r>
      <w:r>
        <w:rPr>
          <w:rFonts w:hint="eastAsia"/>
          <w:bCs/>
          <w:color w:val="auto"/>
          <w:highlight w:val="none"/>
        </w:rPr>
        <w:t>个转弯且超过</w:t>
      </w:r>
      <w:r>
        <w:rPr>
          <w:bCs/>
          <w:color w:val="auto"/>
          <w:highlight w:val="none"/>
        </w:rPr>
        <w:t>8m</w:t>
      </w:r>
      <w:r>
        <w:rPr>
          <w:rFonts w:hint="eastAsia"/>
          <w:bCs/>
          <w:color w:val="auto"/>
          <w:highlight w:val="none"/>
        </w:rPr>
        <w:t>。钢管进出线盒处，用锁紧螺母固定牢固。管子进入箱盒螺纹应外露</w:t>
      </w:r>
      <w:r>
        <w:rPr>
          <w:bCs/>
          <w:color w:val="auto"/>
          <w:highlight w:val="none"/>
        </w:rPr>
        <w:t>2</w:t>
      </w:r>
      <w:r>
        <w:rPr>
          <w:rFonts w:hint="eastAsia"/>
          <w:bCs/>
          <w:color w:val="auto"/>
          <w:highlight w:val="none"/>
        </w:rPr>
        <w:t>～</w:t>
      </w:r>
      <w:r>
        <w:rPr>
          <w:bCs/>
          <w:color w:val="auto"/>
          <w:highlight w:val="none"/>
        </w:rPr>
        <w:t>3</w:t>
      </w:r>
      <w:r>
        <w:rPr>
          <w:rFonts w:hint="eastAsia"/>
          <w:bCs/>
          <w:color w:val="auto"/>
          <w:highlight w:val="none"/>
        </w:rPr>
        <w:t>扣，并且一孔一管，严禁将其它敲落孔敲掉。多根管子进入配电箱时，应排列整齐，进入箱内的管口高度一致。管路经金属软管引入设备时，金属软管的长度不得超过</w:t>
      </w:r>
      <w:r>
        <w:rPr>
          <w:bCs/>
          <w:color w:val="auto"/>
          <w:highlight w:val="none"/>
        </w:rPr>
        <w:t>0.8m</w:t>
      </w:r>
      <w:r>
        <w:rPr>
          <w:rFonts w:hint="eastAsia"/>
          <w:bCs/>
          <w:color w:val="auto"/>
          <w:highlight w:val="none"/>
        </w:rPr>
        <w:t>。</w:t>
      </w:r>
    </w:p>
    <w:p w14:paraId="07457E29">
      <w:pPr>
        <w:keepNext w:val="0"/>
        <w:keepLines w:val="0"/>
        <w:pageBreakBefore w:val="0"/>
        <w:widowControl w:val="0"/>
        <w:numPr>
          <w:ilvl w:val="0"/>
          <w:numId w:val="47"/>
        </w:numPr>
        <w:tabs>
          <w:tab w:val="left" w:pos="40"/>
        </w:tabs>
        <w:kinsoku/>
        <w:wordWrap/>
        <w:overflowPunct/>
        <w:topLinePunct w:val="0"/>
        <w:autoSpaceDE/>
        <w:autoSpaceDN/>
        <w:bidi w:val="0"/>
        <w:adjustRightInd/>
        <w:snapToGrid w:val="0"/>
        <w:spacing w:line="360" w:lineRule="auto"/>
        <w:ind w:left="0" w:firstLine="480"/>
        <w:jc w:val="left"/>
        <w:textAlignment w:val="auto"/>
        <w:rPr>
          <w:bCs/>
          <w:color w:val="auto"/>
          <w:highlight w:val="none"/>
        </w:rPr>
      </w:pPr>
      <w:r>
        <w:rPr>
          <w:rFonts w:hint="eastAsia"/>
          <w:bCs/>
          <w:color w:val="auto"/>
          <w:highlight w:val="none"/>
        </w:rPr>
        <w:t>管路接地：管路的接地采用接地卡与专用接地线。</w:t>
      </w:r>
    </w:p>
    <w:p w14:paraId="408EC0CE">
      <w:pPr>
        <w:keepNext w:val="0"/>
        <w:keepLines w:val="0"/>
        <w:pageBreakBefore w:val="0"/>
        <w:widowControl w:val="0"/>
        <w:numPr>
          <w:ilvl w:val="0"/>
          <w:numId w:val="47"/>
        </w:numPr>
        <w:tabs>
          <w:tab w:val="left" w:pos="40"/>
        </w:tabs>
        <w:kinsoku/>
        <w:wordWrap/>
        <w:overflowPunct/>
        <w:topLinePunct w:val="0"/>
        <w:autoSpaceDE/>
        <w:autoSpaceDN/>
        <w:bidi w:val="0"/>
        <w:adjustRightInd/>
        <w:snapToGrid w:val="0"/>
        <w:spacing w:line="360" w:lineRule="auto"/>
        <w:ind w:left="0" w:firstLine="480"/>
        <w:jc w:val="left"/>
        <w:textAlignment w:val="auto"/>
        <w:rPr>
          <w:bCs/>
          <w:color w:val="auto"/>
          <w:highlight w:val="none"/>
        </w:rPr>
      </w:pPr>
      <w:r>
        <w:rPr>
          <w:rFonts w:hint="eastAsia"/>
          <w:bCs/>
          <w:color w:val="auto"/>
          <w:highlight w:val="none"/>
        </w:rPr>
        <w:t>管路敷设方式：要求水平和垂直方向整齐排列，并以</w:t>
      </w:r>
      <w:r>
        <w:rPr>
          <w:bCs/>
          <w:color w:val="auto"/>
          <w:highlight w:val="none"/>
        </w:rPr>
        <w:t>U</w:t>
      </w:r>
      <w:r>
        <w:rPr>
          <w:rFonts w:hint="eastAsia"/>
          <w:bCs/>
          <w:color w:val="auto"/>
          <w:highlight w:val="none"/>
        </w:rPr>
        <w:t>型卡、鞍型夹予以牢固。固定间距不得超</w:t>
      </w:r>
      <w:r>
        <w:rPr>
          <w:bCs/>
          <w:color w:val="auto"/>
          <w:highlight w:val="none"/>
        </w:rPr>
        <w:t>1.2m</w:t>
      </w:r>
      <w:r>
        <w:rPr>
          <w:rFonts w:hint="eastAsia"/>
          <w:bCs/>
          <w:color w:val="auto"/>
          <w:highlight w:val="none"/>
        </w:rPr>
        <w:t>。</w:t>
      </w:r>
    </w:p>
    <w:p w14:paraId="611582A5">
      <w:pPr>
        <w:keepNext w:val="0"/>
        <w:keepLines w:val="0"/>
        <w:pageBreakBefore w:val="0"/>
        <w:widowControl w:val="0"/>
        <w:numPr>
          <w:ilvl w:val="0"/>
          <w:numId w:val="45"/>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bCs/>
          <w:color w:val="auto"/>
          <w:highlight w:val="none"/>
        </w:rPr>
      </w:pPr>
      <w:r>
        <w:rPr>
          <w:rFonts w:hint="eastAsia" w:ascii="宋体" w:hAnsi="宋体" w:eastAsia="宋体"/>
          <w:bCs/>
          <w:color w:val="auto"/>
          <w:highlight w:val="none"/>
        </w:rPr>
        <w:t>管路施工关键部位技术要求</w:t>
      </w:r>
    </w:p>
    <w:p w14:paraId="7C831AAB">
      <w:pPr>
        <w:keepNext w:val="0"/>
        <w:keepLines w:val="0"/>
        <w:pageBreakBefore w:val="0"/>
        <w:widowControl w:val="0"/>
        <w:numPr>
          <w:ilvl w:val="0"/>
          <w:numId w:val="48"/>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钢管与设备的连接：钢管与设备连接时，电线、电缆与设备的连接采用普利卡保护管。对室外或室内潮湿场所，则采用防水型普利卡保护管及防水型连接器。普利卡保护管与钢制电线管、各类箱盒的连接时，均应采用其配套的专用配件。</w:t>
      </w:r>
    </w:p>
    <w:p w14:paraId="37E8E712">
      <w:pPr>
        <w:keepNext w:val="0"/>
        <w:keepLines w:val="0"/>
        <w:pageBreakBefore w:val="0"/>
        <w:widowControl w:val="0"/>
        <w:numPr>
          <w:ilvl w:val="0"/>
          <w:numId w:val="48"/>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管道穿防火墙：电线管穿过防火墙时要采用防火封堵，管径大于</w:t>
      </w:r>
      <w:r>
        <w:rPr>
          <w:bCs/>
          <w:color w:val="auto"/>
          <w:highlight w:val="none"/>
        </w:rPr>
        <w:t>80</w:t>
      </w:r>
      <w:r>
        <w:rPr>
          <w:rFonts w:hint="eastAsia"/>
          <w:bCs/>
          <w:color w:val="auto"/>
          <w:highlight w:val="none"/>
        </w:rPr>
        <w:t>时，距墙</w:t>
      </w:r>
      <w:r>
        <w:rPr>
          <w:bCs/>
          <w:color w:val="auto"/>
          <w:highlight w:val="none"/>
        </w:rPr>
        <w:t>1m</w:t>
      </w:r>
      <w:r>
        <w:rPr>
          <w:rFonts w:hint="eastAsia"/>
          <w:bCs/>
          <w:color w:val="auto"/>
          <w:highlight w:val="none"/>
        </w:rPr>
        <w:t>内的钢管应外涂防火涂料。</w:t>
      </w:r>
    </w:p>
    <w:p w14:paraId="77CB76DA">
      <w:pPr>
        <w:pStyle w:val="6"/>
        <w:keepNext w:val="0"/>
        <w:keepLines w:val="0"/>
        <w:pageBreakBefore w:val="0"/>
        <w:widowControl w:val="0"/>
        <w:numPr>
          <w:ilvl w:val="3"/>
          <w:numId w:val="15"/>
        </w:numPr>
        <w:kinsoku/>
        <w:wordWrap/>
        <w:overflowPunct/>
        <w:topLinePunct w:val="0"/>
        <w:autoSpaceDE/>
        <w:autoSpaceDN/>
        <w:bidi w:val="0"/>
        <w:adjustRightInd/>
        <w:snapToGrid w:val="0"/>
        <w:spacing w:beforeLines="0" w:afterLines="0" w:line="360" w:lineRule="auto"/>
        <w:ind w:left="0" w:leftChars="0" w:firstLine="480" w:firstLineChars="200"/>
        <w:textAlignment w:val="auto"/>
        <w:rPr>
          <w:rFonts w:hint="eastAsia"/>
          <w:color w:val="auto"/>
          <w:highlight w:val="none"/>
        </w:rPr>
      </w:pPr>
      <w:r>
        <w:rPr>
          <w:rFonts w:hint="eastAsia"/>
          <w:color w:val="auto"/>
          <w:highlight w:val="none"/>
        </w:rPr>
        <w:t>管内穿线</w:t>
      </w:r>
    </w:p>
    <w:p w14:paraId="4BA52C57">
      <w:pPr>
        <w:keepNext w:val="0"/>
        <w:keepLines w:val="0"/>
        <w:pageBreakBefore w:val="0"/>
        <w:widowControl w:val="0"/>
        <w:numPr>
          <w:ilvl w:val="0"/>
          <w:numId w:val="49"/>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bCs/>
          <w:color w:val="auto"/>
          <w:highlight w:val="none"/>
        </w:rPr>
      </w:pPr>
      <w:r>
        <w:rPr>
          <w:rFonts w:hint="eastAsia" w:ascii="宋体" w:hAnsi="宋体" w:eastAsia="宋体"/>
          <w:bCs/>
          <w:color w:val="auto"/>
          <w:highlight w:val="none"/>
        </w:rPr>
        <w:t>材料要求</w:t>
      </w:r>
    </w:p>
    <w:p w14:paraId="506724BF">
      <w:pPr>
        <w:keepNext w:val="0"/>
        <w:keepLines w:val="0"/>
        <w:pageBreakBefore w:val="0"/>
        <w:widowControl w:val="0"/>
        <w:numPr>
          <w:ilvl w:val="0"/>
          <w:numId w:val="50"/>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绝缘导线：导线的型号、规格必须符合设计要求，并有产品出厂合格证；</w:t>
      </w:r>
    </w:p>
    <w:p w14:paraId="1CE38DF7">
      <w:pPr>
        <w:keepNext w:val="0"/>
        <w:keepLines w:val="0"/>
        <w:pageBreakBefore w:val="0"/>
        <w:widowControl w:val="0"/>
        <w:numPr>
          <w:ilvl w:val="0"/>
          <w:numId w:val="50"/>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镀锌铁丝或钢丝：应顺直无死弯、扭结等现象，并具有相应的机械拉力。</w:t>
      </w:r>
    </w:p>
    <w:p w14:paraId="0E1F7C34">
      <w:pPr>
        <w:keepNext w:val="0"/>
        <w:keepLines w:val="0"/>
        <w:pageBreakBefore w:val="0"/>
        <w:widowControl w:val="0"/>
        <w:numPr>
          <w:ilvl w:val="0"/>
          <w:numId w:val="49"/>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bCs/>
          <w:color w:val="auto"/>
          <w:highlight w:val="none"/>
        </w:rPr>
      </w:pPr>
      <w:r>
        <w:rPr>
          <w:rFonts w:hint="eastAsia" w:ascii="宋体" w:hAnsi="宋体" w:eastAsia="宋体"/>
          <w:bCs/>
          <w:color w:val="auto"/>
          <w:highlight w:val="none"/>
        </w:rPr>
        <w:t>管内穿线及连接要求</w:t>
      </w:r>
    </w:p>
    <w:p w14:paraId="26BF5164">
      <w:pPr>
        <w:keepNext w:val="0"/>
        <w:keepLines w:val="0"/>
        <w:pageBreakBefore w:val="0"/>
        <w:widowControl w:val="0"/>
        <w:numPr>
          <w:ilvl w:val="0"/>
          <w:numId w:val="51"/>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电线管在穿线前，应首先检查各个管口的护口，保证护口齐全完整。当管路较长或转弯较多时，在穿线前向管内吹入适量的滑石粉。穿线时，两端的工人应配合协调一致。导线连接接头不能增加电阻值，不能降低原机械强度及原绝缘强度。用接线钮连接线时</w:t>
      </w:r>
      <w:r>
        <w:rPr>
          <w:bCs/>
          <w:color w:val="auto"/>
          <w:highlight w:val="none"/>
        </w:rPr>
        <w:t>,6mm2</w:t>
      </w:r>
      <w:r>
        <w:rPr>
          <w:rFonts w:hint="eastAsia"/>
          <w:bCs/>
          <w:color w:val="auto"/>
          <w:highlight w:val="none"/>
        </w:rPr>
        <w:t>及以下的导线把外露的线芯对齐按顺时针方向拧绞，在线芯的</w:t>
      </w:r>
      <w:r>
        <w:rPr>
          <w:bCs/>
          <w:color w:val="auto"/>
          <w:highlight w:val="none"/>
        </w:rPr>
        <w:t>12mm</w:t>
      </w:r>
      <w:r>
        <w:rPr>
          <w:rFonts w:hint="eastAsia"/>
          <w:bCs/>
          <w:color w:val="auto"/>
          <w:highlight w:val="none"/>
        </w:rPr>
        <w:t>处剪去前端，然后选择相应的接线钮按顺时针方向拧紧。要把导线的绝缘部分拧入接线钮的上端护套内。</w:t>
      </w:r>
    </w:p>
    <w:p w14:paraId="1FBD2840">
      <w:pPr>
        <w:keepNext w:val="0"/>
        <w:keepLines w:val="0"/>
        <w:pageBreakBefore w:val="0"/>
        <w:widowControl w:val="0"/>
        <w:numPr>
          <w:ilvl w:val="0"/>
          <w:numId w:val="51"/>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线路检查及绝缘测试要求</w:t>
      </w:r>
    </w:p>
    <w:p w14:paraId="0009AF12">
      <w:pPr>
        <w:keepNext w:val="0"/>
        <w:keepLines w:val="0"/>
        <w:pageBreakBefore w:val="0"/>
        <w:widowControl w:val="0"/>
        <w:numPr>
          <w:ilvl w:val="0"/>
          <w:numId w:val="51"/>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穿线后，应按规范及质量验评标准进行自检互检，不符合规定时应立即纠正，检查导线的规格和根数，检查无误后再进行绝缘测试。设备未安装进行线路绝缘测试时，应将干线和支线分开，测试时应及时进行记录。设备全部安装送电前进行测试时，应先将线路的开关、仪表、设备等全部置于断开位置，绝缘测试无误后再进行送电试运行。绝缘电阻值应符合规范和设计的要求。</w:t>
      </w:r>
    </w:p>
    <w:p w14:paraId="54F07EB2">
      <w:pPr>
        <w:pStyle w:val="6"/>
        <w:keepNext w:val="0"/>
        <w:keepLines w:val="0"/>
        <w:pageBreakBefore w:val="0"/>
        <w:widowControl w:val="0"/>
        <w:numPr>
          <w:ilvl w:val="3"/>
          <w:numId w:val="15"/>
        </w:numPr>
        <w:kinsoku/>
        <w:wordWrap/>
        <w:overflowPunct/>
        <w:topLinePunct w:val="0"/>
        <w:autoSpaceDE/>
        <w:autoSpaceDN/>
        <w:bidi w:val="0"/>
        <w:adjustRightInd/>
        <w:snapToGrid w:val="0"/>
        <w:spacing w:beforeLines="0" w:afterLines="0" w:line="360" w:lineRule="auto"/>
        <w:ind w:left="0" w:leftChars="0" w:firstLine="480" w:firstLineChars="200"/>
        <w:textAlignment w:val="auto"/>
        <w:rPr>
          <w:rFonts w:hint="eastAsia"/>
          <w:color w:val="auto"/>
          <w:highlight w:val="none"/>
        </w:rPr>
      </w:pPr>
      <w:r>
        <w:rPr>
          <w:rFonts w:hint="eastAsia"/>
          <w:color w:val="auto"/>
          <w:highlight w:val="none"/>
        </w:rPr>
        <w:t>灯具、开关、插座安装</w:t>
      </w:r>
    </w:p>
    <w:p w14:paraId="0C4F57B8">
      <w:pPr>
        <w:keepNext w:val="0"/>
        <w:keepLines w:val="0"/>
        <w:pageBreakBefore w:val="0"/>
        <w:widowControl w:val="0"/>
        <w:numPr>
          <w:ilvl w:val="0"/>
          <w:numId w:val="52"/>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bCs/>
          <w:color w:val="auto"/>
          <w:highlight w:val="none"/>
        </w:rPr>
      </w:pPr>
      <w:r>
        <w:rPr>
          <w:rFonts w:hint="eastAsia" w:ascii="宋体" w:hAnsi="宋体" w:eastAsia="宋体"/>
          <w:bCs/>
          <w:color w:val="auto"/>
          <w:highlight w:val="none"/>
        </w:rPr>
        <w:t>灯具安装</w:t>
      </w:r>
    </w:p>
    <w:p w14:paraId="25B7367A">
      <w:pPr>
        <w:keepNext w:val="0"/>
        <w:keepLines w:val="0"/>
        <w:pageBreakBefore w:val="0"/>
        <w:widowControl w:val="0"/>
        <w:kinsoku/>
        <w:wordWrap/>
        <w:overflowPunct/>
        <w:topLinePunct w:val="0"/>
        <w:autoSpaceDE/>
        <w:autoSpaceDN/>
        <w:bidi w:val="0"/>
        <w:adjustRightInd/>
        <w:snapToGrid/>
        <w:spacing w:line="360" w:lineRule="auto"/>
        <w:ind w:firstLine="480"/>
        <w:jc w:val="left"/>
        <w:textAlignment w:val="auto"/>
        <w:rPr>
          <w:rFonts w:ascii="宋体" w:hAnsi="宋体" w:eastAsia="宋体"/>
          <w:color w:val="auto"/>
          <w:highlight w:val="none"/>
        </w:rPr>
      </w:pPr>
      <w:r>
        <w:rPr>
          <w:rFonts w:hint="eastAsia" w:ascii="宋体" w:hAnsi="宋体" w:eastAsia="宋体"/>
          <w:color w:val="auto"/>
          <w:highlight w:val="none"/>
        </w:rPr>
        <w:t>灯具安装前，必须检查灯具型号及外形有无破损，然后根据图纸上的尺寸对号安装。灯具安装必须牢固端正，位置正确，器具清洁干净，吊杆垂直。导线进入灯具的绝缘保护良好，留有适当余量，连接牢固、紧密，不伤线芯，灯具成排安装的中心线允许偏差5mm。灯具安装后不得再次喷浆，以防器具污染。</w:t>
      </w:r>
    </w:p>
    <w:p w14:paraId="75729469">
      <w:pPr>
        <w:keepNext w:val="0"/>
        <w:keepLines w:val="0"/>
        <w:pageBreakBefore w:val="0"/>
        <w:widowControl w:val="0"/>
        <w:numPr>
          <w:ilvl w:val="0"/>
          <w:numId w:val="52"/>
        </w:numPr>
        <w:tabs>
          <w:tab w:val="left" w:pos="900"/>
          <w:tab w:val="left" w:pos="1080"/>
        </w:tabs>
        <w:kinsoku/>
        <w:wordWrap/>
        <w:overflowPunct/>
        <w:topLinePunct w:val="0"/>
        <w:autoSpaceDE/>
        <w:autoSpaceDN/>
        <w:bidi w:val="0"/>
        <w:adjustRightInd/>
        <w:snapToGrid/>
        <w:spacing w:line="360" w:lineRule="auto"/>
        <w:ind w:firstLine="480"/>
        <w:jc w:val="left"/>
        <w:textAlignment w:val="auto"/>
        <w:rPr>
          <w:rFonts w:ascii="宋体" w:hAnsi="宋体" w:eastAsia="宋体"/>
          <w:bCs/>
          <w:color w:val="auto"/>
          <w:highlight w:val="none"/>
        </w:rPr>
      </w:pPr>
      <w:r>
        <w:rPr>
          <w:rFonts w:hint="eastAsia" w:ascii="宋体" w:hAnsi="宋体" w:eastAsia="宋体"/>
          <w:bCs/>
          <w:color w:val="auto"/>
          <w:highlight w:val="none"/>
        </w:rPr>
        <w:t>开关、插座安装</w:t>
      </w:r>
    </w:p>
    <w:p w14:paraId="794C9067">
      <w:pPr>
        <w:keepNext w:val="0"/>
        <w:keepLines w:val="0"/>
        <w:pageBreakBefore w:val="0"/>
        <w:widowControl w:val="0"/>
        <w:numPr>
          <w:ilvl w:val="0"/>
          <w:numId w:val="53"/>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插座及开关等的安装须格外注意观感质量，标高位置要正确可靠，接线盒子内清洁、无杂物，表面清洁、不变形，开关盖板紧贴建筑物的表面。</w:t>
      </w:r>
    </w:p>
    <w:p w14:paraId="559571DA">
      <w:pPr>
        <w:keepNext w:val="0"/>
        <w:keepLines w:val="0"/>
        <w:pageBreakBefore w:val="0"/>
        <w:widowControl w:val="0"/>
        <w:numPr>
          <w:ilvl w:val="0"/>
          <w:numId w:val="53"/>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开关、插座的底板和暗装开关、插座的面板并列安装时，开关、插座的高度差应小于</w:t>
      </w:r>
      <w:r>
        <w:rPr>
          <w:bCs/>
          <w:color w:val="auto"/>
          <w:highlight w:val="none"/>
        </w:rPr>
        <w:t>0.5mm</w:t>
      </w:r>
      <w:r>
        <w:rPr>
          <w:rFonts w:hint="eastAsia"/>
          <w:bCs/>
          <w:color w:val="auto"/>
          <w:highlight w:val="none"/>
        </w:rPr>
        <w:t>，面板的垂直度小于</w:t>
      </w:r>
      <w:r>
        <w:rPr>
          <w:bCs/>
          <w:color w:val="auto"/>
          <w:highlight w:val="none"/>
        </w:rPr>
        <w:t>0.5mm</w:t>
      </w:r>
      <w:r>
        <w:rPr>
          <w:rFonts w:hint="eastAsia"/>
          <w:bCs/>
          <w:color w:val="auto"/>
          <w:highlight w:val="none"/>
        </w:rPr>
        <w:t>。同一场合的开关或插座高度差小于</w:t>
      </w:r>
      <w:r>
        <w:rPr>
          <w:bCs/>
          <w:color w:val="auto"/>
          <w:highlight w:val="none"/>
        </w:rPr>
        <w:t>5mm</w:t>
      </w:r>
      <w:r>
        <w:rPr>
          <w:rFonts w:hint="eastAsia"/>
          <w:bCs/>
          <w:color w:val="auto"/>
          <w:highlight w:val="none"/>
        </w:rPr>
        <w:t>。</w:t>
      </w:r>
    </w:p>
    <w:p w14:paraId="357D1DF3">
      <w:pPr>
        <w:keepNext w:val="0"/>
        <w:keepLines w:val="0"/>
        <w:pageBreakBefore w:val="0"/>
        <w:widowControl w:val="0"/>
        <w:numPr>
          <w:ilvl w:val="0"/>
          <w:numId w:val="53"/>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接线时，应注意区分相线、零线及保护地线，不得混乱。相线经开关关断。</w:t>
      </w:r>
    </w:p>
    <w:p w14:paraId="2BF1FBCF">
      <w:pPr>
        <w:keepNext w:val="0"/>
        <w:keepLines w:val="0"/>
        <w:pageBreakBefore w:val="0"/>
        <w:widowControl w:val="0"/>
        <w:numPr>
          <w:ilvl w:val="0"/>
          <w:numId w:val="53"/>
        </w:numPr>
        <w:tabs>
          <w:tab w:val="left" w:pos="40"/>
        </w:tabs>
        <w:kinsoku/>
        <w:wordWrap/>
        <w:overflowPunct/>
        <w:topLinePunct w:val="0"/>
        <w:autoSpaceDE/>
        <w:autoSpaceDN/>
        <w:bidi w:val="0"/>
        <w:adjustRightInd/>
        <w:spacing w:line="360" w:lineRule="auto"/>
        <w:ind w:left="0" w:firstLine="480"/>
        <w:jc w:val="left"/>
        <w:textAlignment w:val="auto"/>
        <w:rPr>
          <w:bCs/>
          <w:color w:val="auto"/>
          <w:highlight w:val="none"/>
        </w:rPr>
      </w:pPr>
      <w:r>
        <w:rPr>
          <w:rFonts w:hint="eastAsia"/>
          <w:bCs/>
          <w:color w:val="auto"/>
          <w:highlight w:val="none"/>
        </w:rPr>
        <w:t>单相两孔插座接线应注意“左零右火、下零上火”。插座的接地端子不与零线端子连接。同一场所的三相插座，接线的相序应一致。</w:t>
      </w:r>
    </w:p>
    <w:bookmarkEnd w:id="535"/>
    <w:p w14:paraId="77AB7E0D">
      <w:pPr>
        <w:pStyle w:val="4"/>
        <w:keepNext w:val="0"/>
        <w:keepLines w:val="0"/>
        <w:pageBreakBefore w:val="0"/>
        <w:widowControl w:val="0"/>
        <w:numPr>
          <w:ilvl w:val="1"/>
          <w:numId w:val="15"/>
        </w:numPr>
        <w:kinsoku/>
        <w:wordWrap/>
        <w:overflowPunct/>
        <w:topLinePunct w:val="0"/>
        <w:autoSpaceDE/>
        <w:autoSpaceDN/>
        <w:bidi w:val="0"/>
        <w:adjustRightInd/>
        <w:textAlignment w:val="auto"/>
        <w:rPr>
          <w:color w:val="auto"/>
          <w:highlight w:val="none"/>
        </w:rPr>
      </w:pPr>
      <w:bookmarkStart w:id="547" w:name="_Toc153907605"/>
      <w:bookmarkStart w:id="548" w:name="_Toc25310"/>
      <w:bookmarkStart w:id="549" w:name="_Toc7801"/>
      <w:r>
        <w:rPr>
          <w:rFonts w:hint="eastAsia"/>
          <w:color w:val="auto"/>
          <w:highlight w:val="none"/>
        </w:rPr>
        <w:t>格栅面层吊顶施工技术要求</w:t>
      </w:r>
      <w:bookmarkEnd w:id="547"/>
      <w:bookmarkEnd w:id="548"/>
      <w:bookmarkEnd w:id="549"/>
    </w:p>
    <w:p w14:paraId="708F317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吊顶标高、尺寸、起拱和造型应符合设计要求。</w:t>
      </w:r>
    </w:p>
    <w:p w14:paraId="065CA467">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格栅板的材质、品种、式样、规格、图案、颜色和造型尺寸必须符合设计要求。</w:t>
      </w:r>
    </w:p>
    <w:p w14:paraId="383E48D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吊杆、龙骨和格栅板的安装必须稳固、严密、无松动。</w:t>
      </w:r>
    </w:p>
    <w:p w14:paraId="4144D661">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吊杆、龙骨的材质、规痞、安装间距及连接方式应符合设计及规范要求。金属吊杆、龙骨应经过防锈或防腐处理；木吊杆、龙骨应进行防火、防腐处理。</w:t>
      </w:r>
    </w:p>
    <w:p w14:paraId="1F2D0E8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格栅板表面应洁净、色泽一致，不得有扭曲、变形及划伤，镀膜完好、无脱层。格栅板接头、接缝形式应符合设计要求，无错台、错位现象，接口位置错落有序，排列顺直、方正、美观。</w:t>
      </w:r>
    </w:p>
    <w:p w14:paraId="3DBBC175">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格栅吊顶上的灯具、烟感器、喷淋头、风口箅子等设备的位置应合理、美观，与格栅板的交接应吻合。异形板排放位置合理、美观，套割尺寸准确，边缘整齐，不露缝。</w:t>
      </w:r>
    </w:p>
    <w:p w14:paraId="1A6DF82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金属吊杆、龙骨的接缝应均匀一致，角缝应吻合，表面应平整，无翘曲、锤印，颜色一致，不得有划伤、擦伤等表面缺陷。</w:t>
      </w:r>
    </w:p>
    <w:p w14:paraId="5065B66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收边条的材质、规格、安装方式应符合设计要求，安装应顺直。分格、分块缝应宽窄一致。</w:t>
      </w:r>
    </w:p>
    <w:p w14:paraId="16A14A90">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允许偏差及检验方法如下</w:t>
      </w:r>
      <w:r>
        <w:rPr>
          <w:rFonts w:hint="eastAsia"/>
          <w:color w:val="auto"/>
          <w:highlight w:val="none"/>
          <w:lang w:val="en-US" w:eastAsia="zh-CN"/>
        </w:rPr>
        <w:t>:</w:t>
      </w:r>
    </w:p>
    <w:p w14:paraId="7FC76144">
      <w:pPr>
        <w:keepNext w:val="0"/>
        <w:keepLines w:val="0"/>
        <w:pageBreakBefore w:val="0"/>
        <w:widowControl w:val="0"/>
        <w:kinsoku/>
        <w:wordWrap/>
        <w:overflowPunct/>
        <w:topLinePunct w:val="0"/>
        <w:autoSpaceDE/>
        <w:autoSpaceDN/>
        <w:bidi w:val="0"/>
        <w:ind w:firstLine="480"/>
        <w:jc w:val="left"/>
        <w:rPr>
          <w:rFonts w:ascii="宋体" w:hAnsi="宋体" w:eastAsia="宋体" w:cs="宋体"/>
          <w:color w:val="auto"/>
          <w:kern w:val="0"/>
          <w:highlight w:val="none"/>
          <w:lang w:bidi="ar"/>
        </w:rPr>
      </w:pPr>
      <w:r>
        <w:rPr>
          <w:rFonts w:hint="eastAsia" w:ascii="宋体" w:hAnsi="宋体" w:eastAsia="宋体" w:cs="宋体"/>
          <w:color w:val="auto"/>
          <w:highlight w:val="none"/>
        </w:rPr>
        <w:drawing>
          <wp:inline distT="0" distB="0" distL="114300" distR="114300">
            <wp:extent cx="5377815" cy="3157220"/>
            <wp:effectExtent l="0" t="0" r="381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5"/>
                    <a:stretch>
                      <a:fillRect/>
                    </a:stretch>
                  </pic:blipFill>
                  <pic:spPr>
                    <a:xfrm>
                      <a:off x="0" y="0"/>
                      <a:ext cx="5377815" cy="3157220"/>
                    </a:xfrm>
                    <a:prstGeom prst="rect">
                      <a:avLst/>
                    </a:prstGeom>
                    <a:noFill/>
                    <a:ln>
                      <a:noFill/>
                    </a:ln>
                  </pic:spPr>
                </pic:pic>
              </a:graphicData>
            </a:graphic>
          </wp:inline>
        </w:drawing>
      </w:r>
    </w:p>
    <w:p w14:paraId="5B865574">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550" w:name="_Toc153907606"/>
      <w:bookmarkStart w:id="551" w:name="_Toc21192"/>
      <w:bookmarkStart w:id="552" w:name="_Toc15857"/>
      <w:r>
        <w:rPr>
          <w:rFonts w:hint="eastAsia"/>
          <w:color w:val="auto"/>
          <w:highlight w:val="none"/>
        </w:rPr>
        <w:t>地胶施工技术要求</w:t>
      </w:r>
      <w:bookmarkEnd w:id="550"/>
      <w:bookmarkEnd w:id="551"/>
      <w:bookmarkEnd w:id="552"/>
    </w:p>
    <w:p w14:paraId="32427FB2">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default"/>
          <w:color w:val="auto"/>
          <w:highlight w:val="none"/>
          <w:lang w:val="en-US" w:eastAsia="zh-CN"/>
        </w:rPr>
      </w:pPr>
      <w:r>
        <w:rPr>
          <w:rFonts w:hint="eastAsia"/>
          <w:color w:val="auto"/>
          <w:highlight w:val="none"/>
          <w:lang w:val="en-US" w:eastAsia="zh-CN"/>
        </w:rPr>
        <w:t>基本要求</w:t>
      </w:r>
    </w:p>
    <w:p w14:paraId="1C7C9F3A">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地胶的品种、规格、颜色、等级必须符合设计要求和国家现行有关标准规定，面料与粘接料应配套；</w:t>
      </w:r>
    </w:p>
    <w:p w14:paraId="6BE1486C">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地胶的表面应整洁平顺，图案清晰，颜色均匀一致。不得出现黑边、破边、凹凸不平等缺陷。</w:t>
      </w:r>
    </w:p>
    <w:p w14:paraId="55AD2984">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进场的地胶、粘接剂、界面剂等必须按照国家标准和设计要求，有出厂证明和复试合格报告。地胶的甲醛含量不得超过国家相关标准。</w:t>
      </w:r>
    </w:p>
    <w:p w14:paraId="2DC5B9F6">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材料进场若不立即施工则应存放在仓库，堆放在平整、干燥的地方。注意防火和防止腐蚀性物质污染。施工时先在施工区域存放24小时以上，使材料记忆性还原，温度与施工现场一致。</w:t>
      </w:r>
    </w:p>
    <w:p w14:paraId="3C716390">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室内及地表温度以15℃为宜，不应在5℃以下及0℃以上施工。宜于施工的相对空气湿度应界于20％-75％之间。基层的含水率应小于3％。</w:t>
      </w:r>
    </w:p>
    <w:p w14:paraId="6BC26CD0">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基层的强度不应低于C20混凝土强度的要求，表面硬度不低于1.2兆帕。否则应采用适合的自流平来加强强度。基层的平整度应小于2毫米否则应采用适合的自流平进行找平。</w:t>
      </w:r>
    </w:p>
    <w:p w14:paraId="72F78C6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val="en-US" w:eastAsia="zh-CN"/>
        </w:rPr>
      </w:pPr>
      <w:r>
        <w:rPr>
          <w:rFonts w:hint="eastAsia"/>
          <w:color w:val="auto"/>
          <w:highlight w:val="none"/>
          <w:lang w:val="en-US" w:eastAsia="zh-CN"/>
        </w:rPr>
        <w:t>地坪处理</w:t>
      </w:r>
    </w:p>
    <w:p w14:paraId="121A9765">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采用1000瓦以上的地坪打磨机配适当的磨片对地坪进行整体打磨，除去油漆，胶水等残留物，凸起和疏松的地块，有空鼓的地块也必须去除。</w:t>
      </w:r>
    </w:p>
    <w:p w14:paraId="5FA1115F">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用不小于2000瓦的工业吸尘器对地坪进行吸尘清洁。</w:t>
      </w:r>
    </w:p>
    <w:p w14:paraId="1D0DFCCE">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对于地坪上的裂缝</w:t>
      </w:r>
      <w:r>
        <w:rPr>
          <w:rFonts w:hint="eastAsia"/>
          <w:color w:val="auto"/>
          <w:highlight w:val="none"/>
          <w:lang w:eastAsia="zh-CN"/>
        </w:rPr>
        <w:t>，</w:t>
      </w:r>
      <w:r>
        <w:rPr>
          <w:rFonts w:hint="eastAsia"/>
          <w:color w:val="auto"/>
          <w:highlight w:val="none"/>
        </w:rPr>
        <w:t>可采用不锈钢加强筋以及聚氨脂防水型粘合剂表面铺石英砂进行修补。</w:t>
      </w:r>
    </w:p>
    <w:p w14:paraId="58B55060">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val="en-US" w:eastAsia="zh-CN"/>
        </w:rPr>
      </w:pPr>
      <w:r>
        <w:rPr>
          <w:rFonts w:hint="eastAsia"/>
          <w:color w:val="auto"/>
          <w:highlight w:val="none"/>
          <w:lang w:val="en-US" w:eastAsia="zh-CN"/>
        </w:rPr>
        <w:t>地胶预铺</w:t>
      </w:r>
    </w:p>
    <w:p w14:paraId="65923972">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地胶应于现场放置24小时以上，使材料记忆性还原，温度与施工现场一致。</w:t>
      </w:r>
    </w:p>
    <w:p w14:paraId="7052D64D">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使用专用的修边器对卷材的毛边进行切割清理。</w:t>
      </w:r>
    </w:p>
    <w:p w14:paraId="688E2840">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卷材铺设时，两块材料的搭接处应采用重叠切割，一般是要求重叠3米，注意保持一刀割断</w:t>
      </w:r>
    </w:p>
    <w:p w14:paraId="1E3DC29B">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val="en-US" w:eastAsia="zh-CN"/>
        </w:rPr>
      </w:pPr>
      <w:r>
        <w:rPr>
          <w:rFonts w:hint="eastAsia"/>
          <w:color w:val="auto"/>
          <w:highlight w:val="none"/>
          <w:lang w:val="en-US" w:eastAsia="zh-CN"/>
        </w:rPr>
        <w:t>墙面画垂线</w:t>
      </w:r>
    </w:p>
    <w:p w14:paraId="422E6EF7">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选择适合PVC地板的相应胶水及刮胶板。</w:t>
      </w:r>
    </w:p>
    <w:p w14:paraId="7CEC509F">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卷材铺贴时，卷起整块预铺地板到一半，倒适量胶水于地面，用刮胶板均匀刮开。</w:t>
      </w:r>
    </w:p>
    <w:p w14:paraId="49AB2EF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块材铺贴时，请将块材从中间向两边翻起，同样将地面及地板背面清洁后上胶粘贴。胶不黏手后铺开卷起的地板，用软木板刮平推实。铺好后，再卷起另一半刮胶铺设。</w:t>
      </w:r>
    </w:p>
    <w:p w14:paraId="46C5786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val="en-US" w:eastAsia="zh-CN"/>
        </w:rPr>
      </w:pPr>
      <w:r>
        <w:rPr>
          <w:rFonts w:hint="eastAsia"/>
          <w:color w:val="auto"/>
          <w:highlight w:val="none"/>
          <w:lang w:val="en-US" w:eastAsia="zh-CN"/>
        </w:rPr>
        <w:t>辊压、排气</w:t>
      </w:r>
    </w:p>
    <w:p w14:paraId="26DBFD73">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地板粘贴后，先用软木块推压地板表面进行平整并挤出空气。随后用50或75公斤的钢压辊均匀滚压地板并及时修整拼接处翘边的情况。</w:t>
      </w:r>
    </w:p>
    <w:p w14:paraId="5BA1E19F">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地板表面多余的胶水应及时擦去。24小时后，再进行开槽和焊缝</w:t>
      </w:r>
    </w:p>
    <w:p w14:paraId="2D0BA9E8">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val="en-US" w:eastAsia="zh-CN"/>
        </w:rPr>
      </w:pPr>
      <w:r>
        <w:rPr>
          <w:rFonts w:hint="eastAsia"/>
          <w:color w:val="auto"/>
          <w:highlight w:val="none"/>
          <w:lang w:val="en-US" w:eastAsia="zh-CN"/>
        </w:rPr>
        <w:t>开缝</w:t>
      </w:r>
    </w:p>
    <w:p w14:paraId="6B8906BE">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开槽必须在胶水完全固化后进行。使用专用的开槽器沿接缝处进行开槽，为使焊接牢固，开缝不应透底，建议开槽深度为地板厚度的2/3。</w:t>
      </w:r>
    </w:p>
    <w:p w14:paraId="516DDF1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在开缝器无法开刀的末端部位，请使用手动开缝器以同样的深度和宽度开缝。</w:t>
      </w:r>
    </w:p>
    <w:p w14:paraId="3AE21105">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焊缝之前，须清除槽内残留的灰尘和碎料。</w:t>
      </w:r>
    </w:p>
    <w:p w14:paraId="5F03BCFC">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val="en-US" w:eastAsia="zh-CN"/>
        </w:rPr>
      </w:pPr>
      <w:r>
        <w:rPr>
          <w:rFonts w:hint="eastAsia"/>
          <w:color w:val="auto"/>
          <w:highlight w:val="none"/>
          <w:lang w:val="en-US" w:eastAsia="zh-CN"/>
        </w:rPr>
        <w:t>焊缝</w:t>
      </w:r>
    </w:p>
    <w:p w14:paraId="152460E6">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选用手工焊枪或自动焊接设备进行焊缝。焊枪的温度应设置于约350度左右。</w:t>
      </w:r>
    </w:p>
    <w:p w14:paraId="0FE3EF5E">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以适当的焊接速度（保证焊条熔化），匀速地将焊条挤压入开好的槽中。</w:t>
      </w:r>
    </w:p>
    <w:p w14:paraId="616D7C0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在焊条半冷却时，用焊条修平器或月型割刀将焊条高于地板平面的部分大体割去。当焊条完全冷却后，再使用焊条修平器或月型割刀把焊条余下的凸起部分割去</w:t>
      </w:r>
      <w:r>
        <w:rPr>
          <w:rFonts w:hint="eastAsia"/>
          <w:color w:val="auto"/>
          <w:highlight w:val="none"/>
          <w:lang w:eastAsia="zh-CN"/>
        </w:rPr>
        <w:t>。</w:t>
      </w:r>
    </w:p>
    <w:p w14:paraId="3D8579D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val="en-US" w:eastAsia="zh-CN"/>
        </w:rPr>
      </w:pPr>
      <w:r>
        <w:rPr>
          <w:rFonts w:hint="eastAsia"/>
          <w:color w:val="auto"/>
          <w:highlight w:val="none"/>
          <w:lang w:val="en-US" w:eastAsia="zh-CN"/>
        </w:rPr>
        <w:t>清洁、保养</w:t>
      </w:r>
    </w:p>
    <w:p w14:paraId="1072F8FD">
      <w:pPr>
        <w:keepNext w:val="0"/>
        <w:keepLines w:val="0"/>
        <w:pageBreakBefore w:val="0"/>
        <w:widowControl w:val="0"/>
        <w:tabs>
          <w:tab w:val="left" w:pos="40"/>
        </w:tabs>
        <w:kinsoku/>
        <w:wordWrap/>
        <w:overflowPunct/>
        <w:topLinePunct w:val="0"/>
        <w:autoSpaceDE/>
        <w:autoSpaceDN/>
        <w:bidi w:val="0"/>
        <w:ind w:firstLine="480"/>
        <w:jc w:val="left"/>
        <w:rPr>
          <w:bCs/>
          <w:color w:val="auto"/>
          <w:highlight w:val="none"/>
        </w:rPr>
      </w:pPr>
      <w:r>
        <w:rPr>
          <w:rFonts w:hint="eastAsia"/>
          <w:bCs/>
          <w:color w:val="auto"/>
          <w:highlight w:val="none"/>
        </w:rPr>
        <w:t>选用相应的清洁剂进行定期的清洁保养。避免甲苯，香蕉水之类的高浓度溶剂及强酸，强碱溶液倾倒于地板表面，应避免使用不适当的工具和锐器刮铲或损伤地板表面。</w:t>
      </w:r>
    </w:p>
    <w:p w14:paraId="7F8FFFB1">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val="en-US" w:eastAsia="zh-CN"/>
        </w:rPr>
      </w:pPr>
      <w:r>
        <w:rPr>
          <w:rFonts w:hint="eastAsia"/>
          <w:color w:val="auto"/>
          <w:highlight w:val="none"/>
          <w:lang w:val="en-US" w:eastAsia="zh-CN"/>
        </w:rPr>
        <w:t>质量标准</w:t>
      </w:r>
    </w:p>
    <w:p w14:paraId="36B88EDF">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面层与基层采用粘接法施工，粘结必须牢固，不翘边，不脱胶，粘接无溢胶</w:t>
      </w:r>
      <w:r>
        <w:rPr>
          <w:rFonts w:hint="eastAsia"/>
          <w:color w:val="auto"/>
          <w:highlight w:val="none"/>
          <w:lang w:eastAsia="zh-CN"/>
        </w:rPr>
        <w:t>。</w:t>
      </w:r>
    </w:p>
    <w:p w14:paraId="45DC309E">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表面洁净，图案清晰，色泽一致，接缝严密顺直美观，拼缝处的图案、花纹吻合，无胶痕，与墙边交接严密，阴阳角收边方正。</w:t>
      </w:r>
    </w:p>
    <w:p w14:paraId="35D88DA6">
      <w:pPr>
        <w:keepNext w:val="0"/>
        <w:keepLines w:val="0"/>
        <w:pageBreakBefore w:val="0"/>
        <w:widowControl w:val="0"/>
        <w:tabs>
          <w:tab w:val="left" w:pos="0"/>
        </w:tabs>
        <w:kinsoku/>
        <w:wordWrap/>
        <w:overflowPunct/>
        <w:topLinePunct w:val="0"/>
        <w:autoSpaceDE/>
        <w:autoSpaceDN/>
        <w:bidi w:val="0"/>
        <w:ind w:left="-5" w:firstLine="0" w:firstLineChars="0"/>
        <w:jc w:val="center"/>
        <w:rPr>
          <w:rFonts w:hint="eastAsia"/>
          <w:color w:val="auto"/>
          <w:highlight w:val="none"/>
          <w:lang w:val="en-US" w:eastAsia="zh-CN"/>
        </w:rPr>
      </w:pPr>
      <w:r>
        <w:rPr>
          <w:rFonts w:hint="eastAsia"/>
          <w:color w:val="auto"/>
          <w:highlight w:val="none"/>
          <w:lang w:val="en-US" w:eastAsia="zh-CN"/>
        </w:rPr>
        <w:t>允许偏差及检验方法如下</w:t>
      </w:r>
    </w:p>
    <w:p w14:paraId="5AB055B3">
      <w:pPr>
        <w:keepNext w:val="0"/>
        <w:keepLines w:val="0"/>
        <w:pageBreakBefore w:val="0"/>
        <w:widowControl w:val="0"/>
        <w:tabs>
          <w:tab w:val="left" w:pos="0"/>
        </w:tabs>
        <w:kinsoku/>
        <w:wordWrap/>
        <w:overflowPunct/>
        <w:topLinePunct w:val="0"/>
        <w:autoSpaceDE/>
        <w:autoSpaceDN/>
        <w:bidi w:val="0"/>
        <w:ind w:left="-5" w:firstLine="0" w:firstLineChars="0"/>
        <w:jc w:val="center"/>
        <w:rPr>
          <w:rFonts w:ascii="宋体" w:hAnsi="宋体" w:eastAsia="宋体" w:cs="宋体"/>
          <w:color w:val="auto"/>
          <w:highlight w:val="none"/>
        </w:rPr>
      </w:pPr>
      <w:r>
        <w:rPr>
          <w:rFonts w:hint="eastAsia" w:ascii="宋体" w:hAnsi="宋体" w:eastAsia="宋体" w:cs="宋体"/>
          <w:color w:val="auto"/>
          <w:highlight w:val="none"/>
        </w:rPr>
        <w:drawing>
          <wp:inline distT="0" distB="0" distL="114300" distR="114300">
            <wp:extent cx="5272405" cy="1654810"/>
            <wp:effectExtent l="0" t="0" r="4445"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6"/>
                    <a:stretch>
                      <a:fillRect/>
                    </a:stretch>
                  </pic:blipFill>
                  <pic:spPr>
                    <a:xfrm>
                      <a:off x="0" y="0"/>
                      <a:ext cx="5272405" cy="1654810"/>
                    </a:xfrm>
                    <a:prstGeom prst="rect">
                      <a:avLst/>
                    </a:prstGeom>
                    <a:noFill/>
                    <a:ln>
                      <a:noFill/>
                    </a:ln>
                  </pic:spPr>
                </pic:pic>
              </a:graphicData>
            </a:graphic>
          </wp:inline>
        </w:drawing>
      </w:r>
    </w:p>
    <w:p w14:paraId="7B14824D">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553" w:name="_Toc14071"/>
      <w:bookmarkStart w:id="554" w:name="_Toc4240"/>
      <w:bookmarkStart w:id="555" w:name="_Toc153907609"/>
      <w:r>
        <w:rPr>
          <w:rFonts w:hint="eastAsia"/>
          <w:color w:val="auto"/>
          <w:highlight w:val="none"/>
          <w:lang w:val="en-US" w:eastAsia="zh-CN"/>
        </w:rPr>
        <w:t>入户门工程</w:t>
      </w:r>
      <w:bookmarkEnd w:id="553"/>
      <w:bookmarkEnd w:id="554"/>
    </w:p>
    <w:p w14:paraId="6480EE0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门框进入施工现场必须检查验收；</w:t>
      </w:r>
    </w:p>
    <w:p w14:paraId="6C6AD9E5">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应确认安装位置及连接方式符合设计要求；应根据门厂技术交底结果，验收安装门洞尺寸并向门厂移交；在进场安装门框时，检查其必须符合图纸要求的型号及尺寸，并注意门扇的开启方向；</w:t>
      </w:r>
    </w:p>
    <w:p w14:paraId="4FD15E75">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如精装修交房项目，入户门底框(如有)与户内地面完成面高差在15</w:t>
      </w:r>
      <w:r>
        <w:rPr>
          <w:rFonts w:hint="eastAsia"/>
          <w:color w:val="auto"/>
          <w:highlight w:val="none"/>
          <w:lang w:val="en-US" w:eastAsia="zh-CN"/>
        </w:rPr>
        <w:t>-</w:t>
      </w:r>
      <w:r>
        <w:rPr>
          <w:rFonts w:hint="eastAsia"/>
          <w:color w:val="auto"/>
          <w:highlight w:val="none"/>
        </w:rPr>
        <w:t>20mm为宜，如毛坯交房项目，入户门底框(如有)与户内基层（以一般地面做法预留高度35mm考虑）高差在50</w:t>
      </w:r>
      <w:r>
        <w:rPr>
          <w:rFonts w:hint="eastAsia"/>
          <w:color w:val="auto"/>
          <w:highlight w:val="none"/>
          <w:lang w:val="en-US" w:eastAsia="zh-CN"/>
        </w:rPr>
        <w:t>-</w:t>
      </w:r>
      <w:r>
        <w:rPr>
          <w:rFonts w:hint="eastAsia"/>
          <w:color w:val="auto"/>
          <w:highlight w:val="none"/>
        </w:rPr>
        <w:t>60mm为宜。</w:t>
      </w:r>
    </w:p>
    <w:p w14:paraId="09AF2250">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门框安装完成后应由监理单位组织</w:t>
      </w:r>
      <w:r>
        <w:rPr>
          <w:rFonts w:hint="eastAsia"/>
          <w:color w:val="auto"/>
          <w:highlight w:val="none"/>
          <w:lang w:val="en-US" w:eastAsia="zh-CN"/>
        </w:rPr>
        <w:t>专业承包人</w:t>
      </w:r>
      <w:r>
        <w:rPr>
          <w:rFonts w:hint="eastAsia"/>
          <w:color w:val="auto"/>
          <w:highlight w:val="none"/>
        </w:rPr>
        <w:t>位对门框的垂直度、对角线长度差等方面进行验收，验收完成后才可进行门扇及饰面板的安装工作。</w:t>
      </w:r>
    </w:p>
    <w:p w14:paraId="40ADE74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产品出厂前，门扇两面需贴瓦楞纸双层保护，门扇最外侧贴保护膜（或绷带），保护层不能影响门扇的安装（门扇安装时，保护层不需拆除），门扇安装完成，该保护层须保留；门框安装完成后，边框用PE膜包覆避免二次污染。下框用U型方槽遮盖，禁止小推车来往。两竖框自地面起1.2m包覆木盒防撞（可选）。</w:t>
      </w:r>
    </w:p>
    <w:p w14:paraId="4174AD00">
      <w:pPr>
        <w:pStyle w:val="4"/>
        <w:keepNext w:val="0"/>
        <w:keepLines w:val="0"/>
        <w:pageBreakBefore w:val="0"/>
        <w:widowControl w:val="0"/>
        <w:numPr>
          <w:ilvl w:val="1"/>
          <w:numId w:val="15"/>
        </w:numPr>
        <w:kinsoku/>
        <w:wordWrap/>
        <w:overflowPunct/>
        <w:topLinePunct w:val="0"/>
        <w:autoSpaceDE/>
        <w:autoSpaceDN/>
        <w:bidi w:val="0"/>
        <w:rPr>
          <w:rFonts w:hint="eastAsia" w:eastAsia="宋体"/>
          <w:color w:val="auto"/>
          <w:highlight w:val="none"/>
          <w:lang w:val="en-US" w:eastAsia="zh-CN"/>
        </w:rPr>
      </w:pPr>
      <w:bookmarkStart w:id="556" w:name="_Toc3857"/>
      <w:bookmarkStart w:id="557" w:name="_Toc21003"/>
      <w:r>
        <w:rPr>
          <w:rFonts w:hint="eastAsia"/>
          <w:color w:val="auto"/>
          <w:highlight w:val="none"/>
          <w:lang w:val="en-US" w:eastAsia="zh-CN"/>
        </w:rPr>
        <w:t>户内门工程</w:t>
      </w:r>
      <w:bookmarkEnd w:id="556"/>
      <w:bookmarkEnd w:id="557"/>
    </w:p>
    <w:p w14:paraId="28D798D0">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应确认安装位置及连接方式符合设计要求；</w:t>
      </w:r>
    </w:p>
    <w:p w14:paraId="4709C190">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应根据尺寸约核记录，验收门洞尺寸并向门厂移交；</w:t>
      </w:r>
    </w:p>
    <w:p w14:paraId="491E064E">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在进场安装门框时，检查其必须符合图纸要求的型号及尺寸，并注意门扇的开启方向。</w:t>
      </w:r>
    </w:p>
    <w:p w14:paraId="4188CD0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深化设计要求：户内门筒子板竖直投影必须落在过门石上，木质筒子板底面与过门石应留出约2-3mm空间防止湿作业水汽侵入筒子板，筒子板下端与过门石之间打胶收口。</w:t>
      </w:r>
    </w:p>
    <w:p w14:paraId="09C55462">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val="en-US" w:eastAsia="zh-CN"/>
        </w:rPr>
      </w:pPr>
      <w:r>
        <w:rPr>
          <w:rFonts w:hint="eastAsia"/>
          <w:color w:val="auto"/>
          <w:highlight w:val="none"/>
        </w:rPr>
        <w:t>除深化设计特殊约定，同一户内所有户内门上口应在同一水平线高度。</w:t>
      </w:r>
    </w:p>
    <w:p w14:paraId="7D704C82">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558" w:name="_Toc22396"/>
      <w:bookmarkStart w:id="559" w:name="_Toc15430"/>
      <w:r>
        <w:rPr>
          <w:rFonts w:hint="eastAsia"/>
          <w:color w:val="auto"/>
          <w:highlight w:val="none"/>
        </w:rPr>
        <w:t>脚手架工程</w:t>
      </w:r>
      <w:bookmarkEnd w:id="555"/>
      <w:bookmarkEnd w:id="558"/>
      <w:bookmarkEnd w:id="559"/>
    </w:p>
    <w:p w14:paraId="4153B1C3">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基本要求</w:t>
      </w:r>
    </w:p>
    <w:p w14:paraId="298F15B8">
      <w:pPr>
        <w:keepNext w:val="0"/>
        <w:keepLines w:val="0"/>
        <w:pageBreakBefore w:val="0"/>
        <w:widowControl w:val="0"/>
        <w:kinsoku/>
        <w:wordWrap/>
        <w:overflowPunct/>
        <w:topLinePunct w:val="0"/>
        <w:autoSpaceDE/>
        <w:autoSpaceDN/>
        <w:bidi w:val="0"/>
        <w:ind w:firstLine="480"/>
        <w:jc w:val="left"/>
        <w:rPr>
          <w:rFonts w:ascii="宋体" w:hAnsi="宋体"/>
          <w:bCs/>
          <w:color w:val="auto"/>
          <w:highlight w:val="none"/>
        </w:rPr>
      </w:pPr>
      <w:r>
        <w:rPr>
          <w:rFonts w:hint="eastAsia" w:ascii="宋体" w:hAnsi="宋体" w:cs="Arial"/>
          <w:color w:val="auto"/>
          <w:highlight w:val="none"/>
        </w:rPr>
        <w:t>本项目主要采用扣件式或盘扣式钢管</w:t>
      </w:r>
      <w:r>
        <w:rPr>
          <w:rFonts w:ascii="宋体" w:hAnsi="宋体" w:cs="Arial"/>
          <w:color w:val="auto"/>
          <w:highlight w:val="none"/>
        </w:rPr>
        <w:t>脚手架</w:t>
      </w:r>
      <w:r>
        <w:rPr>
          <w:rFonts w:hint="eastAsia" w:ascii="宋体" w:hAnsi="宋体" w:cs="Arial"/>
          <w:color w:val="auto"/>
          <w:highlight w:val="none"/>
        </w:rPr>
        <w:t>。</w:t>
      </w:r>
      <w:r>
        <w:rPr>
          <w:rFonts w:ascii="宋体" w:hAnsi="宋体" w:cs="Arial"/>
          <w:color w:val="auto"/>
          <w:highlight w:val="none"/>
        </w:rPr>
        <w:t>脚手架</w:t>
      </w:r>
      <w:r>
        <w:rPr>
          <w:rFonts w:hint="eastAsia" w:ascii="宋体" w:hAnsi="宋体" w:cs="Arial"/>
          <w:color w:val="auto"/>
          <w:highlight w:val="none"/>
        </w:rPr>
        <w:t>搭设</w:t>
      </w:r>
      <w:r>
        <w:rPr>
          <w:rFonts w:ascii="宋体" w:hAnsi="宋体" w:cs="Arial"/>
          <w:color w:val="auto"/>
          <w:highlight w:val="none"/>
        </w:rPr>
        <w:t>应满足</w:t>
      </w:r>
      <w:r>
        <w:rPr>
          <w:rFonts w:hint="eastAsia" w:ascii="宋体" w:hAnsi="宋体" w:cs="Arial"/>
          <w:color w:val="auto"/>
          <w:highlight w:val="none"/>
        </w:rPr>
        <w:t>相应法律法规、规范的要求，</w:t>
      </w:r>
      <w:r>
        <w:rPr>
          <w:rFonts w:hint="eastAsia" w:cs="Arial"/>
          <w:color w:val="auto"/>
          <w:highlight w:val="none"/>
          <w:lang w:eastAsia="zh-CN"/>
        </w:rPr>
        <w:t>专业承包人</w:t>
      </w:r>
      <w:r>
        <w:rPr>
          <w:rFonts w:hint="eastAsia" w:ascii="宋体" w:hAnsi="宋体" w:cs="Arial"/>
          <w:color w:val="auto"/>
          <w:highlight w:val="none"/>
        </w:rPr>
        <w:t>应提交脚手架专项施工方案和</w:t>
      </w:r>
      <w:r>
        <w:rPr>
          <w:rFonts w:ascii="宋体" w:hAnsi="宋体"/>
          <w:bCs/>
          <w:color w:val="auto"/>
          <w:highlight w:val="none"/>
        </w:rPr>
        <w:t>设计计算书</w:t>
      </w:r>
      <w:r>
        <w:rPr>
          <w:rFonts w:hint="eastAsia" w:ascii="宋体" w:hAnsi="宋体"/>
          <w:bCs/>
          <w:color w:val="auto"/>
          <w:highlight w:val="none"/>
        </w:rPr>
        <w:t>报监理人/发包人审批，对于超过一定规模的危大工程应及时组织专家论证。</w:t>
      </w:r>
    </w:p>
    <w:p w14:paraId="09B70FB5">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材料要求</w:t>
      </w:r>
    </w:p>
    <w:p w14:paraId="09DD7EE5">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lang w:eastAsia="zh-CN"/>
        </w:rPr>
        <w:t>专业承包人</w:t>
      </w:r>
      <w:r>
        <w:rPr>
          <w:rFonts w:hint="eastAsia"/>
          <w:color w:val="auto"/>
          <w:highlight w:val="none"/>
        </w:rPr>
        <w:t>用于脚手架搭设中所用到的材料、构配件（包含但不限于架管、扣件、安全网、脚手板、钢丝绳、型钢、用作吊环或锚环的圆钢等）均必须符合国家相关规范，并按要求送检，检验合格后方可投入使用。</w:t>
      </w:r>
    </w:p>
    <w:p w14:paraId="66A104FA">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钢管、扣件进场时，供应单位必须出具其产品质量合格证明材料，</w:t>
      </w:r>
      <w:r>
        <w:rPr>
          <w:rFonts w:hint="eastAsia"/>
          <w:color w:val="auto"/>
          <w:highlight w:val="none"/>
          <w:lang w:eastAsia="zh-CN"/>
        </w:rPr>
        <w:t>专业承包人</w:t>
      </w:r>
      <w:r>
        <w:rPr>
          <w:rFonts w:hint="eastAsia"/>
          <w:color w:val="auto"/>
          <w:highlight w:val="none"/>
        </w:rPr>
        <w:t>验收并存档，监理单位进行复查及见证取样；严禁不合格钢管、扣件进入施工现场使用；</w:t>
      </w:r>
    </w:p>
    <w:p w14:paraId="4F0E17E8">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脚手架搭设要求</w:t>
      </w:r>
    </w:p>
    <w:p w14:paraId="6F7C2D74">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脚手架必须由专业工种严格按规范及审批过的施工方案进行搭设，搭设前必须进行安全、技术交底，所用材质应验收合格。每段支撑架搭设完毕后必须经过验收合格后方可投入使用。</w:t>
      </w:r>
    </w:p>
    <w:p w14:paraId="48BA29E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bCs/>
          <w:color w:val="auto"/>
          <w:highlight w:val="none"/>
        </w:rPr>
      </w:pPr>
      <w:r>
        <w:rPr>
          <w:rFonts w:hint="eastAsia"/>
          <w:color w:val="auto"/>
          <w:highlight w:val="none"/>
        </w:rPr>
        <w:t>架体较高的支撑用脚手架应在作业面下部用白色兜网及绿色密目安全网设置两道水平防护，安全网与钢管采用较粗的铁丝连接</w:t>
      </w:r>
      <w:r>
        <w:rPr>
          <w:rFonts w:hint="eastAsia"/>
          <w:bCs/>
          <w:color w:val="auto"/>
          <w:highlight w:val="none"/>
        </w:rPr>
        <w:t>牢靠，以保证工人在操作过程中的安全。</w:t>
      </w:r>
    </w:p>
    <w:p w14:paraId="0824D0C7">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脚手架搭设需满足相应规范要求。</w:t>
      </w:r>
    </w:p>
    <w:p w14:paraId="3EF0DFB3">
      <w:pPr>
        <w:pStyle w:val="4"/>
        <w:keepNext w:val="0"/>
        <w:keepLines w:val="0"/>
        <w:pageBreakBefore w:val="0"/>
        <w:widowControl w:val="0"/>
        <w:numPr>
          <w:ilvl w:val="1"/>
          <w:numId w:val="15"/>
        </w:numPr>
        <w:kinsoku/>
        <w:wordWrap/>
        <w:overflowPunct/>
        <w:topLinePunct w:val="0"/>
        <w:autoSpaceDE/>
        <w:autoSpaceDN/>
        <w:bidi w:val="0"/>
        <w:adjustRightInd/>
        <w:snapToGrid w:val="0"/>
        <w:textAlignment w:val="auto"/>
        <w:rPr>
          <w:color w:val="auto"/>
          <w:highlight w:val="none"/>
        </w:rPr>
      </w:pPr>
      <w:bookmarkStart w:id="560" w:name="_Toc153907610"/>
      <w:bookmarkStart w:id="561" w:name="_Toc12292"/>
      <w:bookmarkStart w:id="562" w:name="_Toc8580"/>
      <w:r>
        <w:rPr>
          <w:rFonts w:hint="eastAsia"/>
          <w:color w:val="auto"/>
          <w:highlight w:val="none"/>
        </w:rPr>
        <w:t>硬包施工技术要求</w:t>
      </w:r>
      <w:bookmarkEnd w:id="560"/>
      <w:bookmarkEnd w:id="561"/>
      <w:bookmarkEnd w:id="562"/>
    </w:p>
    <w:p w14:paraId="3FE85CB8">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进场验收</w:t>
      </w:r>
    </w:p>
    <w:p w14:paraId="24FC371E">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织物及皮革等材料供货时，要分批号、分区域，以避免色差。</w:t>
      </w:r>
    </w:p>
    <w:p w14:paraId="4691CA6C">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织物、皮革等成品进场后应按照甲方或当地质监部门要求，验收材</w:t>
      </w:r>
    </w:p>
    <w:p w14:paraId="14BD1D80">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料合格证、出厂证明，并抽样进行复试送检，确保成品的褪色性、</w:t>
      </w:r>
    </w:p>
    <w:p w14:paraId="392A9242">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耐摩擦色牢度、遮蔽性、湿润拉伸负荷、吸水性、伸缩性、粘合剂可试性、可洗性等物理化学性能指标应符合国家规定标准</w:t>
      </w:r>
      <w:r>
        <w:rPr>
          <w:rFonts w:hint="eastAsia"/>
          <w:color w:val="auto"/>
          <w:highlight w:val="none"/>
          <w:lang w:eastAsia="zh-CN"/>
        </w:rPr>
        <w:t>。</w:t>
      </w:r>
    </w:p>
    <w:p w14:paraId="1B879E3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抽检产品表面平整，光泽均匀，花色、花纹符合设计师选型选样，</w:t>
      </w:r>
    </w:p>
    <w:p w14:paraId="5ED6162C">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与样板相同。</w:t>
      </w:r>
    </w:p>
    <w:p w14:paraId="443A9FB7">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进场后及时通知</w:t>
      </w:r>
      <w:r>
        <w:rPr>
          <w:rFonts w:hint="eastAsia"/>
          <w:color w:val="auto"/>
          <w:highlight w:val="none"/>
          <w:lang w:eastAsia="zh-CN"/>
        </w:rPr>
        <w:t>总承包人</w:t>
      </w:r>
      <w:r>
        <w:rPr>
          <w:rFonts w:hint="eastAsia"/>
          <w:color w:val="auto"/>
          <w:highlight w:val="none"/>
        </w:rPr>
        <w:t>技术部及监理工程师对材料进行验收，合格后方可使用</w:t>
      </w:r>
      <w:r>
        <w:rPr>
          <w:rFonts w:hint="eastAsia"/>
          <w:color w:val="auto"/>
          <w:highlight w:val="none"/>
          <w:lang w:eastAsia="zh-CN"/>
        </w:rPr>
        <w:t>。</w:t>
      </w:r>
      <w:r>
        <w:rPr>
          <w:rFonts w:hint="eastAsia"/>
          <w:color w:val="auto"/>
          <w:highlight w:val="none"/>
        </w:rPr>
        <w:t>进场材料未经检验合格并签认，不能在工程上使用，且必须立即清除出施工现场，另行存放。</w:t>
      </w:r>
    </w:p>
    <w:p w14:paraId="15B491D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其他要求</w:t>
      </w:r>
    </w:p>
    <w:p w14:paraId="0912FB54">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材料应存放在仓库里干燥的地方，最好放在置物架上。施工时按需领料，并签字确认。现场加工时应选择干燥宽敞的地方作为加工区，加工好的部件分类整齐堆放，并作临时保护避免污染。</w:t>
      </w:r>
    </w:p>
    <w:p w14:paraId="5F18F38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大面施工前，组织软硬包班组施工工艺样板，并配合</w:t>
      </w:r>
      <w:r>
        <w:rPr>
          <w:rFonts w:hint="eastAsia"/>
          <w:color w:val="auto"/>
          <w:highlight w:val="none"/>
          <w:lang w:val="en-US" w:eastAsia="zh-CN"/>
        </w:rPr>
        <w:t>专业承包人</w:t>
      </w:r>
      <w:r>
        <w:rPr>
          <w:rFonts w:hint="eastAsia"/>
          <w:color w:val="auto"/>
          <w:highlight w:val="none"/>
        </w:rPr>
        <w:t>完善交付观感样板间。完成裱糊的样板应向甲方及监理报审，验收合格后完善样板评审记录。并及时组织向班组、工人进行技术交底。</w:t>
      </w:r>
    </w:p>
    <w:p w14:paraId="65448532">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施工流程及管控重点</w:t>
      </w:r>
    </w:p>
    <w:p w14:paraId="7D10D51E">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施工工艺流程</w:t>
      </w:r>
    </w:p>
    <w:p w14:paraId="4039D112">
      <w:pPr>
        <w:keepNext w:val="0"/>
        <w:keepLines w:val="0"/>
        <w:pageBreakBefore w:val="0"/>
        <w:widowControl w:val="0"/>
        <w:tabs>
          <w:tab w:val="left" w:pos="40"/>
        </w:tabs>
        <w:kinsoku/>
        <w:wordWrap/>
        <w:overflowPunct/>
        <w:topLinePunct w:val="0"/>
        <w:autoSpaceDE/>
        <w:autoSpaceDN/>
        <w:bidi w:val="0"/>
        <w:ind w:firstLine="480"/>
        <w:jc w:val="left"/>
        <w:rPr>
          <w:rFonts w:hint="eastAsia" w:eastAsia="宋体"/>
          <w:bCs/>
          <w:color w:val="auto"/>
          <w:highlight w:val="none"/>
          <w:lang w:eastAsia="zh-CN"/>
        </w:rPr>
      </w:pPr>
      <w:r>
        <w:rPr>
          <w:rFonts w:hint="eastAsia"/>
          <w:bCs/>
          <w:color w:val="auto"/>
          <w:highlight w:val="none"/>
        </w:rPr>
        <w:t>基层处理→吊直、套方、找规矩、弹线→背板制作→粘贴面料→粘贴面料→固定安装→安装贴脸或装饰边线</w:t>
      </w:r>
    </w:p>
    <w:p w14:paraId="541E4295">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管控重点</w:t>
      </w:r>
    </w:p>
    <w:p w14:paraId="32475DEF">
      <w:pPr>
        <w:keepNext w:val="0"/>
        <w:keepLines w:val="0"/>
        <w:pageBreakBefore w:val="0"/>
        <w:widowControl w:val="0"/>
        <w:numPr>
          <w:ilvl w:val="0"/>
          <w:numId w:val="54"/>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基层或底板处理</w:t>
      </w:r>
    </w:p>
    <w:p w14:paraId="6C6597BD">
      <w:pPr>
        <w:keepNext w:val="0"/>
        <w:keepLines w:val="0"/>
        <w:pageBreakBefore w:val="0"/>
        <w:widowControl w:val="0"/>
        <w:tabs>
          <w:tab w:val="left" w:pos="40"/>
        </w:tabs>
        <w:kinsoku/>
        <w:wordWrap/>
        <w:overflowPunct/>
        <w:topLinePunct w:val="0"/>
        <w:autoSpaceDE/>
        <w:autoSpaceDN/>
        <w:bidi w:val="0"/>
        <w:ind w:firstLine="480"/>
        <w:jc w:val="left"/>
        <w:rPr>
          <w:bCs/>
          <w:color w:val="auto"/>
          <w:highlight w:val="none"/>
        </w:rPr>
      </w:pPr>
      <w:r>
        <w:rPr>
          <w:rFonts w:hint="eastAsia"/>
          <w:bCs/>
          <w:color w:val="auto"/>
          <w:highlight w:val="none"/>
        </w:rPr>
        <w:t>检查土建墙体抹灰平整度、空鼓开裂等情况，对相应问进行处理。根据现场情况对抹水泥砂浆找平层进行防潮处理，刷喷冷底子油、铺贴一毡二油防潮层。基层架一般采用木或者轻钢大还要进行三方处理，建议使用轻钢体系。基层板采用燃板或者石膏板。；</w:t>
      </w:r>
    </w:p>
    <w:p w14:paraId="7EAF1B41">
      <w:pPr>
        <w:keepNext w:val="0"/>
        <w:keepLines w:val="0"/>
        <w:pageBreakBefore w:val="0"/>
        <w:widowControl w:val="0"/>
        <w:numPr>
          <w:ilvl w:val="0"/>
          <w:numId w:val="54"/>
        </w:numPr>
        <w:tabs>
          <w:tab w:val="left" w:pos="40"/>
        </w:tabs>
        <w:kinsoku/>
        <w:wordWrap/>
        <w:overflowPunct/>
        <w:topLinePunct w:val="0"/>
        <w:autoSpaceDE/>
        <w:autoSpaceDN/>
        <w:bidi w:val="0"/>
        <w:adjustRightInd/>
        <w:snapToGrid w:val="0"/>
        <w:ind w:left="0" w:firstLine="480"/>
        <w:jc w:val="left"/>
        <w:textAlignment w:val="auto"/>
        <w:rPr>
          <w:bCs/>
          <w:color w:val="auto"/>
          <w:highlight w:val="none"/>
        </w:rPr>
      </w:pPr>
      <w:r>
        <w:rPr>
          <w:rFonts w:hint="eastAsia"/>
          <w:bCs/>
          <w:color w:val="auto"/>
          <w:highlight w:val="none"/>
        </w:rPr>
        <w:t>吊直、套方、找规矩、弹线</w:t>
      </w:r>
    </w:p>
    <w:p w14:paraId="23035635">
      <w:pPr>
        <w:keepNext w:val="0"/>
        <w:keepLines w:val="0"/>
        <w:pageBreakBefore w:val="0"/>
        <w:widowControl w:val="0"/>
        <w:tabs>
          <w:tab w:val="left" w:pos="40"/>
        </w:tabs>
        <w:kinsoku/>
        <w:wordWrap/>
        <w:overflowPunct/>
        <w:topLinePunct w:val="0"/>
        <w:autoSpaceDE/>
        <w:autoSpaceDN/>
        <w:bidi w:val="0"/>
        <w:adjustRightInd/>
        <w:snapToGrid w:val="0"/>
        <w:ind w:firstLine="480"/>
        <w:jc w:val="left"/>
        <w:textAlignment w:val="auto"/>
        <w:rPr>
          <w:bCs/>
          <w:color w:val="auto"/>
          <w:highlight w:val="none"/>
        </w:rPr>
      </w:pPr>
      <w:r>
        <w:rPr>
          <w:rFonts w:hint="eastAsia"/>
          <w:bCs/>
          <w:color w:val="auto"/>
          <w:highlight w:val="none"/>
        </w:rPr>
        <w:t>根据设计图纸要求，把该房间要软包墙一的装尺寸、造型等通过吊直、套方、找规矩、弹线等工序，把实设计的尺寸与造型落实到墙一上。尽量做到横向通缝，板块均匀。菱形拼花时注意尖角角度不宜太小，同时考虑一料幅宽低损耗。</w:t>
      </w:r>
    </w:p>
    <w:p w14:paraId="701FF293">
      <w:pPr>
        <w:keepNext w:val="0"/>
        <w:keepLines w:val="0"/>
        <w:pageBreakBefore w:val="0"/>
        <w:widowControl w:val="0"/>
        <w:numPr>
          <w:ilvl w:val="0"/>
          <w:numId w:val="54"/>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背板制作</w:t>
      </w:r>
    </w:p>
    <w:p w14:paraId="5C823DF4">
      <w:pPr>
        <w:keepNext w:val="0"/>
        <w:keepLines w:val="0"/>
        <w:pageBreakBefore w:val="0"/>
        <w:widowControl w:val="0"/>
        <w:numPr>
          <w:ilvl w:val="0"/>
          <w:numId w:val="5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软包背板一般选用多层板、中纤板。硬包一般采用多层板、中纤板、PVC板、玻镁板及离心玻璃棉等软包还按设计要求在拼口处钉实木线条，用修边机拉斜边或圆角。软硬包一般建议使用中纤板(封油)，其棱角效果最好</w:t>
      </w:r>
    </w:p>
    <w:p w14:paraId="29DD33C8">
      <w:pPr>
        <w:keepNext w:val="0"/>
        <w:keepLines w:val="0"/>
        <w:pageBreakBefore w:val="0"/>
        <w:widowControl w:val="0"/>
        <w:numPr>
          <w:ilvl w:val="0"/>
          <w:numId w:val="5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软包如有插座或其他设备按固定基座尺寸，在背板上留模板基层，板厚同填充棉厚度，保持安装时不会出现下凹现象</w:t>
      </w:r>
    </w:p>
    <w:p w14:paraId="2A97D33D">
      <w:pPr>
        <w:keepNext w:val="0"/>
        <w:keepLines w:val="0"/>
        <w:pageBreakBefore w:val="0"/>
        <w:widowControl w:val="0"/>
        <w:numPr>
          <w:ilvl w:val="0"/>
          <w:numId w:val="54"/>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粘贴材料</w:t>
      </w:r>
    </w:p>
    <w:p w14:paraId="5B721981">
      <w:pPr>
        <w:keepNext w:val="0"/>
        <w:keepLines w:val="0"/>
        <w:pageBreakBefore w:val="0"/>
        <w:widowControl w:val="0"/>
        <w:numPr>
          <w:ilvl w:val="0"/>
          <w:numId w:val="56"/>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海绵填充:软包填充物有海绵、离心玻璃棉、燃橡塑棉等，建议采用燃橡塑棉，具有燃、回弹力好、满度好、观感佳、价格适中的优点。填充厚度应略于收边线条1-2mm，防止线条边。填放时用万能胶粘贴于底板上，保持平整无松动。</w:t>
      </w:r>
    </w:p>
    <w:p w14:paraId="46BA754B">
      <w:pPr>
        <w:keepNext w:val="0"/>
        <w:keepLines w:val="0"/>
        <w:pageBreakBefore w:val="0"/>
        <w:widowControl w:val="0"/>
        <w:numPr>
          <w:ilvl w:val="0"/>
          <w:numId w:val="56"/>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包料:按材料料纹理排版裁剪时注意调整方向，如遇异形时注意一料损耗，可错位裁剪。固定方式可以采用码钉或者万能胶，按材料的柔性及花纹方向，保持先固定长边两头，再固定两侧。固定拉紧受力要均匀(可采用线管包裹整边拉紧)保持花纹的整体性和根据花纹模数对纹。</w:t>
      </w:r>
    </w:p>
    <w:p w14:paraId="4EFF4FD3">
      <w:pPr>
        <w:keepNext w:val="0"/>
        <w:keepLines w:val="0"/>
        <w:pageBreakBefore w:val="0"/>
        <w:widowControl w:val="0"/>
        <w:numPr>
          <w:ilvl w:val="0"/>
          <w:numId w:val="54"/>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固定安装</w:t>
      </w:r>
    </w:p>
    <w:p w14:paraId="18AAE980">
      <w:pPr>
        <w:keepNext w:val="0"/>
        <w:keepLines w:val="0"/>
        <w:pageBreakBefore w:val="0"/>
        <w:widowControl w:val="0"/>
        <w:tabs>
          <w:tab w:val="left" w:pos="40"/>
        </w:tabs>
        <w:kinsoku/>
        <w:wordWrap/>
        <w:overflowPunct/>
        <w:topLinePunct w:val="0"/>
        <w:autoSpaceDE/>
        <w:autoSpaceDN/>
        <w:bidi w:val="0"/>
        <w:ind w:firstLine="480"/>
        <w:jc w:val="left"/>
        <w:rPr>
          <w:bCs/>
          <w:color w:val="auto"/>
          <w:highlight w:val="none"/>
        </w:rPr>
      </w:pPr>
      <w:r>
        <w:rPr>
          <w:rFonts w:hint="eastAsia"/>
          <w:bCs/>
          <w:color w:val="auto"/>
          <w:highlight w:val="none"/>
        </w:rPr>
        <w:t>固定方法有枪钉、万能胶、玻璃胶、术贴等。布艺硬包一般用枪钉从侧一射入，见光一不得出现钉眼:皮软包用背条依次固定安装时也可采用枪钉固定法:软硬包都可采用胶粘法，但成本术贴可相对较，且时间过长有脱胶的用于软硬包安装，安装方便且可以拆卸，粘贴的稳固性相对低一些，时间过长或多次拆卸会影响粘贴效果。</w:t>
      </w:r>
    </w:p>
    <w:p w14:paraId="5DB25BF5">
      <w:pPr>
        <w:keepNext w:val="0"/>
        <w:keepLines w:val="0"/>
        <w:pageBreakBefore w:val="0"/>
        <w:widowControl w:val="0"/>
        <w:numPr>
          <w:ilvl w:val="0"/>
          <w:numId w:val="54"/>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安装贴脸或装线</w:t>
      </w:r>
    </w:p>
    <w:p w14:paraId="0CA38BE6">
      <w:pPr>
        <w:keepNext w:val="0"/>
        <w:keepLines w:val="0"/>
        <w:pageBreakBefore w:val="0"/>
        <w:widowControl w:val="0"/>
        <w:tabs>
          <w:tab w:val="left" w:pos="40"/>
        </w:tabs>
        <w:kinsoku/>
        <w:wordWrap/>
        <w:overflowPunct/>
        <w:topLinePunct w:val="0"/>
        <w:autoSpaceDE/>
        <w:autoSpaceDN/>
        <w:bidi w:val="0"/>
        <w:ind w:firstLine="480"/>
        <w:jc w:val="left"/>
        <w:rPr>
          <w:bCs/>
          <w:color w:val="auto"/>
          <w:highlight w:val="none"/>
        </w:rPr>
      </w:pPr>
      <w:r>
        <w:rPr>
          <w:rFonts w:hint="eastAsia"/>
          <w:bCs/>
          <w:color w:val="auto"/>
          <w:highlight w:val="none"/>
        </w:rPr>
        <w:t>根据设计选择和加工好的贴脸或装边线，应按设计要求先把油漆刷好(达到交活条件)，便可把事先制铺贴镶嵌的装板进行安装工作，先经过试拼达到设计要求和效果后，便可与基层固定和安装贴脸或装边线，最后修刷镶边油漆成活</w:t>
      </w:r>
    </w:p>
    <w:p w14:paraId="30297388">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质量标准</w:t>
      </w:r>
    </w:p>
    <w:p w14:paraId="699F18EC">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软、硬包工程的龙骨、衬板、边框应安装牢固，无翘曲，拼缝应平直；</w:t>
      </w:r>
    </w:p>
    <w:p w14:paraId="00EBE3E4">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单块软、硬包面料不应有接缝，四周应绷压严密；</w:t>
      </w:r>
    </w:p>
    <w:p w14:paraId="120DBA37">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软、硬包工程表面应平整、洁净、无凹凸不平及褶皱，图案应清晰、无色差、整体应协调美观；</w:t>
      </w:r>
    </w:p>
    <w:p w14:paraId="5B9BBCDA">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软、硬包边框应平整顺直、接缝吻合；</w:t>
      </w:r>
    </w:p>
    <w:p w14:paraId="09A9DD28">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清漆涂饰木制边框的颜色、木纹应协调一致。</w:t>
      </w:r>
    </w:p>
    <w:p w14:paraId="055DD942">
      <w:pPr>
        <w:keepNext w:val="0"/>
        <w:keepLines w:val="0"/>
        <w:pageBreakBefore w:val="0"/>
        <w:widowControl w:val="0"/>
        <w:tabs>
          <w:tab w:val="left" w:pos="40"/>
        </w:tabs>
        <w:kinsoku/>
        <w:wordWrap/>
        <w:overflowPunct/>
        <w:topLinePunct w:val="0"/>
        <w:autoSpaceDE/>
        <w:autoSpaceDN/>
        <w:bidi w:val="0"/>
        <w:ind w:firstLine="0" w:firstLineChars="0"/>
        <w:jc w:val="center"/>
        <w:rPr>
          <w:bCs/>
          <w:color w:val="auto"/>
          <w:highlight w:val="none"/>
        </w:rPr>
      </w:pPr>
      <w:r>
        <w:rPr>
          <w:rFonts w:hint="eastAsia" w:ascii="宋体" w:hAnsi="宋体" w:eastAsia="宋体" w:cs="宋体"/>
          <w:color w:val="auto"/>
          <w:highlight w:val="none"/>
        </w:rPr>
        <w:drawing>
          <wp:inline distT="0" distB="0" distL="114300" distR="114300">
            <wp:extent cx="5394960" cy="2625725"/>
            <wp:effectExtent l="0" t="0" r="5715" b="317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87"/>
                    <a:stretch>
                      <a:fillRect/>
                    </a:stretch>
                  </pic:blipFill>
                  <pic:spPr>
                    <a:xfrm>
                      <a:off x="0" y="0"/>
                      <a:ext cx="5394960" cy="2625725"/>
                    </a:xfrm>
                    <a:prstGeom prst="rect">
                      <a:avLst/>
                    </a:prstGeom>
                    <a:noFill/>
                    <a:ln>
                      <a:noFill/>
                    </a:ln>
                  </pic:spPr>
                </pic:pic>
              </a:graphicData>
            </a:graphic>
          </wp:inline>
        </w:drawing>
      </w:r>
    </w:p>
    <w:p w14:paraId="4B0D4A3F">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563" w:name="_Toc13870"/>
      <w:bookmarkStart w:id="564" w:name="_Toc25925"/>
      <w:bookmarkStart w:id="565" w:name="_Toc153907611"/>
      <w:r>
        <w:rPr>
          <w:rFonts w:hint="eastAsia"/>
          <w:color w:val="auto"/>
          <w:highlight w:val="none"/>
        </w:rPr>
        <w:t>橱柜安装</w:t>
      </w:r>
      <w:r>
        <w:rPr>
          <w:rFonts w:hint="eastAsia"/>
          <w:color w:val="auto"/>
          <w:highlight w:val="none"/>
          <w:lang w:val="en-US" w:eastAsia="zh-CN"/>
        </w:rPr>
        <w:t>工程</w:t>
      </w:r>
      <w:bookmarkEnd w:id="563"/>
      <w:bookmarkEnd w:id="564"/>
    </w:p>
    <w:p w14:paraId="47957EC1">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组成橱柜、固定柜的所有刨花板、密度板全部使用优等品，刨花板全部使用防潮刨花板，板材的甲醛释放量不超过E1≤0.124mg/m³（气候箱法检测）。所有板材防火等级均需达到B1级。</w:t>
      </w:r>
    </w:p>
    <w:p w14:paraId="1B8393B4">
      <w:pPr>
        <w:keepNext w:val="0"/>
        <w:keepLines w:val="0"/>
        <w:pageBreakBefore w:val="0"/>
        <w:widowControl w:val="0"/>
        <w:kinsoku/>
        <w:wordWrap/>
        <w:overflowPunct/>
        <w:topLinePunct w:val="0"/>
        <w:autoSpaceDE/>
        <w:autoSpaceDN/>
        <w:bidi w:val="0"/>
        <w:rPr>
          <w:rFonts w:hint="eastAsia"/>
          <w:color w:val="auto"/>
          <w:highlight w:val="none"/>
        </w:rPr>
      </w:pPr>
      <w:r>
        <w:rPr>
          <w:rFonts w:hint="eastAsia"/>
          <w:color w:val="auto"/>
          <w:highlight w:val="none"/>
        </w:rPr>
        <w:t>浸渍胶膜纸饰面刨花板外观应满足GB/T15102中优等品的要求，静曲强度、内结合强度、含水率、密度、2h吸水厚度膨胀率、板面握螺钉力、板边握螺钉力、表面胶合强度、表面耐冷热循环、表面耐磨、表面耐划痕、表面耐香烟灼烧、表面耐干热、表面耐腐蚀污染、表面耐龟裂、表面耐水蒸气、耐光色牢度（级），还应满足GB/T15102《浸渍胶膜纸饰面纤维板和刨花板》中的其它要求</w:t>
      </w:r>
    </w:p>
    <w:p w14:paraId="79343CAA">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柜体的颜色型号及造型正确，尺寸公差不大于5mm、裁切平整无破损或龟裂、钻孔准确无破损和误差；</w:t>
      </w:r>
    </w:p>
    <w:p w14:paraId="1E62C50B">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封边贴合密实无脱落或空隙、修边平整无波浪起伏、颜色正确；</w:t>
      </w:r>
    </w:p>
    <w:p w14:paraId="790A54E7">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五金配件安装牢靠、螺丝不松动、不生锈、操作顺滑无障碍、顺畅、齐全不可漏锁或缺件；</w:t>
      </w:r>
    </w:p>
    <w:p w14:paraId="2B8FD1C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抽屉和柜门开关灵活、回位正确、无卡阻、无噪声；</w:t>
      </w:r>
    </w:p>
    <w:p w14:paraId="2B2E919E">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木饰面板采用背挂式安装方式，可见面无钉眼外露；</w:t>
      </w:r>
    </w:p>
    <w:p w14:paraId="1703A4C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厨房抽油烟机、燃气灶、仪表、家电等机电点位必须符合设计要求及施工质量标准；</w:t>
      </w:r>
    </w:p>
    <w:p w14:paraId="1A0A7AF8">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柜体、饰面层无划痕、开裂和缺损；柜门安装缝隙均匀、无大小头，开启灵活；打胶顺直、无开裂；整体精致美观、安全坚固；</w:t>
      </w:r>
    </w:p>
    <w:p w14:paraId="6EA28F9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台面、门板外饰面材料无色差；</w:t>
      </w:r>
    </w:p>
    <w:p w14:paraId="5115138E">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566" w:name="_Toc23152"/>
      <w:bookmarkStart w:id="567" w:name="_Toc19556"/>
      <w:r>
        <w:rPr>
          <w:rFonts w:hint="eastAsia"/>
          <w:color w:val="auto"/>
          <w:highlight w:val="none"/>
        </w:rPr>
        <w:t>二次机电工程</w:t>
      </w:r>
      <w:bookmarkEnd w:id="565"/>
      <w:bookmarkEnd w:id="566"/>
      <w:bookmarkEnd w:id="567"/>
    </w:p>
    <w:p w14:paraId="4F105FD5">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bookmarkStart w:id="568" w:name="_Toc9516"/>
      <w:bookmarkStart w:id="569" w:name="_Toc6695"/>
      <w:bookmarkStart w:id="570" w:name="_Toc24952"/>
      <w:bookmarkStart w:id="571" w:name="_Toc21058"/>
      <w:bookmarkStart w:id="572" w:name="_Toc22211"/>
      <w:bookmarkStart w:id="573" w:name="_Toc29356"/>
      <w:bookmarkStart w:id="574" w:name="_Toc28160"/>
      <w:bookmarkStart w:id="575" w:name="_Toc31159"/>
      <w:bookmarkStart w:id="576" w:name="_Toc10045"/>
      <w:bookmarkStart w:id="577" w:name="_Toc4812"/>
      <w:bookmarkStart w:id="578" w:name="_Toc14026"/>
      <w:bookmarkStart w:id="579" w:name="_Toc10687"/>
      <w:r>
        <w:rPr>
          <w:rFonts w:hint="eastAsia"/>
          <w:color w:val="auto"/>
          <w:highlight w:val="none"/>
        </w:rPr>
        <w:t>给排水</w:t>
      </w:r>
      <w:bookmarkEnd w:id="568"/>
      <w:bookmarkEnd w:id="569"/>
      <w:bookmarkEnd w:id="570"/>
      <w:bookmarkEnd w:id="571"/>
      <w:bookmarkEnd w:id="572"/>
      <w:bookmarkEnd w:id="573"/>
      <w:bookmarkEnd w:id="574"/>
      <w:bookmarkEnd w:id="575"/>
      <w:bookmarkEnd w:id="576"/>
      <w:bookmarkEnd w:id="577"/>
      <w:bookmarkEnd w:id="578"/>
      <w:bookmarkEnd w:id="579"/>
    </w:p>
    <w:p w14:paraId="2E78634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bookmarkStart w:id="580" w:name="_Toc387136952"/>
      <w:bookmarkStart w:id="581" w:name="_Toc383447329"/>
      <w:bookmarkStart w:id="582" w:name="_Toc377298494"/>
      <w:bookmarkStart w:id="583" w:name="_Toc17136"/>
      <w:bookmarkStart w:id="584" w:name="_Toc425865999"/>
      <w:bookmarkStart w:id="585" w:name="_Toc359942983"/>
      <w:bookmarkStart w:id="586" w:name="_Toc425866660"/>
      <w:r>
        <w:rPr>
          <w:rFonts w:hint="eastAsia"/>
          <w:color w:val="auto"/>
          <w:highlight w:val="none"/>
        </w:rPr>
        <w:t>预留预埋控制要求</w:t>
      </w:r>
      <w:bookmarkEnd w:id="580"/>
      <w:bookmarkEnd w:id="581"/>
    </w:p>
    <w:p w14:paraId="7B1AEF40">
      <w:pPr>
        <w:keepNext w:val="0"/>
        <w:keepLines w:val="0"/>
        <w:pageBreakBefore w:val="0"/>
        <w:widowControl w:val="0"/>
        <w:numPr>
          <w:ilvl w:val="0"/>
          <w:numId w:val="57"/>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管道和设备安装前，必须清除内部污垢和杂物，安装中断或完毕的敞口处，必须临时封闭（采用专用配套堵帽进行保护）。临时封闭管口的材料，应采取不易被破损的措施，如短管丝堵、铁皮扣碗。</w:t>
      </w:r>
    </w:p>
    <w:p w14:paraId="79974E4C">
      <w:pPr>
        <w:keepNext w:val="0"/>
        <w:keepLines w:val="0"/>
        <w:pageBreakBefore w:val="0"/>
        <w:widowControl w:val="0"/>
        <w:numPr>
          <w:ilvl w:val="0"/>
          <w:numId w:val="57"/>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所有给排水须进行闭水试验，合格后方可进行下一道工序。</w:t>
      </w:r>
    </w:p>
    <w:p w14:paraId="151F3A8C">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bookmarkStart w:id="587" w:name="_Toc387136953"/>
      <w:bookmarkStart w:id="588" w:name="_Toc383447330"/>
      <w:r>
        <w:rPr>
          <w:rFonts w:hint="eastAsia"/>
          <w:color w:val="auto"/>
          <w:highlight w:val="none"/>
        </w:rPr>
        <w:t>管道连接控制要求</w:t>
      </w:r>
      <w:bookmarkEnd w:id="587"/>
      <w:bookmarkEnd w:id="588"/>
    </w:p>
    <w:p w14:paraId="76F67E2C">
      <w:pPr>
        <w:keepNext w:val="0"/>
        <w:keepLines w:val="0"/>
        <w:pageBreakBefore w:val="0"/>
        <w:widowControl w:val="0"/>
        <w:numPr>
          <w:ilvl w:val="0"/>
          <w:numId w:val="5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UPVC排水管道连接</w:t>
      </w:r>
    </w:p>
    <w:p w14:paraId="3ED7048E">
      <w:pPr>
        <w:keepNext w:val="0"/>
        <w:keepLines w:val="0"/>
        <w:pageBreakBefore w:val="0"/>
        <w:widowControl w:val="0"/>
        <w:numPr>
          <w:ilvl w:val="0"/>
          <w:numId w:val="5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硬质聚氯乙烯（UPVC）管应使用无齿锯断管，断口应平齐，粘接前应对承插口先插入试验，一般为承口的3/4深度。</w:t>
      </w:r>
    </w:p>
    <w:p w14:paraId="182FDA9E">
      <w:pPr>
        <w:keepNext w:val="0"/>
        <w:keepLines w:val="0"/>
        <w:pageBreakBefore w:val="0"/>
        <w:widowControl w:val="0"/>
        <w:numPr>
          <w:ilvl w:val="0"/>
          <w:numId w:val="5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试插合格后，用棉布将承插口需粘接部位的水分、灰尘擦拭干净。</w:t>
      </w:r>
    </w:p>
    <w:p w14:paraId="02C86603">
      <w:pPr>
        <w:keepNext w:val="0"/>
        <w:keepLines w:val="0"/>
        <w:pageBreakBefore w:val="0"/>
        <w:widowControl w:val="0"/>
        <w:numPr>
          <w:ilvl w:val="0"/>
          <w:numId w:val="5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如有油污需用丙酮除掉。</w:t>
      </w:r>
    </w:p>
    <w:p w14:paraId="31954F7A">
      <w:pPr>
        <w:keepNext w:val="0"/>
        <w:keepLines w:val="0"/>
        <w:pageBreakBefore w:val="0"/>
        <w:widowControl w:val="0"/>
        <w:numPr>
          <w:ilvl w:val="0"/>
          <w:numId w:val="5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用毛刷涂抹粘接剂，先涂抹承口后涂抹插口，插入粘接时将插口稍作转动，以利粘接剂分布均匀，粘牢后立即将溢出的粘接剂擦拭干净。</w:t>
      </w:r>
    </w:p>
    <w:p w14:paraId="631ECEC6">
      <w:pPr>
        <w:keepNext w:val="0"/>
        <w:keepLines w:val="0"/>
        <w:pageBreakBefore w:val="0"/>
        <w:widowControl w:val="0"/>
        <w:numPr>
          <w:ilvl w:val="0"/>
          <w:numId w:val="58"/>
        </w:numPr>
        <w:tabs>
          <w:tab w:val="left" w:pos="40"/>
        </w:tabs>
        <w:kinsoku/>
        <w:wordWrap/>
        <w:overflowPunct/>
        <w:topLinePunct w:val="0"/>
        <w:autoSpaceDE/>
        <w:autoSpaceDN/>
        <w:bidi w:val="0"/>
        <w:ind w:left="0" w:firstLine="480"/>
        <w:jc w:val="left"/>
        <w:rPr>
          <w:bCs/>
          <w:color w:val="auto"/>
          <w:highlight w:val="none"/>
        </w:rPr>
      </w:pPr>
      <w:bookmarkStart w:id="589" w:name="_Toc387136954"/>
      <w:bookmarkStart w:id="590" w:name="_Toc383447331"/>
      <w:r>
        <w:rPr>
          <w:rFonts w:hint="eastAsia"/>
          <w:bCs/>
          <w:color w:val="auto"/>
          <w:highlight w:val="none"/>
        </w:rPr>
        <w:t>管道安装控制要求</w:t>
      </w:r>
    </w:p>
    <w:p w14:paraId="4987EAE6">
      <w:pPr>
        <w:keepNext w:val="0"/>
        <w:keepLines w:val="0"/>
        <w:pageBreakBefore w:val="0"/>
        <w:widowControl w:val="0"/>
        <w:numPr>
          <w:ilvl w:val="0"/>
          <w:numId w:val="60"/>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在每天管道安装施工后，应对管道提供适当的保护，以防湿气或其他杂物污染整个系统或堵塞管道。</w:t>
      </w:r>
    </w:p>
    <w:p w14:paraId="555D84F1">
      <w:pPr>
        <w:keepNext w:val="0"/>
        <w:keepLines w:val="0"/>
        <w:pageBreakBefore w:val="0"/>
        <w:widowControl w:val="0"/>
        <w:numPr>
          <w:ilvl w:val="0"/>
          <w:numId w:val="60"/>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管道安装应与墙壁平行，并保持室内净空要求和保持通道畅通。</w:t>
      </w:r>
    </w:p>
    <w:p w14:paraId="16C68891">
      <w:pPr>
        <w:keepNext w:val="0"/>
        <w:keepLines w:val="0"/>
        <w:pageBreakBefore w:val="0"/>
        <w:widowControl w:val="0"/>
        <w:numPr>
          <w:ilvl w:val="0"/>
          <w:numId w:val="60"/>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管道切割应采用割管器，切口应平滑、精巧，且不损坏管件。切口端部应铰口以去除毛口。</w:t>
      </w:r>
    </w:p>
    <w:p w14:paraId="738E1B83">
      <w:pPr>
        <w:keepNext w:val="0"/>
        <w:keepLines w:val="0"/>
        <w:pageBreakBefore w:val="0"/>
        <w:widowControl w:val="0"/>
        <w:numPr>
          <w:ilvl w:val="0"/>
          <w:numId w:val="60"/>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提供足够的坡度以保证系统能适当地排水和排气，在预留管道清扫口时，须保证清扫口前方无障碍。</w:t>
      </w:r>
    </w:p>
    <w:p w14:paraId="6FF3BB39">
      <w:pPr>
        <w:keepNext w:val="0"/>
        <w:keepLines w:val="0"/>
        <w:pageBreakBefore w:val="0"/>
        <w:widowControl w:val="0"/>
        <w:numPr>
          <w:ilvl w:val="0"/>
          <w:numId w:val="60"/>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水平安装的管道上的阀门，其阀杆应装成水平或垂直向上。</w:t>
      </w:r>
    </w:p>
    <w:p w14:paraId="0A00508D">
      <w:pPr>
        <w:keepNext w:val="0"/>
        <w:keepLines w:val="0"/>
        <w:pageBreakBefore w:val="0"/>
        <w:widowControl w:val="0"/>
        <w:numPr>
          <w:ilvl w:val="0"/>
          <w:numId w:val="60"/>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在系统的适当位置按设计或施工规范的要求设置排水阀或自动排气阀。</w:t>
      </w:r>
    </w:p>
    <w:p w14:paraId="3406A12A">
      <w:pPr>
        <w:keepNext w:val="0"/>
        <w:keepLines w:val="0"/>
        <w:pageBreakBefore w:val="0"/>
        <w:widowControl w:val="0"/>
        <w:numPr>
          <w:ilvl w:val="0"/>
          <w:numId w:val="60"/>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不论是否指明，需要进行排水、隔离或分段的位置必须设置闸阀或蝶阀，每个阀门须加上标签以便识别。</w:t>
      </w:r>
    </w:p>
    <w:p w14:paraId="537E3982">
      <w:pPr>
        <w:keepNext w:val="0"/>
        <w:keepLines w:val="0"/>
        <w:pageBreakBefore w:val="0"/>
        <w:widowControl w:val="0"/>
        <w:numPr>
          <w:ilvl w:val="0"/>
          <w:numId w:val="60"/>
        </w:numPr>
        <w:tabs>
          <w:tab w:val="left" w:pos="40"/>
        </w:tabs>
        <w:kinsoku/>
        <w:wordWrap/>
        <w:overflowPunct/>
        <w:topLinePunct w:val="0"/>
        <w:autoSpaceDE/>
        <w:autoSpaceDN/>
        <w:bidi w:val="0"/>
        <w:adjustRightInd/>
        <w:snapToGrid w:val="0"/>
        <w:ind w:left="0" w:firstLine="480"/>
        <w:jc w:val="left"/>
        <w:textAlignment w:val="auto"/>
        <w:rPr>
          <w:bCs/>
          <w:color w:val="auto"/>
          <w:highlight w:val="none"/>
        </w:rPr>
      </w:pPr>
      <w:r>
        <w:rPr>
          <w:rFonts w:hint="eastAsia"/>
          <w:bCs/>
          <w:color w:val="auto"/>
          <w:highlight w:val="none"/>
        </w:rPr>
        <w:t>与设备连接的管道应独立地设支撑，使设备不致因管道重量或膨胀而承受应力。</w:t>
      </w:r>
    </w:p>
    <w:p w14:paraId="30A55A00">
      <w:pPr>
        <w:keepNext w:val="0"/>
        <w:keepLines w:val="0"/>
        <w:pageBreakBefore w:val="0"/>
        <w:widowControl w:val="0"/>
        <w:numPr>
          <w:ilvl w:val="0"/>
          <w:numId w:val="60"/>
        </w:numPr>
        <w:tabs>
          <w:tab w:val="left" w:pos="40"/>
        </w:tabs>
        <w:kinsoku/>
        <w:wordWrap/>
        <w:overflowPunct/>
        <w:topLinePunct w:val="0"/>
        <w:autoSpaceDE/>
        <w:autoSpaceDN/>
        <w:bidi w:val="0"/>
        <w:adjustRightInd/>
        <w:snapToGrid w:val="0"/>
        <w:ind w:left="0" w:firstLine="480"/>
        <w:jc w:val="left"/>
        <w:textAlignment w:val="auto"/>
        <w:rPr>
          <w:bCs/>
          <w:color w:val="auto"/>
          <w:highlight w:val="none"/>
        </w:rPr>
      </w:pPr>
      <w:r>
        <w:rPr>
          <w:rFonts w:hint="eastAsia"/>
          <w:bCs/>
          <w:color w:val="auto"/>
          <w:highlight w:val="none"/>
        </w:rPr>
        <w:t>当管道跨越建筑物的伸缩缝或有可能移动的地方时，应提供伸缩器(伸缩器应为不锈钢多波纹式，侧向和轴向移动不应小于±8毫米)，用以抵御任何造成移动的应力。</w:t>
      </w:r>
    </w:p>
    <w:p w14:paraId="1BB26461">
      <w:pPr>
        <w:keepNext w:val="0"/>
        <w:keepLines w:val="0"/>
        <w:pageBreakBefore w:val="0"/>
        <w:widowControl w:val="0"/>
        <w:numPr>
          <w:ilvl w:val="0"/>
          <w:numId w:val="60"/>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所有排水管道必须按垂线安装，且必须整齐排列，交叉处减至最少。</w:t>
      </w:r>
    </w:p>
    <w:p w14:paraId="3B38D3D4">
      <w:pPr>
        <w:keepNext w:val="0"/>
        <w:keepLines w:val="0"/>
        <w:pageBreakBefore w:val="0"/>
        <w:widowControl w:val="0"/>
        <w:numPr>
          <w:ilvl w:val="0"/>
          <w:numId w:val="60"/>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由室内通向室外排水检查井的排水管，井内引入管应高于排出管或两管顶相平，并有不小于90°的水流转角，如跌落差大于300mm可不受角度限制。</w:t>
      </w:r>
    </w:p>
    <w:p w14:paraId="4337E373">
      <w:pPr>
        <w:keepNext w:val="0"/>
        <w:keepLines w:val="0"/>
        <w:pageBreakBefore w:val="0"/>
        <w:widowControl w:val="0"/>
        <w:numPr>
          <w:ilvl w:val="0"/>
          <w:numId w:val="60"/>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在铺设地下排水管道之前，</w:t>
      </w:r>
      <w:r>
        <w:rPr>
          <w:rFonts w:hint="eastAsia"/>
          <w:bCs/>
          <w:color w:val="auto"/>
          <w:highlight w:val="none"/>
          <w:lang w:eastAsia="zh-CN"/>
        </w:rPr>
        <w:t>专业承包人</w:t>
      </w:r>
      <w:r>
        <w:rPr>
          <w:rFonts w:hint="eastAsia"/>
          <w:bCs/>
          <w:color w:val="auto"/>
          <w:highlight w:val="none"/>
        </w:rPr>
        <w:t>应检查现有的控制点标高，当发现有差异时应立即通知监理工程师。</w:t>
      </w:r>
    </w:p>
    <w:p w14:paraId="79A471BA">
      <w:pPr>
        <w:keepNext w:val="0"/>
        <w:keepLines w:val="0"/>
        <w:pageBreakBefore w:val="0"/>
        <w:widowControl w:val="0"/>
        <w:numPr>
          <w:ilvl w:val="0"/>
          <w:numId w:val="60"/>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所有暗装的管道，不论其长度多少，都必须在安装妥后立刻进行水压试验以检查管道强度及严密性。经现场检测合格及确认后，本</w:t>
      </w:r>
      <w:r>
        <w:rPr>
          <w:rFonts w:hint="eastAsia"/>
          <w:bCs/>
          <w:color w:val="auto"/>
          <w:highlight w:val="none"/>
          <w:lang w:eastAsia="zh-CN"/>
        </w:rPr>
        <w:t>专业承包人</w:t>
      </w:r>
      <w:r>
        <w:rPr>
          <w:rFonts w:hint="eastAsia"/>
          <w:bCs/>
          <w:color w:val="auto"/>
          <w:highlight w:val="none"/>
        </w:rPr>
        <w:t>才可以书面通知土建专业进行封闭工作。因管道测试不合格而引致总</w:t>
      </w:r>
      <w:r>
        <w:rPr>
          <w:rFonts w:hint="eastAsia"/>
          <w:bCs/>
          <w:color w:val="auto"/>
          <w:highlight w:val="none"/>
          <w:lang w:eastAsia="zh-CN"/>
        </w:rPr>
        <w:t>承包人</w:t>
      </w:r>
      <w:r>
        <w:rPr>
          <w:rFonts w:hint="eastAsia"/>
          <w:bCs/>
          <w:color w:val="auto"/>
          <w:highlight w:val="none"/>
        </w:rPr>
        <w:t>延误封闭工作，所有损失由本</w:t>
      </w:r>
      <w:r>
        <w:rPr>
          <w:rFonts w:hint="eastAsia"/>
          <w:bCs/>
          <w:color w:val="auto"/>
          <w:highlight w:val="none"/>
          <w:lang w:eastAsia="zh-CN"/>
        </w:rPr>
        <w:t>专业承包人</w:t>
      </w:r>
      <w:r>
        <w:rPr>
          <w:rFonts w:hint="eastAsia"/>
          <w:bCs/>
          <w:color w:val="auto"/>
          <w:highlight w:val="none"/>
        </w:rPr>
        <w:t>负责。</w:t>
      </w:r>
    </w:p>
    <w:p w14:paraId="5B999E62">
      <w:pPr>
        <w:keepNext w:val="0"/>
        <w:keepLines w:val="0"/>
        <w:pageBreakBefore w:val="0"/>
        <w:widowControl w:val="0"/>
        <w:numPr>
          <w:ilvl w:val="0"/>
          <w:numId w:val="60"/>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放空管集中设置，设置蓄水槽，避免溅水。</w:t>
      </w:r>
    </w:p>
    <w:p w14:paraId="7B4DEF12">
      <w:pPr>
        <w:keepNext w:val="0"/>
        <w:keepLines w:val="0"/>
        <w:pageBreakBefore w:val="0"/>
        <w:widowControl w:val="0"/>
        <w:numPr>
          <w:ilvl w:val="0"/>
          <w:numId w:val="60"/>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管道交叉搭接处要有悬吊架。</w:t>
      </w:r>
    </w:p>
    <w:p w14:paraId="2B6E3EF8">
      <w:pPr>
        <w:keepNext w:val="0"/>
        <w:keepLines w:val="0"/>
        <w:pageBreakBefore w:val="0"/>
        <w:widowControl w:val="0"/>
        <w:numPr>
          <w:ilvl w:val="0"/>
          <w:numId w:val="60"/>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吊顶内阀门处的检查口位置应书面并示牌通知相关专业承包商。</w:t>
      </w:r>
    </w:p>
    <w:p w14:paraId="0E78F073">
      <w:pPr>
        <w:keepNext w:val="0"/>
        <w:keepLines w:val="0"/>
        <w:pageBreakBefore w:val="0"/>
        <w:widowControl w:val="0"/>
        <w:numPr>
          <w:ilvl w:val="0"/>
          <w:numId w:val="60"/>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水泵进出口阀门采用闸阀，不得采用蝶阀。</w:t>
      </w:r>
    </w:p>
    <w:p w14:paraId="3448D742">
      <w:pPr>
        <w:keepNext w:val="0"/>
        <w:keepLines w:val="0"/>
        <w:pageBreakBefore w:val="0"/>
        <w:widowControl w:val="0"/>
        <w:numPr>
          <w:ilvl w:val="0"/>
          <w:numId w:val="60"/>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铜管：埋墙敷设的冷热水管道采用塑覆铜管，明装冷热水管采用光身铜管加橡塑保温包裹,室外埋地管须采取防腐措施。</w:t>
      </w:r>
    </w:p>
    <w:bookmarkEnd w:id="589"/>
    <w:bookmarkEnd w:id="590"/>
    <w:p w14:paraId="0A2B9B98">
      <w:pPr>
        <w:keepNext w:val="0"/>
        <w:keepLines w:val="0"/>
        <w:pageBreakBefore w:val="0"/>
        <w:widowControl w:val="0"/>
        <w:numPr>
          <w:ilvl w:val="0"/>
          <w:numId w:val="58"/>
        </w:numPr>
        <w:tabs>
          <w:tab w:val="left" w:pos="40"/>
        </w:tabs>
        <w:kinsoku/>
        <w:wordWrap/>
        <w:overflowPunct/>
        <w:topLinePunct w:val="0"/>
        <w:autoSpaceDE/>
        <w:autoSpaceDN/>
        <w:bidi w:val="0"/>
        <w:ind w:left="0" w:firstLine="480"/>
        <w:jc w:val="left"/>
        <w:rPr>
          <w:bCs/>
          <w:color w:val="auto"/>
          <w:highlight w:val="none"/>
        </w:rPr>
      </w:pPr>
      <w:bookmarkStart w:id="591" w:name="_Toc383447335"/>
      <w:bookmarkStart w:id="592" w:name="_Toc387136957"/>
      <w:r>
        <w:rPr>
          <w:rFonts w:hint="eastAsia"/>
          <w:bCs/>
          <w:color w:val="auto"/>
          <w:highlight w:val="none"/>
        </w:rPr>
        <w:t>管道保温控制要求</w:t>
      </w:r>
      <w:bookmarkEnd w:id="591"/>
      <w:bookmarkEnd w:id="592"/>
    </w:p>
    <w:p w14:paraId="4E8B1071">
      <w:pPr>
        <w:keepNext w:val="0"/>
        <w:keepLines w:val="0"/>
        <w:pageBreakBefore w:val="0"/>
        <w:widowControl w:val="0"/>
        <w:numPr>
          <w:ilvl w:val="0"/>
          <w:numId w:val="61"/>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管道保温层与管道应紧贴、密实，避免有空隙和间断，表面平整、圆弧均匀。管道穿墙、穿楼板处保温层应同时过墙过板，保温层与木托处接缝应严密，不应将支架包成半明半暗状态。管道保温用金属壳做保护层，其搭口应顺水，咬缝应严密、平整。</w:t>
      </w:r>
    </w:p>
    <w:p w14:paraId="56B2EE77">
      <w:pPr>
        <w:keepNext w:val="0"/>
        <w:keepLines w:val="0"/>
        <w:pageBreakBefore w:val="0"/>
        <w:widowControl w:val="0"/>
        <w:numPr>
          <w:ilvl w:val="0"/>
          <w:numId w:val="61"/>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保温材料下料应准确合理，胶和保温钉的分布应均匀。</w:t>
      </w:r>
    </w:p>
    <w:p w14:paraId="61CEDD2E">
      <w:pPr>
        <w:keepNext w:val="0"/>
        <w:keepLines w:val="0"/>
        <w:pageBreakBefore w:val="0"/>
        <w:widowControl w:val="0"/>
        <w:numPr>
          <w:ilvl w:val="0"/>
          <w:numId w:val="61"/>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法兰处保温必须单独下料粘接，保温层厚度必须与保温材料相同。</w:t>
      </w:r>
    </w:p>
    <w:p w14:paraId="696BAC95">
      <w:pPr>
        <w:keepNext w:val="0"/>
        <w:keepLines w:val="0"/>
        <w:pageBreakBefore w:val="0"/>
        <w:widowControl w:val="0"/>
        <w:numPr>
          <w:ilvl w:val="0"/>
          <w:numId w:val="61"/>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屋面热水管道需在保温材料外加装铝板包裹。</w:t>
      </w:r>
    </w:p>
    <w:p w14:paraId="5BBB94D2">
      <w:pPr>
        <w:keepNext w:val="0"/>
        <w:keepLines w:val="0"/>
        <w:pageBreakBefore w:val="0"/>
        <w:widowControl w:val="0"/>
        <w:numPr>
          <w:ilvl w:val="0"/>
          <w:numId w:val="58"/>
        </w:numPr>
        <w:tabs>
          <w:tab w:val="left" w:pos="40"/>
        </w:tabs>
        <w:kinsoku/>
        <w:wordWrap/>
        <w:overflowPunct/>
        <w:topLinePunct w:val="0"/>
        <w:autoSpaceDE/>
        <w:autoSpaceDN/>
        <w:bidi w:val="0"/>
        <w:ind w:left="0" w:firstLine="480"/>
        <w:jc w:val="left"/>
        <w:rPr>
          <w:bCs/>
          <w:color w:val="auto"/>
          <w:highlight w:val="none"/>
        </w:rPr>
      </w:pPr>
      <w:bookmarkStart w:id="593" w:name="_Toc383447336"/>
      <w:bookmarkStart w:id="594" w:name="_Toc387136958"/>
      <w:r>
        <w:rPr>
          <w:rFonts w:hint="eastAsia"/>
          <w:bCs/>
          <w:color w:val="auto"/>
          <w:highlight w:val="none"/>
        </w:rPr>
        <w:t>管道/阀门标识控制要求</w:t>
      </w:r>
      <w:bookmarkEnd w:id="593"/>
      <w:bookmarkEnd w:id="594"/>
    </w:p>
    <w:p w14:paraId="28465A30">
      <w:pPr>
        <w:keepNext w:val="0"/>
        <w:keepLines w:val="0"/>
        <w:pageBreakBefore w:val="0"/>
        <w:widowControl w:val="0"/>
        <w:numPr>
          <w:ilvl w:val="0"/>
          <w:numId w:val="62"/>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管道标识应字迹清晰醒目，介质流动方向正确。</w:t>
      </w:r>
    </w:p>
    <w:p w14:paraId="5910A160">
      <w:pPr>
        <w:keepNext w:val="0"/>
        <w:keepLines w:val="0"/>
        <w:pageBreakBefore w:val="0"/>
        <w:widowControl w:val="0"/>
        <w:numPr>
          <w:ilvl w:val="0"/>
          <w:numId w:val="62"/>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管道标识的颜色应与管道的油漆涂刷颜色有明显区分。</w:t>
      </w:r>
    </w:p>
    <w:p w14:paraId="16904944">
      <w:pPr>
        <w:keepNext w:val="0"/>
        <w:keepLines w:val="0"/>
        <w:pageBreakBefore w:val="0"/>
        <w:widowControl w:val="0"/>
        <w:numPr>
          <w:ilvl w:val="0"/>
          <w:numId w:val="62"/>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用色环时色环应间距均匀，直管段20m左右间距设置，转弯部分增加设置。</w:t>
      </w:r>
    </w:p>
    <w:p w14:paraId="2508DA4A">
      <w:pPr>
        <w:keepNext w:val="0"/>
        <w:keepLines w:val="0"/>
        <w:pageBreakBefore w:val="0"/>
        <w:widowControl w:val="0"/>
        <w:numPr>
          <w:ilvl w:val="0"/>
          <w:numId w:val="62"/>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并行管道的标识应排列整齐。</w:t>
      </w:r>
    </w:p>
    <w:p w14:paraId="5319FC1E">
      <w:pPr>
        <w:keepNext w:val="0"/>
        <w:keepLines w:val="0"/>
        <w:pageBreakBefore w:val="0"/>
        <w:widowControl w:val="0"/>
        <w:numPr>
          <w:ilvl w:val="0"/>
          <w:numId w:val="62"/>
        </w:numPr>
        <w:tabs>
          <w:tab w:val="left" w:pos="40"/>
        </w:tabs>
        <w:kinsoku/>
        <w:wordWrap/>
        <w:overflowPunct/>
        <w:topLinePunct w:val="0"/>
        <w:autoSpaceDE/>
        <w:autoSpaceDN/>
        <w:bidi w:val="0"/>
        <w:adjustRightInd/>
        <w:snapToGrid w:val="0"/>
        <w:ind w:left="0" w:firstLine="480"/>
        <w:jc w:val="left"/>
        <w:textAlignment w:val="auto"/>
        <w:rPr>
          <w:bCs/>
          <w:color w:val="auto"/>
          <w:highlight w:val="none"/>
        </w:rPr>
      </w:pPr>
      <w:r>
        <w:rPr>
          <w:rFonts w:hint="eastAsia"/>
          <w:bCs/>
          <w:color w:val="auto"/>
          <w:highlight w:val="none"/>
        </w:rPr>
        <w:t>设备标识应固定牢固，立管标识的高度应便于观察。</w:t>
      </w:r>
    </w:p>
    <w:p w14:paraId="4B1D3E5B">
      <w:pPr>
        <w:keepNext w:val="0"/>
        <w:keepLines w:val="0"/>
        <w:pageBreakBefore w:val="0"/>
        <w:widowControl w:val="0"/>
        <w:numPr>
          <w:ilvl w:val="0"/>
          <w:numId w:val="62"/>
        </w:numPr>
        <w:tabs>
          <w:tab w:val="left" w:pos="40"/>
        </w:tabs>
        <w:kinsoku/>
        <w:wordWrap/>
        <w:overflowPunct/>
        <w:topLinePunct w:val="0"/>
        <w:autoSpaceDE/>
        <w:autoSpaceDN/>
        <w:bidi w:val="0"/>
        <w:adjustRightInd/>
        <w:snapToGrid w:val="0"/>
        <w:ind w:left="0" w:firstLine="480"/>
        <w:jc w:val="left"/>
        <w:textAlignment w:val="auto"/>
        <w:rPr>
          <w:bCs/>
          <w:color w:val="auto"/>
          <w:highlight w:val="none"/>
        </w:rPr>
      </w:pPr>
      <w:r>
        <w:rPr>
          <w:rFonts w:hint="eastAsia"/>
          <w:bCs/>
          <w:color w:val="auto"/>
          <w:highlight w:val="none"/>
        </w:rPr>
        <w:t>阀门都要求挂标识牌，标识牌应为1.0mm厚的不锈钢板，采用钢印方式标明阀门名称、所属系统、阀门用途及在系统运行时的启闭状态。</w:t>
      </w:r>
    </w:p>
    <w:p w14:paraId="494B175C">
      <w:pPr>
        <w:keepNext w:val="0"/>
        <w:keepLines w:val="0"/>
        <w:pageBreakBefore w:val="0"/>
        <w:widowControl w:val="0"/>
        <w:numPr>
          <w:ilvl w:val="0"/>
          <w:numId w:val="62"/>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标识使用汉字正楷，大小一致，字迹清晰，颜色一致醒目。用箭头标明水流方向，箭头指向明确，便于识别。</w:t>
      </w:r>
    </w:p>
    <w:bookmarkEnd w:id="582"/>
    <w:bookmarkEnd w:id="583"/>
    <w:bookmarkEnd w:id="584"/>
    <w:bookmarkEnd w:id="585"/>
    <w:bookmarkEnd w:id="586"/>
    <w:p w14:paraId="03D0BCA0">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bookmarkStart w:id="595" w:name="_Toc29741"/>
      <w:bookmarkStart w:id="596" w:name="_Toc31989"/>
      <w:bookmarkStart w:id="597" w:name="_Toc9996"/>
      <w:bookmarkStart w:id="598" w:name="_Toc13423"/>
      <w:bookmarkStart w:id="599" w:name="_Toc19768"/>
      <w:bookmarkStart w:id="600" w:name="_Toc14159"/>
      <w:bookmarkStart w:id="601" w:name="_Toc14470"/>
      <w:bookmarkStart w:id="602" w:name="_Toc1297"/>
      <w:bookmarkStart w:id="603" w:name="_Toc17575"/>
      <w:bookmarkStart w:id="604" w:name="_Toc31968"/>
      <w:bookmarkStart w:id="605" w:name="_Toc29575"/>
      <w:bookmarkStart w:id="606" w:name="_Toc13388"/>
      <w:bookmarkStart w:id="607" w:name="_Toc846"/>
      <w:r>
        <w:rPr>
          <w:rFonts w:hint="eastAsia"/>
          <w:color w:val="auto"/>
          <w:highlight w:val="none"/>
        </w:rPr>
        <w:t>强电</w:t>
      </w:r>
      <w:bookmarkEnd w:id="595"/>
      <w:bookmarkEnd w:id="596"/>
      <w:bookmarkEnd w:id="597"/>
      <w:bookmarkEnd w:id="598"/>
      <w:bookmarkEnd w:id="599"/>
      <w:bookmarkEnd w:id="600"/>
      <w:bookmarkEnd w:id="601"/>
      <w:bookmarkEnd w:id="602"/>
      <w:bookmarkEnd w:id="603"/>
      <w:bookmarkEnd w:id="604"/>
      <w:bookmarkEnd w:id="605"/>
      <w:bookmarkEnd w:id="606"/>
      <w:bookmarkEnd w:id="607"/>
    </w:p>
    <w:p w14:paraId="5C8FEFA5">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bookmarkStart w:id="608" w:name="_Toc387136961"/>
      <w:r>
        <w:rPr>
          <w:rFonts w:hint="eastAsia"/>
          <w:color w:val="auto"/>
          <w:highlight w:val="none"/>
        </w:rPr>
        <w:t>配管、穿线控制要点</w:t>
      </w:r>
      <w:bookmarkEnd w:id="608"/>
    </w:p>
    <w:p w14:paraId="659A6322">
      <w:pPr>
        <w:keepNext w:val="0"/>
        <w:keepLines w:val="0"/>
        <w:pageBreakBefore w:val="0"/>
        <w:widowControl w:val="0"/>
        <w:numPr>
          <w:ilvl w:val="0"/>
          <w:numId w:val="63"/>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配管的材料</w:t>
      </w:r>
    </w:p>
    <w:p w14:paraId="14E713AE">
      <w:pPr>
        <w:keepNext w:val="0"/>
        <w:keepLines w:val="0"/>
        <w:pageBreakBefore w:val="0"/>
        <w:widowControl w:val="0"/>
        <w:numPr>
          <w:ilvl w:val="0"/>
          <w:numId w:val="64"/>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金属管型号、规格符合施工样板、设计要求，管材表面有明显、不脱落的产品标识。</w:t>
      </w:r>
    </w:p>
    <w:p w14:paraId="7E68369D">
      <w:pPr>
        <w:keepNext w:val="0"/>
        <w:keepLines w:val="0"/>
        <w:pageBreakBefore w:val="0"/>
        <w:widowControl w:val="0"/>
        <w:numPr>
          <w:ilvl w:val="0"/>
          <w:numId w:val="64"/>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金属管壁厚均匀，管材、连接套管和金属附件表面光洁，无毛刺、飞边、砂眼、起跑、裂纹、变形等缺陷，焊缝均匀无毛刺，无劈裂、砂眼、棱刺和凹扁现象。</w:t>
      </w:r>
    </w:p>
    <w:p w14:paraId="1D61FC73">
      <w:pPr>
        <w:keepNext w:val="0"/>
        <w:keepLines w:val="0"/>
        <w:pageBreakBefore w:val="0"/>
        <w:widowControl w:val="0"/>
        <w:numPr>
          <w:ilvl w:val="0"/>
          <w:numId w:val="64"/>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镀锌钢管应采用热镀锌，内外镀层良好、均匀，无表皮剥落、锈蚀现象。</w:t>
      </w:r>
    </w:p>
    <w:p w14:paraId="1CE84D9C">
      <w:pPr>
        <w:keepNext w:val="0"/>
        <w:keepLines w:val="0"/>
        <w:pageBreakBefore w:val="0"/>
        <w:widowControl w:val="0"/>
        <w:numPr>
          <w:ilvl w:val="0"/>
          <w:numId w:val="64"/>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塑料管及其附件应具有阻燃、耐冲击的要求，其氧指数应大于27%。</w:t>
      </w:r>
    </w:p>
    <w:p w14:paraId="4ABF73E8">
      <w:pPr>
        <w:keepNext w:val="0"/>
        <w:keepLines w:val="0"/>
        <w:pageBreakBefore w:val="0"/>
        <w:widowControl w:val="0"/>
        <w:numPr>
          <w:ilvl w:val="0"/>
          <w:numId w:val="64"/>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金属软管内外须镀锌，无脱丝、无锈蚀。</w:t>
      </w:r>
    </w:p>
    <w:p w14:paraId="29BD3A37">
      <w:pPr>
        <w:keepNext w:val="0"/>
        <w:keepLines w:val="0"/>
        <w:pageBreakBefore w:val="0"/>
        <w:widowControl w:val="0"/>
        <w:numPr>
          <w:ilvl w:val="0"/>
          <w:numId w:val="63"/>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管路的敷设和连接</w:t>
      </w:r>
    </w:p>
    <w:p w14:paraId="2AE7E595">
      <w:pPr>
        <w:keepNext w:val="0"/>
        <w:keepLines w:val="0"/>
        <w:pageBreakBefore w:val="0"/>
        <w:widowControl w:val="0"/>
        <w:numPr>
          <w:ilvl w:val="0"/>
          <w:numId w:val="6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钢管暗配管弯曲半径不应小于管外径的６倍，埋设于地下或混凝土中时弯曲半径不应小于管外径的１０倍。</w:t>
      </w:r>
    </w:p>
    <w:p w14:paraId="45C09C85">
      <w:pPr>
        <w:keepNext w:val="0"/>
        <w:keepLines w:val="0"/>
        <w:pageBreakBefore w:val="0"/>
        <w:widowControl w:val="0"/>
        <w:numPr>
          <w:ilvl w:val="0"/>
          <w:numId w:val="6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明配管时弯曲半径不应小于管外径的６倍，当两接线盒间只有一个弯曲时，弯曲半径不应小于管外径的４倍。</w:t>
      </w:r>
    </w:p>
    <w:p w14:paraId="1E332FAA">
      <w:pPr>
        <w:keepNext w:val="0"/>
        <w:keepLines w:val="0"/>
        <w:pageBreakBefore w:val="0"/>
        <w:widowControl w:val="0"/>
        <w:numPr>
          <w:ilvl w:val="0"/>
          <w:numId w:val="6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线管的弯扁度避免大于0.1倍管外径。没有明显褶皱、凹陷。</w:t>
      </w:r>
    </w:p>
    <w:p w14:paraId="09C4F888">
      <w:pPr>
        <w:keepNext w:val="0"/>
        <w:keepLines w:val="0"/>
        <w:pageBreakBefore w:val="0"/>
        <w:widowControl w:val="0"/>
        <w:numPr>
          <w:ilvl w:val="0"/>
          <w:numId w:val="6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套丝连接要用通丝管箍，套丝不乱扣，管口要对严，连接后外露螺纹2-3扣。明配管必须采用套丝连接，避免采用套管焊接。塑料管应采用插入法连接，连接处结合面应涂专用胶粘剂，套管长度宜为管外径的1.5-3倍，插人深度直为管外径的1.1-1.8倍。</w:t>
      </w:r>
    </w:p>
    <w:p w14:paraId="3E5BF214">
      <w:pPr>
        <w:keepNext w:val="0"/>
        <w:keepLines w:val="0"/>
        <w:pageBreakBefore w:val="0"/>
        <w:widowControl w:val="0"/>
        <w:numPr>
          <w:ilvl w:val="0"/>
          <w:numId w:val="6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管敷设在多尘或潮湿场所时，管口及连接处均应密封。敷设在室外的配管应有防雨功能．管路连接处，丝头应缠防水胶布或缠麻抹铅油。</w:t>
      </w:r>
    </w:p>
    <w:p w14:paraId="2B52A93A">
      <w:pPr>
        <w:keepNext w:val="0"/>
        <w:keepLines w:val="0"/>
        <w:pageBreakBefore w:val="0"/>
        <w:widowControl w:val="0"/>
        <w:numPr>
          <w:ilvl w:val="0"/>
          <w:numId w:val="6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金属软管中间避免有接头，与设备器具相连时，采用专用接头，连接处应密封可靠，并带非金属护口。</w:t>
      </w:r>
    </w:p>
    <w:p w14:paraId="652FA5E1">
      <w:pPr>
        <w:keepNext w:val="0"/>
        <w:keepLines w:val="0"/>
        <w:pageBreakBefore w:val="0"/>
        <w:widowControl w:val="0"/>
        <w:numPr>
          <w:ilvl w:val="0"/>
          <w:numId w:val="65"/>
        </w:numPr>
        <w:tabs>
          <w:tab w:val="left" w:pos="40"/>
        </w:tabs>
        <w:kinsoku/>
        <w:wordWrap/>
        <w:overflowPunct/>
        <w:topLinePunct w:val="0"/>
        <w:autoSpaceDE/>
        <w:autoSpaceDN/>
        <w:bidi w:val="0"/>
        <w:adjustRightInd/>
        <w:snapToGrid w:val="0"/>
        <w:ind w:left="0" w:firstLine="480"/>
        <w:jc w:val="left"/>
        <w:textAlignment w:val="auto"/>
        <w:rPr>
          <w:bCs/>
          <w:color w:val="auto"/>
          <w:highlight w:val="none"/>
        </w:rPr>
      </w:pPr>
      <w:r>
        <w:rPr>
          <w:rFonts w:hint="eastAsia"/>
          <w:bCs/>
          <w:color w:val="auto"/>
          <w:highlight w:val="none"/>
        </w:rPr>
        <w:t>套接紧定式钢导管电线管（JDG管）连接方式为紧定式，应采用专用工具进行，不应敲打形成压点。</w:t>
      </w:r>
    </w:p>
    <w:p w14:paraId="62071667">
      <w:pPr>
        <w:keepNext w:val="0"/>
        <w:keepLines w:val="0"/>
        <w:pageBreakBefore w:val="0"/>
        <w:widowControl w:val="0"/>
        <w:numPr>
          <w:ilvl w:val="0"/>
          <w:numId w:val="65"/>
        </w:numPr>
        <w:tabs>
          <w:tab w:val="left" w:pos="40"/>
        </w:tabs>
        <w:kinsoku/>
        <w:wordWrap/>
        <w:overflowPunct/>
        <w:topLinePunct w:val="0"/>
        <w:autoSpaceDE/>
        <w:autoSpaceDN/>
        <w:bidi w:val="0"/>
        <w:adjustRightInd/>
        <w:snapToGrid w:val="0"/>
        <w:ind w:left="0" w:firstLine="480"/>
        <w:jc w:val="left"/>
        <w:textAlignment w:val="auto"/>
        <w:rPr>
          <w:bCs/>
          <w:color w:val="auto"/>
          <w:highlight w:val="none"/>
        </w:rPr>
      </w:pPr>
      <w:r>
        <w:rPr>
          <w:rFonts w:hint="eastAsia"/>
          <w:bCs/>
          <w:color w:val="auto"/>
          <w:highlight w:val="none"/>
        </w:rPr>
        <w:t>线管明敷设时，布置要按照横平竖直、注重观感的原则，空间布置要合理。管路要弹线定位，其水平和垂直安装的允许偏差为1.5‰，全长偏差不应大于管内径的1/2。</w:t>
      </w:r>
    </w:p>
    <w:p w14:paraId="1C4C0891">
      <w:pPr>
        <w:keepNext w:val="0"/>
        <w:keepLines w:val="0"/>
        <w:pageBreakBefore w:val="0"/>
        <w:widowControl w:val="0"/>
        <w:numPr>
          <w:ilvl w:val="0"/>
          <w:numId w:val="6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线管明敷设时管路排列整齐，固定点牢固，间距均匀，其最大间距应符合下表规定：</w:t>
      </w:r>
    </w:p>
    <w:tbl>
      <w:tblPr>
        <w:tblStyle w:val="22"/>
        <w:tblW w:w="7676"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807"/>
        <w:gridCol w:w="1055"/>
        <w:gridCol w:w="118"/>
        <w:gridCol w:w="1789"/>
        <w:gridCol w:w="1907"/>
      </w:tblGrid>
      <w:tr w14:paraId="0C3B1A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07" w:type="dxa"/>
            <w:vMerge w:val="restart"/>
            <w:vAlign w:val="center"/>
          </w:tcPr>
          <w:p w14:paraId="4E72D15A">
            <w:pPr>
              <w:keepNext w:val="0"/>
              <w:keepLines w:val="0"/>
              <w:pageBreakBefore w:val="0"/>
              <w:widowControl w:val="0"/>
              <w:numPr>
                <w:ilvl w:val="0"/>
                <w:numId w:val="0"/>
              </w:numPr>
              <w:kinsoku/>
              <w:wordWrap/>
              <w:overflowPunct/>
              <w:topLinePunct w:val="0"/>
              <w:autoSpaceDE/>
              <w:autoSpaceDN/>
              <w:bidi w:val="0"/>
              <w:spacing w:after="72" w:line="240" w:lineRule="auto"/>
              <w:jc w:val="center"/>
              <w:rPr>
                <w:rFonts w:cs="仿宋"/>
                <w:color w:val="auto"/>
                <w:sz w:val="24"/>
                <w:szCs w:val="24"/>
                <w:highlight w:val="none"/>
              </w:rPr>
            </w:pPr>
            <w:r>
              <w:rPr>
                <w:rFonts w:hint="eastAsia" w:cs="仿宋"/>
                <w:color w:val="auto"/>
                <w:sz w:val="24"/>
                <w:szCs w:val="24"/>
                <w:highlight w:val="none"/>
              </w:rPr>
              <w:t>敷设方式</w:t>
            </w:r>
          </w:p>
        </w:tc>
        <w:tc>
          <w:tcPr>
            <w:tcW w:w="4869" w:type="dxa"/>
            <w:gridSpan w:val="4"/>
            <w:vAlign w:val="center"/>
          </w:tcPr>
          <w:p w14:paraId="7BF96FCD">
            <w:pPr>
              <w:keepNext w:val="0"/>
              <w:keepLines w:val="0"/>
              <w:pageBreakBefore w:val="0"/>
              <w:widowControl w:val="0"/>
              <w:numPr>
                <w:ilvl w:val="0"/>
                <w:numId w:val="0"/>
              </w:numPr>
              <w:kinsoku/>
              <w:wordWrap/>
              <w:overflowPunct/>
              <w:topLinePunct w:val="0"/>
              <w:autoSpaceDE/>
              <w:autoSpaceDN/>
              <w:bidi w:val="0"/>
              <w:spacing w:after="72" w:line="240" w:lineRule="auto"/>
              <w:jc w:val="center"/>
              <w:rPr>
                <w:rFonts w:cs="仿宋"/>
                <w:color w:val="auto"/>
                <w:sz w:val="24"/>
                <w:szCs w:val="24"/>
                <w:highlight w:val="none"/>
              </w:rPr>
            </w:pPr>
            <w:r>
              <w:rPr>
                <w:rFonts w:hint="eastAsia" w:cs="仿宋"/>
                <w:color w:val="auto"/>
                <w:sz w:val="24"/>
                <w:szCs w:val="24"/>
                <w:highlight w:val="none"/>
              </w:rPr>
              <w:t>导管直径（mm）</w:t>
            </w:r>
          </w:p>
        </w:tc>
      </w:tr>
      <w:tr w14:paraId="3832CC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07" w:type="dxa"/>
            <w:vMerge w:val="continue"/>
            <w:vAlign w:val="center"/>
          </w:tcPr>
          <w:p w14:paraId="565D8BC4">
            <w:pPr>
              <w:keepNext w:val="0"/>
              <w:keepLines w:val="0"/>
              <w:pageBreakBefore w:val="0"/>
              <w:widowControl w:val="0"/>
              <w:numPr>
                <w:ilvl w:val="0"/>
                <w:numId w:val="0"/>
              </w:numPr>
              <w:kinsoku/>
              <w:wordWrap/>
              <w:overflowPunct/>
              <w:topLinePunct w:val="0"/>
              <w:autoSpaceDE/>
              <w:autoSpaceDN/>
              <w:bidi w:val="0"/>
              <w:spacing w:after="72" w:line="240" w:lineRule="auto"/>
              <w:jc w:val="center"/>
              <w:rPr>
                <w:rFonts w:cs="仿宋"/>
                <w:color w:val="auto"/>
                <w:sz w:val="24"/>
                <w:szCs w:val="24"/>
                <w:highlight w:val="none"/>
              </w:rPr>
            </w:pPr>
          </w:p>
        </w:tc>
        <w:tc>
          <w:tcPr>
            <w:tcW w:w="1173" w:type="dxa"/>
            <w:gridSpan w:val="2"/>
            <w:vAlign w:val="center"/>
          </w:tcPr>
          <w:p w14:paraId="0B218298">
            <w:pPr>
              <w:keepNext w:val="0"/>
              <w:keepLines w:val="0"/>
              <w:pageBreakBefore w:val="0"/>
              <w:widowControl w:val="0"/>
              <w:numPr>
                <w:ilvl w:val="0"/>
                <w:numId w:val="0"/>
              </w:numPr>
              <w:kinsoku/>
              <w:wordWrap/>
              <w:overflowPunct/>
              <w:topLinePunct w:val="0"/>
              <w:autoSpaceDE/>
              <w:autoSpaceDN/>
              <w:bidi w:val="0"/>
              <w:spacing w:after="72" w:line="240" w:lineRule="auto"/>
              <w:jc w:val="center"/>
              <w:rPr>
                <w:rFonts w:cs="仿宋"/>
                <w:color w:val="auto"/>
                <w:sz w:val="24"/>
                <w:szCs w:val="24"/>
                <w:highlight w:val="none"/>
              </w:rPr>
            </w:pPr>
            <w:r>
              <w:rPr>
                <w:rFonts w:hint="eastAsia" w:cs="仿宋"/>
                <w:color w:val="auto"/>
                <w:sz w:val="24"/>
                <w:szCs w:val="24"/>
                <w:highlight w:val="none"/>
              </w:rPr>
              <w:t>16-20</w:t>
            </w:r>
          </w:p>
        </w:tc>
        <w:tc>
          <w:tcPr>
            <w:tcW w:w="1789" w:type="dxa"/>
            <w:vAlign w:val="center"/>
          </w:tcPr>
          <w:p w14:paraId="6B063784">
            <w:pPr>
              <w:keepNext w:val="0"/>
              <w:keepLines w:val="0"/>
              <w:pageBreakBefore w:val="0"/>
              <w:widowControl w:val="0"/>
              <w:numPr>
                <w:ilvl w:val="0"/>
                <w:numId w:val="0"/>
              </w:numPr>
              <w:kinsoku/>
              <w:wordWrap/>
              <w:overflowPunct/>
              <w:topLinePunct w:val="0"/>
              <w:autoSpaceDE/>
              <w:autoSpaceDN/>
              <w:bidi w:val="0"/>
              <w:spacing w:after="72" w:line="240" w:lineRule="auto"/>
              <w:jc w:val="center"/>
              <w:rPr>
                <w:rFonts w:cs="仿宋"/>
                <w:color w:val="auto"/>
                <w:sz w:val="24"/>
                <w:szCs w:val="24"/>
                <w:highlight w:val="none"/>
              </w:rPr>
            </w:pPr>
            <w:r>
              <w:rPr>
                <w:rFonts w:hint="eastAsia" w:cs="仿宋"/>
                <w:color w:val="auto"/>
                <w:sz w:val="24"/>
                <w:szCs w:val="24"/>
                <w:highlight w:val="none"/>
              </w:rPr>
              <w:t>25-32</w:t>
            </w:r>
          </w:p>
        </w:tc>
        <w:tc>
          <w:tcPr>
            <w:tcW w:w="1907" w:type="dxa"/>
            <w:vAlign w:val="center"/>
          </w:tcPr>
          <w:p w14:paraId="7BA91780">
            <w:pPr>
              <w:keepNext w:val="0"/>
              <w:keepLines w:val="0"/>
              <w:pageBreakBefore w:val="0"/>
              <w:widowControl w:val="0"/>
              <w:numPr>
                <w:ilvl w:val="0"/>
                <w:numId w:val="0"/>
              </w:numPr>
              <w:kinsoku/>
              <w:wordWrap/>
              <w:overflowPunct/>
              <w:topLinePunct w:val="0"/>
              <w:autoSpaceDE/>
              <w:autoSpaceDN/>
              <w:bidi w:val="0"/>
              <w:spacing w:after="72" w:line="240" w:lineRule="auto"/>
              <w:jc w:val="center"/>
              <w:rPr>
                <w:rFonts w:cs="仿宋"/>
                <w:color w:val="auto"/>
                <w:sz w:val="24"/>
                <w:szCs w:val="24"/>
                <w:highlight w:val="none"/>
              </w:rPr>
            </w:pPr>
            <w:r>
              <w:rPr>
                <w:rFonts w:hint="eastAsia" w:cs="仿宋"/>
                <w:color w:val="auto"/>
                <w:sz w:val="24"/>
                <w:szCs w:val="24"/>
                <w:highlight w:val="none"/>
              </w:rPr>
              <w:t>40-50</w:t>
            </w:r>
          </w:p>
        </w:tc>
      </w:tr>
      <w:tr w14:paraId="373D9B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07" w:type="dxa"/>
            <w:vMerge w:val="continue"/>
            <w:vAlign w:val="center"/>
          </w:tcPr>
          <w:p w14:paraId="7B796463">
            <w:pPr>
              <w:keepNext w:val="0"/>
              <w:keepLines w:val="0"/>
              <w:pageBreakBefore w:val="0"/>
              <w:widowControl w:val="0"/>
              <w:numPr>
                <w:ilvl w:val="0"/>
                <w:numId w:val="0"/>
              </w:numPr>
              <w:kinsoku/>
              <w:wordWrap/>
              <w:overflowPunct/>
              <w:topLinePunct w:val="0"/>
              <w:autoSpaceDE/>
              <w:autoSpaceDN/>
              <w:bidi w:val="0"/>
              <w:spacing w:after="72" w:line="240" w:lineRule="auto"/>
              <w:jc w:val="center"/>
              <w:rPr>
                <w:rFonts w:cs="仿宋"/>
                <w:color w:val="auto"/>
                <w:sz w:val="24"/>
                <w:szCs w:val="24"/>
                <w:highlight w:val="none"/>
              </w:rPr>
            </w:pPr>
          </w:p>
        </w:tc>
        <w:tc>
          <w:tcPr>
            <w:tcW w:w="4869" w:type="dxa"/>
            <w:gridSpan w:val="4"/>
            <w:vAlign w:val="center"/>
          </w:tcPr>
          <w:p w14:paraId="71C1F191">
            <w:pPr>
              <w:keepNext w:val="0"/>
              <w:keepLines w:val="0"/>
              <w:pageBreakBefore w:val="0"/>
              <w:widowControl w:val="0"/>
              <w:numPr>
                <w:ilvl w:val="0"/>
                <w:numId w:val="0"/>
              </w:numPr>
              <w:kinsoku/>
              <w:wordWrap/>
              <w:overflowPunct/>
              <w:topLinePunct w:val="0"/>
              <w:autoSpaceDE/>
              <w:autoSpaceDN/>
              <w:bidi w:val="0"/>
              <w:spacing w:after="72" w:line="240" w:lineRule="auto"/>
              <w:jc w:val="center"/>
              <w:rPr>
                <w:rFonts w:cs="仿宋"/>
                <w:color w:val="auto"/>
                <w:sz w:val="24"/>
                <w:szCs w:val="24"/>
                <w:highlight w:val="none"/>
              </w:rPr>
            </w:pPr>
            <w:r>
              <w:rPr>
                <w:rFonts w:hint="eastAsia" w:cs="仿宋"/>
                <w:color w:val="auto"/>
                <w:sz w:val="24"/>
                <w:szCs w:val="24"/>
                <w:highlight w:val="none"/>
              </w:rPr>
              <w:t>固定点间的最大距离（m）</w:t>
            </w:r>
          </w:p>
        </w:tc>
      </w:tr>
      <w:tr w14:paraId="317413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807" w:type="dxa"/>
            <w:vAlign w:val="center"/>
          </w:tcPr>
          <w:p w14:paraId="6B77A563">
            <w:pPr>
              <w:keepNext w:val="0"/>
              <w:keepLines w:val="0"/>
              <w:pageBreakBefore w:val="0"/>
              <w:widowControl w:val="0"/>
              <w:numPr>
                <w:ilvl w:val="0"/>
                <w:numId w:val="0"/>
              </w:numPr>
              <w:kinsoku/>
              <w:wordWrap/>
              <w:overflowPunct/>
              <w:topLinePunct w:val="0"/>
              <w:autoSpaceDE/>
              <w:autoSpaceDN/>
              <w:bidi w:val="0"/>
              <w:spacing w:after="72" w:line="240" w:lineRule="auto"/>
              <w:jc w:val="center"/>
              <w:rPr>
                <w:rFonts w:cs="仿宋"/>
                <w:color w:val="auto"/>
                <w:sz w:val="24"/>
                <w:szCs w:val="24"/>
                <w:highlight w:val="none"/>
              </w:rPr>
            </w:pPr>
            <w:r>
              <w:rPr>
                <w:rFonts w:hint="eastAsia" w:cs="仿宋"/>
                <w:color w:val="auto"/>
                <w:sz w:val="24"/>
                <w:szCs w:val="24"/>
                <w:highlight w:val="none"/>
              </w:rPr>
              <w:t>吊架、支架或沿墙敷设</w:t>
            </w:r>
          </w:p>
        </w:tc>
        <w:tc>
          <w:tcPr>
            <w:tcW w:w="1055" w:type="dxa"/>
            <w:vAlign w:val="center"/>
          </w:tcPr>
          <w:p w14:paraId="4BC14BBB">
            <w:pPr>
              <w:keepNext w:val="0"/>
              <w:keepLines w:val="0"/>
              <w:pageBreakBefore w:val="0"/>
              <w:widowControl w:val="0"/>
              <w:numPr>
                <w:ilvl w:val="0"/>
                <w:numId w:val="0"/>
              </w:numPr>
              <w:kinsoku/>
              <w:wordWrap/>
              <w:overflowPunct/>
              <w:topLinePunct w:val="0"/>
              <w:autoSpaceDE/>
              <w:autoSpaceDN/>
              <w:bidi w:val="0"/>
              <w:spacing w:after="72" w:line="240" w:lineRule="auto"/>
              <w:jc w:val="center"/>
              <w:rPr>
                <w:rFonts w:cs="仿宋"/>
                <w:color w:val="auto"/>
                <w:sz w:val="24"/>
                <w:szCs w:val="24"/>
                <w:highlight w:val="none"/>
              </w:rPr>
            </w:pPr>
            <w:r>
              <w:rPr>
                <w:rFonts w:hint="eastAsia" w:cs="仿宋"/>
                <w:color w:val="auto"/>
                <w:sz w:val="24"/>
                <w:szCs w:val="24"/>
                <w:highlight w:val="none"/>
              </w:rPr>
              <w:t>1.0</w:t>
            </w:r>
          </w:p>
        </w:tc>
        <w:tc>
          <w:tcPr>
            <w:tcW w:w="1907" w:type="dxa"/>
            <w:gridSpan w:val="2"/>
            <w:vAlign w:val="center"/>
          </w:tcPr>
          <w:p w14:paraId="7B774B5C">
            <w:pPr>
              <w:keepNext w:val="0"/>
              <w:keepLines w:val="0"/>
              <w:pageBreakBefore w:val="0"/>
              <w:widowControl w:val="0"/>
              <w:numPr>
                <w:ilvl w:val="0"/>
                <w:numId w:val="0"/>
              </w:numPr>
              <w:kinsoku/>
              <w:wordWrap/>
              <w:overflowPunct/>
              <w:topLinePunct w:val="0"/>
              <w:autoSpaceDE/>
              <w:autoSpaceDN/>
              <w:bidi w:val="0"/>
              <w:spacing w:after="72" w:line="240" w:lineRule="auto"/>
              <w:jc w:val="center"/>
              <w:rPr>
                <w:rFonts w:cs="仿宋"/>
                <w:color w:val="auto"/>
                <w:sz w:val="24"/>
                <w:szCs w:val="24"/>
                <w:highlight w:val="none"/>
              </w:rPr>
            </w:pPr>
            <w:r>
              <w:rPr>
                <w:rFonts w:hint="eastAsia" w:cs="仿宋"/>
                <w:color w:val="auto"/>
                <w:sz w:val="24"/>
                <w:szCs w:val="24"/>
                <w:highlight w:val="none"/>
              </w:rPr>
              <w:t>1.5</w:t>
            </w:r>
          </w:p>
        </w:tc>
        <w:tc>
          <w:tcPr>
            <w:tcW w:w="1907" w:type="dxa"/>
            <w:vAlign w:val="center"/>
          </w:tcPr>
          <w:p w14:paraId="62EB5D9C">
            <w:pPr>
              <w:keepNext w:val="0"/>
              <w:keepLines w:val="0"/>
              <w:pageBreakBefore w:val="0"/>
              <w:widowControl w:val="0"/>
              <w:numPr>
                <w:ilvl w:val="0"/>
                <w:numId w:val="0"/>
              </w:numPr>
              <w:kinsoku/>
              <w:wordWrap/>
              <w:overflowPunct/>
              <w:topLinePunct w:val="0"/>
              <w:autoSpaceDE/>
              <w:autoSpaceDN/>
              <w:bidi w:val="0"/>
              <w:spacing w:after="72" w:line="240" w:lineRule="auto"/>
              <w:jc w:val="center"/>
              <w:rPr>
                <w:rFonts w:cs="仿宋"/>
                <w:color w:val="auto"/>
                <w:sz w:val="24"/>
                <w:szCs w:val="24"/>
                <w:highlight w:val="none"/>
              </w:rPr>
            </w:pPr>
            <w:r>
              <w:rPr>
                <w:rFonts w:hint="eastAsia" w:cs="仿宋"/>
                <w:color w:val="auto"/>
                <w:sz w:val="24"/>
                <w:szCs w:val="24"/>
                <w:highlight w:val="none"/>
              </w:rPr>
              <w:t>2.0</w:t>
            </w:r>
          </w:p>
        </w:tc>
      </w:tr>
    </w:tbl>
    <w:p w14:paraId="3C5C5BFC">
      <w:pPr>
        <w:keepNext w:val="0"/>
        <w:keepLines w:val="0"/>
        <w:pageBreakBefore w:val="0"/>
        <w:widowControl w:val="0"/>
        <w:numPr>
          <w:ilvl w:val="0"/>
          <w:numId w:val="6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线管明敷设时，不同专业的线管应统一进行综合排布，在满足各专业规范要求条件下，排布整齐，间距均匀，机电综合承包商进行线管的综合排布。</w:t>
      </w:r>
    </w:p>
    <w:p w14:paraId="3E65CC2C">
      <w:pPr>
        <w:keepNext w:val="0"/>
        <w:keepLines w:val="0"/>
        <w:pageBreakBefore w:val="0"/>
        <w:widowControl w:val="0"/>
        <w:numPr>
          <w:ilvl w:val="0"/>
          <w:numId w:val="6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暗配管当配管长度超过以下长度时要加接线盒，无弯时30m，有一个弯时20m，有两个弯时15m，有三个弯时8m，不允许有四个弯。</w:t>
      </w:r>
    </w:p>
    <w:p w14:paraId="5F85257E">
      <w:pPr>
        <w:keepNext w:val="0"/>
        <w:keepLines w:val="0"/>
        <w:pageBreakBefore w:val="0"/>
        <w:widowControl w:val="0"/>
        <w:numPr>
          <w:ilvl w:val="0"/>
          <w:numId w:val="6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暗配管要固定牢固，混凝土中每隔1m用铅丝与钢筋绑扎，接线盒旁15cm以内必须用铅丝与钢筋绑扎。塑料管应加大固定密度，减少浇捣混凝土时的冲击。禁止在线管与线管、线管与钢筋间用电焊固定。</w:t>
      </w:r>
    </w:p>
    <w:p w14:paraId="49A7CEFA">
      <w:pPr>
        <w:keepNext w:val="0"/>
        <w:keepLines w:val="0"/>
        <w:pageBreakBefore w:val="0"/>
        <w:widowControl w:val="0"/>
        <w:numPr>
          <w:ilvl w:val="0"/>
          <w:numId w:val="6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埋人墙或地面的线管应尽量减少重叠高度，严禁出现三条及以上的线管重叠，线管应至少有15mm保护层。管与管间应至少有25mm间隙以免浇注时混凝土不能渗人。</w:t>
      </w:r>
    </w:p>
    <w:p w14:paraId="0B01DDCB">
      <w:pPr>
        <w:keepNext w:val="0"/>
        <w:keepLines w:val="0"/>
        <w:pageBreakBefore w:val="0"/>
        <w:widowControl w:val="0"/>
        <w:numPr>
          <w:ilvl w:val="0"/>
          <w:numId w:val="6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吊顶内敷设的管线应有单独的支架，避免在管道、龙骨等上面固定，但直径在20mm及以下的钢管，直径在25mm以下的电线管可利用吊顶的吊杆或主龙骨敷设。</w:t>
      </w:r>
    </w:p>
    <w:p w14:paraId="0B490E82">
      <w:pPr>
        <w:keepNext w:val="0"/>
        <w:keepLines w:val="0"/>
        <w:pageBreakBefore w:val="0"/>
        <w:widowControl w:val="0"/>
        <w:numPr>
          <w:ilvl w:val="0"/>
          <w:numId w:val="6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明配管的固定支架、吊杆要根据其受力情况、外观形状、高度调节方式来确定，确定后要统一预制、刷防锈漆且面漆颜色要一致，安装时排列朝向一致，间距一致，无变形扭曲现象。</w:t>
      </w:r>
    </w:p>
    <w:p w14:paraId="29F70D0A">
      <w:pPr>
        <w:keepNext w:val="0"/>
        <w:keepLines w:val="0"/>
        <w:pageBreakBefore w:val="0"/>
        <w:widowControl w:val="0"/>
        <w:numPr>
          <w:ilvl w:val="0"/>
          <w:numId w:val="6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配管避免出现半明半暗现象，避免用明管代替不通的管路。</w:t>
      </w:r>
    </w:p>
    <w:p w14:paraId="02DD7FEC">
      <w:pPr>
        <w:keepNext w:val="0"/>
        <w:keepLines w:val="0"/>
        <w:pageBreakBefore w:val="0"/>
        <w:widowControl w:val="0"/>
        <w:numPr>
          <w:ilvl w:val="0"/>
          <w:numId w:val="6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成排明管敷设应保证管间距一致，卡具、连接点、接线盒排列有序。</w:t>
      </w:r>
    </w:p>
    <w:p w14:paraId="53AF215D">
      <w:pPr>
        <w:keepNext w:val="0"/>
        <w:keepLines w:val="0"/>
        <w:pageBreakBefore w:val="0"/>
        <w:widowControl w:val="0"/>
        <w:numPr>
          <w:ilvl w:val="0"/>
          <w:numId w:val="6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明配管固定间距为：管卡与中间、转弯中间、器具或接线盒边缘的距离为150-500mm。</w:t>
      </w:r>
    </w:p>
    <w:p w14:paraId="7238ADBB">
      <w:pPr>
        <w:keepNext w:val="0"/>
        <w:keepLines w:val="0"/>
        <w:pageBreakBefore w:val="0"/>
        <w:widowControl w:val="0"/>
        <w:numPr>
          <w:ilvl w:val="0"/>
          <w:numId w:val="6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在上人吊顶、竖井内避免出现拦腰管和绊脚管。</w:t>
      </w:r>
    </w:p>
    <w:p w14:paraId="759F8BD1">
      <w:pPr>
        <w:keepNext w:val="0"/>
        <w:keepLines w:val="0"/>
        <w:pageBreakBefore w:val="0"/>
        <w:widowControl w:val="0"/>
        <w:numPr>
          <w:ilvl w:val="0"/>
          <w:numId w:val="65"/>
        </w:numPr>
        <w:tabs>
          <w:tab w:val="left" w:pos="40"/>
        </w:tabs>
        <w:kinsoku/>
        <w:wordWrap/>
        <w:overflowPunct/>
        <w:topLinePunct w:val="0"/>
        <w:autoSpaceDE/>
        <w:autoSpaceDN/>
        <w:bidi w:val="0"/>
        <w:adjustRightInd/>
        <w:snapToGrid w:val="0"/>
        <w:ind w:left="0" w:firstLine="480"/>
        <w:jc w:val="left"/>
        <w:textAlignment w:val="auto"/>
        <w:rPr>
          <w:bCs/>
          <w:color w:val="auto"/>
          <w:highlight w:val="none"/>
        </w:rPr>
      </w:pPr>
      <w:r>
        <w:rPr>
          <w:rFonts w:hint="eastAsia"/>
          <w:bCs/>
          <w:color w:val="auto"/>
          <w:highlight w:val="none"/>
        </w:rPr>
        <w:t>煤气管道与电缆引人管的进线箱水平距离不小于20cm（管外壁到箱外壁）；与明装或暗装电线管的水平间距均不小于10cm；与明装或暗装在墙内的闸箱、表盘、接线盒的水平间距离不小于10cm。</w:t>
      </w:r>
    </w:p>
    <w:p w14:paraId="618C6710">
      <w:pPr>
        <w:keepNext w:val="0"/>
        <w:keepLines w:val="0"/>
        <w:pageBreakBefore w:val="0"/>
        <w:widowControl w:val="0"/>
        <w:numPr>
          <w:ilvl w:val="0"/>
          <w:numId w:val="65"/>
        </w:numPr>
        <w:tabs>
          <w:tab w:val="left" w:pos="40"/>
        </w:tabs>
        <w:kinsoku/>
        <w:wordWrap/>
        <w:overflowPunct/>
        <w:topLinePunct w:val="0"/>
        <w:autoSpaceDE/>
        <w:autoSpaceDN/>
        <w:bidi w:val="0"/>
        <w:adjustRightInd/>
        <w:snapToGrid w:val="0"/>
        <w:ind w:left="0" w:firstLine="480"/>
        <w:jc w:val="left"/>
        <w:textAlignment w:val="auto"/>
        <w:rPr>
          <w:bCs/>
          <w:color w:val="auto"/>
          <w:highlight w:val="none"/>
        </w:rPr>
      </w:pPr>
      <w:r>
        <w:rPr>
          <w:rFonts w:hint="eastAsia"/>
          <w:bCs/>
          <w:color w:val="auto"/>
          <w:highlight w:val="none"/>
        </w:rPr>
        <w:t>明配硬塑料管在穿过楼板时易受机械损伤的地方，应采用钢管保护，其保护高度距楼板表面的距离不应小于500mm。</w:t>
      </w:r>
    </w:p>
    <w:p w14:paraId="5ACDB78A">
      <w:pPr>
        <w:keepNext w:val="0"/>
        <w:keepLines w:val="0"/>
        <w:pageBreakBefore w:val="0"/>
        <w:widowControl w:val="0"/>
        <w:numPr>
          <w:ilvl w:val="0"/>
          <w:numId w:val="6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钢管与电气设备、器具间的金属软管长度避免大于2m，固定间距不应大于1m，管卡与管端、弯头中点的距离直为300mm，与嵌人式灯具及类似器具连接时，其末端固定管卡，宜安装在自灯具边缘起沿软管长度的1m处。金属软管避免直埋于地下或混凝土中，金属软管避免作灯与灯之间的导管。</w:t>
      </w:r>
    </w:p>
    <w:p w14:paraId="388AF2DA">
      <w:pPr>
        <w:keepNext w:val="0"/>
        <w:keepLines w:val="0"/>
        <w:pageBreakBefore w:val="0"/>
        <w:widowControl w:val="0"/>
        <w:numPr>
          <w:ilvl w:val="0"/>
          <w:numId w:val="63"/>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管入箱、盒的处理</w:t>
      </w:r>
    </w:p>
    <w:p w14:paraId="4592F9B2">
      <w:pPr>
        <w:keepNext w:val="0"/>
        <w:keepLines w:val="0"/>
        <w:pageBreakBefore w:val="0"/>
        <w:widowControl w:val="0"/>
        <w:numPr>
          <w:ilvl w:val="0"/>
          <w:numId w:val="66"/>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开孔应整齐并与管径一致，要求一管一孔，须采用锁扣链接，避免开长孔。</w:t>
      </w:r>
    </w:p>
    <w:p w14:paraId="4BE8F235">
      <w:pPr>
        <w:keepNext w:val="0"/>
        <w:keepLines w:val="0"/>
        <w:pageBreakBefore w:val="0"/>
        <w:widowControl w:val="0"/>
        <w:numPr>
          <w:ilvl w:val="0"/>
          <w:numId w:val="66"/>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进入灯头盒、开关盒的线管数量不宜超过4根，否则应选用大型盒。</w:t>
      </w:r>
    </w:p>
    <w:p w14:paraId="08E0C04E">
      <w:pPr>
        <w:keepNext w:val="0"/>
        <w:keepLines w:val="0"/>
        <w:pageBreakBefore w:val="0"/>
        <w:widowControl w:val="0"/>
        <w:numPr>
          <w:ilvl w:val="0"/>
          <w:numId w:val="66"/>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两根以上配管并排进人箱盒，间距要均匀，排列整齐一致。</w:t>
      </w:r>
    </w:p>
    <w:p w14:paraId="10F9A19E">
      <w:pPr>
        <w:keepNext w:val="0"/>
        <w:keepLines w:val="0"/>
        <w:pageBreakBefore w:val="0"/>
        <w:widowControl w:val="0"/>
        <w:numPr>
          <w:ilvl w:val="0"/>
          <w:numId w:val="66"/>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管进人箱盒时，盒内外侧应装有锁紧螺母固定。</w:t>
      </w:r>
    </w:p>
    <w:p w14:paraId="36BE75A6">
      <w:pPr>
        <w:keepNext w:val="0"/>
        <w:keepLines w:val="0"/>
        <w:pageBreakBefore w:val="0"/>
        <w:widowControl w:val="0"/>
        <w:numPr>
          <w:ilvl w:val="0"/>
          <w:numId w:val="66"/>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进人落地式配电箱柜的管线，排列应整齐，管口宜高出基础地面50-80mm。</w:t>
      </w:r>
    </w:p>
    <w:p w14:paraId="35E0E0DD">
      <w:pPr>
        <w:keepNext w:val="0"/>
        <w:keepLines w:val="0"/>
        <w:pageBreakBefore w:val="0"/>
        <w:widowControl w:val="0"/>
        <w:numPr>
          <w:ilvl w:val="0"/>
          <w:numId w:val="66"/>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对地面的插座甩出管、顶板的开关甩出管、电机的出线管、暗配管做法与明配管做法的接口部位要考虑将来的观感，尽量作到位置准确，特别注意保证位置准确、间距一致、高度适当，管口要套丝，必要时焊接接地螺丝。尤其应注意甩出管的成品保护，防止管路堵塞。</w:t>
      </w:r>
    </w:p>
    <w:p w14:paraId="26A075B6">
      <w:pPr>
        <w:keepNext w:val="0"/>
        <w:keepLines w:val="0"/>
        <w:pageBreakBefore w:val="0"/>
        <w:widowControl w:val="0"/>
        <w:numPr>
          <w:ilvl w:val="0"/>
          <w:numId w:val="66"/>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沿墙、沿柱电管敷设需暗敷。</w:t>
      </w:r>
    </w:p>
    <w:p w14:paraId="1B61AD3E">
      <w:pPr>
        <w:keepNext w:val="0"/>
        <w:keepLines w:val="0"/>
        <w:pageBreakBefore w:val="0"/>
        <w:widowControl w:val="0"/>
        <w:numPr>
          <w:ilvl w:val="0"/>
          <w:numId w:val="63"/>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箱、盒的安装控制要求</w:t>
      </w:r>
    </w:p>
    <w:p w14:paraId="3248B7A5">
      <w:pPr>
        <w:keepNext w:val="0"/>
        <w:keepLines w:val="0"/>
        <w:pageBreakBefore w:val="0"/>
        <w:widowControl w:val="0"/>
        <w:numPr>
          <w:ilvl w:val="0"/>
          <w:numId w:val="67"/>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混凝土墙体配管时，为保证标高准确，宜在混凝土墙体上预留相应的孔洞，待准确定位后再进行线盒安装工作。</w:t>
      </w:r>
    </w:p>
    <w:p w14:paraId="2B125651">
      <w:pPr>
        <w:keepNext w:val="0"/>
        <w:keepLines w:val="0"/>
        <w:pageBreakBefore w:val="0"/>
        <w:widowControl w:val="0"/>
        <w:numPr>
          <w:ilvl w:val="0"/>
          <w:numId w:val="67"/>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箱、盒在安装过程中要固定支撑牢固，箱、盒周围应加设钢筋，保证暗装的箱、盒不受力变形，盒应封包严密，防止进入沙浆。</w:t>
      </w:r>
    </w:p>
    <w:p w14:paraId="62B15333">
      <w:pPr>
        <w:keepNext w:val="0"/>
        <w:keepLines w:val="0"/>
        <w:pageBreakBefore w:val="0"/>
        <w:widowControl w:val="0"/>
        <w:numPr>
          <w:ilvl w:val="0"/>
          <w:numId w:val="67"/>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宜采用一次冲压成型的接线盒，自制的箱盒要处理方正坚实，周围磨口干净，刷防锈漆。</w:t>
      </w:r>
    </w:p>
    <w:p w14:paraId="5B07BBC7">
      <w:pPr>
        <w:keepNext w:val="0"/>
        <w:keepLines w:val="0"/>
        <w:pageBreakBefore w:val="0"/>
        <w:widowControl w:val="0"/>
        <w:numPr>
          <w:ilvl w:val="0"/>
          <w:numId w:val="67"/>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线盒内表面应涂刷防锈漆。</w:t>
      </w:r>
    </w:p>
    <w:p w14:paraId="6477943E">
      <w:pPr>
        <w:keepNext w:val="0"/>
        <w:keepLines w:val="0"/>
        <w:pageBreakBefore w:val="0"/>
        <w:widowControl w:val="0"/>
        <w:numPr>
          <w:ilvl w:val="0"/>
          <w:numId w:val="67"/>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箱、盒底部距墙面（地面）小于30mm时，需加金属网固定后再抹灰。</w:t>
      </w:r>
    </w:p>
    <w:p w14:paraId="62C7C47C">
      <w:pPr>
        <w:keepNext w:val="0"/>
        <w:keepLines w:val="0"/>
        <w:pageBreakBefore w:val="0"/>
        <w:widowControl w:val="0"/>
        <w:numPr>
          <w:ilvl w:val="0"/>
          <w:numId w:val="67"/>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箱盒要注意成品保护，盒内在拆模后应及时清理干净，盖好临时盖板。</w:t>
      </w:r>
    </w:p>
    <w:p w14:paraId="74F10BAE">
      <w:pPr>
        <w:keepNext w:val="0"/>
        <w:keepLines w:val="0"/>
        <w:pageBreakBefore w:val="0"/>
        <w:widowControl w:val="0"/>
        <w:numPr>
          <w:ilvl w:val="0"/>
          <w:numId w:val="63"/>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管路的接地控制要求</w:t>
      </w:r>
    </w:p>
    <w:p w14:paraId="7CFE8C96">
      <w:pPr>
        <w:keepNext w:val="0"/>
        <w:keepLines w:val="0"/>
        <w:pageBreakBefore w:val="0"/>
        <w:widowControl w:val="0"/>
        <w:numPr>
          <w:ilvl w:val="0"/>
          <w:numId w:val="6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钢管采用套管连接时，不用做接地。</w:t>
      </w:r>
    </w:p>
    <w:p w14:paraId="1E3B554B">
      <w:pPr>
        <w:keepNext w:val="0"/>
        <w:keepLines w:val="0"/>
        <w:pageBreakBefore w:val="0"/>
        <w:widowControl w:val="0"/>
        <w:numPr>
          <w:ilvl w:val="0"/>
          <w:numId w:val="6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采用套丝连接时，管箍两端、管与线盒连接处，必须焊跨接地线。采用圆钢时，焊接长度不应小于钢管外径的6倍，并且双面施焊；扁钢应大于其宽度的2倍，并且三面施焊。</w:t>
      </w:r>
    </w:p>
    <w:p w14:paraId="7FAE78F6">
      <w:pPr>
        <w:keepNext w:val="0"/>
        <w:keepLines w:val="0"/>
        <w:pageBreakBefore w:val="0"/>
        <w:widowControl w:val="0"/>
        <w:numPr>
          <w:ilvl w:val="0"/>
          <w:numId w:val="6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镀锌管或金属软管的跨接地线宜采用接地线卡连接，避免采用熔焊连接，避免利用金属软管做接地导体。</w:t>
      </w:r>
    </w:p>
    <w:p w14:paraId="52F346C6">
      <w:pPr>
        <w:keepNext w:val="0"/>
        <w:keepLines w:val="0"/>
        <w:pageBreakBefore w:val="0"/>
        <w:widowControl w:val="0"/>
        <w:numPr>
          <w:ilvl w:val="0"/>
          <w:numId w:val="6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进箱、盒的成排管用金属圆钢焊接时必须保证每根线管上的焊接长度和接地线的连续；</w:t>
      </w:r>
    </w:p>
    <w:p w14:paraId="603A48E0">
      <w:pPr>
        <w:keepNext w:val="0"/>
        <w:keepLines w:val="0"/>
        <w:pageBreakBefore w:val="0"/>
        <w:widowControl w:val="0"/>
        <w:numPr>
          <w:ilvl w:val="0"/>
          <w:numId w:val="6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进箱、盒的成排管用导线或铜线串联式压接在管上焊的接地螺丝上时应注意将导线或铜线用线鼻子涮成一整体后压接于各点上。</w:t>
      </w:r>
    </w:p>
    <w:p w14:paraId="74202FE1">
      <w:pPr>
        <w:keepNext w:val="0"/>
        <w:keepLines w:val="0"/>
        <w:pageBreakBefore w:val="0"/>
        <w:widowControl w:val="0"/>
        <w:numPr>
          <w:ilvl w:val="0"/>
          <w:numId w:val="6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进箱、盒的成排管用专用的接地线卡连接时，宜采用硬铜线，且保证硬铜线连续不断的压接在各卡子内。</w:t>
      </w:r>
    </w:p>
    <w:p w14:paraId="3581AD1C">
      <w:pPr>
        <w:keepNext w:val="0"/>
        <w:keepLines w:val="0"/>
        <w:pageBreakBefore w:val="0"/>
        <w:widowControl w:val="0"/>
        <w:numPr>
          <w:ilvl w:val="0"/>
          <w:numId w:val="6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金属管进箱、柜要与其进行整体接地连接，其一端从箱柜的接地排上并出。暗装的配电箱预留盒上应有预留的接地螺丝，与跨接地线可靠焊接。</w:t>
      </w:r>
    </w:p>
    <w:p w14:paraId="32B1BE0F">
      <w:pPr>
        <w:keepNext w:val="0"/>
        <w:keepLines w:val="0"/>
        <w:pageBreakBefore w:val="0"/>
        <w:widowControl w:val="0"/>
        <w:numPr>
          <w:ilvl w:val="0"/>
          <w:numId w:val="6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金属管进金属线槽或桥架要与其做整体接地，如桥架是镀锌的，可直接压接，如桥架不是镀锌的，则要将其上的绝缘层清除后压接或用爪形螺丝压接，另一端压在金属管上的接地螺丝上。</w:t>
      </w:r>
    </w:p>
    <w:p w14:paraId="04B7DCD4">
      <w:pPr>
        <w:keepNext w:val="0"/>
        <w:keepLines w:val="0"/>
        <w:pageBreakBefore w:val="0"/>
        <w:widowControl w:val="0"/>
        <w:numPr>
          <w:ilvl w:val="0"/>
          <w:numId w:val="6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壁厚小于2.0mm的金属箱盒本体避免作为管路的接地线和用电器具的保护地线压接点。</w:t>
      </w:r>
    </w:p>
    <w:p w14:paraId="4F3A87AC">
      <w:pPr>
        <w:keepNext w:val="0"/>
        <w:keepLines w:val="0"/>
        <w:pageBreakBefore w:val="0"/>
        <w:widowControl w:val="0"/>
        <w:numPr>
          <w:ilvl w:val="0"/>
          <w:numId w:val="63"/>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管内穿线控制要求</w:t>
      </w:r>
    </w:p>
    <w:p w14:paraId="5D7552A8">
      <w:pPr>
        <w:keepNext w:val="0"/>
        <w:keepLines w:val="0"/>
        <w:pageBreakBefore w:val="0"/>
        <w:widowControl w:val="0"/>
        <w:numPr>
          <w:ilvl w:val="0"/>
          <w:numId w:val="6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导线选择</w:t>
      </w:r>
    </w:p>
    <w:p w14:paraId="6C6B41D4">
      <w:pPr>
        <w:keepNext w:val="0"/>
        <w:keepLines w:val="0"/>
        <w:pageBreakBefore w:val="0"/>
        <w:widowControl w:val="0"/>
        <w:numPr>
          <w:ilvl w:val="1"/>
          <w:numId w:val="70"/>
        </w:numPr>
        <w:tabs>
          <w:tab w:val="left" w:pos="426"/>
        </w:tabs>
        <w:kinsoku/>
        <w:wordWrap/>
        <w:overflowPunct/>
        <w:topLinePunct w:val="0"/>
        <w:autoSpaceDE/>
        <w:autoSpaceDN/>
        <w:bidi w:val="0"/>
        <w:adjustRightInd w:val="0"/>
        <w:snapToGrid w:val="0"/>
        <w:spacing w:after="0" w:afterLines="0"/>
        <w:ind w:left="0" w:firstLine="0"/>
        <w:textAlignment w:val="auto"/>
        <w:rPr>
          <w:rFonts w:cs="仿宋" w:asciiTheme="minorEastAsia" w:hAnsiTheme="minorEastAsia" w:eastAsiaTheme="minorEastAsia"/>
          <w:snapToGrid/>
          <w:color w:val="auto"/>
          <w:sz w:val="24"/>
          <w:szCs w:val="24"/>
          <w:highlight w:val="none"/>
        </w:rPr>
      </w:pPr>
      <w:r>
        <w:rPr>
          <w:rFonts w:hint="eastAsia" w:cs="仿宋" w:asciiTheme="minorEastAsia" w:hAnsiTheme="minorEastAsia" w:eastAsiaTheme="minorEastAsia"/>
          <w:snapToGrid/>
          <w:color w:val="auto"/>
          <w:sz w:val="24"/>
          <w:szCs w:val="24"/>
          <w:highlight w:val="none"/>
        </w:rPr>
        <w:t>应根据设计图纸及本项目机电材料标准选择导线，严禁擅自改变导线规格、型号。</w:t>
      </w:r>
    </w:p>
    <w:p w14:paraId="12FE162D">
      <w:pPr>
        <w:keepNext w:val="0"/>
        <w:keepLines w:val="0"/>
        <w:pageBreakBefore w:val="0"/>
        <w:widowControl w:val="0"/>
        <w:numPr>
          <w:ilvl w:val="1"/>
          <w:numId w:val="70"/>
        </w:numPr>
        <w:tabs>
          <w:tab w:val="left" w:pos="426"/>
        </w:tabs>
        <w:kinsoku/>
        <w:wordWrap/>
        <w:overflowPunct/>
        <w:topLinePunct w:val="0"/>
        <w:autoSpaceDE/>
        <w:autoSpaceDN/>
        <w:bidi w:val="0"/>
        <w:adjustRightInd w:val="0"/>
        <w:snapToGrid w:val="0"/>
        <w:spacing w:after="0" w:afterLines="0"/>
        <w:ind w:left="0" w:firstLine="0"/>
        <w:textAlignment w:val="auto"/>
        <w:rPr>
          <w:rFonts w:cs="仿宋" w:asciiTheme="minorEastAsia" w:hAnsiTheme="minorEastAsia" w:eastAsiaTheme="minorEastAsia"/>
          <w:snapToGrid/>
          <w:color w:val="auto"/>
          <w:sz w:val="24"/>
          <w:szCs w:val="24"/>
          <w:highlight w:val="none"/>
        </w:rPr>
      </w:pPr>
      <w:r>
        <w:rPr>
          <w:rFonts w:hint="eastAsia" w:cs="仿宋" w:asciiTheme="minorEastAsia" w:hAnsiTheme="minorEastAsia" w:eastAsiaTheme="minorEastAsia"/>
          <w:snapToGrid/>
          <w:color w:val="auto"/>
          <w:sz w:val="24"/>
          <w:szCs w:val="24"/>
          <w:highlight w:val="none"/>
        </w:rPr>
        <w:t>为保证施工方便，线口至配电箱、盘总开关的一段干线回路及各用电支路应按色标要求分色：L1(A相)为黄色，L2(B相)为绿色，L3(C相)为红色，N（中性线）为淡蓝色，PE（保护线）为绿／黄双色线，开关控制线为白色或其他区别色线。穿人管内的干线可不分色。</w:t>
      </w:r>
    </w:p>
    <w:p w14:paraId="6261381D">
      <w:pPr>
        <w:keepNext w:val="0"/>
        <w:keepLines w:val="0"/>
        <w:pageBreakBefore w:val="0"/>
        <w:widowControl w:val="0"/>
        <w:numPr>
          <w:ilvl w:val="1"/>
          <w:numId w:val="70"/>
        </w:numPr>
        <w:tabs>
          <w:tab w:val="left" w:pos="426"/>
        </w:tabs>
        <w:kinsoku/>
        <w:wordWrap/>
        <w:overflowPunct/>
        <w:topLinePunct w:val="0"/>
        <w:autoSpaceDE/>
        <w:autoSpaceDN/>
        <w:bidi w:val="0"/>
        <w:adjustRightInd w:val="0"/>
        <w:snapToGrid w:val="0"/>
        <w:spacing w:after="0" w:afterLines="0"/>
        <w:ind w:left="0" w:firstLine="0"/>
        <w:textAlignment w:val="auto"/>
        <w:rPr>
          <w:rFonts w:cs="仿宋" w:asciiTheme="minorEastAsia" w:hAnsiTheme="minorEastAsia" w:eastAsiaTheme="minorEastAsia"/>
          <w:snapToGrid/>
          <w:color w:val="auto"/>
          <w:sz w:val="24"/>
          <w:szCs w:val="24"/>
          <w:highlight w:val="none"/>
        </w:rPr>
      </w:pPr>
      <w:r>
        <w:rPr>
          <w:rFonts w:hint="eastAsia" w:cs="仿宋" w:asciiTheme="minorEastAsia" w:hAnsiTheme="minorEastAsia" w:eastAsiaTheme="minorEastAsia"/>
          <w:snapToGrid/>
          <w:color w:val="auto"/>
          <w:sz w:val="24"/>
          <w:szCs w:val="24"/>
          <w:highlight w:val="none"/>
        </w:rPr>
        <w:t>直流线路中：正极为棕色，负极为蓝色，接地中线为淡蓝色。</w:t>
      </w:r>
    </w:p>
    <w:p w14:paraId="526BC83F">
      <w:pPr>
        <w:keepNext w:val="0"/>
        <w:keepLines w:val="0"/>
        <w:pageBreakBefore w:val="0"/>
        <w:widowControl w:val="0"/>
        <w:numPr>
          <w:ilvl w:val="1"/>
          <w:numId w:val="70"/>
        </w:numPr>
        <w:tabs>
          <w:tab w:val="left" w:pos="426"/>
        </w:tabs>
        <w:kinsoku/>
        <w:wordWrap/>
        <w:overflowPunct/>
        <w:topLinePunct w:val="0"/>
        <w:autoSpaceDE/>
        <w:autoSpaceDN/>
        <w:bidi w:val="0"/>
        <w:adjustRightInd w:val="0"/>
        <w:snapToGrid w:val="0"/>
        <w:spacing w:after="0" w:afterLines="0"/>
        <w:ind w:left="0" w:firstLine="0"/>
        <w:textAlignment w:val="auto"/>
        <w:rPr>
          <w:rFonts w:cs="仿宋" w:asciiTheme="minorEastAsia" w:hAnsiTheme="minorEastAsia" w:eastAsiaTheme="minorEastAsia"/>
          <w:snapToGrid/>
          <w:color w:val="auto"/>
          <w:sz w:val="24"/>
          <w:szCs w:val="24"/>
          <w:highlight w:val="none"/>
        </w:rPr>
      </w:pPr>
      <w:r>
        <w:rPr>
          <w:rFonts w:hint="eastAsia" w:cs="仿宋" w:asciiTheme="minorEastAsia" w:hAnsiTheme="minorEastAsia" w:eastAsiaTheme="minorEastAsia"/>
          <w:snapToGrid/>
          <w:color w:val="auto"/>
          <w:sz w:val="24"/>
          <w:szCs w:val="24"/>
          <w:highlight w:val="none"/>
        </w:rPr>
        <w:t>颜色标记可用规定的颜色或用绝缘导体的绝缘颜色标记在导体的全部长度上，也可标记在所选择的易识别的位置上（如：端部或可接触到的部位）。</w:t>
      </w:r>
    </w:p>
    <w:p w14:paraId="7CBE3D72">
      <w:pPr>
        <w:keepNext w:val="0"/>
        <w:keepLines w:val="0"/>
        <w:pageBreakBefore w:val="0"/>
        <w:widowControl w:val="0"/>
        <w:numPr>
          <w:ilvl w:val="0"/>
          <w:numId w:val="6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穿线</w:t>
      </w:r>
    </w:p>
    <w:p w14:paraId="58E5A94C">
      <w:pPr>
        <w:keepNext w:val="0"/>
        <w:keepLines w:val="0"/>
        <w:pageBreakBefore w:val="0"/>
        <w:widowControl w:val="0"/>
        <w:numPr>
          <w:ilvl w:val="1"/>
          <w:numId w:val="71"/>
        </w:numPr>
        <w:tabs>
          <w:tab w:val="left" w:pos="426"/>
        </w:tabs>
        <w:kinsoku/>
        <w:wordWrap/>
        <w:overflowPunct/>
        <w:topLinePunct w:val="0"/>
        <w:autoSpaceDE/>
        <w:autoSpaceDN/>
        <w:bidi w:val="0"/>
        <w:adjustRightInd w:val="0"/>
        <w:snapToGrid w:val="0"/>
        <w:spacing w:after="0" w:afterLines="0"/>
        <w:ind w:left="0" w:firstLine="0"/>
        <w:textAlignment w:val="auto"/>
        <w:rPr>
          <w:rFonts w:cs="仿宋" w:asciiTheme="minorEastAsia" w:hAnsiTheme="minorEastAsia" w:eastAsiaTheme="minorEastAsia"/>
          <w:snapToGrid/>
          <w:color w:val="auto"/>
          <w:sz w:val="24"/>
          <w:szCs w:val="24"/>
          <w:highlight w:val="none"/>
        </w:rPr>
      </w:pPr>
      <w:r>
        <w:rPr>
          <w:rFonts w:hint="eastAsia" w:cs="仿宋" w:asciiTheme="minorEastAsia" w:hAnsiTheme="minorEastAsia" w:eastAsiaTheme="minorEastAsia"/>
          <w:snapToGrid/>
          <w:color w:val="auto"/>
          <w:sz w:val="24"/>
          <w:szCs w:val="24"/>
          <w:highlight w:val="none"/>
        </w:rPr>
        <w:t>穿线前，先将管子用布进行清扫，避免管内的脏物污染导线；穿线前应先穿好带线，带好护口。</w:t>
      </w:r>
    </w:p>
    <w:p w14:paraId="24D57617">
      <w:pPr>
        <w:keepNext w:val="0"/>
        <w:keepLines w:val="0"/>
        <w:pageBreakBefore w:val="0"/>
        <w:widowControl w:val="0"/>
        <w:numPr>
          <w:ilvl w:val="1"/>
          <w:numId w:val="71"/>
        </w:numPr>
        <w:tabs>
          <w:tab w:val="left" w:pos="426"/>
        </w:tabs>
        <w:kinsoku/>
        <w:wordWrap/>
        <w:overflowPunct/>
        <w:topLinePunct w:val="0"/>
        <w:autoSpaceDE/>
        <w:autoSpaceDN/>
        <w:bidi w:val="0"/>
        <w:adjustRightInd w:val="0"/>
        <w:snapToGrid w:val="0"/>
        <w:spacing w:after="0" w:afterLines="0"/>
        <w:ind w:left="0" w:firstLine="0"/>
        <w:textAlignment w:val="auto"/>
        <w:rPr>
          <w:rFonts w:cs="仿宋" w:asciiTheme="minorEastAsia" w:hAnsiTheme="minorEastAsia" w:eastAsiaTheme="minorEastAsia"/>
          <w:snapToGrid/>
          <w:color w:val="auto"/>
          <w:sz w:val="24"/>
          <w:szCs w:val="24"/>
          <w:highlight w:val="none"/>
        </w:rPr>
      </w:pPr>
      <w:r>
        <w:rPr>
          <w:rFonts w:hint="eastAsia" w:cs="仿宋" w:asciiTheme="minorEastAsia" w:hAnsiTheme="minorEastAsia" w:eastAsiaTheme="minorEastAsia"/>
          <w:snapToGrid/>
          <w:color w:val="auto"/>
          <w:sz w:val="24"/>
          <w:szCs w:val="24"/>
          <w:highlight w:val="none"/>
        </w:rPr>
        <w:t>导线在管内避免扭结、接头、断线、背扣，严禁出现死弯。</w:t>
      </w:r>
    </w:p>
    <w:p w14:paraId="723081A7">
      <w:pPr>
        <w:keepNext w:val="0"/>
        <w:keepLines w:val="0"/>
        <w:pageBreakBefore w:val="0"/>
        <w:widowControl w:val="0"/>
        <w:numPr>
          <w:ilvl w:val="1"/>
          <w:numId w:val="71"/>
        </w:numPr>
        <w:tabs>
          <w:tab w:val="left" w:pos="426"/>
        </w:tabs>
        <w:kinsoku/>
        <w:wordWrap/>
        <w:overflowPunct/>
        <w:topLinePunct w:val="0"/>
        <w:autoSpaceDE/>
        <w:autoSpaceDN/>
        <w:bidi w:val="0"/>
        <w:adjustRightInd w:val="0"/>
        <w:snapToGrid w:val="0"/>
        <w:spacing w:after="0" w:afterLines="0"/>
        <w:ind w:left="0" w:firstLine="0"/>
        <w:textAlignment w:val="auto"/>
        <w:rPr>
          <w:rFonts w:cs="仿宋" w:asciiTheme="minorEastAsia" w:hAnsiTheme="minorEastAsia" w:eastAsiaTheme="minorEastAsia"/>
          <w:snapToGrid/>
          <w:color w:val="auto"/>
          <w:sz w:val="24"/>
          <w:szCs w:val="24"/>
          <w:highlight w:val="none"/>
        </w:rPr>
      </w:pPr>
      <w:r>
        <w:rPr>
          <w:rFonts w:hint="eastAsia" w:cs="仿宋" w:asciiTheme="minorEastAsia" w:hAnsiTheme="minorEastAsia" w:eastAsiaTheme="minorEastAsia"/>
          <w:snapToGrid/>
          <w:color w:val="auto"/>
          <w:sz w:val="24"/>
          <w:szCs w:val="24"/>
          <w:highlight w:val="none"/>
        </w:rPr>
        <w:t>接线盒、开关盒、插座盒及灯头盒内导线预留长度应为15cm。配电箱内导线的预留长度为配电箱体周长的1/2。出户线的预留长度为1.5(3)m。</w:t>
      </w:r>
    </w:p>
    <w:p w14:paraId="5A550519">
      <w:pPr>
        <w:keepNext w:val="0"/>
        <w:keepLines w:val="0"/>
        <w:pageBreakBefore w:val="0"/>
        <w:widowControl w:val="0"/>
        <w:numPr>
          <w:ilvl w:val="1"/>
          <w:numId w:val="71"/>
        </w:numPr>
        <w:tabs>
          <w:tab w:val="left" w:pos="426"/>
        </w:tabs>
        <w:kinsoku/>
        <w:wordWrap/>
        <w:overflowPunct/>
        <w:topLinePunct w:val="0"/>
        <w:autoSpaceDE/>
        <w:autoSpaceDN/>
        <w:bidi w:val="0"/>
        <w:adjustRightInd w:val="0"/>
        <w:snapToGrid w:val="0"/>
        <w:spacing w:after="0" w:afterLines="0"/>
        <w:ind w:left="0" w:firstLine="0"/>
        <w:textAlignment w:val="auto"/>
        <w:rPr>
          <w:rFonts w:cs="仿宋" w:asciiTheme="minorEastAsia" w:hAnsiTheme="minorEastAsia" w:eastAsiaTheme="minorEastAsia"/>
          <w:snapToGrid/>
          <w:color w:val="auto"/>
          <w:sz w:val="24"/>
          <w:szCs w:val="24"/>
          <w:highlight w:val="none"/>
        </w:rPr>
      </w:pPr>
      <w:r>
        <w:rPr>
          <w:rFonts w:hint="eastAsia" w:cs="仿宋" w:asciiTheme="minorEastAsia" w:hAnsiTheme="minorEastAsia" w:eastAsiaTheme="minorEastAsia"/>
          <w:snapToGrid/>
          <w:color w:val="auto"/>
          <w:sz w:val="24"/>
          <w:szCs w:val="24"/>
          <w:highlight w:val="none"/>
        </w:rPr>
        <w:t>为保证截流导体良好的散热性，导线外径总截面积不应超过管内面积的40%，线槽内导线的截面积不应超过线槽面积的20%，且不宜超过30根。</w:t>
      </w:r>
    </w:p>
    <w:p w14:paraId="5536DBC7">
      <w:pPr>
        <w:keepNext w:val="0"/>
        <w:keepLines w:val="0"/>
        <w:pageBreakBefore w:val="0"/>
        <w:widowControl w:val="0"/>
        <w:numPr>
          <w:ilvl w:val="1"/>
          <w:numId w:val="71"/>
        </w:numPr>
        <w:tabs>
          <w:tab w:val="left" w:pos="426"/>
        </w:tabs>
        <w:kinsoku/>
        <w:wordWrap/>
        <w:overflowPunct/>
        <w:topLinePunct w:val="0"/>
        <w:autoSpaceDE/>
        <w:autoSpaceDN/>
        <w:bidi w:val="0"/>
        <w:adjustRightInd w:val="0"/>
        <w:snapToGrid w:val="0"/>
        <w:spacing w:after="0" w:afterLines="0"/>
        <w:ind w:left="0" w:firstLine="0"/>
        <w:textAlignment w:val="auto"/>
        <w:rPr>
          <w:rFonts w:cs="仿宋" w:asciiTheme="minorEastAsia" w:hAnsiTheme="minorEastAsia" w:eastAsiaTheme="minorEastAsia"/>
          <w:snapToGrid/>
          <w:color w:val="auto"/>
          <w:sz w:val="24"/>
          <w:szCs w:val="24"/>
          <w:highlight w:val="none"/>
        </w:rPr>
      </w:pPr>
      <w:r>
        <w:rPr>
          <w:rFonts w:hint="eastAsia" w:cs="仿宋" w:asciiTheme="minorEastAsia" w:hAnsiTheme="minorEastAsia" w:eastAsiaTheme="minorEastAsia"/>
          <w:snapToGrid/>
          <w:color w:val="auto"/>
          <w:sz w:val="24"/>
          <w:szCs w:val="24"/>
          <w:highlight w:val="none"/>
        </w:rPr>
        <w:t>导线在变形缝、伸缩缝处，补偿装置应灵活自如，导线应留有一定的余度。</w:t>
      </w:r>
    </w:p>
    <w:p w14:paraId="2C9A7346">
      <w:pPr>
        <w:keepNext w:val="0"/>
        <w:keepLines w:val="0"/>
        <w:pageBreakBefore w:val="0"/>
        <w:widowControl w:val="0"/>
        <w:numPr>
          <w:ilvl w:val="1"/>
          <w:numId w:val="71"/>
        </w:numPr>
        <w:tabs>
          <w:tab w:val="left" w:pos="426"/>
        </w:tabs>
        <w:kinsoku/>
        <w:wordWrap/>
        <w:overflowPunct/>
        <w:topLinePunct w:val="0"/>
        <w:autoSpaceDE/>
        <w:autoSpaceDN/>
        <w:bidi w:val="0"/>
        <w:adjustRightInd w:val="0"/>
        <w:snapToGrid w:val="0"/>
        <w:spacing w:after="0" w:afterLines="0"/>
        <w:ind w:left="0" w:firstLine="0"/>
        <w:textAlignment w:val="auto"/>
        <w:rPr>
          <w:rFonts w:cs="仿宋" w:asciiTheme="minorEastAsia" w:hAnsiTheme="minorEastAsia" w:eastAsiaTheme="minorEastAsia"/>
          <w:snapToGrid/>
          <w:color w:val="auto"/>
          <w:sz w:val="24"/>
          <w:szCs w:val="24"/>
          <w:highlight w:val="none"/>
        </w:rPr>
      </w:pPr>
      <w:r>
        <w:rPr>
          <w:rFonts w:hint="eastAsia" w:cs="仿宋" w:asciiTheme="minorEastAsia" w:hAnsiTheme="minorEastAsia" w:eastAsiaTheme="minorEastAsia"/>
          <w:snapToGrid/>
          <w:color w:val="auto"/>
          <w:sz w:val="24"/>
          <w:szCs w:val="24"/>
          <w:highlight w:val="none"/>
        </w:rPr>
        <w:t>在任何情况下，导线均避免明露（金属软管的保护地线除外），箱盒须用盖板封闭，盖板螺丝齐全紧固。</w:t>
      </w:r>
    </w:p>
    <w:p w14:paraId="1AE57F28">
      <w:pPr>
        <w:keepNext w:val="0"/>
        <w:keepLines w:val="0"/>
        <w:pageBreakBefore w:val="0"/>
        <w:widowControl w:val="0"/>
        <w:numPr>
          <w:ilvl w:val="0"/>
          <w:numId w:val="63"/>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导线的连接控制要求</w:t>
      </w:r>
    </w:p>
    <w:p w14:paraId="106A56EC">
      <w:pPr>
        <w:keepNext w:val="0"/>
        <w:keepLines w:val="0"/>
        <w:pageBreakBefore w:val="0"/>
        <w:widowControl w:val="0"/>
        <w:numPr>
          <w:ilvl w:val="0"/>
          <w:numId w:val="72"/>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涮锡缠头法连接</w:t>
      </w:r>
    </w:p>
    <w:p w14:paraId="360C4FBE">
      <w:pPr>
        <w:keepNext w:val="0"/>
        <w:keepLines w:val="0"/>
        <w:pageBreakBefore w:val="0"/>
        <w:widowControl w:val="0"/>
        <w:numPr>
          <w:ilvl w:val="1"/>
          <w:numId w:val="73"/>
        </w:numPr>
        <w:tabs>
          <w:tab w:val="left" w:pos="426"/>
        </w:tabs>
        <w:kinsoku/>
        <w:wordWrap/>
        <w:overflowPunct/>
        <w:topLinePunct w:val="0"/>
        <w:autoSpaceDE/>
        <w:autoSpaceDN/>
        <w:bidi w:val="0"/>
        <w:adjustRightInd w:val="0"/>
        <w:snapToGrid w:val="0"/>
        <w:spacing w:after="0" w:afterLines="0"/>
        <w:ind w:left="0" w:firstLine="0"/>
        <w:textAlignment w:val="auto"/>
        <w:rPr>
          <w:rFonts w:cs="仿宋" w:asciiTheme="minorEastAsia" w:hAnsiTheme="minorEastAsia" w:eastAsiaTheme="minorEastAsia"/>
          <w:snapToGrid/>
          <w:color w:val="auto"/>
          <w:sz w:val="24"/>
          <w:szCs w:val="24"/>
          <w:highlight w:val="none"/>
        </w:rPr>
      </w:pPr>
      <w:r>
        <w:rPr>
          <w:rFonts w:hint="eastAsia" w:cs="仿宋" w:asciiTheme="minorEastAsia" w:hAnsiTheme="minorEastAsia" w:eastAsiaTheme="minorEastAsia"/>
          <w:snapToGrid/>
          <w:color w:val="auto"/>
          <w:sz w:val="24"/>
          <w:szCs w:val="24"/>
          <w:highlight w:val="none"/>
        </w:rPr>
        <w:t>缠绕时应保证接触面积和机械强度，至少缠绕５圈。</w:t>
      </w:r>
    </w:p>
    <w:p w14:paraId="316A28ED">
      <w:pPr>
        <w:keepNext w:val="0"/>
        <w:keepLines w:val="0"/>
        <w:pageBreakBefore w:val="0"/>
        <w:widowControl w:val="0"/>
        <w:numPr>
          <w:ilvl w:val="1"/>
          <w:numId w:val="73"/>
        </w:numPr>
        <w:tabs>
          <w:tab w:val="left" w:pos="426"/>
        </w:tabs>
        <w:kinsoku/>
        <w:wordWrap/>
        <w:overflowPunct/>
        <w:topLinePunct w:val="0"/>
        <w:autoSpaceDE/>
        <w:autoSpaceDN/>
        <w:bidi w:val="0"/>
        <w:adjustRightInd w:val="0"/>
        <w:snapToGrid w:val="0"/>
        <w:spacing w:after="0" w:afterLines="0"/>
        <w:ind w:left="0" w:firstLine="0"/>
        <w:textAlignment w:val="auto"/>
        <w:rPr>
          <w:rFonts w:cs="仿宋" w:asciiTheme="minorEastAsia" w:hAnsiTheme="minorEastAsia" w:eastAsiaTheme="minorEastAsia"/>
          <w:snapToGrid/>
          <w:color w:val="auto"/>
          <w:sz w:val="24"/>
          <w:szCs w:val="24"/>
          <w:highlight w:val="none"/>
        </w:rPr>
      </w:pPr>
      <w:r>
        <w:rPr>
          <w:rFonts w:hint="eastAsia" w:cs="仿宋" w:asciiTheme="minorEastAsia" w:hAnsiTheme="minorEastAsia" w:eastAsiaTheme="minorEastAsia"/>
          <w:snapToGrid/>
          <w:color w:val="auto"/>
          <w:sz w:val="24"/>
          <w:szCs w:val="24"/>
          <w:highlight w:val="none"/>
        </w:rPr>
        <w:t>焊锡要饱满，表面光滑，避免有虚焊、夹渣，涮锡要均匀，接头部位清洁，要控制涮锡的湿度尽量减少烧坏导线绝缘层，之间的间隙要缠绝缘带。</w:t>
      </w:r>
    </w:p>
    <w:p w14:paraId="5B0E58CA">
      <w:pPr>
        <w:keepNext w:val="0"/>
        <w:keepLines w:val="0"/>
        <w:pageBreakBefore w:val="0"/>
        <w:widowControl w:val="0"/>
        <w:numPr>
          <w:ilvl w:val="1"/>
          <w:numId w:val="73"/>
        </w:numPr>
        <w:tabs>
          <w:tab w:val="left" w:pos="426"/>
        </w:tabs>
        <w:kinsoku/>
        <w:wordWrap/>
        <w:overflowPunct/>
        <w:topLinePunct w:val="0"/>
        <w:autoSpaceDE/>
        <w:autoSpaceDN/>
        <w:bidi w:val="0"/>
        <w:adjustRightInd w:val="0"/>
        <w:snapToGrid w:val="0"/>
        <w:spacing w:after="0" w:afterLines="0"/>
        <w:ind w:left="0" w:firstLine="0"/>
        <w:textAlignment w:val="auto"/>
        <w:rPr>
          <w:rFonts w:cs="仿宋" w:asciiTheme="minorEastAsia" w:hAnsiTheme="minorEastAsia" w:eastAsiaTheme="minorEastAsia"/>
          <w:snapToGrid/>
          <w:color w:val="auto"/>
          <w:sz w:val="24"/>
          <w:szCs w:val="24"/>
          <w:highlight w:val="none"/>
        </w:rPr>
      </w:pPr>
      <w:r>
        <w:rPr>
          <w:rFonts w:hint="eastAsia" w:cs="仿宋" w:asciiTheme="minorEastAsia" w:hAnsiTheme="minorEastAsia" w:eastAsiaTheme="minorEastAsia"/>
          <w:snapToGrid/>
          <w:color w:val="auto"/>
          <w:sz w:val="24"/>
          <w:szCs w:val="24"/>
          <w:highlight w:val="none"/>
        </w:rPr>
        <w:t>涮锡后要马上包扎，内缠橡胶（或粘塑料）绝缘带，外用黑胶布包扎严密。</w:t>
      </w:r>
    </w:p>
    <w:p w14:paraId="0B77FF2C">
      <w:pPr>
        <w:keepNext w:val="0"/>
        <w:keepLines w:val="0"/>
        <w:pageBreakBefore w:val="0"/>
        <w:widowControl w:val="0"/>
        <w:numPr>
          <w:ilvl w:val="1"/>
          <w:numId w:val="73"/>
        </w:numPr>
        <w:tabs>
          <w:tab w:val="left" w:pos="426"/>
        </w:tabs>
        <w:kinsoku/>
        <w:wordWrap/>
        <w:overflowPunct/>
        <w:topLinePunct w:val="0"/>
        <w:autoSpaceDE/>
        <w:autoSpaceDN/>
        <w:bidi w:val="0"/>
        <w:adjustRightInd w:val="0"/>
        <w:snapToGrid w:val="0"/>
        <w:spacing w:after="0" w:afterLines="0"/>
        <w:ind w:left="0" w:firstLine="0"/>
        <w:textAlignment w:val="auto"/>
        <w:rPr>
          <w:rFonts w:cs="仿宋" w:asciiTheme="minorEastAsia" w:hAnsiTheme="minorEastAsia" w:eastAsiaTheme="minorEastAsia"/>
          <w:snapToGrid/>
          <w:color w:val="auto"/>
          <w:sz w:val="24"/>
          <w:szCs w:val="24"/>
          <w:highlight w:val="none"/>
        </w:rPr>
      </w:pPr>
      <w:r>
        <w:rPr>
          <w:rFonts w:hint="eastAsia" w:cs="仿宋" w:asciiTheme="minorEastAsia" w:hAnsiTheme="minorEastAsia" w:eastAsiaTheme="minorEastAsia"/>
          <w:snapToGrid/>
          <w:color w:val="auto"/>
          <w:sz w:val="24"/>
          <w:szCs w:val="24"/>
          <w:highlight w:val="none"/>
        </w:rPr>
        <w:t>多股软线和硬导线相连接处，潮湿、多尘场所如卫生间、厨房、机房、室外等处的接线，必须采用涮锡缠头法接线。</w:t>
      </w:r>
    </w:p>
    <w:p w14:paraId="190E490C">
      <w:pPr>
        <w:keepNext w:val="0"/>
        <w:keepLines w:val="0"/>
        <w:pageBreakBefore w:val="0"/>
        <w:widowControl w:val="0"/>
        <w:numPr>
          <w:ilvl w:val="1"/>
          <w:numId w:val="73"/>
        </w:numPr>
        <w:tabs>
          <w:tab w:val="left" w:pos="426"/>
        </w:tabs>
        <w:kinsoku/>
        <w:wordWrap/>
        <w:overflowPunct/>
        <w:topLinePunct w:val="0"/>
        <w:autoSpaceDE/>
        <w:autoSpaceDN/>
        <w:bidi w:val="0"/>
        <w:adjustRightInd w:val="0"/>
        <w:snapToGrid w:val="0"/>
        <w:spacing w:after="0" w:afterLines="0"/>
        <w:ind w:left="0" w:firstLine="0"/>
        <w:textAlignment w:val="auto"/>
        <w:rPr>
          <w:rFonts w:cs="仿宋" w:asciiTheme="minorEastAsia" w:hAnsiTheme="minorEastAsia" w:eastAsiaTheme="minorEastAsia"/>
          <w:snapToGrid/>
          <w:color w:val="auto"/>
          <w:sz w:val="24"/>
          <w:szCs w:val="24"/>
          <w:highlight w:val="none"/>
        </w:rPr>
      </w:pPr>
      <w:r>
        <w:rPr>
          <w:rFonts w:hint="eastAsia" w:cs="仿宋" w:asciiTheme="minorEastAsia" w:hAnsiTheme="minorEastAsia" w:eastAsiaTheme="minorEastAsia"/>
          <w:snapToGrid/>
          <w:color w:val="auto"/>
          <w:sz w:val="24"/>
          <w:szCs w:val="24"/>
          <w:highlight w:val="none"/>
        </w:rPr>
        <w:t>压线帽压接法</w:t>
      </w:r>
    </w:p>
    <w:p w14:paraId="191AC212">
      <w:pPr>
        <w:keepNext w:val="0"/>
        <w:keepLines w:val="0"/>
        <w:pageBreakBefore w:val="0"/>
        <w:widowControl w:val="0"/>
        <w:numPr>
          <w:ilvl w:val="1"/>
          <w:numId w:val="73"/>
        </w:numPr>
        <w:tabs>
          <w:tab w:val="left" w:pos="426"/>
        </w:tabs>
        <w:kinsoku/>
        <w:wordWrap/>
        <w:overflowPunct/>
        <w:topLinePunct w:val="0"/>
        <w:autoSpaceDE/>
        <w:autoSpaceDN/>
        <w:bidi w:val="0"/>
        <w:adjustRightInd w:val="0"/>
        <w:snapToGrid w:val="0"/>
        <w:spacing w:after="0" w:afterLines="0"/>
        <w:ind w:left="0" w:firstLine="0"/>
        <w:textAlignment w:val="auto"/>
        <w:rPr>
          <w:rFonts w:cs="仿宋" w:asciiTheme="minorEastAsia" w:hAnsiTheme="minorEastAsia" w:eastAsiaTheme="minorEastAsia"/>
          <w:snapToGrid/>
          <w:color w:val="auto"/>
          <w:sz w:val="24"/>
          <w:szCs w:val="24"/>
          <w:highlight w:val="none"/>
        </w:rPr>
      </w:pPr>
      <w:r>
        <w:rPr>
          <w:rFonts w:hint="eastAsia" w:cs="仿宋" w:asciiTheme="minorEastAsia" w:hAnsiTheme="minorEastAsia" w:eastAsiaTheme="minorEastAsia"/>
          <w:snapToGrid/>
          <w:color w:val="auto"/>
          <w:sz w:val="24"/>
          <w:szCs w:val="24"/>
          <w:highlight w:val="none"/>
        </w:rPr>
        <w:t>要根据导线线径压接根数选择适当的压线帽规格。</w:t>
      </w:r>
    </w:p>
    <w:p w14:paraId="63FA4ED0">
      <w:pPr>
        <w:keepNext w:val="0"/>
        <w:keepLines w:val="0"/>
        <w:pageBreakBefore w:val="0"/>
        <w:widowControl w:val="0"/>
        <w:numPr>
          <w:ilvl w:val="1"/>
          <w:numId w:val="73"/>
        </w:numPr>
        <w:tabs>
          <w:tab w:val="left" w:pos="426"/>
        </w:tabs>
        <w:kinsoku/>
        <w:wordWrap/>
        <w:overflowPunct/>
        <w:topLinePunct w:val="0"/>
        <w:autoSpaceDE/>
        <w:autoSpaceDN/>
        <w:bidi w:val="0"/>
        <w:adjustRightInd w:val="0"/>
        <w:snapToGrid w:val="0"/>
        <w:spacing w:after="0" w:afterLines="0"/>
        <w:ind w:left="0" w:firstLine="0"/>
        <w:textAlignment w:val="auto"/>
        <w:rPr>
          <w:rFonts w:cs="仿宋" w:asciiTheme="minorEastAsia" w:hAnsiTheme="minorEastAsia" w:eastAsiaTheme="minorEastAsia"/>
          <w:snapToGrid/>
          <w:color w:val="auto"/>
          <w:sz w:val="24"/>
          <w:szCs w:val="24"/>
          <w:highlight w:val="none"/>
        </w:rPr>
      </w:pPr>
      <w:r>
        <w:rPr>
          <w:rFonts w:hint="eastAsia" w:cs="仿宋" w:asciiTheme="minorEastAsia" w:hAnsiTheme="minorEastAsia" w:eastAsiaTheme="minorEastAsia"/>
          <w:snapToGrid/>
          <w:color w:val="auto"/>
          <w:sz w:val="24"/>
          <w:szCs w:val="24"/>
          <w:highlight w:val="none"/>
        </w:rPr>
        <w:t>导线剥削后，要清除氧化膜，将线芯插入压线帽内，若填不实，可将线芯折回头，填满为止，线芯必须插到底，导线绝缘层与压线帽平齐。</w:t>
      </w:r>
    </w:p>
    <w:p w14:paraId="23EF6164">
      <w:pPr>
        <w:keepNext w:val="0"/>
        <w:keepLines w:val="0"/>
        <w:pageBreakBefore w:val="0"/>
        <w:widowControl w:val="0"/>
        <w:numPr>
          <w:ilvl w:val="1"/>
          <w:numId w:val="73"/>
        </w:numPr>
        <w:tabs>
          <w:tab w:val="left" w:pos="426"/>
        </w:tabs>
        <w:kinsoku/>
        <w:wordWrap/>
        <w:overflowPunct/>
        <w:topLinePunct w:val="0"/>
        <w:autoSpaceDE/>
        <w:autoSpaceDN/>
        <w:bidi w:val="0"/>
        <w:adjustRightInd w:val="0"/>
        <w:snapToGrid w:val="0"/>
        <w:spacing w:after="0" w:afterLines="0"/>
        <w:ind w:left="0" w:firstLine="0"/>
        <w:textAlignment w:val="auto"/>
        <w:rPr>
          <w:rFonts w:cs="仿宋" w:asciiTheme="minorEastAsia" w:hAnsiTheme="minorEastAsia" w:eastAsiaTheme="minorEastAsia"/>
          <w:snapToGrid/>
          <w:color w:val="auto"/>
          <w:sz w:val="24"/>
          <w:szCs w:val="24"/>
          <w:highlight w:val="none"/>
        </w:rPr>
      </w:pPr>
      <w:r>
        <w:rPr>
          <w:rFonts w:hint="eastAsia" w:cs="仿宋" w:asciiTheme="minorEastAsia" w:hAnsiTheme="minorEastAsia" w:eastAsiaTheme="minorEastAsia"/>
          <w:snapToGrid/>
          <w:color w:val="auto"/>
          <w:sz w:val="24"/>
          <w:szCs w:val="24"/>
          <w:highlight w:val="none"/>
        </w:rPr>
        <w:t>必须用专用的压线钳压接，要依据压接根数和压线帽规格选择适当的咬齿模数，以防止不到位虚接或受力过大线芯受损、变形。</w:t>
      </w:r>
    </w:p>
    <w:p w14:paraId="6C1D25CD">
      <w:pPr>
        <w:keepNext w:val="0"/>
        <w:keepLines w:val="0"/>
        <w:pageBreakBefore w:val="0"/>
        <w:widowControl w:val="0"/>
        <w:numPr>
          <w:ilvl w:val="1"/>
          <w:numId w:val="73"/>
        </w:numPr>
        <w:tabs>
          <w:tab w:val="left" w:pos="426"/>
        </w:tabs>
        <w:kinsoku/>
        <w:wordWrap/>
        <w:overflowPunct/>
        <w:topLinePunct w:val="0"/>
        <w:autoSpaceDE/>
        <w:autoSpaceDN/>
        <w:bidi w:val="0"/>
        <w:adjustRightInd w:val="0"/>
        <w:snapToGrid w:val="0"/>
        <w:spacing w:after="0" w:afterLines="0"/>
        <w:ind w:left="0" w:firstLine="0"/>
        <w:textAlignment w:val="auto"/>
        <w:rPr>
          <w:rFonts w:cs="仿宋" w:asciiTheme="minorEastAsia" w:hAnsiTheme="minorEastAsia" w:eastAsiaTheme="minorEastAsia"/>
          <w:snapToGrid/>
          <w:color w:val="auto"/>
          <w:sz w:val="24"/>
          <w:szCs w:val="24"/>
          <w:highlight w:val="none"/>
        </w:rPr>
      </w:pPr>
      <w:r>
        <w:rPr>
          <w:rFonts w:hint="eastAsia" w:cs="仿宋" w:asciiTheme="minorEastAsia" w:hAnsiTheme="minorEastAsia" w:eastAsiaTheme="minorEastAsia"/>
          <w:snapToGrid/>
          <w:color w:val="auto"/>
          <w:sz w:val="24"/>
          <w:szCs w:val="24"/>
          <w:highlight w:val="none"/>
        </w:rPr>
        <w:t>套管压接连接导线要从两端插人，各插入到一半处，用压接钳和压模压实，压接模数的深度应与套管的尺寸相对应。</w:t>
      </w:r>
    </w:p>
    <w:p w14:paraId="736BFACD">
      <w:pPr>
        <w:keepNext w:val="0"/>
        <w:keepLines w:val="0"/>
        <w:pageBreakBefore w:val="0"/>
        <w:widowControl w:val="0"/>
        <w:numPr>
          <w:ilvl w:val="1"/>
          <w:numId w:val="73"/>
        </w:numPr>
        <w:tabs>
          <w:tab w:val="left" w:pos="426"/>
        </w:tabs>
        <w:kinsoku/>
        <w:wordWrap/>
        <w:overflowPunct/>
        <w:topLinePunct w:val="0"/>
        <w:autoSpaceDE/>
        <w:autoSpaceDN/>
        <w:bidi w:val="0"/>
        <w:adjustRightInd w:val="0"/>
        <w:snapToGrid w:val="0"/>
        <w:spacing w:after="0" w:afterLines="0"/>
        <w:ind w:left="0" w:firstLine="0"/>
        <w:textAlignment w:val="auto"/>
        <w:rPr>
          <w:rFonts w:cs="仿宋" w:asciiTheme="minorEastAsia" w:hAnsiTheme="minorEastAsia" w:eastAsiaTheme="minorEastAsia"/>
          <w:snapToGrid/>
          <w:color w:val="auto"/>
          <w:sz w:val="24"/>
          <w:szCs w:val="24"/>
          <w:highlight w:val="none"/>
        </w:rPr>
      </w:pPr>
      <w:r>
        <w:rPr>
          <w:rFonts w:hint="eastAsia" w:cs="仿宋" w:asciiTheme="minorEastAsia" w:hAnsiTheme="minorEastAsia" w:eastAsiaTheme="minorEastAsia"/>
          <w:snapToGrid/>
          <w:color w:val="auto"/>
          <w:sz w:val="24"/>
          <w:szCs w:val="24"/>
          <w:highlight w:val="none"/>
        </w:rPr>
        <w:t>导线与平压式接线柱连接单股导线压接在螺丝上，可不涮锡，根据螺丝的大小偎圈，一定要做满圈，不应反圈压接，不能开口，压接牢固，盘圈开口避免大于2mm。建议一根接线柱压接一根导线，同一接线柱上避免压接２根以上的导线，多根单芯导线压接在同一根接线柱上时，导线之间必须用平垫隔离开或在接线柱正反面分别压接，并应采用涮接线鼻子法压接。</w:t>
      </w:r>
    </w:p>
    <w:p w14:paraId="656D28B6">
      <w:pPr>
        <w:keepNext w:val="0"/>
        <w:keepLines w:val="0"/>
        <w:pageBreakBefore w:val="0"/>
        <w:widowControl w:val="0"/>
        <w:numPr>
          <w:ilvl w:val="1"/>
          <w:numId w:val="73"/>
        </w:numPr>
        <w:tabs>
          <w:tab w:val="left" w:pos="426"/>
        </w:tabs>
        <w:kinsoku/>
        <w:wordWrap/>
        <w:overflowPunct/>
        <w:topLinePunct w:val="0"/>
        <w:autoSpaceDE/>
        <w:autoSpaceDN/>
        <w:bidi w:val="0"/>
        <w:adjustRightInd w:val="0"/>
        <w:snapToGrid w:val="0"/>
        <w:spacing w:after="0" w:afterLines="0"/>
        <w:ind w:left="0" w:firstLine="0"/>
        <w:textAlignment w:val="auto"/>
        <w:rPr>
          <w:rFonts w:cs="仿宋" w:asciiTheme="minorEastAsia" w:hAnsiTheme="minorEastAsia" w:eastAsiaTheme="minorEastAsia"/>
          <w:snapToGrid/>
          <w:color w:val="auto"/>
          <w:sz w:val="24"/>
          <w:szCs w:val="24"/>
          <w:highlight w:val="none"/>
        </w:rPr>
      </w:pPr>
      <w:r>
        <w:rPr>
          <w:rFonts w:hint="eastAsia" w:cs="仿宋" w:asciiTheme="minorEastAsia" w:hAnsiTheme="minorEastAsia" w:eastAsiaTheme="minorEastAsia"/>
          <w:snapToGrid/>
          <w:color w:val="auto"/>
          <w:sz w:val="24"/>
          <w:szCs w:val="24"/>
          <w:highlight w:val="none"/>
        </w:rPr>
        <w:t>多芯硬线，可采用压接或涮接线鼻子与接线柱连接，要保证接线柱与线鼻子匹配，弹簧垫、平垫齐全。</w:t>
      </w:r>
    </w:p>
    <w:p w14:paraId="282C2866">
      <w:pPr>
        <w:keepNext w:val="0"/>
        <w:keepLines w:val="0"/>
        <w:pageBreakBefore w:val="0"/>
        <w:widowControl w:val="0"/>
        <w:numPr>
          <w:ilvl w:val="1"/>
          <w:numId w:val="73"/>
        </w:numPr>
        <w:tabs>
          <w:tab w:val="left" w:pos="426"/>
        </w:tabs>
        <w:kinsoku/>
        <w:wordWrap/>
        <w:overflowPunct/>
        <w:topLinePunct w:val="0"/>
        <w:autoSpaceDE/>
        <w:autoSpaceDN/>
        <w:bidi w:val="0"/>
        <w:adjustRightInd w:val="0"/>
        <w:snapToGrid w:val="0"/>
        <w:spacing w:after="0" w:afterLines="0"/>
        <w:ind w:left="0" w:firstLine="0"/>
        <w:textAlignment w:val="auto"/>
        <w:rPr>
          <w:rFonts w:cs="仿宋" w:asciiTheme="minorEastAsia" w:hAnsiTheme="minorEastAsia" w:eastAsiaTheme="minorEastAsia"/>
          <w:snapToGrid/>
          <w:color w:val="auto"/>
          <w:sz w:val="24"/>
          <w:szCs w:val="24"/>
          <w:highlight w:val="none"/>
        </w:rPr>
      </w:pPr>
      <w:r>
        <w:rPr>
          <w:rFonts w:hint="eastAsia" w:cs="仿宋" w:asciiTheme="minorEastAsia" w:hAnsiTheme="minorEastAsia" w:eastAsiaTheme="minorEastAsia"/>
          <w:snapToGrid/>
          <w:color w:val="auto"/>
          <w:sz w:val="24"/>
          <w:szCs w:val="24"/>
          <w:highlight w:val="none"/>
        </w:rPr>
        <w:t>线路检查及绝缘摇测照明线路的绝缘摇测一般选用500V，量程为1-500mΩ表线路的绝缘阻值不小于0.5mΩ。动力线路的绝缘电阻值不小于1mΩ。</w:t>
      </w:r>
    </w:p>
    <w:p w14:paraId="4055CD99">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灯具、开关、插座及配电箱安装控制要求</w:t>
      </w:r>
    </w:p>
    <w:p w14:paraId="546738A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灯具安装</w:t>
      </w:r>
    </w:p>
    <w:p w14:paraId="00F2FA6E">
      <w:pPr>
        <w:keepNext w:val="0"/>
        <w:keepLines w:val="0"/>
        <w:pageBreakBefore w:val="0"/>
        <w:widowControl w:val="0"/>
        <w:numPr>
          <w:ilvl w:val="0"/>
          <w:numId w:val="74"/>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灯内配线严禁外露，灯具配件齐全，无机械损伤、变形、油漆剥落、灯罩破裂、灯箱破裂、灯箱歪翘等现象。</w:t>
      </w:r>
    </w:p>
    <w:p w14:paraId="26A982C0">
      <w:pPr>
        <w:keepNext w:val="0"/>
        <w:keepLines w:val="0"/>
        <w:pageBreakBefore w:val="0"/>
        <w:widowControl w:val="0"/>
        <w:numPr>
          <w:ilvl w:val="0"/>
          <w:numId w:val="74"/>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照明灯具的导线，其电压等级不应低于交流５００Ｖ。</w:t>
      </w:r>
    </w:p>
    <w:p w14:paraId="6DDE498E">
      <w:pPr>
        <w:keepNext w:val="0"/>
        <w:keepLines w:val="0"/>
        <w:pageBreakBefore w:val="0"/>
        <w:widowControl w:val="0"/>
        <w:numPr>
          <w:ilvl w:val="0"/>
          <w:numId w:val="74"/>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灯具安装牢固端正，位置正确。</w:t>
      </w:r>
    </w:p>
    <w:p w14:paraId="01A5BF95">
      <w:pPr>
        <w:keepNext w:val="0"/>
        <w:keepLines w:val="0"/>
        <w:pageBreakBefore w:val="0"/>
        <w:widowControl w:val="0"/>
        <w:numPr>
          <w:ilvl w:val="0"/>
          <w:numId w:val="74"/>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有吊顶的灯具或重量超过３ｋｇ的灯具，在顶板上加独立的吊杆或预埋件，承担灯具全部重量，不使吊顶龙骨承受灯具荷载。</w:t>
      </w:r>
    </w:p>
    <w:p w14:paraId="313A4967">
      <w:pPr>
        <w:keepNext w:val="0"/>
        <w:keepLines w:val="0"/>
        <w:pageBreakBefore w:val="0"/>
        <w:widowControl w:val="0"/>
        <w:numPr>
          <w:ilvl w:val="0"/>
          <w:numId w:val="74"/>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成排明装灯具，在预埋灯头盒时，先放线，根据灯型留出间距位置。成排安装的灯具中心线允许偏差为5mm。</w:t>
      </w:r>
    </w:p>
    <w:p w14:paraId="5B9CF62A">
      <w:pPr>
        <w:keepNext w:val="0"/>
        <w:keepLines w:val="0"/>
        <w:pageBreakBefore w:val="0"/>
        <w:widowControl w:val="0"/>
        <w:numPr>
          <w:ilvl w:val="0"/>
          <w:numId w:val="74"/>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凡安装距地高度低于或等于２.４ｍ的灯具其金属外壳必须连接保护地线。</w:t>
      </w:r>
    </w:p>
    <w:p w14:paraId="64C45686">
      <w:pPr>
        <w:keepNext w:val="0"/>
        <w:keepLines w:val="0"/>
        <w:pageBreakBefore w:val="0"/>
        <w:widowControl w:val="0"/>
        <w:numPr>
          <w:ilvl w:val="0"/>
          <w:numId w:val="74"/>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灯具吸顶安装术台应在土建刷完一遍浆后进行安装，木台应固定牢固，与建筑物表面没有缝隙，不露黑边，木台直径在７５～１５０ｍｍ时，应用两条螺丝固定，木台直径在150mm以上时，应用三条螺丝呈三角形固定，灯具应安装在木台中心。在保证灯具底座不漏光及维修时不损坏吊顶的情况下，底座在250mm以上灯具吸顶安装可不加装本台，导线进灯箱处应加套管塑料管保护。</w:t>
      </w:r>
    </w:p>
    <w:p w14:paraId="4DA2E5AA">
      <w:pPr>
        <w:keepNext w:val="0"/>
        <w:keepLines w:val="0"/>
        <w:pageBreakBefore w:val="0"/>
        <w:widowControl w:val="0"/>
        <w:numPr>
          <w:ilvl w:val="0"/>
          <w:numId w:val="74"/>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灯具在吊顶上嵌入式安装，应固定在专设的框架、支吊架上，不应使吊顶龙骨受灯具荷载，支吊架形式要统一，下口留长节螺纹以便调节高度，支吊架必须固定在楼板上，避免固定在管道、风管上，且一套灯具对应一套支吊架，避免用铅丝固定。</w:t>
      </w:r>
    </w:p>
    <w:p w14:paraId="09EE85CA">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开关、插座面板安装</w:t>
      </w:r>
    </w:p>
    <w:p w14:paraId="38DEFF1A">
      <w:pPr>
        <w:keepNext w:val="0"/>
        <w:keepLines w:val="0"/>
        <w:pageBreakBefore w:val="0"/>
        <w:widowControl w:val="0"/>
        <w:numPr>
          <w:ilvl w:val="0"/>
          <w:numId w:val="7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塑料板有足够强度，应平整无弯翘变形，色度均匀不含杂质半透明。</w:t>
      </w:r>
    </w:p>
    <w:p w14:paraId="7076AFC6">
      <w:pPr>
        <w:keepNext w:val="0"/>
        <w:keepLines w:val="0"/>
        <w:pageBreakBefore w:val="0"/>
        <w:widowControl w:val="0"/>
        <w:numPr>
          <w:ilvl w:val="0"/>
          <w:numId w:val="7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相邻面板不能出现缝隙，高低差不大于1mm，整个房间同类型插座、开关分别保持统一高度。</w:t>
      </w:r>
    </w:p>
    <w:p w14:paraId="4B6E6F5C">
      <w:pPr>
        <w:keepNext w:val="0"/>
        <w:keepLines w:val="0"/>
        <w:pageBreakBefore w:val="0"/>
        <w:widowControl w:val="0"/>
        <w:numPr>
          <w:ilvl w:val="0"/>
          <w:numId w:val="7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面板的紧线应用光滑的圆头螺丝，不应用平头螺丝，以防损伤导线。</w:t>
      </w:r>
    </w:p>
    <w:p w14:paraId="270A68E6">
      <w:pPr>
        <w:keepNext w:val="0"/>
        <w:keepLines w:val="0"/>
        <w:pageBreakBefore w:val="0"/>
        <w:widowControl w:val="0"/>
        <w:numPr>
          <w:ilvl w:val="0"/>
          <w:numId w:val="7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安全插座的各插孔应均匀并带安全门，安全门应使用合成阻燃材料，硬度高、耐高温、不变形，单孔插不进去。</w:t>
      </w:r>
    </w:p>
    <w:p w14:paraId="06D51F30">
      <w:pPr>
        <w:keepNext w:val="0"/>
        <w:keepLines w:val="0"/>
        <w:pageBreakBefore w:val="0"/>
        <w:widowControl w:val="0"/>
        <w:numPr>
          <w:ilvl w:val="0"/>
          <w:numId w:val="7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插座簧片弹性好，插拔时力度感均匀一致，不费力。</w:t>
      </w:r>
    </w:p>
    <w:p w14:paraId="777C7F96">
      <w:pPr>
        <w:keepNext w:val="0"/>
        <w:keepLines w:val="0"/>
        <w:pageBreakBefore w:val="0"/>
        <w:widowControl w:val="0"/>
        <w:numPr>
          <w:ilvl w:val="0"/>
          <w:numId w:val="7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件连接采用滑铆工艺，连接牢固，没有裂纹，外观光滑细腻。</w:t>
      </w:r>
    </w:p>
    <w:p w14:paraId="12DB994C">
      <w:pPr>
        <w:keepNext w:val="0"/>
        <w:keepLines w:val="0"/>
        <w:pageBreakBefore w:val="0"/>
        <w:widowControl w:val="0"/>
        <w:numPr>
          <w:ilvl w:val="0"/>
          <w:numId w:val="7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开关、插座的位置按图施工，任何场所的窗、镜箱、吊柜上方及管道背后、门后均不应有控制灯具的开关。</w:t>
      </w:r>
    </w:p>
    <w:p w14:paraId="3479D769">
      <w:pPr>
        <w:keepNext w:val="0"/>
        <w:keepLines w:val="0"/>
        <w:pageBreakBefore w:val="0"/>
        <w:widowControl w:val="0"/>
        <w:numPr>
          <w:ilvl w:val="0"/>
          <w:numId w:val="7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开关、插座距暖气片、管道、接地干线、设备、弱电插座太近时要移位。</w:t>
      </w:r>
    </w:p>
    <w:p w14:paraId="186FD97F">
      <w:pPr>
        <w:keepNext w:val="0"/>
        <w:keepLines w:val="0"/>
        <w:pageBreakBefore w:val="0"/>
        <w:widowControl w:val="0"/>
        <w:numPr>
          <w:ilvl w:val="0"/>
          <w:numId w:val="7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开关的接线应正确无误，开关必须切断相线；开关位置应与灯位一致，同一单位工程其跷板开关的开、关方向应一致。</w:t>
      </w:r>
    </w:p>
    <w:p w14:paraId="0924D26C">
      <w:pPr>
        <w:keepNext w:val="0"/>
        <w:keepLines w:val="0"/>
        <w:pageBreakBefore w:val="0"/>
        <w:widowControl w:val="0"/>
        <w:numPr>
          <w:ilvl w:val="0"/>
          <w:numId w:val="7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单相两孔插座在横装时，面对插座为“左零右火”，坚装时面对插座为“下零上火”，单相三孔及三相四孔的零线均在上方。</w:t>
      </w:r>
    </w:p>
    <w:p w14:paraId="07412B31">
      <w:pPr>
        <w:keepNext w:val="0"/>
        <w:keepLines w:val="0"/>
        <w:pageBreakBefore w:val="0"/>
        <w:widowControl w:val="0"/>
        <w:numPr>
          <w:ilvl w:val="0"/>
          <w:numId w:val="7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民用插座的保护线应选用与相线截面积、绝缘同等级的铜芯导线。</w:t>
      </w:r>
    </w:p>
    <w:p w14:paraId="2B0BC955">
      <w:pPr>
        <w:keepNext w:val="0"/>
        <w:keepLines w:val="0"/>
        <w:pageBreakBefore w:val="0"/>
        <w:widowControl w:val="0"/>
        <w:numPr>
          <w:ilvl w:val="0"/>
          <w:numId w:val="7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在配电回路中的各种导线，均避免在开关、插座的接线端子处以套接压线的方式连接其它支路。</w:t>
      </w:r>
    </w:p>
    <w:p w14:paraId="5486AA23">
      <w:pPr>
        <w:keepNext w:val="0"/>
        <w:keepLines w:val="0"/>
        <w:pageBreakBefore w:val="0"/>
        <w:widowControl w:val="0"/>
        <w:numPr>
          <w:ilvl w:val="0"/>
          <w:numId w:val="7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潮湿场所应使用防水、防溅型插座。</w:t>
      </w:r>
    </w:p>
    <w:p w14:paraId="1C22F2DD">
      <w:pPr>
        <w:keepNext w:val="0"/>
        <w:keepLines w:val="0"/>
        <w:pageBreakBefore w:val="0"/>
        <w:widowControl w:val="0"/>
        <w:numPr>
          <w:ilvl w:val="0"/>
          <w:numId w:val="7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面板的螺丝为镀锌件，无杂物、表面清洁、不变形、盖板端正、紧贴建筑物表面，不吃墙、没有黑边、缝隙。</w:t>
      </w:r>
    </w:p>
    <w:p w14:paraId="05DE8F38">
      <w:pPr>
        <w:keepNext w:val="0"/>
        <w:keepLines w:val="0"/>
        <w:pageBreakBefore w:val="0"/>
        <w:widowControl w:val="0"/>
        <w:numPr>
          <w:ilvl w:val="0"/>
          <w:numId w:val="75"/>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线盒太深大于15mm时，要进行套边处理。</w:t>
      </w:r>
    </w:p>
    <w:p w14:paraId="72396374">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配电箱安装控制要求</w:t>
      </w:r>
    </w:p>
    <w:p w14:paraId="702383FD">
      <w:pPr>
        <w:keepNext w:val="0"/>
        <w:keepLines w:val="0"/>
        <w:pageBreakBefore w:val="0"/>
        <w:widowControl w:val="0"/>
        <w:numPr>
          <w:ilvl w:val="0"/>
          <w:numId w:val="76"/>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配电箱安装整齐，安装高度满足设计要求，成排配电箱上顶或下底对齐安装，配电箱之间间距均匀，</w:t>
      </w:r>
    </w:p>
    <w:p w14:paraId="0C4FFE3B">
      <w:pPr>
        <w:keepNext w:val="0"/>
        <w:keepLines w:val="0"/>
        <w:pageBreakBefore w:val="0"/>
        <w:widowControl w:val="0"/>
        <w:numPr>
          <w:ilvl w:val="0"/>
          <w:numId w:val="76"/>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配电箱应有一定的机械强度，周边平整无损伤，油漆无脱落，二层板厚度不应小于1.5mm，避免用阻燃型塑料板作二层板，箱内各种器具应安装牢固，导线排列整齐，压接牢固，并有产品合格证，为两部认可定点厂家生产，备有检验报告。</w:t>
      </w:r>
    </w:p>
    <w:p w14:paraId="1379FF6D">
      <w:pPr>
        <w:keepNext w:val="0"/>
        <w:keepLines w:val="0"/>
        <w:pageBreakBefore w:val="0"/>
        <w:widowControl w:val="0"/>
        <w:numPr>
          <w:ilvl w:val="0"/>
          <w:numId w:val="76"/>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配电箱内的电气器具应间距均匀，开启关闭灵活，其排列间距符合规范要求。</w:t>
      </w:r>
    </w:p>
    <w:p w14:paraId="762BE3DB">
      <w:pPr>
        <w:keepNext w:val="0"/>
        <w:keepLines w:val="0"/>
        <w:pageBreakBefore w:val="0"/>
        <w:widowControl w:val="0"/>
        <w:numPr>
          <w:ilvl w:val="0"/>
          <w:numId w:val="76"/>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配电箱内的所有金属部件均为热镀锌件。</w:t>
      </w:r>
    </w:p>
    <w:p w14:paraId="1612FFD7">
      <w:pPr>
        <w:keepNext w:val="0"/>
        <w:keepLines w:val="0"/>
        <w:pageBreakBefore w:val="0"/>
        <w:widowControl w:val="0"/>
        <w:numPr>
          <w:ilvl w:val="0"/>
          <w:numId w:val="76"/>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配电箱内的导线应分清颜色，安装符合国家统一标准，出线的开关应标明回路名称，导线压在针孔内应做双回头（独股线），多股线应涮锡压鼻子进行接线，箱内的导线需排列整齐井绑扎成束，在活动部位应用长钉固定，盘面引出及引进的导线应留有余量，以便于检修。</w:t>
      </w:r>
    </w:p>
    <w:p w14:paraId="64A82027">
      <w:pPr>
        <w:keepNext w:val="0"/>
        <w:keepLines w:val="0"/>
        <w:pageBreakBefore w:val="0"/>
        <w:widowControl w:val="0"/>
        <w:numPr>
          <w:ilvl w:val="0"/>
          <w:numId w:val="76"/>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导线剥削处不应损伤线芯或线芯过长，导线压头应牢固可靠，多股线不应盘圈压线，应加装压线端子（有压线孔者除外），如必须穿孔用顶丝压接时，多股线应涮锡后压装，避免减少导线股数。</w:t>
      </w:r>
    </w:p>
    <w:p w14:paraId="69B2B68E">
      <w:pPr>
        <w:keepNext w:val="0"/>
        <w:keepLines w:val="0"/>
        <w:pageBreakBefore w:val="0"/>
        <w:widowControl w:val="0"/>
        <w:numPr>
          <w:ilvl w:val="0"/>
          <w:numId w:val="76"/>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垂直敷设的配电箱，应上进电源ｙ出负荷，横装时，应左近电源，右出负荷。</w:t>
      </w:r>
    </w:p>
    <w:p w14:paraId="1AF3C327">
      <w:pPr>
        <w:keepNext w:val="0"/>
        <w:keepLines w:val="0"/>
        <w:pageBreakBefore w:val="0"/>
        <w:widowControl w:val="0"/>
        <w:numPr>
          <w:ilvl w:val="0"/>
          <w:numId w:val="76"/>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TN-C系统中的零线应在箱体进户线处做好重复接地，配电箱内的零线、地线端子排的进线孔应大一些。</w:t>
      </w:r>
    </w:p>
    <w:p w14:paraId="4B74270A">
      <w:pPr>
        <w:keepNext w:val="0"/>
        <w:keepLines w:val="0"/>
        <w:pageBreakBefore w:val="0"/>
        <w:widowControl w:val="0"/>
        <w:numPr>
          <w:ilvl w:val="0"/>
          <w:numId w:val="76"/>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明装配电箱安装，底边距地不小于1.5m，电表箱安装时避免小于1.8m，用膨胀螺栓固定。严禁电气焊开孔，避免开长孔，开孔严禁出现毛刺，用成品绝缘保护套进行包裹穿线孔洞。</w:t>
      </w:r>
    </w:p>
    <w:p w14:paraId="2A1A24AA">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电缆线路敷设控制要求</w:t>
      </w:r>
    </w:p>
    <w:p w14:paraId="1332A203">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电缆管敷设</w:t>
      </w:r>
    </w:p>
    <w:p w14:paraId="1A59AE25">
      <w:pPr>
        <w:keepNext w:val="0"/>
        <w:keepLines w:val="0"/>
        <w:pageBreakBefore w:val="0"/>
        <w:widowControl w:val="0"/>
        <w:numPr>
          <w:ilvl w:val="0"/>
          <w:numId w:val="77"/>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电缆管明敷设应安装牢固，电缆管支持点的距离，设计无规定时金属管不宜超过3m；当穿塑料管时，直线段长度超过30m时建议加装伸缩节。</w:t>
      </w:r>
    </w:p>
    <w:p w14:paraId="5402435D">
      <w:pPr>
        <w:keepNext w:val="0"/>
        <w:keepLines w:val="0"/>
        <w:pageBreakBefore w:val="0"/>
        <w:widowControl w:val="0"/>
        <w:numPr>
          <w:ilvl w:val="0"/>
          <w:numId w:val="77"/>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金属电缆管连接应两管对准并密封良好，套接的短套管或带螺纹的管接头长度不应小于电缆管外径的２．２倍，金属电缆管不宜直接对焊。</w:t>
      </w:r>
    </w:p>
    <w:p w14:paraId="100CA94D">
      <w:pPr>
        <w:keepNext w:val="0"/>
        <w:keepLines w:val="0"/>
        <w:pageBreakBefore w:val="0"/>
        <w:widowControl w:val="0"/>
        <w:numPr>
          <w:ilvl w:val="0"/>
          <w:numId w:val="77"/>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引至设备的电缆管管口位置，应便于与设备连接并且不妨碍设备拆装和进出。并。列敷设的电缆管管口应排列整齐，利用电缆的保护钢管做接地线时，应先焊好接地线，丝扣连接的也需焊好跨接地线，焊完后再敷设电缆。</w:t>
      </w:r>
    </w:p>
    <w:p w14:paraId="7042BB36">
      <w:pPr>
        <w:keepNext w:val="0"/>
        <w:keepLines w:val="0"/>
        <w:pageBreakBefore w:val="0"/>
        <w:widowControl w:val="0"/>
        <w:numPr>
          <w:ilvl w:val="0"/>
          <w:numId w:val="77"/>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敷设混凝土、陶土、石棉水泥等材质的电缆管时，其地基应坚实平整，不应有沉陷，电缆管的敷设应符合下列要求：</w:t>
      </w:r>
    </w:p>
    <w:p w14:paraId="367D2841">
      <w:pPr>
        <w:keepNext w:val="0"/>
        <w:keepLines w:val="0"/>
        <w:pageBreakBefore w:val="0"/>
        <w:widowControl w:val="0"/>
        <w:numPr>
          <w:ilvl w:val="0"/>
          <w:numId w:val="77"/>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电缆管的埋设深度不应小于0.7m，在人行横道下面敷设时，不应小于0.5m。</w:t>
      </w:r>
    </w:p>
    <w:p w14:paraId="00CF0ED1">
      <w:pPr>
        <w:keepNext w:val="0"/>
        <w:keepLines w:val="0"/>
        <w:pageBreakBefore w:val="0"/>
        <w:widowControl w:val="0"/>
        <w:numPr>
          <w:ilvl w:val="0"/>
          <w:numId w:val="77"/>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电缆管应有不小于0.1％的排水坡度。</w:t>
      </w:r>
    </w:p>
    <w:p w14:paraId="4604D702">
      <w:pPr>
        <w:keepNext w:val="0"/>
        <w:keepLines w:val="0"/>
        <w:pageBreakBefore w:val="0"/>
        <w:widowControl w:val="0"/>
        <w:numPr>
          <w:ilvl w:val="0"/>
          <w:numId w:val="77"/>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电缆管连接时，管孔应对准，接缝应严密，避免有地下水和泥浆渗人。</w:t>
      </w:r>
    </w:p>
    <w:p w14:paraId="2F8FD6E9">
      <w:pPr>
        <w:keepNext w:val="0"/>
        <w:keepLines w:val="0"/>
        <w:pageBreakBefore w:val="0"/>
        <w:widowControl w:val="0"/>
        <w:numPr>
          <w:ilvl w:val="0"/>
          <w:numId w:val="77"/>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电缆进人建筑物时，出人口应封闭，穿完电缆后，管口应密封。</w:t>
      </w:r>
    </w:p>
    <w:p w14:paraId="36C2401C">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电缆敷设</w:t>
      </w:r>
    </w:p>
    <w:p w14:paraId="05C3C66B">
      <w:pPr>
        <w:keepNext w:val="0"/>
        <w:keepLines w:val="0"/>
        <w:pageBreakBefore w:val="0"/>
        <w:widowControl w:val="0"/>
        <w:numPr>
          <w:ilvl w:val="0"/>
          <w:numId w:val="7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在电缆端头、电缆接头、拐弯处及夹层内、隧道、竖井两端等地方，应装设标志牌，标志牌上注明线路编号，当无编号时，应写明电缆型号、规格及起讫地点；并联的电缆应有顺序号，标志牌的字迹要清晰，不易脱落；标志牌规格必须统一，材质能防腐，挂装应牢固。</w:t>
      </w:r>
    </w:p>
    <w:p w14:paraId="0B28B9CB">
      <w:pPr>
        <w:keepNext w:val="0"/>
        <w:keepLines w:val="0"/>
        <w:pageBreakBefore w:val="0"/>
        <w:widowControl w:val="0"/>
        <w:numPr>
          <w:ilvl w:val="0"/>
          <w:numId w:val="7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在线槽内敷设电缆时，敷设电缆的截面积不应超过线槽截面积的４０％，在线槽内敷设应排列整齐不应交叉、重叠、扭曲、不应有接头，每隔1.5m应进行绑扎，绑扎应牢固。</w:t>
      </w:r>
    </w:p>
    <w:p w14:paraId="5A5E9469">
      <w:pPr>
        <w:keepNext w:val="0"/>
        <w:keepLines w:val="0"/>
        <w:pageBreakBefore w:val="0"/>
        <w:widowControl w:val="0"/>
        <w:numPr>
          <w:ilvl w:val="0"/>
          <w:numId w:val="7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强、弱电电缆不应敷设在同一线槽内，敷设在一起时，应有隔板。</w:t>
      </w:r>
    </w:p>
    <w:p w14:paraId="0CDEB864">
      <w:pPr>
        <w:keepNext w:val="0"/>
        <w:keepLines w:val="0"/>
        <w:pageBreakBefore w:val="0"/>
        <w:widowControl w:val="0"/>
        <w:numPr>
          <w:ilvl w:val="0"/>
          <w:numId w:val="7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在敷设前，应摇测电缆绝缘，５００Ｖ时绝缘电阻值不小于0.5mΩ，在送电前需再摇测一次。</w:t>
      </w:r>
    </w:p>
    <w:p w14:paraId="73C694E1">
      <w:pPr>
        <w:keepNext w:val="0"/>
        <w:keepLines w:val="0"/>
        <w:pageBreakBefore w:val="0"/>
        <w:widowControl w:val="0"/>
        <w:numPr>
          <w:ilvl w:val="0"/>
          <w:numId w:val="7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电缆的弯曲半径要符合规范要求，铠装、铅包20倍电缆外径；其他10倍电缆外径。</w:t>
      </w:r>
    </w:p>
    <w:p w14:paraId="188EF8DA">
      <w:pPr>
        <w:keepNext w:val="0"/>
        <w:keepLines w:val="0"/>
        <w:pageBreakBefore w:val="0"/>
        <w:widowControl w:val="0"/>
        <w:numPr>
          <w:ilvl w:val="0"/>
          <w:numId w:val="7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电缆敷设时，电缆应从盘的上端引出，应避免电缆在支架上及地面摩擦拖拉。电缆上避免有未消除的机械损伤（如销装压扁、电缆拧绞、护层断裂等）。</w:t>
      </w:r>
    </w:p>
    <w:p w14:paraId="1072F7E9">
      <w:pPr>
        <w:keepNext w:val="0"/>
        <w:keepLines w:val="0"/>
        <w:pageBreakBefore w:val="0"/>
        <w:widowControl w:val="0"/>
        <w:numPr>
          <w:ilvl w:val="0"/>
          <w:numId w:val="7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金属线槽、桥架安装控制要求</w:t>
      </w:r>
    </w:p>
    <w:p w14:paraId="03F4C478">
      <w:pPr>
        <w:keepNext w:val="0"/>
        <w:keepLines w:val="0"/>
        <w:pageBreakBefore w:val="0"/>
        <w:widowControl w:val="0"/>
        <w:numPr>
          <w:ilvl w:val="0"/>
          <w:numId w:val="7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材料要求</w:t>
      </w:r>
    </w:p>
    <w:p w14:paraId="7855AFD8">
      <w:pPr>
        <w:keepNext w:val="0"/>
        <w:keepLines w:val="0"/>
        <w:pageBreakBefore w:val="0"/>
        <w:widowControl w:val="0"/>
        <w:numPr>
          <w:ilvl w:val="0"/>
          <w:numId w:val="7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金属线槽分镀锌和不镀锌制品，其规格、型号应满足设计规范要求。线槽内外应光滑平整，无棱刺，不应有扭曲、翘边等变形现象。有产品质量认证和检测报告。</w:t>
      </w:r>
    </w:p>
    <w:p w14:paraId="12B1C1EC">
      <w:pPr>
        <w:keepNext w:val="0"/>
        <w:keepLines w:val="0"/>
        <w:pageBreakBefore w:val="0"/>
        <w:widowControl w:val="0"/>
        <w:numPr>
          <w:ilvl w:val="0"/>
          <w:numId w:val="7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对镀锌制品，要采用配套的镀锌配件，镀锌层表面应光滑均匀、致密、不起皮、无气泡、无局部未镀和局部锈蚀现象和划伤等缺陷，避免有影响安装的锌瘤。</w:t>
      </w:r>
    </w:p>
    <w:p w14:paraId="0516CB49">
      <w:pPr>
        <w:keepNext w:val="0"/>
        <w:keepLines w:val="0"/>
        <w:pageBreakBefore w:val="0"/>
        <w:widowControl w:val="0"/>
        <w:numPr>
          <w:ilvl w:val="0"/>
          <w:numId w:val="7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对非镀锌制品，漆层应坚固，无锈蚀现象，在每段上应焊接接地螺丝。</w:t>
      </w:r>
    </w:p>
    <w:p w14:paraId="4E160D11">
      <w:pPr>
        <w:keepNext w:val="0"/>
        <w:keepLines w:val="0"/>
        <w:pageBreakBefore w:val="0"/>
        <w:widowControl w:val="0"/>
        <w:numPr>
          <w:ilvl w:val="0"/>
          <w:numId w:val="7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支、吊架的结构应满足刚度、强度及稳定性的要求。</w:t>
      </w:r>
    </w:p>
    <w:p w14:paraId="221CF1A3">
      <w:pPr>
        <w:keepNext w:val="0"/>
        <w:keepLines w:val="0"/>
        <w:pageBreakBefore w:val="0"/>
        <w:widowControl w:val="0"/>
        <w:numPr>
          <w:ilvl w:val="0"/>
          <w:numId w:val="7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焊缝的机械性能避免低于本体材料的机械性能，焊缝表面均匀，避免有漏焊、裂纹、夹渣、烧穿等缺陷。</w:t>
      </w:r>
    </w:p>
    <w:p w14:paraId="08424469">
      <w:pPr>
        <w:keepNext w:val="0"/>
        <w:keepLines w:val="0"/>
        <w:pageBreakBefore w:val="0"/>
        <w:widowControl w:val="0"/>
        <w:numPr>
          <w:ilvl w:val="0"/>
          <w:numId w:val="78"/>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热浸锌桥架在现场切割后，桥架切口需在现场做热浸锌处理后方可安装。</w:t>
      </w:r>
    </w:p>
    <w:p w14:paraId="29ADAA43">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桥架敷设</w:t>
      </w:r>
    </w:p>
    <w:p w14:paraId="385CC728">
      <w:pPr>
        <w:keepNext w:val="0"/>
        <w:keepLines w:val="0"/>
        <w:pageBreakBefore w:val="0"/>
        <w:widowControl w:val="0"/>
        <w:numPr>
          <w:ilvl w:val="0"/>
          <w:numId w:val="7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依据配电箱、柜、电气器具，空间管道等确定敷设的位置走向，弹线定位，并确定支吊架的固定位置；在竖井、机房内要考虑垂直干线与分支干线的连接方式。</w:t>
      </w:r>
    </w:p>
    <w:p w14:paraId="64CEFB80">
      <w:pPr>
        <w:keepNext w:val="0"/>
        <w:keepLines w:val="0"/>
        <w:pageBreakBefore w:val="0"/>
        <w:widowControl w:val="0"/>
        <w:numPr>
          <w:ilvl w:val="0"/>
          <w:numId w:val="7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应保证桥架安装横平竖直，在有坡度的建筑物上应保证与建筑物表面相同的坡度。</w:t>
      </w:r>
    </w:p>
    <w:p w14:paraId="49B6AEB1">
      <w:pPr>
        <w:keepNext w:val="0"/>
        <w:keepLines w:val="0"/>
        <w:pageBreakBefore w:val="0"/>
        <w:widowControl w:val="0"/>
        <w:numPr>
          <w:ilvl w:val="0"/>
          <w:numId w:val="7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桥架水平敷设时距地高度不宜低于2.5m，垂直敷设时不低于1.8m，低于上述高度时应加金属盖板保护，但敷设在电气专用房间（配电室、电气竖井、设备层等）内除外。</w:t>
      </w:r>
    </w:p>
    <w:p w14:paraId="7C4274DD">
      <w:pPr>
        <w:keepNext w:val="0"/>
        <w:keepLines w:val="0"/>
        <w:pageBreakBefore w:val="0"/>
        <w:widowControl w:val="0"/>
        <w:numPr>
          <w:ilvl w:val="0"/>
          <w:numId w:val="79"/>
        </w:numPr>
        <w:tabs>
          <w:tab w:val="left" w:pos="40"/>
        </w:tabs>
        <w:kinsoku/>
        <w:wordWrap/>
        <w:overflowPunct/>
        <w:topLinePunct w:val="0"/>
        <w:autoSpaceDE/>
        <w:autoSpaceDN/>
        <w:bidi w:val="0"/>
        <w:adjustRightInd/>
        <w:snapToGrid w:val="0"/>
        <w:ind w:left="0" w:firstLine="480"/>
        <w:jc w:val="left"/>
        <w:textAlignment w:val="auto"/>
        <w:rPr>
          <w:bCs/>
          <w:color w:val="auto"/>
          <w:highlight w:val="none"/>
        </w:rPr>
      </w:pPr>
      <w:r>
        <w:rPr>
          <w:rFonts w:hint="eastAsia"/>
          <w:bCs/>
          <w:color w:val="auto"/>
          <w:highlight w:val="none"/>
        </w:rPr>
        <w:t>电缆托盘、桥架多层敷设时其层间距离为：控制电缆间不应小于0.2m，电气电缆间不应小于0.3m，弱电电缆与电气电缆间不小于0.5m，如有屏蔽盖板可减少到0.3m，桥架上部距离顶棚或其他障碍物不应小于0.3m。</w:t>
      </w:r>
    </w:p>
    <w:p w14:paraId="2EC763F8">
      <w:pPr>
        <w:keepNext w:val="0"/>
        <w:keepLines w:val="0"/>
        <w:pageBreakBefore w:val="0"/>
        <w:widowControl w:val="0"/>
        <w:numPr>
          <w:ilvl w:val="0"/>
          <w:numId w:val="79"/>
        </w:numPr>
        <w:tabs>
          <w:tab w:val="left" w:pos="40"/>
        </w:tabs>
        <w:kinsoku/>
        <w:wordWrap/>
        <w:overflowPunct/>
        <w:topLinePunct w:val="0"/>
        <w:autoSpaceDE/>
        <w:autoSpaceDN/>
        <w:bidi w:val="0"/>
        <w:adjustRightInd/>
        <w:snapToGrid w:val="0"/>
        <w:ind w:left="0" w:firstLine="480"/>
        <w:jc w:val="left"/>
        <w:textAlignment w:val="auto"/>
        <w:rPr>
          <w:bCs/>
          <w:color w:val="auto"/>
          <w:highlight w:val="none"/>
        </w:rPr>
      </w:pPr>
      <w:r>
        <w:rPr>
          <w:rFonts w:hint="eastAsia"/>
          <w:bCs/>
          <w:color w:val="auto"/>
          <w:highlight w:val="none"/>
        </w:rPr>
        <w:t>尽量使用厂家配套的支吊架，在需要自制的场所，支吊架要统一预制，规格尺寸控制统一，焊接牢固，切口无卷边、毛刺，刷防锈漆；支吊架的规格不应小于扁铁30mm*30mm，支吊架强度应能达到桥架的承载能力要求。</w:t>
      </w:r>
    </w:p>
    <w:p w14:paraId="03E9D4EA">
      <w:pPr>
        <w:keepNext w:val="0"/>
        <w:keepLines w:val="0"/>
        <w:pageBreakBefore w:val="0"/>
        <w:widowControl w:val="0"/>
        <w:numPr>
          <w:ilvl w:val="0"/>
          <w:numId w:val="7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支吊架预埋铁，自制加工尺寸应大于120mm*660mm，其锚固圆钢直径不应小于ｓｍｍ，配合土建结构施工，拆模后，预埋铁的平面应明露或吃进2-3mm，再用肩钢或角钢焊接固定。</w:t>
      </w:r>
    </w:p>
    <w:p w14:paraId="7A483ED5">
      <w:pPr>
        <w:keepNext w:val="0"/>
        <w:keepLines w:val="0"/>
        <w:pageBreakBefore w:val="0"/>
        <w:widowControl w:val="0"/>
        <w:numPr>
          <w:ilvl w:val="0"/>
          <w:numId w:val="7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钢结构上可将支吊架直接焊接在钢结构固定位置处，也可用万能吊具进行安装。</w:t>
      </w:r>
    </w:p>
    <w:p w14:paraId="6B964D54">
      <w:pPr>
        <w:keepNext w:val="0"/>
        <w:keepLines w:val="0"/>
        <w:pageBreakBefore w:val="0"/>
        <w:widowControl w:val="0"/>
        <w:numPr>
          <w:ilvl w:val="0"/>
          <w:numId w:val="7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用膨胀螺栓固定，应根据承载选择相应的螺栓及钻头，所选钻头应大于套管长度；适用于ＣＳ以上混凝土构件及实心砖墙上，不准在空心砖墙固定；打孔的深度应以将套管全部埋人后，表面平齐为宜；避免损伤螺栓的丝扣。</w:t>
      </w:r>
    </w:p>
    <w:p w14:paraId="1ED4A180">
      <w:pPr>
        <w:keepNext w:val="0"/>
        <w:keepLines w:val="0"/>
        <w:pageBreakBefore w:val="0"/>
        <w:widowControl w:val="0"/>
        <w:numPr>
          <w:ilvl w:val="0"/>
          <w:numId w:val="7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避免使用木楔子固定，桥架、线槽敷设完毕后应作好标识，并对于不同系统的桥架、线槽用不同颜色的油漆进行区分。</w:t>
      </w:r>
    </w:p>
    <w:p w14:paraId="6069841F">
      <w:pPr>
        <w:keepNext w:val="0"/>
        <w:keepLines w:val="0"/>
        <w:pageBreakBefore w:val="0"/>
        <w:widowControl w:val="0"/>
        <w:numPr>
          <w:ilvl w:val="0"/>
          <w:numId w:val="7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桥架水平敷设时应按荷载曲线选取最佳跨距及进行支撑，跨距一般为1.5-3m，垂直敷设时，固定点间距不大于2m，支架与支架应安装牢固，朝向应一致，间距均匀，相同场所的支吊架位置应一致。</w:t>
      </w:r>
    </w:p>
    <w:p w14:paraId="65197AD3">
      <w:pPr>
        <w:keepNext w:val="0"/>
        <w:keepLines w:val="0"/>
        <w:pageBreakBefore w:val="0"/>
        <w:widowControl w:val="0"/>
        <w:numPr>
          <w:ilvl w:val="0"/>
          <w:numId w:val="7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在进出接线盒、箱、柜、拐角、转弯和变形缝及钉子接头的三端500mm内设固定支持点。</w:t>
      </w:r>
    </w:p>
    <w:p w14:paraId="5F6858FA">
      <w:pPr>
        <w:keepNext w:val="0"/>
        <w:keepLines w:val="0"/>
        <w:pageBreakBefore w:val="0"/>
        <w:widowControl w:val="0"/>
        <w:numPr>
          <w:ilvl w:val="0"/>
          <w:numId w:val="7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在水平敷设时，支吊架应与桥架底面贴平没有缝隙，无悬空现象，以保证各支吊架均匀受力，至少每隔一个支架与桥架本体固定一次。</w:t>
      </w:r>
    </w:p>
    <w:p w14:paraId="43BB3375">
      <w:pPr>
        <w:keepNext w:val="0"/>
        <w:keepLines w:val="0"/>
        <w:pageBreakBefore w:val="0"/>
        <w:widowControl w:val="0"/>
        <w:numPr>
          <w:ilvl w:val="0"/>
          <w:numId w:val="7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在非直线段的支吊架当半径不大于300mm时，应在距非直线段与直线段结合处300-600mm的直线段侧设置一个支吊架；当半径大于300mm时，除应按上则要求外，在非直线段中部还应增设一个支、吊架。</w:t>
      </w:r>
    </w:p>
    <w:p w14:paraId="59A3D022">
      <w:pPr>
        <w:keepNext w:val="0"/>
        <w:keepLines w:val="0"/>
        <w:pageBreakBefore w:val="0"/>
        <w:widowControl w:val="0"/>
        <w:numPr>
          <w:ilvl w:val="0"/>
          <w:numId w:val="7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桥架的接口应平整，接缝处应紧密平直，槽板盖上后应平整，无翘角。</w:t>
      </w:r>
    </w:p>
    <w:p w14:paraId="18F3C140">
      <w:pPr>
        <w:keepNext w:val="0"/>
        <w:keepLines w:val="0"/>
        <w:pageBreakBefore w:val="0"/>
        <w:widowControl w:val="0"/>
        <w:numPr>
          <w:ilvl w:val="0"/>
          <w:numId w:val="7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桥架进箱、盒、柜时，进线和出线口等处应采取抱角连接，并用螺丝紧固。</w:t>
      </w:r>
    </w:p>
    <w:p w14:paraId="5B49AFB2">
      <w:pPr>
        <w:keepNext w:val="0"/>
        <w:keepLines w:val="0"/>
        <w:pageBreakBefore w:val="0"/>
        <w:widowControl w:val="0"/>
        <w:numPr>
          <w:ilvl w:val="0"/>
          <w:numId w:val="7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线槽连接应采用连接板，用垫圈、弹簧垫、螺母紧固，螺母必须在线槽外侧。</w:t>
      </w:r>
    </w:p>
    <w:p w14:paraId="6EF77501">
      <w:pPr>
        <w:keepNext w:val="0"/>
        <w:keepLines w:val="0"/>
        <w:pageBreakBefore w:val="0"/>
        <w:widowControl w:val="0"/>
        <w:numPr>
          <w:ilvl w:val="0"/>
          <w:numId w:val="7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桥架在交叉、转弯、丁字连接时，应尽量使用厂家配套生产单通、二通、三通、四通或平面二通、平面三通等进行变通连接。</w:t>
      </w:r>
    </w:p>
    <w:p w14:paraId="04B960F9">
      <w:pPr>
        <w:keepNext w:val="0"/>
        <w:keepLines w:val="0"/>
        <w:pageBreakBefore w:val="0"/>
        <w:widowControl w:val="0"/>
        <w:numPr>
          <w:ilvl w:val="0"/>
          <w:numId w:val="7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如空间尺寸不允许，要自制弯通时要使用和桥架本体相同规格的材料；在拐角处要保留斜坡，以保护线缆；拼接的弯通、拐弯应保证连接平顺，空间布置合理；在采取焊接法连接时，要保证焊接面积，不能只是数点焊接，应保证整个焊口严密，焊完后，刷防锈漆和与桥架本体颜色一致的面漆；螺丝连接法只适于镀锌桥架，每段连接板间至少有两处螺丝做可靠连接。</w:t>
      </w:r>
    </w:p>
    <w:p w14:paraId="09691CCF">
      <w:pPr>
        <w:keepNext w:val="0"/>
        <w:keepLines w:val="0"/>
        <w:pageBreakBefore w:val="0"/>
        <w:widowControl w:val="0"/>
        <w:numPr>
          <w:ilvl w:val="0"/>
          <w:numId w:val="7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从桥架上分支的线管不得用电气焊开孔，管子要套丝用锁母于桥架固定，在距开孔处300mm内管子应加一道支架固定。</w:t>
      </w:r>
    </w:p>
    <w:p w14:paraId="2AB48E01">
      <w:pPr>
        <w:keepNext w:val="0"/>
        <w:keepLines w:val="0"/>
        <w:pageBreakBefore w:val="0"/>
        <w:widowControl w:val="0"/>
        <w:numPr>
          <w:ilvl w:val="0"/>
          <w:numId w:val="7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桥架的连接处不得设置于过楼板、墙壁处，不得设置于支吊架支撑处，必须离支吊架100mm以上。</w:t>
      </w:r>
    </w:p>
    <w:p w14:paraId="1D386663">
      <w:pPr>
        <w:keepNext w:val="0"/>
        <w:keepLines w:val="0"/>
        <w:pageBreakBefore w:val="0"/>
        <w:widowControl w:val="0"/>
        <w:numPr>
          <w:ilvl w:val="0"/>
          <w:numId w:val="79"/>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桥架经过建筑物的变形缝师缩缝、沉降缝）时，线槽本身应断开，断开距离以100mm为宜，槽内用连接板搭接，不需固定，保护地线和槽内导线应留有补偿余量，桥架直线段每段50mm应留伸缩缝20-30mm</w:t>
      </w:r>
    </w:p>
    <w:p w14:paraId="7A781C0B">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桥架的接地</w:t>
      </w:r>
    </w:p>
    <w:p w14:paraId="36E6971C">
      <w:pPr>
        <w:keepNext w:val="0"/>
        <w:keepLines w:val="0"/>
        <w:pageBreakBefore w:val="0"/>
        <w:widowControl w:val="0"/>
        <w:numPr>
          <w:ilvl w:val="0"/>
          <w:numId w:val="80"/>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当利用桥架本体系统构成回路时，连接接头处的电阻不得大于0.00033Ω。</w:t>
      </w:r>
    </w:p>
    <w:p w14:paraId="0DA05A16">
      <w:pPr>
        <w:keepNext w:val="0"/>
        <w:keepLines w:val="0"/>
        <w:pageBreakBefore w:val="0"/>
        <w:widowControl w:val="0"/>
        <w:numPr>
          <w:ilvl w:val="0"/>
          <w:numId w:val="80"/>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对镀锌、铝制的桥架，本体的连接片连接可作为接地连接，但必须保证连接牢固，配套的螺丝、平垫、弹簧垫齐全，连接处无锈蚀现象和砂浆、渣土等污染。</w:t>
      </w:r>
    </w:p>
    <w:p w14:paraId="51614EC9">
      <w:pPr>
        <w:keepNext w:val="0"/>
        <w:keepLines w:val="0"/>
        <w:pageBreakBefore w:val="0"/>
        <w:widowControl w:val="0"/>
        <w:numPr>
          <w:ilvl w:val="0"/>
          <w:numId w:val="80"/>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对非镀锌制品，除本体连接外，应在其接地螺丝（螺丝必须在加工时就与桥架焊接成一体）上用编织软铜线或铜线连接，导线截面积选择应符合，此连接必须在每一段都连接。尤其在拼接处的非直线段Ｌ更必须做到位，接地线宜做在桥架的同一侧，以便于检查，避免遗漏。</w:t>
      </w:r>
    </w:p>
    <w:p w14:paraId="31101EB4">
      <w:pPr>
        <w:keepNext w:val="0"/>
        <w:keepLines w:val="0"/>
        <w:pageBreakBefore w:val="0"/>
        <w:widowControl w:val="0"/>
        <w:numPr>
          <w:ilvl w:val="0"/>
          <w:numId w:val="80"/>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沿桥架全长另敷设接地干线时，每段（包括非直线段）托盘、梯架应至少有一点与接地干线可靠连接。</w:t>
      </w:r>
    </w:p>
    <w:p w14:paraId="78D4B080">
      <w:pPr>
        <w:keepNext w:val="0"/>
        <w:keepLines w:val="0"/>
        <w:pageBreakBefore w:val="0"/>
        <w:widowControl w:val="0"/>
        <w:numPr>
          <w:ilvl w:val="0"/>
          <w:numId w:val="80"/>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桥架应与配电箱、柜，分支管线、用电气具、设备做好接地，以保证用电系统接地在此环节中的可靠性、连续性。</w:t>
      </w:r>
    </w:p>
    <w:p w14:paraId="64B8A526">
      <w:pPr>
        <w:keepNext w:val="0"/>
        <w:keepLines w:val="0"/>
        <w:pageBreakBefore w:val="0"/>
        <w:widowControl w:val="0"/>
        <w:numPr>
          <w:ilvl w:val="0"/>
          <w:numId w:val="80"/>
        </w:numPr>
        <w:tabs>
          <w:tab w:val="left" w:pos="40"/>
        </w:tabs>
        <w:kinsoku/>
        <w:wordWrap/>
        <w:overflowPunct/>
        <w:topLinePunct w:val="0"/>
        <w:autoSpaceDE/>
        <w:autoSpaceDN/>
        <w:bidi w:val="0"/>
        <w:ind w:left="0" w:firstLine="480"/>
        <w:jc w:val="left"/>
        <w:rPr>
          <w:bCs/>
          <w:color w:val="auto"/>
          <w:highlight w:val="none"/>
        </w:rPr>
      </w:pPr>
      <w:r>
        <w:rPr>
          <w:rFonts w:hint="eastAsia"/>
          <w:bCs/>
          <w:color w:val="auto"/>
          <w:highlight w:val="none"/>
        </w:rPr>
        <w:t>桥架过墙壁、楼板处、不应将空洞抹死，而应作如下处理：土建收口方正，在桥架四周留一定空间，往空间内填充防火枕或防火堵料，在墙壁两侧，各用加工方正、尺寸合适一致、油漆均匀的盖板封盖住。</w:t>
      </w:r>
    </w:p>
    <w:p w14:paraId="4BE7622E">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电缆及桥架标识控制要求</w:t>
      </w:r>
    </w:p>
    <w:p w14:paraId="1E416EFE">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桥架/线槽标识应字迹清晰醒目，应注明桥架/线槽的专业及性质。</w:t>
      </w:r>
    </w:p>
    <w:p w14:paraId="3868A50A">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电缆两终端应采用标准标识牌对电缆的各信息予以表示并确保正确。</w:t>
      </w:r>
    </w:p>
    <w:p w14:paraId="20F0F5EF">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竖向桥架内的电缆应在每一层桥架内用成品塑料标识牌对电缆各信息予以表示并确保正确。</w:t>
      </w:r>
    </w:p>
    <w:p w14:paraId="6A974F75">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并行电缆、线槽、桥架等的标识应排列整齐。</w:t>
      </w:r>
    </w:p>
    <w:p w14:paraId="25681818">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设备标识应固定牢固，立管标识的高度应便于观察。</w:t>
      </w:r>
    </w:p>
    <w:p w14:paraId="2E3EFB3A">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标识使用汉字正楷，大小一致，字迹清晰，颜色一致醒目。</w:t>
      </w:r>
    </w:p>
    <w:p w14:paraId="476DBAB8">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rPr>
        <w:t>标识内容采用机打或手写方式，大小一致，字迹清晰，颜色一致醒目。电缆标识牌排列整齐。电缆标识牌的具体内容及形式需送样，待发包人确认后统一安装。</w:t>
      </w:r>
    </w:p>
    <w:p w14:paraId="130CF273">
      <w:pPr>
        <w:keepNext w:val="0"/>
        <w:keepLines w:val="0"/>
        <w:pageBreakBefore w:val="0"/>
        <w:widowControl w:val="0"/>
        <w:kinsoku/>
        <w:wordWrap/>
        <w:overflowPunct/>
        <w:topLinePunct w:val="0"/>
        <w:autoSpaceDE/>
        <w:autoSpaceDN/>
        <w:bidi w:val="0"/>
        <w:spacing w:before="120" w:after="120"/>
        <w:rPr>
          <w:rFonts w:eastAsia="黑体"/>
          <w:bCs/>
          <w:color w:val="auto"/>
          <w:kern w:val="44"/>
          <w:sz w:val="36"/>
          <w:szCs w:val="44"/>
          <w:highlight w:val="none"/>
        </w:rPr>
      </w:pPr>
      <w:r>
        <w:rPr>
          <w:color w:val="auto"/>
          <w:highlight w:val="none"/>
        </w:rPr>
        <w:br w:type="page"/>
      </w:r>
    </w:p>
    <w:p w14:paraId="2E5F5174">
      <w:pPr>
        <w:pStyle w:val="3"/>
        <w:keepNext w:val="0"/>
        <w:keepLines w:val="0"/>
        <w:pageBreakBefore w:val="0"/>
        <w:widowControl w:val="0"/>
        <w:numPr>
          <w:ilvl w:val="0"/>
          <w:numId w:val="15"/>
        </w:numPr>
        <w:kinsoku/>
        <w:wordWrap/>
        <w:overflowPunct/>
        <w:topLinePunct w:val="0"/>
        <w:autoSpaceDE/>
        <w:autoSpaceDN/>
        <w:bidi w:val="0"/>
        <w:rPr>
          <w:color w:val="auto"/>
          <w:highlight w:val="none"/>
        </w:rPr>
      </w:pPr>
      <w:bookmarkStart w:id="609" w:name="_Toc14104"/>
      <w:bookmarkStart w:id="610" w:name="_Toc14069"/>
      <w:bookmarkStart w:id="611" w:name="_Toc1845"/>
      <w:bookmarkStart w:id="612" w:name="_Toc30505"/>
      <w:bookmarkStart w:id="613" w:name="_Toc18087"/>
      <w:bookmarkStart w:id="614" w:name="_Toc26927"/>
      <w:bookmarkStart w:id="615" w:name="_Toc13837"/>
      <w:bookmarkStart w:id="616" w:name="_Toc19602"/>
      <w:bookmarkStart w:id="617" w:name="_Toc219"/>
      <w:bookmarkStart w:id="618" w:name="_Toc30873"/>
      <w:bookmarkStart w:id="619" w:name="_Toc169722246"/>
      <w:bookmarkStart w:id="620" w:name="_Toc30739"/>
      <w:bookmarkStart w:id="621" w:name="_Toc6469"/>
      <w:r>
        <w:rPr>
          <w:rFonts w:hint="eastAsia"/>
          <w:color w:val="auto"/>
          <w:highlight w:val="none"/>
          <w:lang w:eastAsia="zh-CN"/>
        </w:rPr>
        <w:t>安全</w:t>
      </w:r>
      <w:r>
        <w:rPr>
          <w:rFonts w:hint="eastAsia"/>
          <w:color w:val="auto"/>
          <w:highlight w:val="none"/>
        </w:rPr>
        <w:t>管理规定</w:t>
      </w:r>
      <w:bookmarkEnd w:id="609"/>
      <w:bookmarkEnd w:id="610"/>
      <w:bookmarkEnd w:id="611"/>
      <w:bookmarkEnd w:id="612"/>
      <w:bookmarkEnd w:id="613"/>
      <w:bookmarkEnd w:id="614"/>
      <w:bookmarkEnd w:id="615"/>
      <w:bookmarkEnd w:id="616"/>
      <w:bookmarkEnd w:id="617"/>
      <w:bookmarkEnd w:id="618"/>
      <w:bookmarkEnd w:id="619"/>
      <w:bookmarkEnd w:id="620"/>
      <w:bookmarkEnd w:id="621"/>
    </w:p>
    <w:p w14:paraId="05D5364D">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622" w:name="_Toc12499"/>
      <w:bookmarkStart w:id="623" w:name="_Toc10307"/>
      <w:r>
        <w:rPr>
          <w:rFonts w:hint="eastAsia"/>
          <w:color w:val="auto"/>
          <w:highlight w:val="none"/>
          <w:lang w:eastAsia="zh-CN"/>
        </w:rPr>
        <w:t>安全</w:t>
      </w:r>
      <w:r>
        <w:rPr>
          <w:rFonts w:hint="eastAsia"/>
          <w:color w:val="auto"/>
          <w:highlight w:val="none"/>
        </w:rPr>
        <w:t>管理权利与义务</w:t>
      </w:r>
      <w:bookmarkEnd w:id="622"/>
      <w:bookmarkEnd w:id="623"/>
    </w:p>
    <w:p w14:paraId="1A471E7C">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发包人权力</w:t>
      </w:r>
    </w:p>
    <w:p w14:paraId="54D7605F">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有权要求专业承包人建立健全安全管理体系，严格执行安全生产法规、标准，遵守安全生产规章制度、安全操作规程，有效控制生产危险源，熟练掌握事故防范和应急措施等。</w:t>
      </w:r>
    </w:p>
    <w:p w14:paraId="724529E6">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有权要求专业承包人履行安全生产职责，并对总承包人履责情况进行监督、考评。</w:t>
      </w:r>
    </w:p>
    <w:p w14:paraId="2416856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有权对专业承包人拟派项目的安全管理人员进行面试，经面试合格后方可上岗。对履责不力或由于管理缺陷造成事故事件的，发包人有权利要求专业承包人对安全管理人员进行更换。</w:t>
      </w:r>
    </w:p>
    <w:p w14:paraId="4FE9499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有权要求专业承包人维护好各类安全生产设施、设备和器材。</w:t>
      </w:r>
    </w:p>
    <w:p w14:paraId="7D7FFCC3">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有权对专业承包人租赁使用的设备、设施进行安全监督管理。</w:t>
      </w:r>
    </w:p>
    <w:p w14:paraId="398D50FE">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有权对专业承包人管理的作业现场的安全状况进行监督检查与处理。</w:t>
      </w:r>
    </w:p>
    <w:p w14:paraId="6176920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发生事故后，有权根据有关规定组织、参与事故调查处理并报告事故。</w:t>
      </w:r>
    </w:p>
    <w:p w14:paraId="18397386">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有权对专业承包人做出的安全管理承诺予以监督、检查、考评。</w:t>
      </w:r>
    </w:p>
    <w:p w14:paraId="58738182">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有权指出专业承包人安全管理过程中的任何偏差，并验证整改情况。</w:t>
      </w:r>
    </w:p>
    <w:p w14:paraId="0C1F1406">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有权对专业承包人安全违规行为实施处罚。</w:t>
      </w:r>
    </w:p>
    <w:p w14:paraId="62AF3C2C">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有权对劳务分包进行考察并提供意见，进场前发包人不认可或施工过程中存在重大安全履责风险的，发包人有权要求专业承包人不得选用或进行更换。</w:t>
      </w:r>
    </w:p>
    <w:p w14:paraId="45F118C3">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rPr>
        <w:t>发包人义务</w:t>
      </w:r>
    </w:p>
    <w:p w14:paraId="0230FA36">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贯彻落实“安全第一，预防为主，综合治理”的安全生产方针，认真执行有关法律、法规、标准，建立健全安全生产规章制度。</w:t>
      </w:r>
    </w:p>
    <w:p w14:paraId="093E995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按规定对专业承包人进行资质审查、备案。</w:t>
      </w:r>
    </w:p>
    <w:p w14:paraId="167193A2">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向专业承包人提供工程合同中规定的安全条件支持。</w:t>
      </w:r>
    </w:p>
    <w:p w14:paraId="62001A6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按规定组织或参与事故抢险，防止事故扩大。</w:t>
      </w:r>
    </w:p>
    <w:p w14:paraId="23946238">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按规定向专业承包人传递有关安全管理信息。</w:t>
      </w:r>
    </w:p>
    <w:p w14:paraId="2940D092">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对专业承包人的有关体系管理的受控文件予以保密。</w:t>
      </w:r>
    </w:p>
    <w:p w14:paraId="7F9D6A1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其他根据项目要求应尽的义务。</w:t>
      </w:r>
    </w:p>
    <w:p w14:paraId="44B4371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rPr>
      </w:pPr>
      <w:r>
        <w:rPr>
          <w:rFonts w:hint="eastAsia"/>
          <w:color w:val="auto"/>
          <w:highlight w:val="none"/>
          <w:lang w:eastAsia="zh-CN"/>
        </w:rPr>
        <w:t>专业承包人</w:t>
      </w:r>
      <w:r>
        <w:rPr>
          <w:rFonts w:hint="eastAsia"/>
          <w:color w:val="auto"/>
          <w:highlight w:val="none"/>
        </w:rPr>
        <w:t>权利</w:t>
      </w:r>
    </w:p>
    <w:p w14:paraId="6340C74C">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有权对发包人的安全工作提出合理化建议和改进意见。</w:t>
      </w:r>
    </w:p>
    <w:p w14:paraId="6CFEA678">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对发包人违章指挥、强令冒险作业，有权拒绝执行。</w:t>
      </w:r>
    </w:p>
    <w:p w14:paraId="000117AC">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发生严重危及员工生命安全的不可抗拒紧急情况时，有权采取必要的措施避险。</w:t>
      </w:r>
    </w:p>
    <w:p w14:paraId="43B31D9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法律法规或合同约定的其他权利。</w:t>
      </w:r>
    </w:p>
    <w:p w14:paraId="43D1318B">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专业承包人义务与责任</w:t>
      </w:r>
    </w:p>
    <w:p w14:paraId="289972BA">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的安全文明管理职责包括但不限于依据现行法律法规、施工规范以及本技术要求内容，对标段内的所有分包单位以及供应商的一切供应、保管、施工、安装、调试等工作内容进行全面管理，并承担所有管理协调责任，直至完成施工对发包人的交付。</w:t>
      </w:r>
    </w:p>
    <w:p w14:paraId="3D8C77B8">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积极配合发包人各层级</w:t>
      </w:r>
      <w:r>
        <w:rPr>
          <w:rFonts w:hint="eastAsia"/>
          <w:color w:val="auto"/>
          <w:highlight w:val="none"/>
          <w:lang w:eastAsia="zh-CN"/>
        </w:rPr>
        <w:t>安全</w:t>
      </w:r>
      <w:r>
        <w:rPr>
          <w:rFonts w:hint="eastAsia"/>
          <w:color w:val="auto"/>
          <w:highlight w:val="none"/>
        </w:rPr>
        <w:t>检查，并按要求落实</w:t>
      </w:r>
      <w:r>
        <w:rPr>
          <w:rFonts w:hint="eastAsia"/>
          <w:color w:val="auto"/>
          <w:highlight w:val="none"/>
          <w:lang w:eastAsia="zh-CN"/>
        </w:rPr>
        <w:t>安全</w:t>
      </w:r>
      <w:r>
        <w:rPr>
          <w:rFonts w:hint="eastAsia"/>
          <w:color w:val="auto"/>
          <w:highlight w:val="none"/>
        </w:rPr>
        <w:t>隐患整改工作。</w:t>
      </w:r>
    </w:p>
    <w:p w14:paraId="6B380048">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必须积极配合当地政府和发包人环保管控要求。</w:t>
      </w:r>
    </w:p>
    <w:p w14:paraId="4C650A15">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服从发包人、监理人、总承包人对安全工作的管理，执行其各项安全规定及检查标准。</w:t>
      </w:r>
    </w:p>
    <w:p w14:paraId="7B135DE4">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以</w:t>
      </w:r>
      <w:r>
        <w:rPr>
          <w:rFonts w:hint="eastAsia"/>
          <w:color w:val="auto"/>
          <w:highlight w:val="none"/>
          <w:lang w:eastAsia="zh-CN"/>
        </w:rPr>
        <w:t>安全</w:t>
      </w:r>
      <w:r>
        <w:rPr>
          <w:rFonts w:hint="eastAsia"/>
          <w:color w:val="auto"/>
          <w:highlight w:val="none"/>
        </w:rPr>
        <w:t>管理为基础，落实安全生产责任制，为从业人员提供必备的劳动安全保障。</w:t>
      </w:r>
    </w:p>
    <w:p w14:paraId="4C4F595F">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组织安全检查，及时发现、整改安全隐患、重大险情并报告发包人。</w:t>
      </w:r>
    </w:p>
    <w:p w14:paraId="2253036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积极组织事故抢险，避免事故进一步扩大，并按发包人要求报告事故。</w:t>
      </w:r>
    </w:p>
    <w:p w14:paraId="582C8838">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建设完善并维护各项安全生产设施、设备和器材。</w:t>
      </w:r>
    </w:p>
    <w:p w14:paraId="06C8012C">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对从业人员进行安全培训教育，使其具备相应的安全知识和专业技能。</w:t>
      </w:r>
    </w:p>
    <w:p w14:paraId="36629AB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对涉及有职业病风险作业的工人在进场和离场时分别进行职业健康体检。</w:t>
      </w:r>
    </w:p>
    <w:p w14:paraId="77D85706">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确保特种作业人员具有相应的资格证书，持证上岗，并建立特种工管理台帐，台帐必须及时更新。</w:t>
      </w:r>
    </w:p>
    <w:p w14:paraId="39238A88">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采取措施，保护环境，满足规范及发包人对环境保护的要求。</w:t>
      </w:r>
    </w:p>
    <w:p w14:paraId="1B7DFCFC">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不得购买、使用不符合国家、行业标准的材料、设备、装置器材、防护用品等。</w:t>
      </w:r>
    </w:p>
    <w:p w14:paraId="3993695D">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rPr>
        <w:t>必须选用具备相应资质资格的分包商，并经发包人认可。</w:t>
      </w:r>
    </w:p>
    <w:p w14:paraId="052C888B">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施工过程中所控制或使用的发包人财产，总承包人有义务予以爱护，若财产出现损坏、丢失等情况，总承包人应及时报告发包人并承担相应损失。</w:t>
      </w:r>
    </w:p>
    <w:p w14:paraId="6CDE6890">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应积极关注员工身心健康，提供必要的心理辅导。</w:t>
      </w:r>
    </w:p>
    <w:p w14:paraId="6F8FB61E">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bCs/>
          <w:color w:val="auto"/>
          <w:highlight w:val="none"/>
        </w:rPr>
      </w:pPr>
      <w:r>
        <w:rPr>
          <w:rFonts w:hint="eastAsia"/>
          <w:color w:val="auto"/>
          <w:highlight w:val="none"/>
        </w:rPr>
        <w:t>法律法规或合同约定的</w:t>
      </w:r>
      <w:r>
        <w:rPr>
          <w:rFonts w:hint="eastAsia"/>
          <w:color w:val="auto"/>
          <w:highlight w:val="none"/>
          <w:lang w:eastAsia="zh-CN"/>
        </w:rPr>
        <w:t>专业承包人</w:t>
      </w:r>
      <w:r>
        <w:rPr>
          <w:rFonts w:hint="eastAsia"/>
          <w:color w:val="auto"/>
          <w:highlight w:val="none"/>
        </w:rPr>
        <w:t>应承担的其他义务与责任。</w:t>
      </w:r>
    </w:p>
    <w:p w14:paraId="04DB9FC3">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val="en-US" w:eastAsia="zh-CN"/>
        </w:rPr>
      </w:pPr>
      <w:r>
        <w:rPr>
          <w:rFonts w:hint="eastAsia"/>
          <w:color w:val="auto"/>
          <w:highlight w:val="none"/>
          <w:lang w:val="en-US" w:eastAsia="zh-CN"/>
        </w:rPr>
        <w:t>总承包人的责任</w:t>
      </w:r>
    </w:p>
    <w:p w14:paraId="302A9983">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val="en-US" w:eastAsia="zh-CN"/>
        </w:rPr>
      </w:pPr>
      <w:r>
        <w:rPr>
          <w:rFonts w:hint="eastAsia"/>
          <w:color w:val="auto"/>
          <w:highlight w:val="none"/>
          <w:lang w:val="en-US" w:eastAsia="zh-CN"/>
        </w:rPr>
        <w:t>总承包人对本工程安全生产工作负总责，对所有参建单位实行统一指挥、协调、管理和监督，对施工现场所有人员（包括供应商、技术服务人员、参观学习等临时入场人员）、材料、设备等物资的安全、保卫工作实施统一管理。</w:t>
      </w:r>
    </w:p>
    <w:p w14:paraId="30B1820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val="en-US" w:eastAsia="zh-CN"/>
        </w:rPr>
      </w:pPr>
      <w:r>
        <w:rPr>
          <w:rFonts w:hint="eastAsia"/>
          <w:color w:val="auto"/>
          <w:highlight w:val="none"/>
          <w:lang w:val="en-US" w:eastAsia="zh-CN"/>
        </w:rPr>
        <w:t>总承包人执行的安全标准应以不低于</w:t>
      </w:r>
      <w:bookmarkStart w:id="624" w:name="_Hlk166189627"/>
      <w:r>
        <w:rPr>
          <w:rFonts w:hint="eastAsia"/>
          <w:color w:val="auto"/>
          <w:highlight w:val="none"/>
          <w:lang w:val="en-US" w:eastAsia="zh-CN"/>
        </w:rPr>
        <w:t>国家现行有关法律法规、标准规范</w:t>
      </w:r>
      <w:bookmarkEnd w:id="624"/>
      <w:r>
        <w:rPr>
          <w:rFonts w:hint="eastAsia"/>
          <w:color w:val="auto"/>
          <w:highlight w:val="none"/>
          <w:lang w:val="en-US" w:eastAsia="zh-CN"/>
        </w:rPr>
        <w:t>（包括行业标准、地方标准）为基本原则，如总承包人在本工程采用了低于本工料规范，国家、行业法规、标准或未予描述的做法，造成相关损失，由总承包人承担相应责任。</w:t>
      </w:r>
    </w:p>
    <w:p w14:paraId="2217C0A2">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val="en-US" w:eastAsia="zh-CN"/>
        </w:rPr>
      </w:pPr>
      <w:r>
        <w:rPr>
          <w:rFonts w:hint="eastAsia"/>
          <w:color w:val="auto"/>
          <w:highlight w:val="none"/>
          <w:lang w:val="en-US" w:eastAsia="zh-CN"/>
        </w:rPr>
        <w:t>总承包人与专业承包人对其承包工程的安全生产承担连带责任。</w:t>
      </w:r>
    </w:p>
    <w:p w14:paraId="0CDE5D6B">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val="en-US" w:eastAsia="zh-CN"/>
        </w:rPr>
      </w:pPr>
      <w:r>
        <w:rPr>
          <w:rFonts w:hint="eastAsia"/>
          <w:color w:val="auto"/>
          <w:highlight w:val="none"/>
          <w:lang w:val="en-US" w:eastAsia="zh-CN"/>
        </w:rPr>
        <w:t>总承包人应监管专业承包人专职安全管理人员配备情况，确保配备人员数量符合建质〔2008〕91号《建筑施工企业安全生产管理机构设置及专职安全生产管理人员配备办法》的相关规定，同时必须满足现场管理需要。</w:t>
      </w:r>
    </w:p>
    <w:p w14:paraId="33CE3C5E">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val="en-US" w:eastAsia="zh-CN"/>
        </w:rPr>
      </w:pPr>
      <w:r>
        <w:rPr>
          <w:rFonts w:hint="eastAsia"/>
          <w:color w:val="auto"/>
          <w:highlight w:val="none"/>
          <w:lang w:val="en-US" w:eastAsia="zh-CN"/>
        </w:rPr>
        <w:t>发包人、监理单位评估认定专业承包人安全管理人员数量、工作质量无法满足安全管理需要时，总承包人应当督促专业承包人增加或更换安全管理人员。</w:t>
      </w:r>
    </w:p>
    <w:p w14:paraId="2FC84DB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val="en-US" w:eastAsia="zh-CN"/>
        </w:rPr>
      </w:pPr>
      <w:r>
        <w:rPr>
          <w:rFonts w:hint="eastAsia"/>
          <w:color w:val="auto"/>
          <w:highlight w:val="none"/>
          <w:lang w:val="en-US" w:eastAsia="zh-CN"/>
        </w:rPr>
        <w:t>总承包人应对专业承包人的施工现场管理人员，转岗、复岗人员，新入场人员，特种作业人员，一线工人等开展安全培训教育或交底，并确保培训教育效果，使从业人员安全意识、安全知识和技能与所从事的岗位、工作内容相适应。</w:t>
      </w:r>
    </w:p>
    <w:p w14:paraId="312E878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val="en-US" w:eastAsia="zh-CN"/>
        </w:rPr>
      </w:pPr>
      <w:r>
        <w:rPr>
          <w:rFonts w:hint="eastAsia"/>
          <w:color w:val="auto"/>
          <w:highlight w:val="none"/>
          <w:lang w:val="en-US" w:eastAsia="zh-CN"/>
        </w:rPr>
        <w:t>总承包人必须在专业承包人进场时与其签订《安全生产管理协议》，明确双方安全管理责任与义务等内容，并履行自身安全生产管理责任。</w:t>
      </w:r>
    </w:p>
    <w:p w14:paraId="4A9CC39D">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val="en-US" w:eastAsia="zh-CN"/>
        </w:rPr>
      </w:pPr>
      <w:r>
        <w:rPr>
          <w:rFonts w:hint="eastAsia"/>
          <w:color w:val="auto"/>
          <w:highlight w:val="none"/>
          <w:lang w:val="en-US" w:eastAsia="zh-CN"/>
        </w:rPr>
        <w:t>总承包人与专业承包人签订《安全生产管理协议》等协议时，必须将发包人的安全管理要求向专业承包人书面交底，并监督其认真遵守与执行。</w:t>
      </w:r>
    </w:p>
    <w:p w14:paraId="007B2F46">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val="en-US" w:eastAsia="zh-CN"/>
        </w:rPr>
      </w:pPr>
      <w:r>
        <w:rPr>
          <w:rFonts w:hint="eastAsia"/>
          <w:color w:val="auto"/>
          <w:highlight w:val="none"/>
          <w:lang w:val="en-US" w:eastAsia="zh-CN"/>
        </w:rPr>
        <w:t>法律法规或合同约定的总承包人应承担的其他义务与责任。</w:t>
      </w:r>
    </w:p>
    <w:p w14:paraId="3F67F53A">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625" w:name="_Toc14851"/>
      <w:bookmarkStart w:id="626" w:name="_Toc30294"/>
      <w:r>
        <w:rPr>
          <w:rFonts w:hint="eastAsia"/>
          <w:color w:val="auto"/>
          <w:highlight w:val="none"/>
          <w:lang w:eastAsia="zh-CN"/>
        </w:rPr>
        <w:t>专业承包人安全</w:t>
      </w:r>
      <w:r>
        <w:rPr>
          <w:rFonts w:hint="eastAsia"/>
          <w:color w:val="auto"/>
          <w:highlight w:val="none"/>
        </w:rPr>
        <w:t>责任落实的要求</w:t>
      </w:r>
      <w:bookmarkEnd w:id="625"/>
      <w:bookmarkEnd w:id="626"/>
    </w:p>
    <w:p w14:paraId="43B115EA">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安全责任制</w:t>
      </w:r>
    </w:p>
    <w:p w14:paraId="16EF2567">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lang w:eastAsia="zh-CN"/>
        </w:rPr>
        <w:t>专业承包人</w:t>
      </w:r>
      <w:r>
        <w:rPr>
          <w:rFonts w:hint="eastAsia"/>
          <w:color w:val="auto"/>
          <w:highlight w:val="none"/>
        </w:rPr>
        <w:t>必须建立“横向到边，纵向到底”的</w:t>
      </w:r>
      <w:r>
        <w:rPr>
          <w:rFonts w:hint="eastAsia"/>
          <w:color w:val="auto"/>
          <w:highlight w:val="none"/>
          <w:lang w:eastAsia="zh-CN"/>
        </w:rPr>
        <w:t>安全</w:t>
      </w:r>
      <w:r>
        <w:rPr>
          <w:rFonts w:hint="eastAsia"/>
          <w:color w:val="auto"/>
          <w:highlight w:val="none"/>
        </w:rPr>
        <w:t>责任制，并得到各部门、各岗位人员的确认。</w:t>
      </w:r>
    </w:p>
    <w:p w14:paraId="0ACD5080">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rPr>
      </w:pPr>
      <w:r>
        <w:rPr>
          <w:rFonts w:hint="eastAsia"/>
          <w:color w:val="auto"/>
          <w:highlight w:val="none"/>
          <w:lang w:eastAsia="zh-CN"/>
        </w:rPr>
        <w:t>安全</w:t>
      </w:r>
      <w:r>
        <w:rPr>
          <w:rFonts w:hint="eastAsia"/>
          <w:color w:val="auto"/>
          <w:highlight w:val="none"/>
        </w:rPr>
        <w:t>责任制必须责任清晰，具有可量化考核的指标。</w:t>
      </w:r>
    </w:p>
    <w:p w14:paraId="5E397C2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安全责任考核</w:t>
      </w:r>
    </w:p>
    <w:p w14:paraId="32038A72">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专业承包人须建立安全责任考核问责制度，与各岗位人员签订安全责任书。</w:t>
      </w:r>
    </w:p>
    <w:p w14:paraId="0AB1524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专业承包人必须至少每半年开展一次安全责任落实考核评价工作。</w:t>
      </w:r>
    </w:p>
    <w:p w14:paraId="412F562B">
      <w:pPr>
        <w:pStyle w:val="4"/>
        <w:keepNext w:val="0"/>
        <w:keepLines w:val="0"/>
        <w:pageBreakBefore w:val="0"/>
        <w:widowControl w:val="0"/>
        <w:numPr>
          <w:ilvl w:val="1"/>
          <w:numId w:val="15"/>
        </w:numPr>
        <w:kinsoku/>
        <w:wordWrap/>
        <w:overflowPunct/>
        <w:topLinePunct w:val="0"/>
        <w:autoSpaceDE/>
        <w:autoSpaceDN/>
        <w:bidi w:val="0"/>
        <w:adjustRightInd/>
        <w:snapToGrid w:val="0"/>
        <w:textAlignment w:val="auto"/>
        <w:rPr>
          <w:color w:val="auto"/>
          <w:highlight w:val="none"/>
        </w:rPr>
      </w:pPr>
      <w:bookmarkStart w:id="627" w:name="_Toc11509"/>
      <w:bookmarkStart w:id="628" w:name="_Toc9466"/>
      <w:r>
        <w:rPr>
          <w:rFonts w:hint="eastAsia"/>
          <w:color w:val="auto"/>
          <w:highlight w:val="none"/>
          <w:lang w:eastAsia="zh-CN"/>
        </w:rPr>
        <w:t>安全</w:t>
      </w:r>
      <w:r>
        <w:rPr>
          <w:rFonts w:hint="eastAsia"/>
          <w:color w:val="auto"/>
          <w:highlight w:val="none"/>
        </w:rPr>
        <w:t>管理组织及人员要求</w:t>
      </w:r>
      <w:bookmarkEnd w:id="627"/>
      <w:bookmarkEnd w:id="628"/>
    </w:p>
    <w:p w14:paraId="7BC06B5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安全管理组织及人员资格</w:t>
      </w:r>
    </w:p>
    <w:p w14:paraId="3194FD4E">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专业承包人必须建立以项目经理为首的安全领导机构，明确工作机制，在正式进场后15个工作日内书面上报监理人、发包人备案。</w:t>
      </w:r>
    </w:p>
    <w:p w14:paraId="56B071C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专业承包人必须成立安全监督管理部门，独立行使安全监督管理职权。</w:t>
      </w:r>
    </w:p>
    <w:p w14:paraId="306F1AAF">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专业承包人项目主要负责人须持有建设主管部门有效安全生产考核证书（建安B证）。</w:t>
      </w:r>
    </w:p>
    <w:p w14:paraId="77F3B8A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专业承包人专职安全管理人员均须持有建设主管部门的有效岗位资格证书（建安C证）。</w:t>
      </w:r>
    </w:p>
    <w:p w14:paraId="3A0790A4">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专业承包人应具有安全生产许可证，并在有效期内。</w:t>
      </w:r>
    </w:p>
    <w:p w14:paraId="534A9C29">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人员配置及工作要求</w:t>
      </w:r>
    </w:p>
    <w:p w14:paraId="4DF6106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须配备专职安全管理人员，施工现场必须按《建筑施工企业安全生产管理机构设置及专职安全生产管理人员配备办法》等相关规定配置专、兼职安全生产管理人员。1万平方米及以下的工程至少1人；1万～5万平方米的工程至少2人；5万～20万平方米以上的工程至少3人，应当设置安全主管，按土建、机电设备等专业设置专职安全生产管理人员；安全员持C证。</w:t>
      </w:r>
    </w:p>
    <w:p w14:paraId="739D55F5">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发包人有权根据工程实际需要，提前15个工作日通知专业承包人对专职安全管理人员到位时间进行调整，专业承包人必须执行。</w:t>
      </w:r>
    </w:p>
    <w:p w14:paraId="1986A68F">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即使专业承包人按照上述标准配备了专职安全管理人员，但是安全管理绩效无法满足发包人安全要求时，发包人有权要求专业承包人继续增加专职安全管理人员，专业承包人必须执行。</w:t>
      </w:r>
    </w:p>
    <w:p w14:paraId="40745DE6">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专业承包人必须建立专职安全管理人员装备标准化配备制度，为其配备通讯器材、检测（查）工具与仪器、影像记录器材等装备。</w:t>
      </w:r>
    </w:p>
    <w:p w14:paraId="473361D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专业承包人所有安全管理人员均须专职并常驻项目，严禁挂职、挂证、挂名行为。</w:t>
      </w:r>
    </w:p>
    <w:p w14:paraId="29980488">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落实项目经理带班生产制度，项目经理带班生产时间不少于本月施工时间的90%。</w:t>
      </w:r>
    </w:p>
    <w:p w14:paraId="2968EBC3">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施工现场必须按《建筑施工企业安全生产管理机构设置及专职安全生产管理人员配备办法》等相关规定配置专、兼职安全生产管理人员。安全管理人员数量不少于要求人数。</w:t>
      </w:r>
    </w:p>
    <w:p w14:paraId="2EE959B0">
      <w:pPr>
        <w:pStyle w:val="4"/>
        <w:keepNext w:val="0"/>
        <w:keepLines w:val="0"/>
        <w:pageBreakBefore w:val="0"/>
        <w:widowControl w:val="0"/>
        <w:numPr>
          <w:ilvl w:val="1"/>
          <w:numId w:val="15"/>
        </w:numPr>
        <w:kinsoku/>
        <w:wordWrap/>
        <w:overflowPunct/>
        <w:topLinePunct w:val="0"/>
        <w:autoSpaceDE/>
        <w:autoSpaceDN/>
        <w:bidi w:val="0"/>
        <w:adjustRightInd/>
        <w:snapToGrid w:val="0"/>
        <w:textAlignment w:val="auto"/>
        <w:rPr>
          <w:color w:val="auto"/>
          <w:highlight w:val="none"/>
        </w:rPr>
      </w:pPr>
      <w:bookmarkStart w:id="629" w:name="_Toc15394"/>
      <w:bookmarkStart w:id="630" w:name="_Toc12371"/>
      <w:r>
        <w:rPr>
          <w:rFonts w:hint="eastAsia"/>
          <w:color w:val="auto"/>
          <w:highlight w:val="none"/>
        </w:rPr>
        <w:t>安全生产管理协议</w:t>
      </w:r>
      <w:bookmarkEnd w:id="629"/>
      <w:bookmarkEnd w:id="630"/>
    </w:p>
    <w:p w14:paraId="2E10B0C8">
      <w:pPr>
        <w:keepNext w:val="0"/>
        <w:keepLines w:val="0"/>
        <w:pageBreakBefore w:val="0"/>
        <w:widowControl w:val="0"/>
        <w:tabs>
          <w:tab w:val="left" w:pos="0"/>
        </w:tabs>
        <w:kinsoku/>
        <w:wordWrap/>
        <w:overflowPunct/>
        <w:topLinePunct w:val="0"/>
        <w:autoSpaceDE/>
        <w:autoSpaceDN/>
        <w:bidi w:val="0"/>
        <w:spacing w:before="120" w:beforeLines="50" w:after="120" w:afterLines="50"/>
        <w:ind w:firstLine="480"/>
        <w:rPr>
          <w:bCs/>
          <w:color w:val="auto"/>
          <w:highlight w:val="none"/>
        </w:rPr>
      </w:pPr>
      <w:r>
        <w:rPr>
          <w:rFonts w:hint="eastAsia"/>
          <w:bCs/>
          <w:color w:val="auto"/>
          <w:highlight w:val="none"/>
          <w:lang w:eastAsia="zh-CN"/>
        </w:rPr>
        <w:t>专业承包人</w:t>
      </w:r>
      <w:r>
        <w:rPr>
          <w:rFonts w:hint="eastAsia"/>
          <w:bCs/>
          <w:color w:val="auto"/>
          <w:highlight w:val="none"/>
        </w:rPr>
        <w:t>进场时，需与总承包人签订《安全生产管理协议》、《消防安全管理协议》、《临时用电安全管理协议》、《安全保卫协议》等其他总承包人规定的安全管理协议，明确双方</w:t>
      </w:r>
      <w:r>
        <w:rPr>
          <w:rFonts w:hint="eastAsia"/>
          <w:bCs/>
          <w:color w:val="auto"/>
          <w:highlight w:val="none"/>
          <w:lang w:eastAsia="zh-CN"/>
        </w:rPr>
        <w:t>安全</w:t>
      </w:r>
      <w:r>
        <w:rPr>
          <w:rFonts w:hint="eastAsia"/>
          <w:bCs/>
          <w:color w:val="auto"/>
          <w:highlight w:val="none"/>
        </w:rPr>
        <w:t>管理责任与义务等内容。</w:t>
      </w:r>
      <w:r>
        <w:rPr>
          <w:rFonts w:hint="eastAsia"/>
          <w:bCs/>
          <w:color w:val="auto"/>
          <w:highlight w:val="none"/>
          <w:lang w:eastAsia="zh-CN"/>
        </w:rPr>
        <w:t>专业承包人</w:t>
      </w:r>
      <w:r>
        <w:rPr>
          <w:rFonts w:hint="eastAsia"/>
          <w:bCs/>
          <w:color w:val="auto"/>
          <w:highlight w:val="none"/>
        </w:rPr>
        <w:t>与总承包人签订《安全生产管理协议》等协议时，须认真遵守与执行发包人、总承包人的安全管理要求。</w:t>
      </w:r>
    </w:p>
    <w:p w14:paraId="7F3B0019">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631" w:name="_Toc14972"/>
      <w:bookmarkStart w:id="632" w:name="_Toc1139"/>
      <w:r>
        <w:rPr>
          <w:rFonts w:hint="eastAsia"/>
          <w:color w:val="auto"/>
          <w:highlight w:val="none"/>
        </w:rPr>
        <w:t>应急与事故管理</w:t>
      </w:r>
      <w:bookmarkEnd w:id="631"/>
      <w:bookmarkEnd w:id="632"/>
    </w:p>
    <w:p w14:paraId="597C261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应急管理</w:t>
      </w:r>
    </w:p>
    <w:p w14:paraId="0B115E92">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专业承包人必须建立健全事故应急救援机制，明确应急处置原则，即抢救生命优先。</w:t>
      </w:r>
    </w:p>
    <w:p w14:paraId="48437608">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专业承包人必须建立完善应急救援预案，明确应急响应组织、流程，确保迅速处理突发事件。专业承包人应将应急救援预案提交发包人备案。</w:t>
      </w:r>
    </w:p>
    <w:p w14:paraId="318C752F">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专业承包人必须保证准备充足的应急物资、设施设备、器材工具、医疗用品等，并做好维护管理以确保其良好可用。</w:t>
      </w:r>
    </w:p>
    <w:p w14:paraId="1BFB9112">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事故管理</w:t>
      </w:r>
    </w:p>
    <w:p w14:paraId="01EFA5B3">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专业承包人必须建立生产安全事故报告制度。对未遂及以上级别的事故事件，专业承包人必须建立事故快速报告机制，即在事故事件发生后立即报告发包人。</w:t>
      </w:r>
    </w:p>
    <w:p w14:paraId="338B7820">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专业承包人必须执行“12小时事件报告制度”，即在事件发生后的12小时内，专业承包人必须向发包人提交初步的事故事件书面报告。</w:t>
      </w:r>
    </w:p>
    <w:p w14:paraId="2CB29F65">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专业承包人必须建立事故事件统计制度，对发生的事故事件进行详细记录，每月末将统计信息通过“安全管理月报”上报发包人。</w:t>
      </w:r>
    </w:p>
    <w:p w14:paraId="6D49BE62">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专业承包人必须对事故事件进行透明管理，及时如实报告事故事件，禁止瞒报、谎报或拖延报告事故。</w:t>
      </w:r>
    </w:p>
    <w:p w14:paraId="66756C46">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633" w:name="_Toc359"/>
      <w:bookmarkStart w:id="634" w:name="_Toc84"/>
      <w:r>
        <w:rPr>
          <w:rFonts w:hint="eastAsia"/>
          <w:color w:val="auto"/>
          <w:highlight w:val="none"/>
        </w:rPr>
        <w:t>保险</w:t>
      </w:r>
      <w:bookmarkEnd w:id="633"/>
      <w:bookmarkEnd w:id="634"/>
    </w:p>
    <w:p w14:paraId="65A4361A">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专业承包人必须按法律法规规定，为从业人员购买工伤意外伤害保险。</w:t>
      </w:r>
    </w:p>
    <w:p w14:paraId="1B60B3D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人员遭受职业伤害时，专业承包人应协调为其办理保险理赔工作，保障其合法权益。</w:t>
      </w:r>
    </w:p>
    <w:p w14:paraId="1A447A08">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635" w:name="_Toc21984"/>
      <w:bookmarkStart w:id="636" w:name="_Toc21417"/>
      <w:r>
        <w:rPr>
          <w:rFonts w:hint="eastAsia"/>
          <w:color w:val="auto"/>
          <w:highlight w:val="none"/>
        </w:rPr>
        <w:t>劳务管理</w:t>
      </w:r>
      <w:bookmarkEnd w:id="635"/>
      <w:bookmarkEnd w:id="636"/>
    </w:p>
    <w:p w14:paraId="1B141E45">
      <w:pPr>
        <w:keepNext w:val="0"/>
        <w:keepLines w:val="0"/>
        <w:pageBreakBefore w:val="0"/>
        <w:widowControl w:val="0"/>
        <w:tabs>
          <w:tab w:val="left" w:pos="0"/>
        </w:tabs>
        <w:kinsoku/>
        <w:wordWrap/>
        <w:overflowPunct/>
        <w:topLinePunct w:val="0"/>
        <w:autoSpaceDE/>
        <w:autoSpaceDN/>
        <w:bidi w:val="0"/>
        <w:spacing w:before="120" w:beforeLines="50" w:after="120" w:afterLines="50"/>
        <w:ind w:firstLine="480"/>
        <w:rPr>
          <w:bCs/>
          <w:color w:val="auto"/>
          <w:highlight w:val="none"/>
        </w:rPr>
      </w:pPr>
      <w:r>
        <w:rPr>
          <w:rFonts w:hint="eastAsia"/>
          <w:bCs/>
          <w:color w:val="auto"/>
          <w:highlight w:val="none"/>
          <w:lang w:eastAsia="zh-CN"/>
        </w:rPr>
        <w:t>专业承包人</w:t>
      </w:r>
      <w:r>
        <w:rPr>
          <w:rFonts w:hint="eastAsia"/>
          <w:bCs/>
          <w:color w:val="auto"/>
          <w:highlight w:val="none"/>
        </w:rPr>
        <w:t>必须建立劳务工工资管理协调机构，负责劳务工工资协调管理，确保本项目劳务工工资及时足量发放，不得违法克扣、拖延。否则，发包人将采取直接扣除</w:t>
      </w:r>
      <w:r>
        <w:rPr>
          <w:rFonts w:hint="eastAsia"/>
          <w:bCs/>
          <w:color w:val="auto"/>
          <w:highlight w:val="none"/>
          <w:lang w:eastAsia="zh-CN"/>
        </w:rPr>
        <w:t>专业承包人</w:t>
      </w:r>
      <w:r>
        <w:rPr>
          <w:rFonts w:hint="eastAsia"/>
          <w:bCs/>
          <w:color w:val="auto"/>
          <w:highlight w:val="none"/>
        </w:rPr>
        <w:t>工程款、安全风险抵押金等方式解决劳资纠纷，并视情况对</w:t>
      </w:r>
      <w:r>
        <w:rPr>
          <w:rFonts w:hint="eastAsia"/>
          <w:bCs/>
          <w:color w:val="auto"/>
          <w:highlight w:val="none"/>
          <w:lang w:eastAsia="zh-CN"/>
        </w:rPr>
        <w:t>专业承包人</w:t>
      </w:r>
      <w:r>
        <w:rPr>
          <w:rFonts w:hint="eastAsia"/>
          <w:bCs/>
          <w:color w:val="auto"/>
          <w:highlight w:val="none"/>
        </w:rPr>
        <w:t>进行经济处罚与索赔。</w:t>
      </w:r>
    </w:p>
    <w:p w14:paraId="712B5DEC">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637" w:name="_Toc29810"/>
      <w:bookmarkStart w:id="638" w:name="_Toc4218"/>
      <w:r>
        <w:rPr>
          <w:rFonts w:hint="eastAsia"/>
          <w:color w:val="auto"/>
          <w:highlight w:val="none"/>
        </w:rPr>
        <w:t>安全文明施工</w:t>
      </w:r>
      <w:bookmarkEnd w:id="637"/>
      <w:bookmarkEnd w:id="638"/>
    </w:p>
    <w:p w14:paraId="6E15A5E7">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安全管理档案</w:t>
      </w:r>
    </w:p>
    <w:p w14:paraId="2BE6B1CF">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专业承包人应有完善的安全管理资料档案，分类清晰，目录清楚，内容真实完整，专人负责管理；安全管理资料分类及要求，应按地方标准（或国家标准）执行。</w:t>
      </w:r>
    </w:p>
    <w:p w14:paraId="6D543BD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危险性较大的分部分项工程施工前编制专项方案，超过一定规模的危险性较大的分部分项工程及地方政府要求的工程，应组织专家论证；专项方案、专家论证意见等资料应在发包人项目部备案。</w:t>
      </w:r>
    </w:p>
    <w:p w14:paraId="48A1C188">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安全检查及隐患整改</w:t>
      </w:r>
    </w:p>
    <w:p w14:paraId="15233AE0">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专业承包人必须建立安全检查制度，定期组织安全检查；每周定期安全巡检由监理组织，专业承包人必须参加。</w:t>
      </w:r>
    </w:p>
    <w:p w14:paraId="4F6028A2">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施工过程中出现六级以上大风及雨雪等恶劣天气，必须立即组织检查，必要时停止施工。</w:t>
      </w:r>
    </w:p>
    <w:p w14:paraId="330E9FF6">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隐患整改必须按照定人、定时、定措施的“三定”原则进行整改，并做好书面记录，及时存档。</w:t>
      </w:r>
    </w:p>
    <w:p w14:paraId="0F006720">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施工现场存在一般隐患、重大事故隐患整改不力的，经发包人督促无效的，由专业承包人承担一定的违约金；</w:t>
      </w:r>
    </w:p>
    <w:p w14:paraId="620B216F">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重大危险源识别与管控</w:t>
      </w:r>
    </w:p>
    <w:p w14:paraId="33134EA2">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专业承包人应加强重大危险源的控制与管理，制定管理制度，建立重大危险源辨识、登记、公示、控制管理体系，明确具体责任，认真组织实施。</w:t>
      </w:r>
    </w:p>
    <w:p w14:paraId="731CDDC0">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超过一定规模的危险性较大的分部分项工程应识别为重大危险源，存在重大危险源的分部分项工程，应编制专项施工方案，按规定组织专家论证，施工时严格进行交底和验收，加强监控、检查并及时整改隐患。</w:t>
      </w:r>
    </w:p>
    <w:p w14:paraId="6BCE4F0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进场前，专业承包人应对重大危险源进行识别，形成重大危险源清单，在施工现场公示，并制定重大危险源管控方案；每月专业承包人应更新重大危险源清单，并制定针对性管控措施，具有可操作性。</w:t>
      </w:r>
    </w:p>
    <w:p w14:paraId="31CA60D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安全技术交底</w:t>
      </w:r>
    </w:p>
    <w:p w14:paraId="5538DA8E">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施工作业前，专业承包人技术部门的技术人员将分部分项工程有关安全施工的技术要求向施工班组、作业人员进行安全技术交底。专业承包人必须建立分级安全技术交底机制，严格实施安全技术交底工作，严禁未经交底即安排施工作业。</w:t>
      </w:r>
    </w:p>
    <w:p w14:paraId="0DA12B63">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安全交底必须有针对性，交底应形成书面记录，严禁代签。</w:t>
      </w:r>
    </w:p>
    <w:p w14:paraId="31C96DA3">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出现以下情况时，专业承包人应重新进行交底：①出现大面积的同类安全隐患；②发生生产安全责任事故；③存在重大事故隐患；④安全隐患多次整改不力。</w:t>
      </w:r>
    </w:p>
    <w:p w14:paraId="09549D69">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安全教育培训、安全会议</w:t>
      </w:r>
    </w:p>
    <w:p w14:paraId="58F0280F">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专业承包人必须制定安全教育培训制度，明确培训计划、培训对象、培训形式、培训内容和培训时间等。</w:t>
      </w:r>
    </w:p>
    <w:p w14:paraId="1321C6E3">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专业承包人安全培训教育至少包括但不限于：入场安全培训教育、三级安全培训教育、专项安全培训教育、转岗或复岗安全培训教育、班前安全培训教育等。</w:t>
      </w:r>
    </w:p>
    <w:p w14:paraId="37915FC8">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安全培训教育的内容、学时、效果等应满足国家有关规定，并做好档案记录。</w:t>
      </w:r>
    </w:p>
    <w:p w14:paraId="64707A89">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专业承包人必须保障安全培训教育的效果，使从业人员安全意识、安全知识和技能与所从事的岗位、工作内容相适应。</w:t>
      </w:r>
    </w:p>
    <w:p w14:paraId="4A62CCF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应每周组织有关人员召开安全例会，总结问题和隐患，针对性进行布置计划安排，并形成会议记录。</w:t>
      </w:r>
    </w:p>
    <w:p w14:paraId="767D1952">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特种作业人员</w:t>
      </w:r>
    </w:p>
    <w:p w14:paraId="5CCD2A10">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特种作业人员（主要包括：电工、焊工等）必须持有政府主管部门颁发的有效证件，人证相符、证岗对应。</w:t>
      </w:r>
    </w:p>
    <w:p w14:paraId="1F49345C">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特种作业人员应按规定进行体检、年审和登记造册，由专人管理。</w:t>
      </w:r>
    </w:p>
    <w:p w14:paraId="7BA7D04B">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定期查验总、分包单位特种人员持证上岗情况，监理单位和发包人项目部定期抽检。</w:t>
      </w:r>
    </w:p>
    <w:p w14:paraId="4737F8BD">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材料堆放</w:t>
      </w:r>
    </w:p>
    <w:p w14:paraId="0417ED68">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现场机具、材料、构配件堆码整齐，统一制作标志牌；水泥和易飞扬颗粒材料密闭存放或有覆盖措施；易燃、易爆和有毒有害品分类存放，专人负责管理。</w:t>
      </w:r>
    </w:p>
    <w:p w14:paraId="31DFA52F">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装饰材料应分规格、品种、品牌分别堆放；标识牌应注明材质的基本数据，还应标注“合格”、“已送试”、“不合格”等内容，防止误用。</w:t>
      </w:r>
    </w:p>
    <w:p w14:paraId="6B6C1EA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本项目专业承包人必须设置集中加工区和集中分类堆放区，装修材料加工成品整齐堆放，后统一运输到装修区域进行安装，禁止在装修区域零散加工</w:t>
      </w:r>
    </w:p>
    <w:p w14:paraId="67FB9425">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本项目专业承包人必须按照</w:t>
      </w:r>
      <w:r>
        <w:rPr>
          <w:rFonts w:hint="eastAsia"/>
          <w:color w:val="auto"/>
          <w:highlight w:val="none"/>
          <w:lang w:val="en-US" w:eastAsia="zh-CN"/>
        </w:rPr>
        <w:t>发包人</w:t>
      </w:r>
      <w:r>
        <w:rPr>
          <w:rFonts w:hint="eastAsia"/>
          <w:color w:val="auto"/>
          <w:highlight w:val="none"/>
          <w:lang w:eastAsia="zh-CN"/>
        </w:rPr>
        <w:t>的安全规定进行现场库房和加工区域管理，设置标准化库房（分为一般性库房和危化品库房），和集中加工区，加工区域必须有除尘降尘措施。加工区围挡采用彩色压型钢板，危化品专用库房内设置悬挂式自动灭火器，电缆线路全穿管和架空（采用瓷瓶或绝缘玻璃钢电缆支架），设置集中充电区，手持电动工具集中充电。</w:t>
      </w:r>
    </w:p>
    <w:p w14:paraId="0981B6E2">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安全标志</w:t>
      </w:r>
    </w:p>
    <w:p w14:paraId="37EDBBB7">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施工现场的作业区、加工区、生活区的醒目位置应设置警示用语牌，重要的出入口附近等应设置警示用语牌。</w:t>
      </w:r>
    </w:p>
    <w:p w14:paraId="7C171817">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施工现场电梯井口、大于1500mm的预留洞口、临边栏杆、高处作业、交叉作业和危险作业部位必须挂设安全警示标志。安全警示标志同一处多个排列时应先左后右、先上后下，依据警告、禁止、指令、提示的次序排列。</w:t>
      </w:r>
    </w:p>
    <w:p w14:paraId="0A1ACD57">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施工用电</w:t>
      </w:r>
    </w:p>
    <w:p w14:paraId="03DC86E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施工临时用电必须采用TN-S系统，符合“三级配电、逐级保护”，达到“一机、一闸、一漏、一箱”要求。</w:t>
      </w:r>
    </w:p>
    <w:p w14:paraId="377B9831">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配电箱定型化，封闭围护、安全警示标志、消防器材、验收合格牌、电路图等符合要求，必须上锁，设有专人管理，定期巡检。</w:t>
      </w:r>
    </w:p>
    <w:p w14:paraId="4B46CB7A">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电缆选用埋地敷设、桥架和架空的形式；电缆不能固定在外架上；</w:t>
      </w:r>
    </w:p>
    <w:p w14:paraId="32C6A2FB">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接零保护、接地装置、电气连接、漏电保护等配电装置符合规范要求，外电线路必须按规范要求进行防护；</w:t>
      </w:r>
    </w:p>
    <w:p w14:paraId="45146935">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潮湿场所应使用安全电压。</w:t>
      </w:r>
    </w:p>
    <w:p w14:paraId="66762063">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楼层分配电中电缆垂直敷设应利用工程中的竖井、垂直孔洞，宜靠近用电负荷中心，每层固定点不得少于一处；楼层电缆严禁穿越脚手架引入。</w:t>
      </w:r>
    </w:p>
    <w:p w14:paraId="11F579E7">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本项目为提升现场形象及临时用电安全性和便利性，专业承包人按统一要求使用充电式工具（充电钻、充电手锯、LED充电探照灯、充电电锤、充电扳手、充电射钉枪等），作业现场减少电缆敷设。确实需要电缆连接取电的设备必须满足总承包人关于临时用电的要求，专业承包人无条件配合总承包人单位的临电管理要求和临电进场验收。</w:t>
      </w:r>
    </w:p>
    <w:p w14:paraId="66A2FEE5">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施工机具</w:t>
      </w:r>
    </w:p>
    <w:p w14:paraId="66F771C3">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交流弧焊机变压器的一次侧电源线长度不应大于5m，电焊机的二次线长度不应大于30m；电焊机外壳应做保护接零，配装防二次侧触电保护器，电焊机一次侧、二次侧接线处防护罩应齐全。</w:t>
      </w:r>
    </w:p>
    <w:p w14:paraId="10CF25B6">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现场施工照明应做安全防护措施。</w:t>
      </w:r>
    </w:p>
    <w:p w14:paraId="24CA0CE7">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用电保护</w:t>
      </w:r>
    </w:p>
    <w:p w14:paraId="3D9E11DD">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不得在高、低压线路下方施工；高低压线路下方不得搭设加工场、建造生活设施，或堆放构件、架具、材料及其它杂物等；</w:t>
      </w:r>
    </w:p>
    <w:p w14:paraId="49F52EE6">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室内配置沙桶和可用于扑灭火灾的灭火器，门向外开，并配锁；照明分别设置正常照明和事故照明；不得堆放任何杂物。</w:t>
      </w:r>
    </w:p>
    <w:p w14:paraId="487282DA">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其他</w:t>
      </w:r>
    </w:p>
    <w:p w14:paraId="75BF9644">
      <w:pPr>
        <w:keepNext w:val="0"/>
        <w:keepLines w:val="0"/>
        <w:pageBreakBefore w:val="0"/>
        <w:widowControl w:val="0"/>
        <w:tabs>
          <w:tab w:val="left" w:pos="40"/>
        </w:tabs>
        <w:kinsoku/>
        <w:wordWrap/>
        <w:overflowPunct/>
        <w:topLinePunct w:val="0"/>
        <w:autoSpaceDE/>
        <w:autoSpaceDN/>
        <w:bidi w:val="0"/>
        <w:ind w:firstLine="480"/>
        <w:jc w:val="left"/>
        <w:rPr>
          <w:bCs/>
          <w:color w:val="auto"/>
          <w:highlight w:val="none"/>
        </w:rPr>
      </w:pPr>
      <w:r>
        <w:rPr>
          <w:rFonts w:hint="eastAsia"/>
          <w:bCs/>
          <w:color w:val="auto"/>
          <w:highlight w:val="none"/>
        </w:rPr>
        <w:t>本项目</w:t>
      </w:r>
      <w:r>
        <w:rPr>
          <w:rFonts w:hint="eastAsia"/>
          <w:bCs/>
          <w:color w:val="auto"/>
          <w:highlight w:val="none"/>
          <w:lang w:eastAsia="zh-CN"/>
        </w:rPr>
        <w:t>专业承包人</w:t>
      </w:r>
      <w:r>
        <w:rPr>
          <w:rFonts w:hint="eastAsia"/>
          <w:bCs/>
          <w:color w:val="auto"/>
          <w:highlight w:val="none"/>
        </w:rPr>
        <w:t>使用的登高设备，根据公司要求统一采用定型化登高设施如成品铝合金操作平台、定型化登高操作平台、定型化人字梯、定型化刚马凳、登高车等，禁止使用自制木制登高用品，登高设备需符合总承包人的管理要求。</w:t>
      </w:r>
    </w:p>
    <w:p w14:paraId="5112905E">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639" w:name="_Toc23951"/>
      <w:bookmarkStart w:id="640" w:name="_Toc12975"/>
      <w:r>
        <w:rPr>
          <w:rFonts w:hint="eastAsia"/>
          <w:color w:val="auto"/>
          <w:highlight w:val="none"/>
        </w:rPr>
        <w:t>消防安全</w:t>
      </w:r>
      <w:bookmarkEnd w:id="639"/>
      <w:bookmarkEnd w:id="640"/>
    </w:p>
    <w:p w14:paraId="41E308C4">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消防器材</w:t>
      </w:r>
    </w:p>
    <w:p w14:paraId="71AFA7FB">
      <w:pPr>
        <w:keepNext w:val="0"/>
        <w:keepLines w:val="0"/>
        <w:pageBreakBefore w:val="0"/>
        <w:widowControl w:val="0"/>
        <w:tabs>
          <w:tab w:val="left" w:pos="40"/>
        </w:tabs>
        <w:kinsoku/>
        <w:wordWrap/>
        <w:overflowPunct/>
        <w:topLinePunct w:val="0"/>
        <w:autoSpaceDE/>
        <w:autoSpaceDN/>
        <w:bidi w:val="0"/>
        <w:ind w:firstLine="480"/>
        <w:jc w:val="left"/>
        <w:rPr>
          <w:bCs/>
          <w:color w:val="auto"/>
          <w:highlight w:val="none"/>
        </w:rPr>
      </w:pPr>
      <w:r>
        <w:rPr>
          <w:rFonts w:hint="eastAsia"/>
          <w:bCs/>
          <w:color w:val="auto"/>
          <w:highlight w:val="none"/>
        </w:rPr>
        <w:t>施工现场应绘制消防平面布置图，生活区、仓库、配电室（箱）、电焊切割动火作业、施工作业层等易燃易爆场所必须配置相应的消防器材，且每个场所灭火器数量不少于2具，并定期检查，确保完好有效；</w:t>
      </w:r>
    </w:p>
    <w:p w14:paraId="136A33F1">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现场防火管理</w:t>
      </w:r>
    </w:p>
    <w:p w14:paraId="3C3396E4">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焊接、切割、加热等动火作业前，应对作业现场的可燃物进行清理；作业现场及其附近无法移走的可燃物，应采用不燃材料对其覆盖或隔离；</w:t>
      </w:r>
    </w:p>
    <w:p w14:paraId="1DEC47FB">
      <w:pPr>
        <w:pStyle w:val="6"/>
        <w:keepNext w:val="0"/>
        <w:keepLines w:val="0"/>
        <w:pageBreakBefore w:val="0"/>
        <w:widowControl w:val="0"/>
        <w:numPr>
          <w:ilvl w:val="3"/>
          <w:numId w:val="15"/>
        </w:numPr>
        <w:kinsoku/>
        <w:wordWrap/>
        <w:overflowPunct/>
        <w:topLinePunct w:val="0"/>
        <w:autoSpaceDE/>
        <w:autoSpaceDN/>
        <w:bidi w:val="0"/>
        <w:adjustRightInd/>
        <w:snapToGrid w:val="0"/>
        <w:ind w:left="0" w:leftChars="0" w:firstLine="480" w:firstLineChars="200"/>
        <w:textAlignment w:val="auto"/>
        <w:rPr>
          <w:rFonts w:hint="eastAsia"/>
          <w:color w:val="auto"/>
          <w:highlight w:val="none"/>
          <w:lang w:eastAsia="zh-CN"/>
        </w:rPr>
      </w:pPr>
      <w:r>
        <w:rPr>
          <w:rFonts w:hint="eastAsia"/>
          <w:color w:val="auto"/>
          <w:highlight w:val="none"/>
          <w:lang w:eastAsia="zh-CN"/>
        </w:rPr>
        <w:t>施工现场不应明火取暖。</w:t>
      </w:r>
    </w:p>
    <w:p w14:paraId="484CE00E">
      <w:pPr>
        <w:pStyle w:val="4"/>
        <w:keepNext w:val="0"/>
        <w:keepLines w:val="0"/>
        <w:pageBreakBefore w:val="0"/>
        <w:widowControl w:val="0"/>
        <w:numPr>
          <w:ilvl w:val="1"/>
          <w:numId w:val="15"/>
        </w:numPr>
        <w:kinsoku/>
        <w:wordWrap/>
        <w:overflowPunct/>
        <w:topLinePunct w:val="0"/>
        <w:autoSpaceDE/>
        <w:autoSpaceDN/>
        <w:bidi w:val="0"/>
        <w:rPr>
          <w:color w:val="auto"/>
          <w:highlight w:val="none"/>
        </w:rPr>
      </w:pPr>
      <w:bookmarkStart w:id="641" w:name="_Toc20696"/>
      <w:bookmarkStart w:id="642" w:name="_Toc858"/>
      <w:r>
        <w:rPr>
          <w:rFonts w:hint="eastAsia"/>
          <w:color w:val="auto"/>
          <w:highlight w:val="none"/>
        </w:rPr>
        <w:t>安保管理</w:t>
      </w:r>
      <w:bookmarkEnd w:id="641"/>
      <w:bookmarkEnd w:id="642"/>
    </w:p>
    <w:p w14:paraId="6EC2C270">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安保管理</w:t>
      </w:r>
    </w:p>
    <w:p w14:paraId="0CE24118">
      <w:pPr>
        <w:keepNext w:val="0"/>
        <w:keepLines w:val="0"/>
        <w:pageBreakBefore w:val="0"/>
        <w:widowControl w:val="0"/>
        <w:tabs>
          <w:tab w:val="left" w:pos="40"/>
        </w:tabs>
        <w:kinsoku/>
        <w:wordWrap/>
        <w:overflowPunct/>
        <w:topLinePunct w:val="0"/>
        <w:autoSpaceDE/>
        <w:autoSpaceDN/>
        <w:bidi w:val="0"/>
        <w:ind w:firstLine="480"/>
        <w:jc w:val="left"/>
        <w:rPr>
          <w:bCs/>
          <w:color w:val="auto"/>
          <w:highlight w:val="none"/>
        </w:rPr>
      </w:pPr>
      <w:r>
        <w:rPr>
          <w:rFonts w:hint="eastAsia"/>
          <w:bCs/>
          <w:color w:val="auto"/>
          <w:highlight w:val="none"/>
        </w:rPr>
        <w:t>分包合同范围内的作业面由</w:t>
      </w:r>
      <w:r>
        <w:rPr>
          <w:rFonts w:hint="eastAsia"/>
          <w:bCs/>
          <w:color w:val="auto"/>
          <w:highlight w:val="none"/>
          <w:lang w:eastAsia="zh-CN"/>
        </w:rPr>
        <w:t>专业承包人</w:t>
      </w:r>
      <w:r>
        <w:rPr>
          <w:rFonts w:hint="eastAsia"/>
          <w:bCs/>
          <w:color w:val="auto"/>
          <w:highlight w:val="none"/>
        </w:rPr>
        <w:t>负责总体管理及安保工作。本项目要求装修阶段实行封闭管理，</w:t>
      </w:r>
      <w:r>
        <w:rPr>
          <w:rFonts w:hint="eastAsia"/>
          <w:bCs/>
          <w:color w:val="auto"/>
          <w:highlight w:val="none"/>
          <w:lang w:val="en-US" w:eastAsia="zh-CN"/>
        </w:rPr>
        <w:t>专业承包人</w:t>
      </w:r>
      <w:r>
        <w:rPr>
          <w:rFonts w:hint="eastAsia"/>
          <w:bCs/>
          <w:color w:val="auto"/>
          <w:highlight w:val="none"/>
        </w:rPr>
        <w:t>在报价时需考虑相关的安保措施，其安保费用包含在合同总价中。</w:t>
      </w:r>
    </w:p>
    <w:p w14:paraId="16DDFF39">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安保要求</w:t>
      </w:r>
    </w:p>
    <w:p w14:paraId="4DD3E24A">
      <w:pPr>
        <w:keepNext w:val="0"/>
        <w:keepLines w:val="0"/>
        <w:pageBreakBefore w:val="0"/>
        <w:widowControl w:val="0"/>
        <w:tabs>
          <w:tab w:val="left" w:pos="40"/>
        </w:tabs>
        <w:kinsoku/>
        <w:wordWrap/>
        <w:overflowPunct/>
        <w:topLinePunct w:val="0"/>
        <w:autoSpaceDE/>
        <w:autoSpaceDN/>
        <w:bidi w:val="0"/>
        <w:ind w:firstLine="480"/>
        <w:jc w:val="left"/>
        <w:rPr>
          <w:bCs/>
          <w:color w:val="auto"/>
          <w:highlight w:val="none"/>
        </w:rPr>
      </w:pPr>
      <w:r>
        <w:rPr>
          <w:rFonts w:hint="eastAsia"/>
          <w:bCs/>
          <w:color w:val="auto"/>
          <w:highlight w:val="none"/>
          <w:lang w:eastAsia="zh-CN"/>
        </w:rPr>
        <w:t>专业承包人</w:t>
      </w:r>
      <w:r>
        <w:rPr>
          <w:rFonts w:hint="eastAsia"/>
          <w:bCs/>
          <w:color w:val="auto"/>
          <w:highlight w:val="none"/>
        </w:rPr>
        <w:t>对现场的安保设施设备的配置应实现施工所有区域全天候配备足够数量的安保人员开展现场动态巡查，确保无关外来人员进入施工现场、材料盗窃、成品保护破坏、安全事故等情况的发生，如发包人和监理人认为</w:t>
      </w:r>
      <w:r>
        <w:rPr>
          <w:rFonts w:hint="eastAsia"/>
          <w:bCs/>
          <w:color w:val="auto"/>
          <w:highlight w:val="none"/>
          <w:lang w:eastAsia="zh-CN"/>
        </w:rPr>
        <w:t>专业承包人</w:t>
      </w:r>
      <w:r>
        <w:rPr>
          <w:rFonts w:hint="eastAsia"/>
          <w:bCs/>
          <w:color w:val="auto"/>
          <w:highlight w:val="none"/>
        </w:rPr>
        <w:t>配备的安保人员数量无法满足现场安保需求，总承包人和发包人有权要求</w:t>
      </w:r>
      <w:r>
        <w:rPr>
          <w:rFonts w:hint="eastAsia"/>
          <w:bCs/>
          <w:color w:val="auto"/>
          <w:highlight w:val="none"/>
          <w:lang w:eastAsia="zh-CN"/>
        </w:rPr>
        <w:t>专业承包人</w:t>
      </w:r>
      <w:r>
        <w:rPr>
          <w:rFonts w:hint="eastAsia"/>
          <w:bCs/>
          <w:color w:val="auto"/>
          <w:highlight w:val="none"/>
        </w:rPr>
        <w:t>增加安保人员，且</w:t>
      </w:r>
      <w:r>
        <w:rPr>
          <w:rFonts w:hint="eastAsia"/>
          <w:bCs/>
          <w:color w:val="auto"/>
          <w:highlight w:val="none"/>
          <w:lang w:eastAsia="zh-CN"/>
        </w:rPr>
        <w:t>专业承包人</w:t>
      </w:r>
      <w:r>
        <w:rPr>
          <w:rFonts w:hint="eastAsia"/>
          <w:bCs/>
          <w:color w:val="auto"/>
          <w:highlight w:val="none"/>
        </w:rPr>
        <w:t>不得就安保人员向发包人追加任何费用。</w:t>
      </w:r>
    </w:p>
    <w:p w14:paraId="14A31B73">
      <w:pPr>
        <w:pStyle w:val="5"/>
        <w:keepNext w:val="0"/>
        <w:keepLines w:val="0"/>
        <w:pageBreakBefore w:val="0"/>
        <w:widowControl w:val="0"/>
        <w:numPr>
          <w:ilvl w:val="2"/>
          <w:numId w:val="15"/>
        </w:numPr>
        <w:kinsoku/>
        <w:wordWrap/>
        <w:overflowPunct/>
        <w:topLinePunct w:val="0"/>
        <w:autoSpaceDE/>
        <w:autoSpaceDN/>
        <w:bidi w:val="0"/>
        <w:adjustRightInd/>
        <w:snapToGrid w:val="0"/>
        <w:ind w:left="0" w:firstLine="480" w:firstLineChars="200"/>
        <w:textAlignment w:val="auto"/>
        <w:rPr>
          <w:rFonts w:hint="eastAsia"/>
          <w:color w:val="auto"/>
          <w:highlight w:val="none"/>
          <w:lang w:eastAsia="zh-CN"/>
        </w:rPr>
      </w:pPr>
      <w:r>
        <w:rPr>
          <w:rFonts w:hint="eastAsia"/>
          <w:color w:val="auto"/>
          <w:highlight w:val="none"/>
          <w:lang w:eastAsia="zh-CN"/>
        </w:rPr>
        <w:t>移交前的安保管理</w:t>
      </w:r>
    </w:p>
    <w:p w14:paraId="05D2BBAB">
      <w:pPr>
        <w:keepNext w:val="0"/>
        <w:keepLines w:val="0"/>
        <w:pageBreakBefore w:val="0"/>
        <w:widowControl w:val="0"/>
        <w:tabs>
          <w:tab w:val="left" w:pos="40"/>
        </w:tabs>
        <w:kinsoku/>
        <w:wordWrap/>
        <w:overflowPunct/>
        <w:topLinePunct w:val="0"/>
        <w:autoSpaceDE/>
        <w:autoSpaceDN/>
        <w:bidi w:val="0"/>
        <w:ind w:firstLine="480"/>
        <w:jc w:val="left"/>
        <w:rPr>
          <w:rFonts w:hint="eastAsia"/>
          <w:bCs/>
          <w:color w:val="auto"/>
          <w:highlight w:val="none"/>
        </w:rPr>
      </w:pPr>
      <w:r>
        <w:rPr>
          <w:rFonts w:hint="eastAsia"/>
          <w:bCs/>
          <w:color w:val="auto"/>
          <w:highlight w:val="none"/>
        </w:rPr>
        <w:t>在本项目装修工程结束</w:t>
      </w:r>
      <w:r>
        <w:rPr>
          <w:rFonts w:hint="eastAsia"/>
          <w:bCs/>
          <w:color w:val="auto"/>
          <w:highlight w:val="none"/>
          <w:lang w:val="en-US" w:eastAsia="zh-CN"/>
        </w:rPr>
        <w:t>并进行工程移交</w:t>
      </w:r>
      <w:r>
        <w:rPr>
          <w:rFonts w:hint="eastAsia"/>
          <w:bCs/>
          <w:color w:val="auto"/>
          <w:highlight w:val="none"/>
        </w:rPr>
        <w:t>前，</w:t>
      </w:r>
      <w:r>
        <w:rPr>
          <w:rFonts w:hint="eastAsia"/>
          <w:bCs/>
          <w:color w:val="auto"/>
          <w:highlight w:val="none"/>
          <w:lang w:eastAsia="zh-CN"/>
        </w:rPr>
        <w:t>专业承包人</w:t>
      </w:r>
      <w:r>
        <w:rPr>
          <w:rFonts w:hint="eastAsia"/>
          <w:bCs/>
          <w:color w:val="auto"/>
          <w:highlight w:val="none"/>
        </w:rPr>
        <w:t>应组织安保人员对各已完工区域实施封闭管理，同时制定移交前的安保管理制度，对进出已完工区域的人员、材料、设备等进行封闭管理和动态跟踪。</w:t>
      </w:r>
      <w:r>
        <w:rPr>
          <w:rFonts w:hint="eastAsia"/>
          <w:bCs/>
          <w:color w:val="auto"/>
          <w:highlight w:val="none"/>
          <w:lang w:eastAsia="zh-CN"/>
        </w:rPr>
        <w:t>专业承包人</w:t>
      </w:r>
      <w:r>
        <w:rPr>
          <w:rFonts w:hint="eastAsia"/>
          <w:bCs/>
          <w:color w:val="auto"/>
          <w:highlight w:val="none"/>
        </w:rPr>
        <w:t>应根据现场实际情况对已完工区域进行安保范围划分，每个安保范围的每个出入口应配备不少于2名的安保人员。</w:t>
      </w:r>
    </w:p>
    <w:p w14:paraId="16C06CC8">
      <w:pPr>
        <w:keepNext w:val="0"/>
        <w:keepLines w:val="0"/>
        <w:pageBreakBefore w:val="0"/>
        <w:widowControl w:val="0"/>
        <w:kinsoku/>
        <w:wordWrap/>
        <w:overflowPunct/>
        <w:topLinePunct w:val="0"/>
        <w:autoSpaceDE/>
        <w:autoSpaceDN/>
        <w:bidi w:val="0"/>
        <w:rPr>
          <w:rFonts w:hint="eastAsia"/>
          <w:color w:val="auto"/>
          <w:highlight w:val="none"/>
        </w:rPr>
      </w:pPr>
      <w:r>
        <w:rPr>
          <w:rFonts w:hint="eastAsia"/>
          <w:bCs/>
          <w:color w:val="auto"/>
          <w:highlight w:val="none"/>
        </w:rPr>
        <w:br w:type="page"/>
      </w:r>
    </w:p>
    <w:p w14:paraId="5C612F3B">
      <w:pPr>
        <w:pStyle w:val="3"/>
        <w:keepNext w:val="0"/>
        <w:keepLines w:val="0"/>
        <w:pageBreakBefore w:val="0"/>
        <w:widowControl w:val="0"/>
        <w:numPr>
          <w:ilvl w:val="0"/>
          <w:numId w:val="15"/>
        </w:numPr>
        <w:kinsoku/>
        <w:wordWrap/>
        <w:overflowPunct/>
        <w:topLinePunct w:val="0"/>
        <w:autoSpaceDE/>
        <w:autoSpaceDN/>
        <w:bidi w:val="0"/>
        <w:rPr>
          <w:rFonts w:hint="eastAsia"/>
          <w:color w:val="auto"/>
          <w:highlight w:val="none"/>
          <w:lang w:eastAsia="zh-CN"/>
        </w:rPr>
      </w:pPr>
      <w:bookmarkStart w:id="643" w:name="_Toc13266"/>
      <w:bookmarkStart w:id="644" w:name="_Toc26527"/>
      <w:bookmarkStart w:id="645" w:name="_Toc153907625"/>
      <w:bookmarkStart w:id="646" w:name="_Toc488312941"/>
      <w:bookmarkStart w:id="647" w:name="_Toc153907613"/>
      <w:r>
        <w:rPr>
          <w:rFonts w:hint="eastAsia"/>
          <w:color w:val="auto"/>
          <w:highlight w:val="none"/>
          <w:lang w:eastAsia="zh-CN"/>
        </w:rPr>
        <w:t>质保期责任</w:t>
      </w:r>
      <w:bookmarkEnd w:id="643"/>
      <w:bookmarkEnd w:id="644"/>
      <w:bookmarkEnd w:id="645"/>
    </w:p>
    <w:p w14:paraId="2B0BC1C2">
      <w:pPr>
        <w:pStyle w:val="4"/>
        <w:keepNext w:val="0"/>
        <w:keepLines w:val="0"/>
        <w:pageBreakBefore w:val="0"/>
        <w:widowControl w:val="0"/>
        <w:kinsoku/>
        <w:wordWrap/>
        <w:overflowPunct/>
        <w:topLinePunct w:val="0"/>
        <w:autoSpaceDE/>
        <w:autoSpaceDN/>
        <w:bidi w:val="0"/>
        <w:rPr>
          <w:rFonts w:hint="default"/>
          <w:color w:val="auto"/>
          <w:highlight w:val="none"/>
          <w:lang w:val="en-US" w:eastAsia="zh-CN"/>
        </w:rPr>
      </w:pPr>
      <w:bookmarkStart w:id="648" w:name="_Toc12047"/>
      <w:bookmarkStart w:id="649" w:name="_Toc3760"/>
      <w:r>
        <w:rPr>
          <w:rFonts w:hint="eastAsia"/>
          <w:color w:val="auto"/>
          <w:highlight w:val="none"/>
          <w:lang w:val="en-US" w:eastAsia="zh-CN"/>
        </w:rPr>
        <w:t>质保期责任</w:t>
      </w:r>
      <w:bookmarkEnd w:id="648"/>
      <w:bookmarkEnd w:id="649"/>
    </w:p>
    <w:p w14:paraId="15026E52">
      <w:pPr>
        <w:pStyle w:val="5"/>
        <w:keepNext w:val="0"/>
        <w:keepLines w:val="0"/>
        <w:pageBreakBefore w:val="0"/>
        <w:widowControl w:val="0"/>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本项目质量维保期</w:t>
      </w:r>
      <w:r>
        <w:rPr>
          <w:rFonts w:hint="eastAsia"/>
          <w:color w:val="auto"/>
          <w:highlight w:val="none"/>
          <w:lang w:val="en-US" w:eastAsia="zh-CN"/>
        </w:rPr>
        <w:t>参照合同条款及国家规范执行</w:t>
      </w:r>
      <w:r>
        <w:rPr>
          <w:rFonts w:hint="eastAsia"/>
          <w:color w:val="auto"/>
          <w:highlight w:val="none"/>
        </w:rPr>
        <w:t>。在工程移交发包人后，因</w:t>
      </w:r>
      <w:r>
        <w:rPr>
          <w:rFonts w:hint="eastAsia"/>
          <w:color w:val="auto"/>
          <w:highlight w:val="none"/>
          <w:lang w:eastAsia="zh-CN"/>
        </w:rPr>
        <w:t>专业承包人</w:t>
      </w:r>
      <w:r>
        <w:rPr>
          <w:rFonts w:hint="eastAsia"/>
          <w:color w:val="auto"/>
          <w:highlight w:val="none"/>
        </w:rPr>
        <w:t>原因产生的质量缺陷，</w:t>
      </w:r>
      <w:r>
        <w:rPr>
          <w:rFonts w:hint="eastAsia"/>
          <w:color w:val="auto"/>
          <w:highlight w:val="none"/>
          <w:lang w:eastAsia="zh-CN"/>
        </w:rPr>
        <w:t>专业承包人</w:t>
      </w:r>
      <w:r>
        <w:rPr>
          <w:rFonts w:hint="eastAsia"/>
          <w:color w:val="auto"/>
          <w:highlight w:val="none"/>
        </w:rPr>
        <w:t>应承担质量缺陷责任和保修义务。缺陷责任期届满，</w:t>
      </w:r>
      <w:r>
        <w:rPr>
          <w:rFonts w:hint="eastAsia"/>
          <w:color w:val="auto"/>
          <w:highlight w:val="none"/>
          <w:lang w:eastAsia="zh-CN"/>
        </w:rPr>
        <w:t>专业承包人</w:t>
      </w:r>
      <w:r>
        <w:rPr>
          <w:rFonts w:hint="eastAsia"/>
          <w:color w:val="auto"/>
          <w:highlight w:val="none"/>
        </w:rPr>
        <w:t>仍应按合同约定的工程各部位保修年限承担保修义务。</w:t>
      </w:r>
    </w:p>
    <w:p w14:paraId="4C762DF9">
      <w:pPr>
        <w:pStyle w:val="5"/>
        <w:keepNext w:val="0"/>
        <w:keepLines w:val="0"/>
        <w:pageBreakBefore w:val="0"/>
        <w:widowControl w:val="0"/>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在包括分包工程的总承包工程竣工交付使用后，</w:t>
      </w:r>
      <w:r>
        <w:rPr>
          <w:rFonts w:hint="eastAsia"/>
          <w:color w:val="auto"/>
          <w:highlight w:val="none"/>
          <w:lang w:eastAsia="zh-CN"/>
        </w:rPr>
        <w:t>专业承包人</w:t>
      </w:r>
      <w:r>
        <w:rPr>
          <w:rFonts w:hint="eastAsia"/>
          <w:color w:val="auto"/>
          <w:highlight w:val="none"/>
        </w:rPr>
        <w:t>应按国家有关规定对分包工程出现的缺陷进行保修，具体保修责任按照</w:t>
      </w:r>
      <w:r>
        <w:rPr>
          <w:rFonts w:hint="eastAsia"/>
          <w:color w:val="auto"/>
          <w:highlight w:val="none"/>
          <w:lang w:eastAsia="zh-CN"/>
        </w:rPr>
        <w:t>专业承包人</w:t>
      </w:r>
      <w:r>
        <w:rPr>
          <w:rFonts w:hint="eastAsia"/>
          <w:color w:val="auto"/>
          <w:highlight w:val="none"/>
        </w:rPr>
        <w:t>与发包人在工程竣工验收之前签订的质量保修书执行。</w:t>
      </w:r>
    </w:p>
    <w:p w14:paraId="1598060D">
      <w:pPr>
        <w:pStyle w:val="5"/>
        <w:keepNext w:val="0"/>
        <w:keepLines w:val="0"/>
        <w:pageBreakBefore w:val="0"/>
        <w:widowControl w:val="0"/>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保修内容包括以下：保证为发包人提供在正常使用的情况下所需要的维修及抢修服务，而不影响到发包人及相关使用单位的日常经营和使用；保证在本要求的质保期或由监理人、发包人、设计单位提出，经</w:t>
      </w:r>
      <w:r>
        <w:rPr>
          <w:rFonts w:hint="eastAsia"/>
          <w:color w:val="auto"/>
          <w:highlight w:val="none"/>
          <w:lang w:eastAsia="zh-CN"/>
        </w:rPr>
        <w:t>专业承包人</w:t>
      </w:r>
      <w:r>
        <w:rPr>
          <w:rFonts w:hint="eastAsia"/>
          <w:color w:val="auto"/>
          <w:highlight w:val="none"/>
        </w:rPr>
        <w:t>或供应商同意延长的质保期内，对产品的缺陷、不妥善之处或其他过失进行修理、改善和更换。</w:t>
      </w:r>
    </w:p>
    <w:p w14:paraId="0AB17A50">
      <w:pPr>
        <w:pStyle w:val="5"/>
        <w:keepNext w:val="0"/>
        <w:keepLines w:val="0"/>
        <w:pageBreakBefore w:val="0"/>
        <w:widowControl w:val="0"/>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应进行定期（从质保期开始之日起，每月进行一次）的质量跟踪及例行回访工作。在竣工结算前一个月作一个详尽的维护、保修计划报予相关部门。此计划作为进行竣工结算的充分条件而存在。</w:t>
      </w:r>
    </w:p>
    <w:p w14:paraId="75BCD520">
      <w:pPr>
        <w:pStyle w:val="5"/>
        <w:keepNext w:val="0"/>
        <w:keepLines w:val="0"/>
        <w:pageBreakBefore w:val="0"/>
        <w:widowControl w:val="0"/>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从质保期开始之日起，每三个月提交一份维修情况报告予相关部门。</w:t>
      </w:r>
    </w:p>
    <w:p w14:paraId="6EE8BC7C">
      <w:pPr>
        <w:pStyle w:val="5"/>
        <w:keepNext w:val="0"/>
        <w:keepLines w:val="0"/>
        <w:pageBreakBefore w:val="0"/>
        <w:widowControl w:val="0"/>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lang w:eastAsia="zh-CN"/>
        </w:rPr>
        <w:t>专业承包人</w:t>
      </w:r>
      <w:r>
        <w:rPr>
          <w:rFonts w:hint="eastAsia"/>
          <w:color w:val="auto"/>
          <w:highlight w:val="none"/>
        </w:rPr>
        <w:t>在接获（注：消息到达</w:t>
      </w:r>
      <w:r>
        <w:rPr>
          <w:rFonts w:hint="eastAsia"/>
          <w:color w:val="auto"/>
          <w:highlight w:val="none"/>
          <w:lang w:eastAsia="zh-CN"/>
        </w:rPr>
        <w:t>专业承包人</w:t>
      </w:r>
      <w:r>
        <w:rPr>
          <w:rFonts w:hint="eastAsia"/>
          <w:color w:val="auto"/>
          <w:highlight w:val="none"/>
        </w:rPr>
        <w:t>即认为已接获）发包人维修指令后（包括口头或书面指令），维修工作人员须6小时内到达现场并展开维修，并在维修指令发出后24小时内完成维修，达到发包人要求（完成标准同本技术要求内容）。</w:t>
      </w:r>
    </w:p>
    <w:p w14:paraId="7B055B04">
      <w:pPr>
        <w:pStyle w:val="5"/>
        <w:keepNext w:val="0"/>
        <w:keepLines w:val="0"/>
        <w:pageBreakBefore w:val="0"/>
        <w:widowControl w:val="0"/>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在本保修期结束前一个月，</w:t>
      </w:r>
      <w:r>
        <w:rPr>
          <w:rFonts w:hint="eastAsia"/>
          <w:color w:val="auto"/>
          <w:highlight w:val="none"/>
          <w:lang w:eastAsia="zh-CN"/>
        </w:rPr>
        <w:t>专业承包人</w:t>
      </w:r>
      <w:r>
        <w:rPr>
          <w:rFonts w:hint="eastAsia"/>
          <w:color w:val="auto"/>
          <w:highlight w:val="none"/>
        </w:rPr>
        <w:t>须再一次对所承包工程进行免费的全面检查，并在检查后15天内免费矫正所有被发现的质量问题及缺陷，解决问题后须报请发包人确认，经发包人认可后才具备申请质保金之条件。</w:t>
      </w:r>
    </w:p>
    <w:p w14:paraId="18720ADA">
      <w:pPr>
        <w:pStyle w:val="5"/>
        <w:keepNext w:val="0"/>
        <w:keepLines w:val="0"/>
        <w:pageBreakBefore w:val="0"/>
        <w:widowControl w:val="0"/>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此维修服务不得转让他人。</w:t>
      </w:r>
    </w:p>
    <w:p w14:paraId="088AE93B">
      <w:pPr>
        <w:pStyle w:val="5"/>
        <w:keepNext w:val="0"/>
        <w:keepLines w:val="0"/>
        <w:pageBreakBefore w:val="0"/>
        <w:widowControl w:val="0"/>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所有须作更换的材料，应是真正原厂标准生产的材料。加工工艺、施工手段及最终呈现效果须与本技术要求保持一致。</w:t>
      </w:r>
    </w:p>
    <w:p w14:paraId="627D1B34">
      <w:pPr>
        <w:pStyle w:val="5"/>
        <w:keepNext w:val="0"/>
        <w:keepLines w:val="0"/>
        <w:pageBreakBefore w:val="0"/>
        <w:widowControl w:val="0"/>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除了正常的质量问题外，任何因疏忽或错误使用或非分包单位引致的损坏，将首先由</w:t>
      </w:r>
      <w:r>
        <w:rPr>
          <w:rFonts w:hint="eastAsia"/>
          <w:color w:val="auto"/>
          <w:highlight w:val="none"/>
          <w:lang w:eastAsia="zh-CN"/>
        </w:rPr>
        <w:t>专业承包人</w:t>
      </w:r>
      <w:r>
        <w:rPr>
          <w:rFonts w:hint="eastAsia"/>
          <w:color w:val="auto"/>
          <w:highlight w:val="none"/>
        </w:rPr>
        <w:t>按以上条款提供维修服务，待维修完成后由</w:t>
      </w:r>
      <w:r>
        <w:rPr>
          <w:rFonts w:hint="eastAsia"/>
          <w:color w:val="auto"/>
          <w:highlight w:val="none"/>
          <w:lang w:eastAsia="zh-CN"/>
        </w:rPr>
        <w:t>专业承包人</w:t>
      </w:r>
      <w:r>
        <w:rPr>
          <w:rFonts w:hint="eastAsia"/>
          <w:color w:val="auto"/>
          <w:highlight w:val="none"/>
        </w:rPr>
        <w:t>与发包人相互协商以进行合理认价。</w:t>
      </w:r>
    </w:p>
    <w:p w14:paraId="4587729A">
      <w:pPr>
        <w:pStyle w:val="5"/>
        <w:keepNext w:val="0"/>
        <w:keepLines w:val="0"/>
        <w:pageBreakBefore w:val="0"/>
        <w:widowControl w:val="0"/>
        <w:kinsoku/>
        <w:wordWrap/>
        <w:overflowPunct/>
        <w:topLinePunct w:val="0"/>
        <w:autoSpaceDE/>
        <w:autoSpaceDN/>
        <w:bidi w:val="0"/>
        <w:adjustRightInd/>
        <w:snapToGrid w:val="0"/>
        <w:ind w:left="0" w:firstLine="480" w:firstLineChars="200"/>
        <w:textAlignment w:val="auto"/>
        <w:rPr>
          <w:color w:val="auto"/>
          <w:highlight w:val="none"/>
        </w:rPr>
      </w:pPr>
      <w:r>
        <w:rPr>
          <w:rFonts w:hint="eastAsia"/>
          <w:color w:val="auto"/>
          <w:highlight w:val="none"/>
        </w:rPr>
        <w:t>所有根据本保修服务条文的工作，应由</w:t>
      </w:r>
      <w:r>
        <w:rPr>
          <w:rFonts w:hint="eastAsia"/>
          <w:color w:val="auto"/>
          <w:highlight w:val="none"/>
          <w:lang w:eastAsia="zh-CN"/>
        </w:rPr>
        <w:t>专业承包人</w:t>
      </w:r>
      <w:r>
        <w:rPr>
          <w:rFonts w:hint="eastAsia"/>
          <w:color w:val="auto"/>
          <w:highlight w:val="none"/>
        </w:rPr>
        <w:t>直接雇用及监管下的有能力的人员负责执行。</w:t>
      </w:r>
    </w:p>
    <w:p w14:paraId="21D6D15C">
      <w:pPr>
        <w:rPr>
          <w:rFonts w:hint="default"/>
          <w:color w:val="auto"/>
          <w:highlight w:val="none"/>
          <w:lang w:val="en-US" w:eastAsia="zh-CN"/>
        </w:rPr>
      </w:pPr>
      <w:r>
        <w:rPr>
          <w:rFonts w:hint="eastAsia"/>
          <w:color w:val="auto"/>
          <w:highlight w:val="none"/>
        </w:rPr>
        <w:t>对于</w:t>
      </w:r>
      <w:r>
        <w:rPr>
          <w:rFonts w:hint="eastAsia"/>
          <w:color w:val="auto"/>
          <w:highlight w:val="none"/>
          <w:lang w:eastAsia="zh-CN"/>
        </w:rPr>
        <w:t>专业承包人</w:t>
      </w:r>
      <w:r>
        <w:rPr>
          <w:rFonts w:hint="eastAsia"/>
          <w:color w:val="auto"/>
          <w:highlight w:val="none"/>
        </w:rPr>
        <w:t>违反质保期责任之行为，发包人可直接委托相关单位负责维修且无须征得</w:t>
      </w:r>
      <w:r>
        <w:rPr>
          <w:rFonts w:hint="eastAsia"/>
          <w:color w:val="auto"/>
          <w:highlight w:val="none"/>
          <w:lang w:eastAsia="zh-CN"/>
        </w:rPr>
        <w:t>专业承包人</w:t>
      </w:r>
      <w:r>
        <w:rPr>
          <w:rFonts w:hint="eastAsia"/>
          <w:color w:val="auto"/>
          <w:highlight w:val="none"/>
        </w:rPr>
        <w:t>同意，维修费用以及赔偿因工程缺陷、损坏造成的人身伤害和财产损失，</w:t>
      </w:r>
      <w:bookmarkStart w:id="650" w:name="_Hlk150187574"/>
      <w:r>
        <w:rPr>
          <w:rFonts w:hint="eastAsia"/>
          <w:color w:val="auto"/>
          <w:highlight w:val="none"/>
        </w:rPr>
        <w:t>发包人可在质量保证金中双倍扣除，</w:t>
      </w:r>
      <w:r>
        <w:rPr>
          <w:rFonts w:hint="eastAsia"/>
          <w:color w:val="auto"/>
          <w:highlight w:val="none"/>
          <w:lang w:eastAsia="zh-CN"/>
        </w:rPr>
        <w:t>专业承包人</w:t>
      </w:r>
      <w:r>
        <w:rPr>
          <w:rFonts w:hint="eastAsia"/>
          <w:color w:val="auto"/>
          <w:highlight w:val="none"/>
        </w:rPr>
        <w:t>不得有任何异议，同时</w:t>
      </w:r>
      <w:r>
        <w:rPr>
          <w:rFonts w:hint="eastAsia"/>
          <w:color w:val="auto"/>
          <w:highlight w:val="none"/>
          <w:lang w:eastAsia="zh-CN"/>
        </w:rPr>
        <w:t>专业承包人</w:t>
      </w:r>
      <w:r>
        <w:rPr>
          <w:rFonts w:hint="eastAsia"/>
          <w:color w:val="auto"/>
          <w:highlight w:val="none"/>
        </w:rPr>
        <w:t>需承担违约责任</w:t>
      </w:r>
      <w:bookmarkEnd w:id="650"/>
      <w:r>
        <w:rPr>
          <w:rFonts w:hint="eastAsia"/>
          <w:color w:val="auto"/>
          <w:highlight w:val="none"/>
        </w:rPr>
        <w:t>。</w:t>
      </w:r>
      <w:bookmarkEnd w:id="646"/>
      <w:bookmarkEnd w:id="647"/>
      <w:r>
        <w:rPr>
          <w:rFonts w:hint="eastAsia"/>
          <w:color w:val="auto"/>
          <w:highlight w:val="none"/>
          <w:lang w:val="en-US" w:eastAsia="zh-CN"/>
        </w:rPr>
        <w:br w:type="page"/>
      </w:r>
    </w:p>
    <w:p w14:paraId="41A8DEC6">
      <w:pPr>
        <w:pStyle w:val="3"/>
        <w:numPr>
          <w:ilvl w:val="0"/>
          <w:numId w:val="1"/>
        </w:numPr>
        <w:bidi w:val="0"/>
        <w:rPr>
          <w:rFonts w:hint="default"/>
          <w:color w:val="auto"/>
          <w:highlight w:val="none"/>
          <w:lang w:val="en-US" w:eastAsia="zh-CN"/>
        </w:rPr>
      </w:pPr>
      <w:bookmarkStart w:id="651" w:name="_Toc200"/>
      <w:r>
        <w:rPr>
          <w:rFonts w:hint="eastAsia"/>
          <w:color w:val="auto"/>
          <w:highlight w:val="none"/>
          <w:lang w:val="en-US" w:eastAsia="zh-CN"/>
        </w:rPr>
        <w:t>附件</w:t>
      </w:r>
      <w:bookmarkEnd w:id="426"/>
      <w:bookmarkEnd w:id="651"/>
    </w:p>
    <w:p w14:paraId="16AC3C94">
      <w:pPr>
        <w:pStyle w:val="4"/>
        <w:bidi w:val="0"/>
        <w:rPr>
          <w:rFonts w:hint="default"/>
          <w:color w:val="auto"/>
          <w:highlight w:val="none"/>
          <w:lang w:val="en-US" w:eastAsia="zh-CN"/>
        </w:rPr>
      </w:pPr>
      <w:bookmarkStart w:id="652" w:name="_Toc29059"/>
      <w:bookmarkStart w:id="653" w:name="_Toc29614"/>
      <w:r>
        <w:rPr>
          <w:rFonts w:hint="eastAsia"/>
          <w:color w:val="auto"/>
          <w:highlight w:val="none"/>
          <w:lang w:val="en-US" w:eastAsia="zh-CN"/>
        </w:rPr>
        <w:t>附件</w:t>
      </w:r>
      <w:bookmarkEnd w:id="652"/>
      <w:bookmarkEnd w:id="653"/>
    </w:p>
    <w:p w14:paraId="1216F86B">
      <w:pPr>
        <w:keepNext w:val="0"/>
        <w:keepLines w:val="0"/>
        <w:pageBreakBefore w:val="0"/>
        <w:widowControl w:val="0"/>
        <w:kinsoku/>
        <w:wordWrap/>
        <w:overflowPunct/>
        <w:topLinePunct w:val="0"/>
        <w:autoSpaceDE/>
        <w:autoSpaceDN/>
        <w:bidi w:val="0"/>
        <w:adjustRightInd/>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【附件A-1】《施工现场阶段性平面布置图》</w:t>
      </w:r>
    </w:p>
    <w:p w14:paraId="1822CEC2">
      <w:pPr>
        <w:keepNext w:val="0"/>
        <w:keepLines w:val="0"/>
        <w:pageBreakBefore w:val="0"/>
        <w:widowControl w:val="0"/>
        <w:kinsoku/>
        <w:wordWrap/>
        <w:overflowPunct/>
        <w:topLinePunct w:val="0"/>
        <w:autoSpaceDE/>
        <w:autoSpaceDN/>
        <w:bidi w:val="0"/>
        <w:adjustRightInd/>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【附件B-1】精装修合约界面分判</w:t>
      </w:r>
    </w:p>
    <w:p w14:paraId="4D8D0326">
      <w:pPr>
        <w:keepNext w:val="0"/>
        <w:keepLines w:val="0"/>
        <w:pageBreakBefore w:val="0"/>
        <w:widowControl w:val="0"/>
        <w:kinsoku/>
        <w:wordWrap/>
        <w:overflowPunct/>
        <w:topLinePunct w:val="0"/>
        <w:autoSpaceDE/>
        <w:autoSpaceDN/>
        <w:bidi w:val="0"/>
        <w:adjustRightInd/>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【附件B-2】项目第三方评估方案</w:t>
      </w:r>
    </w:p>
    <w:p w14:paraId="76116B95">
      <w:pPr>
        <w:keepNext w:val="0"/>
        <w:keepLines w:val="0"/>
        <w:pageBreakBefore w:val="0"/>
        <w:widowControl w:val="0"/>
        <w:kinsoku/>
        <w:wordWrap/>
        <w:overflowPunct/>
        <w:topLinePunct w:val="0"/>
        <w:autoSpaceDE/>
        <w:autoSpaceDN/>
        <w:bidi w:val="0"/>
        <w:adjustRightInd/>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【附件B-3】精装修策划评审表</w:t>
      </w:r>
    </w:p>
    <w:p w14:paraId="0102A77E">
      <w:pPr>
        <w:keepNext w:val="0"/>
        <w:keepLines w:val="0"/>
        <w:pageBreakBefore w:val="0"/>
        <w:widowControl w:val="0"/>
        <w:kinsoku/>
        <w:wordWrap/>
        <w:overflowPunct/>
        <w:topLinePunct w:val="0"/>
        <w:autoSpaceDE/>
        <w:autoSpaceDN/>
        <w:bidi w:val="0"/>
        <w:adjustRightInd/>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【附件B-4】关键工序停止点验收清单</w:t>
      </w:r>
    </w:p>
    <w:p w14:paraId="17B41727">
      <w:pPr>
        <w:keepNext w:val="0"/>
        <w:keepLines w:val="0"/>
        <w:pageBreakBefore w:val="0"/>
        <w:widowControl w:val="0"/>
        <w:kinsoku/>
        <w:wordWrap/>
        <w:overflowPunct/>
        <w:topLinePunct w:val="0"/>
        <w:autoSpaceDE/>
        <w:autoSpaceDN/>
        <w:bidi w:val="0"/>
        <w:adjustRightInd/>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【附件B-5】样板引路管理办法</w:t>
      </w:r>
    </w:p>
    <w:p w14:paraId="154F03ED">
      <w:pPr>
        <w:keepNext w:val="0"/>
        <w:keepLines w:val="0"/>
        <w:pageBreakBefore w:val="0"/>
        <w:widowControl w:val="0"/>
        <w:kinsoku/>
        <w:wordWrap/>
        <w:overflowPunct/>
        <w:topLinePunct w:val="0"/>
        <w:autoSpaceDE/>
        <w:autoSpaceDN/>
        <w:bidi w:val="0"/>
        <w:adjustRightInd/>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【附件B-6】乙供材料设备报审及看样定板管理办法</w:t>
      </w:r>
    </w:p>
    <w:p w14:paraId="6442FE42">
      <w:pPr>
        <w:keepNext w:val="0"/>
        <w:keepLines w:val="0"/>
        <w:pageBreakBefore w:val="0"/>
        <w:widowControl w:val="0"/>
        <w:kinsoku/>
        <w:wordWrap/>
        <w:overflowPunct/>
        <w:topLinePunct w:val="0"/>
        <w:autoSpaceDE/>
        <w:autoSpaceDN/>
        <w:bidi w:val="0"/>
        <w:adjustRightInd/>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【附件B-7】成品保护标准</w:t>
      </w:r>
    </w:p>
    <w:p w14:paraId="73BDDA82">
      <w:pPr>
        <w:keepNext w:val="0"/>
        <w:keepLines w:val="0"/>
        <w:pageBreakBefore w:val="0"/>
        <w:widowControl w:val="0"/>
        <w:kinsoku/>
        <w:wordWrap/>
        <w:overflowPunct/>
        <w:topLinePunct w:val="0"/>
        <w:autoSpaceDE/>
        <w:autoSpaceDN/>
        <w:bidi w:val="0"/>
        <w:adjustRightInd/>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【附件B-8】开荒保洁要求</w:t>
      </w:r>
    </w:p>
    <w:p w14:paraId="7838FA7D">
      <w:pPr>
        <w:keepNext w:val="0"/>
        <w:keepLines w:val="0"/>
        <w:pageBreakBefore w:val="0"/>
        <w:widowControl w:val="0"/>
        <w:kinsoku/>
        <w:wordWrap/>
        <w:overflowPunct/>
        <w:topLinePunct w:val="0"/>
        <w:autoSpaceDE/>
        <w:autoSpaceDN/>
        <w:bidi w:val="0"/>
        <w:adjustRightInd/>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【附件B-9】工程保修工作指引</w:t>
      </w:r>
    </w:p>
    <w:p w14:paraId="784F4DDE">
      <w:pPr>
        <w:keepNext w:val="0"/>
        <w:keepLines w:val="0"/>
        <w:pageBreakBefore w:val="0"/>
        <w:widowControl w:val="0"/>
        <w:kinsoku/>
        <w:wordWrap/>
        <w:overflowPunct/>
        <w:topLinePunct w:val="0"/>
        <w:autoSpaceDE/>
        <w:autoSpaceDN/>
        <w:bidi w:val="0"/>
        <w:adjustRightInd/>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【附件B-10】关键岗位承诺函</w:t>
      </w:r>
    </w:p>
    <w:p w14:paraId="4D5C9CDE">
      <w:pPr>
        <w:keepNext w:val="0"/>
        <w:keepLines w:val="0"/>
        <w:pageBreakBefore w:val="0"/>
        <w:widowControl w:val="0"/>
        <w:kinsoku/>
        <w:wordWrap/>
        <w:overflowPunct/>
        <w:topLinePunct w:val="0"/>
        <w:autoSpaceDE/>
        <w:autoSpaceDN/>
        <w:bidi w:val="0"/>
        <w:adjustRightInd/>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【附件B-11】工序交底(征求意见稿)</w:t>
      </w:r>
    </w:p>
    <w:p w14:paraId="402F999C">
      <w:pPr>
        <w:numPr>
          <w:ilvl w:val="0"/>
          <w:numId w:val="0"/>
        </w:numPr>
        <w:spacing w:before="120" w:beforeLines="50" w:after="120" w:afterLines="50" w:line="240" w:lineRule="auto"/>
        <w:ind w:leftChars="200"/>
        <w:rPr>
          <w:rFonts w:hint="default"/>
          <w:color w:val="auto"/>
          <w:highlight w:val="none"/>
          <w:lang w:val="en-US" w:eastAsia="zh-CN"/>
        </w:rPr>
      </w:pPr>
    </w:p>
    <w:sectPr>
      <w:headerReference r:id="rId11" w:type="default"/>
      <w:footerReference r:id="rId12" w:type="default"/>
      <w:pgSz w:w="11905" w:h="16838"/>
      <w:pgMar w:top="1429" w:right="1378" w:bottom="1310" w:left="1446" w:header="0" w:footer="1145" w:gutter="0"/>
      <w:pgNumType w:fmt="decimal"/>
      <w:cols w:space="0" w:num="1"/>
      <w:rtlGutter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auto"/>
    <w:pitch w:val="default"/>
    <w:sig w:usb0="E4002EFF" w:usb1="C000E47F" w:usb2="00000009" w:usb3="00000000" w:csb0="200001F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D7D369">
    <w:pPr>
      <w:pStyle w:val="15"/>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CBDF7B">
                          <w:pPr>
                            <w:pStyle w:val="15"/>
                          </w:pPr>
                          <w:r>
                            <w:fldChar w:fldCharType="begin"/>
                          </w:r>
                          <w:r>
                            <w:instrText xml:space="preserve"> PAGE  \* MERGEFORMAT </w:instrText>
                          </w:r>
                          <w:r>
                            <w:fldChar w:fldCharType="separate"/>
                          </w:r>
                          <w:r>
                            <w:t>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32CBDF7B">
                    <w:pPr>
                      <w:pStyle w:val="15"/>
                    </w:pPr>
                    <w:r>
                      <w:fldChar w:fldCharType="begin"/>
                    </w:r>
                    <w:r>
                      <w:instrText xml:space="preserve"> PAGE  \* MERGEFORMAT </w:instrText>
                    </w:r>
                    <w:r>
                      <w:fldChar w:fldCharType="separate"/>
                    </w:r>
                    <w:r>
                      <w:t>7</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1945FC">
    <w:pPr>
      <w:spacing w:line="176" w:lineRule="auto"/>
      <w:ind w:left="4389"/>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90</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712E7">
    <w:pPr>
      <w:tabs>
        <w:tab w:val="center" w:pos="4153"/>
        <w:tab w:val="right" w:pos="8306"/>
      </w:tabs>
      <w:jc w:val="center"/>
    </w:pPr>
    <w:r>
      <w:rPr>
        <w:sz w:val="24"/>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47477029"/>
                            <w:docPartObj>
                              <w:docPartGallery w:val="autotext"/>
                            </w:docPartObj>
                          </w:sdtPr>
                          <w:sdtContent>
                            <w:p w14:paraId="671B45F2">
                              <w:pPr>
                                <w:tabs>
                                  <w:tab w:val="center" w:pos="4153"/>
                                  <w:tab w:val="right" w:pos="8306"/>
                                </w:tabs>
                                <w:jc w:val="center"/>
                              </w:pPr>
                              <w:r>
                                <w:fldChar w:fldCharType="begin"/>
                              </w:r>
                              <w:r>
                                <w:instrText xml:space="preserve">PAGE   \* MERGEFORMAT</w:instrText>
                              </w:r>
                              <w:r>
                                <w:fldChar w:fldCharType="separate"/>
                              </w:r>
                              <w:r>
                                <w:rPr>
                                  <w:lang w:val="zh-CN" w:eastAsia="zh-CN"/>
                                </w:rPr>
                                <w:t>2</w:t>
                              </w:r>
                              <w:r>
                                <w:fldChar w:fldCharType="end"/>
                              </w:r>
                            </w:p>
                          </w:sdtContent>
                        </w:sdt>
                        <w:p w14:paraId="79C3C0E3"/>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sdt>
                    <w:sdtPr>
                      <w:id w:val="147477029"/>
                      <w:docPartObj>
                        <w:docPartGallery w:val="autotext"/>
                      </w:docPartObj>
                    </w:sdtPr>
                    <w:sdtContent>
                      <w:p w14:paraId="671B45F2">
                        <w:pPr>
                          <w:tabs>
                            <w:tab w:val="center" w:pos="4153"/>
                            <w:tab w:val="right" w:pos="8306"/>
                          </w:tabs>
                          <w:jc w:val="center"/>
                        </w:pPr>
                        <w:r>
                          <w:fldChar w:fldCharType="begin"/>
                        </w:r>
                        <w:r>
                          <w:instrText xml:space="preserve">PAGE   \* MERGEFORMAT</w:instrText>
                        </w:r>
                        <w:r>
                          <w:fldChar w:fldCharType="separate"/>
                        </w:r>
                        <w:r>
                          <w:rPr>
                            <w:lang w:val="zh-CN" w:eastAsia="zh-CN"/>
                          </w:rPr>
                          <w:t>2</w:t>
                        </w:r>
                        <w:r>
                          <w:fldChar w:fldCharType="end"/>
                        </w:r>
                      </w:p>
                    </w:sdtContent>
                  </w:sdt>
                  <w:p w14:paraId="79C3C0E3"/>
                </w:txbxContent>
              </v:textbox>
            </v:shape>
          </w:pict>
        </mc:Fallback>
      </mc:AlternateContent>
    </w:r>
  </w:p>
  <w:p w14:paraId="4260F69D">
    <w:pPr>
      <w:spacing w:line="180" w:lineRule="auto"/>
      <w:rPr>
        <w:rFonts w:eastAsiaTheme="minorEastAsia"/>
        <w:sz w:val="18"/>
        <w:szCs w:val="18"/>
        <w:lang w:eastAsia="zh-CN"/>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67FC4C">
    <w:pPr>
      <w:tabs>
        <w:tab w:val="center" w:pos="4153"/>
        <w:tab w:val="right" w:pos="8306"/>
      </w:tabs>
      <w:spacing w:before="120" w:after="120"/>
      <w:ind w:firstLine="360"/>
      <w:jc w:val="center"/>
    </w:pPr>
    <w:r>
      <w:rPr>
        <w:sz w:val="24"/>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D0D6CE">
                          <w:pPr>
                            <w:tabs>
                              <w:tab w:val="center" w:pos="4153"/>
                              <w:tab w:val="right" w:pos="8306"/>
                            </w:tabs>
                            <w:spacing w:before="120" w:after="120"/>
                            <w:ind w:firstLine="360"/>
                            <w:jc w:val="center"/>
                          </w:pPr>
                          <w:r>
                            <w:fldChar w:fldCharType="begin"/>
                          </w:r>
                          <w:r>
                            <w:instrText xml:space="preserve">PAGE   \* MERGEFORMAT</w:instrText>
                          </w:r>
                          <w:r>
                            <w:fldChar w:fldCharType="separate"/>
                          </w:r>
                          <w:r>
                            <w:rPr>
                              <w:lang w:val="zh-CN"/>
                            </w:rPr>
                            <w:t>134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14:paraId="73D0D6CE">
                    <w:pPr>
                      <w:tabs>
                        <w:tab w:val="center" w:pos="4153"/>
                        <w:tab w:val="right" w:pos="8306"/>
                      </w:tabs>
                      <w:spacing w:before="120" w:after="120"/>
                      <w:ind w:firstLine="360"/>
                      <w:jc w:val="center"/>
                    </w:pPr>
                    <w:r>
                      <w:fldChar w:fldCharType="begin"/>
                    </w:r>
                    <w:r>
                      <w:instrText xml:space="preserve">PAGE   \* MERGEFORMAT</w:instrText>
                    </w:r>
                    <w:r>
                      <w:fldChar w:fldCharType="separate"/>
                    </w:r>
                    <w:r>
                      <w:rPr>
                        <w:lang w:val="zh-CN"/>
                      </w:rPr>
                      <w:t>134</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170F80">
    <w:pPr>
      <w:tabs>
        <w:tab w:val="center" w:pos="4153"/>
        <w:tab w:val="right" w:pos="8306"/>
      </w:tabs>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992" name="文本框 9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478AA87A">
                          <w:pPr>
                            <w:tabs>
                              <w:tab w:val="center" w:pos="4153"/>
                              <w:tab w:val="right" w:pos="8306"/>
                            </w:tabs>
                            <w:jc w:val="center"/>
                          </w:pPr>
                          <w:r>
                            <w:fldChar w:fldCharType="begin"/>
                          </w:r>
                          <w:r>
                            <w:instrText xml:space="preserve">PAGE   \* MERGEFORMAT</w:instrText>
                          </w:r>
                          <w:r>
                            <w:fldChar w:fldCharType="separate"/>
                          </w:r>
                          <w:r>
                            <w:rPr>
                              <w:lang w:val="zh-CN"/>
                            </w:rPr>
                            <w:t>58</w:t>
                          </w:r>
                          <w:r>
                            <w:fldChar w:fldCharType="end"/>
                          </w:r>
                        </w:p>
                        <w:p w14:paraId="4F015D74"/>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kISOqNAIAAGcEAAAOAAAAAAAAAAEAIAAAAB8BAABkcnMvZTJvRG9jLnhtbFBL&#10;BQYAAAAABgAGAFkBAADFBQAAAAA=&#10;">
              <v:fill on="f" focussize="0,0"/>
              <v:stroke on="f" weight="0.5pt"/>
              <v:imagedata o:title=""/>
              <o:lock v:ext="edit" aspectratio="f"/>
              <v:textbox inset="0mm,0mm,0mm,0mm" style="mso-fit-shape-to-text:t;">
                <w:txbxContent>
                  <w:p w14:paraId="478AA87A">
                    <w:pPr>
                      <w:tabs>
                        <w:tab w:val="center" w:pos="4153"/>
                        <w:tab w:val="right" w:pos="8306"/>
                      </w:tabs>
                      <w:jc w:val="center"/>
                    </w:pPr>
                    <w:r>
                      <w:fldChar w:fldCharType="begin"/>
                    </w:r>
                    <w:r>
                      <w:instrText xml:space="preserve">PAGE   \* MERGEFORMAT</w:instrText>
                    </w:r>
                    <w:r>
                      <w:fldChar w:fldCharType="separate"/>
                    </w:r>
                    <w:r>
                      <w:rPr>
                        <w:lang w:val="zh-CN"/>
                      </w:rPr>
                      <w:t>58</w:t>
                    </w:r>
                    <w:r>
                      <w:fldChar w:fldCharType="end"/>
                    </w:r>
                  </w:p>
                  <w:p w14:paraId="4F015D74"/>
                </w:txbxContent>
              </v:textbox>
            </v:shape>
          </w:pict>
        </mc:Fallback>
      </mc:AlternateContent>
    </w:r>
  </w:p>
  <w:p w14:paraId="3017FB06">
    <w:pPr>
      <w:tabs>
        <w:tab w:val="center" w:pos="4153"/>
        <w:tab w:val="right" w:pos="8306"/>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0D1E0D">
    <w:pPr>
      <w:pBdr>
        <w:bottom w:val="none" w:color="auto" w:sz="0" w:space="0"/>
      </w:pBdr>
      <w:spacing w:line="46" w:lineRule="auto"/>
      <w:ind w:left="0" w:leftChars="0" w:firstLine="0" w:firstLineChars="0"/>
      <w:rPr>
        <w:rFonts w:ascii="Arial"/>
        <w:sz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B89BEA">
    <w:pPr>
      <w:tabs>
        <w:tab w:val="center" w:pos="4153"/>
        <w:tab w:val="right" w:pos="8306"/>
      </w:tabs>
      <w:spacing w:before="120" w:after="120"/>
      <w:ind w:firstLine="360"/>
      <w:jc w:val="right"/>
    </w:pPr>
    <w:r>
      <w:rPr>
        <w:rFonts w:hint="eastAsia"/>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76FBD1">
    <w:pPr>
      <w:pBdr>
        <w:bottom w:val="none" w:color="auto" w:sz="0" w:space="0"/>
      </w:pBdr>
      <w:tabs>
        <w:tab w:val="center" w:pos="4153"/>
        <w:tab w:val="right" w:pos="8306"/>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9D42AFB"/>
    <w:multiLevelType w:val="singleLevel"/>
    <w:tmpl w:val="89D42AFB"/>
    <w:lvl w:ilvl="0" w:tentative="0">
      <w:start w:val="1"/>
      <w:numFmt w:val="decimal"/>
      <w:lvlText w:val="(%1)"/>
      <w:lvlJc w:val="left"/>
      <w:pPr>
        <w:tabs>
          <w:tab w:val="left" w:pos="0"/>
        </w:tabs>
        <w:ind w:left="0" w:firstLine="0"/>
      </w:pPr>
      <w:rPr>
        <w:rFonts w:hint="default"/>
      </w:rPr>
    </w:lvl>
  </w:abstractNum>
  <w:abstractNum w:abstractNumId="1">
    <w:nsid w:val="8C230603"/>
    <w:multiLevelType w:val="singleLevel"/>
    <w:tmpl w:val="8C230603"/>
    <w:lvl w:ilvl="0" w:tentative="0">
      <w:start w:val="1"/>
      <w:numFmt w:val="decimal"/>
      <w:lvlText w:val="(%1)"/>
      <w:lvlJc w:val="left"/>
      <w:pPr>
        <w:tabs>
          <w:tab w:val="left" w:pos="0"/>
        </w:tabs>
        <w:ind w:left="0" w:firstLine="0"/>
      </w:pPr>
      <w:rPr>
        <w:rFonts w:hint="default"/>
      </w:rPr>
    </w:lvl>
  </w:abstractNum>
  <w:abstractNum w:abstractNumId="2">
    <w:nsid w:val="962434C8"/>
    <w:multiLevelType w:val="singleLevel"/>
    <w:tmpl w:val="962434C8"/>
    <w:lvl w:ilvl="0" w:tentative="0">
      <w:start w:val="1"/>
      <w:numFmt w:val="decimal"/>
      <w:lvlText w:val="(%1)"/>
      <w:lvlJc w:val="left"/>
      <w:pPr>
        <w:tabs>
          <w:tab w:val="left" w:pos="0"/>
        </w:tabs>
        <w:ind w:left="0" w:firstLine="0"/>
      </w:pPr>
      <w:rPr>
        <w:rFonts w:hint="default"/>
      </w:rPr>
    </w:lvl>
  </w:abstractNum>
  <w:abstractNum w:abstractNumId="3">
    <w:nsid w:val="9783C766"/>
    <w:multiLevelType w:val="multilevel"/>
    <w:tmpl w:val="9783C766"/>
    <w:lvl w:ilvl="0" w:tentative="0">
      <w:start w:val="1"/>
      <w:numFmt w:val="decimal"/>
      <w:pStyle w:val="3"/>
      <w:suff w:val="space"/>
      <w:lvlText w:val="第%1章 "/>
      <w:lvlJc w:val="left"/>
      <w:pPr>
        <w:tabs>
          <w:tab w:val="left" w:pos="420"/>
        </w:tabs>
        <w:ind w:left="432" w:hanging="432"/>
      </w:pPr>
      <w:rPr>
        <w:rFonts w:hint="default"/>
      </w:rPr>
    </w:lvl>
    <w:lvl w:ilvl="1" w:tentative="0">
      <w:start w:val="1"/>
      <w:numFmt w:val="decimal"/>
      <w:pStyle w:val="4"/>
      <w:isLgl/>
      <w:suff w:val="space"/>
      <w:lvlText w:val="%1.%2"/>
      <w:lvlJc w:val="left"/>
      <w:pPr>
        <w:tabs>
          <w:tab w:val="left" w:pos="420"/>
        </w:tabs>
        <w:ind w:left="575" w:hanging="575"/>
      </w:pPr>
      <w:rPr>
        <w:rFonts w:hint="eastAsia"/>
      </w:rPr>
    </w:lvl>
    <w:lvl w:ilvl="2" w:tentative="0">
      <w:start w:val="1"/>
      <w:numFmt w:val="decimal"/>
      <w:pStyle w:val="5"/>
      <w:isLgl/>
      <w:suff w:val="space"/>
      <w:lvlText w:val="%1.%2.%3"/>
      <w:lvlJc w:val="left"/>
      <w:pPr>
        <w:tabs>
          <w:tab w:val="left" w:pos="420"/>
        </w:tabs>
        <w:ind w:left="720" w:hanging="720"/>
      </w:pPr>
      <w:rPr>
        <w:rFonts w:hint="eastAsia"/>
      </w:rPr>
    </w:lvl>
    <w:lvl w:ilvl="3" w:tentative="0">
      <w:start w:val="1"/>
      <w:numFmt w:val="decimal"/>
      <w:pStyle w:val="6"/>
      <w:isLgl/>
      <w:suff w:val="space"/>
      <w:lvlText w:val="%1.%2.%3.%4"/>
      <w:lvlJc w:val="left"/>
      <w:pPr>
        <w:tabs>
          <w:tab w:val="left" w:pos="420"/>
        </w:tabs>
        <w:ind w:left="1117" w:hanging="864"/>
      </w:pPr>
      <w:rPr>
        <w:rFonts w:hint="eastAsia"/>
      </w:rPr>
    </w:lvl>
    <w:lvl w:ilvl="4" w:tentative="0">
      <w:start w:val="1"/>
      <w:numFmt w:val="decimal"/>
      <w:pStyle w:val="7"/>
      <w:isLgl/>
      <w:suff w:val="space"/>
      <w:lvlText w:val="%1.%2.%3.%4.%5"/>
      <w:lvlJc w:val="left"/>
      <w:pPr>
        <w:tabs>
          <w:tab w:val="left" w:pos="420"/>
        </w:tabs>
        <w:ind w:left="1008" w:hanging="1008"/>
      </w:pPr>
      <w:rPr>
        <w:rFonts w:hint="eastAsia"/>
      </w:rPr>
    </w:lvl>
    <w:lvl w:ilvl="5" w:tentative="0">
      <w:start w:val="1"/>
      <w:numFmt w:val="decimal"/>
      <w:pStyle w:val="8"/>
      <w:isLgl/>
      <w:lvlText w:val="%1.%2.%3.%4.%5.%6."/>
      <w:lvlJc w:val="left"/>
      <w:pPr>
        <w:ind w:left="1151" w:hanging="1151"/>
      </w:pPr>
      <w:rPr>
        <w:rFonts w:hint="eastAsia"/>
      </w:rPr>
    </w:lvl>
    <w:lvl w:ilvl="6" w:tentative="0">
      <w:start w:val="1"/>
      <w:numFmt w:val="decimal"/>
      <w:pStyle w:val="9"/>
      <w:isLgl/>
      <w:lvlText w:val="%1.%2.%3.%4.%5.%6.%7."/>
      <w:lvlJc w:val="left"/>
      <w:pPr>
        <w:ind w:left="1296" w:hanging="1296"/>
      </w:pPr>
      <w:rPr>
        <w:rFonts w:hint="eastAsia"/>
      </w:rPr>
    </w:lvl>
    <w:lvl w:ilvl="7" w:tentative="0">
      <w:start w:val="1"/>
      <w:numFmt w:val="decimal"/>
      <w:pStyle w:val="10"/>
      <w:isLgl/>
      <w:lvlText w:val="%1.%2.%3.%4.%5.%6.%7.%8."/>
      <w:lvlJc w:val="left"/>
      <w:pPr>
        <w:ind w:left="1440" w:hanging="1440"/>
      </w:pPr>
      <w:rPr>
        <w:rFonts w:hint="eastAsia"/>
      </w:rPr>
    </w:lvl>
    <w:lvl w:ilvl="8" w:tentative="0">
      <w:start w:val="1"/>
      <w:numFmt w:val="decimal"/>
      <w:pStyle w:val="11"/>
      <w:isLgl/>
      <w:lvlText w:val="%1.%2.%3.%4.%5.%6.%7.%8.%9."/>
      <w:lvlJc w:val="left"/>
      <w:pPr>
        <w:ind w:left="1583" w:hanging="1583"/>
      </w:pPr>
      <w:rPr>
        <w:rFonts w:hint="eastAsia"/>
      </w:rPr>
    </w:lvl>
  </w:abstractNum>
  <w:abstractNum w:abstractNumId="4">
    <w:nsid w:val="B36D7D94"/>
    <w:multiLevelType w:val="singleLevel"/>
    <w:tmpl w:val="B36D7D94"/>
    <w:lvl w:ilvl="0" w:tentative="0">
      <w:start w:val="1"/>
      <w:numFmt w:val="decimal"/>
      <w:lvlText w:val="%1."/>
      <w:lvlJc w:val="left"/>
      <w:pPr>
        <w:tabs>
          <w:tab w:val="left" w:pos="283"/>
        </w:tabs>
        <w:ind w:left="0" w:firstLine="40"/>
      </w:pPr>
      <w:rPr>
        <w:rFonts w:hint="default"/>
      </w:rPr>
    </w:lvl>
  </w:abstractNum>
  <w:abstractNum w:abstractNumId="5">
    <w:nsid w:val="BDEC1BD4"/>
    <w:multiLevelType w:val="singleLevel"/>
    <w:tmpl w:val="BDEC1BD4"/>
    <w:lvl w:ilvl="0" w:tentative="0">
      <w:start w:val="1"/>
      <w:numFmt w:val="decimal"/>
      <w:lvlText w:val="(%1)"/>
      <w:lvlJc w:val="left"/>
      <w:pPr>
        <w:tabs>
          <w:tab w:val="left" w:pos="0"/>
        </w:tabs>
        <w:ind w:left="0" w:firstLine="0"/>
      </w:pPr>
      <w:rPr>
        <w:rFonts w:hint="default"/>
      </w:rPr>
    </w:lvl>
  </w:abstractNum>
  <w:abstractNum w:abstractNumId="6">
    <w:nsid w:val="D1A6F52E"/>
    <w:multiLevelType w:val="multilevel"/>
    <w:tmpl w:val="D1A6F52E"/>
    <w:lvl w:ilvl="0" w:tentative="0">
      <w:start w:val="4"/>
      <w:numFmt w:val="decimal"/>
      <w:lvlText w:val="%1."/>
      <w:lvlJc w:val="left"/>
      <w:pPr>
        <w:ind w:left="425" w:hanging="425"/>
      </w:pPr>
      <w:rPr>
        <w:rFonts w:hint="default" w:ascii="宋体" w:hAnsi="宋体" w:eastAsia="宋体" w:cs="宋体"/>
      </w:rPr>
    </w:lvl>
    <w:lvl w:ilvl="1" w:tentative="0">
      <w:start w:val="5"/>
      <w:numFmt w:val="decimal"/>
      <w:lvlText w:val="%1.%2."/>
      <w:lvlJc w:val="left"/>
      <w:pPr>
        <w:ind w:left="567" w:hanging="567"/>
      </w:pPr>
      <w:rPr>
        <w:rFonts w:hint="default" w:ascii="宋体" w:hAnsi="宋体" w:eastAsia="宋体" w:cs="宋体"/>
      </w:rPr>
    </w:lvl>
    <w:lvl w:ilvl="2" w:tentative="0">
      <w:start w:val="1"/>
      <w:numFmt w:val="decimal"/>
      <w:suff w:val="nothing"/>
      <w:lvlText w:val="%1.%2.%3."/>
      <w:lvlJc w:val="left"/>
      <w:pPr>
        <w:tabs>
          <w:tab w:val="left" w:pos="0"/>
        </w:tabs>
        <w:ind w:left="0" w:firstLine="0"/>
      </w:pPr>
      <w:rPr>
        <w:rFonts w:hint="default" w:ascii="宋体" w:hAnsi="宋体" w:eastAsia="宋体" w:cs="宋体"/>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7">
    <w:nsid w:val="D256D104"/>
    <w:multiLevelType w:val="singleLevel"/>
    <w:tmpl w:val="D256D104"/>
    <w:lvl w:ilvl="0" w:tentative="0">
      <w:start w:val="1"/>
      <w:numFmt w:val="decimal"/>
      <w:suff w:val="nothing"/>
      <w:lvlText w:val="(%1)"/>
      <w:lvlJc w:val="left"/>
      <w:pPr>
        <w:tabs>
          <w:tab w:val="left" w:pos="0"/>
        </w:tabs>
        <w:ind w:left="0" w:firstLine="0"/>
      </w:pPr>
      <w:rPr>
        <w:rFonts w:hint="default"/>
      </w:rPr>
    </w:lvl>
  </w:abstractNum>
  <w:abstractNum w:abstractNumId="8">
    <w:nsid w:val="D75AC5D4"/>
    <w:multiLevelType w:val="singleLevel"/>
    <w:tmpl w:val="D75AC5D4"/>
    <w:lvl w:ilvl="0" w:tentative="0">
      <w:start w:val="1"/>
      <w:numFmt w:val="decimal"/>
      <w:lvlText w:val="(%1)"/>
      <w:lvlJc w:val="left"/>
      <w:pPr>
        <w:tabs>
          <w:tab w:val="left" w:pos="0"/>
        </w:tabs>
        <w:ind w:left="0" w:firstLine="0"/>
      </w:pPr>
      <w:rPr>
        <w:rFonts w:hint="default"/>
      </w:rPr>
    </w:lvl>
  </w:abstractNum>
  <w:abstractNum w:abstractNumId="9">
    <w:nsid w:val="D78B96FE"/>
    <w:multiLevelType w:val="singleLevel"/>
    <w:tmpl w:val="D78B96FE"/>
    <w:lvl w:ilvl="0" w:tentative="0">
      <w:start w:val="1"/>
      <w:numFmt w:val="decimal"/>
      <w:lvlText w:val="(%1)"/>
      <w:lvlJc w:val="left"/>
      <w:pPr>
        <w:tabs>
          <w:tab w:val="left" w:pos="0"/>
        </w:tabs>
        <w:ind w:left="0" w:firstLine="0"/>
      </w:pPr>
      <w:rPr>
        <w:rFonts w:hint="default"/>
      </w:rPr>
    </w:lvl>
  </w:abstractNum>
  <w:abstractNum w:abstractNumId="10">
    <w:nsid w:val="DA7CBE22"/>
    <w:multiLevelType w:val="multilevel"/>
    <w:tmpl w:val="DA7CBE22"/>
    <w:lvl w:ilvl="0" w:tentative="0">
      <w:start w:val="5"/>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567" w:hanging="567"/>
      </w:pPr>
      <w:rPr>
        <w:rFonts w:hint="default"/>
      </w:rPr>
    </w:lvl>
    <w:lvl w:ilvl="2" w:tentative="0">
      <w:start w:val="1"/>
      <w:numFmt w:val="decimal"/>
      <w:suff w:val="nothing"/>
      <w:lvlText w:val="%1.%2.%3."/>
      <w:lvlJc w:val="left"/>
      <w:pPr>
        <w:tabs>
          <w:tab w:val="left" w:pos="420"/>
        </w:tabs>
        <w:ind w:left="0" w:firstLine="0"/>
      </w:pPr>
      <w:rPr>
        <w:rFonts w:hint="default" w:ascii="宋体" w:hAnsi="宋体" w:eastAsia="宋体" w:cs="宋体"/>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11">
    <w:nsid w:val="001B489E"/>
    <w:multiLevelType w:val="multilevel"/>
    <w:tmpl w:val="001B489E"/>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2">
    <w:nsid w:val="02465FA9"/>
    <w:multiLevelType w:val="multilevel"/>
    <w:tmpl w:val="02465FA9"/>
    <w:lvl w:ilvl="0" w:tentative="0">
      <w:start w:val="1"/>
      <w:numFmt w:val="decimal"/>
      <w:suff w:val="space"/>
      <w:lvlText w:val="%1）"/>
      <w:lvlJc w:val="right"/>
      <w:pPr>
        <w:ind w:left="420" w:hanging="420"/>
      </w:pPr>
      <w:rPr>
        <w:rFonts w:hint="eastAsia"/>
      </w:rPr>
    </w:lvl>
    <w:lvl w:ilvl="1" w:tentative="0">
      <w:start w:val="1"/>
      <w:numFmt w:val="lowerLetter"/>
      <w:lvlText w:val="%2)"/>
      <w:lvlJc w:val="left"/>
      <w:pPr>
        <w:ind w:left="1407" w:hanging="420"/>
      </w:pPr>
    </w:lvl>
    <w:lvl w:ilvl="2" w:tentative="0">
      <w:start w:val="1"/>
      <w:numFmt w:val="lowerRoman"/>
      <w:lvlText w:val="%3."/>
      <w:lvlJc w:val="right"/>
      <w:pPr>
        <w:ind w:left="1827" w:hanging="420"/>
      </w:pPr>
    </w:lvl>
    <w:lvl w:ilvl="3" w:tentative="0">
      <w:start w:val="1"/>
      <w:numFmt w:val="decimal"/>
      <w:lvlText w:val="%4."/>
      <w:lvlJc w:val="left"/>
      <w:pPr>
        <w:ind w:left="2247" w:hanging="420"/>
      </w:pPr>
    </w:lvl>
    <w:lvl w:ilvl="4" w:tentative="0">
      <w:start w:val="1"/>
      <w:numFmt w:val="lowerLetter"/>
      <w:lvlText w:val="%5)"/>
      <w:lvlJc w:val="left"/>
      <w:pPr>
        <w:ind w:left="2667" w:hanging="420"/>
      </w:pPr>
    </w:lvl>
    <w:lvl w:ilvl="5" w:tentative="0">
      <w:start w:val="1"/>
      <w:numFmt w:val="lowerRoman"/>
      <w:lvlText w:val="%6."/>
      <w:lvlJc w:val="right"/>
      <w:pPr>
        <w:ind w:left="3087" w:hanging="420"/>
      </w:pPr>
    </w:lvl>
    <w:lvl w:ilvl="6" w:tentative="0">
      <w:start w:val="1"/>
      <w:numFmt w:val="decimal"/>
      <w:lvlText w:val="%7."/>
      <w:lvlJc w:val="left"/>
      <w:pPr>
        <w:ind w:left="3507" w:hanging="420"/>
      </w:pPr>
    </w:lvl>
    <w:lvl w:ilvl="7" w:tentative="0">
      <w:start w:val="1"/>
      <w:numFmt w:val="lowerLetter"/>
      <w:lvlText w:val="%8)"/>
      <w:lvlJc w:val="left"/>
      <w:pPr>
        <w:ind w:left="3927" w:hanging="420"/>
      </w:pPr>
    </w:lvl>
    <w:lvl w:ilvl="8" w:tentative="0">
      <w:start w:val="1"/>
      <w:numFmt w:val="lowerRoman"/>
      <w:lvlText w:val="%9."/>
      <w:lvlJc w:val="right"/>
      <w:pPr>
        <w:ind w:left="4347" w:hanging="420"/>
      </w:pPr>
    </w:lvl>
  </w:abstractNum>
  <w:abstractNum w:abstractNumId="13">
    <w:nsid w:val="074B6C1F"/>
    <w:multiLevelType w:val="multilevel"/>
    <w:tmpl w:val="074B6C1F"/>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4">
    <w:nsid w:val="093723B4"/>
    <w:multiLevelType w:val="multilevel"/>
    <w:tmpl w:val="093723B4"/>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5">
    <w:nsid w:val="09757171"/>
    <w:multiLevelType w:val="multilevel"/>
    <w:tmpl w:val="09757171"/>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6">
    <w:nsid w:val="0EC0B889"/>
    <w:multiLevelType w:val="singleLevel"/>
    <w:tmpl w:val="0EC0B889"/>
    <w:lvl w:ilvl="0" w:tentative="0">
      <w:start w:val="1"/>
      <w:numFmt w:val="decimal"/>
      <w:suff w:val="nothing"/>
      <w:lvlText w:val="（%1）"/>
      <w:lvlJc w:val="left"/>
    </w:lvl>
  </w:abstractNum>
  <w:abstractNum w:abstractNumId="17">
    <w:nsid w:val="15E82AC0"/>
    <w:multiLevelType w:val="multilevel"/>
    <w:tmpl w:val="15E82AC0"/>
    <w:lvl w:ilvl="0" w:tentative="0">
      <w:start w:val="1"/>
      <w:numFmt w:val="lowerLetter"/>
      <w:lvlText w:val="%1)"/>
      <w:lvlJc w:val="left"/>
      <w:pPr>
        <w:ind w:left="1320" w:hanging="420"/>
      </w:pPr>
      <w:rPr>
        <w:rFonts w:hint="eastAsia" w:cs="Times New Roman"/>
      </w:rPr>
    </w:lvl>
    <w:lvl w:ilvl="1" w:tentative="0">
      <w:start w:val="1"/>
      <w:numFmt w:val="lowerLetter"/>
      <w:lvlText w:val="%2)"/>
      <w:lvlJc w:val="left"/>
      <w:pPr>
        <w:ind w:left="-506" w:hanging="420"/>
      </w:pPr>
    </w:lvl>
    <w:lvl w:ilvl="2" w:tentative="0">
      <w:start w:val="1"/>
      <w:numFmt w:val="lowerRoman"/>
      <w:lvlText w:val="%3."/>
      <w:lvlJc w:val="right"/>
      <w:pPr>
        <w:ind w:left="-86" w:hanging="420"/>
      </w:pPr>
    </w:lvl>
    <w:lvl w:ilvl="3" w:tentative="0">
      <w:start w:val="1"/>
      <w:numFmt w:val="decimal"/>
      <w:lvlText w:val="%4."/>
      <w:lvlJc w:val="left"/>
      <w:pPr>
        <w:ind w:left="334" w:hanging="420"/>
      </w:pPr>
    </w:lvl>
    <w:lvl w:ilvl="4" w:tentative="0">
      <w:start w:val="1"/>
      <w:numFmt w:val="lowerLetter"/>
      <w:lvlText w:val="%5)"/>
      <w:lvlJc w:val="left"/>
      <w:pPr>
        <w:ind w:left="754" w:hanging="420"/>
      </w:pPr>
    </w:lvl>
    <w:lvl w:ilvl="5" w:tentative="0">
      <w:start w:val="1"/>
      <w:numFmt w:val="lowerRoman"/>
      <w:lvlText w:val="%6."/>
      <w:lvlJc w:val="right"/>
      <w:pPr>
        <w:ind w:left="1174" w:hanging="420"/>
      </w:pPr>
    </w:lvl>
    <w:lvl w:ilvl="6" w:tentative="0">
      <w:start w:val="1"/>
      <w:numFmt w:val="decimal"/>
      <w:lvlText w:val="%7."/>
      <w:lvlJc w:val="left"/>
      <w:pPr>
        <w:ind w:left="1594" w:hanging="420"/>
      </w:pPr>
    </w:lvl>
    <w:lvl w:ilvl="7" w:tentative="0">
      <w:start w:val="1"/>
      <w:numFmt w:val="lowerLetter"/>
      <w:lvlText w:val="%8)"/>
      <w:lvlJc w:val="left"/>
      <w:pPr>
        <w:ind w:left="2014" w:hanging="420"/>
      </w:pPr>
    </w:lvl>
    <w:lvl w:ilvl="8" w:tentative="0">
      <w:start w:val="1"/>
      <w:numFmt w:val="lowerRoman"/>
      <w:lvlText w:val="%9."/>
      <w:lvlJc w:val="right"/>
      <w:pPr>
        <w:ind w:left="2434" w:hanging="420"/>
      </w:pPr>
    </w:lvl>
  </w:abstractNum>
  <w:abstractNum w:abstractNumId="18">
    <w:nsid w:val="18BF0027"/>
    <w:multiLevelType w:val="multilevel"/>
    <w:tmpl w:val="18BF0027"/>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9">
    <w:nsid w:val="1A1C4DE8"/>
    <w:multiLevelType w:val="multilevel"/>
    <w:tmpl w:val="1A1C4DE8"/>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0">
    <w:nsid w:val="1C7317F5"/>
    <w:multiLevelType w:val="multilevel"/>
    <w:tmpl w:val="1C7317F5"/>
    <w:lvl w:ilvl="0" w:tentative="0">
      <w:start w:val="1"/>
      <w:numFmt w:val="decimal"/>
      <w:suff w:val="nothing"/>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1">
    <w:nsid w:val="1EAC755D"/>
    <w:multiLevelType w:val="multilevel"/>
    <w:tmpl w:val="1EAC755D"/>
    <w:lvl w:ilvl="0" w:tentative="0">
      <w:start w:val="4"/>
      <w:numFmt w:val="decimal"/>
      <w:lvlText w:val="%1."/>
      <w:lvlJc w:val="left"/>
      <w:pPr>
        <w:ind w:left="425" w:hanging="425"/>
      </w:pPr>
      <w:rPr>
        <w:rFonts w:hint="default"/>
      </w:rPr>
    </w:lvl>
    <w:lvl w:ilvl="1" w:tentative="0">
      <w:start w:val="1"/>
      <w:numFmt w:val="decimal"/>
      <w:suff w:val="nothing"/>
      <w:lvlText w:val="%1.%2."/>
      <w:lvlJc w:val="left"/>
      <w:pPr>
        <w:tabs>
          <w:tab w:val="left" w:pos="0"/>
        </w:tabs>
        <w:ind w:left="0" w:firstLine="0"/>
      </w:pPr>
      <w:rPr>
        <w:rFonts w:hint="default" w:ascii="宋体" w:hAnsi="宋体" w:eastAsia="宋体" w:cs="宋体"/>
      </w:rPr>
    </w:lvl>
    <w:lvl w:ilvl="2" w:tentative="0">
      <w:start w:val="1"/>
      <w:numFmt w:val="decimal"/>
      <w:lvlText w:val="%1.%2.%3."/>
      <w:lvlJc w:val="left"/>
      <w:pPr>
        <w:tabs>
          <w:tab w:val="left" w:pos="0"/>
        </w:tabs>
        <w:ind w:left="709" w:hanging="709"/>
      </w:pPr>
      <w:rPr>
        <w:rFonts w:hint="default" w:ascii="宋体" w:hAnsi="宋体" w:eastAsia="宋体" w:cs="宋体"/>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22">
    <w:nsid w:val="20650996"/>
    <w:multiLevelType w:val="multilevel"/>
    <w:tmpl w:val="20650996"/>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3">
    <w:nsid w:val="2253554F"/>
    <w:multiLevelType w:val="singleLevel"/>
    <w:tmpl w:val="2253554F"/>
    <w:lvl w:ilvl="0" w:tentative="0">
      <w:start w:val="1"/>
      <w:numFmt w:val="decimal"/>
      <w:suff w:val="nothing"/>
      <w:lvlText w:val="（%1）"/>
      <w:lvlJc w:val="left"/>
    </w:lvl>
  </w:abstractNum>
  <w:abstractNum w:abstractNumId="24">
    <w:nsid w:val="250A3B3F"/>
    <w:multiLevelType w:val="multilevel"/>
    <w:tmpl w:val="250A3B3F"/>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5">
    <w:nsid w:val="25A1536D"/>
    <w:multiLevelType w:val="multilevel"/>
    <w:tmpl w:val="25A1536D"/>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6">
    <w:nsid w:val="281A3868"/>
    <w:multiLevelType w:val="multilevel"/>
    <w:tmpl w:val="281A3868"/>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7">
    <w:nsid w:val="288DE934"/>
    <w:multiLevelType w:val="singleLevel"/>
    <w:tmpl w:val="288DE934"/>
    <w:lvl w:ilvl="0" w:tentative="0">
      <w:start w:val="1"/>
      <w:numFmt w:val="decimal"/>
      <w:lvlText w:val="(%1)"/>
      <w:lvlJc w:val="left"/>
      <w:pPr>
        <w:tabs>
          <w:tab w:val="left" w:pos="0"/>
        </w:tabs>
        <w:ind w:left="0" w:firstLine="0"/>
      </w:pPr>
      <w:rPr>
        <w:rFonts w:hint="default"/>
      </w:rPr>
    </w:lvl>
  </w:abstractNum>
  <w:abstractNum w:abstractNumId="28">
    <w:nsid w:val="29892178"/>
    <w:multiLevelType w:val="multilevel"/>
    <w:tmpl w:val="29892178"/>
    <w:lvl w:ilvl="0" w:tentative="0">
      <w:start w:val="1"/>
      <w:numFmt w:val="decimal"/>
      <w:lvlText w:val="(%1)"/>
      <w:lvlJc w:val="left"/>
      <w:pPr>
        <w:ind w:left="846" w:hanging="420"/>
      </w:pPr>
      <w:rPr>
        <w:rFonts w:hint="default" w:ascii="宋体" w:hAnsi="宋体" w:eastAsia="宋体"/>
        <w:b w:val="0"/>
        <w:color w:val="auto"/>
        <w:sz w:val="21"/>
        <w:szCs w:val="21"/>
      </w:rPr>
    </w:lvl>
    <w:lvl w:ilvl="1" w:tentative="0">
      <w:start w:val="1"/>
      <w:numFmt w:val="lowerLetter"/>
      <w:lvlText w:val="%2)"/>
      <w:lvlJc w:val="left"/>
      <w:pPr>
        <w:ind w:left="1260" w:hanging="420"/>
      </w:pPr>
      <w:rPr>
        <w:rFonts w:hint="eastAsia"/>
        <w:color w:val="auto"/>
      </w:rPr>
    </w:lvl>
    <w:lvl w:ilvl="2" w:tentative="0">
      <w:start w:val="1"/>
      <w:numFmt w:val="lowerLetter"/>
      <w:lvlText w:val="%3."/>
      <w:lvlJc w:val="left"/>
      <w:pPr>
        <w:ind w:left="1620" w:hanging="360"/>
      </w:pPr>
      <w:rPr>
        <w:rFonts w:hint="default"/>
      </w:rPr>
    </w:lvl>
    <w:lvl w:ilvl="3" w:tentative="0">
      <w:start w:val="1"/>
      <w:numFmt w:val="decimal"/>
      <w:lvlText w:val="%4."/>
      <w:lvlJc w:val="left"/>
      <w:pPr>
        <w:ind w:left="2100" w:hanging="420"/>
      </w:pPr>
      <w:rPr>
        <w:rFonts w:hint="eastAsia"/>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9">
    <w:nsid w:val="2A36211D"/>
    <w:multiLevelType w:val="multilevel"/>
    <w:tmpl w:val="2A36211D"/>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30">
    <w:nsid w:val="2C8110A8"/>
    <w:multiLevelType w:val="multilevel"/>
    <w:tmpl w:val="2C8110A8"/>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31">
    <w:nsid w:val="2E1646D5"/>
    <w:multiLevelType w:val="multilevel"/>
    <w:tmpl w:val="2E1646D5"/>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32">
    <w:nsid w:val="2FFEACBB"/>
    <w:multiLevelType w:val="singleLevel"/>
    <w:tmpl w:val="2FFEACBB"/>
    <w:lvl w:ilvl="0" w:tentative="0">
      <w:start w:val="1"/>
      <w:numFmt w:val="decimal"/>
      <w:lvlText w:val="(%1)"/>
      <w:lvlJc w:val="left"/>
      <w:pPr>
        <w:tabs>
          <w:tab w:val="left" w:pos="0"/>
        </w:tabs>
        <w:ind w:left="0" w:firstLine="0"/>
      </w:pPr>
      <w:rPr>
        <w:rFonts w:hint="default"/>
      </w:rPr>
    </w:lvl>
  </w:abstractNum>
  <w:abstractNum w:abstractNumId="33">
    <w:nsid w:val="30B8433A"/>
    <w:multiLevelType w:val="singleLevel"/>
    <w:tmpl w:val="30B8433A"/>
    <w:lvl w:ilvl="0" w:tentative="0">
      <w:start w:val="1"/>
      <w:numFmt w:val="decimal"/>
      <w:lvlText w:val="%1."/>
      <w:lvlJc w:val="left"/>
      <w:pPr>
        <w:tabs>
          <w:tab w:val="left" w:pos="283"/>
        </w:tabs>
        <w:ind w:left="0" w:firstLine="40"/>
      </w:pPr>
      <w:rPr>
        <w:rFonts w:hint="default"/>
      </w:rPr>
    </w:lvl>
  </w:abstractNum>
  <w:abstractNum w:abstractNumId="34">
    <w:nsid w:val="311645D6"/>
    <w:multiLevelType w:val="multilevel"/>
    <w:tmpl w:val="311645D6"/>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35">
    <w:nsid w:val="31CB63D2"/>
    <w:multiLevelType w:val="multilevel"/>
    <w:tmpl w:val="31CB63D2"/>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36">
    <w:nsid w:val="3212F351"/>
    <w:multiLevelType w:val="singleLevel"/>
    <w:tmpl w:val="3212F351"/>
    <w:lvl w:ilvl="0" w:tentative="0">
      <w:start w:val="1"/>
      <w:numFmt w:val="decimal"/>
      <w:lvlText w:val="%1."/>
      <w:lvlJc w:val="left"/>
      <w:pPr>
        <w:tabs>
          <w:tab w:val="left" w:pos="283"/>
        </w:tabs>
        <w:ind w:left="0" w:firstLine="40"/>
      </w:pPr>
      <w:rPr>
        <w:rFonts w:hint="default"/>
      </w:rPr>
    </w:lvl>
  </w:abstractNum>
  <w:abstractNum w:abstractNumId="37">
    <w:nsid w:val="326B7527"/>
    <w:multiLevelType w:val="multilevel"/>
    <w:tmpl w:val="326B7527"/>
    <w:lvl w:ilvl="0" w:tentative="0">
      <w:start w:val="1"/>
      <w:numFmt w:val="decimal"/>
      <w:suff w:val="space"/>
      <w:lvlText w:val="3.%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8">
    <w:nsid w:val="38F8355B"/>
    <w:multiLevelType w:val="multilevel"/>
    <w:tmpl w:val="38F8355B"/>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39">
    <w:nsid w:val="3A0ED138"/>
    <w:multiLevelType w:val="singleLevel"/>
    <w:tmpl w:val="3A0ED138"/>
    <w:lvl w:ilvl="0" w:tentative="0">
      <w:start w:val="1"/>
      <w:numFmt w:val="decimal"/>
      <w:lvlText w:val="(%1)"/>
      <w:lvlJc w:val="left"/>
      <w:pPr>
        <w:tabs>
          <w:tab w:val="left" w:pos="420"/>
        </w:tabs>
        <w:ind w:left="845" w:hanging="425"/>
      </w:pPr>
      <w:rPr>
        <w:rFonts w:hint="default"/>
      </w:rPr>
    </w:lvl>
  </w:abstractNum>
  <w:abstractNum w:abstractNumId="40">
    <w:nsid w:val="3A557BEC"/>
    <w:multiLevelType w:val="multilevel"/>
    <w:tmpl w:val="3A557BEC"/>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41">
    <w:nsid w:val="3B933F53"/>
    <w:multiLevelType w:val="multilevel"/>
    <w:tmpl w:val="3B933F53"/>
    <w:lvl w:ilvl="0" w:tentative="0">
      <w:start w:val="1"/>
      <w:numFmt w:val="decimal"/>
      <w:suff w:val="space"/>
      <w:lvlText w:val="1.%1."/>
      <w:lvlJc w:val="left"/>
      <w:pPr>
        <w:ind w:left="562"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2">
    <w:nsid w:val="3D580E19"/>
    <w:multiLevelType w:val="multilevel"/>
    <w:tmpl w:val="3D580E19"/>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43">
    <w:nsid w:val="3DBF108C"/>
    <w:multiLevelType w:val="multilevel"/>
    <w:tmpl w:val="3DBF108C"/>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44">
    <w:nsid w:val="43BF5F1B"/>
    <w:multiLevelType w:val="singleLevel"/>
    <w:tmpl w:val="43BF5F1B"/>
    <w:lvl w:ilvl="0" w:tentative="0">
      <w:start w:val="1"/>
      <w:numFmt w:val="decimal"/>
      <w:lvlText w:val="(%1)"/>
      <w:lvlJc w:val="left"/>
      <w:pPr>
        <w:tabs>
          <w:tab w:val="left" w:pos="0"/>
        </w:tabs>
        <w:ind w:left="0" w:firstLine="0"/>
      </w:pPr>
      <w:rPr>
        <w:rFonts w:hint="default"/>
      </w:rPr>
    </w:lvl>
  </w:abstractNum>
  <w:abstractNum w:abstractNumId="45">
    <w:nsid w:val="43F07D99"/>
    <w:multiLevelType w:val="multilevel"/>
    <w:tmpl w:val="43F07D99"/>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46">
    <w:nsid w:val="45F21679"/>
    <w:multiLevelType w:val="multilevel"/>
    <w:tmpl w:val="45F21679"/>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47">
    <w:nsid w:val="46920558"/>
    <w:multiLevelType w:val="multilevel"/>
    <w:tmpl w:val="46920558"/>
    <w:lvl w:ilvl="0" w:tentative="0">
      <w:start w:val="1"/>
      <w:numFmt w:val="decimal"/>
      <w:lvlText w:val="(%1)"/>
      <w:lvlJc w:val="left"/>
      <w:pPr>
        <w:ind w:left="846" w:hanging="420"/>
      </w:pPr>
      <w:rPr>
        <w:rFonts w:hint="default" w:ascii="宋体" w:hAnsi="宋体" w:eastAsia="宋体"/>
        <w:b w:val="0"/>
        <w:color w:val="auto"/>
        <w:sz w:val="21"/>
        <w:szCs w:val="21"/>
      </w:rPr>
    </w:lvl>
    <w:lvl w:ilvl="1" w:tentative="0">
      <w:start w:val="1"/>
      <w:numFmt w:val="lowerLetter"/>
      <w:lvlText w:val="%2)"/>
      <w:lvlJc w:val="left"/>
      <w:pPr>
        <w:ind w:left="1260" w:hanging="420"/>
      </w:pPr>
      <w:rPr>
        <w:rFonts w:hint="eastAsia"/>
        <w:color w:val="auto"/>
      </w:rPr>
    </w:lvl>
    <w:lvl w:ilvl="2" w:tentative="0">
      <w:start w:val="1"/>
      <w:numFmt w:val="lowerLetter"/>
      <w:lvlText w:val="%3."/>
      <w:lvlJc w:val="left"/>
      <w:pPr>
        <w:ind w:left="1620" w:hanging="360"/>
      </w:pPr>
      <w:rPr>
        <w:rFonts w:hint="default"/>
      </w:rPr>
    </w:lvl>
    <w:lvl w:ilvl="3" w:tentative="0">
      <w:start w:val="1"/>
      <w:numFmt w:val="decimal"/>
      <w:lvlText w:val="%4."/>
      <w:lvlJc w:val="left"/>
      <w:pPr>
        <w:ind w:left="2100" w:hanging="420"/>
      </w:pPr>
      <w:rPr>
        <w:rFonts w:hint="eastAsia"/>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48">
    <w:nsid w:val="469B6886"/>
    <w:multiLevelType w:val="multilevel"/>
    <w:tmpl w:val="469B6886"/>
    <w:lvl w:ilvl="0" w:tentative="0">
      <w:start w:val="1"/>
      <w:numFmt w:val="decimal"/>
      <w:lvlText w:val="(%1)"/>
      <w:lvlJc w:val="left"/>
      <w:pPr>
        <w:ind w:left="846" w:hanging="420"/>
      </w:pPr>
      <w:rPr>
        <w:rFonts w:hint="default" w:ascii="宋体" w:hAnsi="宋体" w:eastAsia="宋体"/>
        <w:b w:val="0"/>
        <w:color w:val="auto"/>
        <w:sz w:val="21"/>
        <w:szCs w:val="21"/>
      </w:rPr>
    </w:lvl>
    <w:lvl w:ilvl="1" w:tentative="0">
      <w:start w:val="1"/>
      <w:numFmt w:val="lowerLetter"/>
      <w:lvlText w:val="%2)"/>
      <w:lvlJc w:val="left"/>
      <w:pPr>
        <w:ind w:left="1260" w:hanging="420"/>
      </w:pPr>
      <w:rPr>
        <w:rFonts w:hint="eastAsia"/>
        <w:color w:val="auto"/>
      </w:rPr>
    </w:lvl>
    <w:lvl w:ilvl="2" w:tentative="0">
      <w:start w:val="1"/>
      <w:numFmt w:val="lowerLetter"/>
      <w:lvlText w:val="%3."/>
      <w:lvlJc w:val="left"/>
      <w:pPr>
        <w:ind w:left="1620" w:hanging="360"/>
      </w:pPr>
      <w:rPr>
        <w:rFonts w:hint="default"/>
      </w:rPr>
    </w:lvl>
    <w:lvl w:ilvl="3" w:tentative="0">
      <w:start w:val="1"/>
      <w:numFmt w:val="decimal"/>
      <w:lvlText w:val="%4."/>
      <w:lvlJc w:val="left"/>
      <w:pPr>
        <w:ind w:left="2100" w:hanging="420"/>
      </w:pPr>
      <w:rPr>
        <w:rFonts w:hint="eastAsia"/>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49">
    <w:nsid w:val="47012DB6"/>
    <w:multiLevelType w:val="multilevel"/>
    <w:tmpl w:val="47012DB6"/>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50">
    <w:nsid w:val="48442D6C"/>
    <w:multiLevelType w:val="multilevel"/>
    <w:tmpl w:val="48442D6C"/>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51">
    <w:nsid w:val="49271D63"/>
    <w:multiLevelType w:val="multilevel"/>
    <w:tmpl w:val="49271D63"/>
    <w:lvl w:ilvl="0" w:tentative="0">
      <w:start w:val="1"/>
      <w:numFmt w:val="decimal"/>
      <w:suff w:val="nothing"/>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52">
    <w:nsid w:val="49C13A7E"/>
    <w:multiLevelType w:val="multilevel"/>
    <w:tmpl w:val="49C13A7E"/>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53">
    <w:nsid w:val="4A1B2A2B"/>
    <w:multiLevelType w:val="multilevel"/>
    <w:tmpl w:val="4A1B2A2B"/>
    <w:lvl w:ilvl="0" w:tentative="0">
      <w:start w:val="1"/>
      <w:numFmt w:val="decimal"/>
      <w:suff w:val="space"/>
      <w:lvlText w:val="2.%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4">
    <w:nsid w:val="4C4D3A86"/>
    <w:multiLevelType w:val="multilevel"/>
    <w:tmpl w:val="4C4D3A86"/>
    <w:lvl w:ilvl="0" w:tentative="0">
      <w:start w:val="1"/>
      <w:numFmt w:val="decimal"/>
      <w:lvlText w:val="%1."/>
      <w:lvlJc w:val="left"/>
      <w:pPr>
        <w:tabs>
          <w:tab w:val="left" w:pos="312"/>
        </w:tabs>
        <w:ind w:left="0" w:leftChars="0" w:firstLine="0" w:firstLineChars="0"/>
      </w:pPr>
      <w:rPr>
        <w:rFonts w:hint="default"/>
      </w:rPr>
    </w:lvl>
    <w:lvl w:ilvl="1" w:tentative="0">
      <w:start w:val="1"/>
      <w:numFmt w:val="decimal"/>
      <w:lvlText w:val="%1.%2."/>
      <w:lvlJc w:val="left"/>
      <w:pPr>
        <w:tabs>
          <w:tab w:val="left" w:pos="312"/>
        </w:tabs>
        <w:ind w:left="0" w:leftChars="0" w:firstLine="0" w:firstLineChars="0"/>
      </w:pPr>
      <w:rPr>
        <w:rFonts w:hint="default"/>
      </w:rPr>
    </w:lvl>
    <w:lvl w:ilvl="2" w:tentative="0">
      <w:start w:val="1"/>
      <w:numFmt w:val="decimal"/>
      <w:lvlText w:val="%1.%2.%3."/>
      <w:lvlJc w:val="left"/>
      <w:pPr>
        <w:tabs>
          <w:tab w:val="left" w:pos="312"/>
        </w:tabs>
        <w:ind w:left="0" w:leftChars="0" w:firstLine="0" w:firstLineChars="0"/>
      </w:pPr>
      <w:rPr>
        <w:rFonts w:hint="default"/>
      </w:rPr>
    </w:lvl>
    <w:lvl w:ilvl="3" w:tentative="0">
      <w:start w:val="1"/>
      <w:numFmt w:val="decimal"/>
      <w:lvlText w:val="%1.%2.%3.%4."/>
      <w:lvlJc w:val="left"/>
      <w:pPr>
        <w:tabs>
          <w:tab w:val="left" w:pos="312"/>
        </w:tabs>
        <w:ind w:left="0" w:leftChars="0" w:firstLine="0" w:firstLineChars="0"/>
      </w:pPr>
      <w:rPr>
        <w:rFonts w:hint="default"/>
      </w:rPr>
    </w:lvl>
    <w:lvl w:ilvl="4" w:tentative="0">
      <w:start w:val="1"/>
      <w:numFmt w:val="decimal"/>
      <w:lvlText w:val="%1.%2.%3.%4.%5."/>
      <w:lvlJc w:val="left"/>
      <w:pPr>
        <w:tabs>
          <w:tab w:val="left" w:pos="312"/>
        </w:tabs>
        <w:ind w:left="0" w:leftChars="0" w:firstLine="0" w:firstLineChars="0"/>
      </w:pPr>
      <w:rPr>
        <w:rFonts w:hint="default"/>
      </w:rPr>
    </w:lvl>
    <w:lvl w:ilvl="5" w:tentative="0">
      <w:start w:val="1"/>
      <w:numFmt w:val="decimal"/>
      <w:lvlText w:val="%1.%2.%3.%4.%5.%6."/>
      <w:lvlJc w:val="left"/>
      <w:pPr>
        <w:tabs>
          <w:tab w:val="left" w:pos="312"/>
        </w:tabs>
        <w:ind w:left="0" w:leftChars="0" w:firstLine="0" w:firstLineChars="0"/>
      </w:pPr>
      <w:rPr>
        <w:rFonts w:hint="default"/>
      </w:rPr>
    </w:lvl>
    <w:lvl w:ilvl="6" w:tentative="0">
      <w:start w:val="1"/>
      <w:numFmt w:val="decimal"/>
      <w:lvlText w:val="%1.%2.%3.%4.%5.%6.%7."/>
      <w:lvlJc w:val="left"/>
      <w:pPr>
        <w:tabs>
          <w:tab w:val="left" w:pos="312"/>
        </w:tabs>
        <w:ind w:left="0" w:leftChars="0" w:firstLine="0" w:firstLineChars="0"/>
      </w:pPr>
      <w:rPr>
        <w:rFonts w:hint="default"/>
      </w:rPr>
    </w:lvl>
    <w:lvl w:ilvl="7" w:tentative="0">
      <w:start w:val="1"/>
      <w:numFmt w:val="decimal"/>
      <w:lvlText w:val="%1.%2.%3.%4.%5.%6.%7.%8."/>
      <w:lvlJc w:val="left"/>
      <w:pPr>
        <w:tabs>
          <w:tab w:val="left" w:pos="312"/>
        </w:tabs>
        <w:ind w:left="0" w:leftChars="0" w:firstLine="0" w:firstLineChars="0"/>
      </w:pPr>
      <w:rPr>
        <w:rFonts w:hint="default"/>
      </w:rPr>
    </w:lvl>
    <w:lvl w:ilvl="8" w:tentative="0">
      <w:start w:val="1"/>
      <w:numFmt w:val="decimal"/>
      <w:lvlText w:val="%1.%2.%3.%4.%5.%6.%7.%8.%9."/>
      <w:lvlJc w:val="left"/>
      <w:pPr>
        <w:tabs>
          <w:tab w:val="left" w:pos="312"/>
        </w:tabs>
        <w:ind w:left="0" w:leftChars="0" w:firstLine="0" w:firstLineChars="0"/>
      </w:pPr>
      <w:rPr>
        <w:rFonts w:hint="default"/>
      </w:rPr>
    </w:lvl>
  </w:abstractNum>
  <w:abstractNum w:abstractNumId="55">
    <w:nsid w:val="4DB01D48"/>
    <w:multiLevelType w:val="multilevel"/>
    <w:tmpl w:val="4DB01D48"/>
    <w:lvl w:ilvl="0" w:tentative="0">
      <w:start w:val="1"/>
      <w:numFmt w:val="decimal"/>
      <w:suff w:val="nothing"/>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56">
    <w:nsid w:val="4E9041B1"/>
    <w:multiLevelType w:val="multilevel"/>
    <w:tmpl w:val="4E9041B1"/>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57">
    <w:nsid w:val="4FAD57F1"/>
    <w:multiLevelType w:val="multilevel"/>
    <w:tmpl w:val="4FAD57F1"/>
    <w:lvl w:ilvl="0" w:tentative="0">
      <w:start w:val="1"/>
      <w:numFmt w:val="decimal"/>
      <w:pStyle w:val="33"/>
      <w:lvlText w:val="8.17.%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8">
    <w:nsid w:val="50296828"/>
    <w:multiLevelType w:val="multilevel"/>
    <w:tmpl w:val="50296828"/>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59">
    <w:nsid w:val="52D3368A"/>
    <w:multiLevelType w:val="multilevel"/>
    <w:tmpl w:val="52D3368A"/>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60">
    <w:nsid w:val="532A2FCA"/>
    <w:multiLevelType w:val="multilevel"/>
    <w:tmpl w:val="532A2FCA"/>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61">
    <w:nsid w:val="539A03AB"/>
    <w:multiLevelType w:val="multilevel"/>
    <w:tmpl w:val="539A03AB"/>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62">
    <w:nsid w:val="55AF6935"/>
    <w:multiLevelType w:val="multilevel"/>
    <w:tmpl w:val="55AF6935"/>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63">
    <w:nsid w:val="59C40165"/>
    <w:multiLevelType w:val="multilevel"/>
    <w:tmpl w:val="59C40165"/>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64">
    <w:nsid w:val="5A44E42C"/>
    <w:multiLevelType w:val="singleLevel"/>
    <w:tmpl w:val="5A44E42C"/>
    <w:lvl w:ilvl="0" w:tentative="0">
      <w:start w:val="1"/>
      <w:numFmt w:val="decimal"/>
      <w:lvlText w:val="(%1)"/>
      <w:lvlJc w:val="left"/>
      <w:pPr>
        <w:tabs>
          <w:tab w:val="left" w:pos="0"/>
        </w:tabs>
        <w:ind w:left="0" w:firstLine="0"/>
      </w:pPr>
      <w:rPr>
        <w:rFonts w:hint="default"/>
      </w:rPr>
    </w:lvl>
  </w:abstractNum>
  <w:abstractNum w:abstractNumId="65">
    <w:nsid w:val="5D666DF9"/>
    <w:multiLevelType w:val="multilevel"/>
    <w:tmpl w:val="5D666DF9"/>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66">
    <w:nsid w:val="6070749B"/>
    <w:multiLevelType w:val="multilevel"/>
    <w:tmpl w:val="6070749B"/>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67">
    <w:nsid w:val="61024500"/>
    <w:multiLevelType w:val="multilevel"/>
    <w:tmpl w:val="61024500"/>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68">
    <w:nsid w:val="6205B0F8"/>
    <w:multiLevelType w:val="singleLevel"/>
    <w:tmpl w:val="6205B0F8"/>
    <w:lvl w:ilvl="0" w:tentative="0">
      <w:start w:val="1"/>
      <w:numFmt w:val="decimal"/>
      <w:lvlText w:val="(%1)"/>
      <w:lvlJc w:val="left"/>
      <w:pPr>
        <w:tabs>
          <w:tab w:val="left" w:pos="420"/>
        </w:tabs>
        <w:ind w:left="845" w:hanging="425"/>
      </w:pPr>
      <w:rPr>
        <w:rFonts w:hint="default"/>
      </w:rPr>
    </w:lvl>
  </w:abstractNum>
  <w:abstractNum w:abstractNumId="69">
    <w:nsid w:val="679F7DC9"/>
    <w:multiLevelType w:val="multilevel"/>
    <w:tmpl w:val="679F7DC9"/>
    <w:lvl w:ilvl="0" w:tentative="0">
      <w:start w:val="1"/>
      <w:numFmt w:val="decimal"/>
      <w:suff w:val="space"/>
      <w:lvlText w:val="5.%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0">
    <w:nsid w:val="67A03ABD"/>
    <w:multiLevelType w:val="multilevel"/>
    <w:tmpl w:val="67A03ABD"/>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71">
    <w:nsid w:val="6A8D649E"/>
    <w:multiLevelType w:val="multilevel"/>
    <w:tmpl w:val="6A8D649E"/>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72">
    <w:nsid w:val="6B8067F2"/>
    <w:multiLevelType w:val="multilevel"/>
    <w:tmpl w:val="6B8067F2"/>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73">
    <w:nsid w:val="6CD754A3"/>
    <w:multiLevelType w:val="multilevel"/>
    <w:tmpl w:val="6CD754A3"/>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74">
    <w:nsid w:val="767ED530"/>
    <w:multiLevelType w:val="singleLevel"/>
    <w:tmpl w:val="767ED530"/>
    <w:lvl w:ilvl="0" w:tentative="0">
      <w:start w:val="1"/>
      <w:numFmt w:val="decimal"/>
      <w:suff w:val="nothing"/>
      <w:lvlText w:val="(%1)"/>
      <w:lvlJc w:val="left"/>
      <w:pPr>
        <w:tabs>
          <w:tab w:val="left" w:pos="0"/>
        </w:tabs>
        <w:ind w:left="0" w:firstLine="0"/>
      </w:pPr>
      <w:rPr>
        <w:rFonts w:hint="default"/>
      </w:rPr>
    </w:lvl>
  </w:abstractNum>
  <w:abstractNum w:abstractNumId="75">
    <w:nsid w:val="786F0BA2"/>
    <w:multiLevelType w:val="multilevel"/>
    <w:tmpl w:val="786F0BA2"/>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76">
    <w:nsid w:val="79243621"/>
    <w:multiLevelType w:val="multilevel"/>
    <w:tmpl w:val="79243621"/>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77">
    <w:nsid w:val="7AA01E5E"/>
    <w:multiLevelType w:val="multilevel"/>
    <w:tmpl w:val="7AA01E5E"/>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78">
    <w:nsid w:val="7CA527B9"/>
    <w:multiLevelType w:val="multilevel"/>
    <w:tmpl w:val="7CA527B9"/>
    <w:lvl w:ilvl="0" w:tentative="0">
      <w:start w:val="1"/>
      <w:numFmt w:val="decimal"/>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3"/>
  </w:num>
  <w:num w:numId="2">
    <w:abstractNumId w:val="57"/>
  </w:num>
  <w:num w:numId="3">
    <w:abstractNumId w:val="41"/>
  </w:num>
  <w:num w:numId="4">
    <w:abstractNumId w:val="54"/>
  </w:num>
  <w:num w:numId="5">
    <w:abstractNumId w:val="53"/>
  </w:num>
  <w:num w:numId="6">
    <w:abstractNumId w:val="16"/>
  </w:num>
  <w:num w:numId="7">
    <w:abstractNumId w:val="33"/>
  </w:num>
  <w:num w:numId="8">
    <w:abstractNumId w:val="37"/>
  </w:num>
  <w:num w:numId="9">
    <w:abstractNumId w:val="21"/>
  </w:num>
  <w:num w:numId="10">
    <w:abstractNumId w:val="6"/>
  </w:num>
  <w:num w:numId="11">
    <w:abstractNumId w:val="69"/>
  </w:num>
  <w:num w:numId="12">
    <w:abstractNumId w:val="10"/>
  </w:num>
  <w:num w:numId="13">
    <w:abstractNumId w:val="1"/>
  </w:num>
  <w:num w:numId="14">
    <w:abstractNumId w:val="4"/>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num>
  <w:num w:numId="17">
    <w:abstractNumId w:val="7"/>
  </w:num>
  <w:num w:numId="18">
    <w:abstractNumId w:val="68"/>
  </w:num>
  <w:num w:numId="19">
    <w:abstractNumId w:val="40"/>
  </w:num>
  <w:num w:numId="20">
    <w:abstractNumId w:val="17"/>
  </w:num>
  <w:num w:numId="21">
    <w:abstractNumId w:val="23"/>
  </w:num>
  <w:num w:numId="22">
    <w:abstractNumId w:val="36"/>
  </w:num>
  <w:num w:numId="23">
    <w:abstractNumId w:val="39"/>
  </w:num>
  <w:num w:numId="24">
    <w:abstractNumId w:val="74"/>
  </w:num>
  <w:num w:numId="25">
    <w:abstractNumId w:val="60"/>
  </w:num>
  <w:num w:numId="26">
    <w:abstractNumId w:val="72"/>
  </w:num>
  <w:num w:numId="27">
    <w:abstractNumId w:val="0"/>
  </w:num>
  <w:num w:numId="28">
    <w:abstractNumId w:val="27"/>
  </w:num>
  <w:num w:numId="29">
    <w:abstractNumId w:val="25"/>
  </w:num>
  <w:num w:numId="30">
    <w:abstractNumId w:val="34"/>
  </w:num>
  <w:num w:numId="31">
    <w:abstractNumId w:val="38"/>
  </w:num>
  <w:num w:numId="32">
    <w:abstractNumId w:val="43"/>
  </w:num>
  <w:num w:numId="33">
    <w:abstractNumId w:val="8"/>
  </w:num>
  <w:num w:numId="34">
    <w:abstractNumId w:val="29"/>
  </w:num>
  <w:num w:numId="35">
    <w:abstractNumId w:val="5"/>
  </w:num>
  <w:num w:numId="36">
    <w:abstractNumId w:val="24"/>
  </w:num>
  <w:num w:numId="37">
    <w:abstractNumId w:val="42"/>
  </w:num>
  <w:num w:numId="38">
    <w:abstractNumId w:val="44"/>
  </w:num>
  <w:num w:numId="39">
    <w:abstractNumId w:val="59"/>
  </w:num>
  <w:num w:numId="40">
    <w:abstractNumId w:val="46"/>
  </w:num>
  <w:num w:numId="41">
    <w:abstractNumId w:val="49"/>
  </w:num>
  <w:num w:numId="42">
    <w:abstractNumId w:val="32"/>
  </w:num>
  <w:num w:numId="43">
    <w:abstractNumId w:val="66"/>
  </w:num>
  <w:num w:numId="44">
    <w:abstractNumId w:val="50"/>
  </w:num>
  <w:num w:numId="45">
    <w:abstractNumId w:val="2"/>
  </w:num>
  <w:num w:numId="46">
    <w:abstractNumId w:val="26"/>
  </w:num>
  <w:num w:numId="47">
    <w:abstractNumId w:val="58"/>
  </w:num>
  <w:num w:numId="48">
    <w:abstractNumId w:val="63"/>
  </w:num>
  <w:num w:numId="49">
    <w:abstractNumId w:val="64"/>
  </w:num>
  <w:num w:numId="50">
    <w:abstractNumId w:val="11"/>
  </w:num>
  <w:num w:numId="51">
    <w:abstractNumId w:val="65"/>
  </w:num>
  <w:num w:numId="52">
    <w:abstractNumId w:val="9"/>
  </w:num>
  <w:num w:numId="53">
    <w:abstractNumId w:val="22"/>
  </w:num>
  <w:num w:numId="54">
    <w:abstractNumId w:val="78"/>
  </w:num>
  <w:num w:numId="55">
    <w:abstractNumId w:val="67"/>
  </w:num>
  <w:num w:numId="56">
    <w:abstractNumId w:val="71"/>
  </w:num>
  <w:num w:numId="57">
    <w:abstractNumId w:val="73"/>
  </w:num>
  <w:num w:numId="58">
    <w:abstractNumId w:val="15"/>
  </w:num>
  <w:num w:numId="59">
    <w:abstractNumId w:val="70"/>
  </w:num>
  <w:num w:numId="60">
    <w:abstractNumId w:val="45"/>
  </w:num>
  <w:num w:numId="61">
    <w:abstractNumId w:val="77"/>
  </w:num>
  <w:num w:numId="62">
    <w:abstractNumId w:val="75"/>
  </w:num>
  <w:num w:numId="63">
    <w:abstractNumId w:val="35"/>
  </w:num>
  <w:num w:numId="64">
    <w:abstractNumId w:val="62"/>
  </w:num>
  <w:num w:numId="65">
    <w:abstractNumId w:val="30"/>
  </w:num>
  <w:num w:numId="66">
    <w:abstractNumId w:val="31"/>
  </w:num>
  <w:num w:numId="67">
    <w:abstractNumId w:val="76"/>
  </w:num>
  <w:num w:numId="68">
    <w:abstractNumId w:val="52"/>
  </w:num>
  <w:num w:numId="69">
    <w:abstractNumId w:val="61"/>
  </w:num>
  <w:num w:numId="70">
    <w:abstractNumId w:val="28"/>
  </w:num>
  <w:num w:numId="71">
    <w:abstractNumId w:val="47"/>
  </w:num>
  <w:num w:numId="72">
    <w:abstractNumId w:val="19"/>
  </w:num>
  <w:num w:numId="73">
    <w:abstractNumId w:val="48"/>
  </w:num>
  <w:num w:numId="74">
    <w:abstractNumId w:val="13"/>
  </w:num>
  <w:num w:numId="75">
    <w:abstractNumId w:val="14"/>
  </w:num>
  <w:num w:numId="76">
    <w:abstractNumId w:val="18"/>
  </w:num>
  <w:num w:numId="77">
    <w:abstractNumId w:val="56"/>
  </w:num>
  <w:num w:numId="78">
    <w:abstractNumId w:val="55"/>
  </w:num>
  <w:num w:numId="79">
    <w:abstractNumId w:val="20"/>
  </w:num>
  <w:num w:numId="80">
    <w:abstractNumId w:val="5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HorizontalSpacing w:val="240"/>
  <w:drawingGridVerticalSpacing w:val="99999990"/>
  <w:displayHorizontalDrawingGridEvery w:val="1"/>
  <w:displayVerticalDrawingGridEvery w:val="1"/>
  <w:noPunctuationKerning w:val="1"/>
  <w:characterSpacingControl w:val="compressPunctuation"/>
  <w:footnotePr>
    <w:footnote w:id="0"/>
    <w:footnote w:id="1"/>
  </w:footnotePr>
  <w:endnotePr>
    <w:numFmt w:val="decimal"/>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UxYTIzNWRkYmU0YjIzZmYwMWEzNTUxZmEwYmI2MzUifQ=="/>
  </w:docVars>
  <w:rsids>
    <w:rsidRoot w:val="00172A27"/>
    <w:rsid w:val="00962227"/>
    <w:rsid w:val="00C359E4"/>
    <w:rsid w:val="016078E1"/>
    <w:rsid w:val="02444E5B"/>
    <w:rsid w:val="02AE1145"/>
    <w:rsid w:val="0305200E"/>
    <w:rsid w:val="03B92990"/>
    <w:rsid w:val="03EB2173"/>
    <w:rsid w:val="04221DEB"/>
    <w:rsid w:val="04C100D7"/>
    <w:rsid w:val="059355FD"/>
    <w:rsid w:val="061076D0"/>
    <w:rsid w:val="06131AA7"/>
    <w:rsid w:val="07844837"/>
    <w:rsid w:val="07D109E4"/>
    <w:rsid w:val="090062C9"/>
    <w:rsid w:val="0A3B6154"/>
    <w:rsid w:val="0B1146B3"/>
    <w:rsid w:val="0B6162A9"/>
    <w:rsid w:val="0CCA7EDF"/>
    <w:rsid w:val="0CEA2F24"/>
    <w:rsid w:val="0CF754A2"/>
    <w:rsid w:val="0E7304C4"/>
    <w:rsid w:val="0E8326A6"/>
    <w:rsid w:val="10392AC9"/>
    <w:rsid w:val="104B14B8"/>
    <w:rsid w:val="104C46FC"/>
    <w:rsid w:val="108B0131"/>
    <w:rsid w:val="10A122E9"/>
    <w:rsid w:val="131B16E4"/>
    <w:rsid w:val="137B2552"/>
    <w:rsid w:val="160B6B83"/>
    <w:rsid w:val="161A7E53"/>
    <w:rsid w:val="1638549E"/>
    <w:rsid w:val="16907088"/>
    <w:rsid w:val="176928E2"/>
    <w:rsid w:val="18B708FC"/>
    <w:rsid w:val="18E5385C"/>
    <w:rsid w:val="193A32DB"/>
    <w:rsid w:val="196842EC"/>
    <w:rsid w:val="198A7AB1"/>
    <w:rsid w:val="1A0A7151"/>
    <w:rsid w:val="1A210F76"/>
    <w:rsid w:val="1A9C7DC6"/>
    <w:rsid w:val="1AB14B93"/>
    <w:rsid w:val="1AE74234"/>
    <w:rsid w:val="1B66485B"/>
    <w:rsid w:val="1BF07AAD"/>
    <w:rsid w:val="1D0E6F59"/>
    <w:rsid w:val="1DB7139E"/>
    <w:rsid w:val="1F2B1C30"/>
    <w:rsid w:val="1F5D1741"/>
    <w:rsid w:val="1FB36F50"/>
    <w:rsid w:val="2018201F"/>
    <w:rsid w:val="226D4721"/>
    <w:rsid w:val="22A32073"/>
    <w:rsid w:val="237815D0"/>
    <w:rsid w:val="24311587"/>
    <w:rsid w:val="24D6505C"/>
    <w:rsid w:val="250707EA"/>
    <w:rsid w:val="25755DC7"/>
    <w:rsid w:val="25A95A86"/>
    <w:rsid w:val="26834513"/>
    <w:rsid w:val="268D1642"/>
    <w:rsid w:val="272C6959"/>
    <w:rsid w:val="27DB37BC"/>
    <w:rsid w:val="2C387683"/>
    <w:rsid w:val="2D17069D"/>
    <w:rsid w:val="2E0D5841"/>
    <w:rsid w:val="2E913546"/>
    <w:rsid w:val="2F00175D"/>
    <w:rsid w:val="2F155F25"/>
    <w:rsid w:val="301461DC"/>
    <w:rsid w:val="302A3DD1"/>
    <w:rsid w:val="311315B3"/>
    <w:rsid w:val="316136A3"/>
    <w:rsid w:val="31840810"/>
    <w:rsid w:val="31B01AF9"/>
    <w:rsid w:val="31C15573"/>
    <w:rsid w:val="32601085"/>
    <w:rsid w:val="327E743D"/>
    <w:rsid w:val="32C204F6"/>
    <w:rsid w:val="33732CDF"/>
    <w:rsid w:val="367B6FB5"/>
    <w:rsid w:val="3684230E"/>
    <w:rsid w:val="368F480F"/>
    <w:rsid w:val="372B34A0"/>
    <w:rsid w:val="37C21384"/>
    <w:rsid w:val="37DA06E9"/>
    <w:rsid w:val="38A12A21"/>
    <w:rsid w:val="392221E3"/>
    <w:rsid w:val="39C11B45"/>
    <w:rsid w:val="39E3559D"/>
    <w:rsid w:val="3A4B46FF"/>
    <w:rsid w:val="3A707881"/>
    <w:rsid w:val="3B094A6A"/>
    <w:rsid w:val="3CA63A52"/>
    <w:rsid w:val="3D8F3346"/>
    <w:rsid w:val="3DB755CD"/>
    <w:rsid w:val="3DF5764D"/>
    <w:rsid w:val="3E5205E8"/>
    <w:rsid w:val="3F605FFD"/>
    <w:rsid w:val="3F6F1681"/>
    <w:rsid w:val="3F9E5AC2"/>
    <w:rsid w:val="3FE91433"/>
    <w:rsid w:val="3FEE5110"/>
    <w:rsid w:val="3FFA5732"/>
    <w:rsid w:val="402C79CD"/>
    <w:rsid w:val="405F7B8B"/>
    <w:rsid w:val="42DF08CC"/>
    <w:rsid w:val="439D67BD"/>
    <w:rsid w:val="44DE768B"/>
    <w:rsid w:val="450F36EA"/>
    <w:rsid w:val="456D0411"/>
    <w:rsid w:val="45EB1D12"/>
    <w:rsid w:val="45F97C34"/>
    <w:rsid w:val="471E64BD"/>
    <w:rsid w:val="49FC7FB5"/>
    <w:rsid w:val="4A0C25CB"/>
    <w:rsid w:val="4AB16FF2"/>
    <w:rsid w:val="4B34092B"/>
    <w:rsid w:val="4C0C4B3A"/>
    <w:rsid w:val="4C260EA3"/>
    <w:rsid w:val="4DAF2819"/>
    <w:rsid w:val="4E0D2791"/>
    <w:rsid w:val="4E651D10"/>
    <w:rsid w:val="4E830CA5"/>
    <w:rsid w:val="4E8F431F"/>
    <w:rsid w:val="4EB64BD7"/>
    <w:rsid w:val="4FA709C3"/>
    <w:rsid w:val="504850E2"/>
    <w:rsid w:val="50F54FE3"/>
    <w:rsid w:val="515412C3"/>
    <w:rsid w:val="535D3873"/>
    <w:rsid w:val="53E03182"/>
    <w:rsid w:val="54CB3B07"/>
    <w:rsid w:val="553958DD"/>
    <w:rsid w:val="55AD03B6"/>
    <w:rsid w:val="55C86EB0"/>
    <w:rsid w:val="566C6E36"/>
    <w:rsid w:val="56715B61"/>
    <w:rsid w:val="568B1FB7"/>
    <w:rsid w:val="57194CE6"/>
    <w:rsid w:val="57AE0B41"/>
    <w:rsid w:val="57B5697D"/>
    <w:rsid w:val="57BD3A86"/>
    <w:rsid w:val="57F46678"/>
    <w:rsid w:val="59260BAB"/>
    <w:rsid w:val="59AB4E23"/>
    <w:rsid w:val="5ABA09E9"/>
    <w:rsid w:val="5BD82630"/>
    <w:rsid w:val="5C13157B"/>
    <w:rsid w:val="5C8742BD"/>
    <w:rsid w:val="5C8F11EE"/>
    <w:rsid w:val="5E6B4F15"/>
    <w:rsid w:val="6027313D"/>
    <w:rsid w:val="61016710"/>
    <w:rsid w:val="629B6165"/>
    <w:rsid w:val="634E67B8"/>
    <w:rsid w:val="64B67287"/>
    <w:rsid w:val="64DE3087"/>
    <w:rsid w:val="65DC0022"/>
    <w:rsid w:val="66326ACD"/>
    <w:rsid w:val="664F49F1"/>
    <w:rsid w:val="66EC2735"/>
    <w:rsid w:val="6709250B"/>
    <w:rsid w:val="685F41D5"/>
    <w:rsid w:val="68E51A78"/>
    <w:rsid w:val="692A0243"/>
    <w:rsid w:val="692A3D9F"/>
    <w:rsid w:val="695346AF"/>
    <w:rsid w:val="6B533B8A"/>
    <w:rsid w:val="6C103720"/>
    <w:rsid w:val="6C353187"/>
    <w:rsid w:val="6C533BB8"/>
    <w:rsid w:val="6CB95B66"/>
    <w:rsid w:val="6D1C60F5"/>
    <w:rsid w:val="6D7256AA"/>
    <w:rsid w:val="6DF972EC"/>
    <w:rsid w:val="6E166D75"/>
    <w:rsid w:val="6E3D4575"/>
    <w:rsid w:val="6EEF533F"/>
    <w:rsid w:val="6EF16839"/>
    <w:rsid w:val="6F46781D"/>
    <w:rsid w:val="701B05DF"/>
    <w:rsid w:val="71E77BB0"/>
    <w:rsid w:val="728C43CB"/>
    <w:rsid w:val="7324703F"/>
    <w:rsid w:val="738F7621"/>
    <w:rsid w:val="73BA6638"/>
    <w:rsid w:val="73EB3764"/>
    <w:rsid w:val="74D97EB0"/>
    <w:rsid w:val="74F17715"/>
    <w:rsid w:val="752601BF"/>
    <w:rsid w:val="752B5127"/>
    <w:rsid w:val="76A26CFA"/>
    <w:rsid w:val="779F1DFC"/>
    <w:rsid w:val="77D73344"/>
    <w:rsid w:val="78240A8F"/>
    <w:rsid w:val="78283BA0"/>
    <w:rsid w:val="783C54B3"/>
    <w:rsid w:val="786578CA"/>
    <w:rsid w:val="787A7589"/>
    <w:rsid w:val="78832648"/>
    <w:rsid w:val="793C637E"/>
    <w:rsid w:val="797B6299"/>
    <w:rsid w:val="79A56EBD"/>
    <w:rsid w:val="79D02741"/>
    <w:rsid w:val="7A100215"/>
    <w:rsid w:val="7AF04842"/>
    <w:rsid w:val="7B060512"/>
    <w:rsid w:val="7B4A02D1"/>
    <w:rsid w:val="7C0861C2"/>
    <w:rsid w:val="7D5C7321"/>
    <w:rsid w:val="7DF12C86"/>
    <w:rsid w:val="7F0B2754"/>
    <w:rsid w:val="7F461C04"/>
    <w:rsid w:val="7F6319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99"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qFormat="1"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qFormat="1" w:uiPriority="0" w:semiHidden="0" w:name="Message Header"/>
    <w:lsdException w:qFormat="1" w:unhideWhenUsed="0" w:uiPriority="11"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qFormat="1"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napToGrid w:val="0"/>
      <w:spacing w:line="360" w:lineRule="auto"/>
      <w:ind w:firstLine="1040" w:firstLineChars="200"/>
      <w:jc w:val="both"/>
    </w:pPr>
    <w:rPr>
      <w:rFonts w:ascii="宋体" w:hAnsi="宋体" w:eastAsia="宋体" w:cstheme="minorBidi"/>
      <w:kern w:val="2"/>
      <w:sz w:val="24"/>
      <w:szCs w:val="24"/>
      <w:lang w:val="en-US" w:eastAsia="zh-CN" w:bidi="ar-SA"/>
    </w:rPr>
  </w:style>
  <w:style w:type="paragraph" w:styleId="3">
    <w:name w:val="heading 1"/>
    <w:basedOn w:val="1"/>
    <w:next w:val="1"/>
    <w:qFormat/>
    <w:uiPriority w:val="0"/>
    <w:pPr>
      <w:keepNext/>
      <w:keepLines/>
      <w:numPr>
        <w:ilvl w:val="0"/>
        <w:numId w:val="1"/>
      </w:numPr>
      <w:spacing w:beforeLines="0" w:beforeAutospacing="0" w:afterLines="0" w:afterAutospacing="0" w:line="360" w:lineRule="auto"/>
      <w:ind w:left="432" w:hanging="432" w:firstLineChars="0"/>
      <w:jc w:val="center"/>
      <w:outlineLvl w:val="0"/>
    </w:pPr>
    <w:rPr>
      <w:b/>
      <w:kern w:val="44"/>
      <w:sz w:val="28"/>
    </w:rPr>
  </w:style>
  <w:style w:type="paragraph" w:styleId="4">
    <w:name w:val="heading 2"/>
    <w:basedOn w:val="1"/>
    <w:next w:val="1"/>
    <w:link w:val="34"/>
    <w:unhideWhenUsed/>
    <w:qFormat/>
    <w:uiPriority w:val="0"/>
    <w:pPr>
      <w:keepNext/>
      <w:keepLines/>
      <w:numPr>
        <w:ilvl w:val="1"/>
        <w:numId w:val="1"/>
      </w:numPr>
      <w:spacing w:before="100" w:beforeLines="0" w:afterLines="0"/>
      <w:ind w:left="624" w:hanging="624" w:firstLineChars="0"/>
      <w:outlineLvl w:val="1"/>
    </w:pPr>
    <w:rPr>
      <w:b/>
      <w:color w:val="auto"/>
      <w:highlight w:val="none"/>
    </w:rPr>
  </w:style>
  <w:style w:type="paragraph" w:styleId="5">
    <w:name w:val="heading 3"/>
    <w:basedOn w:val="1"/>
    <w:next w:val="1"/>
    <w:link w:val="30"/>
    <w:unhideWhenUsed/>
    <w:qFormat/>
    <w:uiPriority w:val="0"/>
    <w:pPr>
      <w:keepNext w:val="0"/>
      <w:keepLines/>
      <w:numPr>
        <w:ilvl w:val="2"/>
        <w:numId w:val="1"/>
      </w:numPr>
      <w:spacing w:beforeLines="0" w:beforeAutospacing="0" w:afterLines="0" w:afterAutospacing="0" w:line="360" w:lineRule="auto"/>
      <w:ind w:left="624" w:hanging="624" w:firstLineChars="0"/>
      <w:outlineLvl w:val="2"/>
    </w:pPr>
  </w:style>
  <w:style w:type="paragraph" w:styleId="6">
    <w:name w:val="heading 4"/>
    <w:basedOn w:val="1"/>
    <w:next w:val="1"/>
    <w:unhideWhenUsed/>
    <w:qFormat/>
    <w:uiPriority w:val="0"/>
    <w:pPr>
      <w:keepNext w:val="0"/>
      <w:keepLines/>
      <w:numPr>
        <w:ilvl w:val="3"/>
        <w:numId w:val="1"/>
      </w:numPr>
      <w:spacing w:beforeLines="0" w:beforeAutospacing="0" w:afterLines="0" w:afterAutospacing="0" w:line="360" w:lineRule="auto"/>
      <w:ind w:left="864" w:leftChars="100" w:hanging="624" w:firstLineChars="0"/>
      <w:outlineLvl w:val="3"/>
    </w:pPr>
  </w:style>
  <w:style w:type="paragraph" w:styleId="7">
    <w:name w:val="heading 5"/>
    <w:basedOn w:val="1"/>
    <w:next w:val="1"/>
    <w:unhideWhenUsed/>
    <w:qFormat/>
    <w:uiPriority w:val="0"/>
    <w:pPr>
      <w:keepNext/>
      <w:keepLines/>
      <w:numPr>
        <w:ilvl w:val="4"/>
        <w:numId w:val="1"/>
      </w:numPr>
      <w:spacing w:beforeLines="0" w:beforeAutospacing="0" w:afterLines="0" w:afterAutospacing="0" w:line="360" w:lineRule="auto"/>
      <w:ind w:left="1009" w:firstLine="420" w:firstLineChars="0"/>
      <w:outlineLvl w:val="4"/>
    </w:pPr>
    <w:rPr>
      <w:rFonts w:cs="宋体"/>
    </w:rPr>
  </w:style>
  <w:style w:type="paragraph" w:styleId="8">
    <w:name w:val="heading 6"/>
    <w:basedOn w:val="1"/>
    <w:next w:val="1"/>
    <w:semiHidden/>
    <w:unhideWhenUsed/>
    <w:qFormat/>
    <w:uiPriority w:val="0"/>
    <w:pPr>
      <w:keepNext/>
      <w:keepLines/>
      <w:numPr>
        <w:ilvl w:val="5"/>
        <w:numId w:val="1"/>
      </w:numPr>
      <w:spacing w:before="240" w:beforeLines="0" w:beforeAutospacing="0" w:after="64" w:afterLines="0" w:afterAutospacing="0" w:line="317" w:lineRule="auto"/>
      <w:ind w:left="1151" w:hanging="1151" w:firstLineChars="0"/>
      <w:outlineLvl w:val="5"/>
    </w:pPr>
    <w:rPr>
      <w:rFonts w:ascii="Arial" w:hAnsi="Arial" w:eastAsia="黑体"/>
      <w:b/>
      <w:sz w:val="24"/>
    </w:rPr>
  </w:style>
  <w:style w:type="paragraph" w:styleId="9">
    <w:name w:val="heading 7"/>
    <w:basedOn w:val="1"/>
    <w:next w:val="1"/>
    <w:semiHidden/>
    <w:unhideWhenUsed/>
    <w:qFormat/>
    <w:uiPriority w:val="0"/>
    <w:pPr>
      <w:keepNext/>
      <w:keepLines/>
      <w:numPr>
        <w:ilvl w:val="6"/>
        <w:numId w:val="1"/>
      </w:numPr>
      <w:spacing w:before="240" w:beforeLines="0" w:beforeAutospacing="0" w:after="64" w:afterLines="0" w:afterAutospacing="0" w:line="317" w:lineRule="auto"/>
      <w:ind w:left="1296" w:hanging="1296" w:firstLineChars="0"/>
      <w:outlineLvl w:val="6"/>
    </w:pPr>
    <w:rPr>
      <w:b/>
      <w:sz w:val="24"/>
    </w:rPr>
  </w:style>
  <w:style w:type="paragraph" w:styleId="10">
    <w:name w:val="heading 8"/>
    <w:basedOn w:val="1"/>
    <w:next w:val="1"/>
    <w:semiHidden/>
    <w:unhideWhenUsed/>
    <w:qFormat/>
    <w:uiPriority w:val="0"/>
    <w:pPr>
      <w:keepNext/>
      <w:keepLines/>
      <w:numPr>
        <w:ilvl w:val="7"/>
        <w:numId w:val="1"/>
      </w:numPr>
      <w:spacing w:before="240" w:beforeLines="0" w:beforeAutospacing="0" w:after="64" w:afterLines="0" w:afterAutospacing="0" w:line="317" w:lineRule="auto"/>
      <w:ind w:left="1440" w:hanging="1440" w:firstLineChars="0"/>
      <w:outlineLvl w:val="7"/>
    </w:pPr>
    <w:rPr>
      <w:rFonts w:ascii="Arial" w:hAnsi="Arial" w:eastAsia="黑体"/>
      <w:sz w:val="24"/>
    </w:rPr>
  </w:style>
  <w:style w:type="paragraph" w:styleId="11">
    <w:name w:val="heading 9"/>
    <w:basedOn w:val="1"/>
    <w:next w:val="1"/>
    <w:semiHidden/>
    <w:unhideWhenUsed/>
    <w:qFormat/>
    <w:uiPriority w:val="0"/>
    <w:pPr>
      <w:keepNext/>
      <w:keepLines/>
      <w:numPr>
        <w:ilvl w:val="8"/>
        <w:numId w:val="1"/>
      </w:numPr>
      <w:spacing w:before="240" w:beforeLines="0" w:beforeAutospacing="0" w:after="64" w:afterLines="0" w:afterAutospacing="0" w:line="317" w:lineRule="auto"/>
      <w:ind w:left="1583" w:hanging="1583" w:firstLineChars="0"/>
      <w:outlineLvl w:val="8"/>
    </w:pPr>
    <w:rPr>
      <w:rFonts w:ascii="Arial" w:hAnsi="Arial" w:eastAsia="黑体"/>
      <w:sz w:val="21"/>
    </w:rPr>
  </w:style>
  <w:style w:type="character" w:default="1" w:styleId="24">
    <w:name w:val="Default Paragraph Font"/>
    <w:semiHidden/>
    <w:qFormat/>
    <w:uiPriority w:val="0"/>
  </w:style>
  <w:style w:type="table" w:default="1" w:styleId="22">
    <w:name w:val="Normal Table"/>
    <w:semiHidden/>
    <w:qFormat/>
    <w:uiPriority w:val="0"/>
    <w:tblPr>
      <w:tblCellMar>
        <w:top w:w="0" w:type="dxa"/>
        <w:left w:w="108" w:type="dxa"/>
        <w:bottom w:w="0" w:type="dxa"/>
        <w:right w:w="108" w:type="dxa"/>
      </w:tblCellMar>
    </w:tblPr>
  </w:style>
  <w:style w:type="paragraph" w:styleId="2">
    <w:name w:val="Plain Text"/>
    <w:basedOn w:val="1"/>
    <w:next w:val="1"/>
    <w:unhideWhenUsed/>
    <w:qFormat/>
    <w:uiPriority w:val="0"/>
    <w:pPr>
      <w:spacing w:beforeLines="0" w:afterLines="0"/>
    </w:pPr>
    <w:rPr>
      <w:rFonts w:hint="default" w:ascii="宋体" w:hAnsi="Courier New" w:eastAsia="宋体"/>
      <w:sz w:val="21"/>
      <w:szCs w:val="24"/>
    </w:rPr>
  </w:style>
  <w:style w:type="paragraph" w:styleId="12">
    <w:name w:val="annotation text"/>
    <w:basedOn w:val="1"/>
    <w:qFormat/>
    <w:uiPriority w:val="0"/>
    <w:pPr>
      <w:jc w:val="left"/>
    </w:pPr>
  </w:style>
  <w:style w:type="paragraph" w:styleId="13">
    <w:name w:val="Body Text"/>
    <w:basedOn w:val="1"/>
    <w:semiHidden/>
    <w:qFormat/>
    <w:uiPriority w:val="0"/>
    <w:rPr>
      <w:rFonts w:ascii="宋体" w:hAnsi="宋体" w:eastAsia="宋体" w:cs="宋体"/>
      <w:sz w:val="30"/>
      <w:szCs w:val="30"/>
      <w:lang w:val="en-US" w:eastAsia="en-US" w:bidi="ar-SA"/>
    </w:rPr>
  </w:style>
  <w:style w:type="paragraph" w:styleId="14">
    <w:name w:val="Block Text"/>
    <w:basedOn w:val="1"/>
    <w:link w:val="32"/>
    <w:qFormat/>
    <w:uiPriority w:val="0"/>
    <w:pPr>
      <w:adjustRightInd w:val="0"/>
      <w:spacing w:line="240" w:lineRule="auto"/>
      <w:ind w:left="0" w:right="0" w:firstLine="0" w:firstLineChars="0"/>
      <w:jc w:val="center"/>
      <w:textAlignment w:val="baseline"/>
    </w:pPr>
    <w:rPr>
      <w:rFonts w:ascii="宋体" w:hAnsi="宋体" w:eastAsia="宋体" w:cs="宋体"/>
      <w:kern w:val="0"/>
      <w:sz w:val="21"/>
      <w:szCs w:val="20"/>
    </w:rPr>
  </w:style>
  <w:style w:type="paragraph" w:styleId="15">
    <w:name w:val="footer"/>
    <w:basedOn w:val="1"/>
    <w:qFormat/>
    <w:uiPriority w:val="0"/>
    <w:pPr>
      <w:tabs>
        <w:tab w:val="center" w:pos="4153"/>
        <w:tab w:val="right" w:pos="8306"/>
      </w:tabs>
      <w:snapToGrid w:val="0"/>
      <w:jc w:val="left"/>
    </w:pPr>
    <w:rPr>
      <w:sz w:val="18"/>
    </w:rPr>
  </w:style>
  <w:style w:type="paragraph" w:styleId="1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7">
    <w:name w:val="toc 1"/>
    <w:basedOn w:val="1"/>
    <w:next w:val="1"/>
    <w:qFormat/>
    <w:uiPriority w:val="0"/>
    <w:pPr>
      <w:spacing w:line="264" w:lineRule="auto"/>
    </w:pPr>
    <w:rPr>
      <w:rFonts w:ascii="宋体" w:hAnsi="宋体" w:eastAsia="宋体"/>
      <w:b/>
    </w:rPr>
  </w:style>
  <w:style w:type="paragraph" w:styleId="18">
    <w:name w:val="Subtitle"/>
    <w:basedOn w:val="1"/>
    <w:next w:val="1"/>
    <w:link w:val="31"/>
    <w:qFormat/>
    <w:uiPriority w:val="11"/>
    <w:pPr>
      <w:spacing w:after="0" w:line="360" w:lineRule="auto"/>
      <w:ind w:firstLine="200" w:firstLineChars="200"/>
    </w:pPr>
    <w:rPr>
      <w:rFonts w:ascii="Times New Roman" w:hAnsi="Times New Roman" w:cstheme="majorBidi"/>
      <w:bCs/>
      <w:kern w:val="28"/>
      <w:sz w:val="24"/>
      <w:szCs w:val="32"/>
    </w:rPr>
  </w:style>
  <w:style w:type="paragraph" w:styleId="19">
    <w:name w:val="toc 2"/>
    <w:basedOn w:val="1"/>
    <w:next w:val="1"/>
    <w:qFormat/>
    <w:uiPriority w:val="0"/>
    <w:pPr>
      <w:spacing w:line="264" w:lineRule="auto"/>
      <w:ind w:left="420" w:leftChars="200"/>
    </w:pPr>
    <w:rPr>
      <w:rFonts w:ascii="宋体" w:hAnsi="宋体" w:eastAsia="宋体"/>
    </w:rPr>
  </w:style>
  <w:style w:type="paragraph" w:styleId="20">
    <w:name w:val="index 1"/>
    <w:basedOn w:val="1"/>
    <w:next w:val="1"/>
    <w:qFormat/>
    <w:uiPriority w:val="0"/>
  </w:style>
  <w:style w:type="paragraph" w:styleId="21">
    <w:name w:val="Title"/>
    <w:basedOn w:val="1"/>
    <w:next w:val="1"/>
    <w:qFormat/>
    <w:uiPriority w:val="0"/>
    <w:pPr>
      <w:spacing w:before="50" w:beforeLines="50" w:after="50" w:afterLines="50" w:line="360" w:lineRule="auto"/>
      <w:outlineLvl w:val="2"/>
    </w:pPr>
    <w:rPr>
      <w:rFonts w:ascii="Times New Roman" w:hAnsi="Times New Roman" w:cstheme="majorBidi"/>
      <w:b/>
      <w:bCs/>
      <w:sz w:val="24"/>
      <w:szCs w:val="32"/>
    </w:rPr>
  </w:style>
  <w:style w:type="table" w:styleId="23">
    <w:name w:val="Table Grid"/>
    <w:basedOn w:val="2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Hyperlink"/>
    <w:basedOn w:val="24"/>
    <w:qFormat/>
    <w:uiPriority w:val="0"/>
    <w:rPr>
      <w:color w:val="0000FF"/>
      <w:u w:val="single"/>
    </w:rPr>
  </w:style>
  <w:style w:type="table" w:customStyle="1" w:styleId="26">
    <w:name w:val="Table Normal"/>
    <w:semiHidden/>
    <w:unhideWhenUsed/>
    <w:qFormat/>
    <w:uiPriority w:val="0"/>
    <w:tblPr>
      <w:tblCellMar>
        <w:top w:w="0" w:type="dxa"/>
        <w:left w:w="0" w:type="dxa"/>
        <w:bottom w:w="0" w:type="dxa"/>
        <w:right w:w="0" w:type="dxa"/>
      </w:tblCellMar>
    </w:tblPr>
  </w:style>
  <w:style w:type="paragraph" w:customStyle="1" w:styleId="27">
    <w:name w:val="图片"/>
    <w:basedOn w:val="1"/>
    <w:qFormat/>
    <w:uiPriority w:val="0"/>
    <w:pPr>
      <w:adjustRightInd w:val="0"/>
      <w:spacing w:line="240" w:lineRule="auto"/>
      <w:ind w:firstLine="0" w:firstLineChars="0"/>
      <w:jc w:val="center"/>
      <w:textAlignment w:val="baseline"/>
    </w:pPr>
    <w:rPr>
      <w:rFonts w:hint="eastAsia" w:ascii="等线" w:hAnsi="等线"/>
      <w:b/>
      <w:kern w:val="0"/>
      <w:sz w:val="21"/>
      <w:szCs w:val="20"/>
    </w:rPr>
  </w:style>
  <w:style w:type="table" w:customStyle="1" w:styleId="28">
    <w:name w:val="网格型3"/>
    <w:basedOn w:val="22"/>
    <w:qFormat/>
    <w:uiPriority w:val="59"/>
    <w:pPr>
      <w:widowControl w:val="0"/>
      <w:jc w:val="both"/>
    </w:pPr>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
    <w:name w:val="网格型21"/>
    <w:basedOn w:val="2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0">
    <w:name w:val="标题 3 Char"/>
    <w:link w:val="5"/>
    <w:qFormat/>
    <w:uiPriority w:val="0"/>
    <w:rPr>
      <w:rFonts w:ascii="宋体" w:hAnsi="宋体" w:eastAsia="宋体"/>
    </w:rPr>
  </w:style>
  <w:style w:type="character" w:customStyle="1" w:styleId="31">
    <w:name w:val="副标题 字符"/>
    <w:basedOn w:val="24"/>
    <w:link w:val="18"/>
    <w:qFormat/>
    <w:uiPriority w:val="11"/>
    <w:rPr>
      <w:rFonts w:ascii="Times New Roman" w:hAnsi="Times New Roman" w:cstheme="majorBidi"/>
      <w:bCs/>
      <w:kern w:val="28"/>
      <w:sz w:val="24"/>
      <w:szCs w:val="32"/>
    </w:rPr>
  </w:style>
  <w:style w:type="character" w:customStyle="1" w:styleId="32">
    <w:name w:val="文本块 Char"/>
    <w:link w:val="14"/>
    <w:qFormat/>
    <w:uiPriority w:val="0"/>
    <w:rPr>
      <w:rFonts w:ascii="宋体" w:hAnsi="宋体" w:eastAsia="宋体" w:cs="宋体"/>
      <w:kern w:val="0"/>
      <w:sz w:val="21"/>
      <w:szCs w:val="20"/>
    </w:rPr>
  </w:style>
  <w:style w:type="paragraph" w:styleId="33">
    <w:name w:val="List Paragraph"/>
    <w:basedOn w:val="1"/>
    <w:qFormat/>
    <w:uiPriority w:val="34"/>
    <w:pPr>
      <w:numPr>
        <w:ilvl w:val="0"/>
        <w:numId w:val="2"/>
      </w:numPr>
    </w:pPr>
  </w:style>
  <w:style w:type="character" w:customStyle="1" w:styleId="34">
    <w:name w:val="标题 2 Char"/>
    <w:link w:val="4"/>
    <w:qFormat/>
    <w:uiPriority w:val="0"/>
    <w:rPr>
      <w:rFonts w:ascii="宋体" w:hAnsi="宋体" w:eastAsia="宋体" w:cstheme="minorBidi"/>
      <w:b/>
      <w:color w:val="auto"/>
      <w:kern w:val="2"/>
      <w:sz w:val="24"/>
      <w:szCs w:val="24"/>
      <w:highlight w:val="none"/>
      <w:lang w:val="en-US" w:eastAsia="zh-CN" w:bidi="ar-SA"/>
    </w:rPr>
  </w:style>
  <w:style w:type="paragraph" w:customStyle="1" w:styleId="35">
    <w:name w:val="Table Text"/>
    <w:basedOn w:val="1"/>
    <w:semiHidden/>
    <w:qFormat/>
    <w:uiPriority w:val="0"/>
    <w:rPr>
      <w:rFonts w:ascii="宋体" w:hAnsi="宋体" w:eastAsia="宋体" w:cs="宋体"/>
      <w:sz w:val="20"/>
      <w:szCs w:val="20"/>
    </w:rPr>
  </w:style>
  <w:style w:type="paragraph" w:customStyle="1" w:styleId="36">
    <w:name w:val="_Style 421"/>
    <w:basedOn w:val="1"/>
    <w:next w:val="33"/>
    <w:qFormat/>
    <w:uiPriority w:val="34"/>
    <w:pPr>
      <w:ind w:firstLine="420"/>
    </w:pPr>
    <w:rPr>
      <w:rFonts w:eastAsia="宋体"/>
    </w:rPr>
  </w:style>
</w:styles>
</file>

<file path=word/_rels/document.xml.rels><?xml version="1.0" encoding="UTF-8" standalone="yes"?>
<Relationships xmlns="http://schemas.openxmlformats.org/package/2006/relationships"><Relationship Id="rId90" Type="http://schemas.openxmlformats.org/officeDocument/2006/relationships/fontTable" Target="fontTable.xml"/><Relationship Id="rId9" Type="http://schemas.openxmlformats.org/officeDocument/2006/relationships/header" Target="header2.xml"/><Relationship Id="rId89" Type="http://schemas.openxmlformats.org/officeDocument/2006/relationships/numbering" Target="numbering.xml"/><Relationship Id="rId88" Type="http://schemas.openxmlformats.org/officeDocument/2006/relationships/customXml" Target="../customXml/item1.xml"/><Relationship Id="rId87" Type="http://schemas.openxmlformats.org/officeDocument/2006/relationships/image" Target="media/image74.png"/><Relationship Id="rId86" Type="http://schemas.openxmlformats.org/officeDocument/2006/relationships/image" Target="media/image73.png"/><Relationship Id="rId85" Type="http://schemas.openxmlformats.org/officeDocument/2006/relationships/image" Target="media/image72.png"/><Relationship Id="rId84" Type="http://schemas.openxmlformats.org/officeDocument/2006/relationships/image" Target="media/image71.png"/><Relationship Id="rId83" Type="http://schemas.openxmlformats.org/officeDocument/2006/relationships/image" Target="media/image70.png"/><Relationship Id="rId82" Type="http://schemas.openxmlformats.org/officeDocument/2006/relationships/image" Target="media/image69.png"/><Relationship Id="rId81" Type="http://schemas.openxmlformats.org/officeDocument/2006/relationships/image" Target="media/image68.png"/><Relationship Id="rId80" Type="http://schemas.openxmlformats.org/officeDocument/2006/relationships/image" Target="media/image67.jpeg"/><Relationship Id="rId8" Type="http://schemas.openxmlformats.org/officeDocument/2006/relationships/footer" Target="footer3.xml"/><Relationship Id="rId79" Type="http://schemas.openxmlformats.org/officeDocument/2006/relationships/image" Target="media/image66.jpeg"/><Relationship Id="rId78" Type="http://schemas.openxmlformats.org/officeDocument/2006/relationships/image" Target="media/image65.png"/><Relationship Id="rId77" Type="http://schemas.openxmlformats.org/officeDocument/2006/relationships/image" Target="media/image64.jpeg"/><Relationship Id="rId76" Type="http://schemas.openxmlformats.org/officeDocument/2006/relationships/image" Target="media/image63.png"/><Relationship Id="rId75" Type="http://schemas.openxmlformats.org/officeDocument/2006/relationships/image" Target="media/image62.png"/><Relationship Id="rId74" Type="http://schemas.openxmlformats.org/officeDocument/2006/relationships/image" Target="media/image61.jpeg"/><Relationship Id="rId73" Type="http://schemas.openxmlformats.org/officeDocument/2006/relationships/image" Target="media/image60.jpeg"/><Relationship Id="rId72" Type="http://schemas.openxmlformats.org/officeDocument/2006/relationships/image" Target="media/image59.jpeg"/><Relationship Id="rId71" Type="http://schemas.openxmlformats.org/officeDocument/2006/relationships/image" Target="media/image58.jpeg"/><Relationship Id="rId70" Type="http://schemas.openxmlformats.org/officeDocument/2006/relationships/image" Target="media/image57.jpeg"/><Relationship Id="rId7" Type="http://schemas.openxmlformats.org/officeDocument/2006/relationships/footer" Target="footer2.xml"/><Relationship Id="rId69" Type="http://schemas.openxmlformats.org/officeDocument/2006/relationships/image" Target="media/image56.jpeg"/><Relationship Id="rId68" Type="http://schemas.openxmlformats.org/officeDocument/2006/relationships/image" Target="media/image55.jpeg"/><Relationship Id="rId67" Type="http://schemas.openxmlformats.org/officeDocument/2006/relationships/image" Target="media/image54.jpeg"/><Relationship Id="rId66" Type="http://schemas.openxmlformats.org/officeDocument/2006/relationships/image" Target="media/image53.jpeg"/><Relationship Id="rId65" Type="http://schemas.openxmlformats.org/officeDocument/2006/relationships/image" Target="media/image52.jpeg"/><Relationship Id="rId64" Type="http://schemas.openxmlformats.org/officeDocument/2006/relationships/image" Target="media/image51.jpeg"/><Relationship Id="rId63" Type="http://schemas.openxmlformats.org/officeDocument/2006/relationships/image" Target="media/image50.jpeg"/><Relationship Id="rId62" Type="http://schemas.openxmlformats.org/officeDocument/2006/relationships/image" Target="media/image49.png"/><Relationship Id="rId61" Type="http://schemas.openxmlformats.org/officeDocument/2006/relationships/image" Target="media/image48.png"/><Relationship Id="rId60" Type="http://schemas.openxmlformats.org/officeDocument/2006/relationships/image" Target="media/image47.png"/><Relationship Id="rId6" Type="http://schemas.openxmlformats.org/officeDocument/2006/relationships/header" Target="header1.xml"/><Relationship Id="rId59" Type="http://schemas.openxmlformats.org/officeDocument/2006/relationships/image" Target="media/image46.jpeg"/><Relationship Id="rId58" Type="http://schemas.openxmlformats.org/officeDocument/2006/relationships/image" Target="media/image45.jpeg"/><Relationship Id="rId57" Type="http://schemas.openxmlformats.org/officeDocument/2006/relationships/image" Target="media/image44.jpeg"/><Relationship Id="rId56" Type="http://schemas.openxmlformats.org/officeDocument/2006/relationships/image" Target="media/image43.png"/><Relationship Id="rId55" Type="http://schemas.openxmlformats.org/officeDocument/2006/relationships/image" Target="media/image42.jpeg"/><Relationship Id="rId54" Type="http://schemas.openxmlformats.org/officeDocument/2006/relationships/image" Target="media/image41.jpeg"/><Relationship Id="rId53" Type="http://schemas.openxmlformats.org/officeDocument/2006/relationships/image" Target="media/image40.jpeg"/><Relationship Id="rId52" Type="http://schemas.openxmlformats.org/officeDocument/2006/relationships/image" Target="media/image39.jpeg"/><Relationship Id="rId51" Type="http://schemas.openxmlformats.org/officeDocument/2006/relationships/image" Target="media/image38.png"/><Relationship Id="rId50" Type="http://schemas.openxmlformats.org/officeDocument/2006/relationships/image" Target="media/image37.jpeg"/><Relationship Id="rId5" Type="http://schemas.openxmlformats.org/officeDocument/2006/relationships/footer" Target="footer1.xml"/><Relationship Id="rId49" Type="http://schemas.openxmlformats.org/officeDocument/2006/relationships/image" Target="media/image36.png"/><Relationship Id="rId48" Type="http://schemas.openxmlformats.org/officeDocument/2006/relationships/image" Target="media/image35.png"/><Relationship Id="rId47" Type="http://schemas.openxmlformats.org/officeDocument/2006/relationships/image" Target="media/image34.jpeg"/><Relationship Id="rId46" Type="http://schemas.openxmlformats.org/officeDocument/2006/relationships/image" Target="media/image33.jpeg"/><Relationship Id="rId45" Type="http://schemas.openxmlformats.org/officeDocument/2006/relationships/image" Target="media/image32.jpeg"/><Relationship Id="rId44" Type="http://schemas.openxmlformats.org/officeDocument/2006/relationships/image" Target="media/image31.jpeg"/><Relationship Id="rId43" Type="http://schemas.openxmlformats.org/officeDocument/2006/relationships/image" Target="media/image30.jpeg"/><Relationship Id="rId42" Type="http://schemas.openxmlformats.org/officeDocument/2006/relationships/image" Target="media/image29.jpeg"/><Relationship Id="rId41" Type="http://schemas.openxmlformats.org/officeDocument/2006/relationships/image" Target="media/image28.jpeg"/><Relationship Id="rId40" Type="http://schemas.openxmlformats.org/officeDocument/2006/relationships/image" Target="media/image27.jpeg"/><Relationship Id="rId4" Type="http://schemas.openxmlformats.org/officeDocument/2006/relationships/endnotes" Target="endnotes.xml"/><Relationship Id="rId39" Type="http://schemas.openxmlformats.org/officeDocument/2006/relationships/image" Target="media/image26.jpeg"/><Relationship Id="rId38" Type="http://schemas.openxmlformats.org/officeDocument/2006/relationships/image" Target="media/image25.jpeg"/><Relationship Id="rId37" Type="http://schemas.openxmlformats.org/officeDocument/2006/relationships/image" Target="media/image24.jpe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jpeg"/><Relationship Id="rId32" Type="http://schemas.openxmlformats.org/officeDocument/2006/relationships/image" Target="media/image19.jpeg"/><Relationship Id="rId31" Type="http://schemas.openxmlformats.org/officeDocument/2006/relationships/image" Target="media/image18.jpeg"/><Relationship Id="rId30" Type="http://schemas.openxmlformats.org/officeDocument/2006/relationships/image" Target="media/image17.jpeg"/><Relationship Id="rId3" Type="http://schemas.openxmlformats.org/officeDocument/2006/relationships/footnotes" Target="footnotes.xml"/><Relationship Id="rId29" Type="http://schemas.openxmlformats.org/officeDocument/2006/relationships/image" Target="media/image16.jpeg"/><Relationship Id="rId28" Type="http://schemas.openxmlformats.org/officeDocument/2006/relationships/image" Target="media/image15.jpeg"/><Relationship Id="rId27" Type="http://schemas.openxmlformats.org/officeDocument/2006/relationships/image" Target="media/image14.jpeg"/><Relationship Id="rId26" Type="http://schemas.openxmlformats.org/officeDocument/2006/relationships/image" Target="media/image13.png"/><Relationship Id="rId25" Type="http://schemas.openxmlformats.org/officeDocument/2006/relationships/image" Target="media/image12.jpeg"/><Relationship Id="rId24" Type="http://schemas.openxmlformats.org/officeDocument/2006/relationships/image" Target="media/image11.jpeg"/><Relationship Id="rId23" Type="http://schemas.openxmlformats.org/officeDocument/2006/relationships/image" Target="media/image10.jpeg"/><Relationship Id="rId22" Type="http://schemas.openxmlformats.org/officeDocument/2006/relationships/image" Target="media/image9.jpeg"/><Relationship Id="rId21" Type="http://schemas.openxmlformats.org/officeDocument/2006/relationships/image" Target="media/image8.jpeg"/><Relationship Id="rId20" Type="http://schemas.openxmlformats.org/officeDocument/2006/relationships/image" Target="media/image7.jpeg"/><Relationship Id="rId2" Type="http://schemas.openxmlformats.org/officeDocument/2006/relationships/settings" Target="settings.xml"/><Relationship Id="rId19" Type="http://schemas.openxmlformats.org/officeDocument/2006/relationships/image" Target="media/image6.jpeg"/><Relationship Id="rId18" Type="http://schemas.openxmlformats.org/officeDocument/2006/relationships/image" Target="media/image5.jpeg"/><Relationship Id="rId17" Type="http://schemas.openxmlformats.org/officeDocument/2006/relationships/image" Target="media/image4.jpeg"/><Relationship Id="rId16" Type="http://schemas.openxmlformats.org/officeDocument/2006/relationships/image" Target="media/image3.jpe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5.xml"/><Relationship Id="rId11" Type="http://schemas.openxmlformats.org/officeDocument/2006/relationships/header" Target="header3.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141</Pages>
  <Words>13631</Words>
  <Characters>14637</Characters>
  <Lines>0</Lines>
  <Paragraphs>0</Paragraphs>
  <TotalTime>0</TotalTime>
  <ScaleCrop>false</ScaleCrop>
  <LinksUpToDate>false</LinksUpToDate>
  <CharactersWithSpaces>15018</CharactersWithSpaces>
  <Application>WPS Office_12.1.0.22215_F1E327BC-269C-435d-A152-05C5408002CA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2023-10-22T07:26:00Z</dcterms:created>
  <dc:creator>-</dc:creator>
  <cp:lastModifiedBy>Administrator</cp:lastModifiedBy>
  <cp:lastPrinted>2025-01-24T08:00:00Z</cp:lastPrinted>
  <dcterms:modified xsi:type="dcterms:W3CDTF">2025-08-14T07:57:33Z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2052-12.1.0.22215</vt:lpwstr>
  </property>
  <property fmtid="{D5CDD505-2E9C-101B-9397-08002B2CF9AE}" pid="3" name="ICV">
    <vt:lpwstr>547E6077DD104AEB8163C99E5713F782_13</vt:lpwstr>
  </property>
  <property fmtid="{D5CDD505-2E9C-101B-9397-08002B2CF9AE}" pid="4" name="KSOTemplateDocerSaveRecord">
    <vt:lpwstr>eyJoZGlkIjoiZThjMTdlMzhlZDVkZjBjNzY3MGZiMmI3YzE0Mzk3OTEiLCJ1c2VySWQiOiI1NTYyNjM4NTcifQ==</vt:lpwstr>
  </property>
</Properties>
</file>