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3"/>
        <w:ind w:left="420"/>
        <w:rPr>
          <w:color w:val="auto"/>
          <w:highlight w:val="none"/>
        </w:rPr>
      </w:pPr>
      <w:bookmarkStart w:id="73" w:name="_GoBack"/>
    </w:p>
    <w:p>
      <w:pPr>
        <w:spacing w:line="400" w:lineRule="exact"/>
        <w:rPr>
          <w:rFonts w:ascii="宋体" w:hAnsi="宋体" w:cs="宋体"/>
          <w:color w:val="auto"/>
          <w:highlight w:val="none"/>
        </w:rPr>
      </w:pPr>
    </w:p>
    <w:p>
      <w:pPr>
        <w:spacing w:line="480" w:lineRule="auto"/>
        <w:jc w:val="center"/>
        <w:rPr>
          <w:rFonts w:hint="eastAsia" w:ascii="宋体" w:hAnsi="宋体" w:eastAsia="宋体" w:cs="宋体"/>
          <w:color w:val="auto"/>
          <w:sz w:val="44"/>
          <w:szCs w:val="44"/>
          <w:highlight w:val="none"/>
          <w:lang w:eastAsia="zh-CN"/>
        </w:rPr>
      </w:pPr>
      <w:r>
        <w:rPr>
          <w:rFonts w:hint="eastAsia" w:ascii="宋体" w:hAnsi="宋体" w:cs="宋体"/>
          <w:color w:val="auto"/>
          <w:sz w:val="44"/>
          <w:szCs w:val="44"/>
          <w:highlight w:val="none"/>
          <w:lang w:eastAsia="zh-CN"/>
        </w:rPr>
        <w:t>东方宾馆2号楼二、三层及东翼商场综合维修保养项目设计施工一体化</w:t>
      </w:r>
    </w:p>
    <w:p>
      <w:pPr>
        <w:spacing w:line="480" w:lineRule="auto"/>
        <w:rPr>
          <w:rFonts w:ascii="宋体" w:hAnsi="宋体" w:cs="宋体"/>
          <w:color w:val="auto"/>
          <w:sz w:val="36"/>
          <w:szCs w:val="36"/>
          <w:highlight w:val="none"/>
        </w:rPr>
      </w:pPr>
    </w:p>
    <w:p>
      <w:pPr>
        <w:rPr>
          <w:rFonts w:ascii="宋体" w:hAnsi="宋体" w:cs="宋体"/>
          <w:color w:val="auto"/>
          <w:sz w:val="28"/>
          <w:szCs w:val="28"/>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jc w:val="center"/>
        <w:rPr>
          <w:rFonts w:ascii="宋体" w:hAnsi="宋体" w:cs="宋体"/>
          <w:color w:val="auto"/>
          <w:sz w:val="96"/>
          <w:szCs w:val="96"/>
          <w:highlight w:val="none"/>
        </w:rPr>
      </w:pPr>
      <w:r>
        <w:rPr>
          <w:rFonts w:hint="eastAsia" w:ascii="宋体" w:hAnsi="宋体" w:cs="宋体"/>
          <w:color w:val="auto"/>
          <w:sz w:val="96"/>
          <w:szCs w:val="96"/>
          <w:highlight w:val="none"/>
        </w:rPr>
        <w:t>招标文件</w:t>
      </w: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r>
        <w:rPr>
          <w:rFonts w:hint="eastAsia" w:ascii="宋体" w:hAnsi="宋体" w:cs="宋体"/>
          <w:color w:val="auto"/>
          <w:highlight w:val="none"/>
        </w:rPr>
        <w:t xml:space="preserve"> </w:t>
      </w: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招标人：</w:t>
      </w:r>
      <w:r>
        <w:rPr>
          <w:rFonts w:hint="eastAsia" w:ascii="宋体" w:hAnsi="宋体" w:cs="宋体"/>
          <w:color w:val="auto"/>
          <w:sz w:val="28"/>
          <w:szCs w:val="28"/>
          <w:highlight w:val="none"/>
          <w:u w:val="single"/>
        </w:rPr>
        <w:t xml:space="preserve"> 广州岭南集团控股股份有限公司东方宾馆分公司</w:t>
      </w:r>
    </w:p>
    <w:p>
      <w:pPr>
        <w:ind w:firstLine="1120" w:firstLineChars="4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招标代理单位：</w:t>
      </w:r>
      <w:r>
        <w:rPr>
          <w:rFonts w:hint="eastAsia" w:ascii="宋体" w:hAnsi="宋体" w:cs="宋体"/>
          <w:color w:val="auto"/>
          <w:sz w:val="28"/>
          <w:szCs w:val="28"/>
          <w:highlight w:val="none"/>
          <w:u w:val="single"/>
        </w:rPr>
        <w:t>广东省机电设备招标有限公司</w:t>
      </w:r>
    </w:p>
    <w:p>
      <w:pPr>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2025</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8</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p>
    <w:p>
      <w:pPr>
        <w:spacing w:line="400" w:lineRule="exact"/>
        <w:rPr>
          <w:rFonts w:ascii="宋体" w:hAnsi="宋体" w:cs="宋体"/>
          <w:color w:val="auto"/>
          <w:highlight w:val="none"/>
        </w:rPr>
        <w:sectPr>
          <w:headerReference r:id="rId3" w:type="default"/>
          <w:footerReference r:id="rId4" w:type="default"/>
          <w:pgSz w:w="11906" w:h="16838"/>
          <w:pgMar w:top="1440" w:right="1083" w:bottom="1440" w:left="1083" w:header="851" w:footer="992" w:gutter="0"/>
          <w:cols w:space="0" w:num="1"/>
          <w:docGrid w:type="lines" w:linePitch="317" w:charSpace="0"/>
        </w:sectPr>
      </w:pPr>
    </w:p>
    <w:p>
      <w:pPr>
        <w:pStyle w:val="2"/>
        <w:jc w:val="center"/>
        <w:rPr>
          <w:rFonts w:ascii="宋体" w:hAnsi="宋体" w:cs="宋体"/>
          <w:color w:val="auto"/>
          <w:highlight w:val="none"/>
        </w:rPr>
      </w:pPr>
      <w:bookmarkStart w:id="0" w:name="_Toc4780"/>
      <w:r>
        <w:rPr>
          <w:rFonts w:hint="eastAsia" w:ascii="宋体" w:hAnsi="宋体" w:cs="宋体"/>
          <w:color w:val="auto"/>
          <w:highlight w:val="none"/>
        </w:rPr>
        <w:t>目     录</w:t>
      </w:r>
      <w:bookmarkEnd w:id="0"/>
    </w:p>
    <w:p>
      <w:pPr>
        <w:pStyle w:val="25"/>
        <w:tabs>
          <w:tab w:val="right" w:leader="dot" w:pos="9740"/>
        </w:tabs>
        <w:rPr>
          <w:color w:val="auto"/>
          <w:highlight w:val="none"/>
        </w:rPr>
      </w:pPr>
      <w:r>
        <w:rPr>
          <w:rFonts w:hint="eastAsia" w:ascii="宋体" w:hAnsi="宋体" w:cs="宋体"/>
          <w:caps w:val="0"/>
          <w:color w:val="auto"/>
          <w:highlight w:val="none"/>
        </w:rPr>
        <w:fldChar w:fldCharType="begin"/>
      </w:r>
      <w:r>
        <w:rPr>
          <w:rFonts w:hint="eastAsia" w:ascii="宋体" w:hAnsi="宋体" w:cs="宋体"/>
          <w:caps w:val="0"/>
          <w:color w:val="auto"/>
          <w:highlight w:val="none"/>
        </w:rPr>
        <w:instrText xml:space="preserve"> TOC \o "1-3" \h \z \u </w:instrText>
      </w:r>
      <w:r>
        <w:rPr>
          <w:rFonts w:hint="eastAsia" w:ascii="宋体" w:hAnsi="宋体" w:cs="宋体"/>
          <w:caps w:val="0"/>
          <w:color w:val="auto"/>
          <w:highlight w:val="none"/>
        </w:rPr>
        <w:fldChar w:fldCharType="separate"/>
      </w:r>
      <w:r>
        <w:rPr>
          <w:rFonts w:hint="eastAsia" w:ascii="宋体" w:hAnsi="宋体" w:cs="宋体"/>
          <w:caps w:val="0"/>
          <w:color w:val="auto"/>
          <w:highlight w:val="none"/>
        </w:rPr>
        <w:fldChar w:fldCharType="begin"/>
      </w:r>
      <w:r>
        <w:rPr>
          <w:rFonts w:hint="eastAsia" w:ascii="宋体" w:hAnsi="宋体" w:cs="宋体"/>
          <w:caps w:val="0"/>
          <w:color w:val="auto"/>
          <w:highlight w:val="none"/>
        </w:rPr>
        <w:instrText xml:space="preserve"> HYPERLINK \l _Toc4780 </w:instrText>
      </w:r>
      <w:r>
        <w:rPr>
          <w:rFonts w:hint="eastAsia" w:ascii="宋体" w:hAnsi="宋体" w:cs="宋体"/>
          <w:caps w:val="0"/>
          <w:color w:val="auto"/>
          <w:highlight w:val="none"/>
        </w:rPr>
        <w:fldChar w:fldCharType="separate"/>
      </w:r>
      <w:r>
        <w:rPr>
          <w:rFonts w:hint="eastAsia" w:ascii="宋体" w:hAnsi="宋体" w:cs="宋体"/>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_Toc4780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aps w:val="0"/>
          <w:color w:val="auto"/>
          <w:highlight w:val="none"/>
        </w:rPr>
        <w:fldChar w:fldCharType="end"/>
      </w:r>
    </w:p>
    <w:p>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_Toc9849 </w:instrText>
      </w:r>
      <w:r>
        <w:rPr>
          <w:rFonts w:hint="eastAsia" w:ascii="宋体" w:hAnsi="宋体" w:cs="宋体"/>
          <w:color w:val="auto"/>
          <w:highlight w:val="none"/>
        </w:rPr>
        <w:fldChar w:fldCharType="separate"/>
      </w:r>
      <w:r>
        <w:rPr>
          <w:rFonts w:hint="eastAsia" w:ascii="宋体" w:hAnsi="宋体" w:cs="宋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_Toc9849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p>
    <w:p>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_Toc15374 </w:instrText>
      </w:r>
      <w:r>
        <w:rPr>
          <w:rFonts w:hint="eastAsia" w:ascii="宋体" w:hAnsi="宋体" w:cs="宋体"/>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_Toc15374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_Toc716 </w:instrText>
      </w:r>
      <w:r>
        <w:rPr>
          <w:rFonts w:hint="eastAsia" w:ascii="宋体" w:hAnsi="宋体" w:cs="宋体"/>
          <w:color w:val="auto"/>
          <w:highlight w:val="none"/>
        </w:rPr>
        <w:fldChar w:fldCharType="separate"/>
      </w:r>
      <w:r>
        <w:rPr>
          <w:rFonts w:hint="eastAsia" w:ascii="宋体" w:hAnsi="宋体" w:cs="宋体"/>
          <w:color w:val="auto"/>
          <w:highlight w:val="none"/>
        </w:rPr>
        <w:t>（另册）</w:t>
      </w:r>
      <w:r>
        <w:rPr>
          <w:color w:val="auto"/>
          <w:highlight w:val="none"/>
        </w:rPr>
        <w:tab/>
      </w:r>
      <w:r>
        <w:rPr>
          <w:color w:val="auto"/>
          <w:highlight w:val="none"/>
        </w:rPr>
        <w:fldChar w:fldCharType="begin"/>
      </w:r>
      <w:r>
        <w:rPr>
          <w:color w:val="auto"/>
          <w:highlight w:val="none"/>
        </w:rPr>
        <w:instrText xml:space="preserve"> PAGEREF _Toc716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_Toc26830 </w:instrText>
      </w:r>
      <w:r>
        <w:rPr>
          <w:rFonts w:hint="eastAsia" w:ascii="宋体" w:hAnsi="宋体" w:cs="宋体"/>
          <w:color w:val="auto"/>
          <w:highlight w:val="none"/>
        </w:rPr>
        <w:fldChar w:fldCharType="separate"/>
      </w:r>
      <w:r>
        <w:rPr>
          <w:rFonts w:hint="eastAsia" w:ascii="宋体" w:hAnsi="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_Toc26830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_Toc22023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_Toc22023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_Toc1741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_Toc1741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_Toc18585 </w:instrText>
      </w:r>
      <w:r>
        <w:rPr>
          <w:rFonts w:hint="eastAsia" w:ascii="宋体" w:hAnsi="宋体" w:cs="宋体"/>
          <w:color w:val="auto"/>
          <w:highlight w:val="none"/>
        </w:rPr>
        <w:fldChar w:fldCharType="separate"/>
      </w:r>
      <w:r>
        <w:rPr>
          <w:rFonts w:hint="eastAsia" w:ascii="宋体" w:eastAsia="宋体" w:cs="宋体"/>
          <w:color w:val="auto"/>
          <w:highlight w:val="none"/>
        </w:rPr>
        <w:t>1.1 项目概况</w:t>
      </w:r>
      <w:r>
        <w:rPr>
          <w:color w:val="auto"/>
          <w:highlight w:val="none"/>
        </w:rPr>
        <w:tab/>
      </w:r>
      <w:r>
        <w:rPr>
          <w:color w:val="auto"/>
          <w:highlight w:val="none"/>
        </w:rPr>
        <w:fldChar w:fldCharType="begin"/>
      </w:r>
      <w:r>
        <w:rPr>
          <w:color w:val="auto"/>
          <w:highlight w:val="none"/>
        </w:rPr>
        <w:instrText xml:space="preserve"> PAGEREF _Toc18585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_Toc3724 </w:instrText>
      </w:r>
      <w:r>
        <w:rPr>
          <w:rFonts w:hint="eastAsia" w:ascii="宋体" w:hAnsi="宋体" w:cs="宋体"/>
          <w:color w:val="auto"/>
          <w:highlight w:val="none"/>
        </w:rPr>
        <w:fldChar w:fldCharType="separate"/>
      </w:r>
      <w:r>
        <w:rPr>
          <w:rFonts w:hint="eastAsia" w:ascii="宋体" w:eastAsia="宋体" w:cs="宋体"/>
          <w:color w:val="auto"/>
          <w:highlight w:val="none"/>
        </w:rPr>
        <w:t>1.2 项目的资金来源和落实情况</w:t>
      </w:r>
      <w:r>
        <w:rPr>
          <w:color w:val="auto"/>
          <w:highlight w:val="none"/>
        </w:rPr>
        <w:tab/>
      </w:r>
      <w:r>
        <w:rPr>
          <w:color w:val="auto"/>
          <w:highlight w:val="none"/>
        </w:rPr>
        <w:fldChar w:fldCharType="begin"/>
      </w:r>
      <w:r>
        <w:rPr>
          <w:color w:val="auto"/>
          <w:highlight w:val="none"/>
        </w:rPr>
        <w:instrText xml:space="preserve"> PAGEREF _Toc3724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_Toc17314 </w:instrText>
      </w:r>
      <w:r>
        <w:rPr>
          <w:rFonts w:hint="eastAsia" w:ascii="宋体" w:hAnsi="宋体" w:cs="宋体"/>
          <w:color w:val="auto"/>
          <w:highlight w:val="none"/>
        </w:rPr>
        <w:fldChar w:fldCharType="separate"/>
      </w:r>
      <w:r>
        <w:rPr>
          <w:rFonts w:hint="eastAsia" w:ascii="宋体" w:eastAsia="宋体" w:cs="宋体"/>
          <w:color w:val="auto"/>
          <w:highlight w:val="none"/>
        </w:rPr>
        <w:t>1.3 招标范围、计划工期和质量标准</w:t>
      </w:r>
      <w:r>
        <w:rPr>
          <w:color w:val="auto"/>
          <w:highlight w:val="none"/>
        </w:rPr>
        <w:tab/>
      </w:r>
      <w:r>
        <w:rPr>
          <w:color w:val="auto"/>
          <w:highlight w:val="none"/>
        </w:rPr>
        <w:fldChar w:fldCharType="begin"/>
      </w:r>
      <w:r>
        <w:rPr>
          <w:color w:val="auto"/>
          <w:highlight w:val="none"/>
        </w:rPr>
        <w:instrText xml:space="preserve"> PAGEREF _Toc17314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_Toc21696 </w:instrText>
      </w:r>
      <w:r>
        <w:rPr>
          <w:rFonts w:hint="eastAsia" w:ascii="宋体" w:hAnsi="宋体" w:cs="宋体"/>
          <w:color w:val="auto"/>
          <w:highlight w:val="none"/>
        </w:rPr>
        <w:fldChar w:fldCharType="separate"/>
      </w:r>
      <w:r>
        <w:rPr>
          <w:rFonts w:hint="eastAsia" w:ascii="宋体" w:eastAsia="宋体" w:cs="宋体"/>
          <w:color w:val="auto"/>
          <w:highlight w:val="none"/>
        </w:rPr>
        <w:t>1.4 投标人资格要求</w:t>
      </w:r>
      <w:r>
        <w:rPr>
          <w:rFonts w:hint="eastAsia" w:ascii="新宋体" w:hAnsi="新宋体" w:eastAsia="新宋体" w:cs="新宋体"/>
          <w:color w:val="auto"/>
          <w:highlight w:val="none"/>
        </w:rPr>
        <w:t>（适用于未进行资格预审的）</w:t>
      </w:r>
      <w:r>
        <w:rPr>
          <w:color w:val="auto"/>
          <w:highlight w:val="none"/>
        </w:rPr>
        <w:tab/>
      </w:r>
      <w:r>
        <w:rPr>
          <w:color w:val="auto"/>
          <w:highlight w:val="none"/>
        </w:rPr>
        <w:fldChar w:fldCharType="begin"/>
      </w:r>
      <w:r>
        <w:rPr>
          <w:color w:val="auto"/>
          <w:highlight w:val="none"/>
        </w:rPr>
        <w:instrText xml:space="preserve"> PAGEREF _Toc21696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_Toc179 </w:instrText>
      </w:r>
      <w:r>
        <w:rPr>
          <w:rFonts w:hint="eastAsia" w:ascii="宋体" w:hAnsi="宋体" w:cs="宋体"/>
          <w:color w:val="auto"/>
          <w:highlight w:val="none"/>
        </w:rPr>
        <w:fldChar w:fldCharType="separate"/>
      </w:r>
      <w:r>
        <w:rPr>
          <w:rFonts w:hint="eastAsia" w:ascii="宋体" w:eastAsia="宋体" w:cs="宋体"/>
          <w:color w:val="auto"/>
          <w:highlight w:val="none"/>
        </w:rPr>
        <w:t>1.5 费用承担和设计成果补偿</w:t>
      </w:r>
      <w:r>
        <w:rPr>
          <w:color w:val="auto"/>
          <w:highlight w:val="none"/>
        </w:rPr>
        <w:tab/>
      </w:r>
      <w:r>
        <w:rPr>
          <w:color w:val="auto"/>
          <w:highlight w:val="none"/>
        </w:rPr>
        <w:fldChar w:fldCharType="begin"/>
      </w:r>
      <w:r>
        <w:rPr>
          <w:color w:val="auto"/>
          <w:highlight w:val="none"/>
        </w:rPr>
        <w:instrText xml:space="preserve"> PAGEREF _Toc179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_Toc19878 </w:instrText>
      </w:r>
      <w:r>
        <w:rPr>
          <w:rFonts w:hint="eastAsia" w:ascii="宋体" w:hAnsi="宋体" w:cs="宋体"/>
          <w:color w:val="auto"/>
          <w:highlight w:val="none"/>
        </w:rPr>
        <w:fldChar w:fldCharType="separate"/>
      </w:r>
      <w:r>
        <w:rPr>
          <w:rFonts w:hint="eastAsia" w:ascii="宋体" w:eastAsia="宋体" w:cs="宋体"/>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_Toc19878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_Toc26711 </w:instrText>
      </w:r>
      <w:r>
        <w:rPr>
          <w:rFonts w:hint="eastAsia" w:ascii="宋体" w:hAnsi="宋体" w:cs="宋体"/>
          <w:color w:val="auto"/>
          <w:highlight w:val="none"/>
        </w:rPr>
        <w:fldChar w:fldCharType="separate"/>
      </w:r>
      <w:r>
        <w:rPr>
          <w:rFonts w:hint="eastAsia" w:ascii="宋体" w:eastAsia="宋体" w:cs="宋体"/>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_Toc26711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_Toc30675 </w:instrText>
      </w:r>
      <w:r>
        <w:rPr>
          <w:rFonts w:hint="eastAsia" w:ascii="宋体" w:hAnsi="宋体" w:cs="宋体"/>
          <w:color w:val="auto"/>
          <w:highlight w:val="none"/>
        </w:rPr>
        <w:fldChar w:fldCharType="separate"/>
      </w:r>
      <w:r>
        <w:rPr>
          <w:rFonts w:hint="eastAsia" w:ascii="宋体" w:eastAsia="宋体" w:cs="宋体"/>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_Toc30675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_Toc15910 </w:instrText>
      </w:r>
      <w:r>
        <w:rPr>
          <w:rFonts w:hint="eastAsia" w:ascii="宋体" w:hAnsi="宋体" w:cs="宋体"/>
          <w:color w:val="auto"/>
          <w:highlight w:val="none"/>
        </w:rPr>
        <w:fldChar w:fldCharType="separate"/>
      </w:r>
      <w:r>
        <w:rPr>
          <w:rFonts w:hint="eastAsia" w:ascii="宋体" w:eastAsia="宋体" w:cs="宋体"/>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_Toc15910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_Toc4746 </w:instrText>
      </w:r>
      <w:r>
        <w:rPr>
          <w:rFonts w:hint="eastAsia" w:ascii="宋体" w:hAnsi="宋体" w:cs="宋体"/>
          <w:color w:val="auto"/>
          <w:highlight w:val="none"/>
        </w:rPr>
        <w:fldChar w:fldCharType="separate"/>
      </w:r>
      <w:r>
        <w:rPr>
          <w:rFonts w:hint="eastAsia" w:ascii="宋体" w:eastAsia="宋体" w:cs="宋体"/>
          <w:color w:val="auto"/>
          <w:highlight w:val="none"/>
        </w:rPr>
        <w:t>1.11 分包</w:t>
      </w:r>
      <w:r>
        <w:rPr>
          <w:color w:val="auto"/>
          <w:highlight w:val="none"/>
        </w:rPr>
        <w:tab/>
      </w:r>
      <w:r>
        <w:rPr>
          <w:color w:val="auto"/>
          <w:highlight w:val="none"/>
        </w:rPr>
        <w:fldChar w:fldCharType="begin"/>
      </w:r>
      <w:r>
        <w:rPr>
          <w:color w:val="auto"/>
          <w:highlight w:val="none"/>
        </w:rPr>
        <w:instrText xml:space="preserve"> PAGEREF _Toc4746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_Toc20019 </w:instrText>
      </w:r>
      <w:r>
        <w:rPr>
          <w:rFonts w:hint="eastAsia" w:ascii="宋体" w:hAnsi="宋体" w:cs="宋体"/>
          <w:color w:val="auto"/>
          <w:highlight w:val="none"/>
        </w:rPr>
        <w:fldChar w:fldCharType="separate"/>
      </w:r>
      <w:r>
        <w:rPr>
          <w:rFonts w:hint="eastAsia" w:ascii="宋体" w:eastAsia="宋体" w:cs="宋体"/>
          <w:color w:val="auto"/>
          <w:highlight w:val="none"/>
        </w:rPr>
        <w:t>1.12 偏离</w:t>
      </w:r>
      <w:r>
        <w:rPr>
          <w:color w:val="auto"/>
          <w:highlight w:val="none"/>
        </w:rPr>
        <w:tab/>
      </w:r>
      <w:r>
        <w:rPr>
          <w:color w:val="auto"/>
          <w:highlight w:val="none"/>
        </w:rPr>
        <w:fldChar w:fldCharType="begin"/>
      </w:r>
      <w:r>
        <w:rPr>
          <w:color w:val="auto"/>
          <w:highlight w:val="none"/>
        </w:rPr>
        <w:instrText xml:space="preserve"> PAGEREF _Toc20019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_Toc9197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_Toc9197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_Toc12043 </w:instrText>
      </w:r>
      <w:r>
        <w:rPr>
          <w:rFonts w:hint="eastAsia" w:ascii="宋体" w:hAnsi="宋体" w:cs="宋体"/>
          <w:color w:val="auto"/>
          <w:highlight w:val="none"/>
        </w:rPr>
        <w:fldChar w:fldCharType="separate"/>
      </w:r>
      <w:r>
        <w:rPr>
          <w:rFonts w:hint="eastAsia" w:ascii="宋体" w:eastAsia="宋体" w:cs="宋体"/>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_Toc12043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_Toc13695 </w:instrText>
      </w:r>
      <w:r>
        <w:rPr>
          <w:rFonts w:hint="eastAsia" w:ascii="宋体" w:hAnsi="宋体" w:cs="宋体"/>
          <w:color w:val="auto"/>
          <w:highlight w:val="none"/>
        </w:rPr>
        <w:fldChar w:fldCharType="separate"/>
      </w:r>
      <w:r>
        <w:rPr>
          <w:rFonts w:hint="eastAsia" w:ascii="宋体" w:eastAsia="宋体" w:cs="宋体"/>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_Toc13695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_Toc1193 </w:instrText>
      </w:r>
      <w:r>
        <w:rPr>
          <w:rFonts w:hint="eastAsia" w:ascii="宋体" w:hAnsi="宋体" w:cs="宋体"/>
          <w:color w:val="auto"/>
          <w:highlight w:val="none"/>
        </w:rPr>
        <w:fldChar w:fldCharType="separate"/>
      </w:r>
      <w:r>
        <w:rPr>
          <w:rFonts w:hint="eastAsia" w:ascii="宋体" w:eastAsia="宋体" w:cs="宋体"/>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_Toc1193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highlight w:val="none"/>
        </w:rPr>
        <w:fldChar w:fldCharType="end"/>
      </w:r>
    </w:p>
    <w:p>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_Toc8648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_Toc8648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_Toc21511 </w:instrText>
      </w:r>
      <w:r>
        <w:rPr>
          <w:rFonts w:hint="eastAsia" w:ascii="宋体" w:hAnsi="宋体" w:cs="宋体"/>
          <w:color w:val="auto"/>
          <w:highlight w:val="none"/>
        </w:rPr>
        <w:fldChar w:fldCharType="separate"/>
      </w:r>
      <w:r>
        <w:rPr>
          <w:rFonts w:hint="eastAsia" w:ascii="宋体" w:eastAsia="宋体" w:cs="宋体"/>
          <w:color w:val="auto"/>
          <w:szCs w:val="21"/>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_Toc21511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_Toc25636 </w:instrText>
      </w:r>
      <w:r>
        <w:rPr>
          <w:rFonts w:hint="eastAsia" w:ascii="宋体" w:hAnsi="宋体" w:cs="宋体"/>
          <w:color w:val="auto"/>
          <w:highlight w:val="none"/>
        </w:rPr>
        <w:fldChar w:fldCharType="separate"/>
      </w:r>
      <w:r>
        <w:rPr>
          <w:rFonts w:hint="eastAsia" w:ascii="宋体" w:eastAsia="宋体" w:cs="宋体"/>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_Toc25636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_Toc13363 </w:instrText>
      </w:r>
      <w:r>
        <w:rPr>
          <w:rFonts w:hint="eastAsia" w:ascii="宋体" w:hAnsi="宋体" w:cs="宋体"/>
          <w:color w:val="auto"/>
          <w:highlight w:val="none"/>
        </w:rPr>
        <w:fldChar w:fldCharType="separate"/>
      </w:r>
      <w:r>
        <w:rPr>
          <w:rFonts w:hint="eastAsia" w:ascii="宋体" w:eastAsia="宋体" w:cs="宋体"/>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_Toc13363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_Toc9217 </w:instrText>
      </w:r>
      <w:r>
        <w:rPr>
          <w:rFonts w:hint="eastAsia" w:ascii="宋体" w:hAnsi="宋体" w:cs="宋体"/>
          <w:color w:val="auto"/>
          <w:highlight w:val="none"/>
        </w:rPr>
        <w:fldChar w:fldCharType="separate"/>
      </w:r>
      <w:r>
        <w:rPr>
          <w:rFonts w:hint="eastAsia" w:ascii="宋体" w:eastAsia="宋体" w:cs="宋体"/>
          <w:color w:val="auto"/>
          <w:highlight w:val="none"/>
        </w:rPr>
        <w:t>3.4 投标保证金</w:t>
      </w:r>
      <w:r>
        <w:rPr>
          <w:color w:val="auto"/>
          <w:highlight w:val="none"/>
        </w:rPr>
        <w:tab/>
      </w:r>
      <w:r>
        <w:rPr>
          <w:color w:val="auto"/>
          <w:highlight w:val="none"/>
        </w:rPr>
        <w:fldChar w:fldCharType="begin"/>
      </w:r>
      <w:r>
        <w:rPr>
          <w:color w:val="auto"/>
          <w:highlight w:val="none"/>
        </w:rPr>
        <w:instrText xml:space="preserve"> PAGEREF _Toc9217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_Toc20756 </w:instrText>
      </w:r>
      <w:r>
        <w:rPr>
          <w:rFonts w:hint="eastAsia" w:ascii="宋体" w:hAnsi="宋体" w:cs="宋体"/>
          <w:color w:val="auto"/>
          <w:highlight w:val="none"/>
        </w:rPr>
        <w:fldChar w:fldCharType="separate"/>
      </w:r>
      <w:r>
        <w:rPr>
          <w:rFonts w:hint="eastAsia" w:ascii="宋体" w:eastAsia="宋体" w:cs="宋体"/>
          <w:color w:val="auto"/>
          <w:highlight w:val="none"/>
        </w:rPr>
        <w:t>3.5 资格审查资料（适用于未进行资格预审的）</w:t>
      </w:r>
      <w:r>
        <w:rPr>
          <w:color w:val="auto"/>
          <w:highlight w:val="none"/>
        </w:rPr>
        <w:tab/>
      </w:r>
      <w:r>
        <w:rPr>
          <w:color w:val="auto"/>
          <w:highlight w:val="none"/>
        </w:rPr>
        <w:fldChar w:fldCharType="begin"/>
      </w:r>
      <w:r>
        <w:rPr>
          <w:color w:val="auto"/>
          <w:highlight w:val="none"/>
        </w:rPr>
        <w:instrText xml:space="preserve"> PAGEREF _Toc20756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_Toc16153 </w:instrText>
      </w:r>
      <w:r>
        <w:rPr>
          <w:rFonts w:hint="eastAsia" w:ascii="宋体" w:hAnsi="宋体" w:cs="宋体"/>
          <w:color w:val="auto"/>
          <w:highlight w:val="none"/>
        </w:rPr>
        <w:fldChar w:fldCharType="separate"/>
      </w:r>
      <w:r>
        <w:rPr>
          <w:rFonts w:hint="eastAsia" w:ascii="宋体" w:eastAsia="宋体" w:cs="宋体"/>
          <w:color w:val="auto"/>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_Toc16153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_Toc5436 </w:instrText>
      </w:r>
      <w:r>
        <w:rPr>
          <w:rFonts w:hint="eastAsia" w:ascii="宋体" w:hAnsi="宋体" w:cs="宋体"/>
          <w:color w:val="auto"/>
          <w:highlight w:val="none"/>
        </w:rPr>
        <w:fldChar w:fldCharType="separate"/>
      </w:r>
      <w:r>
        <w:rPr>
          <w:rFonts w:hint="eastAsia" w:ascii="宋体" w:eastAsia="宋体" w:cs="宋体"/>
          <w:color w:val="auto"/>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_Toc5436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_Toc29291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_Toc29291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_Toc15236 </w:instrText>
      </w:r>
      <w:r>
        <w:rPr>
          <w:rFonts w:hint="eastAsia" w:ascii="宋体" w:hAnsi="宋体" w:cs="宋体"/>
          <w:color w:val="auto"/>
          <w:highlight w:val="none"/>
        </w:rPr>
        <w:fldChar w:fldCharType="separate"/>
      </w:r>
      <w:r>
        <w:rPr>
          <w:rFonts w:hint="eastAsia" w:ascii="宋体" w:eastAsia="宋体" w:cs="宋体"/>
          <w:color w:val="auto"/>
          <w:highlight w:val="none"/>
        </w:rPr>
        <w:t>4.1 投标文件的密封和标记</w:t>
      </w:r>
      <w:r>
        <w:rPr>
          <w:color w:val="auto"/>
          <w:highlight w:val="none"/>
        </w:rPr>
        <w:tab/>
      </w:r>
      <w:r>
        <w:rPr>
          <w:color w:val="auto"/>
          <w:highlight w:val="none"/>
        </w:rPr>
        <w:fldChar w:fldCharType="begin"/>
      </w:r>
      <w:r>
        <w:rPr>
          <w:color w:val="auto"/>
          <w:highlight w:val="none"/>
        </w:rPr>
        <w:instrText xml:space="preserve"> PAGEREF _Toc15236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_Toc32764 </w:instrText>
      </w:r>
      <w:r>
        <w:rPr>
          <w:rFonts w:hint="eastAsia" w:ascii="宋体" w:hAnsi="宋体" w:cs="宋体"/>
          <w:color w:val="auto"/>
          <w:highlight w:val="none"/>
        </w:rPr>
        <w:fldChar w:fldCharType="separate"/>
      </w:r>
      <w:r>
        <w:rPr>
          <w:rFonts w:hint="eastAsia" w:ascii="宋体" w:eastAsia="宋体" w:cs="宋体"/>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_Toc32764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_Toc20030 </w:instrText>
      </w:r>
      <w:r>
        <w:rPr>
          <w:rFonts w:hint="eastAsia" w:ascii="宋体" w:hAnsi="宋体" w:cs="宋体"/>
          <w:color w:val="auto"/>
          <w:highlight w:val="none"/>
        </w:rPr>
        <w:fldChar w:fldCharType="separate"/>
      </w:r>
      <w:r>
        <w:rPr>
          <w:rFonts w:hint="eastAsia" w:ascii="宋体" w:eastAsia="宋体" w:cs="宋体"/>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_Toc20030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_Toc24489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_Toc24489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_Toc2371 </w:instrText>
      </w:r>
      <w:r>
        <w:rPr>
          <w:rFonts w:hint="eastAsia" w:ascii="宋体" w:hAnsi="宋体" w:cs="宋体"/>
          <w:color w:val="auto"/>
          <w:highlight w:val="none"/>
        </w:rPr>
        <w:fldChar w:fldCharType="separate"/>
      </w:r>
      <w:r>
        <w:rPr>
          <w:rFonts w:hint="eastAsia" w:ascii="宋体" w:eastAsia="宋体" w:cs="宋体"/>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_Toc2371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_Toc15255 </w:instrText>
      </w:r>
      <w:r>
        <w:rPr>
          <w:rFonts w:hint="eastAsia" w:ascii="宋体" w:hAnsi="宋体" w:cs="宋体"/>
          <w:color w:val="auto"/>
          <w:highlight w:val="none"/>
        </w:rPr>
        <w:fldChar w:fldCharType="separate"/>
      </w:r>
      <w:r>
        <w:rPr>
          <w:rFonts w:hint="eastAsia" w:ascii="宋体" w:eastAsia="宋体" w:cs="宋体"/>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_Toc15255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_Toc32040 </w:instrText>
      </w:r>
      <w:r>
        <w:rPr>
          <w:rFonts w:hint="eastAsia" w:ascii="宋体" w:hAnsi="宋体" w:cs="宋体"/>
          <w:color w:val="auto"/>
          <w:highlight w:val="none"/>
        </w:rPr>
        <w:fldChar w:fldCharType="separate"/>
      </w:r>
      <w:r>
        <w:rPr>
          <w:rFonts w:hint="eastAsia" w:ascii="宋体" w:eastAsia="宋体" w:cs="宋体"/>
          <w:color w:val="auto"/>
          <w:highlight w:val="none"/>
        </w:rPr>
        <w:t>5.3 开标异议</w:t>
      </w:r>
      <w:r>
        <w:rPr>
          <w:color w:val="auto"/>
          <w:highlight w:val="none"/>
        </w:rPr>
        <w:tab/>
      </w:r>
      <w:r>
        <w:rPr>
          <w:color w:val="auto"/>
          <w:highlight w:val="none"/>
        </w:rPr>
        <w:fldChar w:fldCharType="begin"/>
      </w:r>
      <w:r>
        <w:rPr>
          <w:color w:val="auto"/>
          <w:highlight w:val="none"/>
        </w:rPr>
        <w:instrText xml:space="preserve"> PAGEREF _Toc32040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_Toc15612 </w:instrText>
      </w:r>
      <w:r>
        <w:rPr>
          <w:rFonts w:hint="eastAsia" w:ascii="宋体" w:hAnsi="宋体" w:cs="宋体"/>
          <w:color w:val="auto"/>
          <w:highlight w:val="none"/>
        </w:rPr>
        <w:fldChar w:fldCharType="separate"/>
      </w:r>
      <w:r>
        <w:rPr>
          <w:rFonts w:hint="eastAsia" w:ascii="宋体" w:eastAsia="宋体" w:cs="宋体"/>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_Toc15612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_Toc1372 </w:instrText>
      </w:r>
      <w:r>
        <w:rPr>
          <w:rFonts w:hint="eastAsia" w:ascii="宋体" w:hAnsi="宋体" w:cs="宋体"/>
          <w:color w:val="auto"/>
          <w:highlight w:val="none"/>
        </w:rPr>
        <w:fldChar w:fldCharType="separate"/>
      </w:r>
      <w:r>
        <w:rPr>
          <w:rFonts w:hint="eastAsia" w:ascii="宋体" w:eastAsia="宋体" w:cs="宋体"/>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_Toc1372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_Toc5207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_Toc5207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_Toc28674 </w:instrText>
      </w:r>
      <w:r>
        <w:rPr>
          <w:rFonts w:hint="eastAsia" w:ascii="宋体" w:hAnsi="宋体" w:cs="宋体"/>
          <w:color w:val="auto"/>
          <w:highlight w:val="none"/>
        </w:rPr>
        <w:fldChar w:fldCharType="separate"/>
      </w:r>
      <w:r>
        <w:rPr>
          <w:rFonts w:hint="eastAsia" w:ascii="宋体" w:eastAsia="宋体" w:cs="宋体"/>
          <w:color w:val="auto"/>
          <w:highlight w:val="none"/>
        </w:rPr>
        <w:t>7.1 定标方式</w:t>
      </w:r>
      <w:r>
        <w:rPr>
          <w:color w:val="auto"/>
          <w:highlight w:val="none"/>
        </w:rPr>
        <w:tab/>
      </w:r>
      <w:r>
        <w:rPr>
          <w:color w:val="auto"/>
          <w:highlight w:val="none"/>
        </w:rPr>
        <w:fldChar w:fldCharType="begin"/>
      </w:r>
      <w:r>
        <w:rPr>
          <w:color w:val="auto"/>
          <w:highlight w:val="none"/>
        </w:rPr>
        <w:instrText xml:space="preserve"> PAGEREF _Toc28674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_Toc16473 </w:instrText>
      </w:r>
      <w:r>
        <w:rPr>
          <w:rFonts w:hint="eastAsia" w:ascii="宋体" w:hAnsi="宋体" w:cs="宋体"/>
          <w:color w:val="auto"/>
          <w:highlight w:val="none"/>
        </w:rPr>
        <w:fldChar w:fldCharType="separate"/>
      </w:r>
      <w:r>
        <w:rPr>
          <w:rFonts w:hint="eastAsia" w:ascii="宋体" w:eastAsia="宋体" w:cs="宋体"/>
          <w:color w:val="auto"/>
          <w:highlight w:val="none"/>
        </w:rPr>
        <w:t>7.2 中标候选人公示</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_Toc28094 </w:instrText>
      </w:r>
      <w:r>
        <w:rPr>
          <w:rFonts w:hint="eastAsia" w:ascii="宋体" w:hAnsi="宋体" w:cs="宋体"/>
          <w:color w:val="auto"/>
          <w:highlight w:val="none"/>
        </w:rPr>
        <w:fldChar w:fldCharType="separate"/>
      </w:r>
      <w:r>
        <w:rPr>
          <w:rFonts w:hint="eastAsia" w:ascii="宋体" w:eastAsia="宋体" w:cs="宋体"/>
          <w:color w:val="auto"/>
          <w:highlight w:val="none"/>
        </w:rPr>
        <w:t>7.3 中标通知</w:t>
      </w:r>
      <w:r>
        <w:rPr>
          <w:color w:val="auto"/>
          <w:highlight w:val="none"/>
        </w:rPr>
        <w:tab/>
      </w:r>
      <w:r>
        <w:rPr>
          <w:color w:val="auto"/>
          <w:highlight w:val="none"/>
        </w:rPr>
        <w:fldChar w:fldCharType="begin"/>
      </w:r>
      <w:r>
        <w:rPr>
          <w:color w:val="auto"/>
          <w:highlight w:val="none"/>
        </w:rPr>
        <w:instrText xml:space="preserve"> PAGEREF _Toc28094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_Toc28928 </w:instrText>
      </w:r>
      <w:r>
        <w:rPr>
          <w:rFonts w:hint="eastAsia" w:ascii="宋体" w:hAnsi="宋体" w:cs="宋体"/>
          <w:color w:val="auto"/>
          <w:highlight w:val="none"/>
        </w:rPr>
        <w:fldChar w:fldCharType="separate"/>
      </w:r>
      <w:r>
        <w:rPr>
          <w:rFonts w:hint="eastAsia" w:ascii="宋体" w:eastAsia="宋体" w:cs="宋体"/>
          <w:color w:val="auto"/>
          <w:highlight w:val="none"/>
        </w:rPr>
        <w:t>7.4 履约担保</w:t>
      </w:r>
      <w:r>
        <w:rPr>
          <w:color w:val="auto"/>
          <w:highlight w:val="none"/>
        </w:rPr>
        <w:tab/>
      </w:r>
      <w:r>
        <w:rPr>
          <w:color w:val="auto"/>
          <w:highlight w:val="none"/>
        </w:rPr>
        <w:fldChar w:fldCharType="begin"/>
      </w:r>
      <w:r>
        <w:rPr>
          <w:color w:val="auto"/>
          <w:highlight w:val="none"/>
        </w:rPr>
        <w:instrText xml:space="preserve"> PAGEREF _Toc28928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_Toc20691 </w:instrText>
      </w:r>
      <w:r>
        <w:rPr>
          <w:rFonts w:hint="eastAsia" w:ascii="宋体" w:hAnsi="宋体" w:cs="宋体"/>
          <w:color w:val="auto"/>
          <w:highlight w:val="none"/>
        </w:rPr>
        <w:fldChar w:fldCharType="separate"/>
      </w:r>
      <w:r>
        <w:rPr>
          <w:rFonts w:hint="eastAsia" w:ascii="宋体" w:eastAsia="宋体" w:cs="宋体"/>
          <w:color w:val="auto"/>
          <w:highlight w:val="none"/>
        </w:rPr>
        <w:t>7.5 签订合同</w:t>
      </w:r>
      <w:r>
        <w:rPr>
          <w:color w:val="auto"/>
          <w:highlight w:val="none"/>
        </w:rPr>
        <w:tab/>
      </w:r>
      <w:r>
        <w:rPr>
          <w:color w:val="auto"/>
          <w:highlight w:val="none"/>
        </w:rPr>
        <w:fldChar w:fldCharType="begin"/>
      </w:r>
      <w:r>
        <w:rPr>
          <w:color w:val="auto"/>
          <w:highlight w:val="none"/>
        </w:rPr>
        <w:instrText xml:space="preserve"> PAGEREF _Toc20691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_Toc4287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8. 纪律和监督</w:t>
      </w:r>
      <w:r>
        <w:rPr>
          <w:color w:val="auto"/>
          <w:highlight w:val="none"/>
        </w:rPr>
        <w:tab/>
      </w:r>
      <w:r>
        <w:rPr>
          <w:color w:val="auto"/>
          <w:highlight w:val="none"/>
        </w:rPr>
        <w:fldChar w:fldCharType="begin"/>
      </w:r>
      <w:r>
        <w:rPr>
          <w:color w:val="auto"/>
          <w:highlight w:val="none"/>
        </w:rPr>
        <w:instrText xml:space="preserve"> PAGEREF _Toc4287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_Toc7745 </w:instrText>
      </w:r>
      <w:r>
        <w:rPr>
          <w:rFonts w:hint="eastAsia" w:ascii="宋体" w:hAnsi="宋体" w:cs="宋体"/>
          <w:color w:val="auto"/>
          <w:highlight w:val="none"/>
        </w:rPr>
        <w:fldChar w:fldCharType="separate"/>
      </w:r>
      <w:r>
        <w:rPr>
          <w:rFonts w:hint="eastAsia" w:ascii="宋体" w:eastAsia="宋体" w:cs="宋体"/>
          <w:color w:val="auto"/>
          <w:highlight w:val="none"/>
        </w:rPr>
        <w:t>8.1 对招标人的纪律要求</w:t>
      </w:r>
      <w:r>
        <w:rPr>
          <w:color w:val="auto"/>
          <w:highlight w:val="none"/>
        </w:rPr>
        <w:tab/>
      </w:r>
      <w:r>
        <w:rPr>
          <w:color w:val="auto"/>
          <w:highlight w:val="none"/>
        </w:rPr>
        <w:fldChar w:fldCharType="begin"/>
      </w:r>
      <w:r>
        <w:rPr>
          <w:color w:val="auto"/>
          <w:highlight w:val="none"/>
        </w:rPr>
        <w:instrText xml:space="preserve"> PAGEREF _Toc7745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_Toc2976 </w:instrText>
      </w:r>
      <w:r>
        <w:rPr>
          <w:rFonts w:hint="eastAsia" w:ascii="宋体" w:hAnsi="宋体" w:cs="宋体"/>
          <w:color w:val="auto"/>
          <w:highlight w:val="none"/>
        </w:rPr>
        <w:fldChar w:fldCharType="separate"/>
      </w:r>
      <w:r>
        <w:rPr>
          <w:rFonts w:hint="eastAsia" w:ascii="宋体" w:eastAsia="宋体" w:cs="宋体"/>
          <w:color w:val="auto"/>
          <w:highlight w:val="none"/>
        </w:rPr>
        <w:t>8.2 对投标人的纪律要求</w:t>
      </w:r>
      <w:r>
        <w:rPr>
          <w:color w:val="auto"/>
          <w:highlight w:val="none"/>
        </w:rPr>
        <w:tab/>
      </w:r>
      <w:r>
        <w:rPr>
          <w:color w:val="auto"/>
          <w:highlight w:val="none"/>
        </w:rPr>
        <w:fldChar w:fldCharType="begin"/>
      </w:r>
      <w:r>
        <w:rPr>
          <w:color w:val="auto"/>
          <w:highlight w:val="none"/>
        </w:rPr>
        <w:instrText xml:space="preserve"> PAGEREF _Toc2976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_Toc18627 </w:instrText>
      </w:r>
      <w:r>
        <w:rPr>
          <w:rFonts w:hint="eastAsia" w:ascii="宋体" w:hAnsi="宋体" w:cs="宋体"/>
          <w:color w:val="auto"/>
          <w:highlight w:val="none"/>
        </w:rPr>
        <w:fldChar w:fldCharType="separate"/>
      </w:r>
      <w:r>
        <w:rPr>
          <w:rFonts w:hint="eastAsia" w:ascii="宋体" w:eastAsia="宋体" w:cs="宋体"/>
          <w:color w:val="auto"/>
          <w:highlight w:val="none"/>
        </w:rPr>
        <w:t>8.3 对评标委员会成员的纪律要求</w:t>
      </w:r>
      <w:r>
        <w:rPr>
          <w:color w:val="auto"/>
          <w:highlight w:val="none"/>
        </w:rPr>
        <w:tab/>
      </w:r>
      <w:r>
        <w:rPr>
          <w:color w:val="auto"/>
          <w:highlight w:val="none"/>
        </w:rPr>
        <w:fldChar w:fldCharType="begin"/>
      </w:r>
      <w:r>
        <w:rPr>
          <w:color w:val="auto"/>
          <w:highlight w:val="none"/>
        </w:rPr>
        <w:instrText xml:space="preserve"> PAGEREF _Toc18627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_Toc27847 </w:instrText>
      </w:r>
      <w:r>
        <w:rPr>
          <w:rFonts w:hint="eastAsia" w:ascii="宋体" w:hAnsi="宋体" w:cs="宋体"/>
          <w:color w:val="auto"/>
          <w:highlight w:val="none"/>
        </w:rPr>
        <w:fldChar w:fldCharType="separate"/>
      </w:r>
      <w:r>
        <w:rPr>
          <w:rFonts w:hint="eastAsia" w:ascii="宋体" w:eastAsia="宋体" w:cs="宋体"/>
          <w:color w:val="auto"/>
          <w:highlight w:val="none"/>
        </w:rPr>
        <w:t>8.4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_Toc27847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_Toc27876 </w:instrText>
      </w:r>
      <w:r>
        <w:rPr>
          <w:rFonts w:hint="eastAsia" w:ascii="宋体" w:hAnsi="宋体" w:cs="宋体"/>
          <w:color w:val="auto"/>
          <w:highlight w:val="none"/>
        </w:rPr>
        <w:fldChar w:fldCharType="separate"/>
      </w:r>
      <w:r>
        <w:rPr>
          <w:rFonts w:hint="eastAsia" w:ascii="宋体" w:eastAsia="宋体" w:cs="宋体"/>
          <w:color w:val="auto"/>
          <w:highlight w:val="none"/>
        </w:rPr>
        <w:t>8.5 投诉</w:t>
      </w:r>
      <w:r>
        <w:rPr>
          <w:color w:val="auto"/>
          <w:highlight w:val="none"/>
        </w:rPr>
        <w:tab/>
      </w:r>
      <w:r>
        <w:rPr>
          <w:color w:val="auto"/>
          <w:highlight w:val="none"/>
        </w:rPr>
        <w:fldChar w:fldCharType="begin"/>
      </w:r>
      <w:r>
        <w:rPr>
          <w:color w:val="auto"/>
          <w:highlight w:val="none"/>
        </w:rPr>
        <w:instrText xml:space="preserve"> PAGEREF _Toc27876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_Toc27842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9. 需要补充的其他内容</w:t>
      </w:r>
      <w:r>
        <w:rPr>
          <w:color w:val="auto"/>
          <w:highlight w:val="none"/>
        </w:rPr>
        <w:tab/>
      </w:r>
      <w:r>
        <w:rPr>
          <w:color w:val="auto"/>
          <w:highlight w:val="none"/>
        </w:rPr>
        <w:fldChar w:fldCharType="begin"/>
      </w:r>
      <w:r>
        <w:rPr>
          <w:color w:val="auto"/>
          <w:highlight w:val="none"/>
        </w:rPr>
        <w:instrText xml:space="preserve"> PAGEREF _Toc27842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_Toc24189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10. 电子招标投标</w:t>
      </w:r>
      <w:r>
        <w:rPr>
          <w:color w:val="auto"/>
          <w:highlight w:val="none"/>
        </w:rPr>
        <w:tab/>
      </w:r>
      <w:r>
        <w:rPr>
          <w:color w:val="auto"/>
          <w:highlight w:val="none"/>
        </w:rPr>
        <w:fldChar w:fldCharType="begin"/>
      </w:r>
      <w:r>
        <w:rPr>
          <w:color w:val="auto"/>
          <w:highlight w:val="none"/>
        </w:rPr>
        <w:instrText xml:space="preserve"> PAGEREF _Toc24189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_Toc8061 </w:instrText>
      </w:r>
      <w:r>
        <w:rPr>
          <w:rFonts w:hint="eastAsia" w:ascii="宋体" w:hAnsi="宋体" w:cs="宋体"/>
          <w:color w:val="auto"/>
          <w:highlight w:val="none"/>
        </w:rPr>
        <w:fldChar w:fldCharType="separate"/>
      </w:r>
      <w:r>
        <w:rPr>
          <w:rFonts w:hint="eastAsia" w:ascii="宋体" w:hAnsi="宋体" w:cs="宋体"/>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_Toc8061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_Toc7000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_Toc7000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_Toc9955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_Toc9955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_Toc5079 </w:instrText>
      </w:r>
      <w:r>
        <w:rPr>
          <w:rFonts w:hint="eastAsia" w:ascii="宋体" w:hAnsi="宋体" w:cs="宋体"/>
          <w:color w:val="auto"/>
          <w:highlight w:val="none"/>
        </w:rPr>
        <w:fldChar w:fldCharType="separate"/>
      </w:r>
      <w:r>
        <w:rPr>
          <w:rFonts w:hint="eastAsia" w:ascii="宋体" w:eastAsia="宋体" w:cs="宋体"/>
          <w:color w:val="auto"/>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_Toc5079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_Toc14190 </w:instrText>
      </w:r>
      <w:r>
        <w:rPr>
          <w:rFonts w:hint="eastAsia" w:ascii="宋体" w:hAnsi="宋体" w:cs="宋体"/>
          <w:color w:val="auto"/>
          <w:highlight w:val="none"/>
        </w:rPr>
        <w:fldChar w:fldCharType="separate"/>
      </w:r>
      <w:r>
        <w:rPr>
          <w:rFonts w:hint="eastAsia" w:ascii="宋体" w:eastAsia="宋体" w:cs="宋体"/>
          <w:color w:val="auto"/>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_Toc14190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_Toc451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_Toc451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_Toc26154 </w:instrText>
      </w:r>
      <w:r>
        <w:rPr>
          <w:rFonts w:hint="eastAsia" w:ascii="宋体" w:hAnsi="宋体" w:cs="宋体"/>
          <w:color w:val="auto"/>
          <w:highlight w:val="none"/>
        </w:rPr>
        <w:fldChar w:fldCharType="separate"/>
      </w:r>
      <w:r>
        <w:rPr>
          <w:rFonts w:hint="eastAsia" w:ascii="宋体" w:eastAsia="宋体" w:cs="宋体"/>
          <w:color w:val="auto"/>
          <w:highlight w:val="none"/>
        </w:rPr>
        <w:t>3.1设计方案评审</w:t>
      </w:r>
      <w:r>
        <w:rPr>
          <w:color w:val="auto"/>
          <w:highlight w:val="none"/>
        </w:rPr>
        <w:tab/>
      </w:r>
      <w:r>
        <w:rPr>
          <w:color w:val="auto"/>
          <w:highlight w:val="none"/>
        </w:rPr>
        <w:fldChar w:fldCharType="begin"/>
      </w:r>
      <w:r>
        <w:rPr>
          <w:color w:val="auto"/>
          <w:highlight w:val="none"/>
        </w:rPr>
        <w:instrText xml:space="preserve"> PAGEREF _Toc26154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_Toc1717 </w:instrText>
      </w:r>
      <w:r>
        <w:rPr>
          <w:rFonts w:hint="eastAsia" w:ascii="宋体" w:hAnsi="宋体" w:cs="宋体"/>
          <w:color w:val="auto"/>
          <w:highlight w:val="none"/>
        </w:rPr>
        <w:fldChar w:fldCharType="separate"/>
      </w:r>
      <w:r>
        <w:rPr>
          <w:rFonts w:hint="eastAsia" w:ascii="宋体" w:eastAsia="宋体" w:cs="宋体"/>
          <w:color w:val="auto"/>
          <w:highlight w:val="none"/>
        </w:rPr>
        <w:t>3.2形式审查及资格审查</w:t>
      </w:r>
      <w:r>
        <w:rPr>
          <w:color w:val="auto"/>
          <w:highlight w:val="none"/>
        </w:rPr>
        <w:tab/>
      </w:r>
      <w:r>
        <w:rPr>
          <w:color w:val="auto"/>
          <w:highlight w:val="none"/>
        </w:rPr>
        <w:fldChar w:fldCharType="begin"/>
      </w:r>
      <w:r>
        <w:rPr>
          <w:color w:val="auto"/>
          <w:highlight w:val="none"/>
        </w:rPr>
        <w:instrText xml:space="preserve"> PAGEREF _Toc1717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_Toc13314 </w:instrText>
      </w:r>
      <w:r>
        <w:rPr>
          <w:rFonts w:hint="eastAsia" w:ascii="宋体" w:hAnsi="宋体" w:cs="宋体"/>
          <w:color w:val="auto"/>
          <w:highlight w:val="none"/>
        </w:rPr>
        <w:fldChar w:fldCharType="separate"/>
      </w:r>
      <w:r>
        <w:rPr>
          <w:rFonts w:hint="eastAsia" w:ascii="宋体" w:eastAsia="宋体" w:cs="宋体"/>
          <w:color w:val="auto"/>
          <w:highlight w:val="none"/>
        </w:rPr>
        <w:t>3.3工程承包实施方案评审</w:t>
      </w:r>
      <w:r>
        <w:rPr>
          <w:color w:val="auto"/>
          <w:highlight w:val="none"/>
        </w:rPr>
        <w:tab/>
      </w:r>
      <w:r>
        <w:rPr>
          <w:color w:val="auto"/>
          <w:highlight w:val="none"/>
        </w:rPr>
        <w:fldChar w:fldCharType="begin"/>
      </w:r>
      <w:r>
        <w:rPr>
          <w:color w:val="auto"/>
          <w:highlight w:val="none"/>
        </w:rPr>
        <w:instrText xml:space="preserve"> PAGEREF _Toc13314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_Toc22206 </w:instrText>
      </w:r>
      <w:r>
        <w:rPr>
          <w:rFonts w:hint="eastAsia" w:ascii="宋体" w:hAnsi="宋体" w:cs="宋体"/>
          <w:color w:val="auto"/>
          <w:highlight w:val="none"/>
        </w:rPr>
        <w:fldChar w:fldCharType="separate"/>
      </w:r>
      <w:r>
        <w:rPr>
          <w:rFonts w:hint="eastAsia" w:ascii="宋体" w:eastAsia="宋体" w:cs="宋体"/>
          <w:color w:val="auto"/>
          <w:highlight w:val="none"/>
        </w:rPr>
        <w:t>3.4投标报价得分</w:t>
      </w:r>
      <w:r>
        <w:rPr>
          <w:color w:val="auto"/>
          <w:highlight w:val="none"/>
        </w:rPr>
        <w:tab/>
      </w:r>
      <w:r>
        <w:rPr>
          <w:color w:val="auto"/>
          <w:highlight w:val="none"/>
        </w:rPr>
        <w:fldChar w:fldCharType="begin"/>
      </w:r>
      <w:r>
        <w:rPr>
          <w:color w:val="auto"/>
          <w:highlight w:val="none"/>
        </w:rPr>
        <w:instrText xml:space="preserve"> PAGEREF _Toc22206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_Toc10323 </w:instrText>
      </w:r>
      <w:r>
        <w:rPr>
          <w:rFonts w:hint="eastAsia" w:ascii="宋体" w:hAnsi="宋体" w:cs="宋体"/>
          <w:color w:val="auto"/>
          <w:highlight w:val="none"/>
        </w:rPr>
        <w:fldChar w:fldCharType="separate"/>
      </w:r>
      <w:r>
        <w:rPr>
          <w:rFonts w:hint="eastAsia" w:ascii="宋体" w:eastAsia="宋体" w:cs="宋体"/>
          <w:color w:val="auto"/>
          <w:highlight w:val="none"/>
        </w:rPr>
        <w:t>3.5评审汇总</w:t>
      </w:r>
      <w:r>
        <w:rPr>
          <w:color w:val="auto"/>
          <w:highlight w:val="none"/>
        </w:rPr>
        <w:tab/>
      </w:r>
      <w:r>
        <w:rPr>
          <w:color w:val="auto"/>
          <w:highlight w:val="none"/>
        </w:rPr>
        <w:fldChar w:fldCharType="begin"/>
      </w:r>
      <w:r>
        <w:rPr>
          <w:color w:val="auto"/>
          <w:highlight w:val="none"/>
        </w:rPr>
        <w:instrText xml:space="preserve"> PAGEREF _Toc10323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_Toc6442 </w:instrText>
      </w:r>
      <w:r>
        <w:rPr>
          <w:rFonts w:hint="eastAsia" w:ascii="宋体" w:hAnsi="宋体" w:cs="宋体"/>
          <w:color w:val="auto"/>
          <w:highlight w:val="none"/>
        </w:rPr>
        <w:fldChar w:fldCharType="separate"/>
      </w:r>
      <w:r>
        <w:rPr>
          <w:rFonts w:hint="eastAsia" w:ascii="宋体" w:eastAsia="宋体" w:cs="宋体"/>
          <w:color w:val="auto"/>
          <w:highlight w:val="none"/>
        </w:rPr>
        <w:t>3.6投标文件的澄清和补正</w:t>
      </w:r>
      <w:r>
        <w:rPr>
          <w:color w:val="auto"/>
          <w:highlight w:val="none"/>
        </w:rPr>
        <w:tab/>
      </w:r>
      <w:r>
        <w:rPr>
          <w:color w:val="auto"/>
          <w:highlight w:val="none"/>
        </w:rPr>
        <w:fldChar w:fldCharType="begin"/>
      </w:r>
      <w:r>
        <w:rPr>
          <w:color w:val="auto"/>
          <w:highlight w:val="none"/>
        </w:rPr>
        <w:instrText xml:space="preserve"> PAGEREF _Toc6442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highlight w:val="none"/>
        </w:rPr>
        <w:fldChar w:fldCharType="end"/>
      </w:r>
    </w:p>
    <w:p>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_Toc7436 </w:instrText>
      </w:r>
      <w:r>
        <w:rPr>
          <w:rFonts w:hint="eastAsia" w:ascii="宋体" w:hAnsi="宋体" w:cs="宋体"/>
          <w:color w:val="auto"/>
          <w:highlight w:val="none"/>
        </w:rPr>
        <w:fldChar w:fldCharType="separate"/>
      </w:r>
      <w:r>
        <w:rPr>
          <w:rFonts w:hint="eastAsia" w:ascii="宋体" w:eastAsia="宋体" w:cs="宋体"/>
          <w:color w:val="auto"/>
          <w:highlight w:val="none"/>
        </w:rPr>
        <w:t>3.7评标结果</w:t>
      </w:r>
      <w:r>
        <w:rPr>
          <w:color w:val="auto"/>
          <w:highlight w:val="none"/>
        </w:rPr>
        <w:tab/>
      </w:r>
      <w:r>
        <w:rPr>
          <w:color w:val="auto"/>
          <w:highlight w:val="none"/>
        </w:rPr>
        <w:fldChar w:fldCharType="begin"/>
      </w:r>
      <w:r>
        <w:rPr>
          <w:color w:val="auto"/>
          <w:highlight w:val="none"/>
        </w:rPr>
        <w:instrText xml:space="preserve"> PAGEREF _Toc7436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_Toc14495 </w:instrText>
      </w:r>
      <w:r>
        <w:rPr>
          <w:rFonts w:hint="eastAsia" w:ascii="宋体" w:hAnsi="宋体" w:cs="宋体"/>
          <w:color w:val="auto"/>
          <w:highlight w:val="none"/>
        </w:rPr>
        <w:fldChar w:fldCharType="separate"/>
      </w:r>
      <w:r>
        <w:rPr>
          <w:rFonts w:hint="eastAsia" w:ascii="宋体" w:hAnsi="宋体" w:cs="宋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_Toc14495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rPr>
        <w:fldChar w:fldCharType="end"/>
      </w:r>
    </w:p>
    <w:p>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_Toc12525 </w:instrText>
      </w:r>
      <w:r>
        <w:rPr>
          <w:rFonts w:hint="eastAsia" w:ascii="宋体" w:hAnsi="宋体" w:cs="宋体"/>
          <w:color w:val="auto"/>
          <w:highlight w:val="none"/>
        </w:rPr>
        <w:fldChar w:fldCharType="separate"/>
      </w:r>
      <w:r>
        <w:rPr>
          <w:rFonts w:hint="eastAsia" w:ascii="宋体" w:hAnsi="宋体" w:cs="宋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_Toc12525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_Toc25825 </w:instrText>
      </w:r>
      <w:r>
        <w:rPr>
          <w:rFonts w:hint="eastAsia" w:ascii="宋体" w:hAnsi="宋体" w:cs="宋体"/>
          <w:color w:val="auto"/>
          <w:highlight w:val="none"/>
        </w:rPr>
        <w:fldChar w:fldCharType="separate"/>
      </w:r>
      <w:r>
        <w:rPr>
          <w:rFonts w:hint="eastAsia" w:ascii="宋体" w:hAnsi="宋体" w:cs="宋体"/>
          <w:color w:val="auto"/>
          <w:highlight w:val="none"/>
        </w:rPr>
        <w:t>第五章  招标人要求</w:t>
      </w:r>
      <w:r>
        <w:rPr>
          <w:color w:val="auto"/>
          <w:highlight w:val="none"/>
        </w:rPr>
        <w:tab/>
      </w:r>
      <w:r>
        <w:rPr>
          <w:color w:val="auto"/>
          <w:highlight w:val="none"/>
        </w:rPr>
        <w:fldChar w:fldCharType="begin"/>
      </w:r>
      <w:r>
        <w:rPr>
          <w:color w:val="auto"/>
          <w:highlight w:val="none"/>
        </w:rPr>
        <w:instrText xml:space="preserve"> PAGEREF _Toc25825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highlight w:val="none"/>
        </w:rPr>
        <w:fldChar w:fldCharType="end"/>
      </w:r>
    </w:p>
    <w:p>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_Toc14496 </w:instrText>
      </w:r>
      <w:r>
        <w:rPr>
          <w:rFonts w:hint="eastAsia" w:ascii="宋体" w:hAnsi="宋体" w:cs="宋体"/>
          <w:color w:val="auto"/>
          <w:highlight w:val="none"/>
        </w:rPr>
        <w:fldChar w:fldCharType="separate"/>
      </w:r>
      <w:r>
        <w:rPr>
          <w:rFonts w:hint="eastAsia" w:ascii="宋体" w:hAnsi="宋体" w:cs="宋体"/>
          <w:color w:val="auto"/>
          <w:highlight w:val="none"/>
        </w:rPr>
        <w:t>第六章  招标人提供的资料</w:t>
      </w:r>
      <w:r>
        <w:rPr>
          <w:color w:val="auto"/>
          <w:highlight w:val="none"/>
        </w:rPr>
        <w:tab/>
      </w:r>
      <w:r>
        <w:rPr>
          <w:color w:val="auto"/>
          <w:highlight w:val="none"/>
        </w:rPr>
        <w:fldChar w:fldCharType="begin"/>
      </w:r>
      <w:r>
        <w:rPr>
          <w:color w:val="auto"/>
          <w:highlight w:val="none"/>
        </w:rPr>
        <w:instrText xml:space="preserve"> PAGEREF _Toc14496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cs="宋体"/>
          <w:color w:val="auto"/>
          <w:highlight w:val="none"/>
        </w:rPr>
        <w:fldChar w:fldCharType="end"/>
      </w:r>
    </w:p>
    <w:p>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_Toc23550 </w:instrText>
      </w:r>
      <w:r>
        <w:rPr>
          <w:rFonts w:hint="eastAsia" w:ascii="宋体" w:hAnsi="宋体" w:cs="宋体"/>
          <w:color w:val="auto"/>
          <w:highlight w:val="none"/>
        </w:rPr>
        <w:fldChar w:fldCharType="separate"/>
      </w:r>
      <w:r>
        <w:rPr>
          <w:rFonts w:hint="eastAsia" w:ascii="宋体" w:hAnsi="宋体" w:cs="宋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_Toc23550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cs="宋体"/>
          <w:color w:val="auto"/>
          <w:highlight w:val="none"/>
        </w:rPr>
        <w:fldChar w:fldCharType="end"/>
      </w:r>
    </w:p>
    <w:p>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_Toc3525 </w:instrText>
      </w:r>
      <w:r>
        <w:rPr>
          <w:rFonts w:hint="eastAsia" w:ascii="宋体" w:hAnsi="宋体" w:cs="宋体"/>
          <w:color w:val="auto"/>
          <w:highlight w:val="none"/>
        </w:rPr>
        <w:fldChar w:fldCharType="separate"/>
      </w:r>
      <w:r>
        <w:rPr>
          <w:rFonts w:hint="eastAsia" w:ascii="宋体" w:hAnsi="宋体" w:cs="宋体"/>
          <w:color w:val="auto"/>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_Toc3525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highlight w:val="none"/>
        </w:rPr>
        <w:fldChar w:fldCharType="end"/>
      </w:r>
    </w:p>
    <w:p>
      <w:pPr>
        <w:pStyle w:val="2"/>
        <w:jc w:val="center"/>
        <w:rPr>
          <w:rFonts w:ascii="宋体" w:hAnsi="宋体" w:cs="宋体"/>
          <w:color w:val="auto"/>
          <w:highlight w:val="none"/>
        </w:rPr>
        <w:sectPr>
          <w:footerReference r:id="rId5" w:type="default"/>
          <w:pgSz w:w="11906" w:h="16838"/>
          <w:pgMar w:top="1440" w:right="1083" w:bottom="1440" w:left="1083" w:header="851" w:footer="992" w:gutter="0"/>
          <w:cols w:space="0" w:num="1"/>
          <w:docGrid w:type="lines" w:linePitch="317" w:charSpace="0"/>
        </w:sectPr>
      </w:pPr>
      <w:r>
        <w:rPr>
          <w:rFonts w:hint="eastAsia" w:ascii="宋体" w:hAnsi="宋体" w:cs="宋体"/>
          <w:color w:val="auto"/>
          <w:highlight w:val="none"/>
        </w:rPr>
        <w:fldChar w:fldCharType="end"/>
      </w:r>
    </w:p>
    <w:p>
      <w:pPr>
        <w:pStyle w:val="2"/>
        <w:jc w:val="center"/>
        <w:rPr>
          <w:rFonts w:ascii="宋体" w:hAnsi="宋体" w:cs="宋体"/>
          <w:caps/>
          <w:color w:val="auto"/>
          <w:kern w:val="2"/>
          <w:sz w:val="20"/>
          <w:szCs w:val="20"/>
          <w:highlight w:val="none"/>
        </w:rPr>
      </w:pPr>
    </w:p>
    <w:p>
      <w:pPr>
        <w:pStyle w:val="2"/>
        <w:jc w:val="center"/>
        <w:rPr>
          <w:rFonts w:ascii="宋体" w:hAnsi="宋体" w:cs="宋体"/>
          <w:color w:val="auto"/>
          <w:highlight w:val="none"/>
        </w:rPr>
      </w:pPr>
      <w:bookmarkStart w:id="1" w:name="_Toc9849"/>
      <w:r>
        <w:rPr>
          <w:rFonts w:hint="eastAsia" w:ascii="宋体" w:hAnsi="宋体" w:cs="宋体"/>
          <w:color w:val="auto"/>
          <w:highlight w:val="none"/>
        </w:rPr>
        <w:t>第一卷</w:t>
      </w:r>
      <w:bookmarkEnd w:id="1"/>
    </w:p>
    <w:p>
      <w:pPr>
        <w:pStyle w:val="2"/>
        <w:jc w:val="center"/>
        <w:rPr>
          <w:rFonts w:ascii="宋体" w:hAnsi="宋体" w:cs="宋体"/>
          <w:color w:val="auto"/>
          <w:highlight w:val="none"/>
        </w:rPr>
      </w:pPr>
      <w:r>
        <w:rPr>
          <w:rFonts w:hint="eastAsia" w:ascii="宋体" w:hAnsi="宋体" w:cs="宋体"/>
          <w:color w:val="auto"/>
          <w:highlight w:val="none"/>
        </w:rPr>
        <w:br w:type="page"/>
      </w:r>
    </w:p>
    <w:p>
      <w:pPr>
        <w:pStyle w:val="2"/>
        <w:jc w:val="center"/>
        <w:rPr>
          <w:rFonts w:ascii="宋体" w:hAnsi="宋体" w:cs="宋体"/>
          <w:color w:val="auto"/>
          <w:highlight w:val="none"/>
        </w:rPr>
      </w:pPr>
      <w:bookmarkStart w:id="2" w:name="_Toc15374"/>
      <w:r>
        <w:rPr>
          <w:rFonts w:hint="eastAsia" w:ascii="宋体" w:hAnsi="宋体" w:cs="宋体"/>
          <w:color w:val="auto"/>
          <w:highlight w:val="none"/>
        </w:rPr>
        <w:t>第一章 招标公告</w:t>
      </w:r>
      <w:bookmarkEnd w:id="2"/>
    </w:p>
    <w:p>
      <w:pPr>
        <w:pStyle w:val="2"/>
        <w:jc w:val="center"/>
        <w:rPr>
          <w:rFonts w:ascii="宋体" w:hAnsi="宋体" w:cs="宋体"/>
          <w:color w:val="auto"/>
          <w:highlight w:val="none"/>
        </w:rPr>
      </w:pPr>
      <w:bookmarkStart w:id="3" w:name="_Toc716"/>
      <w:r>
        <w:rPr>
          <w:rFonts w:hint="eastAsia" w:ascii="宋体" w:hAnsi="宋体" w:cs="宋体"/>
          <w:color w:val="auto"/>
          <w:highlight w:val="none"/>
        </w:rPr>
        <w:t>（另册）</w:t>
      </w:r>
      <w:bookmarkEnd w:id="3"/>
    </w:p>
    <w:p>
      <w:pPr>
        <w:rPr>
          <w:rFonts w:ascii="宋体" w:hAnsi="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pStyle w:val="19"/>
        <w:rPr>
          <w:rFonts w:ascii="宋体" w:hAnsi="宋体" w:eastAsia="宋体" w:cs="宋体"/>
          <w:b/>
          <w:bCs/>
          <w:color w:val="auto"/>
          <w:highlight w:val="none"/>
        </w:rPr>
      </w:pPr>
    </w:p>
    <w:p>
      <w:pPr>
        <w:rPr>
          <w:rFonts w:ascii="宋体" w:hAnsi="宋体" w:cs="宋体"/>
          <w:color w:val="auto"/>
          <w:highlight w:val="none"/>
        </w:rPr>
      </w:pPr>
    </w:p>
    <w:p>
      <w:pPr>
        <w:pStyle w:val="19"/>
        <w:rPr>
          <w:rFonts w:ascii="宋体" w:hAnsi="宋体" w:eastAsia="宋体" w:cs="宋体"/>
          <w:color w:val="auto"/>
          <w:highlight w:val="none"/>
        </w:rPr>
      </w:pPr>
    </w:p>
    <w:p>
      <w:pPr>
        <w:rPr>
          <w:color w:val="auto"/>
          <w:highlight w:val="none"/>
        </w:rPr>
      </w:pPr>
    </w:p>
    <w:p>
      <w:pPr>
        <w:pStyle w:val="19"/>
        <w:rPr>
          <w:rFonts w:ascii="宋体" w:hAnsi="宋体" w:eastAsia="宋体" w:cs="宋体"/>
          <w:color w:val="auto"/>
          <w:highlight w:val="none"/>
        </w:rPr>
      </w:pPr>
    </w:p>
    <w:p>
      <w:pPr>
        <w:pStyle w:val="19"/>
        <w:rPr>
          <w:rFonts w:ascii="宋体" w:hAnsi="宋体" w:eastAsia="宋体" w:cs="宋体"/>
          <w:color w:val="auto"/>
          <w:highlight w:val="none"/>
        </w:rPr>
      </w:pPr>
    </w:p>
    <w:p>
      <w:pPr>
        <w:pStyle w:val="19"/>
        <w:rPr>
          <w:rFonts w:ascii="宋体" w:hAnsi="宋体" w:eastAsia="宋体" w:cs="宋体"/>
          <w:color w:val="auto"/>
          <w:highlight w:val="none"/>
        </w:rPr>
      </w:pPr>
    </w:p>
    <w:p>
      <w:pPr>
        <w:pStyle w:val="19"/>
        <w:rPr>
          <w:rFonts w:ascii="宋体" w:hAnsi="宋体" w:eastAsia="宋体" w:cs="宋体"/>
          <w:color w:val="auto"/>
          <w:highlight w:val="none"/>
        </w:rPr>
      </w:pPr>
    </w:p>
    <w:p>
      <w:pPr>
        <w:spacing w:line="400" w:lineRule="exact"/>
        <w:rPr>
          <w:rFonts w:ascii="宋体" w:hAnsi="宋体" w:cs="宋体"/>
          <w:color w:val="auto"/>
          <w:highlight w:val="none"/>
        </w:rPr>
      </w:pPr>
    </w:p>
    <w:p>
      <w:pPr>
        <w:widowControl/>
        <w:jc w:val="left"/>
        <w:rPr>
          <w:rFonts w:ascii="宋体" w:hAnsi="宋体" w:cs="宋体"/>
          <w:b/>
          <w:bCs/>
          <w:color w:val="auto"/>
          <w:kern w:val="44"/>
          <w:sz w:val="44"/>
          <w:szCs w:val="44"/>
          <w:highlight w:val="none"/>
        </w:rPr>
      </w:pPr>
      <w:r>
        <w:rPr>
          <w:rFonts w:ascii="宋体" w:hAnsi="宋体" w:cs="宋体"/>
          <w:color w:val="auto"/>
          <w:highlight w:val="none"/>
        </w:rPr>
        <w:br w:type="page"/>
      </w:r>
    </w:p>
    <w:p>
      <w:pPr>
        <w:pStyle w:val="2"/>
        <w:jc w:val="center"/>
        <w:rPr>
          <w:rFonts w:ascii="宋体" w:hAnsi="宋体" w:cs="宋体"/>
          <w:color w:val="auto"/>
          <w:highlight w:val="none"/>
        </w:rPr>
      </w:pPr>
      <w:bookmarkStart w:id="4" w:name="_Toc26830"/>
      <w:r>
        <w:rPr>
          <w:rFonts w:hint="eastAsia" w:ascii="宋体" w:hAnsi="宋体" w:cs="宋体"/>
          <w:color w:val="auto"/>
          <w:highlight w:val="none"/>
        </w:rPr>
        <w:t>第二章 投标人须知</w:t>
      </w:r>
      <w:bookmarkEnd w:id="4"/>
    </w:p>
    <w:p>
      <w:pPr>
        <w:pStyle w:val="3"/>
        <w:spacing w:before="0" w:after="0" w:line="0" w:lineRule="atLeast"/>
        <w:jc w:val="center"/>
        <w:rPr>
          <w:rFonts w:ascii="宋体" w:hAnsi="宋体" w:eastAsia="宋体" w:cs="宋体"/>
          <w:color w:val="auto"/>
          <w:highlight w:val="none"/>
        </w:rPr>
      </w:pPr>
      <w:bookmarkStart w:id="5" w:name="_Toc22023"/>
      <w:r>
        <w:rPr>
          <w:rFonts w:hint="eastAsia" w:ascii="宋体" w:hAnsi="宋体" w:eastAsia="宋体" w:cs="宋体"/>
          <w:color w:val="auto"/>
          <w:highlight w:val="none"/>
        </w:rPr>
        <w:t>投标人须知前附表</w:t>
      </w:r>
      <w:bookmarkEnd w:id="5"/>
    </w:p>
    <w:tbl>
      <w:tblPr>
        <w:tblStyle w:val="37"/>
        <w:tblW w:w="0" w:type="auto"/>
        <w:tblInd w:w="0" w:type="dxa"/>
        <w:tblLayout w:type="fixed"/>
        <w:tblCellMar>
          <w:top w:w="0" w:type="dxa"/>
          <w:left w:w="108" w:type="dxa"/>
          <w:bottom w:w="0" w:type="dxa"/>
          <w:right w:w="108" w:type="dxa"/>
        </w:tblCellMar>
      </w:tblPr>
      <w:tblGrid>
        <w:gridCol w:w="1165"/>
        <w:gridCol w:w="2345"/>
        <w:gridCol w:w="8"/>
        <w:gridCol w:w="5659"/>
      </w:tblGrid>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566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名称：广州岭南集团控股股份有限公司东方宾馆分公司</w:t>
            </w:r>
          </w:p>
          <w:p>
            <w:pPr>
              <w:spacing w:line="0" w:lineRule="atLeast"/>
              <w:rPr>
                <w:rFonts w:ascii="宋体" w:hAnsi="宋体" w:cs="宋体"/>
                <w:color w:val="auto"/>
                <w:szCs w:val="21"/>
                <w:highlight w:val="none"/>
              </w:rPr>
            </w:pPr>
            <w:r>
              <w:rPr>
                <w:rFonts w:hint="eastAsia" w:ascii="宋体" w:hAnsi="宋体" w:cs="宋体"/>
                <w:color w:val="auto"/>
                <w:szCs w:val="21"/>
                <w:highlight w:val="none"/>
              </w:rPr>
              <w:t>地址：广州市越秀区流花路120号</w:t>
            </w:r>
          </w:p>
          <w:p>
            <w:pPr>
              <w:spacing w:line="0" w:lineRule="atLeast"/>
              <w:rPr>
                <w:rFonts w:ascii="宋体" w:hAnsi="宋体" w:cs="宋体"/>
                <w:color w:val="auto"/>
                <w:szCs w:val="21"/>
                <w:highlight w:val="none"/>
              </w:rPr>
            </w:pPr>
            <w:r>
              <w:rPr>
                <w:rFonts w:hint="eastAsia" w:ascii="宋体" w:hAnsi="宋体" w:cs="宋体"/>
                <w:color w:val="auto"/>
                <w:szCs w:val="21"/>
                <w:highlight w:val="none"/>
              </w:rPr>
              <w:t xml:space="preserve">联系人：高工 </w:t>
            </w:r>
          </w:p>
          <w:p>
            <w:pPr>
              <w:spacing w:line="0" w:lineRule="atLeast"/>
              <w:rPr>
                <w:rFonts w:ascii="宋体" w:hAns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rPr>
              <w:tab/>
            </w:r>
            <w:r>
              <w:rPr>
                <w:rFonts w:ascii="宋体" w:hAnsi="宋体" w:cs="宋体"/>
                <w:color w:val="auto"/>
                <w:szCs w:val="21"/>
                <w:highlight w:val="none"/>
              </w:rPr>
              <w:t>020-86669900-</w:t>
            </w:r>
            <w:r>
              <w:rPr>
                <w:rFonts w:hint="eastAsia" w:ascii="宋体" w:hAnsi="宋体" w:cs="宋体"/>
                <w:color w:val="auto"/>
                <w:szCs w:val="21"/>
                <w:highlight w:val="none"/>
              </w:rPr>
              <w:t xml:space="preserve">7895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名称：广东省机电设备招标有限公司</w:t>
            </w:r>
          </w:p>
          <w:p>
            <w:pPr>
              <w:spacing w:line="0" w:lineRule="atLeast"/>
              <w:rPr>
                <w:rFonts w:ascii="宋体" w:hAnsi="宋体" w:cs="宋体"/>
                <w:color w:val="auto"/>
                <w:szCs w:val="21"/>
                <w:highlight w:val="none"/>
              </w:rPr>
            </w:pPr>
            <w:r>
              <w:rPr>
                <w:rFonts w:hint="eastAsia" w:ascii="宋体" w:hAnsi="宋体" w:cs="宋体"/>
                <w:color w:val="auto"/>
                <w:szCs w:val="21"/>
                <w:highlight w:val="none"/>
              </w:rPr>
              <w:t>地址：广州市越秀区环市中路316号金鹰大厦十楼</w:t>
            </w:r>
          </w:p>
          <w:p>
            <w:pPr>
              <w:spacing w:line="0" w:lineRule="atLeas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联系人：程艳霞、刘美良</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王勇新</w:t>
            </w:r>
          </w:p>
          <w:p>
            <w:pPr>
              <w:spacing w:line="0" w:lineRule="atLeast"/>
              <w:rPr>
                <w:rFonts w:ascii="宋体" w:hAnsi="宋体" w:cs="宋体"/>
                <w:color w:val="auto"/>
                <w:szCs w:val="21"/>
                <w:highlight w:val="none"/>
              </w:rPr>
            </w:pPr>
            <w:r>
              <w:rPr>
                <w:rFonts w:hint="eastAsia" w:ascii="宋体" w:hAnsi="宋体" w:cs="宋体"/>
                <w:color w:val="auto"/>
                <w:szCs w:val="21"/>
                <w:highlight w:val="none"/>
              </w:rPr>
              <w:t>电话： 020-83544076、83541820</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东方宾馆2号楼二、三层及东翼商场综合维修保养项目设计施工一体化</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资金已落实</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详见本项目招标公告及合同约定条款</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计划工期</w:t>
            </w:r>
          </w:p>
        </w:tc>
        <w:tc>
          <w:tcPr>
            <w:tcW w:w="5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Times New Roman" w:hAnsi="Times New Roman" w:eastAsia="宋体" w:cs="Times New Roman"/>
                <w:color w:val="auto"/>
                <w:highlight w:val="none"/>
              </w:rPr>
              <w:t>总工期80个日历天，其中：设计工期20个日历天（含施工前准备时间），施工工期60个日历天。施工开工时间以监理单位发出开工令为准，招标人有权根据实际情况进行调整。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659"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11"/>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1.设计要求：符合《建设工程质量管理条例》、《建设工程勘察设计管理条例》、《建筑工程设计文件编制深度规定（2016年版）》等国家及地方有关工程设计管理法规和规章，达到行业相关规范技术标准等要求。</w:t>
            </w:r>
          </w:p>
          <w:p>
            <w:pPr>
              <w:spacing w:line="0" w:lineRule="atLeast"/>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2.施工要求：按照国家最新颁布《建筑工程施工质量验收统一标准》（GB 50300-2013）及相应配套的各专业验收规范，一次验收合格。</w:t>
            </w:r>
          </w:p>
          <w:p>
            <w:pPr>
              <w:spacing w:line="0" w:lineRule="atLeast"/>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注：若建设主管部门颁布新的规范、标准，则按照新的规范、标准执行。</w:t>
            </w:r>
          </w:p>
        </w:tc>
      </w:tr>
      <w:tr>
        <w:tblPrEx>
          <w:tblCellMar>
            <w:top w:w="0" w:type="dxa"/>
            <w:left w:w="108" w:type="dxa"/>
            <w:bottom w:w="0" w:type="dxa"/>
            <w:right w:w="108" w:type="dxa"/>
          </w:tblCellMar>
        </w:tblPrEx>
        <w:trPr>
          <w:trHeight w:val="3049"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资质条件：</w:t>
            </w:r>
            <w:r>
              <w:rPr>
                <w:rFonts w:hint="eastAsia" w:ascii="新宋体" w:hAnsi="新宋体" w:eastAsia="新宋体" w:cs="新宋体"/>
                <w:color w:val="auto"/>
                <w:szCs w:val="21"/>
                <w:highlight w:val="none"/>
                <w:u w:val="single"/>
              </w:rPr>
              <w:t>见招标公告投标人资格要求。</w:t>
            </w:r>
          </w:p>
          <w:p>
            <w:pPr>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财务要求：</w:t>
            </w:r>
            <w:r>
              <w:rPr>
                <w:rFonts w:hint="eastAsia" w:ascii="新宋体" w:hAnsi="新宋体" w:eastAsia="新宋体" w:cs="新宋体"/>
                <w:color w:val="auto"/>
                <w:highlight w:val="none"/>
                <w:u w:val="single"/>
              </w:rPr>
              <w:t>/。</w:t>
            </w:r>
          </w:p>
          <w:p>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设计业绩要求：</w:t>
            </w:r>
            <w:r>
              <w:rPr>
                <w:rFonts w:hint="eastAsia" w:ascii="新宋体" w:hAnsi="新宋体" w:eastAsia="新宋体" w:cs="新宋体"/>
                <w:color w:val="auto"/>
                <w:highlight w:val="none"/>
                <w:u w:val="single"/>
              </w:rPr>
              <w:t>/。</w:t>
            </w:r>
          </w:p>
          <w:p>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施工业绩要求：</w:t>
            </w:r>
            <w:r>
              <w:rPr>
                <w:rFonts w:hint="eastAsia" w:ascii="新宋体" w:hAnsi="新宋体" w:eastAsia="新宋体" w:cs="新宋体"/>
                <w:color w:val="auto"/>
                <w:highlight w:val="none"/>
                <w:u w:val="single"/>
              </w:rPr>
              <w:t>/。</w:t>
            </w:r>
          </w:p>
          <w:p>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信誉要求：</w:t>
            </w:r>
            <w:r>
              <w:rPr>
                <w:rFonts w:hint="eastAsia" w:ascii="新宋体" w:hAnsi="新宋体" w:eastAsia="新宋体" w:cs="新宋体"/>
                <w:color w:val="auto"/>
                <w:highlight w:val="none"/>
                <w:u w:val="single"/>
              </w:rPr>
              <w:t>/。</w:t>
            </w:r>
          </w:p>
          <w:p>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u w:val="single"/>
              </w:rPr>
              <w:t>项目负责人(兼施工负责人)的资格要求</w:t>
            </w:r>
            <w:r>
              <w:rPr>
                <w:rFonts w:hint="eastAsia" w:ascii="新宋体" w:hAnsi="新宋体" w:eastAsia="新宋体" w:cs="新宋体"/>
                <w:color w:val="auto"/>
                <w:szCs w:val="21"/>
                <w:highlight w:val="none"/>
              </w:rPr>
              <w:t>：</w:t>
            </w:r>
            <w:r>
              <w:rPr>
                <w:rFonts w:hint="eastAsia" w:ascii="新宋体" w:hAnsi="新宋体" w:eastAsia="新宋体" w:cs="新宋体"/>
                <w:color w:val="auto"/>
                <w:szCs w:val="21"/>
                <w:highlight w:val="none"/>
                <w:u w:val="single"/>
              </w:rPr>
              <w:t>见招标公告投标人资格要求。</w:t>
            </w:r>
          </w:p>
          <w:p>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设计负责人的资格要求：</w:t>
            </w:r>
            <w:r>
              <w:rPr>
                <w:rFonts w:hint="eastAsia" w:ascii="新宋体" w:hAnsi="新宋体" w:eastAsia="新宋体" w:cs="新宋体"/>
                <w:color w:val="auto"/>
                <w:szCs w:val="21"/>
                <w:highlight w:val="none"/>
                <w:u w:val="single"/>
              </w:rPr>
              <w:t>见招标公告投标人资格要求。</w:t>
            </w:r>
          </w:p>
          <w:p>
            <w:pPr>
              <w:spacing w:line="0" w:lineRule="atLeast"/>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施工负责人的资格要求：</w:t>
            </w:r>
            <w:r>
              <w:rPr>
                <w:rFonts w:hint="eastAsia" w:ascii="新宋体" w:hAnsi="新宋体" w:eastAsia="新宋体" w:cs="新宋体"/>
                <w:strike/>
                <w:color w:val="auto"/>
                <w:szCs w:val="21"/>
                <w:highlight w:val="none"/>
                <w:u w:val="single"/>
              </w:rPr>
              <w:t>见招标公告投标人资格要求。</w:t>
            </w:r>
          </w:p>
          <w:p>
            <w:pPr>
              <w:spacing w:line="0" w:lineRule="atLeast"/>
              <w:rPr>
                <w:rFonts w:ascii="新宋体" w:hAnsi="新宋体" w:eastAsia="新宋体" w:cs="新宋体"/>
                <w:color w:val="auto"/>
                <w:highlight w:val="none"/>
              </w:rPr>
            </w:pPr>
            <w:r>
              <w:rPr>
                <w:rFonts w:hint="eastAsia" w:ascii="新宋体" w:hAnsi="新宋体" w:eastAsia="新宋体" w:cs="新宋体"/>
                <w:color w:val="auto"/>
                <w:highlight w:val="none"/>
              </w:rPr>
              <w:t>施工技术负责人资格要求 ：</w:t>
            </w:r>
            <w:r>
              <w:rPr>
                <w:rFonts w:hint="eastAsia" w:ascii="新宋体" w:hAnsi="新宋体" w:eastAsia="新宋体" w:cs="新宋体"/>
                <w:color w:val="auto"/>
                <w:szCs w:val="21"/>
                <w:highlight w:val="none"/>
                <w:u w:val="single"/>
              </w:rPr>
              <w:t>见招标公告投标人资格要求。</w:t>
            </w:r>
          </w:p>
          <w:p>
            <w:pPr>
              <w:spacing w:line="0" w:lineRule="atLeast"/>
              <w:rPr>
                <w:rFonts w:ascii="新宋体" w:hAnsi="新宋体" w:eastAsia="新宋体" w:cs="新宋体"/>
                <w:color w:val="auto"/>
                <w:highlight w:val="none"/>
              </w:rPr>
            </w:pPr>
            <w:r>
              <w:rPr>
                <w:rFonts w:hint="eastAsia" w:ascii="新宋体" w:hAnsi="新宋体" w:eastAsia="新宋体" w:cs="新宋体"/>
                <w:color w:val="auto"/>
                <w:highlight w:val="none"/>
              </w:rPr>
              <w:t>专职安全员资格要求：</w:t>
            </w:r>
            <w:r>
              <w:rPr>
                <w:rFonts w:hint="eastAsia" w:ascii="新宋体" w:hAnsi="新宋体" w:eastAsia="新宋体" w:cs="新宋体"/>
                <w:color w:val="auto"/>
                <w:szCs w:val="21"/>
                <w:highlight w:val="none"/>
                <w:u w:val="single"/>
              </w:rPr>
              <w:t>见招标公告投标人资格要求。</w:t>
            </w:r>
          </w:p>
          <w:p>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施工机械设备：</w:t>
            </w:r>
            <w:r>
              <w:rPr>
                <w:rFonts w:hint="eastAsia" w:ascii="新宋体" w:hAnsi="新宋体" w:eastAsia="新宋体" w:cs="新宋体"/>
                <w:color w:val="auto"/>
                <w:highlight w:val="none"/>
                <w:u w:val="single"/>
              </w:rPr>
              <w:t>/。</w:t>
            </w:r>
          </w:p>
          <w:p>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项目管理机构及人员：</w:t>
            </w:r>
            <w:r>
              <w:rPr>
                <w:rFonts w:hint="eastAsia" w:ascii="新宋体" w:hAnsi="新宋体" w:eastAsia="新宋体" w:cs="新宋体"/>
                <w:color w:val="auto"/>
                <w:highlight w:val="none"/>
                <w:u w:val="single"/>
              </w:rPr>
              <w:t>/。</w:t>
            </w:r>
          </w:p>
          <w:p>
            <w:pPr>
              <w:spacing w:line="0" w:lineRule="atLeast"/>
              <w:rPr>
                <w:rFonts w:ascii="宋体" w:hAnsi="宋体" w:cs="宋体"/>
                <w:color w:val="auto"/>
                <w:szCs w:val="21"/>
                <w:highlight w:val="none"/>
              </w:rPr>
            </w:pPr>
            <w:r>
              <w:rPr>
                <w:rFonts w:hint="eastAsia" w:ascii="新宋体" w:hAnsi="新宋体" w:eastAsia="新宋体" w:cs="新宋体"/>
                <w:color w:val="auto"/>
                <w:szCs w:val="21"/>
                <w:highlight w:val="none"/>
              </w:rPr>
              <w:t>其他要求：</w:t>
            </w:r>
            <w:r>
              <w:rPr>
                <w:rFonts w:hint="eastAsia" w:ascii="新宋体" w:hAnsi="新宋体" w:eastAsia="新宋体" w:cs="新宋体"/>
                <w:color w:val="auto"/>
                <w:szCs w:val="21"/>
                <w:highlight w:val="none"/>
                <w:u w:val="single"/>
              </w:rPr>
              <w:t>见招标公告投标人资格要求。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5659" w:type="dxa"/>
            <w:tcBorders>
              <w:top w:val="single" w:color="auto" w:sz="4" w:space="0"/>
              <w:left w:val="single" w:color="auto" w:sz="4" w:space="0"/>
              <w:bottom w:val="single" w:color="auto" w:sz="4" w:space="0"/>
              <w:right w:val="single" w:color="auto" w:sz="4" w:space="0"/>
            </w:tcBorders>
            <w:vAlign w:val="center"/>
          </w:tcPr>
          <w:p>
            <w:pPr>
              <w:pStyle w:val="14"/>
              <w:topLinePunct/>
              <w:spacing w:line="0" w:lineRule="atLeast"/>
              <w:rPr>
                <w:rFonts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不接受</w:t>
            </w:r>
          </w:p>
          <w:p>
            <w:pPr>
              <w:spacing w:line="0" w:lineRule="atLeast"/>
              <w:rPr>
                <w:rFonts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接受，应满足下列要求：见本项目招标公告要求。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费用承担和设计成果补偿</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不补偿</w:t>
            </w:r>
          </w:p>
          <w:p>
            <w:pPr>
              <w:spacing w:line="0" w:lineRule="atLeast"/>
              <w:rPr>
                <w:rFonts w:ascii="宋体" w:hAnsi="宋体" w:cs="宋体"/>
                <w:color w:val="auto"/>
                <w:sz w:val="32"/>
                <w:szCs w:val="32"/>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补偿，补偿标准：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1.9.1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踏勘</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280" w:firstLineChars="400"/>
              <w:rPr>
                <w:rFonts w:ascii="宋体" w:hAnsi="宋体" w:cs="宋体"/>
                <w:color w:val="auto"/>
                <w:szCs w:val="21"/>
                <w:highlight w:val="none"/>
              </w:rPr>
            </w:pPr>
            <w:r>
              <w:rPr>
                <w:rFonts w:hint="eastAsia" w:ascii="宋体" w:hAnsi="宋体" w:cs="宋体"/>
                <w:color w:val="auto"/>
                <w:sz w:val="32"/>
                <w:szCs w:val="32"/>
                <w:highlight w:val="none"/>
              </w:rPr>
              <w:t>/</w:t>
            </w:r>
          </w:p>
        </w:tc>
      </w:tr>
      <w:tr>
        <w:tblPrEx>
          <w:tblCellMar>
            <w:top w:w="0" w:type="dxa"/>
            <w:left w:w="108" w:type="dxa"/>
            <w:bottom w:w="0" w:type="dxa"/>
            <w:right w:w="108" w:type="dxa"/>
          </w:tblCellMar>
        </w:tblPrEx>
        <w:trPr>
          <w:trHeight w:val="418"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280" w:firstLineChars="400"/>
              <w:rPr>
                <w:rFonts w:ascii="宋体" w:hAnsi="宋体" w:cs="宋体"/>
                <w:color w:val="auto"/>
                <w:szCs w:val="21"/>
                <w:highlight w:val="none"/>
              </w:rPr>
            </w:pPr>
            <w:r>
              <w:rPr>
                <w:rFonts w:hint="eastAsia" w:ascii="宋体" w:hAnsi="宋体" w:cs="宋体"/>
                <w:color w:val="auto"/>
                <w:sz w:val="32"/>
                <w:szCs w:val="32"/>
                <w:highlight w:val="none"/>
              </w:rPr>
              <w:t>/</w:t>
            </w:r>
          </w:p>
        </w:tc>
      </w:tr>
      <w:tr>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1.11.1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招标人规定由分包人承担的工作</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1.11.2</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投标人拟分包的工作</w:t>
            </w:r>
          </w:p>
        </w:tc>
        <w:tc>
          <w:tcPr>
            <w:tcW w:w="5659" w:type="dxa"/>
            <w:tcBorders>
              <w:top w:val="single" w:color="auto" w:sz="4" w:space="0"/>
              <w:left w:val="single" w:color="auto" w:sz="4" w:space="0"/>
              <w:bottom w:val="single" w:color="auto" w:sz="4" w:space="0"/>
              <w:right w:val="single" w:color="auto" w:sz="4" w:space="0"/>
            </w:tcBorders>
            <w:vAlign w:val="center"/>
          </w:tcPr>
          <w:p>
            <w:pPr>
              <w:pStyle w:val="14"/>
              <w:topLinePunct/>
              <w:spacing w:line="0" w:lineRule="atLeast"/>
              <w:rPr>
                <w:rFonts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不允许</w:t>
            </w:r>
          </w:p>
          <w:p>
            <w:pPr>
              <w:spacing w:line="0" w:lineRule="atLeast"/>
              <w:rPr>
                <w:rFonts w:ascii="宋体" w:hAnsi="宋体" w:cs="宋体"/>
                <w:color w:val="auto"/>
                <w:szCs w:val="21"/>
                <w:highlight w:val="none"/>
              </w:rPr>
            </w:pPr>
            <w:r>
              <w:rPr>
                <w:rFonts w:hint="eastAsia" w:hAnsi="宋体" w:cs="宋体"/>
                <w:color w:val="auto"/>
                <w:sz w:val="32"/>
                <w:szCs w:val="32"/>
                <w:highlight w:val="none"/>
              </w:rPr>
              <w:t>■</w:t>
            </w:r>
            <w:r>
              <w:rPr>
                <w:rFonts w:hint="eastAsia" w:ascii="宋体" w:hAnsi="宋体" w:cs="宋体"/>
                <w:color w:val="auto"/>
                <w:szCs w:val="21"/>
                <w:highlight w:val="none"/>
              </w:rPr>
              <w:t>允许:</w:t>
            </w:r>
            <w:r>
              <w:rPr>
                <w:rFonts w:hint="eastAsia" w:ascii="宋体" w:hAnsi="宋体" w:cs="宋体"/>
                <w:color w:val="auto"/>
                <w:szCs w:val="21"/>
                <w:highlight w:val="none"/>
                <w:lang w:val="en-US" w:eastAsia="zh-CN"/>
              </w:rPr>
              <w:t>本项目</w:t>
            </w:r>
            <w:r>
              <w:rPr>
                <w:rFonts w:hint="eastAsia"/>
                <w:color w:val="auto"/>
                <w:highlight w:val="none"/>
                <w:lang w:val="en-US" w:eastAsia="zh-CN"/>
              </w:rPr>
              <w:t>允许合法分包</w:t>
            </w:r>
            <w:r>
              <w:rPr>
                <w:rFonts w:hint="eastAsia" w:ascii="宋体" w:hAnsi="宋体" w:cs="宋体"/>
                <w:color w:val="auto"/>
                <w:szCs w:val="21"/>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5659" w:type="dxa"/>
            <w:tcBorders>
              <w:top w:val="single" w:color="auto" w:sz="4" w:space="0"/>
              <w:left w:val="single" w:color="auto" w:sz="4" w:space="0"/>
              <w:bottom w:val="single" w:color="auto" w:sz="4" w:space="0"/>
              <w:right w:val="single" w:color="auto" w:sz="4" w:space="0"/>
            </w:tcBorders>
            <w:vAlign w:val="center"/>
          </w:tcPr>
          <w:p>
            <w:pPr>
              <w:pStyle w:val="14"/>
              <w:topLinePunct/>
              <w:spacing w:line="0" w:lineRule="atLeast"/>
              <w:rPr>
                <w:rFonts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不允许</w:t>
            </w:r>
          </w:p>
          <w:p>
            <w:pPr>
              <w:pStyle w:val="14"/>
              <w:topLinePunct/>
              <w:spacing w:line="0" w:lineRule="atLeast"/>
              <w:rPr>
                <w:rFonts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允许，允许偏离的内容、偏离范围和幅度：</w:t>
            </w:r>
            <w:r>
              <w:rPr>
                <w:rFonts w:hint="eastAsia" w:hAnsi="宋体" w:cs="宋体"/>
                <w:color w:val="auto"/>
                <w:sz w:val="21"/>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《设计任务书》、《工程量清单报价表》（模拟）</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kern w:val="0"/>
                <w:szCs w:val="21"/>
                <w:highlight w:val="none"/>
              </w:rPr>
            </w:pPr>
            <w:r>
              <w:rPr>
                <w:rFonts w:hint="eastAsia" w:ascii="宋体" w:hAnsi="宋体" w:cs="宋体"/>
                <w:color w:val="auto"/>
                <w:kern w:val="0"/>
                <w:szCs w:val="21"/>
                <w:highlight w:val="none"/>
              </w:rPr>
              <w:t>1、本项目采用网上答疑方式。</w:t>
            </w:r>
          </w:p>
          <w:p>
            <w:pPr>
              <w:spacing w:line="0" w:lineRule="atLeast"/>
              <w:rPr>
                <w:rFonts w:ascii="宋体" w:hAnsi="宋体" w:cs="宋体"/>
                <w:color w:val="auto"/>
                <w:kern w:val="0"/>
                <w:szCs w:val="21"/>
                <w:highlight w:val="none"/>
              </w:rPr>
            </w:pPr>
            <w:r>
              <w:rPr>
                <w:rFonts w:hint="eastAsia" w:ascii="宋体" w:hAnsi="宋体" w:cs="宋体"/>
                <w:color w:val="auto"/>
                <w:kern w:val="0"/>
                <w:szCs w:val="21"/>
                <w:highlight w:val="none"/>
              </w:rPr>
              <w:t>2、投标人疑问期限：在投标截止日期18日前，将投标疑问通过广州交易集团有限公司（广州公共资源交易中心）交易平台提交。</w:t>
            </w:r>
          </w:p>
          <w:p>
            <w:pPr>
              <w:spacing w:line="0" w:lineRule="atLeast"/>
              <w:rPr>
                <w:rFonts w:ascii="宋体" w:hAnsi="宋体" w:cs="宋体"/>
                <w:color w:val="auto"/>
                <w:kern w:val="0"/>
                <w:szCs w:val="21"/>
                <w:highlight w:val="none"/>
              </w:rPr>
            </w:pPr>
            <w:r>
              <w:rPr>
                <w:rFonts w:hint="eastAsia" w:ascii="宋体" w:hAnsi="宋体" w:cs="宋体"/>
                <w:color w:val="auto"/>
                <w:kern w:val="0"/>
                <w:szCs w:val="21"/>
                <w:highlight w:val="none"/>
              </w:rPr>
              <w:t>3、招标人澄清、修补或答疑期限：在递交投标文件截止日期15日前，在广州交易集团有限公司（广州公共资源交易中心）网站“招标答疑”专区发布，一经在发布，视作已发放给所有投标人。</w:t>
            </w:r>
          </w:p>
          <w:p>
            <w:pPr>
              <w:spacing w:line="0" w:lineRule="atLeast"/>
              <w:rPr>
                <w:rFonts w:ascii="宋体" w:hAnsi="宋体" w:cs="宋体"/>
                <w:color w:val="auto"/>
                <w:szCs w:val="21"/>
                <w:highlight w:val="none"/>
              </w:rPr>
            </w:pPr>
            <w:r>
              <w:rPr>
                <w:rFonts w:hint="eastAsia" w:ascii="宋体" w:hAnsi="宋体" w:cs="宋体"/>
                <w:color w:val="auto"/>
                <w:kern w:val="0"/>
                <w:szCs w:val="21"/>
                <w:highlight w:val="none"/>
              </w:rPr>
              <w:t>4、网上答疑的相关事项详见本章第2.2款。</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招标文件澄清在</w:t>
            </w:r>
            <w:r>
              <w:rPr>
                <w:rFonts w:hint="eastAsia" w:ascii="宋体" w:hAnsi="宋体" w:cs="宋体"/>
                <w:color w:val="auto"/>
                <w:kern w:val="0"/>
                <w:szCs w:val="21"/>
                <w:highlight w:val="none"/>
              </w:rPr>
              <w:t>广州交易集团有限公司（广州公共资源交易中心）交易平台</w:t>
            </w:r>
            <w:r>
              <w:rPr>
                <w:rFonts w:hint="eastAsia" w:ascii="宋体" w:hAnsi="宋体" w:cs="宋体"/>
                <w:color w:val="auto"/>
                <w:szCs w:val="21"/>
                <w:highlight w:val="none"/>
              </w:rPr>
              <w:t>网站通过项目答疑专区网上公开发布，发出即视作收到，以交易平台网站发布时间作为送达时间。无需投标人确认。投标人应自行关注，招标人不再一一通知。</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投标人确认收到招标文件修改的时间</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招标文件修改（或补充公告）一经在</w:t>
            </w:r>
            <w:r>
              <w:rPr>
                <w:rFonts w:hint="eastAsia" w:ascii="宋体" w:hAnsi="宋体" w:cs="宋体"/>
                <w:color w:val="auto"/>
                <w:kern w:val="0"/>
                <w:szCs w:val="21"/>
                <w:highlight w:val="none"/>
              </w:rPr>
              <w:t>广州交易集团有限公司（广州公共资源交易中心）交易平台</w:t>
            </w:r>
            <w:r>
              <w:rPr>
                <w:rFonts w:hint="eastAsia" w:ascii="宋体" w:hAnsi="宋体" w:cs="宋体"/>
                <w:color w:val="auto"/>
                <w:szCs w:val="21"/>
                <w:highlight w:val="none"/>
              </w:rPr>
              <w:t>网站发布，视作已发放给所有投标人，以交易平台网站发布时间作为送达时间。无需投标人确认。投标人应自行关注，招标人不再一一通知。</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见第七章《投标文件格式》要求</w:t>
            </w:r>
          </w:p>
        </w:tc>
      </w:tr>
      <w:tr>
        <w:tblPrEx>
          <w:tblCellMar>
            <w:top w:w="0" w:type="dxa"/>
            <w:left w:w="108" w:type="dxa"/>
            <w:bottom w:w="0" w:type="dxa"/>
            <w:right w:w="108" w:type="dxa"/>
          </w:tblCellMar>
        </w:tblPrEx>
        <w:trPr>
          <w:trHeight w:val="207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highlight w:val="none"/>
              </w:rPr>
              <w:t>3.2.4</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最高投标限价或其计算方法</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color w:val="auto"/>
                <w:highlight w:val="none"/>
              </w:rPr>
            </w:pPr>
            <w:r>
              <w:rPr>
                <w:rFonts w:hint="eastAsia"/>
                <w:color w:val="auto"/>
                <w:highlight w:val="none"/>
              </w:rPr>
              <w:t>本次招标最高投</w:t>
            </w:r>
            <w:r>
              <w:rPr>
                <w:rFonts w:hint="eastAsia" w:ascii="宋体" w:hAnsi="宋体"/>
                <w:color w:val="auto"/>
                <w:highlight w:val="none"/>
              </w:rPr>
              <w:t>标限价为</w:t>
            </w:r>
            <w:r>
              <w:rPr>
                <w:rFonts w:hint="eastAsia" w:ascii="宋体" w:hAnsi="宋体"/>
                <w:color w:val="auto"/>
                <w:highlight w:val="none"/>
                <w:u w:val="single"/>
              </w:rPr>
              <w:t>22846300.66</w:t>
            </w:r>
            <w:r>
              <w:rPr>
                <w:rFonts w:hint="eastAsia" w:ascii="宋体" w:hAnsi="宋体"/>
                <w:color w:val="auto"/>
                <w:highlight w:val="none"/>
              </w:rPr>
              <w:t>元，其中：设计费最高投标限价为人民币</w:t>
            </w:r>
            <w:r>
              <w:rPr>
                <w:rFonts w:hint="eastAsia" w:ascii="宋体" w:hAnsi="宋体"/>
                <w:color w:val="auto"/>
                <w:highlight w:val="none"/>
                <w:u w:val="single"/>
              </w:rPr>
              <w:t>1441847.06</w:t>
            </w:r>
            <w:r>
              <w:rPr>
                <w:rFonts w:hint="eastAsia" w:ascii="宋体" w:hAnsi="宋体"/>
                <w:color w:val="auto"/>
                <w:highlight w:val="none"/>
              </w:rPr>
              <w:t>元，施工费最高投标限价为人民币</w:t>
            </w:r>
            <w:r>
              <w:rPr>
                <w:rFonts w:hint="eastAsia" w:ascii="宋体" w:hAnsi="宋体"/>
                <w:color w:val="auto"/>
                <w:highlight w:val="none"/>
                <w:u w:val="single"/>
              </w:rPr>
              <w:t>21404453.6</w:t>
            </w:r>
            <w:r>
              <w:rPr>
                <w:rFonts w:hint="eastAsia" w:ascii="宋体" w:hAnsi="宋体"/>
                <w:color w:val="auto"/>
                <w:highlight w:val="none"/>
                <w:u w:val="single"/>
                <w:lang w:val="en-US" w:eastAsia="zh-CN"/>
              </w:rPr>
              <w:t>0</w:t>
            </w:r>
            <w:r>
              <w:rPr>
                <w:rFonts w:hint="eastAsia" w:ascii="宋体" w:hAnsi="宋体"/>
                <w:color w:val="auto"/>
                <w:highlight w:val="none"/>
              </w:rPr>
              <w:t>元</w:t>
            </w:r>
            <w:r>
              <w:rPr>
                <w:rFonts w:hint="eastAsia" w:ascii="宋体" w:hAnsi="宋体"/>
                <w:color w:val="auto"/>
                <w:highlight w:val="none"/>
                <w:u w:val="none"/>
                <w:lang w:val="en-US" w:eastAsia="zh-CN"/>
              </w:rPr>
              <w:t>。</w:t>
            </w:r>
            <w:r>
              <w:rPr>
                <w:rFonts w:hint="eastAsia"/>
                <w:color w:val="auto"/>
                <w:highlight w:val="none"/>
              </w:rPr>
              <w:t>其中非竞争费用：</w:t>
            </w:r>
            <w:r>
              <w:rPr>
                <w:rFonts w:hint="eastAsia"/>
                <w:color w:val="auto"/>
                <w:highlight w:val="none"/>
                <w:lang w:val="en-US" w:eastAsia="zh-CN"/>
              </w:rPr>
              <w:t>详见最高投标限价公布函。</w:t>
            </w:r>
            <w:r>
              <w:rPr>
                <w:rFonts w:hint="eastAsia"/>
                <w:color w:val="auto"/>
                <w:highlight w:val="none"/>
              </w:rPr>
              <w:t>非竞争费用指本项目的绿色施工安全防护措施费、暂列金额、暂估价（如有）未按招标文件规定的金额填写的，由评标委员会按照招标文件规定的金额进行修正。</w:t>
            </w:r>
          </w:p>
          <w:p>
            <w:pPr>
              <w:pStyle w:val="19"/>
              <w:spacing w:line="0" w:lineRule="atLeast"/>
              <w:rPr>
                <w:rFonts w:ascii="Times New Roman" w:hAnsi="Times New Roman" w:eastAsia="宋体"/>
                <w:b/>
                <w:color w:val="auto"/>
                <w:szCs w:val="24"/>
                <w:highlight w:val="none"/>
              </w:rPr>
            </w:pPr>
            <w:r>
              <w:rPr>
                <w:rFonts w:hint="eastAsia"/>
                <w:b/>
                <w:bCs/>
                <w:color w:val="auto"/>
                <w:highlight w:val="none"/>
              </w:rPr>
              <w:t>备注：具体详见最高投标限价公布函，投标人的投标总价或设计费或施工费超过上述最高投标限价的为无效标。</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3.2.5</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投标报价的其他要求</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1、投标人必须详细审阅全部招标文件,充分考虑职责和义务,全面地理解招标文件对投标报价的要求,并按招标人提出的条件及内容进行报价。</w:t>
            </w:r>
          </w:p>
          <w:p>
            <w:pPr>
              <w:spacing w:line="0" w:lineRule="atLeast"/>
              <w:rPr>
                <w:rFonts w:ascii="宋体" w:hAnsi="宋体" w:cs="宋体"/>
                <w:color w:val="auto"/>
                <w:szCs w:val="21"/>
                <w:highlight w:val="none"/>
              </w:rPr>
            </w:pPr>
            <w:r>
              <w:rPr>
                <w:rFonts w:hint="eastAsia" w:ascii="宋体" w:hAnsi="宋体" w:cs="宋体"/>
                <w:color w:val="auto"/>
                <w:szCs w:val="21"/>
                <w:highlight w:val="none"/>
              </w:rPr>
              <w:t>（1）设计费：投标报价不得高于</w:t>
            </w:r>
            <w:r>
              <w:rPr>
                <w:rFonts w:hint="eastAsia" w:ascii="宋体" w:hAnsi="宋体"/>
                <w:color w:val="auto"/>
                <w:kern w:val="0"/>
                <w:szCs w:val="21"/>
                <w:highlight w:val="none"/>
              </w:rPr>
              <w:t>设计费</w:t>
            </w:r>
            <w:r>
              <w:rPr>
                <w:rFonts w:hint="eastAsia" w:ascii="宋体" w:hAnsi="宋体"/>
                <w:color w:val="auto"/>
                <w:highlight w:val="none"/>
              </w:rPr>
              <w:t>最高投标限价</w:t>
            </w:r>
            <w:r>
              <w:rPr>
                <w:rFonts w:hint="eastAsia" w:ascii="宋体" w:hAnsi="宋体" w:cs="宋体"/>
                <w:color w:val="auto"/>
                <w:szCs w:val="21"/>
                <w:highlight w:val="none"/>
              </w:rPr>
              <w:t>。由投标人根据招标文件要求以及企业自身情况填报总价，采用固定总价包干方式计价，结算方式按照合同约定的相应条款执行。</w:t>
            </w:r>
          </w:p>
          <w:p>
            <w:pPr>
              <w:spacing w:line="0" w:lineRule="atLeast"/>
              <w:jc w:val="left"/>
              <w:rPr>
                <w:rFonts w:ascii="宋体" w:hAnsi="宋体" w:cs="宋体"/>
                <w:color w:val="auto"/>
                <w:szCs w:val="21"/>
                <w:highlight w:val="none"/>
              </w:rPr>
            </w:pPr>
            <w:r>
              <w:rPr>
                <w:rFonts w:hint="eastAsia" w:ascii="宋体" w:hAnsi="宋体" w:cs="宋体"/>
                <w:color w:val="auto"/>
                <w:szCs w:val="21"/>
                <w:highlight w:val="none"/>
              </w:rPr>
              <w:t>（2）施工费： 投标报价不得高于</w:t>
            </w:r>
            <w:r>
              <w:rPr>
                <w:rFonts w:hint="eastAsia" w:ascii="宋体" w:hAnsi="宋体"/>
                <w:color w:val="auto"/>
                <w:kern w:val="0"/>
                <w:szCs w:val="21"/>
                <w:highlight w:val="none"/>
              </w:rPr>
              <w:t>施工费</w:t>
            </w:r>
            <w:r>
              <w:rPr>
                <w:rFonts w:hint="eastAsia" w:ascii="宋体" w:hAnsi="宋体"/>
                <w:color w:val="auto"/>
                <w:highlight w:val="none"/>
              </w:rPr>
              <w:t>最高投标限价</w:t>
            </w:r>
            <w:r>
              <w:rPr>
                <w:rFonts w:hint="eastAsia" w:ascii="宋体" w:hAnsi="宋体" w:cs="宋体"/>
                <w:color w:val="auto"/>
                <w:szCs w:val="21"/>
                <w:highlight w:val="none"/>
              </w:rPr>
              <w:t>。由投标人根据招标文件要求以及企业自身情况填报投标报价；结算方式按照合同相关约定执行。</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120天</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投标保证金的金额：人民币</w:t>
            </w:r>
            <w:r>
              <w:rPr>
                <w:rFonts w:ascii="宋体" w:hAnsi="宋体" w:cs="宋体"/>
                <w:color w:val="auto"/>
                <w:szCs w:val="21"/>
                <w:highlight w:val="none"/>
              </w:rPr>
              <w:t>20</w:t>
            </w:r>
            <w:r>
              <w:rPr>
                <w:rFonts w:hint="eastAsia" w:ascii="宋体" w:hAnsi="宋体" w:cs="宋体"/>
                <w:color w:val="auto"/>
                <w:szCs w:val="21"/>
                <w:highlight w:val="none"/>
              </w:rPr>
              <w:t>万元整,缴纳时间：在</w:t>
            </w:r>
            <w:r>
              <w:rPr>
                <w:rFonts w:hint="eastAsia" w:ascii="宋体" w:hAnsi="宋体" w:cs="宋体"/>
                <w:color w:val="auto"/>
                <w:highlight w:val="none"/>
              </w:rPr>
              <w:t>投标截止时间之前</w:t>
            </w:r>
            <w:r>
              <w:rPr>
                <w:rFonts w:hint="eastAsia" w:ascii="宋体" w:hAnsi="宋体" w:cs="宋体"/>
                <w:color w:val="auto"/>
                <w:szCs w:val="21"/>
                <w:highlight w:val="none"/>
              </w:rPr>
              <w:t>。</w:t>
            </w:r>
          </w:p>
          <w:p>
            <w:pPr>
              <w:spacing w:line="0" w:lineRule="atLeast"/>
              <w:rPr>
                <w:rFonts w:ascii="宋体" w:hAnsi="宋体" w:cs="宋体"/>
                <w:color w:val="auto"/>
                <w:szCs w:val="21"/>
                <w:highlight w:val="none"/>
              </w:rPr>
            </w:pPr>
            <w:r>
              <w:rPr>
                <w:rFonts w:hint="eastAsia" w:ascii="宋体" w:hAnsi="宋体" w:cs="宋体"/>
                <w:color w:val="auto"/>
                <w:szCs w:val="21"/>
                <w:highlight w:val="none"/>
              </w:rPr>
              <w:t>投标保证金有效期：与投标有效期一致。</w:t>
            </w:r>
          </w:p>
          <w:p>
            <w:pPr>
              <w:spacing w:line="0" w:lineRule="atLeast"/>
              <w:rPr>
                <w:rFonts w:ascii="宋体" w:hAnsi="宋体" w:cs="宋体"/>
                <w:color w:val="auto"/>
                <w:szCs w:val="21"/>
                <w:highlight w:val="none"/>
              </w:rPr>
            </w:pPr>
            <w:r>
              <w:rPr>
                <w:rFonts w:hint="eastAsia" w:ascii="宋体" w:hAnsi="宋体" w:cs="宋体"/>
                <w:color w:val="auto"/>
                <w:szCs w:val="21"/>
                <w:highlight w:val="none"/>
              </w:rPr>
              <w:t>投标保证金可采用现金、支票、投标保证保险、投标保函（银行或专业担保公司出具）的形式，须在递交投标文件截止时间前完成缴纳。</w:t>
            </w:r>
          </w:p>
          <w:p>
            <w:pPr>
              <w:spacing w:line="0" w:lineRule="atLeast"/>
              <w:rPr>
                <w:rFonts w:ascii="宋体" w:hAnsi="宋体" w:cs="宋体"/>
                <w:color w:val="auto"/>
                <w:szCs w:val="21"/>
                <w:highlight w:val="none"/>
              </w:rPr>
            </w:pPr>
            <w:r>
              <w:rPr>
                <w:rFonts w:hint="eastAsia" w:ascii="宋体" w:hAnsi="宋体" w:cs="宋体"/>
                <w:color w:val="auto"/>
                <w:szCs w:val="21"/>
                <w:highlight w:val="none"/>
              </w:rPr>
              <w:t>1、投标保证金如采用现金或支票的形式提交的，投标保证金从投标人的基本账户递交，由广州交易集团有限公司（广州公共资源交易中心）代收。具体操作要求详见广州交易集团有限公司（广州公共资源交易中心）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pPr>
              <w:spacing w:line="0" w:lineRule="atLeast"/>
              <w:rPr>
                <w:rFonts w:ascii="宋体" w:hAnsi="宋体" w:cs="宋体"/>
                <w:color w:val="auto"/>
                <w:szCs w:val="21"/>
                <w:highlight w:val="none"/>
              </w:rPr>
            </w:pPr>
            <w:r>
              <w:rPr>
                <w:rFonts w:hint="eastAsia" w:ascii="宋体" w:hAnsi="宋体" w:cs="宋体"/>
                <w:color w:val="auto"/>
                <w:szCs w:val="21"/>
                <w:highlight w:val="none"/>
              </w:rPr>
              <w:t>2、如采用投标保证保险、投标保函（银行或专业担保公司出具）的形式提交的，在开标前不强制要求提交纸质原件，由中标候选人在中标候选人公示前提交并在网上公示，但投标人应在投标文件中提交投标保函或投标保证保险扫描件并加盖投标人电子印章。</w:t>
            </w:r>
          </w:p>
          <w:p>
            <w:pPr>
              <w:spacing w:line="0" w:lineRule="atLeast"/>
              <w:rPr>
                <w:rFonts w:ascii="宋体" w:hAnsi="宋体" w:cs="宋体"/>
                <w:color w:val="auto"/>
                <w:szCs w:val="21"/>
                <w:highlight w:val="none"/>
              </w:rPr>
            </w:pPr>
            <w:r>
              <w:rPr>
                <w:rFonts w:hint="eastAsia" w:ascii="宋体" w:hAnsi="宋体" w:cs="宋体"/>
                <w:color w:val="auto"/>
                <w:szCs w:val="21"/>
                <w:highlight w:val="none"/>
              </w:rPr>
              <w:t>3、开标时，对于未能按招标文件要求缴纳投标保证金的投标人，招标人将视为不响应招标文件而予以拒绝，其投标无效，责任由投标人自负。</w:t>
            </w:r>
          </w:p>
          <w:p>
            <w:pPr>
              <w:spacing w:line="0" w:lineRule="atLeast"/>
              <w:rPr>
                <w:rFonts w:hAnsi="宋体" w:cs="宋体"/>
                <w:color w:val="auto"/>
                <w:szCs w:val="21"/>
                <w:highlight w:val="none"/>
              </w:rPr>
            </w:pPr>
            <w:r>
              <w:rPr>
                <w:rFonts w:ascii="宋体" w:hAnsi="宋体" w:cs="宋体"/>
                <w:color w:val="auto"/>
                <w:szCs w:val="21"/>
                <w:highlight w:val="none"/>
                <w:u w:val="single"/>
                <w:lang w:bidi="ar"/>
              </w:rPr>
              <w:t>4</w:t>
            </w:r>
            <w:r>
              <w:rPr>
                <w:rFonts w:hint="eastAsia" w:ascii="宋体" w:hAnsi="宋体" w:cs="宋体"/>
                <w:color w:val="auto"/>
                <w:szCs w:val="21"/>
                <w:highlight w:val="none"/>
                <w:u w:val="single"/>
                <w:lang w:bidi="ar"/>
              </w:rPr>
              <w:t>、如联合体投标，投标保证金由联合体主办方缴纳。</w:t>
            </w:r>
            <w:r>
              <w:rPr>
                <w:rFonts w:hint="eastAsia" w:ascii="宋体" w:hAnsi="宋体" w:cs="宋体"/>
                <w:color w:val="auto"/>
                <w:szCs w:val="21"/>
                <w:highlight w:val="none"/>
              </w:rPr>
              <w:t xml:space="preserve">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3.5.2</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近年财务状况</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3.5.3</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近年完成的类似项目</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3.5.5</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近年发生的重大诉讼及仲裁情况</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3.6</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659" w:type="dxa"/>
            <w:tcBorders>
              <w:top w:val="single" w:color="auto" w:sz="4" w:space="0"/>
              <w:left w:val="single" w:color="auto" w:sz="4" w:space="0"/>
              <w:bottom w:val="single" w:color="auto" w:sz="4" w:space="0"/>
              <w:right w:val="single" w:color="auto" w:sz="4" w:space="0"/>
            </w:tcBorders>
            <w:vAlign w:val="center"/>
          </w:tcPr>
          <w:p>
            <w:pPr>
              <w:pStyle w:val="14"/>
              <w:topLinePunct/>
              <w:spacing w:line="0" w:lineRule="atLeast"/>
              <w:rPr>
                <w:rFonts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不允许</w:t>
            </w:r>
          </w:p>
          <w:p>
            <w:pPr>
              <w:spacing w:line="0" w:lineRule="atLeast"/>
              <w:rPr>
                <w:rFonts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3.7.3</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u w:val="single"/>
              </w:rPr>
              <w:t>投标人采用单位数字证书，对投标文件加盖电子印章。投标文件中需个人签字或盖章的，应加盖个人电子印章或在线下完成后扫描上传。按照交易平台关于全流程电子化项目的相关指南进行操作，联合体投标的，除投标文件中的联合体协议书需联合体各方盖章、签字(或盖章)外，投标文件其他内容中的“投标人”、</w:t>
            </w:r>
            <w:r>
              <w:rPr>
                <w:rFonts w:hint="eastAsia" w:ascii="宋体" w:hAnsi="宋体" w:cs="宋体"/>
                <w:color w:val="auto"/>
                <w:szCs w:val="21"/>
                <w:highlight w:val="none"/>
                <w:u w:val="single"/>
                <w:lang w:bidi="ar"/>
              </w:rPr>
              <w:t>“投标单位”、</w:t>
            </w:r>
            <w:r>
              <w:rPr>
                <w:rFonts w:hint="eastAsia" w:ascii="宋体" w:hAnsi="宋体" w:cs="宋体"/>
                <w:color w:val="auto"/>
                <w:szCs w:val="21"/>
                <w:highlight w:val="none"/>
                <w:u w:val="single"/>
              </w:rPr>
              <w:t>“声明企业”应填写联合体各方的单位全称</w:t>
            </w:r>
            <w:r>
              <w:rPr>
                <w:rFonts w:hint="eastAsia" w:ascii="宋体" w:hAnsi="宋体" w:cs="宋体"/>
                <w:color w:val="auto"/>
                <w:szCs w:val="21"/>
                <w:highlight w:val="none"/>
                <w:u w:val="single"/>
                <w:lang w:bidi="ar"/>
              </w:rPr>
              <w:t>【格式表示为：(主)XXXX公司,(成)XXXX公司</w:t>
            </w:r>
            <w:r>
              <w:rPr>
                <w:rFonts w:hint="eastAsia" w:ascii="宋体" w:hAnsi="宋体" w:cs="宋体"/>
                <w:color w:val="auto"/>
                <w:szCs w:val="21"/>
                <w:highlight w:val="none"/>
                <w:u w:val="single"/>
              </w:rPr>
              <w:t>，但由主办方盖章、签字(或盖章)即可。</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3.7.4</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投标文件副本份数</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3.7.5</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装订要求</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封套上应载明的信息</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4.2.2</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投标人应在截止时间前通过电子招标投标交易平台递交电子投标文件。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5659" w:type="dxa"/>
            <w:tcBorders>
              <w:top w:val="single" w:color="auto" w:sz="4" w:space="0"/>
              <w:left w:val="single" w:color="auto" w:sz="4" w:space="0"/>
              <w:bottom w:val="single" w:color="auto" w:sz="4" w:space="0"/>
              <w:right w:val="single" w:color="auto" w:sz="4" w:space="0"/>
            </w:tcBorders>
            <w:vAlign w:val="center"/>
          </w:tcPr>
          <w:p>
            <w:pPr>
              <w:pStyle w:val="14"/>
              <w:topLinePunct/>
              <w:spacing w:line="0" w:lineRule="atLeast"/>
              <w:rPr>
                <w:rFonts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否</w:t>
            </w:r>
          </w:p>
          <w:p>
            <w:pPr>
              <w:spacing w:line="0" w:lineRule="atLeast"/>
              <w:rPr>
                <w:rFonts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是</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5.1</w:t>
            </w:r>
          </w:p>
        </w:tc>
        <w:tc>
          <w:tcPr>
            <w:tcW w:w="2353" w:type="dxa"/>
            <w:gridSpan w:val="2"/>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5659" w:type="dxa"/>
            <w:tcBorders>
              <w:top w:val="single" w:color="auto" w:sz="4" w:space="0"/>
              <w:left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开标时间同投标截止时间。在电子招标投标交易平台进行网上开标</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5.2</w:t>
            </w:r>
          </w:p>
        </w:tc>
        <w:tc>
          <w:tcPr>
            <w:tcW w:w="2353" w:type="dxa"/>
            <w:gridSpan w:val="2"/>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5659" w:type="dxa"/>
            <w:tcBorders>
              <w:top w:val="single" w:color="auto" w:sz="4" w:space="0"/>
              <w:left w:val="single" w:color="auto" w:sz="4" w:space="0"/>
              <w:right w:val="single" w:color="auto" w:sz="4" w:space="0"/>
            </w:tcBorders>
            <w:vAlign w:val="center"/>
          </w:tcPr>
          <w:p>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主持人按下列程序进行开标：</w:t>
            </w:r>
          </w:p>
          <w:p>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（1）宣布开标纪律；</w:t>
            </w:r>
          </w:p>
          <w:p>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（2）公布在投标截止时间前递交投标文件的投标人名称；</w:t>
            </w:r>
          </w:p>
          <w:p>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3）在投标截止时间后1小时内，投标人通过递交投标文件的交易平台对已递交的电子投标文件进行解密。投标人完成解密后，再由招标人进行解密（投标人只用执行一次解密，招标人执行解密次数根据招标文件开标次数确定）。</w:t>
            </w:r>
          </w:p>
          <w:p>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4）解密完成后，公布：a投标人名称；b投标文件递交情况；c投标文件解密情况；d投标担保递交情况；e项目负责人(兼施工负责人)、设计负责人、专职安全员；f投标报价；g工期；h质量标准；i投标人的加密打包投标文件电脑机器特征码等主要内容，并记录在案。未在规定时间内解密的投标文件不参与开标、评标。</w:t>
            </w:r>
          </w:p>
          <w:p>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（5）截标后，开标开始时间因故推迟的，相关评标信息仍以原定的开标开始时间的信息为准。</w:t>
            </w:r>
          </w:p>
          <w:p>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（6）备用光盘的读取按“10 电子招标投标”第6点的规定执行。</w:t>
            </w:r>
          </w:p>
          <w:p>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（9）投标人未参加开标或在规定的时间内未提出异议的，视为对开标无异议。</w:t>
            </w:r>
          </w:p>
          <w:p>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（10）开标时，本项目两个（含两个）以上的投标人加密打包投标文件电脑机器特征码一致的，不参与下一程序，并由评标委员会否决其投标。</w:t>
            </w:r>
          </w:p>
          <w:p>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（11）投标人未参加开标或在规定的时间内未提出异议的，视为对开标无异议。</w:t>
            </w:r>
          </w:p>
          <w:p>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（12）投标人代表、招标人代表、监标人、记录人等有关人员在开标记录上签字确认；若有关人员不签字的，不影响开标程序；</w:t>
            </w:r>
          </w:p>
          <w:p>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13）设计方案（暗标）开标时不得开启，在评标时由交易平台随机编号后开启，交由评标委员会进行评审。编号所对应的投标人在设计方案评审结束前不得告知评标委员会、交易平台工作人员、招标人或招标代理机构。</w:t>
            </w:r>
          </w:p>
          <w:p>
            <w:pPr>
              <w:spacing w:line="0" w:lineRule="atLeast"/>
              <w:rPr>
                <w:rFonts w:ascii="宋体" w:hAnsi="宋体" w:cs="宋体"/>
                <w:color w:val="auto"/>
                <w:szCs w:val="21"/>
                <w:highlight w:val="none"/>
              </w:rPr>
            </w:pPr>
            <w:r>
              <w:rPr>
                <w:rFonts w:hint="eastAsia" w:ascii="新宋体" w:hAnsi="新宋体" w:eastAsia="新宋体" w:cs="新宋体"/>
                <w:color w:val="auto"/>
                <w:szCs w:val="21"/>
                <w:highlight w:val="none"/>
                <w:u w:val="single"/>
              </w:rPr>
              <w:t>（14）开标结束。</w:t>
            </w:r>
          </w:p>
        </w:tc>
      </w:tr>
      <w:tr>
        <w:tblPrEx>
          <w:tblCellMar>
            <w:top w:w="0" w:type="dxa"/>
            <w:left w:w="108" w:type="dxa"/>
            <w:bottom w:w="0" w:type="dxa"/>
            <w:right w:w="108" w:type="dxa"/>
          </w:tblCellMar>
        </w:tblPrEx>
        <w:trPr>
          <w:trHeight w:val="533"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6.1.1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评标委员会由7名专家组成，其中招标人代表2名，广东省综合评审评标专家库中随机抽取产生的专家5名</w:t>
            </w:r>
            <w:r>
              <w:rPr>
                <w:rFonts w:ascii="宋体" w:hAnsi="宋体" w:cs="宋体"/>
                <w:color w:val="auto"/>
                <w:szCs w:val="21"/>
                <w:highlight w:val="none"/>
              </w:rPr>
              <w:t>。</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7.1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是</w:t>
            </w:r>
          </w:p>
          <w:p>
            <w:pPr>
              <w:spacing w:line="0" w:lineRule="atLeast"/>
              <w:rPr>
                <w:rFonts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否，推荐的中标候选人数：3人。</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7.2</w:t>
            </w:r>
          </w:p>
        </w:tc>
        <w:tc>
          <w:tcPr>
            <w:tcW w:w="2353" w:type="dxa"/>
            <w:gridSpan w:val="2"/>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5659" w:type="dxa"/>
            <w:tcBorders>
              <w:top w:val="single" w:color="auto" w:sz="4" w:space="0"/>
              <w:left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中国招标投标公共服务平台、广东省招标投标监管网、广州交易集团有限公司（广州公共资源交易中心）官网、广州国企阳光采购信息发布平台</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7.4.1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szCs w:val="21"/>
                <w:highlight w:val="none"/>
              </w:rPr>
              <w:t>履约担保的形式：</w:t>
            </w:r>
            <w:r>
              <w:rPr>
                <w:rFonts w:hint="eastAsia" w:ascii="宋体" w:hAnsi="宋体" w:cs="宋体"/>
                <w:color w:val="auto"/>
                <w:kern w:val="0"/>
                <w:szCs w:val="21"/>
                <w:highlight w:val="none"/>
              </w:rPr>
              <w:t>以合同约定为准</w:t>
            </w:r>
            <w:r>
              <w:rPr>
                <w:rFonts w:hint="eastAsia" w:ascii="宋体" w:hAnsi="宋体" w:cs="宋体"/>
                <w:color w:val="auto"/>
                <w:szCs w:val="21"/>
                <w:highlight w:val="none"/>
              </w:rPr>
              <w:t>。</w:t>
            </w:r>
          </w:p>
          <w:p>
            <w:pPr>
              <w:spacing w:line="0" w:lineRule="atLeast"/>
              <w:rPr>
                <w:rFonts w:ascii="宋体" w:hAnsi="宋体" w:cs="宋体"/>
                <w:color w:val="auto"/>
                <w:highlight w:val="none"/>
              </w:rPr>
            </w:pPr>
            <w:r>
              <w:rPr>
                <w:rFonts w:hint="eastAsia" w:ascii="宋体" w:hAnsi="宋体" w:cs="宋体"/>
                <w:color w:val="auto"/>
                <w:szCs w:val="21"/>
                <w:highlight w:val="none"/>
              </w:rPr>
              <w:t>履约担保的金额：</w:t>
            </w:r>
            <w:r>
              <w:rPr>
                <w:rFonts w:hint="eastAsia" w:ascii="宋体" w:hAnsi="宋体" w:cs="宋体"/>
                <w:color w:val="auto"/>
                <w:highlight w:val="none"/>
              </w:rPr>
              <w:t>中标总价的</w:t>
            </w:r>
            <w:r>
              <w:rPr>
                <w:rFonts w:ascii="宋体" w:hAnsi="宋体" w:cs="宋体"/>
                <w:color w:val="auto"/>
                <w:highlight w:val="none"/>
                <w:u w:val="single"/>
              </w:rPr>
              <w:t>10</w:t>
            </w:r>
            <w:r>
              <w:rPr>
                <w:rFonts w:ascii="宋体" w:hAnsi="宋体" w:cs="宋体"/>
                <w:color w:val="auto"/>
                <w:highlight w:val="none"/>
              </w:rPr>
              <w:t>%</w:t>
            </w:r>
            <w:r>
              <w:rPr>
                <w:rFonts w:hint="eastAsia" w:ascii="宋体" w:hAnsi="宋体" w:cs="宋体"/>
                <w:color w:val="auto"/>
                <w:highlight w:val="none"/>
              </w:rPr>
              <w:t>，联合体投标的由联合体主办方提供。</w:t>
            </w:r>
          </w:p>
          <w:p>
            <w:pPr>
              <w:spacing w:line="0" w:lineRule="atLeast"/>
              <w:rPr>
                <w:rFonts w:ascii="宋体" w:hAnsi="宋体" w:cs="宋体"/>
                <w:color w:val="auto"/>
                <w:szCs w:val="21"/>
                <w:highlight w:val="none"/>
              </w:rPr>
            </w:pPr>
            <w:r>
              <w:rPr>
                <w:rFonts w:hint="eastAsia" w:ascii="宋体" w:hAnsi="宋体" w:cs="宋体"/>
                <w:color w:val="auto"/>
                <w:szCs w:val="21"/>
                <w:highlight w:val="none"/>
              </w:rPr>
              <w:t>担保期限从提供履约担保之日起至合同工程结算审定完成并移交工程档案后止。（履约保函到期但本项目未工程结算的，无论何种原因，投标人承诺无条件续保，如履约保函到期不提供续保则承担一般违约责任）</w:t>
            </w:r>
          </w:p>
        </w:tc>
      </w:tr>
      <w:tr>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8.3</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对评标委员会成员的纪律要求</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bCs/>
                <w:color w:val="auto"/>
                <w:szCs w:val="21"/>
                <w:highlight w:val="none"/>
              </w:rPr>
              <w:t>评标委员会在开始评标前，应了解评标专家的职责及守则，认真阅读本章附件 4《评标委员会成员声明》的内容并签名，签字后方可进行评标。</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8012"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hint="eastAsia" w:ascii="宋体" w:hAnsi="宋体" w:cs="宋体"/>
                <w:b/>
                <w:color w:val="auto"/>
                <w:szCs w:val="21"/>
                <w:highlight w:val="none"/>
              </w:rPr>
              <w:t>需要补充的其他内容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9.1</w:t>
            </w:r>
          </w:p>
        </w:tc>
        <w:tc>
          <w:tcPr>
            <w:tcW w:w="8012"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highlight w:val="none"/>
              </w:rPr>
            </w:pPr>
            <w:r>
              <w:rPr>
                <w:rFonts w:hint="eastAsia" w:ascii="宋体" w:hAnsi="宋体" w:cs="宋体"/>
                <w:color w:val="auto"/>
                <w:highlight w:val="none"/>
              </w:rPr>
              <w:t>建设工程质量检测单位：</w:t>
            </w:r>
          </w:p>
          <w:p>
            <w:pPr>
              <w:spacing w:line="0" w:lineRule="atLeast"/>
              <w:jc w:val="left"/>
              <w:rPr>
                <w:rFonts w:ascii="宋体" w:hAnsi="宋体" w:cs="宋体"/>
                <w:b/>
                <w:color w:val="auto"/>
                <w:szCs w:val="21"/>
                <w:highlight w:val="none"/>
              </w:rPr>
            </w:pPr>
            <w:r>
              <w:rPr>
                <w:rFonts w:hint="eastAsia" w:ascii="宋体" w:hAnsi="宋体" w:cs="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9.2</w:t>
            </w:r>
          </w:p>
        </w:tc>
        <w:tc>
          <w:tcPr>
            <w:tcW w:w="8012"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highlight w:val="none"/>
              </w:rPr>
            </w:pPr>
            <w:r>
              <w:rPr>
                <w:rFonts w:hint="eastAsia" w:ascii="宋体" w:hAnsi="宋体" w:cs="宋体"/>
                <w:color w:val="auto"/>
                <w:highlight w:val="none"/>
              </w:rPr>
              <w:t>在招标和合同实施期间，招标人要求投标人和承包人遵守最高的道德标准。</w:t>
            </w:r>
          </w:p>
          <w:p>
            <w:pPr>
              <w:spacing w:line="0" w:lineRule="atLeast"/>
              <w:rPr>
                <w:rFonts w:ascii="宋体" w:hAnsi="宋体" w:cs="宋体"/>
                <w:color w:val="auto"/>
                <w:highlight w:val="none"/>
              </w:rPr>
            </w:pPr>
            <w:r>
              <w:rPr>
                <w:rFonts w:hint="eastAsia" w:ascii="宋体" w:hAnsi="宋体" w:cs="宋体"/>
                <w:color w:val="auto"/>
                <w:highlight w:val="none"/>
              </w:rPr>
              <w:t>1、对本条款的规定，特定义如下词汇：</w:t>
            </w:r>
          </w:p>
          <w:p>
            <w:pPr>
              <w:spacing w:line="0" w:lineRule="atLeast"/>
              <w:rPr>
                <w:rFonts w:ascii="宋体" w:hAnsi="宋体" w:cs="宋体"/>
                <w:color w:val="auto"/>
                <w:highlight w:val="none"/>
              </w:rPr>
            </w:pPr>
            <w:r>
              <w:rPr>
                <w:rFonts w:hint="eastAsia" w:ascii="宋体" w:hAnsi="宋体" w:cs="宋体"/>
                <w:color w:val="auto"/>
                <w:highlight w:val="none"/>
              </w:rPr>
              <w:t>1） “腐败行为”是指在招标或合同执行期间，通过提供、给予、接受或索要任何有价值的东西，从而影响招标人有关人员工作的行为；</w:t>
            </w:r>
          </w:p>
          <w:p>
            <w:pPr>
              <w:spacing w:line="0" w:lineRule="atLeast"/>
              <w:rPr>
                <w:rFonts w:ascii="宋体" w:hAnsi="宋体" w:cs="宋体"/>
                <w:color w:val="auto"/>
                <w:highlight w:val="none"/>
              </w:rPr>
            </w:pPr>
            <w:r>
              <w:rPr>
                <w:rFonts w:hint="eastAsia" w:ascii="宋体" w:hAnsi="宋体" w:cs="宋体"/>
                <w:color w:val="auto"/>
                <w:highlight w:val="none"/>
              </w:rPr>
              <w:t>2） “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pPr>
              <w:spacing w:line="0" w:lineRule="atLeast"/>
              <w:jc w:val="left"/>
              <w:rPr>
                <w:rFonts w:ascii="宋体" w:hAnsi="宋体" w:cs="宋体"/>
                <w:color w:val="auto"/>
                <w:highlight w:val="none"/>
              </w:rPr>
            </w:pPr>
            <w:r>
              <w:rPr>
                <w:rFonts w:hint="eastAsia" w:ascii="宋体" w:hAnsi="宋体" w:cs="宋体"/>
                <w:color w:val="auto"/>
                <w:highlight w:val="none"/>
              </w:rPr>
              <w:t>2、如果投标人被认定在本招标的竞争中有腐败或欺诈行为，则会被取消投标资格。</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hint="eastAsia" w:ascii="宋体" w:hAnsi="宋体" w:cs="宋体"/>
                <w:color w:val="auto"/>
                <w:szCs w:val="21"/>
                <w:highlight w:val="none"/>
              </w:rPr>
              <w:t>9.3</w:t>
            </w:r>
          </w:p>
        </w:tc>
        <w:tc>
          <w:tcPr>
            <w:tcW w:w="801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1．职业健康安全管理目标：</w:t>
            </w:r>
          </w:p>
          <w:p>
            <w:pPr>
              <w:rPr>
                <w:rFonts w:ascii="宋体" w:hAnsi="宋体"/>
                <w:color w:val="auto"/>
                <w:szCs w:val="21"/>
                <w:highlight w:val="none"/>
              </w:rPr>
            </w:pPr>
            <w:r>
              <w:rPr>
                <w:rFonts w:hint="eastAsia" w:ascii="宋体" w:hAnsi="宋体"/>
                <w:color w:val="auto"/>
                <w:szCs w:val="21"/>
                <w:highlight w:val="none"/>
              </w:rPr>
              <w:t>1）杜绝发生一般事故等级及以上的伤亡事故且工伤责任事故死亡人数为零。</w:t>
            </w:r>
          </w:p>
          <w:p>
            <w:pPr>
              <w:rPr>
                <w:rFonts w:ascii="宋体" w:hAnsi="宋体"/>
                <w:color w:val="auto"/>
                <w:szCs w:val="21"/>
                <w:highlight w:val="none"/>
              </w:rPr>
            </w:pPr>
            <w:r>
              <w:rPr>
                <w:rFonts w:hint="eastAsia" w:ascii="宋体" w:hAnsi="宋体"/>
                <w:color w:val="auto"/>
                <w:szCs w:val="21"/>
                <w:highlight w:val="none"/>
              </w:rPr>
              <w:t>2．环境管理目标：按相关部门最新文件执行。</w:t>
            </w:r>
          </w:p>
          <w:p>
            <w:pPr>
              <w:rPr>
                <w:rFonts w:ascii="宋体" w:hAnsi="宋体"/>
                <w:color w:val="auto"/>
                <w:szCs w:val="21"/>
                <w:highlight w:val="none"/>
              </w:rPr>
            </w:pPr>
            <w:r>
              <w:rPr>
                <w:rFonts w:hint="eastAsia" w:ascii="宋体" w:hAnsi="宋体"/>
                <w:color w:val="auto"/>
                <w:szCs w:val="21"/>
                <w:highlight w:val="none"/>
              </w:rPr>
              <w:t>3．质量目标：按招标文件质量标准要求，具体按合同约定；</w:t>
            </w:r>
          </w:p>
          <w:p>
            <w:pPr>
              <w:rPr>
                <w:rFonts w:ascii="宋体" w:hAnsi="宋体"/>
                <w:color w:val="auto"/>
                <w:szCs w:val="21"/>
                <w:highlight w:val="none"/>
              </w:rPr>
            </w:pPr>
            <w:r>
              <w:rPr>
                <w:rFonts w:hint="eastAsia" w:ascii="宋体" w:hAnsi="宋体"/>
                <w:color w:val="auto"/>
                <w:szCs w:val="21"/>
                <w:highlight w:val="none"/>
              </w:rPr>
              <w:t>4．费用目标：确保项目总投资不超过工程概算金额，具体按合同约定；</w:t>
            </w:r>
          </w:p>
          <w:p>
            <w:pPr>
              <w:rPr>
                <w:rFonts w:ascii="宋体" w:hAnsi="宋体"/>
                <w:color w:val="auto"/>
                <w:szCs w:val="21"/>
                <w:highlight w:val="none"/>
              </w:rPr>
            </w:pPr>
            <w:r>
              <w:rPr>
                <w:rFonts w:hint="eastAsia" w:ascii="宋体" w:hAnsi="宋体"/>
                <w:color w:val="auto"/>
                <w:szCs w:val="21"/>
                <w:highlight w:val="none"/>
              </w:rPr>
              <w:t>5．进度目标：确保项目建设进度满足招标文件工期要求，具体按合同约定。</w:t>
            </w:r>
          </w:p>
          <w:p>
            <w:pPr>
              <w:spacing w:line="0" w:lineRule="atLeast"/>
              <w:rPr>
                <w:rFonts w:ascii="宋体" w:hAnsi="宋体" w:cs="宋体"/>
                <w:color w:val="auto"/>
                <w:highlight w:val="none"/>
              </w:rPr>
            </w:pPr>
            <w:r>
              <w:rPr>
                <w:rFonts w:hint="eastAsia" w:ascii="宋体" w:hAnsi="宋体"/>
                <w:color w:val="auto"/>
                <w:szCs w:val="21"/>
                <w:highlight w:val="none"/>
              </w:rPr>
              <w:t>6. 安全文明标准：</w:t>
            </w:r>
            <w:r>
              <w:rPr>
                <w:rFonts w:hint="eastAsia" w:ascii="宋体" w:hAnsi="宋体"/>
                <w:color w:val="auto"/>
                <w:szCs w:val="21"/>
                <w:highlight w:val="none"/>
                <w:u w:val="single"/>
              </w:rPr>
              <w:t>需要达到安全文明样板工地标准。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9.4</w:t>
            </w:r>
          </w:p>
        </w:tc>
        <w:tc>
          <w:tcPr>
            <w:tcW w:w="801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施工保修期限：按照《建设工程质量管理条例》规定。</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9.5</w:t>
            </w:r>
          </w:p>
        </w:tc>
        <w:tc>
          <w:tcPr>
            <w:tcW w:w="801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bCs/>
                <w:snapToGrid w:val="0"/>
                <w:color w:val="auto"/>
                <w:kern w:val="0"/>
                <w:szCs w:val="21"/>
                <w:highlight w:val="none"/>
              </w:rPr>
            </w:pPr>
            <w:r>
              <w:rPr>
                <w:rFonts w:hint="eastAsia" w:ascii="宋体" w:hAnsi="宋体"/>
                <w:color w:val="auto"/>
                <w:highlight w:val="none"/>
              </w:rPr>
              <w:t>承包方式：</w:t>
            </w:r>
            <w:r>
              <w:rPr>
                <w:rFonts w:hint="eastAsia" w:ascii="宋体" w:hAnsi="宋体" w:cs="宋体"/>
                <w:color w:val="auto"/>
                <w:highlight w:val="none"/>
                <w:u w:val="single"/>
              </w:rPr>
              <w:t>包设计（包括深化设计及编制工程概算、施工图设计）、包施工（包工、包料、包工期、包质量、包安全、包文明施工、包消防报建等、包联动调试、包验收（含消防等）、包保修）。</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9.6</w:t>
            </w:r>
          </w:p>
        </w:tc>
        <w:tc>
          <w:tcPr>
            <w:tcW w:w="8012"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auto"/>
                <w:highlight w:val="none"/>
              </w:rPr>
            </w:pPr>
            <w:r>
              <w:rPr>
                <w:rFonts w:hint="eastAsia" w:ascii="宋体" w:hAnsi="宋体"/>
                <w:color w:val="auto"/>
                <w:highlight w:val="none"/>
              </w:rPr>
              <w:t>根据相关规定本项目如需办理规划许可证的，投标人需根据相关文件协助招标人办理。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10</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电子招标投标</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highlight w:val="none"/>
              </w:rPr>
            </w:pPr>
            <w:r>
              <w:rPr>
                <w:rFonts w:hint="eastAsia" w:ascii="宋体" w:hAnsi="宋体" w:cs="宋体"/>
                <w:color w:val="auto"/>
                <w:highlight w:val="none"/>
              </w:rPr>
              <w:t>□否</w:t>
            </w:r>
          </w:p>
          <w:p>
            <w:pPr>
              <w:spacing w:line="0" w:lineRule="atLeast"/>
              <w:rPr>
                <w:rFonts w:ascii="宋体" w:hAnsi="宋体" w:cs="宋体"/>
                <w:color w:val="auto"/>
                <w:highlight w:val="none"/>
              </w:rPr>
            </w:pPr>
            <w:r>
              <w:rPr>
                <w:rFonts w:hint="eastAsia" w:ascii="宋体" w:hAnsi="宋体" w:cs="宋体"/>
                <w:color w:val="auto"/>
                <w:highlight w:val="none"/>
              </w:rPr>
              <w:t>■是，具体要求：</w:t>
            </w:r>
          </w:p>
          <w:p>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w:t>
            </w:r>
            <w:r>
              <w:rPr>
                <w:rFonts w:hint="eastAsia" w:ascii="宋体" w:hAnsi="宋体" w:eastAsia="宋体" w:cs="宋体"/>
                <w:color w:val="auto"/>
                <w:highlight w:val="none"/>
                <w:lang w:val="en-US" w:eastAsia="zh-CN"/>
              </w:rPr>
              <w:t>对投标文件</w:t>
            </w:r>
            <w:r>
              <w:rPr>
                <w:rFonts w:hint="eastAsia" w:ascii="宋体" w:hAnsi="宋体" w:eastAsia="宋体" w:cs="宋体"/>
                <w:color w:val="auto"/>
                <w:highlight w:val="none"/>
              </w:rPr>
              <w:t>加盖电子印章。投标文件中需个人签字或盖章的，应在线下完成后扫描上传。具体操作详见交易平台相关操作指南。</w:t>
            </w:r>
          </w:p>
          <w:p>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2、投标文件的修改与撤回：投标人修改或撤回已递交的投标文件，需在交易平台发出撤回通知，并按要求加盖电子印章。电子招标投标交易平台收到通知后，即时向投标人发出确认回执通知。</w:t>
            </w:r>
          </w:p>
          <w:p>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4、投标文件的递交：</w:t>
            </w:r>
          </w:p>
          <w:p>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1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投标文件递交的截止时间（投标截止时间，下同）为2025年 月  日  时  分，投标人应在截止时间前通过电子招标投标交易平台递交电子投标文件。</w:t>
            </w:r>
          </w:p>
          <w:p>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2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提交投标文件备用光盘或u盘。</w:t>
            </w:r>
          </w:p>
          <w:p>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投标文件光盘或u盘(备用)递交时间：2025年  月  日  时分至2025年  月  日  时  分，地点：广州交易集团有限公司（广州公共资源交易中心）第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室开标室。</w:t>
            </w:r>
          </w:p>
          <w:p>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3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③</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投标人完成电子投标上传后，电子招标投标交易平台即时向投标人发出递交回执通知。递交时间以递交回执通知载明的传输时间为准。</w:t>
            </w:r>
          </w:p>
          <w:p>
            <w:pPr>
              <w:pStyle w:val="19"/>
              <w:spacing w:line="0" w:lineRule="atLeas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4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④</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逾期送达的投标文件，电子招标投标交易平台将予以拒收。</w:t>
            </w:r>
          </w:p>
          <w:p>
            <w:pPr>
              <w:rPr>
                <w:color w:val="auto"/>
                <w:highlight w:val="none"/>
              </w:rPr>
            </w:pPr>
            <w:r>
              <w:rPr>
                <w:rFonts w:hint="eastAsia" w:ascii="宋体" w:hAnsi="宋体" w:cs="宋体"/>
                <w:color w:val="auto"/>
                <w:szCs w:val="21"/>
                <w:highlight w:val="none"/>
                <w:u w:val="single"/>
              </w:rPr>
              <w:t>具体时间可以到广州交易集团有限公司（广州公共资源交易中心）网站的项目查询(日程安排、答疑纪要)中输入本项目编号或项目名称进行查询。</w:t>
            </w:r>
          </w:p>
          <w:p>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5、投标文件加密要求：</w:t>
            </w:r>
          </w:p>
          <w:p>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1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网上递交的电子投标文件须进行加密。具体操作详见交易平台相关操作指南。</w:t>
            </w:r>
          </w:p>
          <w:p>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2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未按要求加密的投标文件，招标人将予以拒收。</w:t>
            </w:r>
          </w:p>
          <w:p>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6、投标文件解密失败的补救方案：</w:t>
            </w:r>
          </w:p>
          <w:p>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除发生上述情况外，开标评标均以投标人通过交易平台网上递交的电子投标文件为准。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新宋体" w:hAnsi="新宋体" w:eastAsia="新宋体" w:cs="新宋体"/>
                <w:color w:val="auto"/>
                <w:szCs w:val="21"/>
                <w:highlight w:val="none"/>
              </w:rPr>
              <w:t>11</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color w:val="auto"/>
                <w:szCs w:val="21"/>
                <w:highlight w:val="none"/>
              </w:rPr>
            </w:pPr>
            <w:r>
              <w:rPr>
                <w:rFonts w:hint="eastAsia" w:ascii="新宋体" w:hAnsi="新宋体" w:eastAsia="新宋体" w:cs="新宋体"/>
                <w:color w:val="auto"/>
                <w:szCs w:val="21"/>
                <w:highlight w:val="none"/>
              </w:rPr>
              <w:t>投标人不得存在的情形</w:t>
            </w:r>
          </w:p>
        </w:tc>
        <w:tc>
          <w:tcPr>
            <w:tcW w:w="5659"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color w:val="auto"/>
                <w:highlight w:val="none"/>
              </w:rPr>
            </w:pPr>
            <w:r>
              <w:rPr>
                <w:rFonts w:hint="eastAsia" w:ascii="宋体" w:hAnsi="宋体" w:cs="新宋体"/>
                <w:color w:val="auto"/>
                <w:szCs w:val="21"/>
                <w:highlight w:val="none"/>
              </w:rPr>
              <w:t>删除“1.4.3 投标人不得存在下列情形之一”，投标人不得存在的情形以《投标人声明》第三点的规定为准。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12</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招标失败的情形</w:t>
            </w:r>
          </w:p>
        </w:tc>
        <w:tc>
          <w:tcPr>
            <w:tcW w:w="56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u w:val="single"/>
              </w:rPr>
            </w:pPr>
            <w:r>
              <w:rPr>
                <w:rFonts w:hint="eastAsia" w:ascii="宋体" w:hAnsi="宋体" w:cs="新宋体"/>
                <w:color w:val="auto"/>
                <w:highlight w:val="none"/>
              </w:rPr>
              <w:t>本项目满足资格形式评审、资格审查合格条件或通过初步评审的投标申请人不足3名时为招标失败。招标人分析招标失败原因，修正招标方案，报有关管理部门核准后，重新组织招标。</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13</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pStyle w:val="31"/>
              <w:adjustRightInd w:val="0"/>
              <w:snapToGrid w:val="0"/>
              <w:spacing w:line="320" w:lineRule="exact"/>
              <w:rPr>
                <w:rFonts w:ascii="新宋体" w:hAnsi="新宋体" w:eastAsia="新宋体" w:cs="新宋体"/>
                <w:color w:val="auto"/>
                <w:kern w:val="2"/>
                <w:sz w:val="21"/>
                <w:szCs w:val="21"/>
                <w:highlight w:val="none"/>
              </w:rPr>
            </w:pPr>
            <w:r>
              <w:rPr>
                <w:rFonts w:ascii="新宋体" w:hAnsi="新宋体" w:eastAsia="新宋体" w:cs="新宋体"/>
                <w:color w:val="auto"/>
                <w:kern w:val="2"/>
                <w:sz w:val="21"/>
                <w:szCs w:val="21"/>
                <w:highlight w:val="none"/>
              </w:rPr>
              <w:t>关于使用混凝土</w:t>
            </w:r>
            <w:r>
              <w:rPr>
                <w:rFonts w:hint="eastAsia" w:ascii="新宋体" w:hAnsi="新宋体" w:eastAsia="新宋体" w:cs="新宋体"/>
                <w:color w:val="auto"/>
                <w:kern w:val="2"/>
                <w:sz w:val="21"/>
                <w:szCs w:val="21"/>
                <w:highlight w:val="none"/>
              </w:rPr>
              <w:t>等</w:t>
            </w:r>
            <w:r>
              <w:rPr>
                <w:rFonts w:ascii="新宋体" w:hAnsi="新宋体" w:eastAsia="新宋体" w:cs="新宋体"/>
                <w:color w:val="auto"/>
                <w:kern w:val="2"/>
                <w:sz w:val="21"/>
                <w:szCs w:val="21"/>
                <w:highlight w:val="none"/>
              </w:rPr>
              <w:t>建筑材料质量标准的约定</w:t>
            </w:r>
          </w:p>
        </w:tc>
        <w:tc>
          <w:tcPr>
            <w:tcW w:w="5659"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spacing w:line="320" w:lineRule="exact"/>
              <w:rPr>
                <w:rFonts w:ascii="新宋体" w:hAnsi="新宋体" w:eastAsia="新宋体" w:cs="新宋体"/>
                <w:color w:val="auto"/>
                <w:kern w:val="2"/>
                <w:sz w:val="21"/>
                <w:szCs w:val="21"/>
                <w:highlight w:val="none"/>
              </w:rPr>
            </w:pPr>
            <w:r>
              <w:rPr>
                <w:rFonts w:hint="eastAsia" w:ascii="新宋体" w:hAnsi="新宋体" w:eastAsia="新宋体" w:cs="新宋体"/>
                <w:color w:val="auto"/>
                <w:kern w:val="2"/>
                <w:sz w:val="21"/>
                <w:szCs w:val="21"/>
                <w:highlight w:val="none"/>
              </w:rPr>
              <w:t>根据</w:t>
            </w:r>
            <w:r>
              <w:rPr>
                <w:rFonts w:hint="eastAsia" w:ascii="新宋体" w:hAnsi="新宋体" w:eastAsia="新宋体" w:cs="新宋体"/>
                <w:color w:val="auto"/>
                <w:kern w:val="2"/>
                <w:sz w:val="21"/>
                <w:szCs w:val="21"/>
                <w:highlight w:val="none"/>
                <w:lang w:eastAsia="zh-CN"/>
              </w:rPr>
              <w:t>《</w:t>
            </w:r>
            <w:r>
              <w:rPr>
                <w:rFonts w:hint="eastAsia" w:ascii="新宋体" w:hAnsi="新宋体" w:eastAsia="新宋体" w:cs="新宋体"/>
                <w:color w:val="auto"/>
                <w:kern w:val="2"/>
                <w:sz w:val="21"/>
                <w:szCs w:val="21"/>
                <w:highlight w:val="none"/>
              </w:rPr>
              <w:t>广州市散装水泥管理办公室关于对混凝土和砂浆企业质量监督检查的通报》，为确保工程质量安全，中标单位禁止使用不合格的混凝土和砂浆，混凝土等建筑材料的使用满足国家、省、市及地区的相关规定。</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14</w:t>
            </w:r>
          </w:p>
        </w:tc>
        <w:tc>
          <w:tcPr>
            <w:tcW w:w="2353" w:type="dxa"/>
            <w:gridSpan w:val="2"/>
            <w:tcBorders>
              <w:top w:val="single" w:color="auto" w:sz="4" w:space="0"/>
              <w:left w:val="single" w:color="auto" w:sz="4" w:space="0"/>
              <w:bottom w:val="single" w:color="auto" w:sz="4" w:space="0"/>
              <w:right w:val="single" w:color="auto" w:sz="4" w:space="0"/>
            </w:tcBorders>
            <w:vAlign w:val="center"/>
          </w:tcPr>
          <w:p>
            <w:pPr>
              <w:pStyle w:val="31"/>
              <w:adjustRightInd w:val="0"/>
              <w:snapToGrid w:val="0"/>
              <w:spacing w:line="320" w:lineRule="exact"/>
              <w:jc w:val="center"/>
              <w:rPr>
                <w:rFonts w:ascii="新宋体" w:hAnsi="新宋体" w:eastAsia="新宋体" w:cs="新宋体"/>
                <w:color w:val="auto"/>
                <w:kern w:val="2"/>
                <w:sz w:val="21"/>
                <w:szCs w:val="21"/>
                <w:highlight w:val="none"/>
              </w:rPr>
            </w:pPr>
            <w:r>
              <w:rPr>
                <w:rFonts w:ascii="新宋体" w:hAnsi="新宋体" w:eastAsia="新宋体" w:cs="新宋体"/>
                <w:color w:val="auto"/>
                <w:kern w:val="2"/>
                <w:sz w:val="21"/>
                <w:szCs w:val="21"/>
                <w:highlight w:val="none"/>
              </w:rPr>
              <w:t>项目负责人证书锁定</w:t>
            </w:r>
          </w:p>
        </w:tc>
        <w:tc>
          <w:tcPr>
            <w:tcW w:w="5659"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spacing w:line="320" w:lineRule="exact"/>
              <w:rPr>
                <w:rFonts w:ascii="新宋体" w:hAnsi="新宋体" w:eastAsia="新宋体" w:cs="新宋体"/>
                <w:color w:val="auto"/>
                <w:kern w:val="2"/>
                <w:sz w:val="21"/>
                <w:szCs w:val="21"/>
                <w:highlight w:val="none"/>
              </w:rPr>
            </w:pPr>
            <w:r>
              <w:rPr>
                <w:rFonts w:hint="eastAsia" w:ascii="新宋体" w:hAnsi="新宋体" w:eastAsia="新宋体" w:cs="新宋体"/>
                <w:color w:val="auto"/>
                <w:kern w:val="2"/>
                <w:sz w:val="21"/>
                <w:szCs w:val="21"/>
                <w:highlight w:val="none"/>
              </w:rPr>
              <w:t>投标前，投标人必须确保拟投入项目负责人为非锁定状态（在全国地区范围）。中标后如因项目负责人在其它地区项目未解锁，而导致未能办理施工许可证等相关报建工作，相关责任由中标人自行承担。</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新宋体" w:cs="宋体"/>
                <w:color w:val="auto"/>
                <w:szCs w:val="21"/>
                <w:highlight w:val="none"/>
              </w:rPr>
            </w:pPr>
            <w:r>
              <w:rPr>
                <w:rFonts w:hint="eastAsia" w:ascii="新宋体" w:hAnsi="新宋体" w:eastAsia="新宋体" w:cs="新宋体"/>
                <w:color w:val="auto"/>
                <w:szCs w:val="21"/>
                <w:highlight w:val="none"/>
              </w:rPr>
              <w:t>15</w:t>
            </w:r>
          </w:p>
        </w:tc>
        <w:tc>
          <w:tcPr>
            <w:tcW w:w="8012"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bCs/>
                <w:color w:val="auto"/>
                <w:highlight w:val="none"/>
              </w:rPr>
            </w:pPr>
            <w:r>
              <w:rPr>
                <w:rFonts w:hint="eastAsia" w:ascii="新宋体" w:hAnsi="新宋体" w:eastAsia="新宋体" w:cs="新宋体"/>
                <w:color w:val="auto"/>
                <w:szCs w:val="21"/>
                <w:highlight w:val="none"/>
              </w:rPr>
              <w:t>中标候选人公示后</w:t>
            </w:r>
            <w:r>
              <w:rPr>
                <w:rFonts w:ascii="新宋体" w:hAnsi="新宋体" w:eastAsia="新宋体" w:cs="新宋体"/>
                <w:color w:val="auto"/>
                <w:szCs w:val="21"/>
                <w:highlight w:val="none"/>
              </w:rPr>
              <w:t>3天内第一中标候选人需提供与</w:t>
            </w:r>
            <w:r>
              <w:rPr>
                <w:rFonts w:hint="eastAsia" w:ascii="宋体" w:hAnsi="宋体" w:cs="宋体"/>
                <w:color w:val="auto"/>
                <w:szCs w:val="21"/>
                <w:highlight w:val="none"/>
              </w:rPr>
              <w:t>广州交易集团有限公司（广州公共资源交易中心）</w:t>
            </w:r>
            <w:r>
              <w:rPr>
                <w:rFonts w:hint="eastAsia" w:ascii="新宋体" w:hAnsi="新宋体" w:eastAsia="新宋体" w:cs="新宋体"/>
                <w:color w:val="auto"/>
                <w:szCs w:val="21"/>
                <w:highlight w:val="none"/>
              </w:rPr>
              <w:t>提交的电子投标文件一致的纸质版投标文件一正四副（加盖公章），合共</w:t>
            </w:r>
            <w:r>
              <w:rPr>
                <w:rFonts w:ascii="新宋体" w:hAnsi="新宋体" w:eastAsia="新宋体" w:cs="新宋体"/>
                <w:color w:val="auto"/>
                <w:szCs w:val="21"/>
                <w:highlight w:val="none"/>
              </w:rPr>
              <w:t>5套投标文件提供给招标人，相关费用由中标候选人支付。</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16</w:t>
            </w:r>
          </w:p>
        </w:tc>
        <w:tc>
          <w:tcPr>
            <w:tcW w:w="8012"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新宋体" w:hAnsi="新宋体" w:eastAsia="新宋体" w:cs="新宋体"/>
                <w:b/>
                <w:color w:val="auto"/>
                <w:szCs w:val="21"/>
                <w:highlight w:val="none"/>
              </w:rPr>
            </w:pPr>
            <w:r>
              <w:rPr>
                <w:rFonts w:hint="eastAsia" w:ascii="宋体" w:hAnsi="宋体"/>
                <w:b/>
                <w:color w:val="auto"/>
                <w:szCs w:val="21"/>
                <w:highlight w:val="none"/>
              </w:rPr>
              <w:t>联合体投标的，</w:t>
            </w:r>
            <w:r>
              <w:rPr>
                <w:rFonts w:hint="eastAsia" w:ascii="宋体" w:hAnsi="宋体"/>
                <w:b/>
                <w:color w:val="auto"/>
                <w:highlight w:val="none"/>
              </w:rPr>
              <w:t>投标文件中的联合体协议书须联合体各方均盖章，投标文件其他内容中的“投标人”应填写联合体各方的单位全称，由主办方盖章</w:t>
            </w:r>
            <w:r>
              <w:rPr>
                <w:rFonts w:ascii="宋体" w:hAnsi="宋体"/>
                <w:b/>
                <w:color w:val="auto"/>
                <w:highlight w:val="none"/>
              </w:rPr>
              <w:t>、</w:t>
            </w:r>
            <w:r>
              <w:rPr>
                <w:rFonts w:hint="eastAsia" w:ascii="宋体" w:hAnsi="宋体"/>
                <w:b/>
                <w:color w:val="auto"/>
                <w:highlight w:val="none"/>
              </w:rPr>
              <w:t>签字(或盖章)。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17</w:t>
            </w:r>
          </w:p>
        </w:tc>
        <w:tc>
          <w:tcPr>
            <w:tcW w:w="8012" w:type="dxa"/>
            <w:gridSpan w:val="3"/>
            <w:tcBorders>
              <w:top w:val="single" w:color="auto" w:sz="4" w:space="0"/>
              <w:left w:val="single" w:color="auto" w:sz="4" w:space="0"/>
              <w:bottom w:val="single" w:color="auto" w:sz="4" w:space="0"/>
              <w:right w:val="single" w:color="auto" w:sz="4" w:space="0"/>
            </w:tcBorders>
            <w:vAlign w:val="center"/>
          </w:tcPr>
          <w:p>
            <w:pPr>
              <w:numPr>
                <w:ilvl w:val="-1"/>
                <w:numId w:val="0"/>
              </w:numPr>
              <w:wordWrap w:val="0"/>
              <w:rPr>
                <w:rFonts w:ascii="宋体" w:hAnsi="宋体" w:cs="宋体"/>
                <w:bCs/>
                <w:color w:val="auto"/>
                <w:kern w:val="0"/>
                <w:szCs w:val="21"/>
                <w:highlight w:val="none"/>
              </w:rPr>
            </w:pPr>
            <w:r>
              <w:rPr>
                <w:rFonts w:hint="eastAsia" w:ascii="宋体" w:hAnsi="宋体" w:cs="宋体"/>
                <w:color w:val="auto"/>
                <w:szCs w:val="21"/>
                <w:highlight w:val="none"/>
              </w:rPr>
              <w:t>中标人按《广州市发展改革委转发省发展改革委关于规范公共资源交易服务收费及有关问题的通知》（穗发改〔2017〕8</w:t>
            </w:r>
            <w:r>
              <w:rPr>
                <w:rFonts w:hint="eastAsia" w:ascii="宋体" w:hAnsi="宋体" w:cs="宋体"/>
                <w:bCs/>
                <w:color w:val="auto"/>
                <w:kern w:val="0"/>
                <w:szCs w:val="21"/>
                <w:highlight w:val="none"/>
              </w:rPr>
              <w:t>11号）文件的规定，向广州交易集团有限公司（广州公共资源交易中心）缴纳交易服务费，该费用包含在中标人投标报价中，招标人不另行支付。</w:t>
            </w:r>
          </w:p>
          <w:p>
            <w:pPr>
              <w:wordWrap w:val="0"/>
              <w:spacing w:line="240" w:lineRule="auto"/>
              <w:rPr>
                <w:rFonts w:ascii="宋体" w:hAnsi="宋体"/>
                <w:b/>
                <w:color w:val="auto"/>
                <w:szCs w:val="21"/>
                <w:highlight w:val="none"/>
              </w:rPr>
            </w:pPr>
            <w:r>
              <w:rPr>
                <w:rFonts w:hint="eastAsia" w:ascii="宋体" w:hAnsi="宋体" w:cs="宋体"/>
                <w:color w:val="auto"/>
                <w:szCs w:val="21"/>
                <w:highlight w:val="none"/>
              </w:rPr>
              <w:t>2、招标代理费由中标人在领取中标通知书之前一次性支付给招标代理机构。费用金额按招标人与招标代理签订的招标代理合同约定的内容执行。招标代理费已包含在中标人的投标报价中，招标人不另行支付。</w:t>
            </w:r>
          </w:p>
        </w:tc>
      </w:tr>
    </w:tbl>
    <w:p>
      <w:pPr>
        <w:pStyle w:val="3"/>
        <w:spacing w:before="0" w:after="0" w:line="0" w:lineRule="atLeast"/>
        <w:rPr>
          <w:rFonts w:ascii="宋体" w:hAnsi="宋体" w:eastAsia="宋体" w:cs="宋体"/>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before="0" w:after="0" w:line="0" w:lineRule="atLeast"/>
        <w:rPr>
          <w:rFonts w:ascii="宋体" w:hAnsi="宋体" w:eastAsia="宋体" w:cs="宋体"/>
          <w:color w:val="auto"/>
          <w:highlight w:val="none"/>
        </w:rPr>
      </w:pPr>
      <w:bookmarkStart w:id="6" w:name="_Toc1741"/>
      <w:r>
        <w:rPr>
          <w:rFonts w:hint="eastAsia" w:ascii="宋体" w:hAnsi="宋体" w:eastAsia="宋体" w:cs="宋体"/>
          <w:color w:val="auto"/>
          <w:highlight w:val="none"/>
        </w:rPr>
        <w:t>1. 总则</w:t>
      </w:r>
      <w:bookmarkEnd w:id="6"/>
    </w:p>
    <w:p>
      <w:pPr>
        <w:pStyle w:val="4"/>
        <w:rPr>
          <w:rFonts w:ascii="宋体" w:eastAsia="宋体" w:cs="宋体"/>
          <w:color w:val="auto"/>
          <w:highlight w:val="none"/>
        </w:rPr>
      </w:pPr>
      <w:bookmarkStart w:id="7" w:name="_Toc18585"/>
      <w:r>
        <w:rPr>
          <w:rFonts w:hint="eastAsia" w:ascii="宋体" w:eastAsia="宋体" w:cs="宋体"/>
          <w:color w:val="auto"/>
          <w:highlight w:val="none"/>
        </w:rPr>
        <w:t>1.1 项目概况</w:t>
      </w:r>
      <w:bookmarkEnd w:id="7"/>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1.1.1根据《中华人民共和国招标投标法》等有关法律、法规和规章的规定，本招标项目已具备招标条件，现对该项目设计施工总承包进行招标。</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1.1.2 招标人：见投标人须知前附表。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1.1.3 招标代理机构：见投标人须知前附表。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1.1.4 招标项目名称：见投标人须知前附表。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1.1.5 项目建设地点：见投标人须知前附表。</w:t>
      </w:r>
    </w:p>
    <w:p>
      <w:pPr>
        <w:pStyle w:val="4"/>
        <w:rPr>
          <w:rFonts w:ascii="宋体" w:eastAsia="宋体" w:cs="宋体"/>
          <w:color w:val="auto"/>
          <w:highlight w:val="none"/>
        </w:rPr>
      </w:pPr>
      <w:bookmarkStart w:id="8" w:name="_Toc3724"/>
      <w:r>
        <w:rPr>
          <w:rFonts w:hint="eastAsia" w:ascii="宋体" w:eastAsia="宋体" w:cs="宋体"/>
          <w:color w:val="auto"/>
          <w:highlight w:val="none"/>
        </w:rPr>
        <w:t>1.2 项目的资金来源和落实情况</w:t>
      </w:r>
      <w:bookmarkEnd w:id="8"/>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1.2.1 资金来源及比例：见投标人须知前附表。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1.2.2 资金落实情况：见投标人须知前附表。</w:t>
      </w:r>
    </w:p>
    <w:p>
      <w:pPr>
        <w:pStyle w:val="4"/>
        <w:rPr>
          <w:rFonts w:ascii="宋体" w:eastAsia="宋体" w:cs="宋体"/>
          <w:color w:val="auto"/>
          <w:highlight w:val="none"/>
        </w:rPr>
      </w:pPr>
      <w:bookmarkStart w:id="9" w:name="_Toc17314"/>
      <w:r>
        <w:rPr>
          <w:rFonts w:hint="eastAsia" w:ascii="宋体" w:eastAsia="宋体" w:cs="宋体"/>
          <w:color w:val="auto"/>
          <w:highlight w:val="none"/>
        </w:rPr>
        <w:t>1.3 招标范围、计划工期和质量标准</w:t>
      </w:r>
      <w:bookmarkEnd w:id="9"/>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1.3.1 招标范围：见投标人须知前附表。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1.3.2 计划工期：见投标人须知前附表。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1.3.3 质量标准：见投标人须知前附表。</w:t>
      </w:r>
    </w:p>
    <w:p>
      <w:pPr>
        <w:pStyle w:val="4"/>
        <w:rPr>
          <w:rFonts w:ascii="宋体" w:eastAsia="宋体" w:cs="宋体"/>
          <w:color w:val="auto"/>
          <w:highlight w:val="none"/>
        </w:rPr>
      </w:pPr>
      <w:bookmarkStart w:id="10" w:name="_Toc21696"/>
      <w:r>
        <w:rPr>
          <w:rFonts w:hint="eastAsia" w:ascii="宋体" w:eastAsia="宋体" w:cs="宋体"/>
          <w:color w:val="auto"/>
          <w:highlight w:val="none"/>
        </w:rPr>
        <w:t>1.4 投标人资格要求</w:t>
      </w:r>
      <w:r>
        <w:rPr>
          <w:rFonts w:hint="eastAsia" w:ascii="新宋体" w:hAnsi="新宋体" w:eastAsia="新宋体" w:cs="新宋体"/>
          <w:color w:val="auto"/>
          <w:highlight w:val="none"/>
        </w:rPr>
        <w:t>（适用于未进行资格预审的）</w:t>
      </w:r>
      <w:bookmarkEnd w:id="10"/>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1.4.1 投标人应具备承担本招标项目资质条件、能力和信誉。</w:t>
      </w:r>
    </w:p>
    <w:p>
      <w:pPr>
        <w:spacing w:line="440" w:lineRule="exact"/>
        <w:rPr>
          <w:rFonts w:ascii="新宋体" w:hAnsi="新宋体" w:eastAsia="新宋体" w:cs="新宋体"/>
          <w:color w:val="auto"/>
          <w:szCs w:val="21"/>
          <w:highlight w:val="none"/>
          <w:u w:val="single"/>
        </w:rPr>
      </w:pPr>
      <w:r>
        <w:rPr>
          <w:rFonts w:hint="eastAsia" w:ascii="宋体" w:hAnsi="宋体" w:cs="宋体"/>
          <w:color w:val="auto"/>
          <w:highlight w:val="none"/>
        </w:rPr>
        <w:t>（1）</w:t>
      </w:r>
      <w:r>
        <w:rPr>
          <w:rFonts w:hint="eastAsia" w:ascii="新宋体" w:hAnsi="新宋体" w:eastAsia="新宋体" w:cs="新宋体"/>
          <w:color w:val="auto"/>
          <w:szCs w:val="21"/>
          <w:highlight w:val="none"/>
        </w:rPr>
        <w:t>资质条件：</w:t>
      </w:r>
      <w:r>
        <w:rPr>
          <w:rFonts w:hint="eastAsia" w:ascii="新宋体" w:hAnsi="新宋体" w:eastAsia="新宋体" w:cs="新宋体"/>
          <w:color w:val="auto"/>
          <w:szCs w:val="21"/>
          <w:highlight w:val="none"/>
          <w:u w:val="single"/>
        </w:rPr>
        <w:t>见招标公告投标人资格要求。</w:t>
      </w:r>
    </w:p>
    <w:p>
      <w:pPr>
        <w:pStyle w:val="19"/>
        <w:rPr>
          <w:rFonts w:ascii="新宋体" w:hAnsi="新宋体" w:eastAsia="新宋体" w:cs="新宋体"/>
          <w:color w:val="auto"/>
          <w:highlight w:val="none"/>
          <w:u w:val="single"/>
        </w:rPr>
      </w:pPr>
      <w:r>
        <w:rPr>
          <w:rFonts w:hint="eastAsia" w:ascii="新宋体" w:hAnsi="新宋体" w:eastAsia="新宋体" w:cs="新宋体"/>
          <w:color w:val="auto"/>
          <w:szCs w:val="21"/>
          <w:highlight w:val="none"/>
        </w:rPr>
        <w:t>（2）财务要求：</w:t>
      </w:r>
      <w:r>
        <w:rPr>
          <w:rFonts w:hint="eastAsia" w:ascii="新宋体" w:hAnsi="新宋体" w:eastAsia="新宋体" w:cs="新宋体"/>
          <w:color w:val="auto"/>
          <w:highlight w:val="none"/>
          <w:u w:val="single"/>
        </w:rPr>
        <w:t>/。</w:t>
      </w:r>
    </w:p>
    <w:p>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highlight w:val="none"/>
        </w:rPr>
        <w:t>（3）</w:t>
      </w:r>
      <w:r>
        <w:rPr>
          <w:rFonts w:hint="eastAsia" w:ascii="新宋体" w:hAnsi="新宋体" w:eastAsia="新宋体" w:cs="新宋体"/>
          <w:color w:val="auto"/>
          <w:szCs w:val="21"/>
          <w:highlight w:val="none"/>
        </w:rPr>
        <w:t>设计业绩要求：</w:t>
      </w:r>
      <w:r>
        <w:rPr>
          <w:rFonts w:hint="eastAsia" w:ascii="新宋体" w:hAnsi="新宋体" w:eastAsia="新宋体" w:cs="新宋体"/>
          <w:color w:val="auto"/>
          <w:highlight w:val="none"/>
          <w:u w:val="single"/>
        </w:rPr>
        <w:t>/。</w:t>
      </w:r>
    </w:p>
    <w:p>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（4）施工业绩要求：</w:t>
      </w:r>
      <w:r>
        <w:rPr>
          <w:rFonts w:hint="eastAsia" w:ascii="新宋体" w:hAnsi="新宋体" w:eastAsia="新宋体" w:cs="新宋体"/>
          <w:color w:val="auto"/>
          <w:highlight w:val="none"/>
          <w:u w:val="single"/>
        </w:rPr>
        <w:t>/。</w:t>
      </w:r>
    </w:p>
    <w:p>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（5）信誉要求：</w:t>
      </w:r>
      <w:r>
        <w:rPr>
          <w:rFonts w:hint="eastAsia" w:ascii="新宋体" w:hAnsi="新宋体" w:eastAsia="新宋体" w:cs="新宋体"/>
          <w:color w:val="auto"/>
          <w:highlight w:val="none"/>
          <w:u w:val="single"/>
        </w:rPr>
        <w:t>/。</w:t>
      </w:r>
    </w:p>
    <w:p>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u w:val="single"/>
        </w:rPr>
        <w:t>（6）项目负责人(兼施工负责人)的资格要求</w:t>
      </w:r>
      <w:r>
        <w:rPr>
          <w:rFonts w:hint="eastAsia" w:ascii="新宋体" w:hAnsi="新宋体" w:eastAsia="新宋体" w:cs="新宋体"/>
          <w:color w:val="auto"/>
          <w:szCs w:val="21"/>
          <w:highlight w:val="none"/>
        </w:rPr>
        <w:t>：</w:t>
      </w:r>
      <w:r>
        <w:rPr>
          <w:rFonts w:hint="eastAsia" w:ascii="新宋体" w:hAnsi="新宋体" w:eastAsia="新宋体" w:cs="新宋体"/>
          <w:color w:val="auto"/>
          <w:szCs w:val="21"/>
          <w:highlight w:val="none"/>
          <w:u w:val="single"/>
        </w:rPr>
        <w:t>见招标公告投标人资格要求。</w:t>
      </w:r>
    </w:p>
    <w:p>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（7）设计负责人的资格要求：</w:t>
      </w:r>
      <w:r>
        <w:rPr>
          <w:rFonts w:hint="eastAsia" w:ascii="新宋体" w:hAnsi="新宋体" w:eastAsia="新宋体" w:cs="新宋体"/>
          <w:color w:val="auto"/>
          <w:szCs w:val="21"/>
          <w:highlight w:val="none"/>
          <w:u w:val="single"/>
        </w:rPr>
        <w:t>见招标公告投标人资格要求。</w:t>
      </w:r>
    </w:p>
    <w:p>
      <w:pPr>
        <w:spacing w:line="440" w:lineRule="exact"/>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（8）施工负责人的资格要求：</w:t>
      </w:r>
      <w:r>
        <w:rPr>
          <w:rFonts w:hint="eastAsia" w:ascii="新宋体" w:hAnsi="新宋体" w:eastAsia="新宋体" w:cs="新宋体"/>
          <w:strike/>
          <w:color w:val="auto"/>
          <w:szCs w:val="21"/>
          <w:highlight w:val="none"/>
          <w:u w:val="single"/>
        </w:rPr>
        <w:t>见招标公告投标人资格要求。</w:t>
      </w:r>
    </w:p>
    <w:p>
      <w:pPr>
        <w:spacing w:line="440" w:lineRule="exact"/>
        <w:rPr>
          <w:rFonts w:ascii="新宋体" w:hAnsi="新宋体" w:eastAsia="新宋体" w:cs="新宋体"/>
          <w:color w:val="auto"/>
          <w:highlight w:val="none"/>
        </w:rPr>
      </w:pPr>
      <w:r>
        <w:rPr>
          <w:rFonts w:hint="eastAsia" w:ascii="新宋体" w:hAnsi="新宋体" w:eastAsia="新宋体" w:cs="新宋体"/>
          <w:color w:val="auto"/>
          <w:highlight w:val="none"/>
        </w:rPr>
        <w:t>（9）施工技术负责人资格要求 ：</w:t>
      </w:r>
      <w:r>
        <w:rPr>
          <w:rFonts w:hint="eastAsia" w:ascii="新宋体" w:hAnsi="新宋体" w:eastAsia="新宋体" w:cs="新宋体"/>
          <w:color w:val="auto"/>
          <w:szCs w:val="21"/>
          <w:highlight w:val="none"/>
          <w:u w:val="single"/>
        </w:rPr>
        <w:t>见招标公告投标人资格要求。</w:t>
      </w:r>
    </w:p>
    <w:p>
      <w:pPr>
        <w:spacing w:line="440" w:lineRule="exact"/>
        <w:rPr>
          <w:rFonts w:ascii="新宋体" w:hAnsi="新宋体" w:eastAsia="新宋体" w:cs="新宋体"/>
          <w:color w:val="auto"/>
          <w:highlight w:val="none"/>
        </w:rPr>
      </w:pPr>
      <w:r>
        <w:rPr>
          <w:rFonts w:hint="eastAsia" w:ascii="新宋体" w:hAnsi="新宋体" w:eastAsia="新宋体" w:cs="新宋体"/>
          <w:color w:val="auto"/>
          <w:highlight w:val="none"/>
        </w:rPr>
        <w:t>（10）专职安全员资格要求：</w:t>
      </w:r>
      <w:r>
        <w:rPr>
          <w:rFonts w:hint="eastAsia" w:ascii="新宋体" w:hAnsi="新宋体" w:eastAsia="新宋体" w:cs="新宋体"/>
          <w:color w:val="auto"/>
          <w:szCs w:val="21"/>
          <w:highlight w:val="none"/>
          <w:u w:val="single"/>
        </w:rPr>
        <w:t>见招标公告投标人资格要求。</w:t>
      </w:r>
    </w:p>
    <w:p>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（11）施工机械设备：</w:t>
      </w:r>
      <w:r>
        <w:rPr>
          <w:rFonts w:hint="eastAsia" w:ascii="新宋体" w:hAnsi="新宋体" w:eastAsia="新宋体" w:cs="新宋体"/>
          <w:color w:val="auto"/>
          <w:highlight w:val="none"/>
          <w:u w:val="single"/>
        </w:rPr>
        <w:t>/。</w:t>
      </w:r>
    </w:p>
    <w:p>
      <w:pPr>
        <w:spacing w:line="440" w:lineRule="exact"/>
        <w:rPr>
          <w:rFonts w:ascii="新宋体" w:hAnsi="新宋体" w:eastAsia="新宋体" w:cs="新宋体"/>
          <w:color w:val="auto"/>
          <w:highlight w:val="none"/>
        </w:rPr>
      </w:pPr>
      <w:r>
        <w:rPr>
          <w:rFonts w:hint="eastAsia" w:ascii="新宋体" w:hAnsi="新宋体" w:eastAsia="新宋体" w:cs="新宋体"/>
          <w:color w:val="auto"/>
          <w:highlight w:val="none"/>
        </w:rPr>
        <w:t>（12）项目管理机构及人员：/。</w:t>
      </w:r>
    </w:p>
    <w:p>
      <w:pPr>
        <w:spacing w:line="440" w:lineRule="exact"/>
        <w:rPr>
          <w:rFonts w:ascii="新宋体" w:hAnsi="新宋体" w:eastAsia="新宋体" w:cs="新宋体"/>
          <w:color w:val="auto"/>
          <w:highlight w:val="none"/>
          <w:u w:val="single"/>
        </w:rPr>
      </w:pPr>
      <w:r>
        <w:rPr>
          <w:rFonts w:hint="eastAsia" w:ascii="新宋体" w:hAnsi="新宋体" w:eastAsia="新宋体" w:cs="新宋体"/>
          <w:color w:val="auto"/>
          <w:highlight w:val="none"/>
        </w:rPr>
        <w:t>（13）其他要求：</w:t>
      </w:r>
      <w:r>
        <w:rPr>
          <w:rFonts w:hint="eastAsia" w:ascii="新宋体" w:hAnsi="新宋体" w:eastAsia="新宋体" w:cs="新宋体"/>
          <w:color w:val="auto"/>
          <w:highlight w:val="none"/>
          <w:u w:val="single"/>
        </w:rPr>
        <w:t>见招标公告投标人资格要求。</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1.4.2 投标人须知前附表规定接受联合体投标的，除应符合本章第1.4.1项和投标人须知前附表的要求外，还应遵守以下规定： </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（1）联合体各方应按招标文件提供的格式签订联合体协议书，明确联合体主办人和各方权利义务；</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（3）联合体各方不得再以自己名义单独或参加其他联合体在本招标项目中投标。</w:t>
      </w:r>
    </w:p>
    <w:p>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1.4.3 投标人不得存在下列情形之一：</w:t>
      </w:r>
      <w:r>
        <w:rPr>
          <w:rFonts w:hint="eastAsia" w:ascii="新宋体" w:hAnsi="新宋体" w:eastAsia="新宋体" w:cs="新宋体"/>
          <w:color w:val="auto"/>
          <w:highlight w:val="none"/>
          <w:u w:val="single"/>
        </w:rPr>
        <w:t>以《投标人声明》第三点的规定为准。</w:t>
      </w:r>
    </w:p>
    <w:p>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（1）为招标人不具有独立法人资格的附属机构（单位）； </w:t>
      </w:r>
    </w:p>
    <w:p>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（2）为招标项目前期工作提供咨询服务的；</w:t>
      </w:r>
    </w:p>
    <w:p>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（3）为本招标项目的监理人；</w:t>
      </w:r>
    </w:p>
    <w:p>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（4）为本招标项目的代建人； </w:t>
      </w:r>
    </w:p>
    <w:p>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（5）为本招标项目提供招标代理服务的； </w:t>
      </w:r>
    </w:p>
    <w:p>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（6）被责令停业的； </w:t>
      </w:r>
    </w:p>
    <w:p>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（7）被暂停或取消投标资格的； </w:t>
      </w:r>
    </w:p>
    <w:p>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（8）财产被接管或冻结的；</w:t>
      </w:r>
    </w:p>
    <w:p>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（9）在最近三年内有骗取中标或严重违约或重大工程质量问题的；</w:t>
      </w:r>
    </w:p>
    <w:p>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（10）与本招标项目的监理人或代建人或招标代理机构同为一个法定代表人的；</w:t>
      </w:r>
    </w:p>
    <w:p>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（11）与本招标项目的监理人或代建人或招标代理机构相互控股或参股的；</w:t>
      </w:r>
    </w:p>
    <w:p>
      <w:pPr>
        <w:spacing w:line="400" w:lineRule="exact"/>
        <w:ind w:firstLine="315" w:firstLineChars="150"/>
        <w:rPr>
          <w:rFonts w:ascii="新宋体" w:hAnsi="新宋体" w:eastAsia="新宋体" w:cs="新宋体"/>
          <w:color w:val="auto"/>
          <w:highlight w:val="none"/>
        </w:rPr>
      </w:pPr>
      <w:r>
        <w:rPr>
          <w:rFonts w:hint="eastAsia" w:ascii="新宋体" w:hAnsi="新宋体" w:eastAsia="新宋体" w:cs="新宋体"/>
          <w:strike/>
          <w:color w:val="auto"/>
          <w:highlight w:val="none"/>
        </w:rPr>
        <w:t>（12）与本招标项目的监理人或代建人或招标代理机构相互任职或工作的。</w:t>
      </w:r>
    </w:p>
    <w:p>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1.4.4 单位负责人为同一人或者存在控股、管理关系的不同单位，不得同时参加本招标项目投标。</w:t>
      </w:r>
    </w:p>
    <w:p>
      <w:pPr>
        <w:pStyle w:val="4"/>
        <w:rPr>
          <w:rFonts w:ascii="宋体" w:eastAsia="宋体" w:cs="宋体"/>
          <w:color w:val="auto"/>
          <w:highlight w:val="none"/>
        </w:rPr>
      </w:pPr>
      <w:bookmarkStart w:id="11" w:name="_Toc179"/>
      <w:r>
        <w:rPr>
          <w:rFonts w:hint="eastAsia" w:ascii="宋体" w:eastAsia="宋体" w:cs="宋体"/>
          <w:color w:val="auto"/>
          <w:highlight w:val="none"/>
        </w:rPr>
        <w:t>1.5 费用承担和设计成果补偿</w:t>
      </w:r>
      <w:bookmarkEnd w:id="1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1.5.1 投标人准备和参加投标活动发生的费用自理。</w:t>
      </w:r>
    </w:p>
    <w:p>
      <w:pPr>
        <w:spacing w:line="400" w:lineRule="exact"/>
        <w:ind w:firstLine="420" w:firstLineChars="200"/>
        <w:rPr>
          <w:rFonts w:ascii="宋体" w:hAnsi="宋体" w:cs="宋体"/>
          <w:strike/>
          <w:color w:val="auto"/>
          <w:highlight w:val="none"/>
        </w:rPr>
      </w:pPr>
      <w:r>
        <w:rPr>
          <w:rFonts w:hint="eastAsia" w:ascii="宋体" w:hAnsi="宋体" w:cs="宋体"/>
          <w:strike/>
          <w:color w:val="auto"/>
          <w:highlight w:val="none"/>
        </w:rPr>
        <w:t>1.5.2 招标人对符合招标文件规定的未中标人的设计成果进行补偿的，按投标人须知前附表规定给予补偿，并有权免费使用未中标人设计成果。</w:t>
      </w:r>
    </w:p>
    <w:p>
      <w:pPr>
        <w:pStyle w:val="4"/>
        <w:rPr>
          <w:rFonts w:ascii="宋体" w:eastAsia="宋体" w:cs="宋体"/>
          <w:color w:val="auto"/>
          <w:highlight w:val="none"/>
        </w:rPr>
      </w:pPr>
      <w:bookmarkStart w:id="12" w:name="_Toc19878"/>
      <w:r>
        <w:rPr>
          <w:rFonts w:hint="eastAsia" w:ascii="宋体" w:eastAsia="宋体" w:cs="宋体"/>
          <w:color w:val="auto"/>
          <w:highlight w:val="none"/>
        </w:rPr>
        <w:t>1.6 保密</w:t>
      </w:r>
      <w:bookmarkEnd w:id="12"/>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参与招标投标活动的各方应对招标文件和投标文件中的商业和技术等秘密保密，否则应承担相应的法律责任。 </w:t>
      </w:r>
    </w:p>
    <w:p>
      <w:pPr>
        <w:pStyle w:val="4"/>
        <w:rPr>
          <w:rFonts w:ascii="宋体" w:eastAsia="宋体" w:cs="宋体"/>
          <w:color w:val="auto"/>
          <w:highlight w:val="none"/>
        </w:rPr>
      </w:pPr>
      <w:bookmarkStart w:id="13" w:name="_Toc26711"/>
      <w:r>
        <w:rPr>
          <w:rFonts w:hint="eastAsia" w:ascii="宋体" w:eastAsia="宋体" w:cs="宋体"/>
          <w:color w:val="auto"/>
          <w:highlight w:val="none"/>
        </w:rPr>
        <w:t>1.7 语言文字</w:t>
      </w:r>
      <w:bookmarkEnd w:id="13"/>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pPr>
        <w:pStyle w:val="4"/>
        <w:rPr>
          <w:rFonts w:ascii="宋体" w:eastAsia="宋体" w:cs="宋体"/>
          <w:color w:val="auto"/>
          <w:highlight w:val="none"/>
        </w:rPr>
      </w:pPr>
      <w:bookmarkStart w:id="14" w:name="_Toc30675"/>
      <w:r>
        <w:rPr>
          <w:rFonts w:hint="eastAsia" w:ascii="宋体" w:eastAsia="宋体" w:cs="宋体"/>
          <w:color w:val="auto"/>
          <w:highlight w:val="none"/>
        </w:rPr>
        <w:t>1.8 计量单位</w:t>
      </w:r>
      <w:bookmarkEnd w:id="14"/>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所有计量均采用中华人民共和国法定计量单位。</w:t>
      </w:r>
    </w:p>
    <w:p>
      <w:pPr>
        <w:pStyle w:val="4"/>
        <w:rPr>
          <w:rFonts w:ascii="宋体" w:eastAsia="宋体" w:cs="宋体"/>
          <w:color w:val="auto"/>
          <w:highlight w:val="none"/>
        </w:rPr>
      </w:pPr>
      <w:bookmarkStart w:id="15" w:name="_Toc15910"/>
      <w:r>
        <w:rPr>
          <w:rFonts w:hint="eastAsia" w:ascii="宋体" w:eastAsia="宋体" w:cs="宋体"/>
          <w:color w:val="auto"/>
          <w:highlight w:val="none"/>
        </w:rPr>
        <w:t>1.9 踏勘现场</w:t>
      </w:r>
      <w:bookmarkEnd w:id="15"/>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1.9.1</w:t>
      </w:r>
      <w:r>
        <w:rPr>
          <w:rFonts w:hint="eastAsia" w:ascii="宋体" w:hAnsi="宋体" w:cs="宋体"/>
          <w:color w:val="auto"/>
          <w:highlight w:val="none"/>
          <w:lang w:bidi="ar"/>
        </w:rPr>
        <w:t>投标人须知前附表规定组织踏勘现场的，招标人按投标人须知前附表规定的时间、地点组织投标人踏勘项目现场。部分投标人未按时参加踏勘现场的，不影响踏勘现场的正常进行。</w:t>
      </w:r>
    </w:p>
    <w:p>
      <w:pPr>
        <w:spacing w:line="400" w:lineRule="exact"/>
        <w:ind w:firstLine="420" w:firstLineChars="200"/>
        <w:rPr>
          <w:rFonts w:ascii="宋体" w:hAnsi="宋体" w:cs="宋体"/>
          <w:color w:val="auto"/>
          <w:highlight w:val="none"/>
          <w:lang w:bidi="ar"/>
        </w:rPr>
      </w:pPr>
      <w:r>
        <w:rPr>
          <w:rFonts w:hint="eastAsia" w:ascii="宋体" w:hAnsi="宋体" w:cs="宋体"/>
          <w:color w:val="auto"/>
          <w:highlight w:val="none"/>
          <w:lang w:bidi="ar"/>
        </w:rPr>
        <w:t>1.9.2投标人踏勘现场发生的费用自理。</w:t>
      </w:r>
    </w:p>
    <w:p>
      <w:pPr>
        <w:spacing w:line="400" w:lineRule="exact"/>
        <w:ind w:firstLine="420" w:firstLineChars="200"/>
        <w:rPr>
          <w:rFonts w:ascii="宋体" w:hAnsi="宋体" w:cs="宋体"/>
          <w:color w:val="auto"/>
          <w:highlight w:val="none"/>
          <w:lang w:bidi="ar"/>
        </w:rPr>
      </w:pPr>
      <w:r>
        <w:rPr>
          <w:rFonts w:hint="eastAsia" w:ascii="宋体" w:hAnsi="宋体" w:cs="宋体"/>
          <w:color w:val="auto"/>
          <w:highlight w:val="none"/>
          <w:lang w:bidi="ar"/>
        </w:rPr>
        <w:t>1.9.3除招标人的原因外，投标人自行负责在踏勘现场中所发生的人员伤亡和财产损失。</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lang w:bidi="ar"/>
        </w:rPr>
        <w:t xml:space="preserve">1.9.4 </w:t>
      </w:r>
      <w:r>
        <w:rPr>
          <w:rFonts w:hint="eastAsia" w:ascii="宋体" w:hAnsi="宋体" w:cs="宋体"/>
          <w:color w:val="auto"/>
          <w:highlight w:val="none"/>
          <w:u w:val="single"/>
          <w:lang w:bidi="ar"/>
        </w:rPr>
        <w:t>现场由投标人自行踏勘，投标人不进行踏勘的，视为已熟知现场条件，自行承担相关风险。招标人不对投标人自行踏勘现场作出的判断和决策负责。</w:t>
      </w:r>
    </w:p>
    <w:p>
      <w:pPr>
        <w:pStyle w:val="19"/>
        <w:rPr>
          <w:color w:val="auto"/>
          <w:highlight w:val="none"/>
        </w:rPr>
      </w:pPr>
    </w:p>
    <w:p>
      <w:pPr>
        <w:spacing w:line="4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1.10 </w:t>
      </w:r>
      <w:r>
        <w:rPr>
          <w:rFonts w:hint="eastAsia" w:ascii="宋体" w:hAnsi="宋体" w:cs="宋体"/>
          <w:bCs/>
          <w:color w:val="auto"/>
          <w:sz w:val="28"/>
          <w:szCs w:val="28"/>
          <w:highlight w:val="none"/>
          <w:u w:val="single"/>
        </w:rPr>
        <w:t>招标答疑</w:t>
      </w:r>
    </w:p>
    <w:p>
      <w:pPr>
        <w:pStyle w:val="19"/>
        <w:rPr>
          <w:color w:val="auto"/>
          <w:highlight w:val="none"/>
        </w:rPr>
      </w:pPr>
    </w:p>
    <w:p>
      <w:pPr>
        <w:spacing w:line="400" w:lineRule="exact"/>
        <w:ind w:firstLine="420" w:firstLineChars="200"/>
        <w:rPr>
          <w:rFonts w:ascii="宋体" w:hAnsi="宋体" w:cs="宋体"/>
          <w:color w:val="auto"/>
          <w:szCs w:val="22"/>
          <w:highlight w:val="none"/>
          <w:u w:val="single"/>
          <w:lang w:bidi="ar"/>
        </w:rPr>
      </w:pPr>
      <w:r>
        <w:rPr>
          <w:rFonts w:hint="eastAsia" w:ascii="宋体" w:hAnsi="宋体" w:cs="宋体"/>
          <w:color w:val="auto"/>
          <w:highlight w:val="none"/>
          <w:u w:val="single"/>
        </w:rPr>
        <w:t xml:space="preserve">1.10.1 </w:t>
      </w:r>
      <w:r>
        <w:rPr>
          <w:rFonts w:hint="eastAsia" w:ascii="宋体" w:hAnsi="宋体" w:cs="宋体"/>
          <w:color w:val="auto"/>
          <w:szCs w:val="22"/>
          <w:highlight w:val="none"/>
          <w:u w:val="single"/>
          <w:lang w:bidi="ar"/>
        </w:rPr>
        <w:t>本项目不召开投标预备会。</w:t>
      </w:r>
    </w:p>
    <w:p>
      <w:pPr>
        <w:spacing w:line="400" w:lineRule="exact"/>
        <w:ind w:firstLine="420" w:firstLineChars="200"/>
        <w:rPr>
          <w:rFonts w:ascii="宋体" w:hAnsi="宋体" w:cs="宋体"/>
          <w:color w:val="auto"/>
          <w:szCs w:val="22"/>
          <w:highlight w:val="none"/>
          <w:u w:val="single"/>
          <w:lang w:bidi="ar"/>
        </w:rPr>
      </w:pPr>
      <w:r>
        <w:rPr>
          <w:rFonts w:hint="eastAsia" w:ascii="宋体" w:cs="宋体"/>
          <w:bCs/>
          <w:color w:val="auto"/>
          <w:highlight w:val="none"/>
          <w:u w:val="single"/>
        </w:rPr>
        <w:t>1.10.2</w:t>
      </w:r>
      <w:r>
        <w:rPr>
          <w:rFonts w:hint="eastAsia" w:ascii="宋体" w:hAnsi="宋体" w:cs="宋体"/>
          <w:color w:val="auto"/>
          <w:highlight w:val="none"/>
          <w:lang w:bidi="ar"/>
        </w:rPr>
        <w:t>投标人</w:t>
      </w:r>
      <w:r>
        <w:rPr>
          <w:rFonts w:hint="eastAsia" w:ascii="宋体" w:hAnsi="宋体" w:cs="宋体"/>
          <w:color w:val="auto"/>
          <w:highlight w:val="none"/>
          <w:u w:val="single"/>
          <w:lang w:bidi="ar"/>
        </w:rPr>
        <w:t>对本项目有疑问</w:t>
      </w:r>
      <w:r>
        <w:rPr>
          <w:rFonts w:hint="eastAsia" w:ascii="宋体" w:hAnsi="宋体" w:cs="宋体"/>
          <w:color w:val="auto"/>
          <w:highlight w:val="none"/>
          <w:lang w:bidi="ar"/>
        </w:rPr>
        <w:t>应在投标人须知前附表规定的时间前，</w:t>
      </w:r>
      <w:r>
        <w:rPr>
          <w:rFonts w:hint="eastAsia" w:ascii="宋体" w:hAnsi="宋体" w:cs="宋体"/>
          <w:color w:val="auto"/>
          <w:highlight w:val="none"/>
          <w:u w:val="single"/>
          <w:lang w:bidi="ar"/>
        </w:rPr>
        <w:t>通过登录广州交易集团有限公司（广州公共资源交易中心）交易系统将问题提交给招标人或招标代理机构。</w:t>
      </w:r>
    </w:p>
    <w:p>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1.10.3</w:t>
      </w:r>
      <w:r>
        <w:rPr>
          <w:rFonts w:hint="eastAsia" w:ascii="宋体" w:hAnsi="宋体" w:cs="宋体"/>
          <w:color w:val="auto"/>
          <w:highlight w:val="none"/>
          <w:lang w:bidi="ar"/>
        </w:rPr>
        <w:t xml:space="preserve"> 招标人在投标人须知前附表规定的时间内，将对投标人所提问题的澄清，</w:t>
      </w:r>
      <w:r>
        <w:rPr>
          <w:rFonts w:hint="eastAsia" w:ascii="宋体" w:hAnsi="宋体" w:cs="宋体"/>
          <w:color w:val="auto"/>
          <w:highlight w:val="none"/>
          <w:u w:val="single"/>
          <w:lang w:bidi="ar"/>
        </w:rPr>
        <w:t>在广州交易集团有限公司（广州公共资源交易中心）网站通过项目答疑专区网上公开发布，发出即视作收到，以广州交易集团有限公司（广州公共资源交易中心）网站发布时间作为送达时间。无需投标人确认。投标人应自行关注，招标人不再一一通知。</w:t>
      </w:r>
      <w:r>
        <w:rPr>
          <w:rFonts w:hint="eastAsia" w:ascii="宋体" w:hAnsi="宋体" w:cs="宋体"/>
          <w:color w:val="auto"/>
          <w:highlight w:val="none"/>
          <w:lang w:bidi="ar"/>
        </w:rPr>
        <w:t>该澄清内容为招标文件的组成部分。</w:t>
      </w:r>
    </w:p>
    <w:p>
      <w:pPr>
        <w:pStyle w:val="4"/>
        <w:rPr>
          <w:rFonts w:ascii="宋体" w:eastAsia="宋体" w:cs="宋体"/>
          <w:color w:val="auto"/>
          <w:highlight w:val="none"/>
        </w:rPr>
      </w:pPr>
      <w:bookmarkStart w:id="16" w:name="_Toc4746"/>
      <w:r>
        <w:rPr>
          <w:rFonts w:hint="eastAsia" w:ascii="宋体" w:eastAsia="宋体" w:cs="宋体"/>
          <w:color w:val="auto"/>
          <w:highlight w:val="none"/>
        </w:rPr>
        <w:t>1.11 分包</w:t>
      </w:r>
      <w:bookmarkEnd w:id="16"/>
    </w:p>
    <w:p>
      <w:pPr>
        <w:spacing w:line="400" w:lineRule="exact"/>
        <w:ind w:firstLine="567" w:firstLineChars="270"/>
        <w:rPr>
          <w:rFonts w:ascii="宋体" w:hAnsi="宋体" w:cs="宋体"/>
          <w:color w:val="auto"/>
          <w:highlight w:val="none"/>
        </w:rPr>
      </w:pPr>
      <w:r>
        <w:rPr>
          <w:rFonts w:ascii="宋体" w:hAnsi="宋体" w:cs="宋体"/>
          <w:color w:val="auto"/>
          <w:highlight w:val="none"/>
        </w:rPr>
        <w:t xml:space="preserve">1.11.1 </w:t>
      </w:r>
      <w:r>
        <w:rPr>
          <w:rFonts w:hint="eastAsia" w:ascii="宋体" w:hAnsi="宋体" w:cs="宋体"/>
          <w:color w:val="auto"/>
          <w:highlight w:val="none"/>
        </w:rPr>
        <w:t>投标人须知前附表规定应当由分包人实施的非主体、非关键性工作，投标人应当按照第五章“招标人要求”的规定提供分包人侯选名单及其相应资料。</w:t>
      </w:r>
    </w:p>
    <w:p>
      <w:pPr>
        <w:spacing w:line="400" w:lineRule="exact"/>
        <w:ind w:firstLine="567" w:firstLineChars="270"/>
        <w:rPr>
          <w:rFonts w:ascii="宋体" w:hAnsi="宋体" w:cs="宋体"/>
          <w:color w:val="auto"/>
          <w:highlight w:val="none"/>
        </w:rPr>
      </w:pPr>
      <w:r>
        <w:rPr>
          <w:rFonts w:ascii="宋体" w:hAnsi="宋体" w:cs="宋体"/>
          <w:color w:val="auto"/>
          <w:highlight w:val="none"/>
        </w:rPr>
        <w:t xml:space="preserve">1.11.2 </w:t>
      </w:r>
      <w:r>
        <w:rPr>
          <w:rFonts w:hint="eastAsia" w:ascii="宋体" w:hAnsi="宋体" w:cs="宋体"/>
          <w:color w:val="auto"/>
          <w:highlight w:val="none"/>
        </w:rPr>
        <w:t>投标人拟在中标后将中标项目的部分非主体、非关键性工作进行分包的，应符合投标人须知前附表规定的分包内容、分包金额和资质要求等限制性条件。</w:t>
      </w:r>
    </w:p>
    <w:p>
      <w:pPr>
        <w:pStyle w:val="4"/>
        <w:rPr>
          <w:rFonts w:ascii="宋体" w:eastAsia="宋体" w:cs="宋体"/>
          <w:color w:val="auto"/>
          <w:highlight w:val="none"/>
        </w:rPr>
      </w:pPr>
      <w:bookmarkStart w:id="17" w:name="_Toc20019"/>
      <w:r>
        <w:rPr>
          <w:rFonts w:hint="eastAsia" w:ascii="宋体" w:eastAsia="宋体" w:cs="宋体"/>
          <w:color w:val="auto"/>
          <w:highlight w:val="none"/>
        </w:rPr>
        <w:t>1.12 偏离</w:t>
      </w:r>
      <w:bookmarkEnd w:id="17"/>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投标人须知前附表允许投标文件偏离招标文件某些要求的，偏离应当符合招标文件规定的偏离范围和幅度。</w:t>
      </w:r>
    </w:p>
    <w:p>
      <w:pPr>
        <w:pStyle w:val="3"/>
        <w:rPr>
          <w:rFonts w:ascii="宋体" w:hAnsi="宋体" w:eastAsia="宋体" w:cs="宋体"/>
          <w:color w:val="auto"/>
          <w:highlight w:val="none"/>
        </w:rPr>
      </w:pPr>
      <w:bookmarkStart w:id="18" w:name="_Toc9197"/>
      <w:r>
        <w:rPr>
          <w:rFonts w:hint="eastAsia" w:ascii="宋体" w:hAnsi="宋体" w:eastAsia="宋体" w:cs="宋体"/>
          <w:color w:val="auto"/>
          <w:highlight w:val="none"/>
        </w:rPr>
        <w:t>2. 招标文件</w:t>
      </w:r>
      <w:bookmarkEnd w:id="18"/>
    </w:p>
    <w:p>
      <w:pPr>
        <w:pStyle w:val="4"/>
        <w:rPr>
          <w:rFonts w:ascii="宋体" w:eastAsia="宋体" w:cs="宋体"/>
          <w:color w:val="auto"/>
          <w:highlight w:val="none"/>
        </w:rPr>
      </w:pPr>
      <w:bookmarkStart w:id="19" w:name="_Toc12043"/>
      <w:r>
        <w:rPr>
          <w:rFonts w:hint="eastAsia" w:ascii="宋体" w:eastAsia="宋体" w:cs="宋体"/>
          <w:color w:val="auto"/>
          <w:highlight w:val="none"/>
        </w:rPr>
        <w:t>2.1 招标文件的组成</w:t>
      </w:r>
      <w:bookmarkEnd w:id="19"/>
    </w:p>
    <w:p>
      <w:pPr>
        <w:spacing w:line="400" w:lineRule="exact"/>
        <w:rPr>
          <w:rFonts w:ascii="宋体" w:hAnsi="宋体" w:cs="宋体"/>
          <w:color w:val="auto"/>
          <w:highlight w:val="none"/>
        </w:rPr>
      </w:pPr>
      <w:r>
        <w:rPr>
          <w:rFonts w:hint="eastAsia" w:ascii="宋体" w:hAnsi="宋体" w:cs="宋体"/>
          <w:color w:val="auto"/>
          <w:highlight w:val="none"/>
        </w:rPr>
        <w:t>　　本招标文件包括：</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（1）招标公告</w:t>
      </w:r>
      <w:r>
        <w:rPr>
          <w:rFonts w:hint="eastAsia" w:ascii="新宋体" w:hAnsi="新宋体" w:eastAsia="新宋体" w:cs="新宋体"/>
          <w:strike/>
          <w:color w:val="auto"/>
          <w:highlight w:val="none"/>
        </w:rPr>
        <w:t>（或投标邀请书）</w:t>
      </w:r>
      <w:r>
        <w:rPr>
          <w:rFonts w:hint="eastAsia" w:ascii="宋体" w:hAnsi="宋体" w:cs="宋体"/>
          <w:color w:val="auto"/>
          <w:highlight w:val="none"/>
        </w:rPr>
        <w:t>；</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（2）投标人须知；</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（3）评标办法；</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（4）合同条款及格式</w:t>
      </w:r>
      <w:r>
        <w:rPr>
          <w:rFonts w:hint="eastAsia" w:ascii="宋体" w:hAnsi="宋体" w:cs="宋体"/>
          <w:color w:val="auto"/>
          <w:highlight w:val="none"/>
          <w:u w:val="single"/>
        </w:rPr>
        <w:t>(另册)；</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u w:val="single"/>
        </w:rPr>
        <w:t>招标人</w:t>
      </w:r>
      <w:r>
        <w:rPr>
          <w:rFonts w:hint="eastAsia" w:ascii="宋体" w:hAnsi="宋体" w:cs="宋体"/>
          <w:color w:val="auto"/>
          <w:highlight w:val="none"/>
        </w:rPr>
        <w:t>要求；</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u w:val="single"/>
        </w:rPr>
        <w:t>招标人</w:t>
      </w:r>
      <w:r>
        <w:rPr>
          <w:rFonts w:hint="eastAsia" w:ascii="宋体" w:hAnsi="宋体" w:cs="宋体"/>
          <w:color w:val="auto"/>
          <w:highlight w:val="none"/>
        </w:rPr>
        <w:t>提供的资料和条件（另册）；</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（7）投标文件格式；</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（8）投标人须知前附表规定的其他资料。</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注：招标人应在技术条件（工程建设标准）中明确施工现场建筑垃圾源头减量的具体要求和建筑垃圾综合利用产品的使用要求。</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根据本章第1.10款、第2.2款和第2.3款对招标文件所作的澄清、修改，构成招标文件的组成部分。</w:t>
      </w:r>
    </w:p>
    <w:p>
      <w:pPr>
        <w:pStyle w:val="4"/>
        <w:rPr>
          <w:rFonts w:ascii="宋体" w:eastAsia="宋体" w:cs="宋体"/>
          <w:color w:val="auto"/>
          <w:highlight w:val="none"/>
        </w:rPr>
      </w:pPr>
      <w:bookmarkStart w:id="20" w:name="_Toc13695"/>
      <w:r>
        <w:rPr>
          <w:rFonts w:hint="eastAsia" w:ascii="宋体" w:eastAsia="宋体" w:cs="宋体"/>
          <w:color w:val="auto"/>
          <w:highlight w:val="none"/>
        </w:rPr>
        <w:t>2.2 招标文件的澄清</w:t>
      </w:r>
      <w:bookmarkEnd w:id="20"/>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2.2.1 投标人应仔细阅读和检查招标文件的全部内容。</w:t>
      </w:r>
      <w:r>
        <w:rPr>
          <w:rFonts w:hint="eastAsia" w:ascii="宋体" w:hAnsi="宋体" w:cs="宋体"/>
          <w:color w:val="auto"/>
          <w:szCs w:val="21"/>
          <w:highlight w:val="none"/>
        </w:rPr>
        <w:t>如发现缺页或附件不全，应及时向招标人提出，以便补齐。</w:t>
      </w:r>
      <w:r>
        <w:rPr>
          <w:rFonts w:hint="eastAsia" w:ascii="宋体" w:hAnsi="宋体" w:cs="宋体"/>
          <w:color w:val="auto"/>
          <w:highlight w:val="none"/>
        </w:rPr>
        <w:t>如有疑问，应在投标人须知前附表规定的时间前</w:t>
      </w:r>
      <w:r>
        <w:rPr>
          <w:rFonts w:hint="eastAsia" w:ascii="宋体" w:hAnsi="宋体" w:cs="宋体"/>
          <w:color w:val="auto"/>
          <w:highlight w:val="none"/>
          <w:u w:val="single"/>
        </w:rPr>
        <w:t>通过广州交易集团有限公司（广州公共资源交易中心）网站进入提问区域将问题提交给招标人或招标代理人</w:t>
      </w:r>
      <w:r>
        <w:rPr>
          <w:rFonts w:hint="eastAsia" w:ascii="宋体" w:hAnsi="宋体" w:cs="宋体"/>
          <w:color w:val="auto"/>
          <w:highlight w:val="none"/>
        </w:rPr>
        <w:t>，要求招标人对招标文件予以澄清。</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2.2.2 招标文件的澄清在</w:t>
      </w:r>
      <w:r>
        <w:rPr>
          <w:rFonts w:hint="eastAsia" w:ascii="宋体" w:hAnsi="宋体" w:cs="宋体"/>
          <w:color w:val="auto"/>
          <w:highlight w:val="none"/>
          <w:u w:val="single"/>
        </w:rPr>
        <w:t>广州交易集团有限公司（广州公共资源交易中心）网站发布</w:t>
      </w:r>
      <w:r>
        <w:rPr>
          <w:rFonts w:hint="eastAsia" w:ascii="宋体" w:hAnsi="宋体" w:cs="宋体"/>
          <w:color w:val="auto"/>
          <w:highlight w:val="none"/>
        </w:rPr>
        <w:t>发给所有投标人，但不指明澄清问题的来源。澄清发出的时间距投标人须知前附表规定的投标截止时间不足15天的，并且澄清内容影响投标文件编制的，将相应延长投标截止时间。</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2.2.3 </w:t>
      </w:r>
      <w:r>
        <w:rPr>
          <w:rFonts w:hint="eastAsia" w:ascii="宋体" w:hAnsi="宋体" w:cs="宋体"/>
          <w:color w:val="auto"/>
          <w:highlight w:val="none"/>
          <w:u w:val="single"/>
        </w:rPr>
        <w:t>招标文件澄清在广州交易集团有限公司（广州公共资源交易中心）网站通过项目答疑专区网上公开发布，发出即视作收到，以交易平台网站发布时间作为送达时间。无需投标人确认。投标人应自行关注，招标人不再一一通知</w:t>
      </w:r>
      <w:r>
        <w:rPr>
          <w:rFonts w:hint="eastAsia" w:ascii="宋体" w:hAnsi="宋体" w:cs="宋体"/>
          <w:color w:val="auto"/>
          <w:highlight w:val="none"/>
        </w:rPr>
        <w:t>。</w:t>
      </w:r>
    </w:p>
    <w:p>
      <w:pPr>
        <w:pStyle w:val="4"/>
        <w:rPr>
          <w:rFonts w:ascii="宋体" w:eastAsia="宋体" w:cs="宋体"/>
          <w:color w:val="auto"/>
          <w:highlight w:val="none"/>
        </w:rPr>
      </w:pPr>
      <w:bookmarkStart w:id="21" w:name="_Toc1193"/>
      <w:r>
        <w:rPr>
          <w:rFonts w:hint="eastAsia" w:ascii="宋体" w:eastAsia="宋体" w:cs="宋体"/>
          <w:color w:val="auto"/>
          <w:highlight w:val="none"/>
        </w:rPr>
        <w:t>2.3 招标文件的修改</w:t>
      </w:r>
      <w:bookmarkEnd w:id="2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2.3.1 招标人</w:t>
      </w:r>
      <w:r>
        <w:rPr>
          <w:rFonts w:hint="eastAsia" w:ascii="宋体" w:hAnsi="宋体" w:cs="宋体"/>
          <w:color w:val="auto"/>
          <w:highlight w:val="none"/>
          <w:u w:val="single"/>
        </w:rPr>
        <w:t>在交易平台网站发布</w:t>
      </w:r>
      <w:r>
        <w:rPr>
          <w:rFonts w:hint="eastAsia" w:ascii="宋体" w:hAnsi="宋体" w:cs="宋体"/>
          <w:color w:val="auto"/>
          <w:highlight w:val="none"/>
        </w:rPr>
        <w:t xml:space="preserve">形式修改招标文件。修改招标文件的时间距投标人须知前附表规定的投标截止时间不足15天的，并且澄清内容影响投标文件编制的，将相应延长投标截止时间。 </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2.3.2 </w:t>
      </w:r>
      <w:r>
        <w:rPr>
          <w:rFonts w:hint="eastAsia" w:ascii="宋体" w:hAnsi="宋体" w:cs="宋体"/>
          <w:color w:val="auto"/>
          <w:highlight w:val="none"/>
          <w:u w:val="single"/>
        </w:rPr>
        <w:t>招标文件</w:t>
      </w:r>
      <w:r>
        <w:rPr>
          <w:rFonts w:hint="eastAsia" w:ascii="宋体" w:hAnsi="宋体" w:cs="宋体"/>
          <w:color w:val="auto"/>
          <w:szCs w:val="21"/>
          <w:highlight w:val="none"/>
          <w:u w:val="single"/>
        </w:rPr>
        <w:t>修改</w:t>
      </w:r>
      <w:r>
        <w:rPr>
          <w:rFonts w:hint="eastAsia" w:ascii="宋体" w:hAnsi="宋体" w:cs="宋体"/>
          <w:color w:val="auto"/>
          <w:highlight w:val="none"/>
          <w:u w:val="single"/>
        </w:rPr>
        <w:t>（或补充公告）一经在交易平台网站发布，视作已发放给所有投标人，以</w:t>
      </w:r>
      <w:r>
        <w:rPr>
          <w:rFonts w:hint="eastAsia" w:ascii="宋体" w:hAnsi="宋体" w:cs="宋体"/>
          <w:color w:val="auto"/>
          <w:highlight w:val="none"/>
          <w:u w:val="single"/>
          <w:lang w:bidi="ar"/>
        </w:rPr>
        <w:t>广州交易集团有限公司（广州公共资源交易中心）</w:t>
      </w:r>
      <w:r>
        <w:rPr>
          <w:rFonts w:hint="eastAsia" w:ascii="宋体" w:hAnsi="宋体" w:cs="宋体"/>
          <w:color w:val="auto"/>
          <w:highlight w:val="none"/>
          <w:u w:val="single"/>
        </w:rPr>
        <w:t>网站发布时间作为送达时间。无需投标人确认。投标人应自行关注，招标人不再一一通知</w:t>
      </w:r>
      <w:r>
        <w:rPr>
          <w:rFonts w:hint="eastAsia" w:ascii="宋体" w:hAnsi="宋体" w:cs="宋体"/>
          <w:color w:val="auto"/>
          <w:highlight w:val="none"/>
        </w:rPr>
        <w:t>。</w:t>
      </w:r>
    </w:p>
    <w:p>
      <w:pPr>
        <w:pStyle w:val="35"/>
        <w:spacing w:line="420" w:lineRule="exact"/>
        <w:ind w:firstLineChars="200"/>
        <w:rPr>
          <w:rFonts w:ascii="宋体" w:hAnsi="宋体" w:cs="宋体"/>
          <w:color w:val="auto"/>
          <w:szCs w:val="21"/>
          <w:highlight w:val="none"/>
          <w:u w:val="single"/>
        </w:rPr>
      </w:pPr>
      <w:r>
        <w:rPr>
          <w:rFonts w:hint="eastAsia" w:ascii="宋体" w:hAnsi="宋体" w:cs="宋体"/>
          <w:color w:val="auto"/>
          <w:sz w:val="21"/>
          <w:szCs w:val="21"/>
          <w:highlight w:val="none"/>
          <w:u w:val="single"/>
        </w:rPr>
        <w:t>2.3.3招标文件的修改均以广州交易集团有限公司（广州公共资源交易中心）官网、中国招标投标公共服务平台、广东省招标投标监管网、广州国企阳光采购信息发布的内容为准。当招标文件的修改在同一内容的表述不一致时，以广州公共资源交易中心网站最后发布的内容为准。</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u w:val="single"/>
        </w:rPr>
        <w:t>2.3.4为使投标人在编制投标文件时有充分的时间对招标文件的修改、补充等内容考虑进去，招标人将酌情延长提交投标文件的截止时间，具体时间将在招标文件的修改、补充通知中予以明确。若通知中没有明确延长时间，即表示投标时间不延长。</w:t>
      </w:r>
    </w:p>
    <w:p>
      <w:pPr>
        <w:pStyle w:val="3"/>
        <w:rPr>
          <w:rFonts w:ascii="宋体" w:hAnsi="宋体" w:eastAsia="宋体" w:cs="宋体"/>
          <w:color w:val="auto"/>
          <w:highlight w:val="none"/>
        </w:rPr>
      </w:pPr>
      <w:bookmarkStart w:id="22" w:name="_Toc8648"/>
      <w:r>
        <w:rPr>
          <w:rFonts w:hint="eastAsia" w:ascii="宋体" w:hAnsi="宋体" w:eastAsia="宋体" w:cs="宋体"/>
          <w:color w:val="auto"/>
          <w:highlight w:val="none"/>
        </w:rPr>
        <w:t>3. 投标文件</w:t>
      </w:r>
      <w:bookmarkEnd w:id="22"/>
    </w:p>
    <w:p>
      <w:pPr>
        <w:pStyle w:val="4"/>
        <w:ind w:firstLine="103"/>
        <w:rPr>
          <w:rFonts w:ascii="宋体" w:eastAsia="宋体" w:cs="宋体"/>
          <w:color w:val="auto"/>
          <w:sz w:val="21"/>
          <w:szCs w:val="21"/>
          <w:highlight w:val="none"/>
        </w:rPr>
      </w:pPr>
      <w:bookmarkStart w:id="23" w:name="_Toc21511"/>
      <w:r>
        <w:rPr>
          <w:rFonts w:hint="eastAsia" w:ascii="宋体" w:eastAsia="宋体" w:cs="宋体"/>
          <w:color w:val="auto"/>
          <w:sz w:val="21"/>
          <w:szCs w:val="21"/>
          <w:highlight w:val="none"/>
        </w:rPr>
        <w:t>3.1 投标文件的组成</w:t>
      </w:r>
      <w:bookmarkEnd w:id="23"/>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w:t>
      </w:r>
      <w:r>
        <w:rPr>
          <w:rFonts w:hint="eastAsia" w:ascii="宋体" w:hAnsi="宋体" w:cs="宋体"/>
          <w:color w:val="auto"/>
          <w:szCs w:val="21"/>
          <w:highlight w:val="none"/>
          <w:u w:val="single"/>
        </w:rPr>
        <w:t>3.1.1投标文件由资格审查文件、设计方案、工程承包实施方案三部分组成，各部分投标文件应分别编制。如招标文件没有格式规定的，由投标人自行编制。</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3.1.2资格审查文件</w:t>
      </w:r>
    </w:p>
    <w:p>
      <w:pPr>
        <w:numPr>
          <w:ilvl w:val="0"/>
          <w:numId w:val="1"/>
        </w:num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封面</w:t>
      </w:r>
    </w:p>
    <w:p>
      <w:pPr>
        <w:numPr>
          <w:ilvl w:val="0"/>
          <w:numId w:val="1"/>
        </w:num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目录</w:t>
      </w:r>
    </w:p>
    <w:p>
      <w:pPr>
        <w:numPr>
          <w:ilvl w:val="0"/>
          <w:numId w:val="1"/>
        </w:num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投标单位法定代表人证明书及法人授权委托证明书</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按招标文件格式1要求填写)；</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（4）企业营业执照（联合体投标的，联合体各方均提供）；</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（5）资质证书（联合体投标的，联合体各方均提供）；</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（6）安全生产许可证（联合体投标的，联合体施工方提供）；</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 xml:space="preserve">（7）项目负责人（兼施工项目负责人）的建造师注册证书（以投标登记时选取的项目负责人为准），有效期内的安全生产考核合格证（B类），或能够提供广东省建筑施工企业管理人员安全生产考核信息系统安全生产管理人员证书信息； </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（8）设计负责人（联合体设计成员提供）的执业证书或职称证书（以投标登记时选取的设计负责人为准）；</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（9）投标人（或联合体主办方）拟派技术负责人职称证书；</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10）投标人（或联合体主办方）拟派专职安全员须具有在有效期内安全生产考核合格证（C证），或能够提供广东省建筑施工企业管理人员安全生产考核信息系统安全生产管理人员证书信息（以投标登记时选取的专职安全员为准）；</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1</w:t>
      </w:r>
      <w:r>
        <w:rPr>
          <w:rFonts w:hint="eastAsia" w:ascii="宋体" w:hAnsi="宋体" w:cs="宋体"/>
          <w:color w:val="auto"/>
          <w:szCs w:val="21"/>
          <w:highlight w:val="none"/>
          <w:u w:val="single"/>
        </w:rPr>
        <w:t>）按招标公告附件一签署的《投标人声明》；</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2</w:t>
      </w:r>
      <w:r>
        <w:rPr>
          <w:rFonts w:hint="eastAsia" w:ascii="宋体" w:hAnsi="宋体" w:cs="宋体"/>
          <w:color w:val="auto"/>
          <w:szCs w:val="21"/>
          <w:highlight w:val="none"/>
          <w:u w:val="single"/>
        </w:rPr>
        <w:t xml:space="preserve">）按招标公告附件二盖章签署的联合体投标协议书（如有）； </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3</w:t>
      </w:r>
      <w:r>
        <w:rPr>
          <w:rFonts w:hint="eastAsia" w:ascii="宋体" w:hAnsi="宋体" w:cs="宋体"/>
          <w:color w:val="auto"/>
          <w:szCs w:val="21"/>
          <w:highlight w:val="none"/>
          <w:u w:val="single"/>
        </w:rPr>
        <w:t>）资格审查前，投标人（含联合体各方）须建立企业信用档案及拟担任本工程项目负责人（兼施工负责人）、设计负责人、专职安全员须是投标人企业信用档案中的在册人员（联合体投标的，人员在册情况为联合体协议分工对应企业库内信息）（需提供广州市住房和城乡建设局企业信用档案信息库内信息的网上打印页）。</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4</w:t>
      </w:r>
      <w:r>
        <w:rPr>
          <w:rFonts w:hint="eastAsia" w:ascii="宋体" w:hAnsi="宋体" w:cs="宋体"/>
          <w:color w:val="auto"/>
          <w:szCs w:val="21"/>
          <w:highlight w:val="none"/>
          <w:u w:val="single"/>
        </w:rPr>
        <w:t>）投标人认为应该提供的其他资料</w:t>
      </w:r>
    </w:p>
    <w:p>
      <w:pPr>
        <w:snapToGrid w:val="0"/>
        <w:spacing w:line="360" w:lineRule="auto"/>
        <w:ind w:firstLine="420" w:firstLineChars="200"/>
        <w:rPr>
          <w:rFonts w:ascii="宋体" w:hAnsi="宋体" w:cs="宋体"/>
          <w:color w:val="auto"/>
          <w:szCs w:val="21"/>
          <w:highlight w:val="none"/>
          <w:u w:val="single"/>
        </w:rPr>
      </w:pPr>
      <w:r>
        <w:rPr>
          <w:rFonts w:ascii="宋体" w:hAnsi="宋体" w:cs="宋体"/>
          <w:color w:val="auto"/>
          <w:szCs w:val="21"/>
          <w:highlight w:val="none"/>
          <w:u w:val="single"/>
        </w:rPr>
        <w:t>3.1.3设计方案（采用“暗标”形式，文件大小不得超过500M）</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设计方案中不得出现可以辨认投标人及专业技术人员身份的名称、印章、商标、图形等记认符号，也不得通过明标、暗标中包含的相同内容（如报价等）互相印证、辨认投标人身份。内容包括：</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（1）封面：</w:t>
      </w:r>
      <w:r>
        <w:rPr>
          <w:rFonts w:hint="eastAsia" w:ascii="宋体" w:hAnsi="宋体" w:cs="宋体"/>
          <w:b/>
          <w:bCs/>
          <w:color w:val="auto"/>
          <w:szCs w:val="21"/>
          <w:highlight w:val="none"/>
          <w:u w:val="single"/>
        </w:rPr>
        <w:t>标明项目名称、“投标文件（设计方案部分）”字样、编制时间</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（2）目录</w:t>
      </w:r>
    </w:p>
    <w:p>
      <w:pPr>
        <w:snapToGrid w:val="0"/>
        <w:spacing w:line="360" w:lineRule="auto"/>
        <w:ind w:firstLine="420" w:firstLineChars="200"/>
        <w:rPr>
          <w:rFonts w:ascii="宋体" w:hAnsi="宋体" w:cs="宋体"/>
          <w:dstrike/>
          <w:color w:val="auto"/>
          <w:szCs w:val="21"/>
          <w:highlight w:val="none"/>
          <w:u w:val="single"/>
        </w:rPr>
      </w:pPr>
      <w:r>
        <w:rPr>
          <w:rFonts w:hint="eastAsia" w:ascii="宋体" w:hAnsi="宋体" w:cs="宋体"/>
          <w:color w:val="auto"/>
          <w:szCs w:val="21"/>
          <w:highlight w:val="none"/>
          <w:u w:val="single"/>
        </w:rPr>
        <w:t>（3）设计方案</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3.1.4工程承包实施方案（包括但不限于以下内容：）</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（1）封面</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（2）目录</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（3）投标书(按“第七章投标文件格式</w:t>
      </w:r>
      <w:r>
        <w:rPr>
          <w:rFonts w:ascii="宋体" w:hAnsi="宋体" w:cs="宋体"/>
          <w:color w:val="auto"/>
          <w:szCs w:val="21"/>
          <w:highlight w:val="none"/>
          <w:u w:val="single"/>
        </w:rPr>
        <w:t>”</w:t>
      </w:r>
      <w:r>
        <w:rPr>
          <w:rFonts w:hint="eastAsia" w:ascii="宋体" w:hAnsi="宋体" w:cs="宋体"/>
          <w:color w:val="auto"/>
          <w:szCs w:val="21"/>
          <w:highlight w:val="none"/>
          <w:u w:val="single"/>
        </w:rPr>
        <w:t>格式2要求填写)</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w:t>
      </w:r>
      <w:r>
        <w:rPr>
          <w:rFonts w:ascii="宋体" w:hAnsi="宋体" w:cs="宋体"/>
          <w:color w:val="auto"/>
          <w:szCs w:val="21"/>
          <w:highlight w:val="none"/>
          <w:u w:val="single"/>
        </w:rPr>
        <w:t>投标人基本情况表（按</w:t>
      </w:r>
      <w:r>
        <w:rPr>
          <w:rFonts w:hint="eastAsia" w:ascii="宋体" w:hAnsi="宋体" w:cs="宋体"/>
          <w:color w:val="auto"/>
          <w:szCs w:val="21"/>
          <w:highlight w:val="none"/>
          <w:u w:val="single"/>
        </w:rPr>
        <w:t>“第七章投标文件格式</w:t>
      </w:r>
      <w:r>
        <w:rPr>
          <w:rFonts w:ascii="宋体" w:hAnsi="宋体" w:cs="宋体"/>
          <w:color w:val="auto"/>
          <w:szCs w:val="21"/>
          <w:highlight w:val="none"/>
          <w:u w:val="single"/>
        </w:rPr>
        <w:t>”格式</w:t>
      </w:r>
      <w:r>
        <w:rPr>
          <w:rFonts w:hint="eastAsia" w:ascii="宋体" w:hAnsi="宋体" w:cs="宋体"/>
          <w:color w:val="auto"/>
          <w:szCs w:val="21"/>
          <w:highlight w:val="none"/>
          <w:u w:val="single"/>
        </w:rPr>
        <w:t>3</w:t>
      </w:r>
      <w:r>
        <w:rPr>
          <w:rFonts w:ascii="宋体" w:hAnsi="宋体" w:cs="宋体"/>
          <w:color w:val="auto"/>
          <w:szCs w:val="21"/>
          <w:highlight w:val="none"/>
          <w:u w:val="single"/>
        </w:rPr>
        <w:t>要求填写)</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（5）投标承诺函（按“第七章投标文件格式</w:t>
      </w:r>
      <w:r>
        <w:rPr>
          <w:rFonts w:ascii="宋体" w:hAnsi="宋体" w:cs="宋体"/>
          <w:color w:val="auto"/>
          <w:szCs w:val="21"/>
          <w:highlight w:val="none"/>
          <w:u w:val="single"/>
        </w:rPr>
        <w:t>”</w:t>
      </w:r>
      <w:r>
        <w:rPr>
          <w:rFonts w:hint="eastAsia" w:ascii="宋体" w:hAnsi="宋体" w:cs="宋体"/>
          <w:color w:val="auto"/>
          <w:szCs w:val="21"/>
          <w:highlight w:val="none"/>
          <w:u w:val="single"/>
        </w:rPr>
        <w:t>格式4要求填写)</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(6)企业资信实力（如有，按评分表要求提供）</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A.企业业绩资料（按“第七章投标文件格式</w:t>
      </w:r>
      <w:r>
        <w:rPr>
          <w:rFonts w:ascii="宋体" w:hAnsi="宋体" w:cs="宋体"/>
          <w:color w:val="auto"/>
          <w:szCs w:val="21"/>
          <w:highlight w:val="none"/>
          <w:u w:val="single"/>
        </w:rPr>
        <w:t>”</w:t>
      </w:r>
      <w:r>
        <w:rPr>
          <w:rFonts w:hint="eastAsia" w:ascii="宋体" w:hAnsi="宋体" w:cs="宋体"/>
          <w:color w:val="auto"/>
          <w:szCs w:val="21"/>
          <w:highlight w:val="none"/>
          <w:u w:val="single"/>
        </w:rPr>
        <w:t>格式5要求填写)</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B.企业获奖资料（按“第七章投标文件格式</w:t>
      </w:r>
      <w:r>
        <w:rPr>
          <w:rFonts w:ascii="宋体" w:hAnsi="宋体" w:cs="宋体"/>
          <w:color w:val="auto"/>
          <w:szCs w:val="21"/>
          <w:highlight w:val="none"/>
          <w:u w:val="single"/>
        </w:rPr>
        <w:t>”</w:t>
      </w:r>
      <w:r>
        <w:rPr>
          <w:rFonts w:hint="eastAsia" w:ascii="宋体" w:hAnsi="宋体" w:cs="宋体"/>
          <w:color w:val="auto"/>
          <w:szCs w:val="21"/>
          <w:highlight w:val="none"/>
          <w:u w:val="single"/>
        </w:rPr>
        <w:t>格式6要求填写)</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C.第三方评价资料</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（7）项目管理机构配备表（按“第七章投标文件格式</w:t>
      </w:r>
      <w:r>
        <w:rPr>
          <w:rFonts w:ascii="宋体" w:hAnsi="宋体" w:cs="宋体"/>
          <w:color w:val="auto"/>
          <w:szCs w:val="21"/>
          <w:highlight w:val="none"/>
          <w:u w:val="single"/>
        </w:rPr>
        <w:t>”</w:t>
      </w:r>
      <w:r>
        <w:rPr>
          <w:rFonts w:hint="eastAsia" w:ascii="宋体" w:hAnsi="宋体" w:cs="宋体"/>
          <w:color w:val="auto"/>
          <w:szCs w:val="21"/>
          <w:highlight w:val="none"/>
          <w:u w:val="single"/>
        </w:rPr>
        <w:t>格式</w:t>
      </w:r>
      <w:r>
        <w:rPr>
          <w:rFonts w:ascii="宋体" w:hAnsi="宋体" w:cs="宋体"/>
          <w:color w:val="auto"/>
          <w:szCs w:val="21"/>
          <w:highlight w:val="none"/>
          <w:u w:val="single"/>
        </w:rPr>
        <w:t>7</w:t>
      </w:r>
      <w:r>
        <w:rPr>
          <w:rFonts w:hint="eastAsia" w:ascii="宋体" w:hAnsi="宋体" w:cs="宋体"/>
          <w:color w:val="auto"/>
          <w:szCs w:val="21"/>
          <w:highlight w:val="none"/>
          <w:u w:val="single"/>
        </w:rPr>
        <w:t>要求填写)</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（8）工程承包实施方案（投标人在编制施工组织设计或施工方案时应按照招标人提出的施工现场建筑垃圾源头减量的具体要求以及建筑垃圾综合利用产品的使用要求提供相应措施。）</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（9）投标文件编制人员名单（按“第七章投标文件格式</w:t>
      </w:r>
      <w:r>
        <w:rPr>
          <w:rFonts w:ascii="宋体" w:hAnsi="宋体" w:cs="宋体"/>
          <w:color w:val="auto"/>
          <w:szCs w:val="21"/>
          <w:highlight w:val="none"/>
          <w:u w:val="single"/>
        </w:rPr>
        <w:t>”</w:t>
      </w:r>
      <w:r>
        <w:rPr>
          <w:rFonts w:hint="eastAsia" w:ascii="宋体" w:hAnsi="宋体" w:cs="宋体"/>
          <w:color w:val="auto"/>
          <w:szCs w:val="21"/>
          <w:highlight w:val="none"/>
          <w:u w:val="single"/>
        </w:rPr>
        <w:t>提供的格式8填写）；</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（10）工程量清单报价表（按“第七章投标文件格式</w:t>
      </w:r>
      <w:r>
        <w:rPr>
          <w:rFonts w:ascii="宋体" w:hAnsi="宋体" w:cs="宋体"/>
          <w:color w:val="auto"/>
          <w:szCs w:val="21"/>
          <w:highlight w:val="none"/>
          <w:u w:val="single"/>
        </w:rPr>
        <w:t>”</w:t>
      </w:r>
      <w:r>
        <w:rPr>
          <w:rFonts w:hint="eastAsia" w:ascii="宋体" w:hAnsi="宋体" w:cs="宋体"/>
          <w:color w:val="auto"/>
          <w:szCs w:val="21"/>
          <w:highlight w:val="none"/>
          <w:u w:val="single"/>
        </w:rPr>
        <w:t>提供的格式9填写）；</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（11）投标人认为应该提供的其他资料。</w:t>
      </w:r>
    </w:p>
    <w:p>
      <w:pPr>
        <w:pStyle w:val="4"/>
        <w:rPr>
          <w:rFonts w:ascii="宋体" w:eastAsia="宋体" w:cs="宋体"/>
          <w:color w:val="auto"/>
          <w:highlight w:val="none"/>
        </w:rPr>
      </w:pPr>
      <w:bookmarkStart w:id="24" w:name="_Toc25636"/>
      <w:r>
        <w:rPr>
          <w:rFonts w:hint="eastAsia" w:ascii="宋体" w:eastAsia="宋体" w:cs="宋体"/>
          <w:color w:val="auto"/>
          <w:highlight w:val="none"/>
        </w:rPr>
        <w:t>3.2 投标报价</w:t>
      </w:r>
      <w:bookmarkEnd w:id="24"/>
      <w:r>
        <w:rPr>
          <w:rFonts w:hint="eastAsia" w:ascii="宋体" w:eastAsia="宋体" w:cs="宋体"/>
          <w:color w:val="auto"/>
          <w:highlight w:val="none"/>
        </w:rPr>
        <w:t xml:space="preserve"> </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3.2.1 投标人应按第七章“投标文件格式”的要求填写价格清单。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highlight w:val="none"/>
        </w:rPr>
        <w:t xml:space="preserve">3.2.2 </w:t>
      </w:r>
      <w:r>
        <w:rPr>
          <w:rFonts w:hint="eastAsia" w:ascii="宋体" w:hAnsi="宋体" w:cs="宋体"/>
          <w:color w:val="auto"/>
          <w:szCs w:val="21"/>
          <w:highlight w:val="none"/>
        </w:rPr>
        <w:t>投标人应充分了解施工场地的位置、周边环境、道路、装卸、保管、安装限制以及影响投标报价的其他要素。投标人根据投标设计，结合市场情况进行投标报价。</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3.2.3 投标人在投标截止时间前修改投标函中的投标报价总额，应同时修改投标文件“价格清单”中的相应报价，投标报价总额为各分项金额之和。此修改须符合本章第4.3款的有关要求。</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3.2.4 招标人设有最高投标限价的，投标人的投标报价不得超过最高投标限价，最高投标限价或其计算方法在投标人须知前附表中载明。</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3.2.5 投标报价的其他要求见投标人须知前附表。</w:t>
      </w:r>
    </w:p>
    <w:p>
      <w:pPr>
        <w:pStyle w:val="4"/>
        <w:rPr>
          <w:rFonts w:ascii="宋体" w:eastAsia="宋体" w:cs="宋体"/>
          <w:color w:val="auto"/>
          <w:highlight w:val="none"/>
        </w:rPr>
      </w:pPr>
      <w:bookmarkStart w:id="25" w:name="_Toc13363"/>
      <w:r>
        <w:rPr>
          <w:rFonts w:hint="eastAsia" w:ascii="宋体" w:eastAsia="宋体" w:cs="宋体"/>
          <w:color w:val="auto"/>
          <w:highlight w:val="none"/>
        </w:rPr>
        <w:t>3.3 投标有效期</w:t>
      </w:r>
      <w:bookmarkEnd w:id="25"/>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3.3.1 除投标人须知前附表另有规定外，投标有效期为120天。</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3.3.2 在投标有效期内，投标人撤销或修改其投标文件的，应承担招标文件和法律规定的责任。</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4"/>
        <w:rPr>
          <w:rFonts w:ascii="宋体" w:eastAsia="宋体" w:cs="宋体"/>
          <w:color w:val="auto"/>
          <w:highlight w:val="none"/>
        </w:rPr>
      </w:pPr>
      <w:bookmarkStart w:id="26" w:name="_Toc9217"/>
      <w:r>
        <w:rPr>
          <w:rFonts w:hint="eastAsia" w:ascii="宋体" w:eastAsia="宋体" w:cs="宋体"/>
          <w:color w:val="auto"/>
          <w:highlight w:val="none"/>
        </w:rPr>
        <w:t>3.4 投标保证金</w:t>
      </w:r>
      <w:bookmarkEnd w:id="26"/>
    </w:p>
    <w:p>
      <w:pPr>
        <w:spacing w:line="400" w:lineRule="exact"/>
        <w:ind w:firstLine="420" w:firstLineChars="200"/>
        <w:rPr>
          <w:color w:val="auto"/>
          <w:highlight w:val="none"/>
        </w:rPr>
      </w:pPr>
      <w:r>
        <w:rPr>
          <w:rFonts w:hint="eastAsia"/>
          <w:color w:val="auto"/>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主办人递交，并应符合投标人须知前附表的规定。</w:t>
      </w:r>
    </w:p>
    <w:p>
      <w:pPr>
        <w:spacing w:line="400" w:lineRule="exact"/>
        <w:ind w:firstLine="420" w:firstLineChars="200"/>
        <w:rPr>
          <w:color w:val="auto"/>
          <w:highlight w:val="none"/>
        </w:rPr>
      </w:pPr>
      <w:r>
        <w:rPr>
          <w:rFonts w:hint="eastAsia"/>
          <w:color w:val="auto"/>
          <w:highlight w:val="none"/>
        </w:rPr>
        <w:t>3.4.2 投标人不按本章第3.4.1项要求提交投标保证金的，评标委员会将否决其投标。</w:t>
      </w:r>
    </w:p>
    <w:p>
      <w:pPr>
        <w:spacing w:line="400" w:lineRule="exact"/>
        <w:ind w:firstLine="420" w:firstLineChars="200"/>
        <w:rPr>
          <w:color w:val="auto"/>
          <w:highlight w:val="none"/>
        </w:rPr>
      </w:pPr>
      <w:r>
        <w:rPr>
          <w:rFonts w:hint="eastAsia"/>
          <w:color w:val="auto"/>
          <w:highlight w:val="none"/>
        </w:rPr>
        <w:t>3.4.3 招标人与中标人签订合同后5日内，向未中标的投标人和中标人退还投标保证金及同期银行存款利息。</w:t>
      </w:r>
    </w:p>
    <w:p>
      <w:pPr>
        <w:spacing w:line="400" w:lineRule="exact"/>
        <w:ind w:firstLine="420" w:firstLineChars="200"/>
        <w:rPr>
          <w:color w:val="auto"/>
          <w:highlight w:val="none"/>
        </w:rPr>
      </w:pPr>
      <w:r>
        <w:rPr>
          <w:rFonts w:hint="eastAsia"/>
          <w:color w:val="auto"/>
          <w:highlight w:val="none"/>
        </w:rPr>
        <w:t xml:space="preserve">3.4.4 有下列情形之一的，投标保证金将不予退还： </w:t>
      </w:r>
    </w:p>
    <w:p>
      <w:pPr>
        <w:spacing w:line="400" w:lineRule="exact"/>
        <w:ind w:firstLine="315" w:firstLineChars="150"/>
        <w:rPr>
          <w:color w:val="auto"/>
          <w:highlight w:val="none"/>
        </w:rPr>
      </w:pPr>
      <w:r>
        <w:rPr>
          <w:rFonts w:hint="eastAsia"/>
          <w:color w:val="auto"/>
          <w:highlight w:val="none"/>
        </w:rPr>
        <w:t>（1）投标人在规定的投标有效期内撤销或修改其投标文件；</w:t>
      </w:r>
    </w:p>
    <w:p>
      <w:pPr>
        <w:spacing w:line="400" w:lineRule="exact"/>
        <w:ind w:firstLine="315" w:firstLineChars="150"/>
        <w:rPr>
          <w:rFonts w:ascii="宋体" w:hAnsi="宋体" w:cs="宋体"/>
          <w:color w:val="auto"/>
          <w:highlight w:val="none"/>
          <w:u w:val="single"/>
        </w:rPr>
      </w:pPr>
      <w:r>
        <w:rPr>
          <w:rFonts w:hint="eastAsia"/>
          <w:color w:val="auto"/>
          <w:highlight w:val="none"/>
        </w:rPr>
        <w:t>（2）中标人在收到中标通知书后，无正当理由拒签合同或未按招标文件规定提交履约担保。</w:t>
      </w:r>
    </w:p>
    <w:p>
      <w:pPr>
        <w:pStyle w:val="4"/>
        <w:rPr>
          <w:rFonts w:ascii="宋体" w:eastAsia="宋体" w:cs="宋体"/>
          <w:color w:val="auto"/>
          <w:highlight w:val="none"/>
        </w:rPr>
      </w:pPr>
      <w:bookmarkStart w:id="27" w:name="_Toc20756"/>
      <w:r>
        <w:rPr>
          <w:rFonts w:hint="eastAsia" w:ascii="宋体" w:eastAsia="宋体" w:cs="宋体"/>
          <w:color w:val="auto"/>
          <w:highlight w:val="none"/>
        </w:rPr>
        <w:t>3.5 资格审查资料（适用于未进行资格预审的）</w:t>
      </w:r>
      <w:bookmarkEnd w:id="27"/>
    </w:p>
    <w:p>
      <w:pPr>
        <w:spacing w:line="400" w:lineRule="exact"/>
        <w:ind w:firstLine="420" w:firstLineChars="200"/>
        <w:rPr>
          <w:rFonts w:ascii="新宋体" w:hAnsi="新宋体" w:eastAsia="新宋体" w:cs="新宋体"/>
          <w:color w:val="auto"/>
          <w:highlight w:val="none"/>
          <w:u w:val="single"/>
        </w:rPr>
      </w:pPr>
      <w:r>
        <w:rPr>
          <w:rFonts w:hint="eastAsia" w:ascii="新宋体" w:hAnsi="新宋体" w:eastAsia="新宋体" w:cs="新宋体"/>
          <w:color w:val="auto"/>
          <w:highlight w:val="none"/>
          <w:u w:val="single"/>
        </w:rPr>
        <w:t>资格审查资料要求详见本章3.1.2资格审查文件组成。</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采用电子化资格后审，由评标委员会负责对投标人的资格进行审查，评标时只对通过资格审查的投标人进行下一阶段的评审。</w:t>
      </w:r>
    </w:p>
    <w:p>
      <w:pPr>
        <w:spacing w:line="400" w:lineRule="exact"/>
        <w:ind w:firstLine="420" w:firstLineChars="200"/>
        <w:rPr>
          <w:rFonts w:ascii="宋体" w:hAnsi="宋体" w:cs="宋体"/>
          <w:color w:val="auto"/>
          <w:highlight w:val="none"/>
        </w:rPr>
      </w:pPr>
    </w:p>
    <w:p>
      <w:pPr>
        <w:pStyle w:val="4"/>
        <w:rPr>
          <w:rFonts w:ascii="宋体" w:eastAsia="宋体" w:cs="宋体"/>
          <w:color w:val="auto"/>
          <w:highlight w:val="none"/>
        </w:rPr>
      </w:pPr>
      <w:bookmarkStart w:id="28" w:name="_Toc16153"/>
      <w:r>
        <w:rPr>
          <w:rFonts w:hint="eastAsia" w:ascii="宋体" w:eastAsia="宋体" w:cs="宋体"/>
          <w:color w:val="auto"/>
          <w:highlight w:val="none"/>
        </w:rPr>
        <w:t>3.6 备选投标方案</w:t>
      </w:r>
      <w:bookmarkEnd w:id="28"/>
    </w:p>
    <w:p>
      <w:pPr>
        <w:spacing w:line="400" w:lineRule="exact"/>
        <w:ind w:firstLine="420" w:firstLineChars="200"/>
        <w:rPr>
          <w:rFonts w:ascii="宋体" w:hAnsi="宋体" w:cs="宋体"/>
          <w:strike/>
          <w:color w:val="auto"/>
          <w:highlight w:val="none"/>
        </w:rPr>
      </w:pPr>
      <w:r>
        <w:rPr>
          <w:rFonts w:hint="eastAsia" w:ascii="宋体" w:hAnsi="宋体" w:cs="宋体"/>
          <w:color w:val="auto"/>
          <w:highlight w:val="none"/>
        </w:rPr>
        <w:t>除投标人须知前附表另有规定外，投标人不得递交备选投标方案。</w:t>
      </w:r>
      <w:r>
        <w:rPr>
          <w:rFonts w:hint="eastAsia" w:ascii="宋体" w:hAnsi="宋体" w:cs="宋体"/>
          <w:strike/>
          <w:color w:val="auto"/>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
        <w:rPr>
          <w:rFonts w:ascii="宋体" w:eastAsia="宋体" w:cs="宋体"/>
          <w:color w:val="auto"/>
          <w:highlight w:val="none"/>
        </w:rPr>
      </w:pPr>
      <w:bookmarkStart w:id="29" w:name="_Toc5436"/>
      <w:r>
        <w:rPr>
          <w:rFonts w:hint="eastAsia" w:ascii="宋体" w:eastAsia="宋体" w:cs="宋体"/>
          <w:color w:val="auto"/>
          <w:highlight w:val="none"/>
        </w:rPr>
        <w:t>3.7 投标文件的编制</w:t>
      </w:r>
      <w:bookmarkEnd w:id="29"/>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3.7.2 投标文件应当对招标文件有关</w:t>
      </w:r>
      <w:r>
        <w:rPr>
          <w:rFonts w:hint="eastAsia" w:ascii="宋体" w:hAnsi="宋体" w:cs="宋体"/>
          <w:color w:val="auto"/>
          <w:szCs w:val="21"/>
          <w:highlight w:val="none"/>
        </w:rPr>
        <w:t>招标范围、投标有效期、工期、质量标准、招标人要求等实质性内容作出响应。</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3.7.3</w:t>
      </w:r>
      <w:r>
        <w:rPr>
          <w:rFonts w:hint="eastAsia" w:ascii="宋体" w:hAnsi="宋体" w:cs="宋体"/>
          <w:color w:val="auto"/>
          <w:szCs w:val="21"/>
          <w:highlight w:val="none"/>
          <w:u w:val="single"/>
        </w:rPr>
        <w:t>投标人采用单位数字证书，</w:t>
      </w:r>
      <w:r>
        <w:rPr>
          <w:rFonts w:hint="eastAsia" w:ascii="宋体" w:hAnsi="宋体" w:cs="宋体"/>
          <w:color w:val="auto"/>
          <w:szCs w:val="21"/>
          <w:highlight w:val="none"/>
          <w:u w:val="single"/>
          <w:lang w:val="en-US" w:eastAsia="zh-CN"/>
        </w:rPr>
        <w:t>对投标文件</w:t>
      </w:r>
      <w:r>
        <w:rPr>
          <w:rFonts w:hint="eastAsia" w:ascii="宋体" w:hAnsi="宋体" w:cs="宋体"/>
          <w:color w:val="auto"/>
          <w:szCs w:val="21"/>
          <w:highlight w:val="none"/>
          <w:u w:val="single"/>
        </w:rPr>
        <w:t>加盖电子印章。投标文件中需个人签字或盖章的，应加盖个人电子印章或在线下完成后扫描上传。按照交易平台关于全流程电子化项目的相关指南进行操作，联合体投标的，除投标文件中的联合体协议书需联合体各方盖章、签字外，投标文件其他内容中的“投标人”、</w:t>
      </w:r>
      <w:r>
        <w:rPr>
          <w:rFonts w:hint="eastAsia" w:ascii="宋体" w:hAnsi="宋体" w:cs="宋体"/>
          <w:color w:val="auto"/>
          <w:szCs w:val="21"/>
          <w:highlight w:val="none"/>
          <w:u w:val="single"/>
          <w:lang w:bidi="ar"/>
        </w:rPr>
        <w:t>“投标单位”、</w:t>
      </w:r>
      <w:r>
        <w:rPr>
          <w:rFonts w:hint="eastAsia" w:ascii="宋体" w:hAnsi="宋体" w:cs="宋体"/>
          <w:color w:val="auto"/>
          <w:szCs w:val="21"/>
          <w:highlight w:val="none"/>
          <w:u w:val="single"/>
        </w:rPr>
        <w:t>“声明企业”应填写联合体各方的单位全称</w:t>
      </w:r>
      <w:r>
        <w:rPr>
          <w:rFonts w:hint="eastAsia" w:ascii="宋体" w:hAnsi="宋体" w:cs="宋体"/>
          <w:color w:val="auto"/>
          <w:szCs w:val="21"/>
          <w:highlight w:val="none"/>
          <w:u w:val="single"/>
          <w:lang w:bidi="ar"/>
        </w:rPr>
        <w:t>【格式表示为：(主)XXXX公司,(成)XXXX公司】</w:t>
      </w:r>
      <w:r>
        <w:rPr>
          <w:rFonts w:hint="eastAsia" w:ascii="宋体" w:hAnsi="宋体" w:cs="宋体"/>
          <w:color w:val="auto"/>
          <w:szCs w:val="21"/>
          <w:highlight w:val="none"/>
          <w:u w:val="single"/>
        </w:rPr>
        <w:t>，但由主办方盖章、签字即可</w:t>
      </w:r>
      <w:r>
        <w:rPr>
          <w:rFonts w:hint="eastAsia" w:ascii="宋体" w:hAnsi="宋体" w:cs="宋体"/>
          <w:color w:val="auto"/>
          <w:szCs w:val="21"/>
          <w:highlight w:val="none"/>
        </w:rPr>
        <w:t>。</w:t>
      </w:r>
      <w:r>
        <w:rPr>
          <w:rFonts w:hint="eastAsia" w:ascii="宋体" w:hAnsi="宋体" w:cs="宋体"/>
          <w:color w:val="auto"/>
          <w:highlight w:val="none"/>
        </w:rPr>
        <w:t xml:space="preserve"> </w:t>
      </w:r>
    </w:p>
    <w:p>
      <w:pPr>
        <w:spacing w:line="400" w:lineRule="exact"/>
        <w:ind w:firstLine="420" w:firstLineChars="200"/>
        <w:rPr>
          <w:rFonts w:ascii="宋体" w:hAnsi="宋体" w:cs="宋体"/>
          <w:strike/>
          <w:color w:val="auto"/>
          <w:highlight w:val="none"/>
        </w:rPr>
      </w:pPr>
      <w:r>
        <w:rPr>
          <w:rFonts w:hint="eastAsia" w:ascii="宋体" w:hAnsi="宋体" w:cs="宋体"/>
          <w:strike/>
          <w:color w:val="auto"/>
          <w:highlight w:val="none"/>
        </w:rPr>
        <w:t>3.7.4 投标文件正本一份, 副本份数见投标人须知前附表。正本和副本的封面上应清楚地标记“正本”或“副本”的字样。当副本和正本不一致时，以正本为准。</w:t>
      </w:r>
    </w:p>
    <w:p>
      <w:pPr>
        <w:spacing w:line="400" w:lineRule="exact"/>
        <w:ind w:firstLine="420" w:firstLineChars="200"/>
        <w:rPr>
          <w:rFonts w:ascii="宋体" w:hAnsi="宋体" w:cs="宋体"/>
          <w:strike/>
          <w:color w:val="auto"/>
          <w:highlight w:val="none"/>
        </w:rPr>
      </w:pPr>
      <w:r>
        <w:rPr>
          <w:rFonts w:hint="eastAsia" w:ascii="宋体" w:hAnsi="宋体" w:cs="宋体"/>
          <w:strike/>
          <w:color w:val="auto"/>
          <w:highlight w:val="none"/>
        </w:rPr>
        <w:t>3.7.5 投标文件的正本与副本应分别装订成册，具体装订要求见投标人须知前附表规定。</w:t>
      </w:r>
    </w:p>
    <w:p>
      <w:pPr>
        <w:pStyle w:val="3"/>
        <w:rPr>
          <w:rFonts w:ascii="宋体" w:hAnsi="宋体" w:eastAsia="宋体" w:cs="宋体"/>
          <w:color w:val="auto"/>
          <w:highlight w:val="none"/>
        </w:rPr>
      </w:pPr>
      <w:bookmarkStart w:id="30" w:name="_Toc29291"/>
      <w:r>
        <w:rPr>
          <w:rFonts w:hint="eastAsia" w:ascii="宋体" w:hAnsi="宋体" w:eastAsia="宋体" w:cs="宋体"/>
          <w:color w:val="auto"/>
          <w:highlight w:val="none"/>
        </w:rPr>
        <w:t>4. 投标</w:t>
      </w:r>
      <w:bookmarkEnd w:id="30"/>
    </w:p>
    <w:p>
      <w:pPr>
        <w:pStyle w:val="4"/>
        <w:rPr>
          <w:rFonts w:ascii="宋体" w:eastAsia="宋体" w:cs="宋体"/>
          <w:color w:val="auto"/>
          <w:highlight w:val="none"/>
        </w:rPr>
      </w:pPr>
      <w:bookmarkStart w:id="31" w:name="_Toc15236"/>
      <w:r>
        <w:rPr>
          <w:rFonts w:hint="eastAsia" w:ascii="宋体" w:eastAsia="宋体" w:cs="宋体"/>
          <w:color w:val="auto"/>
          <w:highlight w:val="none"/>
        </w:rPr>
        <w:t>4.1 投标文件的密封和标记</w:t>
      </w:r>
      <w:bookmarkEnd w:id="3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4.1.1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当</w:t>
      </w:r>
      <w:r>
        <w:rPr>
          <w:rFonts w:hint="eastAsia" w:ascii="宋体" w:hAnsi="宋体" w:cs="宋体"/>
          <w:color w:val="auto"/>
          <w:spacing w:val="-2"/>
          <w:szCs w:val="21"/>
          <w:highlight w:val="none"/>
          <w:u w:val="single"/>
        </w:rPr>
        <w:t>按</w:t>
      </w:r>
      <w:r>
        <w:rPr>
          <w:rFonts w:hint="eastAsia" w:ascii="宋体" w:hAnsi="宋体" w:cs="宋体"/>
          <w:color w:val="auto"/>
          <w:szCs w:val="21"/>
          <w:highlight w:val="none"/>
          <w:u w:val="single"/>
        </w:rPr>
        <w:t>照招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和</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标交</w:t>
      </w:r>
      <w:r>
        <w:rPr>
          <w:rFonts w:hint="eastAsia" w:ascii="宋体" w:hAnsi="宋体" w:cs="宋体"/>
          <w:color w:val="auto"/>
          <w:spacing w:val="-2"/>
          <w:szCs w:val="21"/>
          <w:highlight w:val="none"/>
          <w:u w:val="single"/>
        </w:rPr>
        <w:t>易</w:t>
      </w:r>
      <w:r>
        <w:rPr>
          <w:rFonts w:hint="eastAsia" w:ascii="宋体" w:hAnsi="宋体" w:cs="宋体"/>
          <w:color w:val="auto"/>
          <w:szCs w:val="21"/>
          <w:highlight w:val="none"/>
          <w:u w:val="single"/>
        </w:rPr>
        <w:t>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要</w:t>
      </w:r>
      <w:r>
        <w:rPr>
          <w:rFonts w:hint="eastAsia" w:ascii="宋体" w:hAnsi="宋体" w:cs="宋体"/>
          <w:color w:val="auto"/>
          <w:szCs w:val="21"/>
          <w:highlight w:val="none"/>
          <w:u w:val="single"/>
        </w:rPr>
        <w:t>求</w:t>
      </w:r>
      <w:r>
        <w:rPr>
          <w:rFonts w:hint="eastAsia" w:ascii="宋体" w:hAnsi="宋体" w:cs="宋体"/>
          <w:color w:val="auto"/>
          <w:spacing w:val="-2"/>
          <w:szCs w:val="21"/>
          <w:highlight w:val="none"/>
          <w:u w:val="single"/>
        </w:rPr>
        <w:t>加</w:t>
      </w:r>
      <w:r>
        <w:rPr>
          <w:rFonts w:hint="eastAsia" w:ascii="宋体" w:hAnsi="宋体" w:cs="宋体"/>
          <w:color w:val="auto"/>
          <w:szCs w:val="21"/>
          <w:highlight w:val="none"/>
          <w:u w:val="single"/>
        </w:rPr>
        <w:t>密</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rPr>
        <w:t>具</w:t>
      </w:r>
      <w:r>
        <w:rPr>
          <w:rFonts w:hint="eastAsia" w:ascii="宋体" w:hAnsi="宋体" w:cs="宋体"/>
          <w:color w:val="auto"/>
          <w:szCs w:val="21"/>
          <w:highlight w:val="none"/>
          <w:u w:val="single"/>
        </w:rPr>
        <w:t>体操作详见《房屋建筑和市政基础设施工程全流程电子化项目专章》</w:t>
      </w:r>
      <w:r>
        <w:rPr>
          <w:rFonts w:hint="eastAsia" w:ascii="宋体" w:hAnsi="宋体" w:cs="宋体"/>
          <w:color w:val="auto"/>
          <w:highlight w:val="none"/>
        </w:rPr>
        <w:t>。</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4.1.2 投标文件封套上应写明的内容见投标人须知前附表。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4.1.3 未按本章第4.1.1项或第4.1.2项要求密封和加写标记的投标文件，招标人不予受理。</w:t>
      </w:r>
    </w:p>
    <w:p>
      <w:pPr>
        <w:pStyle w:val="4"/>
        <w:rPr>
          <w:rFonts w:ascii="宋体" w:eastAsia="宋体" w:cs="宋体"/>
          <w:color w:val="auto"/>
          <w:highlight w:val="none"/>
        </w:rPr>
      </w:pPr>
      <w:bookmarkStart w:id="32" w:name="_Toc32764"/>
      <w:r>
        <w:rPr>
          <w:rFonts w:hint="eastAsia" w:ascii="宋体" w:eastAsia="宋体" w:cs="宋体"/>
          <w:color w:val="auto"/>
          <w:highlight w:val="none"/>
        </w:rPr>
        <w:t>4.2 投标文件的递交</w:t>
      </w:r>
      <w:bookmarkEnd w:id="32"/>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4.2.1 投标人应在第2.2.2项规定的投标截止时间前递交投标文件。</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4.2.2 投标人递交投标文件的地点：见投标人须知前附表。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4.2.4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完</w:t>
      </w:r>
      <w:r>
        <w:rPr>
          <w:rFonts w:hint="eastAsia" w:ascii="宋体" w:hAnsi="宋体" w:cs="宋体"/>
          <w:color w:val="auto"/>
          <w:szCs w:val="21"/>
          <w:highlight w:val="none"/>
          <w:u w:val="single"/>
        </w:rPr>
        <w:t>成</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上</w:t>
      </w:r>
      <w:r>
        <w:rPr>
          <w:rFonts w:hint="eastAsia" w:ascii="宋体" w:hAnsi="宋体" w:cs="宋体"/>
          <w:color w:val="auto"/>
          <w:spacing w:val="-2"/>
          <w:szCs w:val="21"/>
          <w:highlight w:val="none"/>
          <w:u w:val="single"/>
        </w:rPr>
        <w:t>传</w:t>
      </w:r>
      <w:r>
        <w:rPr>
          <w:rFonts w:hint="eastAsia" w:ascii="宋体" w:hAnsi="宋体" w:cs="宋体"/>
          <w:color w:val="auto"/>
          <w:szCs w:val="21"/>
          <w:highlight w:val="none"/>
          <w:u w:val="single"/>
        </w:rPr>
        <w:t>后</w:t>
      </w:r>
      <w:r>
        <w:rPr>
          <w:rFonts w:hint="eastAsia" w:ascii="宋体" w:hAnsi="宋体" w:cs="宋体"/>
          <w:color w:val="auto"/>
          <w:spacing w:val="-5"/>
          <w:szCs w:val="21"/>
          <w:highlight w:val="none"/>
          <w:u w:val="single"/>
        </w:rPr>
        <w:t>，</w:t>
      </w:r>
      <w:r>
        <w:rPr>
          <w:rFonts w:hint="eastAsia" w:ascii="宋体" w:hAnsi="宋体" w:cs="宋体"/>
          <w:color w:val="auto"/>
          <w:szCs w:val="21"/>
          <w:highlight w:val="none"/>
          <w:u w:val="single"/>
        </w:rPr>
        <w:t>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即</w:t>
      </w:r>
      <w:r>
        <w:rPr>
          <w:rFonts w:hint="eastAsia" w:ascii="宋体" w:hAnsi="宋体" w:cs="宋体"/>
          <w:color w:val="auto"/>
          <w:szCs w:val="21"/>
          <w:highlight w:val="none"/>
          <w:u w:val="single"/>
        </w:rPr>
        <w:t>时</w:t>
      </w:r>
      <w:r>
        <w:rPr>
          <w:rFonts w:hint="eastAsia" w:ascii="宋体" w:hAnsi="宋体" w:cs="宋体"/>
          <w:color w:val="auto"/>
          <w:spacing w:val="-2"/>
          <w:szCs w:val="21"/>
          <w:highlight w:val="none"/>
          <w:u w:val="single"/>
        </w:rPr>
        <w:t>向</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递交回</w:t>
      </w:r>
      <w:r>
        <w:rPr>
          <w:rFonts w:hint="eastAsia" w:ascii="宋体" w:hAnsi="宋体" w:cs="宋体"/>
          <w:color w:val="auto"/>
          <w:spacing w:val="-2"/>
          <w:szCs w:val="21"/>
          <w:highlight w:val="none"/>
          <w:u w:val="single"/>
        </w:rPr>
        <w:t>执</w:t>
      </w:r>
      <w:r>
        <w:rPr>
          <w:rFonts w:hint="eastAsia" w:ascii="宋体" w:hAnsi="宋体" w:cs="宋体"/>
          <w:color w:val="auto"/>
          <w:szCs w:val="21"/>
          <w:highlight w:val="none"/>
          <w:u w:val="single"/>
        </w:rPr>
        <w:t>通</w:t>
      </w:r>
      <w:r>
        <w:rPr>
          <w:rFonts w:hint="eastAsia" w:ascii="宋体" w:hAnsi="宋体" w:cs="宋体"/>
          <w:color w:val="auto"/>
          <w:spacing w:val="-3"/>
          <w:szCs w:val="21"/>
          <w:highlight w:val="none"/>
          <w:u w:val="single"/>
        </w:rPr>
        <w:t>知</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递</w:t>
      </w:r>
      <w:r>
        <w:rPr>
          <w:rFonts w:hint="eastAsia" w:ascii="宋体" w:hAnsi="宋体" w:cs="宋体"/>
          <w:color w:val="auto"/>
          <w:szCs w:val="21"/>
          <w:highlight w:val="none"/>
          <w:u w:val="single"/>
        </w:rPr>
        <w:t>交</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以</w:t>
      </w:r>
      <w:r>
        <w:rPr>
          <w:rFonts w:hint="eastAsia" w:ascii="宋体" w:hAnsi="宋体" w:cs="宋体"/>
          <w:color w:val="auto"/>
          <w:szCs w:val="21"/>
          <w:highlight w:val="none"/>
          <w:u w:val="single"/>
        </w:rPr>
        <w:t>递交</w:t>
      </w:r>
      <w:r>
        <w:rPr>
          <w:rFonts w:hint="eastAsia" w:ascii="宋体" w:hAnsi="宋体" w:cs="宋体"/>
          <w:color w:val="auto"/>
          <w:spacing w:val="-2"/>
          <w:szCs w:val="21"/>
          <w:highlight w:val="none"/>
          <w:u w:val="single"/>
        </w:rPr>
        <w:t>回</w:t>
      </w:r>
      <w:r>
        <w:rPr>
          <w:rFonts w:hint="eastAsia" w:ascii="宋体" w:hAnsi="宋体" w:cs="宋体"/>
          <w:color w:val="auto"/>
          <w:szCs w:val="21"/>
          <w:highlight w:val="none"/>
          <w:u w:val="single"/>
        </w:rPr>
        <w:t>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载</w:t>
      </w:r>
      <w:r>
        <w:rPr>
          <w:rFonts w:hint="eastAsia" w:ascii="宋体" w:hAnsi="宋体" w:cs="宋体"/>
          <w:color w:val="auto"/>
          <w:szCs w:val="21"/>
          <w:highlight w:val="none"/>
          <w:u w:val="single"/>
        </w:rPr>
        <w:t>明</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传</w:t>
      </w:r>
      <w:r>
        <w:rPr>
          <w:rFonts w:hint="eastAsia" w:ascii="宋体" w:hAnsi="宋体" w:cs="宋体"/>
          <w:color w:val="auto"/>
          <w:spacing w:val="-2"/>
          <w:szCs w:val="21"/>
          <w:highlight w:val="none"/>
          <w:u w:val="single"/>
        </w:rPr>
        <w:t>输</w:t>
      </w:r>
      <w:r>
        <w:rPr>
          <w:rFonts w:hint="eastAsia" w:ascii="宋体" w:hAnsi="宋体" w:cs="宋体"/>
          <w:color w:val="auto"/>
          <w:szCs w:val="21"/>
          <w:highlight w:val="none"/>
          <w:u w:val="single"/>
        </w:rPr>
        <w:t>完成</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为</w:t>
      </w:r>
      <w:r>
        <w:rPr>
          <w:rFonts w:hint="eastAsia" w:ascii="宋体" w:hAnsi="宋体" w:cs="宋体"/>
          <w:color w:val="auto"/>
          <w:szCs w:val="21"/>
          <w:highlight w:val="none"/>
          <w:u w:val="single"/>
        </w:rPr>
        <w:t>准</w:t>
      </w:r>
      <w:r>
        <w:rPr>
          <w:rFonts w:hint="eastAsia" w:ascii="宋体" w:hAnsi="宋体" w:cs="宋体"/>
          <w:color w:val="auto"/>
          <w:highlight w:val="none"/>
        </w:rPr>
        <w:t>。</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4.2.5 </w:t>
      </w:r>
      <w:r>
        <w:rPr>
          <w:rFonts w:hint="eastAsia" w:ascii="宋体" w:hAnsi="宋体" w:cs="宋体"/>
          <w:color w:val="auto"/>
          <w:spacing w:val="-2"/>
          <w:szCs w:val="21"/>
          <w:highlight w:val="none"/>
          <w:u w:val="single"/>
        </w:rPr>
        <w:t>逾</w:t>
      </w:r>
      <w:r>
        <w:rPr>
          <w:rFonts w:hint="eastAsia" w:ascii="宋体" w:hAnsi="宋体" w:cs="宋体"/>
          <w:color w:val="auto"/>
          <w:szCs w:val="21"/>
          <w:highlight w:val="none"/>
          <w:u w:val="single"/>
        </w:rPr>
        <w:t>期</w:t>
      </w:r>
      <w:r>
        <w:rPr>
          <w:rFonts w:hint="eastAsia" w:ascii="宋体" w:hAnsi="宋体" w:cs="宋体"/>
          <w:color w:val="auto"/>
          <w:spacing w:val="-2"/>
          <w:szCs w:val="21"/>
          <w:highlight w:val="none"/>
          <w:u w:val="single"/>
        </w:rPr>
        <w:t>送</w:t>
      </w:r>
      <w:r>
        <w:rPr>
          <w:rFonts w:hint="eastAsia" w:ascii="宋体" w:hAnsi="宋体" w:cs="宋体"/>
          <w:color w:val="auto"/>
          <w:szCs w:val="21"/>
          <w:highlight w:val="none"/>
          <w:u w:val="single"/>
        </w:rPr>
        <w:t>达</w:t>
      </w:r>
      <w:r>
        <w:rPr>
          <w:rFonts w:hint="eastAsia" w:ascii="宋体" w:hAnsi="宋体" w:cs="宋体"/>
          <w:color w:val="auto"/>
          <w:spacing w:val="-2"/>
          <w:szCs w:val="21"/>
          <w:highlight w:val="none"/>
          <w:u w:val="single"/>
        </w:rPr>
        <w:t>的投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将</w:t>
      </w:r>
      <w:r>
        <w:rPr>
          <w:rFonts w:hint="eastAsia" w:ascii="宋体" w:hAnsi="宋体" w:cs="宋体"/>
          <w:color w:val="auto"/>
          <w:spacing w:val="-2"/>
          <w:szCs w:val="21"/>
          <w:highlight w:val="none"/>
          <w:u w:val="single"/>
        </w:rPr>
        <w:t>予</w:t>
      </w:r>
      <w:r>
        <w:rPr>
          <w:rFonts w:hint="eastAsia" w:ascii="宋体" w:hAnsi="宋体" w:cs="宋体"/>
          <w:color w:val="auto"/>
          <w:szCs w:val="21"/>
          <w:highlight w:val="none"/>
          <w:u w:val="single"/>
        </w:rPr>
        <w:t>以</w:t>
      </w:r>
      <w:r>
        <w:rPr>
          <w:rFonts w:hint="eastAsia" w:ascii="宋体" w:hAnsi="宋体" w:cs="宋体"/>
          <w:color w:val="auto"/>
          <w:spacing w:val="-2"/>
          <w:szCs w:val="21"/>
          <w:highlight w:val="none"/>
          <w:u w:val="single"/>
        </w:rPr>
        <w:t>拒</w:t>
      </w:r>
      <w:r>
        <w:rPr>
          <w:rFonts w:hint="eastAsia" w:ascii="宋体" w:hAnsi="宋体" w:cs="宋体"/>
          <w:color w:val="auto"/>
          <w:szCs w:val="21"/>
          <w:highlight w:val="none"/>
          <w:u w:val="single"/>
        </w:rPr>
        <w:t>收</w:t>
      </w:r>
      <w:r>
        <w:rPr>
          <w:rFonts w:hint="eastAsia" w:ascii="宋体" w:hAnsi="宋体" w:cs="宋体"/>
          <w:color w:val="auto"/>
          <w:highlight w:val="none"/>
        </w:rPr>
        <w:t>。</w:t>
      </w:r>
    </w:p>
    <w:p>
      <w:pPr>
        <w:pStyle w:val="4"/>
        <w:rPr>
          <w:rFonts w:ascii="宋体" w:eastAsia="宋体" w:cs="宋体"/>
          <w:color w:val="auto"/>
          <w:highlight w:val="none"/>
        </w:rPr>
      </w:pPr>
      <w:bookmarkStart w:id="33" w:name="_Toc20030"/>
      <w:r>
        <w:rPr>
          <w:rFonts w:hint="eastAsia" w:ascii="宋体" w:eastAsia="宋体" w:cs="宋体"/>
          <w:color w:val="auto"/>
          <w:highlight w:val="none"/>
        </w:rPr>
        <w:t>4.3 投标文件的修改与撤回</w:t>
      </w:r>
      <w:bookmarkEnd w:id="33"/>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4.3.1 在本章第2.2.2项规定的投标截止时间前，投标人可以修改或撤回已递交的投标文件，但应以书面形式通知招标人。</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4.3.2 </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修</w:t>
      </w:r>
      <w:r>
        <w:rPr>
          <w:rFonts w:hint="eastAsia" w:ascii="宋体" w:hAnsi="宋体" w:cs="宋体"/>
          <w:color w:val="auto"/>
          <w:spacing w:val="-2"/>
          <w:szCs w:val="21"/>
          <w:highlight w:val="none"/>
          <w:u w:val="single"/>
        </w:rPr>
        <w:t>改或</w:t>
      </w:r>
      <w:r>
        <w:rPr>
          <w:rFonts w:hint="eastAsia" w:ascii="宋体" w:hAnsi="宋体" w:cs="宋体"/>
          <w:color w:val="auto"/>
          <w:szCs w:val="21"/>
          <w:highlight w:val="none"/>
          <w:u w:val="single"/>
        </w:rPr>
        <w:t>撤回</w:t>
      </w:r>
      <w:r>
        <w:rPr>
          <w:rFonts w:hint="eastAsia" w:ascii="宋体" w:hAnsi="宋体" w:cs="宋体"/>
          <w:color w:val="auto"/>
          <w:spacing w:val="-2"/>
          <w:szCs w:val="21"/>
          <w:highlight w:val="none"/>
          <w:u w:val="single"/>
        </w:rPr>
        <w:t>已</w:t>
      </w:r>
      <w:r>
        <w:rPr>
          <w:rFonts w:hint="eastAsia" w:ascii="宋体" w:hAnsi="宋体" w:cs="宋体"/>
          <w:color w:val="auto"/>
          <w:szCs w:val="21"/>
          <w:highlight w:val="none"/>
          <w:u w:val="single"/>
        </w:rPr>
        <w:t>递</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按</w:t>
      </w:r>
      <w:r>
        <w:rPr>
          <w:rFonts w:hint="eastAsia" w:ascii="宋体" w:hAnsi="宋体" w:cs="宋体"/>
          <w:color w:val="auto"/>
          <w:spacing w:val="-2"/>
          <w:szCs w:val="21"/>
          <w:highlight w:val="none"/>
          <w:u w:val="single"/>
        </w:rPr>
        <w:t>照</w:t>
      </w:r>
      <w:r>
        <w:rPr>
          <w:rFonts w:hint="eastAsia" w:ascii="宋体" w:hAnsi="宋体" w:cs="宋体"/>
          <w:color w:val="auto"/>
          <w:szCs w:val="21"/>
          <w:highlight w:val="none"/>
          <w:u w:val="single"/>
        </w:rPr>
        <w:t>本</w:t>
      </w:r>
      <w:r>
        <w:rPr>
          <w:rFonts w:hint="eastAsia" w:ascii="宋体" w:hAnsi="宋体" w:cs="宋体"/>
          <w:color w:val="auto"/>
          <w:spacing w:val="-2"/>
          <w:szCs w:val="21"/>
          <w:highlight w:val="none"/>
          <w:u w:val="single"/>
        </w:rPr>
        <w:t>章</w:t>
      </w:r>
      <w:r>
        <w:rPr>
          <w:rFonts w:hint="eastAsia" w:ascii="宋体" w:hAnsi="宋体" w:cs="宋体"/>
          <w:color w:val="auto"/>
          <w:szCs w:val="21"/>
          <w:highlight w:val="none"/>
          <w:u w:val="single"/>
        </w:rPr>
        <w:t>第</w:t>
      </w:r>
      <w:r>
        <w:rPr>
          <w:rFonts w:hint="eastAsia" w:ascii="宋体" w:hAnsi="宋体" w:cs="宋体"/>
          <w:color w:val="auto"/>
          <w:spacing w:val="12"/>
          <w:szCs w:val="21"/>
          <w:highlight w:val="none"/>
          <w:u w:val="single"/>
        </w:rPr>
        <w:t xml:space="preserve"> </w:t>
      </w:r>
      <w:r>
        <w:rPr>
          <w:rFonts w:hint="eastAsia" w:ascii="宋体" w:hAnsi="宋体" w:cs="宋体"/>
          <w:color w:val="auto"/>
          <w:szCs w:val="21"/>
          <w:highlight w:val="none"/>
          <w:u w:val="single"/>
        </w:rPr>
        <w:t>3</w:t>
      </w:r>
      <w:r>
        <w:rPr>
          <w:rFonts w:hint="eastAsia" w:ascii="宋体" w:hAnsi="宋体" w:cs="宋体"/>
          <w:color w:val="auto"/>
          <w:spacing w:val="-2"/>
          <w:szCs w:val="21"/>
          <w:highlight w:val="none"/>
          <w:u w:val="single"/>
        </w:rPr>
        <w:t>.</w:t>
      </w:r>
      <w:r>
        <w:rPr>
          <w:rFonts w:hint="eastAsia" w:ascii="宋体" w:hAnsi="宋体" w:cs="宋体"/>
          <w:color w:val="auto"/>
          <w:szCs w:val="21"/>
          <w:highlight w:val="none"/>
          <w:u w:val="single"/>
        </w:rPr>
        <w:t>7.3项</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要求加盖</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印</w:t>
      </w:r>
      <w:r>
        <w:rPr>
          <w:rFonts w:hint="eastAsia" w:ascii="宋体" w:hAnsi="宋体" w:cs="宋体"/>
          <w:color w:val="auto"/>
          <w:szCs w:val="21"/>
          <w:highlight w:val="none"/>
          <w:u w:val="single"/>
        </w:rPr>
        <w:t>章</w:t>
      </w:r>
      <w:r>
        <w:rPr>
          <w:rFonts w:hint="eastAsia" w:ascii="宋体" w:hAnsi="宋体" w:cs="宋体"/>
          <w:color w:val="auto"/>
          <w:spacing w:val="-3"/>
          <w:szCs w:val="21"/>
          <w:highlight w:val="none"/>
          <w:u w:val="single"/>
        </w:rPr>
        <w:t>。</w:t>
      </w:r>
      <w:r>
        <w:rPr>
          <w:rFonts w:hint="eastAsia" w:ascii="宋体" w:hAnsi="宋体" w:cs="宋体"/>
          <w:color w:val="auto"/>
          <w:szCs w:val="21"/>
          <w:highlight w:val="none"/>
          <w:u w:val="single"/>
        </w:rPr>
        <w:t>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收</w:t>
      </w:r>
      <w:r>
        <w:rPr>
          <w:rFonts w:hint="eastAsia" w:ascii="宋体" w:hAnsi="宋体" w:cs="宋体"/>
          <w:color w:val="auto"/>
          <w:szCs w:val="21"/>
          <w:highlight w:val="none"/>
          <w:u w:val="single"/>
        </w:rPr>
        <w:t>到</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后</w:t>
      </w:r>
      <w:r>
        <w:rPr>
          <w:rFonts w:hint="eastAsia" w:ascii="宋体" w:hAnsi="宋体" w:cs="宋体"/>
          <w:color w:val="auto"/>
          <w:szCs w:val="21"/>
          <w:highlight w:val="none"/>
          <w:u w:val="single"/>
        </w:rPr>
        <w:t>，即</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向</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确</w:t>
      </w:r>
      <w:r>
        <w:rPr>
          <w:rFonts w:hint="eastAsia" w:ascii="宋体" w:hAnsi="宋体" w:cs="宋体"/>
          <w:color w:val="auto"/>
          <w:spacing w:val="-2"/>
          <w:szCs w:val="21"/>
          <w:highlight w:val="none"/>
          <w:u w:val="single"/>
        </w:rPr>
        <w:t>认</w:t>
      </w:r>
      <w:r>
        <w:rPr>
          <w:rFonts w:hint="eastAsia" w:ascii="宋体" w:hAnsi="宋体" w:cs="宋体"/>
          <w:color w:val="auto"/>
          <w:szCs w:val="21"/>
          <w:highlight w:val="none"/>
          <w:u w:val="single"/>
        </w:rPr>
        <w:t>回执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highlight w:val="none"/>
        </w:rPr>
        <w:t>。</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4.3.3 投标人撤回投标文件的，招标人自收到投标人书面撤回通知之日起5日内退还已收取的投标保证金。</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4.3.4 修改的内容为投标文件的组成部分。修改的投标文件应按照本章第3条、第4条规定进行编制、密封、标记和递交，并标明“修改”字样。</w:t>
      </w:r>
    </w:p>
    <w:p>
      <w:pPr>
        <w:pStyle w:val="3"/>
        <w:rPr>
          <w:rFonts w:ascii="宋体" w:hAnsi="宋体" w:eastAsia="宋体" w:cs="宋体"/>
          <w:color w:val="auto"/>
          <w:highlight w:val="none"/>
        </w:rPr>
      </w:pPr>
      <w:bookmarkStart w:id="34" w:name="_Toc24489"/>
      <w:r>
        <w:rPr>
          <w:rFonts w:hint="eastAsia" w:ascii="宋体" w:hAnsi="宋体" w:eastAsia="宋体" w:cs="宋体"/>
          <w:color w:val="auto"/>
          <w:highlight w:val="none"/>
        </w:rPr>
        <w:t>5. 开标</w:t>
      </w:r>
      <w:bookmarkEnd w:id="34"/>
    </w:p>
    <w:p>
      <w:pPr>
        <w:pStyle w:val="4"/>
        <w:rPr>
          <w:rFonts w:ascii="宋体" w:eastAsia="宋体" w:cs="宋体"/>
          <w:color w:val="auto"/>
          <w:highlight w:val="none"/>
        </w:rPr>
      </w:pPr>
      <w:bookmarkStart w:id="35" w:name="_Toc2371"/>
      <w:r>
        <w:rPr>
          <w:rFonts w:hint="eastAsia" w:ascii="宋体" w:eastAsia="宋体" w:cs="宋体"/>
          <w:color w:val="auto"/>
          <w:highlight w:val="none"/>
        </w:rPr>
        <w:t>5.1 开标时间和地点</w:t>
      </w:r>
      <w:bookmarkEnd w:id="35"/>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招标人在本章第2.2.2项规定的投标截止时间（开标时间）和投标人须知前附表规定的地点公开开标，并邀请所有投标人的法定代表人或其委托代理人准时参加。</w:t>
      </w:r>
    </w:p>
    <w:p>
      <w:pPr>
        <w:pStyle w:val="4"/>
        <w:rPr>
          <w:rFonts w:ascii="宋体" w:eastAsia="宋体" w:cs="宋体"/>
          <w:color w:val="auto"/>
          <w:highlight w:val="none"/>
        </w:rPr>
      </w:pPr>
      <w:bookmarkStart w:id="36" w:name="_Toc15255"/>
      <w:r>
        <w:rPr>
          <w:rFonts w:hint="eastAsia" w:ascii="宋体" w:eastAsia="宋体" w:cs="宋体"/>
          <w:color w:val="auto"/>
          <w:highlight w:val="none"/>
        </w:rPr>
        <w:t>5.2 开标程序</w:t>
      </w:r>
      <w:bookmarkEnd w:id="36"/>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主持人按下列程序进行开标：</w:t>
      </w:r>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（1）宣布开标纪律；</w:t>
      </w:r>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（2）公布在投标截止时间前递交投标文件的投标人名称；</w:t>
      </w:r>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（4）解密完成后，公布：a投标人名称；b投标文件递交情况；c投标文件解密情况；d投标担保递交情况；e项目负责人(兼施工负责人)、设计负责人、</w:t>
      </w:r>
      <w:r>
        <w:rPr>
          <w:rFonts w:hint="eastAsia" w:ascii="新宋体" w:hAnsi="新宋体" w:eastAsia="新宋体" w:cs="新宋体"/>
          <w:strike/>
          <w:color w:val="auto"/>
          <w:szCs w:val="21"/>
          <w:highlight w:val="none"/>
          <w:u w:val="single"/>
        </w:rPr>
        <w:t>施工负责人、</w:t>
      </w:r>
      <w:r>
        <w:rPr>
          <w:rFonts w:hint="eastAsia" w:ascii="新宋体" w:hAnsi="新宋体" w:eastAsia="新宋体" w:cs="新宋体"/>
          <w:color w:val="auto"/>
          <w:szCs w:val="21"/>
          <w:highlight w:val="none"/>
          <w:u w:val="single"/>
        </w:rPr>
        <w:t>专职安全员；f投标报价；g工期；h质量标准；i投标人的加密打包投标文件电脑机器特征码等主要内容，并记录在案。未在规定时间内解密的投标文件不参与开标、评标。</w:t>
      </w:r>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（5）截标后，开标开始时间因故推迟的，相关评标信息仍以原定的开标开始时间的信息为准。</w:t>
      </w:r>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（6）备用光盘的读取按“10 电子招标投标”第6点的规定执行。</w:t>
      </w:r>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（9）投标人未参加开标或在规定的时间内未提出异议的，视为对开标无异议。</w:t>
      </w:r>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（10）开标时，本项目两个（含两个）以上的投标人加密打包投标文件电脑机器特征码一致的，不参与下一程序，并由评标委员会否决其投标。</w:t>
      </w:r>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（11）投标人未参加开标或在规定的时间内未提出异议的，视为对开标无异议。</w:t>
      </w:r>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（12）投标人代表、招标人代表、监标人、记录人等有关人员在开标记录上签字确认；若有关人员不签字的，不影响开标程序；</w:t>
      </w:r>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(13)设计方案(暗标)开标时不得开启，在评标时由交易平台随机编号后开启，交由评标委员会进行评审。编号所对应的投标人在设计方案评审结束前不得告知评标委员会、交易平台工作人员、招标人或招标代理机构。</w:t>
      </w:r>
    </w:p>
    <w:p>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（14）开标结束。</w:t>
      </w:r>
    </w:p>
    <w:p>
      <w:pPr>
        <w:pStyle w:val="4"/>
        <w:rPr>
          <w:rFonts w:ascii="宋体" w:eastAsia="宋体" w:cs="宋体"/>
          <w:color w:val="auto"/>
          <w:highlight w:val="none"/>
        </w:rPr>
      </w:pPr>
      <w:bookmarkStart w:id="37" w:name="_Toc32040"/>
      <w:r>
        <w:rPr>
          <w:rFonts w:hint="eastAsia" w:ascii="宋体" w:eastAsia="宋体" w:cs="宋体"/>
          <w:color w:val="auto"/>
          <w:highlight w:val="none"/>
        </w:rPr>
        <w:t>5.3 开标异议</w:t>
      </w:r>
      <w:bookmarkEnd w:id="37"/>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投标人对开标有异议的，应当在</w:t>
      </w:r>
      <w:r>
        <w:rPr>
          <w:rFonts w:hint="eastAsia" w:ascii="宋体" w:hAnsi="宋体" w:cs="宋体"/>
          <w:color w:val="auto"/>
          <w:highlight w:val="none"/>
          <w:u w:val="single"/>
        </w:rPr>
        <w:t>交易平台规定的时间内</w:t>
      </w:r>
      <w:r>
        <w:rPr>
          <w:rFonts w:hint="eastAsia" w:ascii="宋体" w:hAnsi="宋体" w:cs="宋体"/>
          <w:color w:val="auto"/>
          <w:highlight w:val="none"/>
        </w:rPr>
        <w:t>提出，招标人当场作出答复，并制作记录。</w:t>
      </w:r>
    </w:p>
    <w:p>
      <w:pPr>
        <w:spacing w:line="400" w:lineRule="exact"/>
        <w:ind w:firstLine="359" w:firstLineChars="171"/>
        <w:rPr>
          <w:rFonts w:ascii="宋体" w:hAnsi="宋体" w:cs="宋体"/>
          <w:color w:val="auto"/>
          <w:highlight w:val="none"/>
        </w:rPr>
      </w:pPr>
    </w:p>
    <w:p>
      <w:pPr>
        <w:numPr>
          <w:ilvl w:val="0"/>
          <w:numId w:val="2"/>
        </w:numPr>
        <w:spacing w:line="400" w:lineRule="exact"/>
        <w:ind w:firstLine="478" w:firstLineChars="171"/>
        <w:rPr>
          <w:rFonts w:ascii="宋体" w:hAnsi="宋体" w:cs="宋体"/>
          <w:bCs/>
          <w:color w:val="auto"/>
          <w:sz w:val="28"/>
          <w:szCs w:val="28"/>
          <w:highlight w:val="none"/>
        </w:rPr>
      </w:pPr>
      <w:r>
        <w:rPr>
          <w:rFonts w:hint="eastAsia" w:ascii="宋体" w:hAnsi="宋体" w:cs="宋体"/>
          <w:bCs/>
          <w:color w:val="auto"/>
          <w:sz w:val="28"/>
          <w:szCs w:val="28"/>
          <w:highlight w:val="none"/>
        </w:rPr>
        <w:t>评标</w:t>
      </w:r>
    </w:p>
    <w:p>
      <w:pPr>
        <w:spacing w:line="400" w:lineRule="exact"/>
        <w:rPr>
          <w:rFonts w:ascii="宋体" w:hAnsi="宋体" w:cs="宋体"/>
          <w:color w:val="auto"/>
          <w:highlight w:val="none"/>
        </w:rPr>
      </w:pP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6.1 评标委员会</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6.1.2 评标委员会成员有下列情形之一的，应当回避：</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（1）投标人或投标人主要负责人的近亲属；</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（2）项目主管部门或者行政监督部门的人员；</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（3）与投标人有经济利益关系，可能影响对投标公正评审的；</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（4）曾因在招标、评标以及其他与招标投标有关活动中从事违法行为而受过行政处罚或刑事处罚的；</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（5）与投标人有其他利害关系。</w:t>
      </w:r>
    </w:p>
    <w:p>
      <w:pPr>
        <w:pStyle w:val="35"/>
        <w:rPr>
          <w:rFonts w:ascii="宋体" w:hAnsi="宋体" w:cs="宋体"/>
          <w:color w:val="auto"/>
          <w:highlight w:val="none"/>
          <w:u w:val="single"/>
        </w:rPr>
      </w:pPr>
      <w:r>
        <w:rPr>
          <w:rFonts w:hint="eastAsia" w:ascii="宋体" w:hAnsi="宋体" w:cs="宋体"/>
          <w:color w:val="auto"/>
          <w:highlight w:val="none"/>
          <w:u w:val="single"/>
        </w:rPr>
        <w:t>6.1.3 评标过程中，评标委员会成员有回避事由、擅离职守或者因健康等原因不能继续评标的，招标人有权更换。被更换的评标委员会成员作出的评审结论无效，由更换后的评标委员会 成员重新进行评审。</w:t>
      </w:r>
    </w:p>
    <w:p>
      <w:pPr>
        <w:pStyle w:val="4"/>
        <w:rPr>
          <w:rFonts w:ascii="宋体" w:eastAsia="宋体" w:cs="宋体"/>
          <w:color w:val="auto"/>
          <w:highlight w:val="none"/>
        </w:rPr>
      </w:pPr>
      <w:bookmarkStart w:id="38" w:name="_Toc15612"/>
      <w:r>
        <w:rPr>
          <w:rFonts w:hint="eastAsia" w:ascii="宋体" w:eastAsia="宋体" w:cs="宋体"/>
          <w:color w:val="auto"/>
          <w:highlight w:val="none"/>
        </w:rPr>
        <w:t>6.2 评标原则</w:t>
      </w:r>
      <w:bookmarkEnd w:id="38"/>
      <w:r>
        <w:rPr>
          <w:rFonts w:hint="eastAsia" w:ascii="宋体" w:eastAsia="宋体" w:cs="宋体"/>
          <w:color w:val="auto"/>
          <w:highlight w:val="none"/>
        </w:rPr>
        <w:tab/>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评标活动遵循公平、公正、科学和择优的原则。</w:t>
      </w:r>
    </w:p>
    <w:p>
      <w:pPr>
        <w:pStyle w:val="4"/>
        <w:rPr>
          <w:rFonts w:ascii="宋体" w:eastAsia="宋体" w:cs="宋体"/>
          <w:color w:val="auto"/>
          <w:highlight w:val="none"/>
        </w:rPr>
      </w:pPr>
      <w:bookmarkStart w:id="39" w:name="_Toc1372"/>
      <w:r>
        <w:rPr>
          <w:rFonts w:hint="eastAsia" w:ascii="宋体" w:eastAsia="宋体" w:cs="宋体"/>
          <w:color w:val="auto"/>
          <w:highlight w:val="none"/>
        </w:rPr>
        <w:t>6.3 评标</w:t>
      </w:r>
      <w:bookmarkEnd w:id="39"/>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6.3.1评标委员会按照第三章“评标办法”规定的方法、评审因素、标准和程序对投标文件进行评审。第三章“评标办法”没有规定的方法、评审因素和标准，不作为评标依据。</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6.3.2评标完成后，评标委员会应当向招标人提交书面评标报告和中标候选人名单。评标委 员会推荐中标候选人的人数见投标人须知前附表。</w:t>
      </w:r>
    </w:p>
    <w:p>
      <w:pPr>
        <w:spacing w:line="400" w:lineRule="exact"/>
        <w:ind w:firstLine="420" w:firstLineChars="200"/>
        <w:rPr>
          <w:rFonts w:ascii="宋体" w:hAnsi="宋体" w:cs="宋体"/>
          <w:color w:val="auto"/>
          <w:highlight w:val="none"/>
        </w:rPr>
      </w:pPr>
    </w:p>
    <w:p>
      <w:pPr>
        <w:pStyle w:val="3"/>
        <w:rPr>
          <w:rFonts w:ascii="宋体" w:hAnsi="宋体" w:eastAsia="宋体" w:cs="宋体"/>
          <w:color w:val="auto"/>
          <w:highlight w:val="none"/>
        </w:rPr>
      </w:pPr>
      <w:bookmarkStart w:id="40" w:name="_Toc5207"/>
      <w:r>
        <w:rPr>
          <w:rFonts w:hint="eastAsia" w:ascii="宋体" w:hAnsi="宋体" w:eastAsia="宋体" w:cs="宋体"/>
          <w:color w:val="auto"/>
          <w:highlight w:val="none"/>
        </w:rPr>
        <w:t>7. 合同授予</w:t>
      </w:r>
      <w:bookmarkEnd w:id="40"/>
    </w:p>
    <w:p>
      <w:pPr>
        <w:pStyle w:val="4"/>
        <w:rPr>
          <w:rFonts w:ascii="宋体" w:eastAsia="宋体" w:cs="宋体"/>
          <w:color w:val="auto"/>
          <w:highlight w:val="none"/>
        </w:rPr>
      </w:pPr>
      <w:bookmarkStart w:id="41" w:name="_Toc28674"/>
      <w:r>
        <w:rPr>
          <w:rFonts w:hint="eastAsia" w:ascii="宋体" w:eastAsia="宋体" w:cs="宋体"/>
          <w:color w:val="auto"/>
          <w:highlight w:val="none"/>
        </w:rPr>
        <w:t>7.1 定标方式</w:t>
      </w:r>
      <w:bookmarkEnd w:id="4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除投标人须知前附表规定评标委员会直接确定中标人外，招标人依据评标委员会推荐的中标候选人确定中标人，评标委员会推荐中标候选人的人数见投标人须知前附表。</w:t>
      </w:r>
    </w:p>
    <w:p>
      <w:pPr>
        <w:pStyle w:val="4"/>
        <w:rPr>
          <w:rFonts w:ascii="宋体" w:eastAsia="宋体" w:cs="宋体"/>
          <w:color w:val="auto"/>
          <w:highlight w:val="none"/>
        </w:rPr>
      </w:pPr>
      <w:bookmarkStart w:id="42" w:name="_Toc16473"/>
      <w:r>
        <w:rPr>
          <w:rFonts w:hint="eastAsia" w:ascii="宋体" w:eastAsia="宋体" w:cs="宋体"/>
          <w:color w:val="auto"/>
          <w:highlight w:val="none"/>
        </w:rPr>
        <w:t>7.2 中标候选人公示</w:t>
      </w:r>
      <w:bookmarkEnd w:id="42"/>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招标人在投标人须知前附表规定的媒介公示中标候选人。</w:t>
      </w:r>
    </w:p>
    <w:p>
      <w:pPr>
        <w:pStyle w:val="4"/>
        <w:rPr>
          <w:rFonts w:ascii="宋体" w:eastAsia="宋体" w:cs="宋体"/>
          <w:color w:val="auto"/>
          <w:highlight w:val="none"/>
        </w:rPr>
      </w:pPr>
      <w:bookmarkStart w:id="43" w:name="_Toc28094"/>
      <w:r>
        <w:rPr>
          <w:rFonts w:hint="eastAsia" w:ascii="宋体" w:eastAsia="宋体" w:cs="宋体"/>
          <w:color w:val="auto"/>
          <w:highlight w:val="none"/>
        </w:rPr>
        <w:t>7.3 中标通知</w:t>
      </w:r>
      <w:bookmarkEnd w:id="43"/>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在本章第3.3款规定的投标有效期内，招标人以书面形式向中标人发出中标通知书，同时将中标结果通知未中标的投标人。中标通知书按本章附表格式填写。</w:t>
      </w:r>
    </w:p>
    <w:p>
      <w:pPr>
        <w:pStyle w:val="4"/>
        <w:rPr>
          <w:rFonts w:ascii="宋体" w:eastAsia="宋体" w:cs="宋体"/>
          <w:color w:val="auto"/>
          <w:highlight w:val="none"/>
        </w:rPr>
      </w:pPr>
      <w:bookmarkStart w:id="44" w:name="_Toc28928"/>
      <w:r>
        <w:rPr>
          <w:rFonts w:hint="eastAsia" w:ascii="宋体" w:eastAsia="宋体" w:cs="宋体"/>
          <w:color w:val="auto"/>
          <w:highlight w:val="none"/>
        </w:rPr>
        <w:t>7.4 履约担保</w:t>
      </w:r>
      <w:bookmarkEnd w:id="44"/>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主办人的名义提交。</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7.4.2 中标人不能按本章第7.4.1项要求提交履约担保的，视为放弃中标，其投标保证金不予退还，给招标人造成的损失超过投标保证金数额的，中标人还应当对超过部分予以赔偿。</w:t>
      </w:r>
    </w:p>
    <w:p>
      <w:pPr>
        <w:pStyle w:val="4"/>
        <w:rPr>
          <w:rFonts w:ascii="宋体" w:eastAsia="宋体" w:cs="宋体"/>
          <w:color w:val="auto"/>
          <w:highlight w:val="none"/>
        </w:rPr>
      </w:pPr>
      <w:bookmarkStart w:id="45" w:name="_Toc20691"/>
      <w:r>
        <w:rPr>
          <w:rFonts w:hint="eastAsia" w:ascii="宋体" w:eastAsia="宋体" w:cs="宋体"/>
          <w:color w:val="auto"/>
          <w:highlight w:val="none"/>
        </w:rPr>
        <w:t>7.5 签订合同</w:t>
      </w:r>
      <w:bookmarkEnd w:id="45"/>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7.5.2 发出中标通知书后，招标人无正当理由拒签合同的，招标人向中标人退还投标保证金；给中标人造成损失的，还应当赔偿损失。 </w:t>
      </w:r>
    </w:p>
    <w:p>
      <w:pPr>
        <w:pStyle w:val="3"/>
        <w:rPr>
          <w:rFonts w:ascii="宋体" w:hAnsi="宋体" w:eastAsia="宋体" w:cs="宋体"/>
          <w:color w:val="auto"/>
          <w:highlight w:val="none"/>
        </w:rPr>
      </w:pPr>
      <w:bookmarkStart w:id="46" w:name="_Toc4287"/>
      <w:r>
        <w:rPr>
          <w:rFonts w:hint="eastAsia" w:ascii="宋体" w:hAnsi="宋体" w:eastAsia="宋体" w:cs="宋体"/>
          <w:color w:val="auto"/>
          <w:highlight w:val="none"/>
        </w:rPr>
        <w:t>8. 纪律和监督</w:t>
      </w:r>
      <w:bookmarkEnd w:id="46"/>
    </w:p>
    <w:p>
      <w:pPr>
        <w:pStyle w:val="4"/>
        <w:rPr>
          <w:rFonts w:ascii="宋体" w:eastAsia="宋体" w:cs="宋体"/>
          <w:color w:val="auto"/>
          <w:highlight w:val="none"/>
        </w:rPr>
      </w:pPr>
      <w:bookmarkStart w:id="47" w:name="_Toc7745"/>
      <w:r>
        <w:rPr>
          <w:rFonts w:hint="eastAsia" w:ascii="宋体" w:eastAsia="宋体" w:cs="宋体"/>
          <w:color w:val="auto"/>
          <w:highlight w:val="none"/>
        </w:rPr>
        <w:t>8.1 对招标人的纪律要求</w:t>
      </w:r>
      <w:bookmarkEnd w:id="47"/>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招标人不得泄漏招标投标活动中应当保密的情况和资料，不得与投标人串通损害国家利益、社会公共利益或者他人合法权益。</w:t>
      </w:r>
    </w:p>
    <w:p>
      <w:pPr>
        <w:pStyle w:val="4"/>
        <w:rPr>
          <w:rFonts w:ascii="宋体" w:eastAsia="宋体" w:cs="宋体"/>
          <w:color w:val="auto"/>
          <w:highlight w:val="none"/>
        </w:rPr>
      </w:pPr>
      <w:bookmarkStart w:id="48" w:name="_Toc2976"/>
      <w:r>
        <w:rPr>
          <w:rFonts w:hint="eastAsia" w:ascii="宋体" w:eastAsia="宋体" w:cs="宋体"/>
          <w:color w:val="auto"/>
          <w:highlight w:val="none"/>
        </w:rPr>
        <w:t>8.2 对投标人的纪律要求</w:t>
      </w:r>
      <w:bookmarkEnd w:id="48"/>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rPr>
          <w:rFonts w:ascii="宋体" w:eastAsia="宋体" w:cs="宋体"/>
          <w:color w:val="auto"/>
          <w:highlight w:val="none"/>
        </w:rPr>
      </w:pPr>
      <w:bookmarkStart w:id="49" w:name="_Toc18627"/>
      <w:r>
        <w:rPr>
          <w:rFonts w:hint="eastAsia" w:ascii="宋体" w:eastAsia="宋体" w:cs="宋体"/>
          <w:color w:val="auto"/>
          <w:highlight w:val="none"/>
        </w:rPr>
        <w:t>8.3 对评标委员会成员的纪律要求</w:t>
      </w:r>
      <w:bookmarkEnd w:id="49"/>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rPr>
          <w:rFonts w:ascii="宋体" w:eastAsia="宋体" w:cs="宋体"/>
          <w:color w:val="auto"/>
          <w:highlight w:val="none"/>
        </w:rPr>
      </w:pPr>
      <w:bookmarkStart w:id="50" w:name="_Toc27847"/>
      <w:r>
        <w:rPr>
          <w:rFonts w:hint="eastAsia" w:ascii="宋体" w:eastAsia="宋体" w:cs="宋体"/>
          <w:color w:val="auto"/>
          <w:highlight w:val="none"/>
        </w:rPr>
        <w:t>8.4 对与评标活动有关的工作人员的纪律要求</w:t>
      </w:r>
      <w:bookmarkEnd w:id="50"/>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rPr>
          <w:rFonts w:ascii="宋体" w:eastAsia="宋体" w:cs="宋体"/>
          <w:color w:val="auto"/>
          <w:highlight w:val="none"/>
        </w:rPr>
      </w:pPr>
      <w:bookmarkStart w:id="51" w:name="_Toc27876"/>
      <w:r>
        <w:rPr>
          <w:rFonts w:hint="eastAsia" w:ascii="宋体" w:eastAsia="宋体" w:cs="宋体"/>
          <w:color w:val="auto"/>
          <w:highlight w:val="none"/>
        </w:rPr>
        <w:t>8.5 投诉</w:t>
      </w:r>
      <w:bookmarkEnd w:id="5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投标人和其他利害关系人认为本次招标活动违反法律、法规和规章规定的，有权向有关行政监督部门投诉。</w:t>
      </w:r>
    </w:p>
    <w:p>
      <w:pPr>
        <w:pStyle w:val="3"/>
        <w:rPr>
          <w:rFonts w:ascii="宋体" w:hAnsi="宋体" w:eastAsia="宋体" w:cs="宋体"/>
          <w:color w:val="auto"/>
          <w:highlight w:val="none"/>
        </w:rPr>
      </w:pPr>
      <w:bookmarkStart w:id="52" w:name="_Toc27842"/>
      <w:r>
        <w:rPr>
          <w:rFonts w:hint="eastAsia" w:ascii="宋体" w:hAnsi="宋体" w:eastAsia="宋体" w:cs="宋体"/>
          <w:color w:val="auto"/>
          <w:highlight w:val="none"/>
        </w:rPr>
        <w:t>9. 需要补充的其他内容</w:t>
      </w:r>
      <w:bookmarkEnd w:id="52"/>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需要补充的其他内容：见投标人须知前附表。</w:t>
      </w:r>
    </w:p>
    <w:p>
      <w:pPr>
        <w:pStyle w:val="3"/>
        <w:rPr>
          <w:rFonts w:ascii="宋体" w:hAnsi="宋体" w:eastAsia="宋体" w:cs="宋体"/>
          <w:color w:val="auto"/>
          <w:highlight w:val="none"/>
        </w:rPr>
      </w:pPr>
      <w:bookmarkStart w:id="53" w:name="_Toc24189"/>
      <w:r>
        <w:rPr>
          <w:rFonts w:hint="eastAsia" w:ascii="宋体" w:hAnsi="宋体" w:eastAsia="宋体" w:cs="宋体"/>
          <w:color w:val="auto"/>
          <w:highlight w:val="none"/>
        </w:rPr>
        <w:t>10. 电子招标投标</w:t>
      </w:r>
      <w:bookmarkEnd w:id="53"/>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采用电子招标投标，对投标文件的编制、密封和标记、递交、开标、评标等具体要求，见投标人须知前附表。</w:t>
      </w:r>
      <w:r>
        <w:rPr>
          <w:rFonts w:hint="eastAsia" w:ascii="宋体" w:hAnsi="宋体" w:cs="宋体"/>
          <w:color w:val="auto"/>
          <w:highlight w:val="none"/>
        </w:rPr>
        <w:br w:type="page"/>
      </w:r>
      <w:r>
        <w:rPr>
          <w:rFonts w:hint="eastAsia" w:ascii="宋体" w:hAnsi="宋体" w:cs="宋体"/>
          <w:color w:val="auto"/>
          <w:highlight w:val="none"/>
        </w:rPr>
        <w:t>附件一：开标记录表</w:t>
      </w:r>
    </w:p>
    <w:p>
      <w:pPr>
        <w:spacing w:line="400" w:lineRule="exact"/>
        <w:rPr>
          <w:rFonts w:ascii="宋体" w:hAnsi="宋体" w:cs="宋体"/>
          <w:color w:val="auto"/>
          <w:highlight w:val="none"/>
        </w:rPr>
      </w:pPr>
      <w:r>
        <w:rPr>
          <w:rFonts w:hint="eastAsia" w:ascii="宋体" w:hAnsi="宋体" w:cs="宋体"/>
          <w:color w:val="auto"/>
          <w:highlight w:val="none"/>
        </w:rPr>
        <w:t xml:space="preserve">              </w:t>
      </w:r>
    </w:p>
    <w:p>
      <w:pPr>
        <w:spacing w:line="400" w:lineRule="exact"/>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（项目名称）招标开标记录表</w:t>
      </w:r>
    </w:p>
    <w:p>
      <w:pPr>
        <w:spacing w:line="400" w:lineRule="exact"/>
        <w:rPr>
          <w:rFonts w:ascii="宋体" w:hAnsi="宋体" w:cs="宋体"/>
          <w:color w:val="auto"/>
          <w:highlight w:val="none"/>
        </w:rPr>
      </w:pPr>
    </w:p>
    <w:p>
      <w:pPr>
        <w:spacing w:line="360" w:lineRule="auto"/>
        <w:ind w:right="420"/>
        <w:jc w:val="right"/>
        <w:rPr>
          <w:rFonts w:ascii="宋体" w:hAnsi="宋体" w:cs="宋体"/>
          <w:color w:val="auto"/>
          <w:highlight w:val="none"/>
        </w:rPr>
      </w:pPr>
      <w:r>
        <w:rPr>
          <w:rFonts w:hint="eastAsia" w:ascii="宋体" w:hAnsi="宋体" w:cs="宋体"/>
          <w:color w:val="auto"/>
          <w:highlight w:val="none"/>
        </w:rPr>
        <w:t>开标时间：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rPr>
        <w:t>分</w:t>
      </w:r>
    </w:p>
    <w:tbl>
      <w:tblPr>
        <w:tblStyle w:val="37"/>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40"/>
        <w:gridCol w:w="795"/>
        <w:gridCol w:w="720"/>
        <w:gridCol w:w="675"/>
        <w:gridCol w:w="769"/>
        <w:gridCol w:w="690"/>
        <w:gridCol w:w="585"/>
        <w:gridCol w:w="615"/>
        <w:gridCol w:w="661"/>
        <w:gridCol w:w="756"/>
        <w:gridCol w:w="709"/>
        <w:gridCol w:w="567"/>
        <w:gridCol w:w="425"/>
        <w:gridCol w:w="270"/>
        <w:gridCol w:w="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01"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84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投标人名称</w:t>
            </w:r>
          </w:p>
        </w:tc>
        <w:tc>
          <w:tcPr>
            <w:tcW w:w="795"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投标文件递交情况</w:t>
            </w:r>
          </w:p>
        </w:tc>
        <w:tc>
          <w:tcPr>
            <w:tcW w:w="72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投标文件解密情况</w:t>
            </w:r>
          </w:p>
        </w:tc>
        <w:tc>
          <w:tcPr>
            <w:tcW w:w="675" w:type="dxa"/>
            <w:vAlign w:val="center"/>
          </w:tcPr>
          <w:p>
            <w:pPr>
              <w:spacing w:line="360" w:lineRule="auto"/>
              <w:jc w:val="center"/>
              <w:rPr>
                <w:rFonts w:ascii="宋体" w:hAnsi="宋体" w:cs="宋体"/>
                <w:strike/>
                <w:color w:val="auto"/>
                <w:sz w:val="18"/>
                <w:szCs w:val="18"/>
                <w:highlight w:val="none"/>
              </w:rPr>
            </w:pPr>
            <w:r>
              <w:rPr>
                <w:rFonts w:hint="eastAsia" w:ascii="宋体" w:hAnsi="宋体" w:cs="宋体"/>
                <w:color w:val="auto"/>
                <w:sz w:val="18"/>
                <w:szCs w:val="18"/>
                <w:highlight w:val="none"/>
              </w:rPr>
              <w:t>投标担保递交情况</w:t>
            </w:r>
          </w:p>
        </w:tc>
        <w:tc>
          <w:tcPr>
            <w:tcW w:w="769"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u w:val="single"/>
              </w:rPr>
              <w:t>项目负责人（兼施工负责人）</w:t>
            </w:r>
          </w:p>
        </w:tc>
        <w:tc>
          <w:tcPr>
            <w:tcW w:w="690"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设计负责人</w:t>
            </w:r>
          </w:p>
        </w:tc>
        <w:tc>
          <w:tcPr>
            <w:tcW w:w="585" w:type="dxa"/>
            <w:vAlign w:val="center"/>
          </w:tcPr>
          <w:p>
            <w:pPr>
              <w:spacing w:line="360" w:lineRule="auto"/>
              <w:jc w:val="center"/>
              <w:rPr>
                <w:rFonts w:ascii="宋体" w:hAnsi="宋体" w:cs="宋体"/>
                <w:color w:val="auto"/>
                <w:sz w:val="18"/>
                <w:szCs w:val="18"/>
                <w:highlight w:val="none"/>
              </w:rPr>
            </w:pPr>
            <w:r>
              <w:rPr>
                <w:rFonts w:hint="eastAsia" w:ascii="新宋体" w:hAnsi="新宋体" w:eastAsia="新宋体" w:cs="新宋体"/>
                <w:strike/>
                <w:color w:val="auto"/>
                <w:sz w:val="18"/>
                <w:szCs w:val="18"/>
                <w:highlight w:val="none"/>
              </w:rPr>
              <w:t>施工负责人</w:t>
            </w:r>
          </w:p>
        </w:tc>
        <w:tc>
          <w:tcPr>
            <w:tcW w:w="615"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专职安全员</w:t>
            </w:r>
          </w:p>
        </w:tc>
        <w:tc>
          <w:tcPr>
            <w:tcW w:w="661"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投标总报价</w:t>
            </w:r>
          </w:p>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（元）</w:t>
            </w:r>
          </w:p>
        </w:tc>
        <w:tc>
          <w:tcPr>
            <w:tcW w:w="756"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施工费报价</w:t>
            </w:r>
          </w:p>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（元）</w:t>
            </w:r>
          </w:p>
        </w:tc>
        <w:tc>
          <w:tcPr>
            <w:tcW w:w="709"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设计费报价（元）</w:t>
            </w:r>
          </w:p>
        </w:tc>
        <w:tc>
          <w:tcPr>
            <w:tcW w:w="567" w:type="dxa"/>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工期</w:t>
            </w:r>
          </w:p>
        </w:tc>
        <w:tc>
          <w:tcPr>
            <w:tcW w:w="425" w:type="dxa"/>
            <w:vAlign w:val="center"/>
          </w:tcPr>
          <w:p>
            <w:pPr>
              <w:spacing w:line="360" w:lineRule="auto"/>
              <w:jc w:val="center"/>
              <w:rPr>
                <w:rFonts w:ascii="宋体" w:hAnsi="宋体" w:cs="宋体"/>
                <w:color w:val="auto"/>
                <w:sz w:val="18"/>
                <w:szCs w:val="18"/>
                <w:highlight w:val="none"/>
                <w:u w:val="single"/>
              </w:rPr>
            </w:pPr>
            <w:r>
              <w:rPr>
                <w:rFonts w:hint="eastAsia" w:ascii="宋体" w:hAnsi="宋体" w:cs="宋体"/>
                <w:color w:val="auto"/>
                <w:sz w:val="18"/>
                <w:szCs w:val="18"/>
                <w:highlight w:val="none"/>
                <w:u w:val="single"/>
              </w:rPr>
              <w:t>质量标准</w:t>
            </w:r>
          </w:p>
        </w:tc>
        <w:tc>
          <w:tcPr>
            <w:tcW w:w="703" w:type="dxa"/>
            <w:gridSpan w:val="2"/>
            <w:vAlign w:val="cente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电脑机器特征码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pPr>
              <w:spacing w:line="360" w:lineRule="auto"/>
              <w:rPr>
                <w:rFonts w:ascii="宋体" w:hAnsi="宋体" w:cs="宋体"/>
                <w:color w:val="auto"/>
                <w:szCs w:val="21"/>
                <w:highlight w:val="none"/>
              </w:rPr>
            </w:pPr>
          </w:p>
        </w:tc>
        <w:tc>
          <w:tcPr>
            <w:tcW w:w="840" w:type="dxa"/>
          </w:tcPr>
          <w:p>
            <w:pPr>
              <w:spacing w:line="360" w:lineRule="auto"/>
              <w:rPr>
                <w:rFonts w:ascii="宋体" w:hAnsi="宋体" w:cs="宋体"/>
                <w:color w:val="auto"/>
                <w:szCs w:val="21"/>
                <w:highlight w:val="none"/>
              </w:rPr>
            </w:pPr>
          </w:p>
        </w:tc>
        <w:tc>
          <w:tcPr>
            <w:tcW w:w="795" w:type="dxa"/>
          </w:tcPr>
          <w:p>
            <w:pPr>
              <w:spacing w:line="360" w:lineRule="auto"/>
              <w:rPr>
                <w:rFonts w:ascii="宋体" w:hAnsi="宋体" w:cs="宋体"/>
                <w:color w:val="auto"/>
                <w:szCs w:val="21"/>
                <w:highlight w:val="none"/>
              </w:rPr>
            </w:pPr>
          </w:p>
        </w:tc>
        <w:tc>
          <w:tcPr>
            <w:tcW w:w="720" w:type="dxa"/>
          </w:tcPr>
          <w:p>
            <w:pPr>
              <w:spacing w:line="360" w:lineRule="auto"/>
              <w:rPr>
                <w:rFonts w:ascii="宋体" w:hAnsi="宋体" w:cs="宋体"/>
                <w:color w:val="auto"/>
                <w:szCs w:val="21"/>
                <w:highlight w:val="none"/>
              </w:rPr>
            </w:pPr>
          </w:p>
        </w:tc>
        <w:tc>
          <w:tcPr>
            <w:tcW w:w="675" w:type="dxa"/>
          </w:tcPr>
          <w:p>
            <w:pPr>
              <w:spacing w:line="360" w:lineRule="auto"/>
              <w:rPr>
                <w:rFonts w:ascii="宋体" w:hAnsi="宋体" w:cs="宋体"/>
                <w:color w:val="auto"/>
                <w:szCs w:val="21"/>
                <w:highlight w:val="none"/>
              </w:rPr>
            </w:pPr>
          </w:p>
        </w:tc>
        <w:tc>
          <w:tcPr>
            <w:tcW w:w="769" w:type="dxa"/>
          </w:tcPr>
          <w:p>
            <w:pPr>
              <w:spacing w:line="360" w:lineRule="auto"/>
              <w:rPr>
                <w:rFonts w:ascii="宋体" w:hAnsi="宋体" w:cs="宋体"/>
                <w:color w:val="auto"/>
                <w:szCs w:val="21"/>
                <w:highlight w:val="none"/>
              </w:rPr>
            </w:pPr>
          </w:p>
        </w:tc>
        <w:tc>
          <w:tcPr>
            <w:tcW w:w="690" w:type="dxa"/>
          </w:tcPr>
          <w:p>
            <w:pPr>
              <w:spacing w:line="360" w:lineRule="auto"/>
              <w:rPr>
                <w:rFonts w:ascii="宋体" w:hAnsi="宋体" w:cs="宋体"/>
                <w:color w:val="auto"/>
                <w:szCs w:val="21"/>
                <w:highlight w:val="none"/>
              </w:rPr>
            </w:pPr>
          </w:p>
        </w:tc>
        <w:tc>
          <w:tcPr>
            <w:tcW w:w="585" w:type="dxa"/>
          </w:tcPr>
          <w:p>
            <w:pPr>
              <w:spacing w:line="360" w:lineRule="auto"/>
              <w:rPr>
                <w:rFonts w:ascii="宋体" w:hAnsi="宋体" w:cs="宋体"/>
                <w:color w:val="auto"/>
                <w:szCs w:val="21"/>
                <w:highlight w:val="none"/>
              </w:rPr>
            </w:pPr>
          </w:p>
        </w:tc>
        <w:tc>
          <w:tcPr>
            <w:tcW w:w="615" w:type="dxa"/>
          </w:tcPr>
          <w:p>
            <w:pPr>
              <w:spacing w:line="360" w:lineRule="auto"/>
              <w:rPr>
                <w:rFonts w:ascii="宋体" w:hAnsi="宋体" w:cs="宋体"/>
                <w:color w:val="auto"/>
                <w:szCs w:val="21"/>
                <w:highlight w:val="none"/>
              </w:rPr>
            </w:pPr>
          </w:p>
        </w:tc>
        <w:tc>
          <w:tcPr>
            <w:tcW w:w="661" w:type="dxa"/>
          </w:tcPr>
          <w:p>
            <w:pPr>
              <w:spacing w:line="360" w:lineRule="auto"/>
              <w:rPr>
                <w:rFonts w:ascii="宋体" w:hAnsi="宋体" w:cs="宋体"/>
                <w:color w:val="auto"/>
                <w:szCs w:val="21"/>
                <w:highlight w:val="none"/>
              </w:rPr>
            </w:pPr>
          </w:p>
        </w:tc>
        <w:tc>
          <w:tcPr>
            <w:tcW w:w="756" w:type="dxa"/>
          </w:tcPr>
          <w:p>
            <w:pPr>
              <w:spacing w:line="360" w:lineRule="auto"/>
              <w:rPr>
                <w:rFonts w:ascii="宋体" w:hAnsi="宋体" w:cs="宋体"/>
                <w:color w:val="auto"/>
                <w:szCs w:val="21"/>
                <w:highlight w:val="none"/>
              </w:rPr>
            </w:pPr>
          </w:p>
        </w:tc>
        <w:tc>
          <w:tcPr>
            <w:tcW w:w="709" w:type="dxa"/>
            <w:vAlign w:val="center"/>
          </w:tcPr>
          <w:p>
            <w:pPr>
              <w:spacing w:line="360" w:lineRule="auto"/>
              <w:jc w:val="center"/>
              <w:rPr>
                <w:rFonts w:ascii="宋体" w:hAnsi="宋体" w:cs="宋体"/>
                <w:color w:val="auto"/>
                <w:sz w:val="18"/>
                <w:szCs w:val="18"/>
                <w:highlight w:val="none"/>
              </w:rPr>
            </w:pPr>
          </w:p>
        </w:tc>
        <w:tc>
          <w:tcPr>
            <w:tcW w:w="567" w:type="dxa"/>
          </w:tcPr>
          <w:p>
            <w:pPr>
              <w:spacing w:line="360" w:lineRule="auto"/>
              <w:rPr>
                <w:rFonts w:ascii="宋体" w:hAnsi="宋体" w:cs="宋体"/>
                <w:color w:val="auto"/>
                <w:szCs w:val="21"/>
                <w:highlight w:val="none"/>
              </w:rPr>
            </w:pPr>
          </w:p>
        </w:tc>
        <w:tc>
          <w:tcPr>
            <w:tcW w:w="425" w:type="dxa"/>
          </w:tcPr>
          <w:p>
            <w:pPr>
              <w:spacing w:line="360" w:lineRule="auto"/>
              <w:rPr>
                <w:rFonts w:ascii="宋体" w:hAnsi="宋体" w:cs="宋体"/>
                <w:color w:val="auto"/>
                <w:szCs w:val="21"/>
                <w:highlight w:val="none"/>
              </w:rPr>
            </w:pPr>
          </w:p>
        </w:tc>
        <w:tc>
          <w:tcPr>
            <w:tcW w:w="703" w:type="dxa"/>
            <w:gridSpan w:val="2"/>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pPr>
              <w:spacing w:line="360" w:lineRule="auto"/>
              <w:rPr>
                <w:rFonts w:ascii="宋体" w:hAnsi="宋体" w:cs="宋体"/>
                <w:color w:val="auto"/>
                <w:szCs w:val="21"/>
                <w:highlight w:val="none"/>
              </w:rPr>
            </w:pPr>
          </w:p>
        </w:tc>
        <w:tc>
          <w:tcPr>
            <w:tcW w:w="840" w:type="dxa"/>
          </w:tcPr>
          <w:p>
            <w:pPr>
              <w:spacing w:line="360" w:lineRule="auto"/>
              <w:rPr>
                <w:rFonts w:ascii="宋体" w:hAnsi="宋体" w:cs="宋体"/>
                <w:color w:val="auto"/>
                <w:szCs w:val="21"/>
                <w:highlight w:val="none"/>
              </w:rPr>
            </w:pPr>
          </w:p>
        </w:tc>
        <w:tc>
          <w:tcPr>
            <w:tcW w:w="795" w:type="dxa"/>
          </w:tcPr>
          <w:p>
            <w:pPr>
              <w:spacing w:line="360" w:lineRule="auto"/>
              <w:rPr>
                <w:rFonts w:ascii="宋体" w:hAnsi="宋体" w:cs="宋体"/>
                <w:color w:val="auto"/>
                <w:szCs w:val="21"/>
                <w:highlight w:val="none"/>
              </w:rPr>
            </w:pPr>
          </w:p>
        </w:tc>
        <w:tc>
          <w:tcPr>
            <w:tcW w:w="720" w:type="dxa"/>
          </w:tcPr>
          <w:p>
            <w:pPr>
              <w:spacing w:line="360" w:lineRule="auto"/>
              <w:rPr>
                <w:rFonts w:ascii="宋体" w:hAnsi="宋体" w:cs="宋体"/>
                <w:color w:val="auto"/>
                <w:szCs w:val="21"/>
                <w:highlight w:val="none"/>
              </w:rPr>
            </w:pPr>
          </w:p>
        </w:tc>
        <w:tc>
          <w:tcPr>
            <w:tcW w:w="675" w:type="dxa"/>
          </w:tcPr>
          <w:p>
            <w:pPr>
              <w:spacing w:line="360" w:lineRule="auto"/>
              <w:rPr>
                <w:rFonts w:ascii="宋体" w:hAnsi="宋体" w:cs="宋体"/>
                <w:color w:val="auto"/>
                <w:szCs w:val="21"/>
                <w:highlight w:val="none"/>
              </w:rPr>
            </w:pPr>
          </w:p>
        </w:tc>
        <w:tc>
          <w:tcPr>
            <w:tcW w:w="769" w:type="dxa"/>
          </w:tcPr>
          <w:p>
            <w:pPr>
              <w:spacing w:line="360" w:lineRule="auto"/>
              <w:rPr>
                <w:rFonts w:ascii="宋体" w:hAnsi="宋体" w:cs="宋体"/>
                <w:color w:val="auto"/>
                <w:szCs w:val="21"/>
                <w:highlight w:val="none"/>
              </w:rPr>
            </w:pPr>
          </w:p>
        </w:tc>
        <w:tc>
          <w:tcPr>
            <w:tcW w:w="690" w:type="dxa"/>
          </w:tcPr>
          <w:p>
            <w:pPr>
              <w:spacing w:line="360" w:lineRule="auto"/>
              <w:rPr>
                <w:rFonts w:ascii="宋体" w:hAnsi="宋体" w:cs="宋体"/>
                <w:color w:val="auto"/>
                <w:szCs w:val="21"/>
                <w:highlight w:val="none"/>
              </w:rPr>
            </w:pPr>
          </w:p>
        </w:tc>
        <w:tc>
          <w:tcPr>
            <w:tcW w:w="585" w:type="dxa"/>
          </w:tcPr>
          <w:p>
            <w:pPr>
              <w:spacing w:line="360" w:lineRule="auto"/>
              <w:rPr>
                <w:rFonts w:ascii="宋体" w:hAnsi="宋体" w:cs="宋体"/>
                <w:color w:val="auto"/>
                <w:szCs w:val="21"/>
                <w:highlight w:val="none"/>
              </w:rPr>
            </w:pPr>
          </w:p>
        </w:tc>
        <w:tc>
          <w:tcPr>
            <w:tcW w:w="615" w:type="dxa"/>
          </w:tcPr>
          <w:p>
            <w:pPr>
              <w:spacing w:line="360" w:lineRule="auto"/>
              <w:rPr>
                <w:rFonts w:ascii="宋体" w:hAnsi="宋体" w:cs="宋体"/>
                <w:color w:val="auto"/>
                <w:szCs w:val="21"/>
                <w:highlight w:val="none"/>
              </w:rPr>
            </w:pPr>
          </w:p>
        </w:tc>
        <w:tc>
          <w:tcPr>
            <w:tcW w:w="661" w:type="dxa"/>
          </w:tcPr>
          <w:p>
            <w:pPr>
              <w:spacing w:line="360" w:lineRule="auto"/>
              <w:rPr>
                <w:rFonts w:ascii="宋体" w:hAnsi="宋体" w:cs="宋体"/>
                <w:color w:val="auto"/>
                <w:szCs w:val="21"/>
                <w:highlight w:val="none"/>
              </w:rPr>
            </w:pPr>
          </w:p>
        </w:tc>
        <w:tc>
          <w:tcPr>
            <w:tcW w:w="756" w:type="dxa"/>
          </w:tcPr>
          <w:p>
            <w:pPr>
              <w:spacing w:line="360" w:lineRule="auto"/>
              <w:rPr>
                <w:rFonts w:ascii="宋体" w:hAnsi="宋体" w:cs="宋体"/>
                <w:color w:val="auto"/>
                <w:szCs w:val="21"/>
                <w:highlight w:val="none"/>
              </w:rPr>
            </w:pPr>
          </w:p>
        </w:tc>
        <w:tc>
          <w:tcPr>
            <w:tcW w:w="709" w:type="dxa"/>
          </w:tcPr>
          <w:p>
            <w:pPr>
              <w:spacing w:line="360" w:lineRule="auto"/>
              <w:rPr>
                <w:rFonts w:ascii="宋体" w:hAnsi="宋体" w:cs="宋体"/>
                <w:color w:val="auto"/>
                <w:szCs w:val="21"/>
                <w:highlight w:val="none"/>
              </w:rPr>
            </w:pPr>
          </w:p>
        </w:tc>
        <w:tc>
          <w:tcPr>
            <w:tcW w:w="567" w:type="dxa"/>
          </w:tcPr>
          <w:p>
            <w:pPr>
              <w:spacing w:line="360" w:lineRule="auto"/>
              <w:rPr>
                <w:rFonts w:ascii="宋体" w:hAnsi="宋体" w:cs="宋体"/>
                <w:color w:val="auto"/>
                <w:szCs w:val="21"/>
                <w:highlight w:val="none"/>
              </w:rPr>
            </w:pPr>
          </w:p>
        </w:tc>
        <w:tc>
          <w:tcPr>
            <w:tcW w:w="425" w:type="dxa"/>
          </w:tcPr>
          <w:p>
            <w:pPr>
              <w:spacing w:line="360" w:lineRule="auto"/>
              <w:rPr>
                <w:rFonts w:ascii="宋体" w:hAnsi="宋体" w:cs="宋体"/>
                <w:color w:val="auto"/>
                <w:szCs w:val="21"/>
                <w:highlight w:val="none"/>
              </w:rPr>
            </w:pPr>
          </w:p>
        </w:tc>
        <w:tc>
          <w:tcPr>
            <w:tcW w:w="703" w:type="dxa"/>
            <w:gridSpan w:val="2"/>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pPr>
              <w:spacing w:line="360" w:lineRule="auto"/>
              <w:rPr>
                <w:rFonts w:ascii="宋体" w:hAnsi="宋体" w:cs="宋体"/>
                <w:color w:val="auto"/>
                <w:szCs w:val="21"/>
                <w:highlight w:val="none"/>
              </w:rPr>
            </w:pPr>
          </w:p>
        </w:tc>
        <w:tc>
          <w:tcPr>
            <w:tcW w:w="840" w:type="dxa"/>
          </w:tcPr>
          <w:p>
            <w:pPr>
              <w:spacing w:line="360" w:lineRule="auto"/>
              <w:rPr>
                <w:rFonts w:ascii="宋体" w:hAnsi="宋体" w:cs="宋体"/>
                <w:color w:val="auto"/>
                <w:szCs w:val="21"/>
                <w:highlight w:val="none"/>
              </w:rPr>
            </w:pPr>
          </w:p>
        </w:tc>
        <w:tc>
          <w:tcPr>
            <w:tcW w:w="795" w:type="dxa"/>
          </w:tcPr>
          <w:p>
            <w:pPr>
              <w:spacing w:line="360" w:lineRule="auto"/>
              <w:rPr>
                <w:rFonts w:ascii="宋体" w:hAnsi="宋体" w:cs="宋体"/>
                <w:color w:val="auto"/>
                <w:szCs w:val="21"/>
                <w:highlight w:val="none"/>
              </w:rPr>
            </w:pPr>
          </w:p>
        </w:tc>
        <w:tc>
          <w:tcPr>
            <w:tcW w:w="720" w:type="dxa"/>
          </w:tcPr>
          <w:p>
            <w:pPr>
              <w:spacing w:line="360" w:lineRule="auto"/>
              <w:rPr>
                <w:rFonts w:ascii="宋体" w:hAnsi="宋体" w:cs="宋体"/>
                <w:color w:val="auto"/>
                <w:szCs w:val="21"/>
                <w:highlight w:val="none"/>
              </w:rPr>
            </w:pPr>
          </w:p>
        </w:tc>
        <w:tc>
          <w:tcPr>
            <w:tcW w:w="675" w:type="dxa"/>
          </w:tcPr>
          <w:p>
            <w:pPr>
              <w:spacing w:line="360" w:lineRule="auto"/>
              <w:rPr>
                <w:rFonts w:ascii="宋体" w:hAnsi="宋体" w:cs="宋体"/>
                <w:color w:val="auto"/>
                <w:szCs w:val="21"/>
                <w:highlight w:val="none"/>
              </w:rPr>
            </w:pPr>
          </w:p>
        </w:tc>
        <w:tc>
          <w:tcPr>
            <w:tcW w:w="769" w:type="dxa"/>
          </w:tcPr>
          <w:p>
            <w:pPr>
              <w:spacing w:line="360" w:lineRule="auto"/>
              <w:rPr>
                <w:rFonts w:ascii="宋体" w:hAnsi="宋体" w:cs="宋体"/>
                <w:color w:val="auto"/>
                <w:szCs w:val="21"/>
                <w:highlight w:val="none"/>
              </w:rPr>
            </w:pPr>
          </w:p>
        </w:tc>
        <w:tc>
          <w:tcPr>
            <w:tcW w:w="690" w:type="dxa"/>
          </w:tcPr>
          <w:p>
            <w:pPr>
              <w:spacing w:line="360" w:lineRule="auto"/>
              <w:rPr>
                <w:rFonts w:ascii="宋体" w:hAnsi="宋体" w:cs="宋体"/>
                <w:color w:val="auto"/>
                <w:szCs w:val="21"/>
                <w:highlight w:val="none"/>
              </w:rPr>
            </w:pPr>
          </w:p>
        </w:tc>
        <w:tc>
          <w:tcPr>
            <w:tcW w:w="585" w:type="dxa"/>
          </w:tcPr>
          <w:p>
            <w:pPr>
              <w:spacing w:line="360" w:lineRule="auto"/>
              <w:rPr>
                <w:rFonts w:ascii="宋体" w:hAnsi="宋体" w:cs="宋体"/>
                <w:color w:val="auto"/>
                <w:szCs w:val="21"/>
                <w:highlight w:val="none"/>
              </w:rPr>
            </w:pPr>
          </w:p>
        </w:tc>
        <w:tc>
          <w:tcPr>
            <w:tcW w:w="615" w:type="dxa"/>
          </w:tcPr>
          <w:p>
            <w:pPr>
              <w:spacing w:line="360" w:lineRule="auto"/>
              <w:rPr>
                <w:rFonts w:ascii="宋体" w:hAnsi="宋体" w:cs="宋体"/>
                <w:color w:val="auto"/>
                <w:szCs w:val="21"/>
                <w:highlight w:val="none"/>
              </w:rPr>
            </w:pPr>
          </w:p>
        </w:tc>
        <w:tc>
          <w:tcPr>
            <w:tcW w:w="661" w:type="dxa"/>
          </w:tcPr>
          <w:p>
            <w:pPr>
              <w:spacing w:line="360" w:lineRule="auto"/>
              <w:rPr>
                <w:rFonts w:ascii="宋体" w:hAnsi="宋体" w:cs="宋体"/>
                <w:color w:val="auto"/>
                <w:szCs w:val="21"/>
                <w:highlight w:val="none"/>
              </w:rPr>
            </w:pPr>
          </w:p>
        </w:tc>
        <w:tc>
          <w:tcPr>
            <w:tcW w:w="756" w:type="dxa"/>
          </w:tcPr>
          <w:p>
            <w:pPr>
              <w:spacing w:line="360" w:lineRule="auto"/>
              <w:rPr>
                <w:rFonts w:ascii="宋体" w:hAnsi="宋体" w:cs="宋体"/>
                <w:color w:val="auto"/>
                <w:szCs w:val="21"/>
                <w:highlight w:val="none"/>
              </w:rPr>
            </w:pPr>
          </w:p>
        </w:tc>
        <w:tc>
          <w:tcPr>
            <w:tcW w:w="709" w:type="dxa"/>
          </w:tcPr>
          <w:p>
            <w:pPr>
              <w:spacing w:line="360" w:lineRule="auto"/>
              <w:rPr>
                <w:rFonts w:ascii="宋体" w:hAnsi="宋体" w:cs="宋体"/>
                <w:color w:val="auto"/>
                <w:szCs w:val="21"/>
                <w:highlight w:val="none"/>
              </w:rPr>
            </w:pPr>
          </w:p>
        </w:tc>
        <w:tc>
          <w:tcPr>
            <w:tcW w:w="567" w:type="dxa"/>
          </w:tcPr>
          <w:p>
            <w:pPr>
              <w:spacing w:line="360" w:lineRule="auto"/>
              <w:rPr>
                <w:rFonts w:ascii="宋体" w:hAnsi="宋体" w:cs="宋体"/>
                <w:color w:val="auto"/>
                <w:szCs w:val="21"/>
                <w:highlight w:val="none"/>
              </w:rPr>
            </w:pPr>
          </w:p>
        </w:tc>
        <w:tc>
          <w:tcPr>
            <w:tcW w:w="425" w:type="dxa"/>
          </w:tcPr>
          <w:p>
            <w:pPr>
              <w:spacing w:line="360" w:lineRule="auto"/>
              <w:rPr>
                <w:rFonts w:ascii="宋体" w:hAnsi="宋体" w:cs="宋体"/>
                <w:color w:val="auto"/>
                <w:szCs w:val="21"/>
                <w:highlight w:val="none"/>
              </w:rPr>
            </w:pPr>
          </w:p>
        </w:tc>
        <w:tc>
          <w:tcPr>
            <w:tcW w:w="703" w:type="dxa"/>
            <w:gridSpan w:val="2"/>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pPr>
              <w:spacing w:line="360" w:lineRule="auto"/>
              <w:rPr>
                <w:rFonts w:ascii="宋体" w:hAnsi="宋体" w:cs="宋体"/>
                <w:color w:val="auto"/>
                <w:szCs w:val="21"/>
                <w:highlight w:val="none"/>
              </w:rPr>
            </w:pPr>
          </w:p>
        </w:tc>
        <w:tc>
          <w:tcPr>
            <w:tcW w:w="840" w:type="dxa"/>
          </w:tcPr>
          <w:p>
            <w:pPr>
              <w:spacing w:line="360" w:lineRule="auto"/>
              <w:rPr>
                <w:rFonts w:ascii="宋体" w:hAnsi="宋体" w:cs="宋体"/>
                <w:color w:val="auto"/>
                <w:szCs w:val="21"/>
                <w:highlight w:val="none"/>
              </w:rPr>
            </w:pPr>
          </w:p>
        </w:tc>
        <w:tc>
          <w:tcPr>
            <w:tcW w:w="795" w:type="dxa"/>
          </w:tcPr>
          <w:p>
            <w:pPr>
              <w:spacing w:line="360" w:lineRule="auto"/>
              <w:rPr>
                <w:rFonts w:ascii="宋体" w:hAnsi="宋体" w:cs="宋体"/>
                <w:color w:val="auto"/>
                <w:szCs w:val="21"/>
                <w:highlight w:val="none"/>
              </w:rPr>
            </w:pPr>
          </w:p>
        </w:tc>
        <w:tc>
          <w:tcPr>
            <w:tcW w:w="720" w:type="dxa"/>
          </w:tcPr>
          <w:p>
            <w:pPr>
              <w:spacing w:line="360" w:lineRule="auto"/>
              <w:rPr>
                <w:rFonts w:ascii="宋体" w:hAnsi="宋体" w:cs="宋体"/>
                <w:color w:val="auto"/>
                <w:szCs w:val="21"/>
                <w:highlight w:val="none"/>
              </w:rPr>
            </w:pPr>
          </w:p>
        </w:tc>
        <w:tc>
          <w:tcPr>
            <w:tcW w:w="675" w:type="dxa"/>
          </w:tcPr>
          <w:p>
            <w:pPr>
              <w:spacing w:line="360" w:lineRule="auto"/>
              <w:rPr>
                <w:rFonts w:ascii="宋体" w:hAnsi="宋体" w:cs="宋体"/>
                <w:color w:val="auto"/>
                <w:szCs w:val="21"/>
                <w:highlight w:val="none"/>
              </w:rPr>
            </w:pPr>
          </w:p>
        </w:tc>
        <w:tc>
          <w:tcPr>
            <w:tcW w:w="769" w:type="dxa"/>
          </w:tcPr>
          <w:p>
            <w:pPr>
              <w:spacing w:line="360" w:lineRule="auto"/>
              <w:rPr>
                <w:rFonts w:ascii="宋体" w:hAnsi="宋体" w:cs="宋体"/>
                <w:color w:val="auto"/>
                <w:szCs w:val="21"/>
                <w:highlight w:val="none"/>
              </w:rPr>
            </w:pPr>
          </w:p>
        </w:tc>
        <w:tc>
          <w:tcPr>
            <w:tcW w:w="690" w:type="dxa"/>
          </w:tcPr>
          <w:p>
            <w:pPr>
              <w:spacing w:line="360" w:lineRule="auto"/>
              <w:rPr>
                <w:rFonts w:ascii="宋体" w:hAnsi="宋体" w:cs="宋体"/>
                <w:color w:val="auto"/>
                <w:szCs w:val="21"/>
                <w:highlight w:val="none"/>
              </w:rPr>
            </w:pPr>
          </w:p>
        </w:tc>
        <w:tc>
          <w:tcPr>
            <w:tcW w:w="585" w:type="dxa"/>
          </w:tcPr>
          <w:p>
            <w:pPr>
              <w:spacing w:line="360" w:lineRule="auto"/>
              <w:rPr>
                <w:rFonts w:ascii="宋体" w:hAnsi="宋体" w:cs="宋体"/>
                <w:color w:val="auto"/>
                <w:szCs w:val="21"/>
                <w:highlight w:val="none"/>
              </w:rPr>
            </w:pPr>
          </w:p>
        </w:tc>
        <w:tc>
          <w:tcPr>
            <w:tcW w:w="615" w:type="dxa"/>
          </w:tcPr>
          <w:p>
            <w:pPr>
              <w:spacing w:line="360" w:lineRule="auto"/>
              <w:rPr>
                <w:rFonts w:ascii="宋体" w:hAnsi="宋体" w:cs="宋体"/>
                <w:color w:val="auto"/>
                <w:szCs w:val="21"/>
                <w:highlight w:val="none"/>
              </w:rPr>
            </w:pPr>
          </w:p>
        </w:tc>
        <w:tc>
          <w:tcPr>
            <w:tcW w:w="661" w:type="dxa"/>
          </w:tcPr>
          <w:p>
            <w:pPr>
              <w:spacing w:line="360" w:lineRule="auto"/>
              <w:rPr>
                <w:rFonts w:ascii="宋体" w:hAnsi="宋体" w:cs="宋体"/>
                <w:color w:val="auto"/>
                <w:szCs w:val="21"/>
                <w:highlight w:val="none"/>
              </w:rPr>
            </w:pPr>
          </w:p>
        </w:tc>
        <w:tc>
          <w:tcPr>
            <w:tcW w:w="756" w:type="dxa"/>
          </w:tcPr>
          <w:p>
            <w:pPr>
              <w:spacing w:line="360" w:lineRule="auto"/>
              <w:rPr>
                <w:rFonts w:ascii="宋体" w:hAnsi="宋体" w:cs="宋体"/>
                <w:color w:val="auto"/>
                <w:szCs w:val="21"/>
                <w:highlight w:val="none"/>
              </w:rPr>
            </w:pPr>
          </w:p>
        </w:tc>
        <w:tc>
          <w:tcPr>
            <w:tcW w:w="709" w:type="dxa"/>
          </w:tcPr>
          <w:p>
            <w:pPr>
              <w:spacing w:line="360" w:lineRule="auto"/>
              <w:rPr>
                <w:rFonts w:ascii="宋体" w:hAnsi="宋体" w:cs="宋体"/>
                <w:color w:val="auto"/>
                <w:szCs w:val="21"/>
                <w:highlight w:val="none"/>
              </w:rPr>
            </w:pPr>
          </w:p>
        </w:tc>
        <w:tc>
          <w:tcPr>
            <w:tcW w:w="567" w:type="dxa"/>
          </w:tcPr>
          <w:p>
            <w:pPr>
              <w:spacing w:line="360" w:lineRule="auto"/>
              <w:rPr>
                <w:rFonts w:ascii="宋体" w:hAnsi="宋体" w:cs="宋体"/>
                <w:color w:val="auto"/>
                <w:szCs w:val="21"/>
                <w:highlight w:val="none"/>
              </w:rPr>
            </w:pPr>
          </w:p>
        </w:tc>
        <w:tc>
          <w:tcPr>
            <w:tcW w:w="425" w:type="dxa"/>
          </w:tcPr>
          <w:p>
            <w:pPr>
              <w:spacing w:line="360" w:lineRule="auto"/>
              <w:rPr>
                <w:rFonts w:ascii="宋体" w:hAnsi="宋体" w:cs="宋体"/>
                <w:color w:val="auto"/>
                <w:szCs w:val="21"/>
                <w:highlight w:val="none"/>
              </w:rPr>
            </w:pPr>
          </w:p>
        </w:tc>
        <w:tc>
          <w:tcPr>
            <w:tcW w:w="703" w:type="dxa"/>
            <w:gridSpan w:val="2"/>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pPr>
              <w:spacing w:line="360" w:lineRule="auto"/>
              <w:rPr>
                <w:rFonts w:ascii="宋体" w:hAnsi="宋体" w:cs="宋体"/>
                <w:color w:val="auto"/>
                <w:szCs w:val="21"/>
                <w:highlight w:val="none"/>
              </w:rPr>
            </w:pPr>
          </w:p>
        </w:tc>
        <w:tc>
          <w:tcPr>
            <w:tcW w:w="840" w:type="dxa"/>
          </w:tcPr>
          <w:p>
            <w:pPr>
              <w:spacing w:line="360" w:lineRule="auto"/>
              <w:rPr>
                <w:rFonts w:ascii="宋体" w:hAnsi="宋体" w:cs="宋体"/>
                <w:color w:val="auto"/>
                <w:szCs w:val="21"/>
                <w:highlight w:val="none"/>
              </w:rPr>
            </w:pPr>
          </w:p>
        </w:tc>
        <w:tc>
          <w:tcPr>
            <w:tcW w:w="795" w:type="dxa"/>
          </w:tcPr>
          <w:p>
            <w:pPr>
              <w:spacing w:line="360" w:lineRule="auto"/>
              <w:rPr>
                <w:rFonts w:ascii="宋体" w:hAnsi="宋体" w:cs="宋体"/>
                <w:color w:val="auto"/>
                <w:szCs w:val="21"/>
                <w:highlight w:val="none"/>
              </w:rPr>
            </w:pPr>
          </w:p>
        </w:tc>
        <w:tc>
          <w:tcPr>
            <w:tcW w:w="720" w:type="dxa"/>
          </w:tcPr>
          <w:p>
            <w:pPr>
              <w:spacing w:line="360" w:lineRule="auto"/>
              <w:rPr>
                <w:rFonts w:ascii="宋体" w:hAnsi="宋体" w:cs="宋体"/>
                <w:color w:val="auto"/>
                <w:szCs w:val="21"/>
                <w:highlight w:val="none"/>
              </w:rPr>
            </w:pPr>
          </w:p>
        </w:tc>
        <w:tc>
          <w:tcPr>
            <w:tcW w:w="675" w:type="dxa"/>
          </w:tcPr>
          <w:p>
            <w:pPr>
              <w:spacing w:line="360" w:lineRule="auto"/>
              <w:rPr>
                <w:rFonts w:ascii="宋体" w:hAnsi="宋体" w:cs="宋体"/>
                <w:color w:val="auto"/>
                <w:szCs w:val="21"/>
                <w:highlight w:val="none"/>
              </w:rPr>
            </w:pPr>
          </w:p>
        </w:tc>
        <w:tc>
          <w:tcPr>
            <w:tcW w:w="769" w:type="dxa"/>
          </w:tcPr>
          <w:p>
            <w:pPr>
              <w:spacing w:line="360" w:lineRule="auto"/>
              <w:rPr>
                <w:rFonts w:ascii="宋体" w:hAnsi="宋体" w:cs="宋体"/>
                <w:color w:val="auto"/>
                <w:szCs w:val="21"/>
                <w:highlight w:val="none"/>
              </w:rPr>
            </w:pPr>
          </w:p>
        </w:tc>
        <w:tc>
          <w:tcPr>
            <w:tcW w:w="690" w:type="dxa"/>
          </w:tcPr>
          <w:p>
            <w:pPr>
              <w:spacing w:line="360" w:lineRule="auto"/>
              <w:rPr>
                <w:rFonts w:ascii="宋体" w:hAnsi="宋体" w:cs="宋体"/>
                <w:color w:val="auto"/>
                <w:szCs w:val="21"/>
                <w:highlight w:val="none"/>
              </w:rPr>
            </w:pPr>
          </w:p>
        </w:tc>
        <w:tc>
          <w:tcPr>
            <w:tcW w:w="585" w:type="dxa"/>
          </w:tcPr>
          <w:p>
            <w:pPr>
              <w:spacing w:line="360" w:lineRule="auto"/>
              <w:rPr>
                <w:rFonts w:ascii="宋体" w:hAnsi="宋体" w:cs="宋体"/>
                <w:color w:val="auto"/>
                <w:szCs w:val="21"/>
                <w:highlight w:val="none"/>
              </w:rPr>
            </w:pPr>
          </w:p>
        </w:tc>
        <w:tc>
          <w:tcPr>
            <w:tcW w:w="615" w:type="dxa"/>
          </w:tcPr>
          <w:p>
            <w:pPr>
              <w:spacing w:line="360" w:lineRule="auto"/>
              <w:rPr>
                <w:rFonts w:ascii="宋体" w:hAnsi="宋体" w:cs="宋体"/>
                <w:color w:val="auto"/>
                <w:szCs w:val="21"/>
                <w:highlight w:val="none"/>
              </w:rPr>
            </w:pPr>
          </w:p>
        </w:tc>
        <w:tc>
          <w:tcPr>
            <w:tcW w:w="661" w:type="dxa"/>
          </w:tcPr>
          <w:p>
            <w:pPr>
              <w:spacing w:line="360" w:lineRule="auto"/>
              <w:rPr>
                <w:rFonts w:ascii="宋体" w:hAnsi="宋体" w:cs="宋体"/>
                <w:color w:val="auto"/>
                <w:szCs w:val="21"/>
                <w:highlight w:val="none"/>
              </w:rPr>
            </w:pPr>
          </w:p>
        </w:tc>
        <w:tc>
          <w:tcPr>
            <w:tcW w:w="756" w:type="dxa"/>
          </w:tcPr>
          <w:p>
            <w:pPr>
              <w:spacing w:line="360" w:lineRule="auto"/>
              <w:rPr>
                <w:rFonts w:ascii="宋体" w:hAnsi="宋体" w:cs="宋体"/>
                <w:color w:val="auto"/>
                <w:szCs w:val="21"/>
                <w:highlight w:val="none"/>
              </w:rPr>
            </w:pPr>
          </w:p>
        </w:tc>
        <w:tc>
          <w:tcPr>
            <w:tcW w:w="709" w:type="dxa"/>
          </w:tcPr>
          <w:p>
            <w:pPr>
              <w:spacing w:line="360" w:lineRule="auto"/>
              <w:rPr>
                <w:rFonts w:ascii="宋体" w:hAnsi="宋体" w:cs="宋体"/>
                <w:color w:val="auto"/>
                <w:szCs w:val="21"/>
                <w:highlight w:val="none"/>
              </w:rPr>
            </w:pPr>
          </w:p>
        </w:tc>
        <w:tc>
          <w:tcPr>
            <w:tcW w:w="567" w:type="dxa"/>
          </w:tcPr>
          <w:p>
            <w:pPr>
              <w:spacing w:line="360" w:lineRule="auto"/>
              <w:rPr>
                <w:rFonts w:ascii="宋体" w:hAnsi="宋体" w:cs="宋体"/>
                <w:color w:val="auto"/>
                <w:szCs w:val="21"/>
                <w:highlight w:val="none"/>
              </w:rPr>
            </w:pPr>
          </w:p>
        </w:tc>
        <w:tc>
          <w:tcPr>
            <w:tcW w:w="425" w:type="dxa"/>
          </w:tcPr>
          <w:p>
            <w:pPr>
              <w:spacing w:line="360" w:lineRule="auto"/>
              <w:rPr>
                <w:rFonts w:ascii="宋体" w:hAnsi="宋体" w:cs="宋体"/>
                <w:color w:val="auto"/>
                <w:szCs w:val="21"/>
                <w:highlight w:val="none"/>
              </w:rPr>
            </w:pPr>
          </w:p>
        </w:tc>
        <w:tc>
          <w:tcPr>
            <w:tcW w:w="703" w:type="dxa"/>
            <w:gridSpan w:val="2"/>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3" w:type="dxa"/>
          <w:jc w:val="center"/>
        </w:trPr>
        <w:tc>
          <w:tcPr>
            <w:tcW w:w="9578" w:type="dxa"/>
            <w:gridSpan w:val="15"/>
          </w:tcPr>
          <w:p>
            <w:pPr>
              <w:spacing w:line="360" w:lineRule="auto"/>
              <w:rPr>
                <w:rFonts w:ascii="宋体" w:hAnsi="宋体" w:cs="宋体"/>
                <w:color w:val="auto"/>
                <w:szCs w:val="21"/>
                <w:highlight w:val="none"/>
              </w:rPr>
            </w:pPr>
            <w:r>
              <w:rPr>
                <w:rFonts w:hint="eastAsia" w:ascii="宋体" w:hAnsi="宋体" w:cs="宋体"/>
                <w:color w:val="auto"/>
                <w:kern w:val="1"/>
                <w:szCs w:val="21"/>
                <w:highlight w:val="none"/>
              </w:rPr>
              <w:t xml:space="preserve">投标最高限价：   </w:t>
            </w:r>
          </w:p>
        </w:tc>
      </w:tr>
    </w:tbl>
    <w:p>
      <w:pPr>
        <w:spacing w:line="400" w:lineRule="exact"/>
        <w:ind w:right="420"/>
        <w:rPr>
          <w:rFonts w:ascii="宋体" w:hAnsi="宋体" w:cs="宋体"/>
          <w:color w:val="auto"/>
          <w:szCs w:val="21"/>
          <w:highlight w:val="none"/>
        </w:rPr>
      </w:pPr>
      <w:r>
        <w:rPr>
          <w:rFonts w:hint="eastAsia" w:ascii="宋体" w:hAnsi="宋体" w:cs="宋体"/>
          <w:color w:val="auto"/>
          <w:szCs w:val="21"/>
          <w:highlight w:val="none"/>
        </w:rPr>
        <w:t>招标人代表：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记录人：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监标人：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6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highlight w:val="none"/>
          <w:u w:val="single"/>
        </w:rPr>
        <w:t xml:space="preserve">      </w:t>
      </w:r>
      <w:r>
        <w:rPr>
          <w:rFonts w:hint="eastAsia" w:ascii="宋体" w:hAnsi="宋体" w:cs="宋体"/>
          <w:color w:val="auto"/>
          <w:szCs w:val="21"/>
          <w:highlight w:val="none"/>
        </w:rPr>
        <w:t>日</w:t>
      </w:r>
    </w:p>
    <w:p>
      <w:pPr>
        <w:spacing w:line="620" w:lineRule="exact"/>
        <w:rPr>
          <w:rFonts w:ascii="宋体" w:hAnsi="宋体" w:cs="宋体"/>
          <w:color w:val="auto"/>
          <w:sz w:val="20"/>
          <w:szCs w:val="20"/>
          <w:highlight w:val="none"/>
        </w:rPr>
      </w:pPr>
      <w:r>
        <w:rPr>
          <w:rFonts w:hint="eastAsia" w:ascii="宋体" w:cs="宋体"/>
          <w:bCs/>
          <w:color w:val="auto"/>
          <w:kern w:val="1"/>
          <w:szCs w:val="21"/>
          <w:highlight w:val="none"/>
        </w:rPr>
        <w:t>本表仅供参考，具体以开标时的开标记录表为准</w:t>
      </w:r>
      <w:r>
        <w:rPr>
          <w:rFonts w:hint="eastAsia" w:ascii="宋体" w:cs="宋体"/>
          <w:color w:val="auto"/>
          <w:sz w:val="24"/>
          <w:highlight w:val="none"/>
        </w:rPr>
        <w:br w:type="page"/>
      </w:r>
      <w:r>
        <w:rPr>
          <w:rFonts w:hint="eastAsia" w:ascii="宋体" w:cs="宋体"/>
          <w:color w:val="auto"/>
          <w:highlight w:val="none"/>
        </w:rPr>
        <w:t>附件二：问题澄清通知</w:t>
      </w: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问题澄清通知</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编号：</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（投标人名称）：</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（项目名称）招标的评标委员会，对你方的投标文件进行了仔细的审查，现需你方对下列问题以书面形式予以澄清：</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1.</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2.</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   </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请将上述问题的澄清于年月日时前递交至（详细地址）或传真至（传真号码）。采用传真方式的，应在年月日时前将原件递交至（详细地址）。</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评标委员会</w:t>
      </w:r>
    </w:p>
    <w:p>
      <w:pPr>
        <w:spacing w:line="440" w:lineRule="exact"/>
        <w:rPr>
          <w:rFonts w:ascii="宋体" w:hAnsi="宋体" w:cs="宋体"/>
          <w:color w:val="auto"/>
          <w:szCs w:val="21"/>
          <w:highlight w:val="none"/>
        </w:rPr>
      </w:pPr>
    </w:p>
    <w:p>
      <w:pPr>
        <w:spacing w:line="440" w:lineRule="exact"/>
        <w:ind w:firstLine="5670" w:firstLineChars="2700"/>
        <w:rPr>
          <w:rFonts w:ascii="宋体" w:hAnsi="宋体" w:cs="宋体"/>
          <w:color w:val="auto"/>
          <w:szCs w:val="21"/>
          <w:highlight w:val="none"/>
        </w:rPr>
      </w:pPr>
      <w:r>
        <w:rPr>
          <w:rFonts w:hint="eastAsia" w:ascii="宋体" w:hAnsi="宋体" w:cs="宋体"/>
          <w:color w:val="auto"/>
          <w:szCs w:val="21"/>
          <w:highlight w:val="none"/>
        </w:rPr>
        <w:t>年  月  日</w:t>
      </w: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r>
        <w:rPr>
          <w:rFonts w:hint="eastAsia" w:ascii="宋体" w:hAnsi="宋体" w:cs="宋体"/>
          <w:color w:val="auto"/>
          <w:highlight w:val="none"/>
        </w:rPr>
        <w:br w:type="page"/>
      </w:r>
    </w:p>
    <w:p>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附件三：问题的澄清</w:t>
      </w:r>
    </w:p>
    <w:p>
      <w:pPr>
        <w:spacing w:line="400" w:lineRule="exact"/>
        <w:jc w:val="center"/>
        <w:rPr>
          <w:rFonts w:ascii="宋体" w:hAnsi="宋体" w:cs="宋体"/>
          <w:color w:val="auto"/>
          <w:sz w:val="28"/>
          <w:szCs w:val="28"/>
          <w:highlight w:val="none"/>
        </w:rPr>
      </w:pPr>
    </w:p>
    <w:p>
      <w:pPr>
        <w:spacing w:line="4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问题的澄清</w:t>
      </w:r>
    </w:p>
    <w:p>
      <w:pPr>
        <w:spacing w:line="400" w:lineRule="exact"/>
        <w:ind w:firstLine="3465" w:firstLineChars="1650"/>
        <w:rPr>
          <w:rFonts w:ascii="宋体" w:hAnsi="宋体" w:cs="宋体"/>
          <w:color w:val="auto"/>
          <w:highlight w:val="none"/>
        </w:rPr>
      </w:pPr>
      <w:r>
        <w:rPr>
          <w:rFonts w:hint="eastAsia" w:ascii="宋体" w:hAnsi="宋体" w:cs="宋体"/>
          <w:color w:val="auto"/>
          <w:highlight w:val="none"/>
        </w:rPr>
        <w:t xml:space="preserve">编号： </w:t>
      </w:r>
    </w:p>
    <w:p>
      <w:pPr>
        <w:spacing w:line="40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（项目名称）招标评标委员会：</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问题澄清通知（编号：）已收悉，现澄清如下：</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1.</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2.</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　　　　　　　　　　　　　　　投标人：（盖单位章）</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法定代表人或其委托代理人：（签字）</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年  月   日</w:t>
      </w:r>
    </w:p>
    <w:p>
      <w:pPr>
        <w:spacing w:line="440" w:lineRule="exact"/>
        <w:rPr>
          <w:rFonts w:ascii="宋体" w:hAnsi="宋体" w:cs="宋体"/>
          <w:color w:val="auto"/>
          <w:highlight w:val="none"/>
        </w:rPr>
        <w:sectPr>
          <w:pgSz w:w="11906" w:h="16838"/>
          <w:pgMar w:top="1440" w:right="1083" w:bottom="1440" w:left="1083" w:header="851" w:footer="992" w:gutter="0"/>
          <w:cols w:space="0" w:num="1"/>
          <w:docGrid w:type="lines" w:linePitch="317" w:charSpace="0"/>
        </w:sectPr>
      </w:pPr>
    </w:p>
    <w:p>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附件四：评标委员会成员声明</w:t>
      </w:r>
    </w:p>
    <w:p>
      <w:pPr>
        <w:ind w:firstLine="723" w:firstLineChars="20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评标委员会成员声明</w:t>
      </w:r>
    </w:p>
    <w:p>
      <w:pPr>
        <w:spacing w:line="360" w:lineRule="auto"/>
        <w:rPr>
          <w:rFonts w:ascii="宋体" w:hAnsi="宋体" w:cs="宋体"/>
          <w:color w:val="auto"/>
          <w:sz w:val="24"/>
          <w:highlight w:val="non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本项目招标人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本人就参与</w:t>
      </w:r>
      <w:r>
        <w:rPr>
          <w:rFonts w:ascii="宋体" w:hAnsi="宋体" w:cs="宋体"/>
          <w:color w:val="auto"/>
          <w:sz w:val="24"/>
          <w:highlight w:val="none"/>
          <w:u w:val="single"/>
        </w:rPr>
        <w:t xml:space="preserve">               </w:t>
      </w:r>
      <w:r>
        <w:rPr>
          <w:rFonts w:hint="eastAsia" w:ascii="宋体" w:hAnsi="宋体" w:cs="宋体"/>
          <w:color w:val="auto"/>
          <w:sz w:val="24"/>
          <w:highlight w:val="none"/>
        </w:rPr>
        <w:t>项目的评标工作，作出郑重声明：</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如果本人违反上述声明内容，造成的后果由本人自行承担。</w:t>
      </w:r>
    </w:p>
    <w:p>
      <w:pPr>
        <w:pStyle w:val="35"/>
        <w:rPr>
          <w:rFonts w:ascii="宋体" w:hAnsi="宋体" w:cs="宋体"/>
          <w:color w:val="auto"/>
          <w:highlight w:val="none"/>
        </w:rPr>
      </w:pPr>
      <w:r>
        <w:rPr>
          <w:rFonts w:ascii="宋体" w:hAnsi="宋体" w:cs="宋体"/>
          <w:color w:val="auto"/>
          <w:sz w:val="24"/>
          <w:szCs w:val="24"/>
          <w:highlight w:val="none"/>
        </w:rPr>
        <w:t xml:space="preserve">                             </w:t>
      </w:r>
      <w:r>
        <w:rPr>
          <w:rFonts w:hint="eastAsia" w:ascii="宋体" w:hAnsi="宋体" w:cs="宋体"/>
          <w:b/>
          <w:color w:val="auto"/>
          <w:sz w:val="24"/>
          <w:szCs w:val="24"/>
          <w:highlight w:val="none"/>
        </w:rPr>
        <w:t>声明人：</w:t>
      </w:r>
      <w:r>
        <w:rPr>
          <w:rFonts w:hint="eastAsia" w:ascii="宋体" w:hAnsi="宋体" w:cs="宋体"/>
          <w:b/>
          <w:color w:val="auto"/>
          <w:sz w:val="24"/>
          <w:szCs w:val="24"/>
          <w:highlight w:val="none"/>
          <w:u w:val="single"/>
        </w:rPr>
        <w:t>（签名）</w:t>
      </w:r>
      <w:r>
        <w:rPr>
          <w:rFonts w:ascii="宋体" w:hAnsi="宋体" w:cs="宋体"/>
          <w:b/>
          <w:color w:val="auto"/>
          <w:sz w:val="24"/>
          <w:szCs w:val="24"/>
          <w:highlight w:val="none"/>
          <w:u w:val="single"/>
        </w:rPr>
        <w:t xml:space="preserve">  </w:t>
      </w:r>
    </w:p>
    <w:p>
      <w:pPr>
        <w:pStyle w:val="35"/>
        <w:ind w:firstLine="0"/>
        <w:rPr>
          <w:rFonts w:ascii="宋体" w:hAnsi="宋体" w:cs="宋体"/>
          <w:color w:val="auto"/>
          <w:highlight w:val="none"/>
        </w:rPr>
      </w:pPr>
    </w:p>
    <w:p>
      <w:pPr>
        <w:pStyle w:val="2"/>
        <w:jc w:val="center"/>
        <w:rPr>
          <w:rFonts w:ascii="宋体" w:hAnsi="宋体" w:cs="宋体"/>
          <w:color w:val="auto"/>
          <w:highlight w:val="none"/>
        </w:rPr>
      </w:pPr>
      <w:bookmarkStart w:id="54" w:name="_Toc8061"/>
      <w:r>
        <w:rPr>
          <w:rFonts w:hint="eastAsia" w:ascii="宋体" w:hAnsi="宋体" w:cs="宋体"/>
          <w:color w:val="auto"/>
          <w:highlight w:val="none"/>
        </w:rPr>
        <w:t>第三章 评标办法（综合评估法）</w:t>
      </w:r>
      <w:bookmarkEnd w:id="54"/>
    </w:p>
    <w:p>
      <w:pPr>
        <w:pStyle w:val="3"/>
        <w:jc w:val="left"/>
        <w:rPr>
          <w:rFonts w:ascii="宋体" w:hAnsi="宋体" w:eastAsia="宋体" w:cs="宋体"/>
          <w:color w:val="auto"/>
          <w:highlight w:val="none"/>
        </w:rPr>
      </w:pPr>
      <w:bookmarkStart w:id="55" w:name="_Toc7000"/>
      <w:r>
        <w:rPr>
          <w:rFonts w:hint="eastAsia" w:ascii="宋体" w:hAnsi="宋体" w:eastAsia="宋体" w:cs="宋体"/>
          <w:color w:val="auto"/>
          <w:highlight w:val="none"/>
        </w:rPr>
        <w:t>评标办法前附表</w:t>
      </w:r>
      <w:bookmarkEnd w:id="55"/>
    </w:p>
    <w:tbl>
      <w:tblPr>
        <w:tblStyle w:val="37"/>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93"/>
        <w:gridCol w:w="1014"/>
        <w:gridCol w:w="986"/>
        <w:gridCol w:w="835"/>
        <w:gridCol w:w="371"/>
        <w:gridCol w:w="51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3"/>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2.1.1</w:t>
            </w:r>
          </w:p>
        </w:tc>
        <w:tc>
          <w:tcPr>
            <w:tcW w:w="1107" w:type="dxa"/>
            <w:gridSpan w:val="2"/>
            <w:vMerge w:val="restart"/>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法定代表人证明及授权</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投标文件中有有效的法定代表人证明书，或由委托代理人签字或盖章的投标文件中有法定代表人证明书和授权委托证明书（如授权代表，须提供授权委托代理人2025年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月由社保行政主管部门出具的社保证明资料）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投标承诺函</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投标承诺函内容与招标文件规定一致，且按规定加盖投标人电子印章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符合第七章“投标文件格式” （格式2、4、8）的要求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报价唯一</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新宋体" w:hAnsi="新宋体" w:eastAsia="新宋体" w:cs="新宋体"/>
                <w:b w:val="0"/>
                <w:bCs/>
                <w:color w:val="auto"/>
                <w:szCs w:val="21"/>
                <w:highlight w:val="none"/>
              </w:rPr>
              <w:t>投标保证金递交情况</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新宋体" w:hAnsi="新宋体" w:eastAsia="新宋体" w:cs="新宋体"/>
                <w:color w:val="auto"/>
                <w:szCs w:val="21"/>
                <w:highlight w:val="none"/>
              </w:rPr>
              <w:t>按招标文件要求递交投标保证金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机器特征码</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本项目不同投标人的加密打包投标文件电脑机器特征码不一致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备选投标方案</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2.1.2</w:t>
            </w:r>
          </w:p>
        </w:tc>
        <w:tc>
          <w:tcPr>
            <w:tcW w:w="1107" w:type="dxa"/>
            <w:gridSpan w:val="2"/>
            <w:vMerge w:val="restart"/>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资格评审标准</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资质等级</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财务状况</w:t>
            </w:r>
          </w:p>
        </w:tc>
        <w:tc>
          <w:tcPr>
            <w:tcW w:w="5528" w:type="dxa"/>
            <w:gridSpan w:val="2"/>
            <w:tcBorders>
              <w:top w:val="single" w:color="auto" w:sz="4" w:space="0"/>
              <w:left w:val="single" w:color="auto" w:sz="4" w:space="0"/>
              <w:bottom w:val="single" w:color="auto" w:sz="4" w:space="0"/>
              <w:right w:val="single" w:color="auto" w:sz="4" w:space="0"/>
            </w:tcBorders>
          </w:tcPr>
          <w:p>
            <w:pPr>
              <w:spacing w:line="440" w:lineRule="exact"/>
              <w:jc w:val="left"/>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jc w:val="center"/>
              <w:textAlignment w:val="baseline"/>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类似项目业绩</w:t>
            </w:r>
          </w:p>
        </w:tc>
        <w:tc>
          <w:tcPr>
            <w:tcW w:w="5528"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440" w:lineRule="exact"/>
              <w:jc w:val="left"/>
              <w:textAlignment w:val="baseline"/>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w:t>
            </w:r>
            <w:r>
              <w:rPr>
                <w:rFonts w:ascii="新宋体" w:hAnsi="新宋体" w:eastAsia="新宋体" w:cs="新宋体"/>
                <w:strike/>
                <w:color w:val="auto"/>
                <w:szCs w:val="21"/>
                <w:highlight w:val="none"/>
              </w:rPr>
              <w:t>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信誉</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u w:val="single"/>
              </w:rPr>
              <w:t>项目负责人（兼施工负责人）</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25"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设计负责人</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新宋体" w:hAnsi="新宋体" w:eastAsia="新宋体" w:cs="新宋体"/>
                <w:strike/>
                <w:color w:val="auto"/>
                <w:szCs w:val="21"/>
                <w:highlight w:val="none"/>
              </w:rPr>
              <w:t>施工负责人</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技术负责人</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u w:val="single"/>
              </w:rPr>
            </w:pPr>
            <w:r>
              <w:rPr>
                <w:rFonts w:hint="eastAsia" w:ascii="宋体" w:hAnsi="宋体" w:cs="宋体"/>
                <w:color w:val="auto"/>
                <w:szCs w:val="21"/>
                <w:highlight w:val="none"/>
                <w:u w:val="singl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专职安全员</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2.1.3（1）</w:t>
            </w:r>
          </w:p>
        </w:tc>
        <w:tc>
          <w:tcPr>
            <w:tcW w:w="1107" w:type="dxa"/>
            <w:gridSpan w:val="2"/>
            <w:vMerge w:val="restart"/>
            <w:tcBorders>
              <w:top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设计方案文件响应性评审标准</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暗标形式</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投标人未在设计方案上标注或做任何可以辨认投标人及专业技术人员身份的名称、印章、商标、图形等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明标暗标互相印章</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投标文件未通过明标、暗标中包含的相同内容（如报价等）互相印证、辨认投标人身份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u w:val="single"/>
              </w:rPr>
            </w:pPr>
            <w:r>
              <w:rPr>
                <w:rFonts w:hint="eastAsia" w:ascii="宋体" w:hAnsi="宋体" w:cs="宋体"/>
                <w:color w:val="auto"/>
                <w:highlight w:val="none"/>
                <w:u w:val="single"/>
              </w:rPr>
              <w:t>抄袭行为</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u w:val="single"/>
              </w:rPr>
            </w:pPr>
            <w:r>
              <w:rPr>
                <w:rFonts w:hint="eastAsia" w:ascii="宋体" w:hAnsi="宋体" w:cs="宋体"/>
                <w:color w:val="auto"/>
                <w:szCs w:val="21"/>
                <w:highlight w:val="none"/>
                <w:u w:val="single"/>
              </w:rPr>
              <w:t>投标文件未</w:t>
            </w:r>
            <w:r>
              <w:rPr>
                <w:rFonts w:hint="eastAsia" w:ascii="宋体" w:hAnsi="宋体" w:cs="宋体"/>
                <w:color w:val="auto"/>
                <w:highlight w:val="none"/>
                <w:u w:val="single"/>
              </w:rPr>
              <w:t>发现明显抄袭行为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u w:val="single"/>
              </w:rPr>
            </w:pPr>
            <w:r>
              <w:rPr>
                <w:rFonts w:hint="eastAsia" w:ascii="宋体" w:hAnsi="宋体" w:cs="宋体"/>
                <w:color w:val="auto"/>
                <w:highlight w:val="none"/>
                <w:u w:val="single"/>
              </w:rPr>
              <w:t>著作权和特许权</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u w:val="single"/>
              </w:rPr>
            </w:pPr>
            <w:r>
              <w:rPr>
                <w:rFonts w:hint="eastAsia" w:ascii="宋体" w:hAnsi="宋体" w:cs="宋体"/>
                <w:color w:val="auto"/>
                <w:szCs w:val="21"/>
                <w:highlight w:val="none"/>
                <w:u w:val="single"/>
              </w:rPr>
              <w:t>投标文件未</w:t>
            </w:r>
            <w:r>
              <w:rPr>
                <w:rFonts w:hint="eastAsia" w:ascii="宋体" w:hAnsi="宋体" w:cs="宋体"/>
                <w:color w:val="auto"/>
                <w:highlight w:val="none"/>
                <w:u w:val="single"/>
              </w:rPr>
              <w:t>发现侵犯他人著作权和特许权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合法合规性</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投标人之间不存在《广东省实施&lt;中华人民共和国招标投标法&gt;办法》第十六条所禁止的情形的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2.1.3</w:t>
            </w:r>
          </w:p>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107" w:type="dxa"/>
            <w:gridSpan w:val="2"/>
            <w:vMerge w:val="restart"/>
            <w:tcBorders>
              <w:top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工程承包实施方案响应性评审标准</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符合第二章“投标人须知”第3.2.4项规定且不低于企业成本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top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工期</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900" w:type="dxa"/>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算术复核</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投标单位未存在算术复核后的投标报价与原投标报价相比存在1%或以上误差的；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bottom w:val="single" w:color="auto" w:sz="4" w:space="0"/>
              <w:right w:val="single" w:color="auto" w:sz="4" w:space="0"/>
            </w:tcBorders>
            <w:vAlign w:val="center"/>
          </w:tcPr>
          <w:p>
            <w:pPr>
              <w:spacing w:line="440" w:lineRule="exact"/>
              <w:rPr>
                <w:rFonts w:ascii="宋体" w:hAnsi="宋体" w:cs="宋体"/>
                <w:color w:val="auto"/>
                <w:szCs w:val="21"/>
                <w:highlight w:val="none"/>
              </w:rPr>
            </w:pPr>
          </w:p>
        </w:tc>
        <w:tc>
          <w:tcPr>
            <w:tcW w:w="1107" w:type="dxa"/>
            <w:gridSpan w:val="2"/>
            <w:vMerge w:val="continue"/>
            <w:tcBorders>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合法合规性</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投标人之间不存在《广东省实施&lt;中华人民共和国招标投标法&gt;办法》第十六条所禁止的情形的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3"/>
            <w:tcBorders>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条款内容</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b/>
                <w:color w:val="auto"/>
                <w:szCs w:val="21"/>
                <w:highlight w:val="none"/>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3"/>
            <w:tcBorders>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分值构成</w:t>
            </w:r>
          </w:p>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(总分100分)</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pStyle w:val="35"/>
              <w:ind w:firstLine="0"/>
              <w:rPr>
                <w:rFonts w:ascii="宋体" w:hAnsi="宋体"/>
                <w:color w:val="auto"/>
                <w:kern w:val="2"/>
                <w:sz w:val="21"/>
                <w:szCs w:val="21"/>
                <w:highlight w:val="none"/>
              </w:rPr>
            </w:pPr>
            <w:r>
              <w:rPr>
                <w:rFonts w:hint="eastAsia" w:ascii="宋体" w:hAnsi="宋体"/>
                <w:color w:val="auto"/>
                <w:kern w:val="2"/>
                <w:sz w:val="21"/>
                <w:szCs w:val="21"/>
                <w:highlight w:val="none"/>
              </w:rPr>
              <w:t>投标人总得分（满分100分）=设计标方案部分得分（100分×权重 （30%）+施工标部分得分（100分）×权重（70%）</w:t>
            </w:r>
          </w:p>
          <w:p>
            <w:pPr>
              <w:pStyle w:val="35"/>
              <w:ind w:firstLine="0"/>
              <w:rPr>
                <w:rFonts w:ascii="宋体" w:hAnsi="宋体"/>
                <w:color w:val="auto"/>
                <w:kern w:val="2"/>
                <w:sz w:val="21"/>
                <w:szCs w:val="21"/>
                <w:highlight w:val="none"/>
              </w:rPr>
            </w:pPr>
            <w:r>
              <w:rPr>
                <w:rFonts w:hint="eastAsia" w:ascii="宋体" w:hAnsi="宋体"/>
                <w:color w:val="auto"/>
                <w:kern w:val="2"/>
                <w:sz w:val="21"/>
                <w:szCs w:val="21"/>
                <w:highlight w:val="none"/>
              </w:rPr>
              <w:t>其中：施工标部分得分=工程承包实施方案得分（100分）×权重（50%）+投标报价得分（100分）×权重（50%）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3"/>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pStyle w:val="35"/>
              <w:ind w:firstLine="41"/>
              <w:jc w:val="left"/>
              <w:rPr>
                <w:rFonts w:ascii="宋体" w:hAnsi="宋体" w:cs="宋体"/>
                <w:color w:val="auto"/>
                <w:kern w:val="2"/>
                <w:sz w:val="21"/>
                <w:szCs w:val="21"/>
                <w:highlight w:val="none"/>
                <w:lang w:val="zh-TW" w:eastAsia="zh-TW"/>
              </w:rPr>
            </w:pPr>
            <w:r>
              <w:rPr>
                <w:rFonts w:hint="eastAsia" w:ascii="宋体" w:hAnsi="宋体"/>
                <w:color w:val="auto"/>
                <w:kern w:val="2"/>
                <w:sz w:val="21"/>
                <w:szCs w:val="21"/>
                <w:highlight w:val="none"/>
              </w:rPr>
              <w:t>通过设计文件有效性审查和工程承包实施方案响应性审查且经算术校核的投标总报价位于[投标总报价最高限价×94%，投标总报价最高限价]区间的投标人超过5家时，在经算术校核的位于[投标总报价最高限价×94%，投标总报价最高限价]区间的投标人的投标总报价中，去掉一个最高价和一个最低价后，取剩余报价的算术平均值为评标参考价；通过工程承包实施方案响应性审查且经算术校核的投标总报价位于[投标总报价最高限价×94%，投标总报价最高限价]区间的投标人少于5家（含5家）时，直接取投标总报价最高限价×94%为评标参考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007" w:type="dxa"/>
            <w:gridSpan w:val="3"/>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1821" w:type="dxa"/>
            <w:gridSpan w:val="2"/>
            <w:tcBorders>
              <w:top w:val="single" w:color="auto" w:sz="4" w:space="0"/>
              <w:left w:val="single" w:color="auto" w:sz="4" w:space="0"/>
              <w:right w:val="single" w:color="auto" w:sz="4" w:space="0"/>
            </w:tcBorders>
            <w:vAlign w:val="center"/>
          </w:tcPr>
          <w:p>
            <w:pPr>
              <w:spacing w:line="440" w:lineRule="exact"/>
              <w:jc w:val="center"/>
              <w:rPr>
                <w:rFonts w:ascii="宋体" w:hAnsi="宋体" w:cs="宋体"/>
                <w:color w:val="auto"/>
                <w:szCs w:val="21"/>
                <w:highlight w:val="none"/>
                <w:lang w:val="zh-TW" w:eastAsia="zh-TW"/>
              </w:rPr>
            </w:pPr>
            <w:r>
              <w:rPr>
                <w:rFonts w:hint="eastAsia" w:ascii="宋体" w:hAnsi="宋体" w:cs="宋体"/>
                <w:color w:val="auto"/>
                <w:szCs w:val="21"/>
                <w:highlight w:val="none"/>
                <w:lang w:val="zh-TW" w:eastAsia="zh-TW"/>
              </w:rPr>
              <w:t>投标报价的偏差率计算公式</w:t>
            </w:r>
          </w:p>
        </w:tc>
        <w:tc>
          <w:tcPr>
            <w:tcW w:w="5528" w:type="dxa"/>
            <w:gridSpan w:val="2"/>
            <w:tcBorders>
              <w:top w:val="single" w:color="auto" w:sz="4" w:space="0"/>
              <w:left w:val="single" w:color="auto" w:sz="4" w:space="0"/>
              <w:right w:val="single" w:color="auto" w:sz="4" w:space="0"/>
            </w:tcBorders>
            <w:vAlign w:val="center"/>
          </w:tcPr>
          <w:p>
            <w:pPr>
              <w:spacing w:line="440" w:lineRule="exact"/>
              <w:jc w:val="center"/>
              <w:rPr>
                <w:rFonts w:ascii="宋体" w:hAnsi="宋体" w:cs="宋体"/>
                <w:color w:val="auto"/>
                <w:szCs w:val="21"/>
                <w:highlight w:val="none"/>
                <w:lang w:val="zh-TW" w:eastAsia="zh-TW"/>
              </w:rPr>
            </w:pPr>
            <w:r>
              <w:rPr>
                <w:rFonts w:hint="eastAsia" w:ascii="宋体" w:hAnsi="宋体" w:cs="宋体"/>
                <w:color w:val="auto"/>
                <w:szCs w:val="21"/>
                <w:highlight w:val="none"/>
                <w:lang w:val="zh-TW" w:eastAsia="zh-TW"/>
              </w:rPr>
              <w:t>偏差率=100%</w:t>
            </w:r>
            <w:r>
              <w:rPr>
                <w:rFonts w:ascii="宋体" w:hAnsi="宋体" w:cs="Arial"/>
                <w:color w:val="auto"/>
                <w:szCs w:val="21"/>
                <w:highlight w:val="none"/>
                <w:lang w:val="zh-TW" w:eastAsia="zh-TW"/>
              </w:rPr>
              <w:t>×</w:t>
            </w:r>
            <w:r>
              <w:rPr>
                <w:rFonts w:hint="eastAsia" w:ascii="宋体" w:hAnsi="宋体" w:cs="宋体"/>
                <w:color w:val="auto"/>
                <w:szCs w:val="21"/>
                <w:highlight w:val="none"/>
                <w:lang w:val="zh-TW" w:eastAsia="zh-TW"/>
              </w:rPr>
              <w:t>（投标人总报价－评标基准价）/评标基准价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3"/>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b/>
                <w:color w:val="auto"/>
                <w:szCs w:val="21"/>
                <w:highlight w:val="none"/>
              </w:rPr>
              <w:t>条款号</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评分因素</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gridSpan w:val="2"/>
            <w:vMerge w:val="restart"/>
            <w:tcBorders>
              <w:top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2.2.4（1）</w:t>
            </w:r>
          </w:p>
        </w:tc>
        <w:tc>
          <w:tcPr>
            <w:tcW w:w="1014" w:type="dxa"/>
            <w:vMerge w:val="restart"/>
            <w:tcBorders>
              <w:top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设计方案评分标准</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lang w:val="zh-TW" w:eastAsia="zh-TW"/>
              </w:rPr>
            </w:pPr>
            <w:r>
              <w:rPr>
                <w:rFonts w:hint="eastAsia" w:ascii="宋体" w:hAnsi="宋体" w:cs="宋体"/>
                <w:color w:val="auto"/>
                <w:szCs w:val="21"/>
                <w:highlight w:val="none"/>
                <w:lang w:val="zh-TW" w:eastAsia="zh-TW"/>
              </w:rPr>
              <w:t>设计理念（</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val="zh-TW" w:eastAsia="zh-TW"/>
              </w:rPr>
              <w:t>分）</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left"/>
              <w:rPr>
                <w:rFonts w:ascii="宋体" w:hAnsi="宋体" w:cs="宋体"/>
                <w:color w:val="auto"/>
                <w:sz w:val="24"/>
                <w:highlight w:val="none"/>
              </w:rPr>
            </w:pPr>
            <w:r>
              <w:rPr>
                <w:rFonts w:hint="eastAsia" w:ascii="宋体" w:hAnsi="宋体"/>
                <w:color w:val="auto"/>
                <w:highlight w:val="none"/>
              </w:rPr>
              <w:t>符合本项目的装修改造设计要求，与五星级饭店风格相协调</w:t>
            </w:r>
            <w:r>
              <w:rPr>
                <w:rFonts w:hint="eastAsia" w:ascii="宋体" w:hAnsi="宋体"/>
                <w:color w:val="auto"/>
                <w:szCs w:val="21"/>
                <w:highlight w:val="none"/>
              </w:rPr>
              <w:t>，打造现代化先进星级酒店品质，</w:t>
            </w:r>
            <w:r>
              <w:rPr>
                <w:rFonts w:hint="eastAsia" w:ascii="宋体" w:hAnsi="宋体"/>
                <w:color w:val="auto"/>
                <w:highlight w:val="none"/>
              </w:rPr>
              <w:t>通过精心设计，</w:t>
            </w:r>
            <w:r>
              <w:rPr>
                <w:rFonts w:hint="eastAsia" w:ascii="宋体" w:hAnsi="宋体"/>
                <w:color w:val="auto"/>
                <w:szCs w:val="21"/>
                <w:highlight w:val="none"/>
              </w:rPr>
              <w:t>应营造以休闲、健康体验融合、创意性、舒适性为主题的设计理念。注重空间和谐统一，充分考虑对外展示形象；空间组合与周边环境和区域定位发展相协调性。</w:t>
            </w:r>
          </w:p>
          <w:p>
            <w:pPr>
              <w:spacing w:line="320" w:lineRule="exact"/>
              <w:jc w:val="left"/>
              <w:rPr>
                <w:rFonts w:ascii="宋体" w:hAnsi="宋体"/>
                <w:color w:val="auto"/>
                <w:szCs w:val="21"/>
                <w:highlight w:val="none"/>
              </w:rPr>
            </w:pPr>
            <w:r>
              <w:rPr>
                <w:rFonts w:hint="eastAsia" w:ascii="宋体" w:hAnsi="宋体"/>
                <w:color w:val="auto"/>
                <w:szCs w:val="21"/>
                <w:highlight w:val="none"/>
              </w:rPr>
              <w:t>优得[</w:t>
            </w:r>
            <w:r>
              <w:rPr>
                <w:rFonts w:hint="eastAsia" w:ascii="宋体" w:hAnsi="宋体"/>
                <w:color w:val="auto"/>
                <w:szCs w:val="21"/>
                <w:highlight w:val="none"/>
                <w:lang w:val="en-US" w:eastAsia="zh-CN"/>
              </w:rPr>
              <w:t>15</w:t>
            </w:r>
            <w:r>
              <w:rPr>
                <w:rFonts w:hint="eastAsia" w:ascii="宋体" w:hAnsi="宋体"/>
                <w:color w:val="auto"/>
                <w:szCs w:val="21"/>
                <w:highlight w:val="none"/>
              </w:rPr>
              <w:t>-</w:t>
            </w:r>
            <w:r>
              <w:rPr>
                <w:rFonts w:hint="eastAsia" w:ascii="宋体" w:hAnsi="宋体"/>
                <w:color w:val="auto"/>
                <w:szCs w:val="21"/>
                <w:highlight w:val="none"/>
                <w:lang w:val="en-US" w:eastAsia="zh-CN"/>
              </w:rPr>
              <w:t>12</w:t>
            </w:r>
            <w:r>
              <w:rPr>
                <w:rFonts w:hint="eastAsia" w:ascii="宋体" w:hAnsi="宋体"/>
                <w:color w:val="auto"/>
                <w:szCs w:val="21"/>
                <w:highlight w:val="none"/>
              </w:rPr>
              <w:t>)分；良得[</w:t>
            </w:r>
            <w:r>
              <w:rPr>
                <w:rFonts w:hint="eastAsia" w:ascii="宋体" w:hAnsi="宋体"/>
                <w:color w:val="auto"/>
                <w:szCs w:val="21"/>
                <w:highlight w:val="none"/>
                <w:lang w:val="en-US" w:eastAsia="zh-CN"/>
              </w:rPr>
              <w:t>12</w:t>
            </w: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）分；中得[</w:t>
            </w:r>
            <w:r>
              <w:rPr>
                <w:rFonts w:hint="eastAsia" w:ascii="宋体" w:hAnsi="宋体"/>
                <w:color w:val="auto"/>
                <w:szCs w:val="21"/>
                <w:highlight w:val="none"/>
                <w:lang w:val="en-US" w:eastAsia="zh-CN"/>
              </w:rPr>
              <w:t>8</w:t>
            </w:r>
            <w:r>
              <w:rPr>
                <w:rFonts w:hint="eastAsia" w:ascii="宋体" w:hAnsi="宋体"/>
                <w:color w:val="auto"/>
                <w:szCs w:val="21"/>
                <w:highlight w:val="none"/>
              </w:rPr>
              <w:t>-5）分；差得[5-0)分；未提供得0分。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gridSpan w:val="2"/>
            <w:vMerge w:val="continue"/>
            <w:tcBorders>
              <w:right w:val="single" w:color="auto" w:sz="4" w:space="0"/>
            </w:tcBorders>
            <w:vAlign w:val="center"/>
          </w:tcPr>
          <w:p>
            <w:pPr>
              <w:spacing w:line="440" w:lineRule="exact"/>
              <w:jc w:val="center"/>
              <w:rPr>
                <w:rFonts w:ascii="宋体" w:hAnsi="宋体" w:cs="宋体"/>
                <w:b/>
                <w:color w:val="auto"/>
                <w:szCs w:val="21"/>
                <w:highlight w:val="none"/>
              </w:rPr>
            </w:pPr>
          </w:p>
        </w:tc>
        <w:tc>
          <w:tcPr>
            <w:tcW w:w="1014" w:type="dxa"/>
            <w:vMerge w:val="continue"/>
            <w:tcBorders>
              <w:right w:val="single" w:color="auto" w:sz="4" w:space="0"/>
            </w:tcBorders>
            <w:vAlign w:val="center"/>
          </w:tcPr>
          <w:p>
            <w:pPr>
              <w:spacing w:line="440" w:lineRule="exact"/>
              <w:jc w:val="center"/>
              <w:rPr>
                <w:rFonts w:ascii="宋体" w:hAnsi="宋体" w:cs="宋体"/>
                <w:b/>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lang w:val="zh-TW" w:eastAsia="zh-TW"/>
              </w:rPr>
            </w:pPr>
            <w:r>
              <w:rPr>
                <w:rFonts w:hint="eastAsia" w:ascii="宋体" w:hAnsi="宋体" w:cs="宋体"/>
                <w:color w:val="auto"/>
                <w:szCs w:val="21"/>
                <w:highlight w:val="none"/>
                <w:lang w:val="zh-TW" w:eastAsia="zh-TW"/>
              </w:rPr>
              <w:t>布局功能（2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eastAsia="zh-TW"/>
              </w:rPr>
              <w:t>分）</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auto"/>
                <w:szCs w:val="21"/>
                <w:highlight w:val="none"/>
              </w:rPr>
            </w:pPr>
            <w:r>
              <w:rPr>
                <w:rFonts w:hint="eastAsia" w:ascii="宋体" w:hAnsi="宋体"/>
                <w:color w:val="auto"/>
                <w:szCs w:val="21"/>
                <w:highlight w:val="none"/>
              </w:rPr>
              <w:t>符合相关规范和任务书的要求，综合统筹。功能分区明确，方便运营管理。满足使用需求，</w:t>
            </w:r>
            <w:r>
              <w:rPr>
                <w:rFonts w:hint="eastAsia" w:ascii="宋体" w:hAnsi="宋体"/>
                <w:color w:val="auto"/>
                <w:highlight w:val="none"/>
              </w:rPr>
              <w:t>具有预见性和适应性，舒适实用，功能齐全、满足使用要求，有充分的可实施性</w:t>
            </w:r>
            <w:r>
              <w:rPr>
                <w:rFonts w:hint="eastAsia" w:ascii="宋体" w:hAnsi="宋体"/>
                <w:color w:val="auto"/>
                <w:szCs w:val="21"/>
                <w:highlight w:val="none"/>
              </w:rPr>
              <w:t>。</w:t>
            </w:r>
          </w:p>
          <w:p>
            <w:pPr>
              <w:spacing w:line="320" w:lineRule="exact"/>
              <w:jc w:val="left"/>
              <w:rPr>
                <w:rFonts w:ascii="宋体" w:hAnsi="宋体"/>
                <w:color w:val="auto"/>
                <w:szCs w:val="21"/>
                <w:highlight w:val="none"/>
              </w:rPr>
            </w:pPr>
            <w:r>
              <w:rPr>
                <w:rFonts w:hint="eastAsia" w:ascii="宋体" w:hAnsi="宋体"/>
                <w:color w:val="auto"/>
                <w:szCs w:val="21"/>
                <w:highlight w:val="none"/>
              </w:rPr>
              <w:t>优得[25-20)分；良得[20-12）分；中得[12-5）分；差得[5-0)分；未提供得0分。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993" w:type="dxa"/>
            <w:gridSpan w:val="2"/>
            <w:vMerge w:val="continue"/>
            <w:tcBorders>
              <w:right w:val="single" w:color="auto" w:sz="4" w:space="0"/>
            </w:tcBorders>
            <w:vAlign w:val="center"/>
          </w:tcPr>
          <w:p>
            <w:pPr>
              <w:spacing w:line="440" w:lineRule="exact"/>
              <w:jc w:val="center"/>
              <w:rPr>
                <w:rFonts w:ascii="宋体" w:hAnsi="宋体" w:cs="宋体"/>
                <w:b/>
                <w:color w:val="auto"/>
                <w:szCs w:val="21"/>
                <w:highlight w:val="none"/>
              </w:rPr>
            </w:pPr>
          </w:p>
        </w:tc>
        <w:tc>
          <w:tcPr>
            <w:tcW w:w="1014" w:type="dxa"/>
            <w:vMerge w:val="continue"/>
            <w:tcBorders>
              <w:right w:val="single" w:color="auto" w:sz="4" w:space="0"/>
            </w:tcBorders>
            <w:vAlign w:val="center"/>
          </w:tcPr>
          <w:p>
            <w:pPr>
              <w:spacing w:line="440" w:lineRule="exact"/>
              <w:jc w:val="center"/>
              <w:rPr>
                <w:rFonts w:ascii="宋体" w:hAnsi="宋体" w:cs="宋体"/>
                <w:b/>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lang w:val="zh-TW" w:eastAsia="zh-TW"/>
              </w:rPr>
            </w:pPr>
            <w:r>
              <w:rPr>
                <w:rFonts w:hint="eastAsia" w:ascii="宋体" w:hAnsi="宋体" w:cs="宋体"/>
                <w:color w:val="auto"/>
                <w:szCs w:val="21"/>
                <w:highlight w:val="none"/>
                <w:lang w:val="zh-TW" w:eastAsia="zh-TW"/>
              </w:rPr>
              <w:t>空间设计（2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eastAsia="zh-TW"/>
              </w:rPr>
              <w:t>分）</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auto"/>
                <w:szCs w:val="21"/>
                <w:highlight w:val="none"/>
              </w:rPr>
            </w:pPr>
            <w:r>
              <w:rPr>
                <w:rFonts w:hint="eastAsia" w:ascii="宋体" w:hAnsi="宋体"/>
                <w:color w:val="auto"/>
                <w:szCs w:val="21"/>
                <w:highlight w:val="none"/>
              </w:rPr>
              <w:t>设计形式新颖、精致、大气，符合相应功能需求，可实施性强。尺度适宜，适应不同适用人群的使用要求。空间亲和的设计手法，在材料选择上应较为温和，体现温馨感。色彩、材质搭配协调。灯光渲染气氛与功能需求匹配，色温、照度设计合理，考虑视力保护。</w:t>
            </w:r>
          </w:p>
          <w:p>
            <w:pPr>
              <w:spacing w:line="320" w:lineRule="exact"/>
              <w:jc w:val="left"/>
              <w:rPr>
                <w:rFonts w:ascii="宋体" w:hAnsi="宋体"/>
                <w:color w:val="auto"/>
                <w:szCs w:val="21"/>
                <w:highlight w:val="none"/>
              </w:rPr>
            </w:pPr>
            <w:r>
              <w:rPr>
                <w:rFonts w:hint="eastAsia" w:ascii="宋体" w:hAnsi="宋体"/>
                <w:color w:val="auto"/>
                <w:szCs w:val="21"/>
                <w:highlight w:val="none"/>
              </w:rPr>
              <w:t>优得[25-20)分；良得[20-12）分；中得[12-5）分；差得[5-0)分；未提供得0分。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993" w:type="dxa"/>
            <w:gridSpan w:val="2"/>
            <w:vMerge w:val="continue"/>
            <w:tcBorders>
              <w:right w:val="single" w:color="auto" w:sz="4" w:space="0"/>
            </w:tcBorders>
            <w:vAlign w:val="center"/>
          </w:tcPr>
          <w:p>
            <w:pPr>
              <w:spacing w:line="440" w:lineRule="exact"/>
              <w:jc w:val="center"/>
              <w:rPr>
                <w:rFonts w:ascii="宋体" w:hAnsi="宋体" w:cs="宋体"/>
                <w:b/>
                <w:color w:val="auto"/>
                <w:szCs w:val="21"/>
                <w:highlight w:val="none"/>
              </w:rPr>
            </w:pPr>
          </w:p>
        </w:tc>
        <w:tc>
          <w:tcPr>
            <w:tcW w:w="1014" w:type="dxa"/>
            <w:vMerge w:val="continue"/>
            <w:tcBorders>
              <w:right w:val="single" w:color="auto" w:sz="4" w:space="0"/>
            </w:tcBorders>
            <w:vAlign w:val="center"/>
          </w:tcPr>
          <w:p>
            <w:pPr>
              <w:spacing w:line="440" w:lineRule="exact"/>
              <w:jc w:val="center"/>
              <w:rPr>
                <w:rFonts w:ascii="宋体" w:hAnsi="宋体" w:cs="宋体"/>
                <w:b/>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lang w:val="zh-TW" w:eastAsia="zh-TW"/>
              </w:rPr>
            </w:pPr>
            <w:r>
              <w:rPr>
                <w:rFonts w:hint="eastAsia" w:ascii="宋体" w:cs="宋体"/>
                <w:color w:val="auto"/>
                <w:szCs w:val="21"/>
                <w:highlight w:val="none"/>
              </w:rPr>
              <w:t>效果表现</w:t>
            </w: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5分）</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auto"/>
                <w:szCs w:val="21"/>
                <w:highlight w:val="none"/>
              </w:rPr>
            </w:pPr>
            <w:r>
              <w:rPr>
                <w:rFonts w:hint="eastAsia" w:ascii="宋体" w:hAnsi="宋体"/>
                <w:color w:val="auto"/>
                <w:szCs w:val="21"/>
                <w:highlight w:val="none"/>
              </w:rPr>
              <w:t>效果图表达应结合空间功能，充分考虑科技与艺术的结合，打造与别不同的室内空间环境，以适应新时代的可持续创新理念。</w:t>
            </w:r>
          </w:p>
          <w:p>
            <w:pPr>
              <w:spacing w:line="320" w:lineRule="exact"/>
              <w:jc w:val="left"/>
              <w:rPr>
                <w:rFonts w:ascii="宋体" w:hAnsi="宋体"/>
                <w:color w:val="auto"/>
                <w:szCs w:val="21"/>
                <w:highlight w:val="none"/>
              </w:rPr>
            </w:pPr>
            <w:r>
              <w:rPr>
                <w:rFonts w:hint="eastAsia" w:ascii="宋体" w:hAnsi="宋体"/>
                <w:color w:val="auto"/>
                <w:szCs w:val="21"/>
                <w:highlight w:val="none"/>
              </w:rPr>
              <w:t>优得[25-20)分；良得[20-12）分；中得[12-5）分；差得[5-0)分；未提供得0分。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211" w:hRule="atLeast"/>
        </w:trPr>
        <w:tc>
          <w:tcPr>
            <w:tcW w:w="993" w:type="dxa"/>
            <w:gridSpan w:val="2"/>
            <w:vMerge w:val="continue"/>
            <w:tcBorders>
              <w:right w:val="single" w:color="auto" w:sz="4" w:space="0"/>
            </w:tcBorders>
            <w:vAlign w:val="center"/>
          </w:tcPr>
          <w:p>
            <w:pPr>
              <w:spacing w:line="440" w:lineRule="exact"/>
              <w:jc w:val="center"/>
              <w:rPr>
                <w:rFonts w:ascii="宋体" w:hAnsi="宋体" w:cs="宋体"/>
                <w:b/>
                <w:color w:val="auto"/>
                <w:szCs w:val="21"/>
                <w:highlight w:val="none"/>
              </w:rPr>
            </w:pPr>
          </w:p>
        </w:tc>
        <w:tc>
          <w:tcPr>
            <w:tcW w:w="1014" w:type="dxa"/>
            <w:vMerge w:val="continue"/>
            <w:tcBorders>
              <w:right w:val="single" w:color="auto" w:sz="4" w:space="0"/>
            </w:tcBorders>
            <w:vAlign w:val="center"/>
          </w:tcPr>
          <w:p>
            <w:pPr>
              <w:spacing w:line="440" w:lineRule="exact"/>
              <w:jc w:val="center"/>
              <w:rPr>
                <w:rFonts w:ascii="宋体" w:hAnsi="宋体" w:cs="宋体"/>
                <w:b/>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color w:val="auto"/>
                <w:szCs w:val="21"/>
                <w:highlight w:val="none"/>
              </w:rPr>
            </w:pPr>
            <w:r>
              <w:rPr>
                <w:rFonts w:hint="eastAsia" w:ascii="Arial" w:hAnsi="Arial" w:cs="Arial"/>
                <w:color w:val="auto"/>
                <w:szCs w:val="21"/>
                <w:highlight w:val="none"/>
              </w:rPr>
              <w:t>绿色环保节能</w:t>
            </w:r>
            <w:r>
              <w:rPr>
                <w:rFonts w:hint="eastAsia" w:ascii="宋体" w:hAnsi="宋体" w:cs="宋体"/>
                <w:color w:val="auto"/>
                <w:highlight w:val="none"/>
              </w:rPr>
              <w:t>（10分）</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auto"/>
                <w:szCs w:val="21"/>
                <w:highlight w:val="none"/>
              </w:rPr>
            </w:pPr>
            <w:r>
              <w:rPr>
                <w:rFonts w:hint="eastAsia" w:ascii="宋体" w:hAnsi="宋体"/>
                <w:color w:val="auto"/>
                <w:szCs w:val="21"/>
                <w:highlight w:val="none"/>
              </w:rPr>
              <w:t>设计方案满足安全性、绿色和节能要求，充分利用新材料、新技术，体现智能化设计要求。在空间材料运用上符合绿色环保要求，利用节材与材料资源利用、室内环境质量、创新与提高达到绿色建筑评价指标。</w:t>
            </w:r>
          </w:p>
          <w:p>
            <w:pPr>
              <w:spacing w:line="320" w:lineRule="exact"/>
              <w:jc w:val="left"/>
              <w:rPr>
                <w:rFonts w:ascii="宋体" w:hAnsi="宋体"/>
                <w:color w:val="auto"/>
                <w:szCs w:val="21"/>
                <w:highlight w:val="none"/>
              </w:rPr>
            </w:pPr>
            <w:r>
              <w:rPr>
                <w:rFonts w:hint="eastAsia" w:ascii="宋体" w:hAnsi="宋体"/>
                <w:color w:val="auto"/>
                <w:szCs w:val="21"/>
                <w:highlight w:val="none"/>
              </w:rPr>
              <w:t>优得[10-8)分；良得[8-5）分；中得[5-2）分；差得[2-0)分；未提供得0分。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93" w:type="dxa"/>
            <w:gridSpan w:val="2"/>
            <w:vMerge w:val="restart"/>
            <w:tcBorders>
              <w:top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2.2.4（2）</w:t>
            </w:r>
          </w:p>
        </w:tc>
        <w:tc>
          <w:tcPr>
            <w:tcW w:w="1014" w:type="dxa"/>
            <w:vMerge w:val="restart"/>
            <w:tcBorders>
              <w:top w:val="single" w:color="auto" w:sz="4" w:space="0"/>
              <w:right w:val="single" w:color="auto" w:sz="4" w:space="0"/>
            </w:tcBorders>
          </w:tcPr>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p>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工程承包实施方案评分标准</w:t>
            </w:r>
          </w:p>
        </w:tc>
        <w:tc>
          <w:tcPr>
            <w:tcW w:w="986" w:type="dxa"/>
            <w:vMerge w:val="restart"/>
            <w:tcBorders>
              <w:top w:val="single" w:color="auto" w:sz="4" w:space="0"/>
              <w:left w:val="single" w:color="auto" w:sz="4" w:space="0"/>
              <w:right w:val="single" w:color="auto" w:sz="4" w:space="0"/>
            </w:tcBorders>
            <w:vAlign w:val="center"/>
          </w:tcPr>
          <w:p>
            <w:pPr>
              <w:spacing w:line="440" w:lineRule="exact"/>
              <w:rPr>
                <w:rFonts w:ascii="宋体" w:hAnsi="宋体" w:cs="宋体"/>
                <w:color w:val="auto"/>
                <w:highlight w:val="none"/>
              </w:rPr>
            </w:pPr>
            <w:r>
              <w:rPr>
                <w:rFonts w:hint="eastAsia" w:ascii="宋体" w:hAnsi="宋体" w:cs="宋体"/>
                <w:color w:val="auto"/>
                <w:highlight w:val="none"/>
              </w:rPr>
              <w:t>企业资信部分</w:t>
            </w:r>
          </w:p>
          <w:p>
            <w:pPr>
              <w:spacing w:line="440" w:lineRule="exact"/>
              <w:jc w:val="center"/>
              <w:rPr>
                <w:rFonts w:ascii="宋体" w:hAnsi="宋体" w:cs="宋体"/>
                <w:color w:val="auto"/>
                <w:szCs w:val="21"/>
                <w:highlight w:val="none"/>
              </w:rPr>
            </w:pPr>
            <w:r>
              <w:rPr>
                <w:rFonts w:hint="eastAsia" w:ascii="宋体" w:hAnsi="宋体" w:cs="宋体"/>
                <w:color w:val="auto"/>
                <w:highlight w:val="none"/>
              </w:rPr>
              <w:t>（30分）</w:t>
            </w:r>
          </w:p>
        </w:tc>
        <w:tc>
          <w:tcPr>
            <w:tcW w:w="1206" w:type="dxa"/>
            <w:gridSpan w:val="2"/>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施工业绩</w:t>
            </w:r>
          </w:p>
          <w:p>
            <w:pPr>
              <w:rPr>
                <w:rFonts w:ascii="宋体" w:hAnsi="宋体"/>
                <w:color w:val="auto"/>
                <w:szCs w:val="21"/>
                <w:highlight w:val="none"/>
              </w:rPr>
            </w:pPr>
            <w:r>
              <w:rPr>
                <w:rFonts w:hint="eastAsia" w:ascii="宋体" w:hAnsi="宋体"/>
                <w:color w:val="auto"/>
                <w:szCs w:val="21"/>
                <w:highlight w:val="none"/>
              </w:rPr>
              <w:t>（12分）</w:t>
            </w:r>
          </w:p>
        </w:tc>
        <w:tc>
          <w:tcPr>
            <w:tcW w:w="51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auto"/>
                <w:szCs w:val="21"/>
                <w:highlight w:val="none"/>
              </w:rPr>
            </w:pPr>
            <w:r>
              <w:rPr>
                <w:rFonts w:hint="eastAsia" w:ascii="宋体" w:hAnsi="宋体"/>
                <w:color w:val="auto"/>
                <w:szCs w:val="21"/>
                <w:highlight w:val="none"/>
              </w:rPr>
              <w:t>2022年1月1日至今，投标人（若为联合体，指主办方）</w:t>
            </w:r>
            <w:r>
              <w:rPr>
                <w:rFonts w:ascii="宋体" w:hAnsi="宋体"/>
                <w:color w:val="auto"/>
                <w:szCs w:val="21"/>
                <w:highlight w:val="none"/>
              </w:rPr>
              <w:t>完成过质量合格</w:t>
            </w:r>
            <w:r>
              <w:rPr>
                <w:rFonts w:hint="eastAsia" w:ascii="宋体" w:hAnsi="宋体"/>
                <w:color w:val="auto"/>
                <w:szCs w:val="21"/>
                <w:highlight w:val="none"/>
                <w:lang w:val="en-US" w:eastAsia="zh-CN"/>
              </w:rPr>
              <w:t>的类似工程业绩</w:t>
            </w:r>
            <w:r>
              <w:rPr>
                <w:rFonts w:hint="eastAsia" w:ascii="宋体" w:hAnsi="宋体"/>
                <w:color w:val="auto"/>
                <w:highlight w:val="none"/>
              </w:rPr>
              <w:t>（</w:t>
            </w:r>
            <w:r>
              <w:rPr>
                <w:rFonts w:hint="eastAsia" w:ascii="宋体" w:hAnsi="宋体"/>
                <w:color w:val="auto"/>
                <w:highlight w:val="none"/>
                <w:lang w:val="en-US" w:eastAsia="zh-CN"/>
              </w:rPr>
              <w:t>类似工程业绩是指：单项工程合同中的施工金额大于或等于1300万元的</w:t>
            </w:r>
            <w:r>
              <w:rPr>
                <w:rFonts w:hint="eastAsia" w:ascii="宋体" w:hAnsi="宋体" w:eastAsia="宋体" w:cs="宋体"/>
                <w:color w:val="auto"/>
                <w:sz w:val="21"/>
                <w:szCs w:val="21"/>
                <w:highlight w:val="none"/>
              </w:rPr>
              <w:t>建筑工程</w:t>
            </w:r>
            <w:r>
              <w:rPr>
                <w:rFonts w:hint="eastAsia" w:ascii="宋体" w:hAnsi="宋体" w:cs="宋体"/>
                <w:color w:val="auto"/>
                <w:szCs w:val="24"/>
                <w:highlight w:val="none"/>
                <w:lang w:val="zh-TW"/>
              </w:rPr>
              <w:t>施工</w:t>
            </w:r>
            <w:r>
              <w:rPr>
                <w:rFonts w:hint="eastAsia" w:ascii="宋体" w:hAnsi="宋体" w:cs="宋体"/>
                <w:color w:val="auto"/>
                <w:szCs w:val="24"/>
                <w:highlight w:val="none"/>
                <w:lang w:val="en-US" w:eastAsia="zh-CN"/>
              </w:rPr>
              <w:t>总承包</w:t>
            </w:r>
            <w:r>
              <w:rPr>
                <w:rFonts w:hint="eastAsia" w:ascii="宋体" w:hAnsi="宋体" w:cs="宋体"/>
                <w:color w:val="auto"/>
                <w:szCs w:val="24"/>
                <w:highlight w:val="none"/>
                <w:lang w:val="zh-TW"/>
              </w:rPr>
              <w:t>业绩或工程总承包（包括勘察设计施工总承包或设计施工总承包或设计采购施工总承包或勘察设计采购施工总承包等）项目中的施工部分业绩</w:t>
            </w:r>
            <w:r>
              <w:rPr>
                <w:rFonts w:hint="eastAsia" w:ascii="宋体" w:hAnsi="宋体"/>
                <w:color w:val="auto"/>
                <w:szCs w:val="21"/>
                <w:highlight w:val="none"/>
              </w:rPr>
              <w:t>，每个得6分。本项合计最高得12分。</w:t>
            </w:r>
          </w:p>
          <w:p>
            <w:pPr>
              <w:spacing w:line="320" w:lineRule="exact"/>
              <w:jc w:val="left"/>
              <w:rPr>
                <w:rFonts w:ascii="宋体" w:hAnsi="宋体"/>
                <w:color w:val="auto"/>
                <w:szCs w:val="21"/>
                <w:highlight w:val="none"/>
              </w:rPr>
            </w:pPr>
            <w:r>
              <w:rPr>
                <w:rFonts w:hint="eastAsia" w:ascii="宋体" w:hAnsi="宋体"/>
                <w:color w:val="auto"/>
                <w:szCs w:val="21"/>
                <w:highlight w:val="none"/>
              </w:rPr>
              <w:t>注：（一）业绩可取自广州市住建行业信用管理平台或者提供相关证明文件扫描件作为审核依据。</w:t>
            </w:r>
          </w:p>
          <w:p>
            <w:pPr>
              <w:spacing w:line="320" w:lineRule="exact"/>
              <w:jc w:val="left"/>
              <w:rPr>
                <w:rFonts w:ascii="宋体" w:hAnsi="宋体"/>
                <w:color w:val="auto"/>
                <w:szCs w:val="21"/>
                <w:highlight w:val="none"/>
              </w:rPr>
            </w:pPr>
            <w:r>
              <w:rPr>
                <w:rFonts w:hint="eastAsia" w:ascii="宋体" w:hAnsi="宋体"/>
                <w:color w:val="auto"/>
                <w:szCs w:val="21"/>
                <w:highlight w:val="none"/>
              </w:rPr>
              <w:t>（二）业绩取自广州市住建行业信用管理平台的：投标人须提供类似工程业绩的项目名称及业绩在广州市住建行业信用管理平台中项目编号及业绩在广州市住建行业信用管理平台的网页信息截图（网页信息截图须能清晰显示带有“住建行业信用管理平台”名称，并至少包含“项目基本信息”</w:t>
            </w:r>
            <w:r>
              <w:rPr>
                <w:rFonts w:hint="eastAsia" w:ascii="宋体" w:hAnsi="宋体"/>
                <w:color w:val="auto"/>
                <w:highlight w:val="none"/>
              </w:rPr>
              <w:t>、“验收材料”</w:t>
            </w:r>
            <w:r>
              <w:rPr>
                <w:rFonts w:hint="eastAsia" w:ascii="宋体" w:hAnsi="宋体"/>
                <w:color w:val="auto"/>
                <w:szCs w:val="21"/>
                <w:highlight w:val="none"/>
              </w:rPr>
              <w:t>等信息）以供核对（业绩相关附件的上传件取广州市住建行业信用管理平台）。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numPr>
                <w:ilvl w:val="0"/>
                <w:numId w:val="3"/>
              </w:numPr>
              <w:spacing w:line="320" w:lineRule="exact"/>
              <w:jc w:val="left"/>
              <w:rPr>
                <w:rFonts w:ascii="宋体" w:hAnsi="宋体"/>
                <w:color w:val="auto"/>
                <w:szCs w:val="21"/>
                <w:highlight w:val="none"/>
              </w:rPr>
            </w:pPr>
            <w:r>
              <w:rPr>
                <w:rFonts w:hint="eastAsia" w:ascii="宋体" w:hAnsi="宋体"/>
                <w:color w:val="auto"/>
                <w:highlight w:val="none"/>
              </w:rPr>
              <w:t>金额</w:t>
            </w:r>
            <w:r>
              <w:rPr>
                <w:rFonts w:hint="eastAsia" w:ascii="宋体" w:hAnsi="宋体"/>
                <w:color w:val="auto"/>
                <w:highlight w:val="none"/>
                <w:lang w:eastAsia="zh-CN"/>
              </w:rPr>
              <w:t>：</w:t>
            </w:r>
            <w:r>
              <w:rPr>
                <w:rFonts w:hint="eastAsia" w:ascii="宋体" w:hAnsi="宋体"/>
                <w:color w:val="auto"/>
                <w:highlight w:val="none"/>
              </w:rPr>
              <w:t>以中标通知书为准，如中标通知书上</w:t>
            </w:r>
            <w:r>
              <w:rPr>
                <w:rFonts w:hint="eastAsia" w:ascii="宋体" w:hAnsi="宋体" w:cs="宋体"/>
                <w:color w:val="auto"/>
                <w:szCs w:val="21"/>
                <w:highlight w:val="none"/>
              </w:rPr>
              <w:t>没有金额或未能体现对应的</w:t>
            </w:r>
            <w:r>
              <w:rPr>
                <w:rFonts w:hint="eastAsia" w:ascii="宋体" w:hAnsi="宋体"/>
                <w:color w:val="auto"/>
                <w:highlight w:val="none"/>
                <w:lang w:val="en-US" w:eastAsia="zh-CN"/>
              </w:rPr>
              <w:t>施工部分</w:t>
            </w:r>
            <w:r>
              <w:rPr>
                <w:rFonts w:hint="eastAsia" w:ascii="宋体" w:hAnsi="宋体" w:cs="宋体"/>
                <w:color w:val="auto"/>
                <w:szCs w:val="21"/>
                <w:highlight w:val="none"/>
              </w:rPr>
              <w:t>金额或免招标的</w:t>
            </w:r>
            <w:r>
              <w:rPr>
                <w:rFonts w:hint="eastAsia" w:ascii="宋体" w:hAnsi="宋体"/>
                <w:color w:val="auto"/>
                <w:highlight w:val="none"/>
              </w:rPr>
              <w:t>，以施工总承包合同或工程总承包合同（施工部分）（不含补充合同）</w:t>
            </w:r>
            <w:r>
              <w:rPr>
                <w:rFonts w:hint="eastAsia" w:ascii="宋体" w:hAnsi="宋体" w:cs="宋体"/>
                <w:color w:val="auto"/>
                <w:szCs w:val="21"/>
                <w:highlight w:val="none"/>
              </w:rPr>
              <w:t>中显示的</w:t>
            </w:r>
            <w:r>
              <w:rPr>
                <w:rFonts w:hint="eastAsia" w:ascii="宋体" w:hAnsi="宋体"/>
                <w:color w:val="auto"/>
                <w:highlight w:val="none"/>
                <w:lang w:val="en-US" w:eastAsia="zh-CN"/>
              </w:rPr>
              <w:t>施工部分</w:t>
            </w:r>
            <w:r>
              <w:rPr>
                <w:rFonts w:hint="eastAsia" w:ascii="宋体" w:hAnsi="宋体"/>
                <w:color w:val="auto"/>
                <w:highlight w:val="none"/>
              </w:rPr>
              <w:t>金额</w:t>
            </w:r>
            <w:r>
              <w:rPr>
                <w:rFonts w:hint="eastAsia" w:ascii="宋体" w:hAnsi="宋体" w:cs="宋体"/>
                <w:color w:val="auto"/>
                <w:szCs w:val="21"/>
                <w:highlight w:val="none"/>
              </w:rPr>
              <w:t>为准</w:t>
            </w:r>
            <w:r>
              <w:rPr>
                <w:rFonts w:hint="eastAsia" w:ascii="宋体" w:hAnsi="宋体"/>
                <w:color w:val="auto"/>
                <w:highlight w:val="none"/>
              </w:rPr>
              <w:t>。</w:t>
            </w:r>
          </w:p>
          <w:p>
            <w:pPr>
              <w:numPr>
                <w:ilvl w:val="0"/>
                <w:numId w:val="3"/>
              </w:numPr>
              <w:spacing w:line="320" w:lineRule="exact"/>
              <w:jc w:val="left"/>
              <w:rPr>
                <w:rFonts w:ascii="宋体" w:hAnsi="宋体"/>
                <w:color w:val="auto"/>
                <w:szCs w:val="21"/>
                <w:highlight w:val="none"/>
              </w:rPr>
            </w:pPr>
            <w:r>
              <w:rPr>
                <w:rFonts w:hint="eastAsia" w:ascii="宋体" w:hAnsi="宋体"/>
                <w:color w:val="auto"/>
                <w:szCs w:val="21"/>
                <w:highlight w:val="none"/>
              </w:rPr>
              <w:t>技术指标需在广州市住建行业信用管理平台内业绩上传件中反映。</w:t>
            </w:r>
          </w:p>
          <w:p>
            <w:pPr>
              <w:numPr>
                <w:ilvl w:val="0"/>
                <w:numId w:val="3"/>
              </w:numPr>
              <w:spacing w:line="320" w:lineRule="exact"/>
              <w:jc w:val="left"/>
              <w:rPr>
                <w:rFonts w:ascii="宋体" w:hAnsi="宋体"/>
                <w:color w:val="auto"/>
                <w:szCs w:val="21"/>
                <w:highlight w:val="none"/>
              </w:rPr>
            </w:pPr>
            <w:r>
              <w:rPr>
                <w:rFonts w:hint="eastAsia" w:ascii="宋体" w:hAnsi="宋体"/>
                <w:color w:val="auto"/>
                <w:highlight w:val="none"/>
              </w:rPr>
              <w:t>完成时间</w:t>
            </w:r>
            <w:r>
              <w:rPr>
                <w:rFonts w:hint="eastAsia" w:ascii="宋体" w:hAnsi="宋体"/>
                <w:color w:val="auto"/>
                <w:highlight w:val="none"/>
                <w:lang w:eastAsia="zh-CN"/>
              </w:rPr>
              <w:t>：</w:t>
            </w:r>
            <w:r>
              <w:rPr>
                <w:rFonts w:hint="eastAsia" w:ascii="宋体" w:hAnsi="宋体"/>
                <w:color w:val="auto"/>
                <w:highlight w:val="none"/>
              </w:rPr>
              <w:t>以</w:t>
            </w:r>
            <w:r>
              <w:rPr>
                <w:rFonts w:hint="eastAsia" w:ascii="宋体" w:hAnsi="宋体"/>
                <w:color w:val="auto"/>
                <w:highlight w:val="none"/>
                <w:lang w:val="en-US" w:eastAsia="zh-CN"/>
              </w:rPr>
              <w:t>竣工</w:t>
            </w:r>
            <w:r>
              <w:rPr>
                <w:rFonts w:hint="eastAsia" w:ascii="宋体" w:hAnsi="宋体"/>
                <w:color w:val="auto"/>
                <w:highlight w:val="none"/>
              </w:rPr>
              <w:t>验收文件记录时间为准。</w:t>
            </w:r>
            <w:r>
              <w:rPr>
                <w:rFonts w:hint="eastAsia" w:ascii="宋体" w:hAnsi="宋体"/>
                <w:color w:val="auto"/>
                <w:highlight w:val="none"/>
                <w:lang w:val="en-US" w:eastAsia="zh-CN"/>
              </w:rPr>
              <w:t>竣工</w:t>
            </w:r>
            <w:r>
              <w:rPr>
                <w:rFonts w:hint="eastAsia" w:ascii="宋体" w:hAnsi="宋体"/>
                <w:color w:val="auto"/>
                <w:highlight w:val="none"/>
              </w:rPr>
              <w:t>验收文件至少具有建设单位、设计、施工和监理单位盖章。</w:t>
            </w:r>
          </w:p>
          <w:p>
            <w:pPr>
              <w:numPr>
                <w:ilvl w:val="0"/>
                <w:numId w:val="3"/>
              </w:numPr>
              <w:spacing w:line="320" w:lineRule="exact"/>
              <w:jc w:val="left"/>
              <w:rPr>
                <w:rFonts w:ascii="宋体" w:hAnsi="宋体"/>
                <w:color w:val="auto"/>
                <w:szCs w:val="21"/>
                <w:highlight w:val="none"/>
              </w:rPr>
            </w:pPr>
            <w:r>
              <w:rPr>
                <w:rFonts w:hint="eastAsia" w:ascii="宋体" w:hAnsi="宋体"/>
                <w:color w:val="auto"/>
                <w:szCs w:val="21"/>
                <w:highlight w:val="none"/>
              </w:rPr>
              <w:t>平台内业绩上传件不符合上述要求的或登记的工程资质内容与施工合同等业绩证明资料不相符的，该项业绩不予认定。</w:t>
            </w:r>
          </w:p>
          <w:p>
            <w:pPr>
              <w:spacing w:line="320" w:lineRule="exact"/>
              <w:jc w:val="left"/>
              <w:rPr>
                <w:rFonts w:ascii="宋体" w:hAnsi="宋体"/>
                <w:color w:val="auto"/>
                <w:szCs w:val="21"/>
                <w:highlight w:val="none"/>
              </w:rPr>
            </w:pPr>
            <w:r>
              <w:rPr>
                <w:rFonts w:hint="eastAsia" w:ascii="宋体" w:hAnsi="宋体"/>
                <w:color w:val="auto"/>
                <w:szCs w:val="21"/>
                <w:highlight w:val="none"/>
              </w:rPr>
              <w:t>（三）业绩不取自广州市住建行业信用管理平台的，提供相关证明文件扫描件作为评审依据：需提供中标通知书或免招标证明、施工合同、竣工验收材料，上述资料需能体现项目名称、施工内容、工程造价金额。</w:t>
            </w:r>
          </w:p>
          <w:p>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（1）金额：以中标通知书为准，</w:t>
            </w:r>
            <w:r>
              <w:rPr>
                <w:rFonts w:hint="eastAsia" w:ascii="宋体" w:hAnsi="宋体" w:cs="宋体"/>
                <w:color w:val="auto"/>
                <w:szCs w:val="21"/>
                <w:highlight w:val="none"/>
                <w:lang w:val="en-US" w:eastAsia="zh-CN"/>
              </w:rPr>
              <w:t>如</w:t>
            </w:r>
            <w:r>
              <w:rPr>
                <w:rFonts w:hint="eastAsia" w:ascii="宋体" w:hAnsi="宋体" w:cs="宋体"/>
                <w:color w:val="auto"/>
                <w:szCs w:val="21"/>
                <w:highlight w:val="none"/>
              </w:rPr>
              <w:t>中标通知书上没有金额或未能体现对应的</w:t>
            </w:r>
            <w:r>
              <w:rPr>
                <w:rFonts w:hint="eastAsia" w:ascii="宋体" w:hAnsi="宋体"/>
                <w:color w:val="auto"/>
                <w:highlight w:val="none"/>
                <w:lang w:val="en-US" w:eastAsia="zh-CN"/>
              </w:rPr>
              <w:t>施工部分</w:t>
            </w:r>
            <w:r>
              <w:rPr>
                <w:rFonts w:hint="eastAsia" w:ascii="宋体" w:hAnsi="宋体" w:cs="宋体"/>
                <w:color w:val="auto"/>
                <w:szCs w:val="21"/>
                <w:highlight w:val="none"/>
              </w:rPr>
              <w:t>金额或免招标的，以</w:t>
            </w:r>
            <w:r>
              <w:rPr>
                <w:rFonts w:hint="eastAsia" w:ascii="宋体" w:hAnsi="宋体"/>
                <w:color w:val="auto"/>
                <w:highlight w:val="none"/>
              </w:rPr>
              <w:t>施工总承包合同或工程总承包合同（施工部分）（不含补充合同）</w:t>
            </w:r>
            <w:r>
              <w:rPr>
                <w:rFonts w:hint="eastAsia" w:ascii="宋体" w:hAnsi="宋体" w:cs="宋体"/>
                <w:color w:val="auto"/>
                <w:szCs w:val="21"/>
                <w:highlight w:val="none"/>
              </w:rPr>
              <w:t>中显示的</w:t>
            </w:r>
            <w:r>
              <w:rPr>
                <w:rFonts w:hint="eastAsia" w:ascii="宋体" w:hAnsi="宋体"/>
                <w:color w:val="auto"/>
                <w:highlight w:val="none"/>
                <w:lang w:val="en-US" w:eastAsia="zh-CN"/>
              </w:rPr>
              <w:t>施工部分</w:t>
            </w:r>
            <w:r>
              <w:rPr>
                <w:rFonts w:hint="eastAsia" w:ascii="宋体" w:hAnsi="宋体"/>
                <w:color w:val="auto"/>
                <w:highlight w:val="none"/>
              </w:rPr>
              <w:t>金额</w:t>
            </w:r>
            <w:r>
              <w:rPr>
                <w:rFonts w:hint="eastAsia" w:ascii="宋体" w:hAnsi="宋体" w:cs="宋体"/>
                <w:color w:val="auto"/>
                <w:szCs w:val="21"/>
                <w:highlight w:val="none"/>
              </w:rPr>
              <w:t>为准。</w:t>
            </w:r>
          </w:p>
          <w:p>
            <w:pPr>
              <w:spacing w:line="320" w:lineRule="exact"/>
              <w:jc w:val="left"/>
              <w:rPr>
                <w:rFonts w:ascii="宋体" w:hAnsi="宋体"/>
                <w:color w:val="auto"/>
                <w:szCs w:val="21"/>
                <w:highlight w:val="none"/>
              </w:rPr>
            </w:pPr>
            <w:r>
              <w:rPr>
                <w:rFonts w:hint="eastAsia" w:ascii="宋体" w:hAnsi="宋体"/>
                <w:color w:val="auto"/>
                <w:highlight w:val="none"/>
              </w:rPr>
              <w:t>（2）完成时间：</w:t>
            </w:r>
            <w:r>
              <w:rPr>
                <w:rFonts w:hint="eastAsia" w:ascii="宋体" w:hAnsi="宋体"/>
                <w:color w:val="auto"/>
                <w:highlight w:val="none"/>
                <w:lang w:val="en-US" w:eastAsia="zh-CN"/>
              </w:rPr>
              <w:t>竣工</w:t>
            </w:r>
            <w:r>
              <w:rPr>
                <w:rFonts w:hint="eastAsia" w:ascii="宋体" w:hAnsi="宋体"/>
                <w:color w:val="auto"/>
                <w:highlight w:val="none"/>
              </w:rPr>
              <w:t>验收文件记录时间为准。</w:t>
            </w:r>
            <w:r>
              <w:rPr>
                <w:rFonts w:hint="eastAsia" w:ascii="宋体" w:hAnsi="宋体"/>
                <w:color w:val="auto"/>
                <w:highlight w:val="none"/>
                <w:lang w:val="en-US" w:eastAsia="zh-CN"/>
              </w:rPr>
              <w:t>竣工</w:t>
            </w:r>
            <w:r>
              <w:rPr>
                <w:rFonts w:hint="eastAsia" w:ascii="宋体" w:hAnsi="宋体"/>
                <w:color w:val="auto"/>
                <w:highlight w:val="none"/>
              </w:rPr>
              <w:t>验收文件至少具有建设单位、设计、施工和监理单位盖章。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993" w:type="dxa"/>
            <w:gridSpan w:val="2"/>
            <w:vMerge w:val="continue"/>
            <w:tcBorders>
              <w:right w:val="single" w:color="auto" w:sz="4" w:space="0"/>
            </w:tcBorders>
            <w:vAlign w:val="center"/>
          </w:tcPr>
          <w:p>
            <w:pPr>
              <w:spacing w:line="440" w:lineRule="exact"/>
              <w:jc w:val="center"/>
              <w:rPr>
                <w:rFonts w:ascii="宋体" w:hAnsi="宋体" w:cs="宋体"/>
                <w:color w:val="auto"/>
                <w:highlight w:val="none"/>
              </w:rPr>
            </w:pPr>
          </w:p>
        </w:tc>
        <w:tc>
          <w:tcPr>
            <w:tcW w:w="1014" w:type="dxa"/>
            <w:vMerge w:val="continue"/>
            <w:tcBorders>
              <w:right w:val="single" w:color="auto" w:sz="4" w:space="0"/>
            </w:tcBorders>
          </w:tcPr>
          <w:p>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设计获奖（12分）</w:t>
            </w:r>
          </w:p>
        </w:tc>
        <w:tc>
          <w:tcPr>
            <w:tcW w:w="51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auto"/>
                <w:szCs w:val="21"/>
                <w:highlight w:val="none"/>
              </w:rPr>
            </w:pPr>
            <w:r>
              <w:rPr>
                <w:rFonts w:hint="eastAsia" w:ascii="宋体" w:hAnsi="宋体"/>
                <w:color w:val="auto"/>
                <w:szCs w:val="21"/>
                <w:highlight w:val="none"/>
              </w:rPr>
              <w:t>投标人（若为联合体，指设计方）自2022年1月1日至今获奖情况：</w:t>
            </w:r>
          </w:p>
          <w:p>
            <w:pPr>
              <w:spacing w:line="320" w:lineRule="exact"/>
              <w:jc w:val="left"/>
              <w:rPr>
                <w:rFonts w:ascii="宋体" w:hAnsi="宋体"/>
                <w:color w:val="auto"/>
                <w:szCs w:val="21"/>
                <w:highlight w:val="none"/>
              </w:rPr>
            </w:pPr>
            <w:r>
              <w:rPr>
                <w:rFonts w:hint="eastAsia" w:ascii="宋体" w:hAnsi="宋体"/>
                <w:color w:val="auto"/>
                <w:szCs w:val="21"/>
                <w:highlight w:val="none"/>
              </w:rPr>
              <w:t>（1）获得国家级奖项的，每项得6分；</w:t>
            </w:r>
          </w:p>
          <w:p>
            <w:pPr>
              <w:spacing w:line="320" w:lineRule="exact"/>
              <w:jc w:val="left"/>
              <w:rPr>
                <w:rFonts w:ascii="宋体" w:hAnsi="宋体"/>
                <w:color w:val="auto"/>
                <w:szCs w:val="21"/>
                <w:highlight w:val="none"/>
              </w:rPr>
            </w:pPr>
            <w:r>
              <w:rPr>
                <w:rFonts w:hint="eastAsia" w:ascii="宋体" w:hAnsi="宋体"/>
                <w:color w:val="auto"/>
                <w:szCs w:val="21"/>
                <w:highlight w:val="none"/>
              </w:rPr>
              <w:t>（2）获得省级奖项的，每项得4分；</w:t>
            </w:r>
          </w:p>
          <w:p>
            <w:pPr>
              <w:spacing w:line="320" w:lineRule="exact"/>
              <w:jc w:val="left"/>
              <w:rPr>
                <w:rFonts w:ascii="宋体" w:hAnsi="宋体"/>
                <w:color w:val="auto"/>
                <w:szCs w:val="21"/>
                <w:highlight w:val="none"/>
              </w:rPr>
            </w:pPr>
            <w:r>
              <w:rPr>
                <w:rFonts w:hint="eastAsia" w:ascii="宋体" w:hAnsi="宋体"/>
                <w:color w:val="auto"/>
                <w:szCs w:val="21"/>
                <w:highlight w:val="none"/>
              </w:rPr>
              <w:t>（3）获得市级奖项的，每项得2分；</w:t>
            </w:r>
          </w:p>
          <w:p>
            <w:pPr>
              <w:spacing w:line="320" w:lineRule="exact"/>
              <w:jc w:val="left"/>
              <w:rPr>
                <w:rFonts w:ascii="宋体" w:hAnsi="宋体"/>
                <w:color w:val="auto"/>
                <w:szCs w:val="21"/>
                <w:highlight w:val="none"/>
              </w:rPr>
            </w:pPr>
            <w:r>
              <w:rPr>
                <w:rFonts w:hint="eastAsia" w:ascii="宋体" w:hAnsi="宋体" w:cs="宋体"/>
                <w:color w:val="auto"/>
                <w:szCs w:val="21"/>
                <w:highlight w:val="none"/>
                <w:lang w:val="zh-CN"/>
              </w:rPr>
              <w:t>注</w:t>
            </w:r>
            <w:r>
              <w:rPr>
                <w:rFonts w:hint="eastAsia" w:ascii="宋体" w:hAnsi="宋体" w:cs="宋体"/>
                <w:color w:val="auto"/>
                <w:szCs w:val="21"/>
                <w:highlight w:val="none"/>
              </w:rPr>
              <w:t>：①</w:t>
            </w:r>
            <w:r>
              <w:rPr>
                <w:rFonts w:hint="eastAsia" w:ascii="宋体" w:hAnsi="宋体" w:cs="宋体"/>
                <w:color w:val="auto"/>
                <w:szCs w:val="21"/>
                <w:highlight w:val="none"/>
                <w:lang w:val="zh-CN"/>
              </w:rPr>
              <w:t>投标人同一项目获得多个奖项</w:t>
            </w:r>
            <w:r>
              <w:rPr>
                <w:rFonts w:hint="eastAsia" w:ascii="宋体" w:hAnsi="宋体" w:cs="宋体"/>
                <w:color w:val="auto"/>
                <w:szCs w:val="21"/>
                <w:highlight w:val="none"/>
              </w:rPr>
              <w:t>，</w:t>
            </w:r>
            <w:r>
              <w:rPr>
                <w:rFonts w:hint="eastAsia" w:ascii="宋体" w:hAnsi="宋体" w:cs="宋体"/>
                <w:color w:val="auto"/>
                <w:szCs w:val="21"/>
                <w:highlight w:val="none"/>
                <w:lang w:val="zh-CN"/>
              </w:rPr>
              <w:t>按分数最高只计算一次不重复计算</w:t>
            </w:r>
            <w:r>
              <w:rPr>
                <w:rFonts w:hint="eastAsia" w:ascii="宋体" w:hAnsi="宋体" w:cs="宋体"/>
                <w:color w:val="auto"/>
                <w:szCs w:val="21"/>
                <w:highlight w:val="none"/>
              </w:rPr>
              <w:t>；②</w:t>
            </w:r>
            <w:r>
              <w:rPr>
                <w:rFonts w:hint="eastAsia" w:ascii="宋体" w:hAnsi="宋体" w:cs="宋体"/>
                <w:color w:val="auto"/>
                <w:szCs w:val="21"/>
                <w:highlight w:val="none"/>
                <w:lang w:val="zh-CN"/>
              </w:rPr>
              <w:t>获奖以获奖证书为准</w:t>
            </w:r>
            <w:r>
              <w:rPr>
                <w:rFonts w:hint="eastAsia" w:ascii="宋体" w:hAnsi="宋体" w:cs="宋体"/>
                <w:color w:val="auto"/>
                <w:szCs w:val="21"/>
                <w:highlight w:val="none"/>
              </w:rPr>
              <w:t>，</w:t>
            </w:r>
            <w:r>
              <w:rPr>
                <w:rFonts w:hint="eastAsia" w:ascii="宋体" w:hAnsi="宋体" w:cs="宋体"/>
                <w:color w:val="auto"/>
                <w:szCs w:val="21"/>
                <w:highlight w:val="none"/>
                <w:lang w:val="zh-CN"/>
              </w:rPr>
              <w:t>获奖时间以取得获奖证书时间为准</w:t>
            </w:r>
            <w:r>
              <w:rPr>
                <w:rFonts w:hint="eastAsia" w:ascii="宋体" w:hAnsi="宋体" w:cs="宋体"/>
                <w:color w:val="auto"/>
                <w:szCs w:val="21"/>
                <w:highlight w:val="none"/>
              </w:rPr>
              <w:t>；③</w:t>
            </w:r>
            <w:r>
              <w:rPr>
                <w:rFonts w:hint="eastAsia" w:ascii="宋体" w:hAnsi="宋体" w:cs="宋体"/>
                <w:color w:val="auto"/>
                <w:szCs w:val="21"/>
                <w:highlight w:val="none"/>
                <w:lang w:val="zh-CN"/>
              </w:rPr>
              <w:t>国家级奖项：由住建部颁发的“全国优秀工程勘察设计奖”、中国勘察设计协会颁发的“全国优秀工程勘察设计行业奖”或“工程勘察、建筑设计行业和市政公用工程优秀勘察设计奖”；省级奖项：省级(或直辖市)建设行政主管部门及省级(或直辖市)工程勘察设计行业协会颁发的省级(或直辖市)“优秀勘察设计奖”；市级奖项：市级(含副省级)建设行政主管部门及市级(含副省级)工程勘察设计行业协会颁发的“优秀勘察设计奖”</w:t>
            </w:r>
            <w:r>
              <w:rPr>
                <w:rFonts w:hint="eastAsia" w:ascii="宋体" w:hAnsi="宋体" w:cs="宋体"/>
                <w:color w:val="auto"/>
                <w:szCs w:val="21"/>
                <w:highlight w:val="none"/>
              </w:rPr>
              <w:t>；</w:t>
            </w:r>
            <w:r>
              <w:rPr>
                <w:rFonts w:hint="eastAsia"/>
                <w:color w:val="auto"/>
                <w:szCs w:val="21"/>
                <w:highlight w:val="none"/>
              </w:rPr>
              <w:t>行业协会须在民政管理部门登记备案：须提供其在“全国社会组织信用信息公示平台（试运行）”网站（https：//xxgs.chinanpo.mca.gov.cn/gsxt/newList）【注：由于全国社会组织信用信息公示平台（试运行）属于试运行，平台名称及网址若有更新、以最新发布的为准。）查询结果的网页打印页。】</w:t>
            </w:r>
            <w:r>
              <w:rPr>
                <w:rFonts w:hint="eastAsia" w:ascii="宋体" w:hAnsi="宋体" w:cs="宋体"/>
                <w:color w:val="auto"/>
                <w:szCs w:val="21"/>
                <w:highlight w:val="none"/>
                <w:lang w:val="zh-CN"/>
              </w:rPr>
              <w:t>④其他非房建类项目(如:路桥、铁路、水利、电力、化工、港航、冶金、QC、市政等项目)奖项不参与计分；⑤不符合上述条件或未提供上述资料的不计分。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93" w:type="dxa"/>
            <w:gridSpan w:val="2"/>
            <w:vMerge w:val="continue"/>
            <w:tcBorders>
              <w:right w:val="single" w:color="auto" w:sz="4" w:space="0"/>
            </w:tcBorders>
            <w:vAlign w:val="center"/>
          </w:tcPr>
          <w:p>
            <w:pPr>
              <w:spacing w:line="440" w:lineRule="exact"/>
              <w:jc w:val="center"/>
              <w:rPr>
                <w:rFonts w:ascii="宋体" w:hAnsi="宋体" w:cs="宋体"/>
                <w:color w:val="auto"/>
                <w:highlight w:val="none"/>
              </w:rPr>
            </w:pPr>
          </w:p>
        </w:tc>
        <w:tc>
          <w:tcPr>
            <w:tcW w:w="1014" w:type="dxa"/>
            <w:vMerge w:val="continue"/>
            <w:tcBorders>
              <w:right w:val="single" w:color="auto" w:sz="4" w:space="0"/>
            </w:tcBorders>
          </w:tcPr>
          <w:p>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206" w:type="dxa"/>
            <w:gridSpan w:val="2"/>
            <w:vMerge w:val="restart"/>
            <w:tcBorders>
              <w:top w:val="single" w:color="auto" w:sz="4" w:space="0"/>
              <w:left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kern w:val="0"/>
                <w:highlight w:val="none"/>
              </w:rPr>
              <w:t>第三方评价（6分）</w:t>
            </w:r>
          </w:p>
        </w:tc>
        <w:tc>
          <w:tcPr>
            <w:tcW w:w="5157" w:type="dxa"/>
            <w:tcBorders>
              <w:top w:val="single" w:color="auto" w:sz="4" w:space="0"/>
              <w:left w:val="single" w:color="auto" w:sz="4" w:space="0"/>
              <w:right w:val="single" w:color="auto" w:sz="4" w:space="0"/>
            </w:tcBorders>
            <w:vAlign w:val="center"/>
          </w:tcPr>
          <w:p>
            <w:pPr>
              <w:spacing w:line="320" w:lineRule="exact"/>
              <w:jc w:val="left"/>
              <w:rPr>
                <w:rFonts w:ascii="宋体" w:hAnsi="宋体"/>
                <w:color w:val="auto"/>
                <w:szCs w:val="21"/>
                <w:highlight w:val="none"/>
              </w:rPr>
            </w:pPr>
            <w:r>
              <w:rPr>
                <w:rFonts w:hint="eastAsia" w:ascii="宋体" w:hAnsi="宋体"/>
                <w:color w:val="auto"/>
                <w:szCs w:val="21"/>
                <w:highlight w:val="none"/>
              </w:rPr>
              <w:t>投标人（若为联合体，指联合体任意一方）具有有效的质量管理体系认证、环境管理体系认证、职业健康安全管理体系认证，每项最多得1分，不重复得分，最多得3分。</w:t>
            </w:r>
          </w:p>
          <w:p>
            <w:pPr>
              <w:spacing w:line="320" w:lineRule="exact"/>
              <w:jc w:val="left"/>
              <w:rPr>
                <w:rFonts w:ascii="宋体" w:hAnsi="宋体"/>
                <w:color w:val="auto"/>
                <w:szCs w:val="21"/>
                <w:highlight w:val="none"/>
              </w:rPr>
            </w:pPr>
            <w:r>
              <w:rPr>
                <w:rFonts w:hint="eastAsia" w:ascii="宋体" w:hAnsi="宋体"/>
                <w:color w:val="auto"/>
                <w:szCs w:val="21"/>
                <w:highlight w:val="none"/>
              </w:rPr>
              <w:t>注：需同时提供有效的体系认证证书扫描件以及提供国家认证认可监督管理委员会“https://www.cnca.gov.cn/"认证结果的网页截图。不满足上述要求或无提交上述资料不得分。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9" w:hRule="atLeast"/>
        </w:trPr>
        <w:tc>
          <w:tcPr>
            <w:tcW w:w="993" w:type="dxa"/>
            <w:gridSpan w:val="2"/>
            <w:vMerge w:val="continue"/>
            <w:tcBorders>
              <w:right w:val="single" w:color="auto" w:sz="4" w:space="0"/>
            </w:tcBorders>
            <w:vAlign w:val="center"/>
          </w:tcPr>
          <w:p>
            <w:pPr>
              <w:spacing w:line="440" w:lineRule="exact"/>
              <w:jc w:val="center"/>
              <w:rPr>
                <w:rFonts w:ascii="宋体" w:hAnsi="宋体" w:cs="宋体"/>
                <w:color w:val="auto"/>
                <w:highlight w:val="none"/>
              </w:rPr>
            </w:pPr>
          </w:p>
        </w:tc>
        <w:tc>
          <w:tcPr>
            <w:tcW w:w="1014" w:type="dxa"/>
            <w:vMerge w:val="continue"/>
            <w:tcBorders>
              <w:right w:val="single" w:color="auto" w:sz="4" w:space="0"/>
            </w:tcBorders>
          </w:tcPr>
          <w:p>
            <w:pPr>
              <w:spacing w:line="440" w:lineRule="exact"/>
              <w:jc w:val="center"/>
              <w:rPr>
                <w:rFonts w:ascii="宋体" w:hAnsi="宋体" w:cs="宋体"/>
                <w:color w:val="auto"/>
                <w:highlight w:val="none"/>
              </w:rPr>
            </w:pPr>
          </w:p>
        </w:tc>
        <w:tc>
          <w:tcPr>
            <w:tcW w:w="986" w:type="dxa"/>
            <w:tcBorders>
              <w:left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206" w:type="dxa"/>
            <w:gridSpan w:val="2"/>
            <w:vMerge w:val="continue"/>
            <w:tcBorders>
              <w:left w:val="single" w:color="auto" w:sz="4" w:space="0"/>
              <w:right w:val="single" w:color="auto" w:sz="4" w:space="0"/>
            </w:tcBorders>
            <w:vAlign w:val="center"/>
          </w:tcPr>
          <w:p>
            <w:pPr>
              <w:spacing w:line="440" w:lineRule="exact"/>
              <w:jc w:val="center"/>
              <w:rPr>
                <w:rFonts w:ascii="宋体" w:hAnsi="宋体" w:cs="宋体"/>
                <w:color w:val="auto"/>
                <w:kern w:val="0"/>
                <w:highlight w:val="none"/>
              </w:rPr>
            </w:pPr>
          </w:p>
        </w:tc>
        <w:tc>
          <w:tcPr>
            <w:tcW w:w="5157" w:type="dxa"/>
            <w:tcBorders>
              <w:top w:val="single" w:color="auto" w:sz="4" w:space="0"/>
              <w:left w:val="single" w:color="auto" w:sz="4" w:space="0"/>
              <w:right w:val="single" w:color="auto" w:sz="4" w:space="0"/>
            </w:tcBorders>
            <w:vAlign w:val="center"/>
          </w:tcPr>
          <w:p>
            <w:pPr>
              <w:spacing w:line="320" w:lineRule="exact"/>
              <w:jc w:val="left"/>
              <w:rPr>
                <w:rFonts w:ascii="宋体" w:hAnsi="宋体"/>
                <w:color w:val="auto"/>
                <w:szCs w:val="21"/>
                <w:highlight w:val="none"/>
              </w:rPr>
            </w:pPr>
            <w:r>
              <w:rPr>
                <w:rFonts w:hint="eastAsia" w:ascii="宋体" w:hAnsi="宋体"/>
                <w:color w:val="auto"/>
                <w:szCs w:val="21"/>
                <w:highlight w:val="none"/>
              </w:rPr>
              <w:t>投标人（若为联合体，指联合体任意一方）近3年（按照评价年度即从2022年度起算）曾被税务机关授予过：</w:t>
            </w:r>
          </w:p>
          <w:p>
            <w:pPr>
              <w:spacing w:line="320" w:lineRule="exact"/>
              <w:jc w:val="left"/>
              <w:rPr>
                <w:rFonts w:ascii="宋体" w:hAnsi="宋体"/>
                <w:color w:val="auto"/>
                <w:szCs w:val="21"/>
                <w:highlight w:val="none"/>
              </w:rPr>
            </w:pPr>
            <w:r>
              <w:rPr>
                <w:rFonts w:hint="eastAsia" w:ascii="宋体" w:hAnsi="宋体"/>
                <w:color w:val="auto"/>
                <w:szCs w:val="21"/>
                <w:highlight w:val="none"/>
              </w:rPr>
              <w:t>（1）纳税信用A级纳税人，得3分；</w:t>
            </w:r>
          </w:p>
          <w:p>
            <w:pPr>
              <w:spacing w:line="320" w:lineRule="exact"/>
              <w:jc w:val="left"/>
              <w:rPr>
                <w:rFonts w:ascii="宋体" w:hAnsi="宋体"/>
                <w:color w:val="auto"/>
                <w:szCs w:val="21"/>
                <w:highlight w:val="none"/>
              </w:rPr>
            </w:pPr>
            <w:r>
              <w:rPr>
                <w:rFonts w:hint="eastAsia" w:ascii="宋体" w:hAnsi="宋体"/>
                <w:color w:val="auto"/>
                <w:szCs w:val="21"/>
                <w:highlight w:val="none"/>
              </w:rPr>
              <w:t>（2）纳税信用B级纳税人，得2分；</w:t>
            </w:r>
          </w:p>
          <w:p>
            <w:pPr>
              <w:spacing w:line="320" w:lineRule="exact"/>
              <w:jc w:val="left"/>
              <w:rPr>
                <w:rFonts w:ascii="宋体" w:hAnsi="宋体"/>
                <w:color w:val="auto"/>
                <w:szCs w:val="21"/>
                <w:highlight w:val="none"/>
              </w:rPr>
            </w:pPr>
            <w:r>
              <w:rPr>
                <w:rFonts w:hint="eastAsia" w:ascii="宋体" w:hAnsi="宋体"/>
                <w:color w:val="auto"/>
                <w:szCs w:val="21"/>
                <w:highlight w:val="none"/>
              </w:rPr>
              <w:t>（3）纳税信用M级纳税人,得1分；</w:t>
            </w:r>
          </w:p>
          <w:p>
            <w:pPr>
              <w:spacing w:line="320" w:lineRule="exact"/>
              <w:jc w:val="left"/>
              <w:rPr>
                <w:rFonts w:ascii="宋体" w:hAnsi="宋体"/>
                <w:color w:val="auto"/>
                <w:szCs w:val="21"/>
                <w:highlight w:val="none"/>
              </w:rPr>
            </w:pPr>
            <w:r>
              <w:rPr>
                <w:rFonts w:hint="eastAsia" w:ascii="宋体" w:hAnsi="宋体"/>
                <w:color w:val="auto"/>
                <w:szCs w:val="21"/>
                <w:highlight w:val="none"/>
              </w:rPr>
              <w:t>注：①“纳税信用A级纳税人”须提供国家税务总局官网（http://www.chinatax.gov.cn/）“纳税信用A级纳税人名单公布栏”查询结果网页截图或其省级（含直辖市）税务局官网“纳税信用A级纳税人名单公布栏”查询结果网页截图。时间以国家税务总局或其省级（含直辖市）税务局网站纳税信用信息查询结果的网页截图公布的评价年度为准。</w:t>
            </w:r>
          </w:p>
          <w:p>
            <w:pPr>
              <w:spacing w:line="320" w:lineRule="exact"/>
              <w:jc w:val="left"/>
              <w:rPr>
                <w:rFonts w:ascii="宋体" w:hAnsi="宋体"/>
                <w:color w:val="auto"/>
                <w:szCs w:val="21"/>
                <w:highlight w:val="none"/>
              </w:rPr>
            </w:pPr>
            <w:r>
              <w:rPr>
                <w:rFonts w:hint="eastAsia" w:ascii="宋体" w:hAnsi="宋体"/>
                <w:color w:val="auto"/>
                <w:szCs w:val="21"/>
                <w:highlight w:val="none"/>
              </w:rPr>
              <w:t>②“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否则不得分。</w:t>
            </w:r>
          </w:p>
          <w:p>
            <w:pPr>
              <w:spacing w:line="320" w:lineRule="exact"/>
              <w:jc w:val="left"/>
              <w:rPr>
                <w:rFonts w:ascii="宋体" w:hAnsi="宋体"/>
                <w:color w:val="auto"/>
                <w:szCs w:val="21"/>
                <w:highlight w:val="none"/>
              </w:rPr>
            </w:pPr>
            <w:r>
              <w:rPr>
                <w:rFonts w:hint="eastAsia" w:ascii="宋体" w:hAnsi="宋体"/>
                <w:color w:val="auto"/>
                <w:szCs w:val="21"/>
                <w:highlight w:val="none"/>
              </w:rPr>
              <w:t>③不满足上述要求或无提交上述资料不得分。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93" w:type="dxa"/>
            <w:gridSpan w:val="2"/>
            <w:vMerge w:val="continue"/>
            <w:tcBorders>
              <w:right w:val="single" w:color="auto" w:sz="4" w:space="0"/>
            </w:tcBorders>
            <w:vAlign w:val="center"/>
          </w:tcPr>
          <w:p>
            <w:pPr>
              <w:spacing w:line="440" w:lineRule="exact"/>
              <w:jc w:val="center"/>
              <w:rPr>
                <w:rFonts w:ascii="宋体" w:hAnsi="宋体" w:cs="宋体"/>
                <w:color w:val="auto"/>
                <w:highlight w:val="none"/>
              </w:rPr>
            </w:pPr>
          </w:p>
        </w:tc>
        <w:tc>
          <w:tcPr>
            <w:tcW w:w="1014" w:type="dxa"/>
            <w:vMerge w:val="continue"/>
            <w:tcBorders>
              <w:right w:val="single" w:color="auto" w:sz="4" w:space="0"/>
            </w:tcBorders>
          </w:tcPr>
          <w:p>
            <w:pPr>
              <w:spacing w:line="440" w:lineRule="exact"/>
              <w:jc w:val="center"/>
              <w:rPr>
                <w:rFonts w:ascii="宋体" w:hAnsi="宋体" w:cs="宋体"/>
                <w:color w:val="auto"/>
                <w:highlight w:val="none"/>
              </w:rPr>
            </w:pPr>
          </w:p>
        </w:tc>
        <w:tc>
          <w:tcPr>
            <w:tcW w:w="986" w:type="dxa"/>
            <w:tcBorders>
              <w:top w:val="single" w:color="auto" w:sz="4" w:space="0"/>
              <w:left w:val="single" w:color="auto" w:sz="4" w:space="0"/>
              <w:right w:val="single" w:color="auto" w:sz="4" w:space="0"/>
            </w:tcBorders>
            <w:vAlign w:val="center"/>
          </w:tcPr>
          <w:p>
            <w:pPr>
              <w:jc w:val="left"/>
              <w:rPr>
                <w:rFonts w:ascii="宋体" w:hAnsi="宋体" w:cs="宋体"/>
                <w:color w:val="auto"/>
                <w:szCs w:val="21"/>
                <w:highlight w:val="none"/>
                <w:lang w:val="zh-TW" w:eastAsia="zh-TW" w:bidi="zh-TW"/>
              </w:rPr>
            </w:pPr>
            <w:r>
              <w:rPr>
                <w:rFonts w:hint="eastAsia" w:ascii="宋体" w:hAnsi="宋体" w:cs="宋体"/>
                <w:color w:val="auto"/>
                <w:szCs w:val="21"/>
                <w:highlight w:val="none"/>
                <w:lang w:val="zh-TW" w:bidi="zh-TW"/>
              </w:rPr>
              <w:t>工程实施方案（</w:t>
            </w:r>
            <w:r>
              <w:rPr>
                <w:rFonts w:hint="eastAsia" w:ascii="宋体" w:hAnsi="宋体" w:cs="宋体"/>
                <w:color w:val="auto"/>
                <w:szCs w:val="21"/>
                <w:highlight w:val="none"/>
                <w:lang w:bidi="zh-TW"/>
              </w:rPr>
              <w:t>70分）</w:t>
            </w:r>
          </w:p>
        </w:tc>
        <w:tc>
          <w:tcPr>
            <w:tcW w:w="1206" w:type="dxa"/>
            <w:gridSpan w:val="2"/>
            <w:tcBorders>
              <w:top w:val="single" w:color="auto" w:sz="4" w:space="0"/>
              <w:left w:val="single" w:color="auto" w:sz="4" w:space="0"/>
              <w:bottom w:val="single" w:color="auto" w:sz="4" w:space="0"/>
              <w:right w:val="single" w:color="auto" w:sz="4" w:space="0"/>
            </w:tcBorders>
            <w:vAlign w:val="center"/>
          </w:tcPr>
          <w:p>
            <w:pPr>
              <w:pStyle w:val="36"/>
              <w:ind w:left="0" w:leftChars="0" w:firstLine="0" w:firstLineChars="0"/>
              <w:rPr>
                <w:color w:val="auto"/>
                <w:highlight w:val="none"/>
              </w:rPr>
            </w:pPr>
            <w:r>
              <w:rPr>
                <w:rFonts w:hint="eastAsia" w:ascii="宋体" w:hAnsi="宋体" w:cs="宋体"/>
                <w:color w:val="auto"/>
                <w:highlight w:val="none"/>
              </w:rPr>
              <w:t>设计和施工的融合措施(25分)</w:t>
            </w:r>
          </w:p>
        </w:tc>
        <w:tc>
          <w:tcPr>
            <w:tcW w:w="5157"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1、根据本工程特点提出设计和施工融合目标，有设计和施工融合管理体系，有设计施工融合措施，合理可行。</w:t>
            </w:r>
          </w:p>
          <w:p>
            <w:pPr>
              <w:rPr>
                <w:rFonts w:hint="eastAsia" w:eastAsia="宋体"/>
                <w:color w:val="auto"/>
                <w:highlight w:val="none"/>
                <w:lang w:eastAsia="zh-CN"/>
              </w:rPr>
            </w:pPr>
            <w:r>
              <w:rPr>
                <w:rFonts w:hint="eastAsia"/>
                <w:color w:val="auto"/>
                <w:highlight w:val="none"/>
                <w:lang w:val="zh-TW" w:eastAsia="zh-TW"/>
              </w:rPr>
              <w:t>优得</w:t>
            </w:r>
            <w:r>
              <w:rPr>
                <w:rFonts w:hint="eastAsia"/>
                <w:color w:val="auto"/>
                <w:highlight w:val="none"/>
              </w:rPr>
              <w:t>4</w:t>
            </w:r>
            <w:r>
              <w:rPr>
                <w:rFonts w:hint="eastAsia"/>
                <w:color w:val="auto"/>
                <w:highlight w:val="none"/>
                <w:lang w:val="zh-TW" w:eastAsia="zh-TW"/>
              </w:rPr>
              <w:t>分；良得</w:t>
            </w:r>
            <w:r>
              <w:rPr>
                <w:rFonts w:hint="eastAsia"/>
                <w:color w:val="auto"/>
                <w:highlight w:val="none"/>
              </w:rPr>
              <w:t>2</w:t>
            </w:r>
            <w:r>
              <w:rPr>
                <w:rFonts w:hint="eastAsia"/>
                <w:color w:val="auto"/>
                <w:highlight w:val="none"/>
                <w:lang w:val="zh-TW" w:eastAsia="zh-TW"/>
              </w:rPr>
              <w:t>分，</w:t>
            </w:r>
            <w:r>
              <w:rPr>
                <w:rFonts w:hint="eastAsia"/>
                <w:color w:val="auto"/>
                <w:highlight w:val="none"/>
                <w:lang w:val="zh-TW"/>
              </w:rPr>
              <w:t>中</w:t>
            </w:r>
            <w:r>
              <w:rPr>
                <w:rFonts w:hint="eastAsia"/>
                <w:color w:val="auto"/>
                <w:highlight w:val="none"/>
                <w:lang w:val="zh-TW" w:eastAsia="zh-TW"/>
              </w:rPr>
              <w:t>得</w:t>
            </w:r>
            <w:r>
              <w:rPr>
                <w:rFonts w:hint="eastAsia"/>
                <w:color w:val="auto"/>
                <w:highlight w:val="none"/>
              </w:rPr>
              <w:t>1</w:t>
            </w:r>
            <w:r>
              <w:rPr>
                <w:rFonts w:hint="eastAsia"/>
                <w:color w:val="auto"/>
                <w:highlight w:val="none"/>
                <w:lang w:val="zh-TW" w:eastAsia="zh-TW"/>
              </w:rPr>
              <w:t>分，不提供不得分</w:t>
            </w:r>
            <w:r>
              <w:rPr>
                <w:rFonts w:hint="eastAsia"/>
                <w:color w:val="auto"/>
                <w:highlight w:val="none"/>
                <w:lang w:val="en-US" w:eastAsia="zh-CN"/>
              </w:rPr>
              <w:t>。</w:t>
            </w:r>
          </w:p>
          <w:p>
            <w:pPr>
              <w:rPr>
                <w:color w:val="auto"/>
                <w:highlight w:val="none"/>
              </w:rPr>
            </w:pPr>
            <w:r>
              <w:rPr>
                <w:rFonts w:hint="eastAsia"/>
                <w:color w:val="auto"/>
                <w:highlight w:val="none"/>
              </w:rPr>
              <w:t>2、团队组建：</w:t>
            </w:r>
          </w:p>
          <w:p>
            <w:pPr>
              <w:rPr>
                <w:color w:val="auto"/>
                <w:highlight w:val="none"/>
              </w:rPr>
            </w:pPr>
            <w:r>
              <w:rPr>
                <w:rFonts w:hint="eastAsia"/>
                <w:color w:val="auto"/>
                <w:highlight w:val="none"/>
              </w:rPr>
              <w:t>（一）施工方人员：</w:t>
            </w:r>
          </w:p>
          <w:p>
            <w:pPr>
              <w:rPr>
                <w:color w:val="auto"/>
                <w:highlight w:val="none"/>
              </w:rPr>
            </w:pPr>
            <w:r>
              <w:rPr>
                <w:rFonts w:hint="eastAsia"/>
                <w:color w:val="auto"/>
                <w:highlight w:val="none"/>
              </w:rPr>
              <w:t>（1）质量负责人：具有建筑工程</w:t>
            </w:r>
            <w:r>
              <w:rPr>
                <w:rFonts w:hint="eastAsia"/>
                <w:color w:val="auto"/>
                <w:highlight w:val="none"/>
                <w:lang w:val="en-US" w:eastAsia="zh-CN"/>
              </w:rPr>
              <w:t>相关专业</w:t>
            </w:r>
            <w:r>
              <w:rPr>
                <w:rFonts w:hint="eastAsia"/>
                <w:color w:val="auto"/>
                <w:highlight w:val="none"/>
              </w:rPr>
              <w:t>高级或以上技术职称得3分，建筑工程</w:t>
            </w:r>
            <w:r>
              <w:rPr>
                <w:rFonts w:hint="eastAsia"/>
                <w:color w:val="auto"/>
                <w:highlight w:val="none"/>
                <w:lang w:val="en-US" w:eastAsia="zh-CN"/>
              </w:rPr>
              <w:t>相关专业</w:t>
            </w:r>
            <w:r>
              <w:rPr>
                <w:rFonts w:hint="eastAsia"/>
                <w:color w:val="auto"/>
                <w:highlight w:val="none"/>
              </w:rPr>
              <w:t>中级职称得1.5分。本小项最高分为3分。</w:t>
            </w:r>
          </w:p>
          <w:p>
            <w:pPr>
              <w:rPr>
                <w:color w:val="auto"/>
                <w:highlight w:val="none"/>
              </w:rPr>
            </w:pPr>
            <w:r>
              <w:rPr>
                <w:rFonts w:hint="eastAsia"/>
                <w:color w:val="auto"/>
                <w:highlight w:val="none"/>
              </w:rPr>
              <w:t>（2）造价负责人：具有</w:t>
            </w:r>
            <w:r>
              <w:rPr>
                <w:rFonts w:hint="eastAsia"/>
                <w:color w:val="auto"/>
                <w:highlight w:val="none"/>
                <w:lang w:val="en-US" w:eastAsia="zh-CN"/>
              </w:rPr>
              <w:t>工程造价相关专业</w:t>
            </w:r>
            <w:r>
              <w:rPr>
                <w:rFonts w:hint="eastAsia"/>
                <w:color w:val="auto"/>
                <w:highlight w:val="none"/>
              </w:rPr>
              <w:t>高级或以上技术职称得3分，工程</w:t>
            </w:r>
            <w:r>
              <w:rPr>
                <w:rFonts w:hint="eastAsia"/>
                <w:color w:val="auto"/>
                <w:highlight w:val="none"/>
                <w:lang w:val="en-US" w:eastAsia="zh-CN"/>
              </w:rPr>
              <w:t>造价相关专业</w:t>
            </w:r>
            <w:r>
              <w:rPr>
                <w:rFonts w:hint="eastAsia"/>
                <w:color w:val="auto"/>
                <w:highlight w:val="none"/>
              </w:rPr>
              <w:t>中级职称得1.5分。本小项最高分为3分。</w:t>
            </w:r>
          </w:p>
          <w:p>
            <w:pPr>
              <w:rPr>
                <w:color w:val="auto"/>
                <w:highlight w:val="none"/>
              </w:rPr>
            </w:pPr>
            <w:r>
              <w:rPr>
                <w:rFonts w:hint="eastAsia"/>
                <w:color w:val="auto"/>
                <w:highlight w:val="none"/>
              </w:rPr>
              <w:t>（二）设计方人员：</w:t>
            </w:r>
          </w:p>
          <w:p>
            <w:pPr>
              <w:rPr>
                <w:color w:val="auto"/>
                <w:highlight w:val="none"/>
              </w:rPr>
            </w:pPr>
            <w:r>
              <w:rPr>
                <w:rFonts w:hint="eastAsia"/>
                <w:color w:val="auto"/>
                <w:highlight w:val="none"/>
              </w:rPr>
              <w:t>（1）设计负责人：工作年限在15年（含）或以上得</w:t>
            </w:r>
            <w:r>
              <w:rPr>
                <w:rFonts w:hint="eastAsia"/>
                <w:color w:val="auto"/>
                <w:highlight w:val="none"/>
                <w:lang w:val="en-US" w:eastAsia="zh-CN"/>
              </w:rPr>
              <w:t>5</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工作年限在10年-15年（不含）得2分，工作年限在5年-10年（不含）得1分，5年（不含）以下得0.5分</w:t>
            </w:r>
            <w:r>
              <w:rPr>
                <w:rFonts w:hint="eastAsia"/>
                <w:color w:val="auto"/>
                <w:highlight w:val="none"/>
              </w:rPr>
              <w:t>。本小项最高分为5分。</w:t>
            </w:r>
          </w:p>
          <w:p>
            <w:pPr>
              <w:rPr>
                <w:color w:val="auto"/>
                <w:highlight w:val="none"/>
              </w:rPr>
            </w:pPr>
            <w:r>
              <w:rPr>
                <w:rFonts w:hint="eastAsia"/>
                <w:color w:val="auto"/>
                <w:highlight w:val="none"/>
              </w:rPr>
              <w:t>（2）建筑专业负责人：具有一级注册建筑师得1</w:t>
            </w:r>
            <w:r>
              <w:rPr>
                <w:rFonts w:hint="eastAsia"/>
                <w:color w:val="auto"/>
                <w:highlight w:val="none"/>
                <w:lang w:val="en-US" w:eastAsia="zh-CN"/>
              </w:rPr>
              <w:t>.5</w:t>
            </w:r>
            <w:r>
              <w:rPr>
                <w:rFonts w:hint="eastAsia"/>
                <w:color w:val="auto"/>
                <w:highlight w:val="none"/>
              </w:rPr>
              <w:t>分，具有建筑工程</w:t>
            </w:r>
            <w:r>
              <w:rPr>
                <w:rFonts w:hint="eastAsia"/>
                <w:color w:val="auto"/>
                <w:highlight w:val="none"/>
                <w:lang w:val="en-US" w:eastAsia="zh-CN"/>
              </w:rPr>
              <w:t>相关专业</w:t>
            </w:r>
            <w:r>
              <w:rPr>
                <w:rFonts w:hint="eastAsia"/>
                <w:color w:val="auto"/>
                <w:highlight w:val="none"/>
              </w:rPr>
              <w:t>高级或以上技术职称得1分，具有建筑工程</w:t>
            </w:r>
            <w:r>
              <w:rPr>
                <w:rFonts w:hint="eastAsia"/>
                <w:color w:val="auto"/>
                <w:highlight w:val="none"/>
                <w:lang w:val="en-US" w:eastAsia="zh-CN"/>
              </w:rPr>
              <w:t>相关专业</w:t>
            </w:r>
            <w:r>
              <w:rPr>
                <w:rFonts w:hint="eastAsia"/>
                <w:color w:val="auto"/>
                <w:highlight w:val="none"/>
              </w:rPr>
              <w:t>中级职称得0.5分。本小项最高分为2</w:t>
            </w:r>
            <w:r>
              <w:rPr>
                <w:rFonts w:hint="eastAsia"/>
                <w:color w:val="auto"/>
                <w:highlight w:val="none"/>
                <w:lang w:val="en-US" w:eastAsia="zh-CN"/>
              </w:rPr>
              <w:t>.5</w:t>
            </w:r>
            <w:r>
              <w:rPr>
                <w:rFonts w:hint="eastAsia"/>
                <w:color w:val="auto"/>
                <w:highlight w:val="none"/>
              </w:rPr>
              <w:t>分。</w:t>
            </w:r>
          </w:p>
          <w:p>
            <w:pPr>
              <w:rPr>
                <w:color w:val="auto"/>
                <w:highlight w:val="none"/>
              </w:rPr>
            </w:pPr>
            <w:r>
              <w:rPr>
                <w:rFonts w:hint="eastAsia"/>
                <w:color w:val="auto"/>
                <w:highlight w:val="none"/>
              </w:rPr>
              <w:t>（3）电气专业负责人：具有注册电气工程师得1</w:t>
            </w:r>
            <w:r>
              <w:rPr>
                <w:rFonts w:hint="eastAsia"/>
                <w:color w:val="auto"/>
                <w:highlight w:val="none"/>
                <w:lang w:val="en-US" w:eastAsia="zh-CN"/>
              </w:rPr>
              <w:t>.5</w:t>
            </w:r>
            <w:r>
              <w:rPr>
                <w:rFonts w:hint="eastAsia"/>
                <w:color w:val="auto"/>
                <w:highlight w:val="none"/>
              </w:rPr>
              <w:t>分，具有</w:t>
            </w:r>
            <w:r>
              <w:rPr>
                <w:rFonts w:hint="eastAsia"/>
                <w:color w:val="auto"/>
                <w:highlight w:val="none"/>
                <w:lang w:val="en-US" w:eastAsia="zh-CN"/>
              </w:rPr>
              <w:t>建筑电气相关专业</w:t>
            </w:r>
            <w:r>
              <w:rPr>
                <w:rFonts w:hint="eastAsia"/>
                <w:color w:val="auto"/>
                <w:highlight w:val="none"/>
              </w:rPr>
              <w:t>高级或以上技术职称得1分，具有</w:t>
            </w:r>
            <w:r>
              <w:rPr>
                <w:rFonts w:hint="eastAsia"/>
                <w:color w:val="auto"/>
                <w:highlight w:val="none"/>
                <w:lang w:val="en-US" w:eastAsia="zh-CN"/>
              </w:rPr>
              <w:t>建筑电气相关专业</w:t>
            </w:r>
            <w:r>
              <w:rPr>
                <w:rFonts w:hint="eastAsia"/>
                <w:color w:val="auto"/>
                <w:highlight w:val="none"/>
              </w:rPr>
              <w:t>中级技术职称得0.5分。本小项最高分为2</w:t>
            </w:r>
            <w:r>
              <w:rPr>
                <w:rFonts w:hint="eastAsia"/>
                <w:color w:val="auto"/>
                <w:highlight w:val="none"/>
                <w:lang w:val="en-US" w:eastAsia="zh-CN"/>
              </w:rPr>
              <w:t>.5</w:t>
            </w:r>
            <w:r>
              <w:rPr>
                <w:rFonts w:hint="eastAsia"/>
                <w:color w:val="auto"/>
                <w:highlight w:val="none"/>
              </w:rPr>
              <w:t>分。</w:t>
            </w:r>
          </w:p>
          <w:p>
            <w:pPr>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）暖通专业负责人：具有注册公用设备工程师（暖通空调）得1</w:t>
            </w:r>
            <w:r>
              <w:rPr>
                <w:rFonts w:hint="eastAsia"/>
                <w:color w:val="auto"/>
                <w:highlight w:val="none"/>
                <w:lang w:val="en-US" w:eastAsia="zh-CN"/>
              </w:rPr>
              <w:t>.5</w:t>
            </w:r>
            <w:r>
              <w:rPr>
                <w:rFonts w:hint="eastAsia"/>
                <w:color w:val="auto"/>
                <w:highlight w:val="none"/>
              </w:rPr>
              <w:t>分，具有</w:t>
            </w:r>
            <w:r>
              <w:rPr>
                <w:rFonts w:hint="eastAsia"/>
                <w:color w:val="auto"/>
                <w:highlight w:val="none"/>
                <w:lang w:val="en-US" w:eastAsia="zh-CN"/>
              </w:rPr>
              <w:t>建筑工程或暖通相关专业</w:t>
            </w:r>
            <w:r>
              <w:rPr>
                <w:rFonts w:hint="eastAsia"/>
                <w:color w:val="auto"/>
                <w:highlight w:val="none"/>
              </w:rPr>
              <w:t>高级或以上技术职称得1分，具有</w:t>
            </w:r>
            <w:r>
              <w:rPr>
                <w:rFonts w:hint="eastAsia"/>
                <w:color w:val="auto"/>
                <w:highlight w:val="none"/>
                <w:lang w:val="en-US" w:eastAsia="zh-CN"/>
              </w:rPr>
              <w:t>建筑工程或暖通相关专业</w:t>
            </w:r>
            <w:r>
              <w:rPr>
                <w:rFonts w:hint="eastAsia"/>
                <w:color w:val="auto"/>
                <w:highlight w:val="none"/>
              </w:rPr>
              <w:t>中级技术职称得0.5分。本小项最高分为2</w:t>
            </w:r>
            <w:r>
              <w:rPr>
                <w:rFonts w:hint="eastAsia"/>
                <w:color w:val="auto"/>
                <w:highlight w:val="none"/>
                <w:lang w:val="en-US" w:eastAsia="zh-CN"/>
              </w:rPr>
              <w:t>.5</w:t>
            </w:r>
            <w:r>
              <w:rPr>
                <w:rFonts w:hint="eastAsia"/>
                <w:color w:val="auto"/>
                <w:highlight w:val="none"/>
              </w:rPr>
              <w:t>分。</w:t>
            </w:r>
          </w:p>
          <w:p>
            <w:pPr>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）给排水专业负责人：具有注册公用设备工程师（给水排水）得1</w:t>
            </w:r>
            <w:r>
              <w:rPr>
                <w:rFonts w:hint="eastAsia"/>
                <w:color w:val="auto"/>
                <w:highlight w:val="none"/>
                <w:lang w:val="en-US" w:eastAsia="zh-CN"/>
              </w:rPr>
              <w:t>.5</w:t>
            </w:r>
            <w:r>
              <w:rPr>
                <w:rFonts w:hint="eastAsia"/>
                <w:color w:val="auto"/>
                <w:highlight w:val="none"/>
              </w:rPr>
              <w:t>分，具有</w:t>
            </w:r>
            <w:r>
              <w:rPr>
                <w:rFonts w:hint="eastAsia"/>
                <w:color w:val="auto"/>
                <w:highlight w:val="none"/>
                <w:lang w:val="en-US" w:eastAsia="zh-CN"/>
              </w:rPr>
              <w:t>建筑工程或给排水相关专业</w:t>
            </w:r>
            <w:r>
              <w:rPr>
                <w:rFonts w:hint="eastAsia"/>
                <w:color w:val="auto"/>
                <w:highlight w:val="none"/>
              </w:rPr>
              <w:t>高级或以上技术职称得1分，具有</w:t>
            </w:r>
            <w:r>
              <w:rPr>
                <w:rFonts w:hint="eastAsia"/>
                <w:color w:val="auto"/>
                <w:highlight w:val="none"/>
                <w:lang w:val="en-US" w:eastAsia="zh-CN"/>
              </w:rPr>
              <w:t>建筑工程或给排水相关专业</w:t>
            </w:r>
            <w:r>
              <w:rPr>
                <w:rFonts w:hint="eastAsia"/>
                <w:color w:val="auto"/>
                <w:highlight w:val="none"/>
              </w:rPr>
              <w:t>中级技术职称得0.5分。本小项最高分为2</w:t>
            </w:r>
            <w:r>
              <w:rPr>
                <w:rFonts w:hint="eastAsia"/>
                <w:color w:val="auto"/>
                <w:highlight w:val="none"/>
                <w:lang w:val="en-US" w:eastAsia="zh-CN"/>
              </w:rPr>
              <w:t>.5</w:t>
            </w:r>
            <w:r>
              <w:rPr>
                <w:rFonts w:hint="eastAsia"/>
                <w:color w:val="auto"/>
                <w:highlight w:val="none"/>
              </w:rPr>
              <w:t>分。</w:t>
            </w:r>
          </w:p>
          <w:p>
            <w:pPr>
              <w:rPr>
                <w:rFonts w:hint="default" w:eastAsia="宋体"/>
                <w:color w:val="auto"/>
                <w:highlight w:val="none"/>
                <w:lang w:val="en-US" w:eastAsia="zh-CN"/>
              </w:rPr>
            </w:pPr>
            <w:r>
              <w:rPr>
                <w:rFonts w:hint="eastAsia"/>
                <w:color w:val="auto"/>
                <w:highlight w:val="none"/>
              </w:rPr>
              <w:t>注：（1）要求提供相关证明资料及本投标人（不含投标人的子公司或母公司人员，含分公司）2025年</w:t>
            </w:r>
            <w:r>
              <w:rPr>
                <w:rFonts w:hint="eastAsia"/>
                <w:color w:val="auto"/>
                <w:highlight w:val="none"/>
                <w:lang w:val="en-US" w:eastAsia="zh-CN"/>
              </w:rPr>
              <w:t>6</w:t>
            </w:r>
            <w:r>
              <w:rPr>
                <w:rFonts w:hint="eastAsia"/>
                <w:color w:val="auto"/>
                <w:highlight w:val="none"/>
              </w:rPr>
              <w:t>月由社保行政主管部门出具的社保证明资料；未提供相应的证明资料或所提供的证明资料不符合要求的，该人员不予计算得分。（2）工作经验以取得</w:t>
            </w:r>
            <w:r>
              <w:rPr>
                <w:rFonts w:hint="eastAsia"/>
                <w:color w:val="auto"/>
                <w:highlight w:val="none"/>
                <w:lang w:val="en-US" w:eastAsia="zh-CN"/>
              </w:rPr>
              <w:t>大学专科（或以上）学历的</w:t>
            </w:r>
            <w:r>
              <w:rPr>
                <w:rFonts w:hint="eastAsia"/>
                <w:color w:val="auto"/>
                <w:highlight w:val="none"/>
              </w:rPr>
              <w:t>毕业证书发证时间起开始计算。</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职称按照最高等级只计算一次，不重复计算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993" w:type="dxa"/>
            <w:gridSpan w:val="2"/>
            <w:tcBorders>
              <w:right w:val="single" w:color="auto" w:sz="4" w:space="0"/>
            </w:tcBorders>
            <w:vAlign w:val="center"/>
          </w:tcPr>
          <w:p>
            <w:pPr>
              <w:spacing w:line="440" w:lineRule="exact"/>
              <w:jc w:val="center"/>
              <w:rPr>
                <w:rFonts w:ascii="宋体" w:hAnsi="宋体" w:cs="宋体"/>
                <w:color w:val="auto"/>
                <w:highlight w:val="none"/>
              </w:rPr>
            </w:pPr>
          </w:p>
        </w:tc>
        <w:tc>
          <w:tcPr>
            <w:tcW w:w="1014" w:type="dxa"/>
            <w:tcBorders>
              <w:right w:val="single" w:color="auto" w:sz="4" w:space="0"/>
            </w:tcBorders>
          </w:tcPr>
          <w:p>
            <w:pPr>
              <w:spacing w:line="440" w:lineRule="exact"/>
              <w:jc w:val="center"/>
              <w:rPr>
                <w:rFonts w:ascii="宋体" w:hAnsi="宋体" w:cs="宋体"/>
                <w:color w:val="auto"/>
                <w:highlight w:val="none"/>
              </w:rPr>
            </w:pPr>
          </w:p>
        </w:tc>
        <w:tc>
          <w:tcPr>
            <w:tcW w:w="986" w:type="dxa"/>
            <w:tcBorders>
              <w:left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2"/>
                <w:highlight w:val="none"/>
              </w:rPr>
            </w:pPr>
            <w:r>
              <w:rPr>
                <w:rFonts w:hint="eastAsia" w:ascii="宋体" w:hAnsi="宋体"/>
                <w:color w:val="auto"/>
                <w:highlight w:val="none"/>
              </w:rPr>
              <w:t>进度计划及保证措施</w:t>
            </w:r>
            <w:r>
              <w:rPr>
                <w:rFonts w:hint="eastAsia" w:ascii="宋体" w:hAnsi="宋体" w:cs="宋体"/>
                <w:color w:val="auto"/>
                <w:highlight w:val="none"/>
              </w:rPr>
              <w:t>（9分）</w:t>
            </w:r>
          </w:p>
        </w:tc>
        <w:tc>
          <w:tcPr>
            <w:tcW w:w="51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bCs/>
                <w:color w:val="auto"/>
                <w:szCs w:val="21"/>
                <w:highlight w:val="none"/>
              </w:rPr>
            </w:pPr>
            <w:r>
              <w:rPr>
                <w:rFonts w:hint="eastAsia" w:ascii="宋体" w:hAnsi="宋体"/>
                <w:bCs/>
                <w:color w:val="auto"/>
                <w:szCs w:val="21"/>
                <w:highlight w:val="none"/>
              </w:rPr>
              <w:t>有进度计划及保证措施，得3分，无得0分。</w:t>
            </w:r>
          </w:p>
          <w:p>
            <w:pPr>
              <w:spacing w:line="320" w:lineRule="exact"/>
              <w:jc w:val="left"/>
              <w:rPr>
                <w:rFonts w:ascii="宋体" w:hAnsi="宋体" w:cstheme="minorBidi"/>
                <w:color w:val="auto"/>
                <w:szCs w:val="21"/>
                <w:highlight w:val="none"/>
              </w:rPr>
            </w:pPr>
            <w:r>
              <w:rPr>
                <w:rFonts w:hint="eastAsia" w:ascii="宋体" w:hAnsi="宋体"/>
                <w:b/>
                <w:color w:val="auto"/>
                <w:szCs w:val="21"/>
                <w:highlight w:val="none"/>
              </w:rPr>
              <w:t>[优]</w:t>
            </w:r>
            <w:r>
              <w:rPr>
                <w:rFonts w:hint="eastAsia"/>
                <w:color w:val="auto"/>
                <w:highlight w:val="none"/>
              </w:rPr>
              <w:t xml:space="preserve"> </w:t>
            </w:r>
            <w:r>
              <w:rPr>
                <w:rFonts w:hint="eastAsia" w:ascii="宋体" w:hAnsi="宋体"/>
                <w:color w:val="auto"/>
                <w:szCs w:val="21"/>
                <w:highlight w:val="none"/>
              </w:rPr>
              <w:t>工期合理、进度计划可行、合理、先进、保证措施具体。总工期比招标文件要求工期能提前5天或以上,得6分；</w:t>
            </w:r>
          </w:p>
          <w:p>
            <w:pPr>
              <w:widowControl/>
              <w:spacing w:line="320" w:lineRule="exact"/>
              <w:jc w:val="left"/>
              <w:rPr>
                <w:rFonts w:ascii="宋体" w:hAnsi="宋体"/>
                <w:color w:val="auto"/>
                <w:szCs w:val="21"/>
                <w:highlight w:val="none"/>
              </w:rPr>
            </w:pPr>
            <w:r>
              <w:rPr>
                <w:rFonts w:hint="eastAsia" w:ascii="宋体" w:hAnsi="宋体"/>
                <w:b/>
                <w:color w:val="auto"/>
                <w:szCs w:val="21"/>
                <w:highlight w:val="none"/>
              </w:rPr>
              <w:t>[良]</w:t>
            </w:r>
            <w:r>
              <w:rPr>
                <w:rFonts w:hint="eastAsia"/>
                <w:color w:val="auto"/>
                <w:highlight w:val="none"/>
              </w:rPr>
              <w:t xml:space="preserve"> </w:t>
            </w:r>
            <w:r>
              <w:rPr>
                <w:rFonts w:hint="eastAsia" w:ascii="宋体" w:hAnsi="宋体"/>
                <w:color w:val="auto"/>
                <w:szCs w:val="21"/>
                <w:highlight w:val="none"/>
              </w:rPr>
              <w:t>工期较合理、进度计划可行、较合理、较先进、有保证措施。总工期比招标文件要求工期能提前[2-4]天,得4分。</w:t>
            </w:r>
          </w:p>
          <w:p>
            <w:pPr>
              <w:widowControl/>
              <w:spacing w:line="320" w:lineRule="exact"/>
              <w:jc w:val="left"/>
              <w:rPr>
                <w:rFonts w:ascii="宋体" w:hAnsi="宋体"/>
                <w:color w:val="auto"/>
                <w:szCs w:val="21"/>
                <w:highlight w:val="none"/>
              </w:rPr>
            </w:pPr>
            <w:r>
              <w:rPr>
                <w:rFonts w:hint="eastAsia" w:ascii="宋体" w:hAnsi="宋体"/>
                <w:b/>
                <w:color w:val="auto"/>
                <w:szCs w:val="21"/>
                <w:highlight w:val="none"/>
              </w:rPr>
              <w:t>[中]</w:t>
            </w:r>
            <w:r>
              <w:rPr>
                <w:rFonts w:hint="eastAsia"/>
                <w:color w:val="auto"/>
                <w:highlight w:val="none"/>
              </w:rPr>
              <w:t xml:space="preserve"> </w:t>
            </w:r>
            <w:r>
              <w:rPr>
                <w:rFonts w:hint="eastAsia" w:ascii="宋体" w:hAnsi="宋体"/>
                <w:color w:val="auto"/>
                <w:szCs w:val="21"/>
                <w:highlight w:val="none"/>
              </w:rPr>
              <w:t>工期较合理、进度计划较可行、较合理、保证措施较差。总工期按照招标要求工期,得2分。</w:t>
            </w:r>
          </w:p>
          <w:p>
            <w:pPr>
              <w:widowControl/>
              <w:spacing w:line="320" w:lineRule="exact"/>
              <w:jc w:val="left"/>
              <w:rPr>
                <w:rFonts w:ascii="宋体" w:hAnsi="宋体"/>
                <w:color w:val="auto"/>
                <w:szCs w:val="21"/>
                <w:highlight w:val="none"/>
              </w:rPr>
            </w:pPr>
            <w:r>
              <w:rPr>
                <w:rFonts w:hint="eastAsia" w:ascii="宋体" w:hAnsi="宋体"/>
                <w:b/>
                <w:color w:val="auto"/>
                <w:szCs w:val="21"/>
                <w:highlight w:val="none"/>
              </w:rPr>
              <w:t>[差]</w:t>
            </w:r>
            <w:r>
              <w:rPr>
                <w:rFonts w:hint="eastAsia" w:ascii="宋体" w:hAnsi="宋体"/>
                <w:color w:val="auto"/>
                <w:szCs w:val="21"/>
                <w:highlight w:val="none"/>
              </w:rPr>
              <w:t xml:space="preserve"> 不满足上述要求的，得1分。</w:t>
            </w:r>
          </w:p>
          <w:p>
            <w:pPr>
              <w:widowControl/>
              <w:spacing w:line="320" w:lineRule="exact"/>
              <w:jc w:val="left"/>
              <w:rPr>
                <w:rFonts w:ascii="宋体" w:hAnsi="宋体"/>
                <w:color w:val="auto"/>
                <w:szCs w:val="21"/>
                <w:highlight w:val="none"/>
              </w:rPr>
            </w:pPr>
            <w:r>
              <w:rPr>
                <w:rFonts w:ascii="宋体" w:hAnsi="宋体"/>
                <w:color w:val="auto"/>
                <w:szCs w:val="21"/>
                <w:highlight w:val="none"/>
              </w:rPr>
              <w:t>未提供得</w:t>
            </w:r>
            <w:r>
              <w:rPr>
                <w:rFonts w:hint="eastAsia" w:ascii="宋体" w:hAnsi="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993" w:type="dxa"/>
            <w:gridSpan w:val="2"/>
            <w:tcBorders>
              <w:right w:val="single" w:color="auto" w:sz="4" w:space="0"/>
            </w:tcBorders>
            <w:vAlign w:val="center"/>
          </w:tcPr>
          <w:p>
            <w:pPr>
              <w:spacing w:line="440" w:lineRule="exact"/>
              <w:jc w:val="center"/>
              <w:rPr>
                <w:rFonts w:ascii="宋体" w:hAnsi="宋体" w:cs="宋体"/>
                <w:color w:val="auto"/>
                <w:highlight w:val="none"/>
              </w:rPr>
            </w:pPr>
          </w:p>
        </w:tc>
        <w:tc>
          <w:tcPr>
            <w:tcW w:w="1014" w:type="dxa"/>
            <w:tcBorders>
              <w:right w:val="single" w:color="auto" w:sz="4" w:space="0"/>
            </w:tcBorders>
          </w:tcPr>
          <w:p>
            <w:pPr>
              <w:spacing w:line="440" w:lineRule="exact"/>
              <w:jc w:val="center"/>
              <w:rPr>
                <w:rFonts w:ascii="宋体" w:hAnsi="宋体" w:cs="宋体"/>
                <w:color w:val="auto"/>
                <w:highlight w:val="none"/>
              </w:rPr>
            </w:pPr>
          </w:p>
        </w:tc>
        <w:tc>
          <w:tcPr>
            <w:tcW w:w="986" w:type="dxa"/>
            <w:tcBorders>
              <w:left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绿色节能控制措施（9分）</w:t>
            </w:r>
          </w:p>
        </w:tc>
        <w:tc>
          <w:tcPr>
            <w:tcW w:w="5157" w:type="dxa"/>
            <w:tcBorders>
              <w:top w:val="single" w:color="auto" w:sz="4" w:space="0"/>
              <w:left w:val="single" w:color="auto" w:sz="4" w:space="0"/>
              <w:bottom w:val="single" w:color="auto" w:sz="4" w:space="0"/>
              <w:right w:val="single" w:color="auto" w:sz="4" w:space="0"/>
            </w:tcBorders>
          </w:tcPr>
          <w:p>
            <w:pPr>
              <w:spacing w:line="320" w:lineRule="exact"/>
              <w:jc w:val="left"/>
              <w:rPr>
                <w:rFonts w:ascii="宋体" w:hAnsi="宋体"/>
                <w:bCs/>
                <w:color w:val="auto"/>
                <w:szCs w:val="21"/>
                <w:highlight w:val="none"/>
              </w:rPr>
            </w:pPr>
            <w:r>
              <w:rPr>
                <w:rFonts w:hint="eastAsia" w:ascii="宋体" w:hAnsi="宋体"/>
                <w:bCs/>
                <w:color w:val="auto"/>
                <w:szCs w:val="21"/>
                <w:highlight w:val="none"/>
              </w:rPr>
              <w:t>有绿色节能控制措施的得3分，无得0分。</w:t>
            </w:r>
          </w:p>
          <w:p>
            <w:pPr>
              <w:spacing w:line="320" w:lineRule="exact"/>
              <w:jc w:val="left"/>
              <w:rPr>
                <w:rFonts w:ascii="宋体" w:hAnsi="宋体"/>
                <w:color w:val="auto"/>
                <w:szCs w:val="21"/>
                <w:highlight w:val="none"/>
              </w:rPr>
            </w:pPr>
            <w:r>
              <w:rPr>
                <w:rFonts w:hint="eastAsia" w:ascii="宋体" w:hAnsi="宋体"/>
                <w:b/>
                <w:color w:val="auto"/>
                <w:szCs w:val="21"/>
                <w:highlight w:val="none"/>
              </w:rPr>
              <w:t>[优]</w:t>
            </w:r>
            <w:r>
              <w:rPr>
                <w:rFonts w:hint="eastAsia" w:ascii="宋体" w:hAnsi="宋体"/>
                <w:color w:val="auto"/>
                <w:szCs w:val="21"/>
                <w:highlight w:val="none"/>
              </w:rPr>
              <w:t>绿色节能措施明确、可行，承诺在施工过程中通过科学管理和先进的技术手段，最大限度地节约资源与减少对环境的负面影响，以达到四节一环保（节能、节地、节水、节材和环境保护）的目标，得6分。</w:t>
            </w:r>
          </w:p>
          <w:p>
            <w:pPr>
              <w:spacing w:line="320" w:lineRule="exact"/>
              <w:jc w:val="left"/>
              <w:rPr>
                <w:rFonts w:ascii="宋体" w:hAnsi="宋体"/>
                <w:color w:val="auto"/>
                <w:szCs w:val="21"/>
                <w:highlight w:val="none"/>
              </w:rPr>
            </w:pPr>
            <w:r>
              <w:rPr>
                <w:rFonts w:hint="eastAsia" w:ascii="宋体" w:hAnsi="宋体"/>
                <w:b/>
                <w:color w:val="auto"/>
                <w:szCs w:val="21"/>
                <w:highlight w:val="none"/>
              </w:rPr>
              <w:t>[良]</w:t>
            </w:r>
            <w:r>
              <w:rPr>
                <w:rFonts w:hint="eastAsia" w:ascii="宋体" w:hAnsi="宋体"/>
                <w:color w:val="auto"/>
                <w:szCs w:val="21"/>
                <w:highlight w:val="none"/>
              </w:rPr>
              <w:t>绿色节能措施较明确、可行，承诺在施工过程中达到四节一环保（节能、节地、节水、节材和环境保护）的目标，得4分。</w:t>
            </w:r>
          </w:p>
          <w:p>
            <w:pPr>
              <w:spacing w:line="320" w:lineRule="exact"/>
              <w:jc w:val="left"/>
              <w:rPr>
                <w:rFonts w:ascii="宋体" w:hAnsi="宋体"/>
                <w:color w:val="auto"/>
                <w:szCs w:val="21"/>
                <w:highlight w:val="none"/>
              </w:rPr>
            </w:pPr>
            <w:r>
              <w:rPr>
                <w:rFonts w:hint="eastAsia" w:ascii="宋体" w:hAnsi="宋体"/>
                <w:b/>
                <w:color w:val="auto"/>
                <w:szCs w:val="21"/>
                <w:highlight w:val="none"/>
              </w:rPr>
              <w:t>[中]</w:t>
            </w:r>
            <w:r>
              <w:rPr>
                <w:rFonts w:hint="eastAsia" w:ascii="宋体" w:hAnsi="宋体"/>
                <w:color w:val="auto"/>
                <w:szCs w:val="21"/>
                <w:highlight w:val="none"/>
              </w:rPr>
              <w:t>绿色节能措施一般，承诺在施工过程中的符合绿色节能的目标，得2分。</w:t>
            </w:r>
          </w:p>
          <w:p>
            <w:pPr>
              <w:spacing w:line="320" w:lineRule="exact"/>
              <w:jc w:val="left"/>
              <w:rPr>
                <w:rFonts w:ascii="宋体" w:hAnsi="宋体"/>
                <w:color w:val="auto"/>
                <w:szCs w:val="21"/>
                <w:highlight w:val="none"/>
              </w:rPr>
            </w:pPr>
            <w:r>
              <w:rPr>
                <w:rFonts w:hint="eastAsia" w:ascii="宋体" w:hAnsi="宋体"/>
                <w:b/>
                <w:color w:val="auto"/>
                <w:szCs w:val="21"/>
                <w:highlight w:val="none"/>
              </w:rPr>
              <w:t>[差]</w:t>
            </w:r>
            <w:r>
              <w:rPr>
                <w:rFonts w:hint="eastAsia" w:ascii="宋体" w:hAnsi="宋体"/>
                <w:color w:val="auto"/>
                <w:szCs w:val="21"/>
                <w:highlight w:val="none"/>
              </w:rPr>
              <w:t>不满足上述要求的，得1分。</w:t>
            </w:r>
          </w:p>
          <w:p>
            <w:pPr>
              <w:spacing w:line="320" w:lineRule="exact"/>
              <w:jc w:val="left"/>
              <w:rPr>
                <w:color w:val="auto"/>
                <w:highlight w:val="none"/>
              </w:rPr>
            </w:pPr>
            <w:r>
              <w:rPr>
                <w:rFonts w:ascii="宋体" w:hAnsi="宋体"/>
                <w:color w:val="auto"/>
                <w:szCs w:val="21"/>
                <w:highlight w:val="none"/>
              </w:rPr>
              <w:t>未提供得</w:t>
            </w:r>
            <w:r>
              <w:rPr>
                <w:rFonts w:hint="eastAsia" w:ascii="宋体" w:hAnsi="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993" w:type="dxa"/>
            <w:gridSpan w:val="2"/>
            <w:tcBorders>
              <w:right w:val="single" w:color="auto" w:sz="4" w:space="0"/>
            </w:tcBorders>
            <w:vAlign w:val="center"/>
          </w:tcPr>
          <w:p>
            <w:pPr>
              <w:spacing w:line="440" w:lineRule="exact"/>
              <w:jc w:val="center"/>
              <w:rPr>
                <w:rFonts w:ascii="宋体" w:hAnsi="宋体" w:cs="宋体"/>
                <w:color w:val="auto"/>
                <w:highlight w:val="none"/>
              </w:rPr>
            </w:pPr>
          </w:p>
        </w:tc>
        <w:tc>
          <w:tcPr>
            <w:tcW w:w="1014" w:type="dxa"/>
            <w:tcBorders>
              <w:right w:val="single" w:color="auto" w:sz="4" w:space="0"/>
            </w:tcBorders>
          </w:tcPr>
          <w:p>
            <w:pPr>
              <w:spacing w:line="440" w:lineRule="exact"/>
              <w:jc w:val="center"/>
              <w:rPr>
                <w:rFonts w:ascii="宋体" w:hAnsi="宋体" w:cs="宋体"/>
                <w:color w:val="auto"/>
                <w:highlight w:val="none"/>
              </w:rPr>
            </w:pPr>
          </w:p>
        </w:tc>
        <w:tc>
          <w:tcPr>
            <w:tcW w:w="986" w:type="dxa"/>
            <w:tcBorders>
              <w:left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ind w:right="210" w:rightChars="100"/>
              <w:jc w:val="center"/>
              <w:rPr>
                <w:rFonts w:ascii="宋体" w:hAnsi="宋体"/>
                <w:color w:val="auto"/>
                <w:szCs w:val="21"/>
                <w:highlight w:val="none"/>
              </w:rPr>
            </w:pPr>
            <w:r>
              <w:rPr>
                <w:rFonts w:hint="eastAsia" w:ascii="宋体" w:hAnsi="宋体"/>
                <w:color w:val="auto"/>
                <w:szCs w:val="21"/>
                <w:highlight w:val="none"/>
              </w:rPr>
              <w:t>安全文明施工目标及保证措施</w:t>
            </w:r>
            <w:r>
              <w:rPr>
                <w:rFonts w:hint="eastAsia" w:ascii="宋体" w:hAnsi="宋体" w:cs="宋体"/>
                <w:color w:val="auto"/>
                <w:highlight w:val="none"/>
              </w:rPr>
              <w:t>（9分）</w:t>
            </w:r>
          </w:p>
        </w:tc>
        <w:tc>
          <w:tcPr>
            <w:tcW w:w="51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b/>
                <w:color w:val="auto"/>
                <w:szCs w:val="21"/>
                <w:highlight w:val="none"/>
              </w:rPr>
            </w:pPr>
            <w:r>
              <w:rPr>
                <w:rFonts w:hint="eastAsia" w:ascii="宋体" w:hAnsi="宋体"/>
                <w:bCs/>
                <w:color w:val="auto"/>
                <w:szCs w:val="21"/>
                <w:highlight w:val="none"/>
              </w:rPr>
              <w:t>有</w:t>
            </w:r>
            <w:r>
              <w:rPr>
                <w:rFonts w:hint="eastAsia" w:ascii="宋体" w:hAnsi="宋体"/>
                <w:color w:val="auto"/>
                <w:szCs w:val="21"/>
                <w:highlight w:val="none"/>
              </w:rPr>
              <w:t>安全文明施工目标及保证措施的得3分，无得0分。</w:t>
            </w:r>
          </w:p>
          <w:p>
            <w:pPr>
              <w:spacing w:line="320" w:lineRule="exact"/>
              <w:jc w:val="left"/>
              <w:rPr>
                <w:rFonts w:ascii="宋体" w:hAnsi="宋体" w:cstheme="minorBidi"/>
                <w:color w:val="auto"/>
                <w:szCs w:val="21"/>
                <w:highlight w:val="none"/>
              </w:rPr>
            </w:pPr>
            <w:r>
              <w:rPr>
                <w:rFonts w:hint="eastAsia" w:ascii="宋体" w:hAnsi="宋体"/>
                <w:b/>
                <w:color w:val="auto"/>
                <w:szCs w:val="21"/>
                <w:highlight w:val="none"/>
              </w:rPr>
              <w:t>[优]</w:t>
            </w:r>
            <w:r>
              <w:rPr>
                <w:rFonts w:hint="eastAsia"/>
                <w:color w:val="auto"/>
                <w:highlight w:val="none"/>
              </w:rPr>
              <w:t xml:space="preserve"> </w:t>
            </w:r>
            <w:r>
              <w:rPr>
                <w:rFonts w:hint="eastAsia" w:ascii="宋体" w:hAnsi="宋体"/>
                <w:color w:val="auto"/>
                <w:szCs w:val="21"/>
                <w:highlight w:val="none"/>
              </w:rPr>
              <w:t>针对性强，方案完整可行，能确保各个阶段良好的施工形象。对存在的安全等风险有充分认识，并具有可行的应急预案,得6分。</w:t>
            </w:r>
          </w:p>
          <w:p>
            <w:pPr>
              <w:spacing w:line="320" w:lineRule="exact"/>
              <w:jc w:val="left"/>
              <w:rPr>
                <w:rFonts w:ascii="宋体" w:hAnsi="宋体"/>
                <w:color w:val="auto"/>
                <w:szCs w:val="21"/>
                <w:highlight w:val="none"/>
              </w:rPr>
            </w:pPr>
            <w:r>
              <w:rPr>
                <w:rFonts w:hint="eastAsia" w:ascii="宋体" w:hAnsi="宋体"/>
                <w:b/>
                <w:color w:val="auto"/>
                <w:szCs w:val="21"/>
                <w:highlight w:val="none"/>
              </w:rPr>
              <w:t>[良]</w:t>
            </w:r>
            <w:r>
              <w:rPr>
                <w:rFonts w:hint="eastAsia"/>
                <w:color w:val="auto"/>
                <w:highlight w:val="none"/>
              </w:rPr>
              <w:t xml:space="preserve"> </w:t>
            </w:r>
            <w:r>
              <w:rPr>
                <w:rFonts w:hint="eastAsia" w:ascii="宋体" w:hAnsi="宋体"/>
                <w:color w:val="auto"/>
                <w:szCs w:val="21"/>
                <w:highlight w:val="none"/>
              </w:rPr>
              <w:t>针对性一般，方案基本完整可行，基本能确保各个阶段良好的施工形象,得4分。</w:t>
            </w:r>
          </w:p>
          <w:p>
            <w:pPr>
              <w:spacing w:line="320" w:lineRule="exact"/>
              <w:jc w:val="left"/>
              <w:rPr>
                <w:rFonts w:ascii="宋体" w:hAnsi="宋体"/>
                <w:color w:val="auto"/>
                <w:szCs w:val="21"/>
                <w:highlight w:val="none"/>
              </w:rPr>
            </w:pPr>
            <w:r>
              <w:rPr>
                <w:rFonts w:hint="eastAsia" w:ascii="宋体" w:hAnsi="宋体"/>
                <w:b/>
                <w:color w:val="auto"/>
                <w:szCs w:val="21"/>
                <w:highlight w:val="none"/>
              </w:rPr>
              <w:t>[中]</w:t>
            </w:r>
            <w:r>
              <w:rPr>
                <w:rFonts w:hint="eastAsia"/>
                <w:color w:val="auto"/>
                <w:highlight w:val="none"/>
              </w:rPr>
              <w:t xml:space="preserve"> </w:t>
            </w:r>
            <w:r>
              <w:rPr>
                <w:rFonts w:hint="eastAsia" w:ascii="宋体" w:hAnsi="宋体"/>
                <w:color w:val="auto"/>
                <w:szCs w:val="21"/>
                <w:highlight w:val="none"/>
              </w:rPr>
              <w:t>针对性差，方案不完整，可行性差,得2分。</w:t>
            </w:r>
          </w:p>
          <w:p>
            <w:pPr>
              <w:spacing w:line="320" w:lineRule="exact"/>
              <w:jc w:val="left"/>
              <w:rPr>
                <w:rFonts w:ascii="宋体" w:hAnsi="宋体"/>
                <w:color w:val="auto"/>
                <w:szCs w:val="21"/>
                <w:highlight w:val="none"/>
              </w:rPr>
            </w:pPr>
            <w:r>
              <w:rPr>
                <w:rFonts w:hint="eastAsia" w:ascii="宋体" w:hAnsi="宋体"/>
                <w:b/>
                <w:color w:val="auto"/>
                <w:szCs w:val="21"/>
                <w:highlight w:val="none"/>
              </w:rPr>
              <w:t>[差]</w:t>
            </w:r>
            <w:r>
              <w:rPr>
                <w:rFonts w:hint="eastAsia" w:ascii="宋体" w:hAnsi="宋体"/>
                <w:color w:val="auto"/>
                <w:szCs w:val="21"/>
                <w:highlight w:val="none"/>
              </w:rPr>
              <w:t xml:space="preserve"> 不满足上述要求的，得1分。</w:t>
            </w:r>
          </w:p>
          <w:p>
            <w:pPr>
              <w:spacing w:line="320" w:lineRule="exact"/>
              <w:jc w:val="left"/>
              <w:rPr>
                <w:rFonts w:ascii="宋体" w:hAnsi="宋体"/>
                <w:color w:val="auto"/>
                <w:szCs w:val="21"/>
                <w:highlight w:val="none"/>
              </w:rPr>
            </w:pPr>
            <w:r>
              <w:rPr>
                <w:rFonts w:ascii="宋体" w:hAnsi="宋体"/>
                <w:color w:val="auto"/>
                <w:szCs w:val="21"/>
                <w:highlight w:val="none"/>
              </w:rPr>
              <w:t>未提供得</w:t>
            </w:r>
            <w:r>
              <w:rPr>
                <w:rFonts w:hint="eastAsia" w:ascii="宋体" w:hAnsi="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993" w:type="dxa"/>
            <w:gridSpan w:val="2"/>
            <w:tcBorders>
              <w:right w:val="single" w:color="auto" w:sz="4" w:space="0"/>
            </w:tcBorders>
            <w:vAlign w:val="center"/>
          </w:tcPr>
          <w:p>
            <w:pPr>
              <w:spacing w:line="440" w:lineRule="exact"/>
              <w:jc w:val="center"/>
              <w:rPr>
                <w:rFonts w:ascii="宋体" w:hAnsi="宋体" w:cs="宋体"/>
                <w:color w:val="auto"/>
                <w:highlight w:val="none"/>
              </w:rPr>
            </w:pPr>
          </w:p>
        </w:tc>
        <w:tc>
          <w:tcPr>
            <w:tcW w:w="1014" w:type="dxa"/>
            <w:tcBorders>
              <w:right w:val="single" w:color="auto" w:sz="4" w:space="0"/>
            </w:tcBorders>
          </w:tcPr>
          <w:p>
            <w:pPr>
              <w:spacing w:line="440" w:lineRule="exact"/>
              <w:jc w:val="center"/>
              <w:rPr>
                <w:rFonts w:ascii="宋体" w:hAnsi="宋体" w:cs="宋体"/>
                <w:color w:val="auto"/>
                <w:highlight w:val="none"/>
              </w:rPr>
            </w:pPr>
          </w:p>
        </w:tc>
        <w:tc>
          <w:tcPr>
            <w:tcW w:w="986" w:type="dxa"/>
            <w:tcBorders>
              <w:left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ind w:right="210" w:rightChars="100"/>
              <w:jc w:val="center"/>
              <w:rPr>
                <w:rFonts w:ascii="宋体" w:hAnsi="宋体"/>
                <w:color w:val="auto"/>
                <w:szCs w:val="21"/>
                <w:highlight w:val="none"/>
              </w:rPr>
            </w:pPr>
            <w:r>
              <w:rPr>
                <w:rFonts w:hint="eastAsia" w:ascii="宋体" w:hAnsi="宋体"/>
                <w:color w:val="auto"/>
                <w:szCs w:val="21"/>
                <w:highlight w:val="none"/>
              </w:rPr>
              <w:t>质量保证措施</w:t>
            </w:r>
            <w:r>
              <w:rPr>
                <w:rFonts w:hint="eastAsia" w:ascii="宋体" w:hAnsi="宋体" w:cs="宋体"/>
                <w:color w:val="auto"/>
                <w:highlight w:val="none"/>
              </w:rPr>
              <w:t>（9分）</w:t>
            </w:r>
          </w:p>
        </w:tc>
        <w:tc>
          <w:tcPr>
            <w:tcW w:w="51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bCs/>
                <w:color w:val="auto"/>
                <w:szCs w:val="21"/>
                <w:highlight w:val="none"/>
              </w:rPr>
            </w:pPr>
            <w:r>
              <w:rPr>
                <w:rFonts w:hint="eastAsia" w:ascii="宋体" w:hAnsi="宋体"/>
                <w:bCs/>
                <w:color w:val="auto"/>
                <w:szCs w:val="21"/>
                <w:highlight w:val="none"/>
              </w:rPr>
              <w:t>有质量保证措施的得3分，无得0分。</w:t>
            </w:r>
          </w:p>
          <w:p>
            <w:pPr>
              <w:spacing w:line="320" w:lineRule="exact"/>
              <w:jc w:val="left"/>
              <w:rPr>
                <w:rFonts w:ascii="宋体" w:hAnsi="宋体" w:cstheme="minorBidi"/>
                <w:color w:val="auto"/>
                <w:szCs w:val="21"/>
                <w:highlight w:val="none"/>
              </w:rPr>
            </w:pPr>
            <w:r>
              <w:rPr>
                <w:rFonts w:hint="eastAsia" w:ascii="宋体" w:hAnsi="宋体"/>
                <w:b/>
                <w:color w:val="auto"/>
                <w:szCs w:val="21"/>
                <w:highlight w:val="none"/>
              </w:rPr>
              <w:t>[优]</w:t>
            </w:r>
            <w:r>
              <w:rPr>
                <w:rFonts w:hint="eastAsia"/>
                <w:color w:val="auto"/>
                <w:highlight w:val="none"/>
              </w:rPr>
              <w:t xml:space="preserve"> </w:t>
            </w:r>
            <w:r>
              <w:rPr>
                <w:rFonts w:hint="eastAsia" w:ascii="宋体" w:hAnsi="宋体"/>
                <w:color w:val="auto"/>
                <w:szCs w:val="21"/>
                <w:highlight w:val="none"/>
              </w:rPr>
              <w:t>质量保证措施明确、具体、可行、各项措施落实；具有可行的工程实施方案，得6分。</w:t>
            </w:r>
          </w:p>
          <w:p>
            <w:pPr>
              <w:spacing w:line="320" w:lineRule="exact"/>
              <w:jc w:val="left"/>
              <w:rPr>
                <w:rFonts w:ascii="宋体" w:hAnsi="宋体"/>
                <w:color w:val="auto"/>
                <w:szCs w:val="21"/>
                <w:highlight w:val="none"/>
              </w:rPr>
            </w:pPr>
            <w:r>
              <w:rPr>
                <w:rFonts w:hint="eastAsia" w:ascii="宋体" w:hAnsi="宋体"/>
                <w:b/>
                <w:color w:val="auto"/>
                <w:szCs w:val="21"/>
                <w:highlight w:val="none"/>
              </w:rPr>
              <w:t>[良]</w:t>
            </w:r>
            <w:r>
              <w:rPr>
                <w:rFonts w:hint="eastAsia"/>
                <w:color w:val="auto"/>
                <w:highlight w:val="none"/>
              </w:rPr>
              <w:t xml:space="preserve"> </w:t>
            </w:r>
            <w:r>
              <w:rPr>
                <w:rFonts w:hint="eastAsia" w:ascii="宋体" w:hAnsi="宋体"/>
                <w:color w:val="auto"/>
                <w:szCs w:val="21"/>
                <w:highlight w:val="none"/>
              </w:rPr>
              <w:t>质量保证措施较明确、较具体、较可行、较落实，得4分。</w:t>
            </w:r>
          </w:p>
          <w:p>
            <w:pPr>
              <w:spacing w:line="320" w:lineRule="exact"/>
              <w:jc w:val="left"/>
              <w:rPr>
                <w:rFonts w:ascii="宋体" w:hAnsi="宋体"/>
                <w:color w:val="auto"/>
                <w:szCs w:val="21"/>
                <w:highlight w:val="none"/>
              </w:rPr>
            </w:pPr>
            <w:r>
              <w:rPr>
                <w:rFonts w:hint="eastAsia" w:ascii="宋体" w:hAnsi="宋体"/>
                <w:b/>
                <w:color w:val="auto"/>
                <w:szCs w:val="21"/>
                <w:highlight w:val="none"/>
              </w:rPr>
              <w:t>[中]</w:t>
            </w:r>
            <w:r>
              <w:rPr>
                <w:rFonts w:hint="eastAsia"/>
                <w:color w:val="auto"/>
                <w:highlight w:val="none"/>
              </w:rPr>
              <w:t xml:space="preserve"> </w:t>
            </w:r>
            <w:r>
              <w:rPr>
                <w:rFonts w:hint="eastAsia" w:ascii="宋体" w:hAnsi="宋体"/>
                <w:color w:val="auto"/>
                <w:szCs w:val="21"/>
                <w:highlight w:val="none"/>
              </w:rPr>
              <w:t>质量保证措施一般、但对质量保证措施有认识，得2分。</w:t>
            </w:r>
          </w:p>
          <w:p>
            <w:pPr>
              <w:spacing w:line="320" w:lineRule="exact"/>
              <w:jc w:val="left"/>
              <w:rPr>
                <w:rFonts w:ascii="宋体" w:hAnsi="宋体"/>
                <w:color w:val="auto"/>
                <w:szCs w:val="21"/>
                <w:highlight w:val="none"/>
              </w:rPr>
            </w:pPr>
            <w:r>
              <w:rPr>
                <w:rFonts w:hint="eastAsia" w:ascii="宋体" w:hAnsi="宋体"/>
                <w:b/>
                <w:color w:val="auto"/>
                <w:szCs w:val="21"/>
                <w:highlight w:val="none"/>
              </w:rPr>
              <w:t>[差]</w:t>
            </w:r>
            <w:r>
              <w:rPr>
                <w:rFonts w:hint="eastAsia" w:ascii="宋体" w:hAnsi="宋体"/>
                <w:color w:val="auto"/>
                <w:szCs w:val="21"/>
                <w:highlight w:val="none"/>
              </w:rPr>
              <w:t xml:space="preserve"> 不满足上述要求的，得1分。</w:t>
            </w:r>
          </w:p>
          <w:p>
            <w:pPr>
              <w:spacing w:line="320" w:lineRule="exact"/>
              <w:jc w:val="left"/>
              <w:rPr>
                <w:rFonts w:ascii="宋体" w:hAnsi="宋体"/>
                <w:color w:val="auto"/>
                <w:szCs w:val="21"/>
                <w:highlight w:val="none"/>
              </w:rPr>
            </w:pPr>
            <w:r>
              <w:rPr>
                <w:rFonts w:ascii="宋体" w:hAnsi="宋体"/>
                <w:color w:val="auto"/>
                <w:szCs w:val="21"/>
                <w:highlight w:val="none"/>
              </w:rPr>
              <w:t>未提供得</w:t>
            </w:r>
            <w:r>
              <w:rPr>
                <w:rFonts w:hint="eastAsia" w:ascii="宋体" w:hAnsi="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993" w:type="dxa"/>
            <w:gridSpan w:val="2"/>
            <w:tcBorders>
              <w:right w:val="single" w:color="auto" w:sz="4" w:space="0"/>
            </w:tcBorders>
            <w:vAlign w:val="center"/>
          </w:tcPr>
          <w:p>
            <w:pPr>
              <w:spacing w:line="440" w:lineRule="exact"/>
              <w:jc w:val="center"/>
              <w:rPr>
                <w:rFonts w:ascii="宋体" w:hAnsi="宋体" w:cs="宋体"/>
                <w:color w:val="auto"/>
                <w:highlight w:val="none"/>
              </w:rPr>
            </w:pPr>
          </w:p>
        </w:tc>
        <w:tc>
          <w:tcPr>
            <w:tcW w:w="1014" w:type="dxa"/>
            <w:tcBorders>
              <w:right w:val="single" w:color="auto" w:sz="4" w:space="0"/>
            </w:tcBorders>
          </w:tcPr>
          <w:p>
            <w:pPr>
              <w:spacing w:line="440" w:lineRule="exact"/>
              <w:jc w:val="center"/>
              <w:rPr>
                <w:rFonts w:ascii="宋体" w:hAnsi="宋体" w:cs="宋体"/>
                <w:color w:val="auto"/>
                <w:highlight w:val="none"/>
              </w:rPr>
            </w:pPr>
          </w:p>
        </w:tc>
        <w:tc>
          <w:tcPr>
            <w:tcW w:w="986" w:type="dxa"/>
            <w:tcBorders>
              <w:left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本项目施工重点、难点分析及对策</w:t>
            </w:r>
            <w:r>
              <w:rPr>
                <w:rFonts w:hint="eastAsia" w:ascii="宋体" w:hAnsi="宋体" w:cs="宋体"/>
                <w:color w:val="auto"/>
                <w:highlight w:val="none"/>
              </w:rPr>
              <w:t>（9分）</w:t>
            </w:r>
          </w:p>
        </w:tc>
        <w:tc>
          <w:tcPr>
            <w:tcW w:w="51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b/>
                <w:color w:val="auto"/>
                <w:szCs w:val="21"/>
                <w:highlight w:val="none"/>
              </w:rPr>
            </w:pPr>
            <w:r>
              <w:rPr>
                <w:rFonts w:hint="eastAsia" w:ascii="宋体" w:hAnsi="宋体"/>
                <w:bCs/>
                <w:color w:val="auto"/>
                <w:szCs w:val="21"/>
                <w:highlight w:val="none"/>
              </w:rPr>
              <w:t>有</w:t>
            </w:r>
            <w:r>
              <w:rPr>
                <w:rFonts w:hint="eastAsia" w:ascii="宋体" w:hAnsi="宋体"/>
                <w:color w:val="auto"/>
                <w:szCs w:val="21"/>
                <w:highlight w:val="none"/>
              </w:rPr>
              <w:t>施工重点、难点分析及对策的得3分，无得0分。</w:t>
            </w:r>
          </w:p>
          <w:p>
            <w:pPr>
              <w:spacing w:line="320" w:lineRule="exact"/>
              <w:jc w:val="left"/>
              <w:rPr>
                <w:rFonts w:ascii="宋体" w:hAnsi="宋体" w:cstheme="minorBidi"/>
                <w:color w:val="auto"/>
                <w:szCs w:val="21"/>
                <w:highlight w:val="none"/>
              </w:rPr>
            </w:pPr>
            <w:r>
              <w:rPr>
                <w:rFonts w:hint="eastAsia" w:ascii="宋体" w:hAnsi="宋体"/>
                <w:b/>
                <w:color w:val="auto"/>
                <w:szCs w:val="21"/>
                <w:highlight w:val="none"/>
              </w:rPr>
              <w:t>[优]</w:t>
            </w:r>
            <w:r>
              <w:rPr>
                <w:rFonts w:hint="eastAsia"/>
                <w:color w:val="auto"/>
                <w:highlight w:val="none"/>
              </w:rPr>
              <w:t xml:space="preserve"> </w:t>
            </w:r>
            <w:r>
              <w:rPr>
                <w:rFonts w:hint="eastAsia" w:ascii="宋体" w:hAnsi="宋体"/>
                <w:bCs/>
                <w:color w:val="auto"/>
                <w:szCs w:val="21"/>
                <w:highlight w:val="none"/>
              </w:rPr>
              <w:t>有重难点分析及对策，有成品保护重难点分析及对策</w:t>
            </w:r>
            <w:r>
              <w:rPr>
                <w:rFonts w:hint="eastAsia" w:ascii="宋体" w:hAnsi="宋体"/>
                <w:color w:val="auto"/>
                <w:szCs w:val="21"/>
                <w:highlight w:val="none"/>
              </w:rPr>
              <w:t>、分析准确，方案合理，针对性强，完全可行的，得6分；</w:t>
            </w:r>
          </w:p>
          <w:p>
            <w:pPr>
              <w:widowControl/>
              <w:spacing w:line="320" w:lineRule="exact"/>
              <w:jc w:val="left"/>
              <w:rPr>
                <w:rFonts w:ascii="宋体" w:hAnsi="宋体"/>
                <w:color w:val="auto"/>
                <w:szCs w:val="21"/>
                <w:highlight w:val="none"/>
              </w:rPr>
            </w:pPr>
            <w:r>
              <w:rPr>
                <w:rFonts w:hint="eastAsia" w:ascii="宋体" w:hAnsi="宋体"/>
                <w:b/>
                <w:color w:val="auto"/>
                <w:szCs w:val="21"/>
                <w:highlight w:val="none"/>
              </w:rPr>
              <w:t>[良]</w:t>
            </w:r>
            <w:r>
              <w:rPr>
                <w:rFonts w:hint="eastAsia" w:ascii="宋体" w:hAnsi="宋体"/>
                <w:bCs/>
                <w:color w:val="auto"/>
                <w:szCs w:val="21"/>
                <w:highlight w:val="none"/>
              </w:rPr>
              <w:t xml:space="preserve"> 有重难点分析及对策，有成品保护重难点分析及对策</w:t>
            </w:r>
            <w:r>
              <w:rPr>
                <w:rFonts w:hint="eastAsia" w:ascii="宋体" w:hAnsi="宋体"/>
                <w:color w:val="auto"/>
                <w:szCs w:val="21"/>
                <w:highlight w:val="none"/>
              </w:rPr>
              <w:t>、分析准确，方案合理，有一定针对性，可行的，得4分；</w:t>
            </w:r>
          </w:p>
          <w:p>
            <w:pPr>
              <w:spacing w:line="320" w:lineRule="exact"/>
              <w:jc w:val="left"/>
              <w:rPr>
                <w:rFonts w:ascii="宋体" w:hAnsi="宋体"/>
                <w:color w:val="auto"/>
                <w:szCs w:val="21"/>
                <w:highlight w:val="none"/>
              </w:rPr>
            </w:pPr>
            <w:r>
              <w:rPr>
                <w:rFonts w:hint="eastAsia" w:ascii="宋体" w:hAnsi="宋体"/>
                <w:b/>
                <w:color w:val="auto"/>
                <w:szCs w:val="21"/>
                <w:highlight w:val="none"/>
              </w:rPr>
              <w:t>[中]</w:t>
            </w:r>
            <w:r>
              <w:rPr>
                <w:rFonts w:hint="eastAsia" w:ascii="宋体" w:hAnsi="宋体"/>
                <w:color w:val="auto"/>
                <w:szCs w:val="21"/>
                <w:highlight w:val="none"/>
              </w:rPr>
              <w:t>分析基本准确，方案基本合理、可行，有一定针对性的，得2分；</w:t>
            </w:r>
          </w:p>
          <w:p>
            <w:pPr>
              <w:spacing w:line="320" w:lineRule="exact"/>
              <w:jc w:val="left"/>
              <w:rPr>
                <w:rFonts w:ascii="宋体" w:hAnsi="宋体"/>
                <w:color w:val="auto"/>
                <w:szCs w:val="21"/>
                <w:highlight w:val="none"/>
              </w:rPr>
            </w:pPr>
            <w:r>
              <w:rPr>
                <w:rFonts w:hint="eastAsia" w:ascii="宋体" w:hAnsi="宋体"/>
                <w:b/>
                <w:color w:val="auto"/>
                <w:szCs w:val="21"/>
                <w:highlight w:val="none"/>
              </w:rPr>
              <w:t>[差]</w:t>
            </w:r>
            <w:r>
              <w:rPr>
                <w:rFonts w:hint="eastAsia" w:ascii="宋体" w:hAnsi="宋体"/>
                <w:color w:val="auto"/>
                <w:szCs w:val="21"/>
                <w:highlight w:val="none"/>
              </w:rPr>
              <w:t>不满足上述要求的，得1分。</w:t>
            </w:r>
          </w:p>
          <w:p>
            <w:pPr>
              <w:spacing w:line="320" w:lineRule="exact"/>
              <w:jc w:val="left"/>
              <w:rPr>
                <w:rFonts w:ascii="宋体" w:hAnsi="宋体"/>
                <w:color w:val="auto"/>
                <w:szCs w:val="21"/>
                <w:highlight w:val="none"/>
              </w:rPr>
            </w:pPr>
            <w:r>
              <w:rPr>
                <w:rFonts w:ascii="宋体" w:hAnsi="宋体"/>
                <w:color w:val="auto"/>
                <w:szCs w:val="21"/>
                <w:highlight w:val="none"/>
              </w:rPr>
              <w:t>未提供得</w:t>
            </w:r>
            <w:r>
              <w:rPr>
                <w:rFonts w:hint="eastAsia" w:ascii="宋体" w:hAnsi="宋体"/>
                <w:color w:val="auto"/>
                <w:szCs w:val="21"/>
                <w:highlight w:val="none"/>
              </w:rPr>
              <w:t>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2.2.4（3）</w:t>
            </w:r>
          </w:p>
        </w:tc>
        <w:tc>
          <w:tcPr>
            <w:tcW w:w="10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投标报价评分标准</w:t>
            </w:r>
          </w:p>
        </w:tc>
        <w:tc>
          <w:tcPr>
            <w:tcW w:w="21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报价得分</w:t>
            </w:r>
          </w:p>
          <w:p>
            <w:pPr>
              <w:widowControl/>
              <w:jc w:val="center"/>
              <w:rPr>
                <w:rFonts w:ascii="宋体" w:hAnsi="宋体"/>
                <w:color w:val="auto"/>
                <w:highlight w:val="none"/>
              </w:rPr>
            </w:pPr>
            <w:r>
              <w:rPr>
                <w:rFonts w:hint="eastAsia" w:ascii="宋体" w:hAnsi="宋体"/>
                <w:color w:val="auto"/>
                <w:highlight w:val="none"/>
              </w:rPr>
              <w:t>（</w:t>
            </w:r>
            <w:r>
              <w:rPr>
                <w:rFonts w:ascii="宋体" w:hAnsi="宋体"/>
                <w:color w:val="auto"/>
                <w:highlight w:val="none"/>
              </w:rPr>
              <w:t>100</w:t>
            </w:r>
            <w:r>
              <w:rPr>
                <w:rFonts w:hint="eastAsia" w:ascii="宋体" w:hAnsi="宋体"/>
                <w:color w:val="auto"/>
                <w:highlight w:val="none"/>
              </w:rPr>
              <w:t>分）</w:t>
            </w:r>
          </w:p>
        </w:tc>
        <w:tc>
          <w:tcPr>
            <w:tcW w:w="51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highlight w:val="none"/>
                <w:lang w:bidi="zh-TW"/>
              </w:rPr>
              <w:t>当经算术校核的投标总报价等于评标参考价时得100分，报价每高于评标参考价1%，扣1.5分，每低于评标参考价1%，扣</w:t>
            </w:r>
            <w:r>
              <w:rPr>
                <w:rFonts w:ascii="宋体" w:hAnsi="宋体" w:cs="宋体"/>
                <w:color w:val="auto"/>
                <w:highlight w:val="none"/>
                <w:lang w:bidi="zh-TW"/>
              </w:rPr>
              <w:t>1</w:t>
            </w:r>
            <w:r>
              <w:rPr>
                <w:rFonts w:hint="eastAsia" w:ascii="宋体" w:hAnsi="宋体" w:cs="宋体"/>
                <w:color w:val="auto"/>
                <w:highlight w:val="none"/>
                <w:lang w:bidi="zh-TW"/>
              </w:rPr>
              <w:t>分，扣至0分为止，得出投标报价得分，精确到小数点后两位。</w:t>
            </w:r>
          </w:p>
        </w:tc>
      </w:tr>
    </w:tbl>
    <w:p>
      <w:pPr>
        <w:spacing w:line="320" w:lineRule="exact"/>
        <w:rPr>
          <w:rFonts w:ascii="宋体" w:hAnsi="宋体"/>
          <w:color w:val="auto"/>
          <w:highlight w:val="none"/>
        </w:rPr>
      </w:pPr>
      <w:r>
        <w:rPr>
          <w:rFonts w:hint="eastAsia" w:ascii="宋体" w:hAnsi="宋体"/>
          <w:color w:val="auto"/>
          <w:highlight w:val="none"/>
        </w:rPr>
        <w:t>注：1.本表按百分制评分，所有评委总分汇总后的算术平均值为投标人的最终得分。分数出现小数点，保留小数点后二位小数，三位小数四舍五入。</w:t>
      </w:r>
    </w:p>
    <w:p>
      <w:pPr>
        <w:spacing w:line="320" w:lineRule="exact"/>
        <w:rPr>
          <w:color w:val="auto"/>
          <w:highlight w:val="none"/>
        </w:rPr>
      </w:pPr>
      <w:r>
        <w:rPr>
          <w:rFonts w:hint="eastAsia"/>
          <w:color w:val="auto"/>
          <w:highlight w:val="none"/>
        </w:rPr>
        <w:br w:type="page"/>
      </w:r>
    </w:p>
    <w:p>
      <w:pPr>
        <w:spacing w:line="320" w:lineRule="exact"/>
        <w:rPr>
          <w:rFonts w:ascii="宋体" w:hAnsi="宋体"/>
          <w:color w:val="auto"/>
          <w:highlight w:val="none"/>
        </w:rPr>
        <w:sectPr>
          <w:pgSz w:w="11906" w:h="16838"/>
          <w:pgMar w:top="1440" w:right="1083" w:bottom="1440" w:left="1083" w:header="851" w:footer="992" w:gutter="0"/>
          <w:cols w:space="0" w:num="1"/>
          <w:docGrid w:type="lines" w:linePitch="317" w:charSpace="0"/>
        </w:sectPr>
      </w:pPr>
    </w:p>
    <w:p>
      <w:pPr>
        <w:spacing w:line="360" w:lineRule="auto"/>
        <w:rPr>
          <w:rFonts w:ascii="宋体" w:hAnsi="宋体" w:cs="宋体"/>
          <w:color w:val="auto"/>
          <w:highlight w:val="none"/>
        </w:rPr>
      </w:pPr>
      <w:r>
        <w:rPr>
          <w:rFonts w:hint="eastAsia" w:ascii="宋体" w:hAnsi="宋体" w:cs="宋体"/>
          <w:b/>
          <w:bCs/>
          <w:color w:val="auto"/>
          <w:sz w:val="32"/>
          <w:szCs w:val="32"/>
          <w:highlight w:val="none"/>
        </w:rPr>
        <w:t>1. 评标方法</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Pr>
          <w:rFonts w:hint="eastAsia" w:ascii="宋体" w:hAnsi="宋体" w:cs="宋体"/>
          <w:color w:val="auto"/>
          <w:highlight w:val="none"/>
          <w:u w:val="single"/>
          <w:lang w:eastAsia="zh-CN"/>
        </w:rPr>
        <w:t>总分相同的，以设计方案评审得分较高的排前；总分与设计方案得分均相同的投标文件，以工程承包实施方案评审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color w:val="auto"/>
          <w:highlight w:val="none"/>
        </w:rPr>
        <w:t>。</w:t>
      </w:r>
    </w:p>
    <w:p>
      <w:pPr>
        <w:pStyle w:val="3"/>
        <w:spacing w:line="360" w:lineRule="auto"/>
        <w:rPr>
          <w:rFonts w:ascii="宋体" w:hAnsi="宋体" w:eastAsia="宋体" w:cs="宋体"/>
          <w:color w:val="auto"/>
          <w:highlight w:val="none"/>
        </w:rPr>
      </w:pPr>
      <w:bookmarkStart w:id="56" w:name="_Toc9955"/>
      <w:r>
        <w:rPr>
          <w:rFonts w:hint="eastAsia" w:ascii="宋体" w:hAnsi="宋体" w:eastAsia="宋体" w:cs="宋体"/>
          <w:color w:val="auto"/>
          <w:highlight w:val="none"/>
        </w:rPr>
        <w:t>2. 评审标准</w:t>
      </w:r>
      <w:bookmarkEnd w:id="56"/>
    </w:p>
    <w:p>
      <w:pPr>
        <w:pStyle w:val="4"/>
        <w:spacing w:line="360" w:lineRule="auto"/>
        <w:rPr>
          <w:rFonts w:ascii="宋体" w:eastAsia="宋体" w:cs="宋体"/>
          <w:color w:val="auto"/>
          <w:highlight w:val="none"/>
        </w:rPr>
      </w:pPr>
      <w:bookmarkStart w:id="57" w:name="_Toc5079"/>
      <w:r>
        <w:rPr>
          <w:rFonts w:hint="eastAsia" w:ascii="宋体" w:eastAsia="宋体" w:cs="宋体"/>
          <w:color w:val="auto"/>
          <w:highlight w:val="none"/>
        </w:rPr>
        <w:t>2.1 初步评审标准</w:t>
      </w:r>
      <w:bookmarkEnd w:id="5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2.1.1 形式评审标准：见评标办法前附表。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2.1.2 资格评审标准：见评标办法前附表。</w:t>
      </w:r>
    </w:p>
    <w:p>
      <w:pPr>
        <w:spacing w:line="360" w:lineRule="auto"/>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2.1.3</w:t>
      </w:r>
      <w:r>
        <w:rPr>
          <w:rFonts w:hint="eastAsia" w:ascii="新宋体" w:hAnsi="新宋体" w:eastAsia="新宋体" w:cs="新宋体"/>
          <w:color w:val="auto"/>
          <w:highlight w:val="none"/>
          <w:u w:val="single"/>
        </w:rPr>
        <w:t>设计方案文件响应性评审标准：见评标办法前附表。</w:t>
      </w:r>
    </w:p>
    <w:p>
      <w:pPr>
        <w:spacing w:line="360" w:lineRule="auto"/>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2.1.4</w:t>
      </w:r>
      <w:r>
        <w:rPr>
          <w:rFonts w:hint="eastAsia" w:ascii="宋体" w:hAnsi="宋体" w:cs="宋体"/>
          <w:color w:val="auto"/>
          <w:szCs w:val="21"/>
          <w:highlight w:val="none"/>
          <w:u w:val="single"/>
        </w:rPr>
        <w:t>工程承包实施方案</w:t>
      </w:r>
      <w:r>
        <w:rPr>
          <w:rFonts w:hint="eastAsia" w:ascii="新宋体" w:hAnsi="新宋体" w:eastAsia="新宋体" w:cs="新宋体"/>
          <w:color w:val="auto"/>
          <w:highlight w:val="none"/>
          <w:u w:val="single"/>
        </w:rPr>
        <w:t>响应性评审标标准：见评标办法前附表</w:t>
      </w:r>
      <w:r>
        <w:rPr>
          <w:rFonts w:hint="eastAsia" w:ascii="新宋体" w:hAnsi="新宋体" w:eastAsia="新宋体" w:cs="新宋体"/>
          <w:color w:val="auto"/>
          <w:highlight w:val="none"/>
        </w:rPr>
        <w:t>。</w:t>
      </w:r>
    </w:p>
    <w:p>
      <w:pPr>
        <w:pStyle w:val="4"/>
        <w:spacing w:line="360" w:lineRule="auto"/>
        <w:rPr>
          <w:rFonts w:ascii="宋体" w:eastAsia="宋体" w:cs="宋体"/>
          <w:color w:val="auto"/>
          <w:highlight w:val="none"/>
        </w:rPr>
      </w:pPr>
      <w:bookmarkStart w:id="58" w:name="_Toc14190"/>
      <w:r>
        <w:rPr>
          <w:rFonts w:hint="eastAsia" w:ascii="宋体" w:eastAsia="宋体" w:cs="宋体"/>
          <w:color w:val="auto"/>
          <w:highlight w:val="none"/>
        </w:rPr>
        <w:t>2.2 分值构成与评分标准</w:t>
      </w:r>
      <w:bookmarkEnd w:id="58"/>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2.2.1 分值构成</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（1）设计方案：见评标办法前附表；</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（2）工程承包实施方案：见评标办法前附表；</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（3）投标报价：见评标办法前附表；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2.2.2 评标基准价计算</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评标基准价计算方法：见评标办法前附表。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2.2.3 投标报价的偏差率计算</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投标报价的偏差率计算公式：见评标办法前附表。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2.2.4 评分标准</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（1）设计方案评分标准：见评标办法前附表；</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（2）工程承包实施方案评分标准：见评标办法前附表；</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（3）投标报价评分标准：见评标办法前附表；</w:t>
      </w:r>
    </w:p>
    <w:p>
      <w:pPr>
        <w:pStyle w:val="3"/>
        <w:rPr>
          <w:rFonts w:ascii="宋体" w:hAnsi="宋体" w:eastAsia="宋体" w:cs="宋体"/>
          <w:color w:val="auto"/>
          <w:highlight w:val="none"/>
        </w:rPr>
      </w:pPr>
      <w:bookmarkStart w:id="59" w:name="_Toc451"/>
      <w:r>
        <w:rPr>
          <w:rFonts w:hint="eastAsia" w:ascii="宋体" w:hAnsi="宋体" w:eastAsia="宋体" w:cs="宋体"/>
          <w:color w:val="auto"/>
          <w:highlight w:val="none"/>
        </w:rPr>
        <w:t>3. 评标程序</w:t>
      </w:r>
      <w:bookmarkEnd w:id="59"/>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本项目采取电子评标。投标文件设计方案、形式审查、资格审查（适用于资格后审项目）、工程承包实施方案和投标报价的评审及评审汇总由综合组评标委员会负责。</w:t>
      </w:r>
    </w:p>
    <w:p>
      <w:pPr>
        <w:pStyle w:val="4"/>
        <w:spacing w:line="360" w:lineRule="auto"/>
        <w:rPr>
          <w:rFonts w:ascii="宋体" w:eastAsia="宋体" w:cs="宋体"/>
          <w:color w:val="auto"/>
          <w:highlight w:val="none"/>
          <w:u w:val="single"/>
        </w:rPr>
      </w:pPr>
      <w:bookmarkStart w:id="60" w:name="_Toc26154"/>
      <w:r>
        <w:rPr>
          <w:rFonts w:hint="eastAsia" w:ascii="宋体" w:eastAsia="宋体" w:cs="宋体"/>
          <w:color w:val="auto"/>
          <w:highlight w:val="none"/>
          <w:u w:val="single"/>
        </w:rPr>
        <w:t>3.1设计方案评审</w:t>
      </w:r>
      <w:bookmarkEnd w:id="60"/>
    </w:p>
    <w:p>
      <w:pPr>
        <w:spacing w:line="360"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3.1.1</w:t>
      </w:r>
      <w:r>
        <w:rPr>
          <w:rFonts w:hint="eastAsia" w:ascii="宋体" w:cs="宋体"/>
          <w:color w:val="auto"/>
          <w:highlight w:val="none"/>
          <w:u w:val="single"/>
        </w:rPr>
        <w:t>评标委员会</w:t>
      </w:r>
      <w:r>
        <w:rPr>
          <w:rFonts w:hint="eastAsia" w:ascii="宋体" w:hAnsi="宋体" w:cs="宋体"/>
          <w:color w:val="auto"/>
          <w:szCs w:val="21"/>
          <w:highlight w:val="none"/>
          <w:u w:val="single"/>
        </w:rPr>
        <w:t>评委按</w:t>
      </w:r>
      <w:r>
        <w:rPr>
          <w:rFonts w:hint="eastAsia" w:ascii="宋体" w:hAnsi="宋体" w:cs="宋体"/>
          <w:color w:val="auto"/>
          <w:highlight w:val="none"/>
          <w:u w:val="single"/>
        </w:rPr>
        <w:t>设计方案文件响应性审查标准（详见前</w:t>
      </w:r>
      <w:r>
        <w:rPr>
          <w:rFonts w:hint="eastAsia" w:ascii="宋体" w:hAnsi="宋体" w:cs="宋体"/>
          <w:color w:val="auto"/>
          <w:szCs w:val="21"/>
          <w:highlight w:val="none"/>
          <w:u w:val="single"/>
        </w:rPr>
        <w:t>附表</w:t>
      </w:r>
      <w:r>
        <w:rPr>
          <w:rFonts w:hint="eastAsia" w:ascii="宋体" w:hAnsi="宋体" w:cs="宋体"/>
          <w:color w:val="auto"/>
          <w:highlight w:val="none"/>
          <w:u w:val="single"/>
        </w:rPr>
        <w:t>）</w:t>
      </w:r>
      <w:r>
        <w:rPr>
          <w:rFonts w:hint="eastAsia" w:ascii="宋体" w:hAnsi="宋体" w:cs="宋体"/>
          <w:color w:val="auto"/>
          <w:szCs w:val="21"/>
          <w:highlight w:val="none"/>
          <w:u w:val="single"/>
        </w:rPr>
        <w:t>对所有成功解密的设计标投标文件进行评审，只有通过响应性审查的设计标投标文件方可进入下一阶段的评审。如果有否决投标提议，则</w:t>
      </w:r>
      <w:r>
        <w:rPr>
          <w:rFonts w:hint="eastAsia" w:ascii="宋体" w:cs="宋体"/>
          <w:color w:val="auto"/>
          <w:highlight w:val="none"/>
          <w:u w:val="single"/>
        </w:rPr>
        <w:t>评标委员会</w:t>
      </w:r>
      <w:r>
        <w:rPr>
          <w:rFonts w:hint="eastAsia" w:ascii="宋体" w:hAnsi="宋体" w:cs="宋体"/>
          <w:color w:val="auto"/>
          <w:szCs w:val="21"/>
          <w:highlight w:val="none"/>
          <w:u w:val="single"/>
        </w:rPr>
        <w:t>成员共同表决，按照少数服从多数的原则决定是否否决其投标。</w:t>
      </w:r>
    </w:p>
    <w:p>
      <w:pPr>
        <w:spacing w:line="360"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3.1.2</w:t>
      </w:r>
      <w:r>
        <w:rPr>
          <w:rFonts w:hint="eastAsia" w:ascii="宋体" w:cs="宋体"/>
          <w:color w:val="auto"/>
          <w:highlight w:val="none"/>
          <w:u w:val="single"/>
        </w:rPr>
        <w:t>评标委员会</w:t>
      </w:r>
      <w:r>
        <w:rPr>
          <w:rFonts w:hint="eastAsia" w:ascii="宋体" w:hAnsi="宋体" w:cs="宋体"/>
          <w:color w:val="auto"/>
          <w:szCs w:val="21"/>
          <w:highlight w:val="none"/>
          <w:u w:val="single"/>
        </w:rPr>
        <w:t>评委按设计方案评分标准（详见前附表）对各设计标投标文件进行评分。</w:t>
      </w:r>
    </w:p>
    <w:p>
      <w:pPr>
        <w:spacing w:line="360"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3.1.3算术平均各</w:t>
      </w:r>
      <w:r>
        <w:rPr>
          <w:rFonts w:hint="eastAsia" w:ascii="宋体" w:cs="宋体"/>
          <w:color w:val="auto"/>
          <w:highlight w:val="none"/>
          <w:u w:val="single"/>
        </w:rPr>
        <w:t>评标委员会</w:t>
      </w:r>
      <w:r>
        <w:rPr>
          <w:rFonts w:hint="eastAsia" w:ascii="宋体" w:hAnsi="宋体" w:cs="宋体"/>
          <w:color w:val="auto"/>
          <w:szCs w:val="21"/>
          <w:highlight w:val="none"/>
          <w:u w:val="single"/>
        </w:rPr>
        <w:t>评委评分，得出每个投标人设计方案部分得分，分数出现小数点，保留小数点后二位，第三位小数四舍五入。</w:t>
      </w:r>
    </w:p>
    <w:p>
      <w:pPr>
        <w:spacing w:line="360"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3.1.4</w:t>
      </w:r>
      <w:r>
        <w:rPr>
          <w:rFonts w:hint="eastAsia" w:ascii="宋体" w:cs="宋体"/>
          <w:color w:val="auto"/>
          <w:highlight w:val="none"/>
          <w:u w:val="single"/>
        </w:rPr>
        <w:t>评标委员会</w:t>
      </w:r>
      <w:r>
        <w:rPr>
          <w:rFonts w:hint="eastAsia" w:ascii="宋体" w:hAnsi="宋体" w:cs="宋体"/>
          <w:color w:val="auto"/>
          <w:szCs w:val="21"/>
          <w:highlight w:val="none"/>
          <w:u w:val="single"/>
        </w:rPr>
        <w:t>评委揭晓投标人身份。</w:t>
      </w:r>
    </w:p>
    <w:p>
      <w:pPr>
        <w:spacing w:line="360"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3.1.5</w:t>
      </w:r>
      <w:r>
        <w:rPr>
          <w:rFonts w:hint="eastAsia" w:ascii="宋体" w:cs="宋体"/>
          <w:color w:val="auto"/>
          <w:highlight w:val="none"/>
          <w:u w:val="single"/>
        </w:rPr>
        <w:t>评标委员会</w:t>
      </w:r>
      <w:r>
        <w:rPr>
          <w:rFonts w:hint="eastAsia" w:ascii="宋体" w:hAnsi="宋体" w:cs="宋体"/>
          <w:color w:val="auto"/>
          <w:szCs w:val="21"/>
          <w:highlight w:val="none"/>
          <w:u w:val="single"/>
        </w:rPr>
        <w:t>评委按只有通过响应性审查的投标人的投标文件方可进入下一阶段评审的评审原则，在揭晓投标人身份后，根据响应性审查结果，否决未通过响应性评审的投标人的投标，取消其得分，且不再进入得分汇总阶段。</w:t>
      </w:r>
    </w:p>
    <w:p>
      <w:pPr>
        <w:pStyle w:val="4"/>
        <w:spacing w:line="360" w:lineRule="auto"/>
        <w:rPr>
          <w:rFonts w:ascii="宋体" w:eastAsia="宋体" w:cs="宋体"/>
          <w:color w:val="auto"/>
          <w:highlight w:val="none"/>
          <w:u w:val="single"/>
        </w:rPr>
      </w:pPr>
      <w:bookmarkStart w:id="61" w:name="_Toc1717"/>
      <w:r>
        <w:rPr>
          <w:rFonts w:hint="eastAsia" w:ascii="宋体" w:eastAsia="宋体" w:cs="宋体"/>
          <w:color w:val="auto"/>
          <w:highlight w:val="none"/>
          <w:u w:val="single"/>
        </w:rPr>
        <w:t>3.2形式审查及资格审查</w:t>
      </w:r>
      <w:bookmarkEnd w:id="61"/>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3.2.1 形式审查中全部符合形式评审标准（详见前附表）中规定情形的，为形式审查合格。否则为形式审查不合格，经</w:t>
      </w:r>
      <w:r>
        <w:rPr>
          <w:rFonts w:hint="eastAsia" w:ascii="宋体" w:hAnsi="宋体" w:cs="宋体"/>
          <w:color w:val="auto"/>
          <w:highlight w:val="none"/>
          <w:u w:val="single"/>
        </w:rPr>
        <w:t>评标委员会评委共同</w:t>
      </w:r>
      <w:r>
        <w:rPr>
          <w:rFonts w:hint="eastAsia" w:ascii="宋体" w:hAnsi="宋体" w:cs="宋体"/>
          <w:color w:val="auto"/>
          <w:szCs w:val="21"/>
          <w:highlight w:val="none"/>
          <w:u w:val="single"/>
        </w:rPr>
        <w:t>认定后，其投标文件将被拒绝。如</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过半数成员的意见作为</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对该情形的认定结论。</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3.2.2 投标人有以下情形之一的，评标委员会应当否决其投标：</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（1）第二章“投标人须知”第1.4.3项、第1.4.4项规定的任何一种情形的；</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（2）串通投标或弄虚作假或有其他违法行为的；</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（3）不按评标委员会要求澄清、说明或补正的。</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3.2.3汇总形式审查情况，只有通过形式审查的投标人方可进入下一阶段的评审。形式审查合格的投标人少于3名的，则本项目招标失败。</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3.2.4</w:t>
      </w:r>
      <w:r>
        <w:rPr>
          <w:rFonts w:hint="eastAsia" w:ascii="宋体" w:hAnsi="宋体" w:cs="宋体"/>
          <w:color w:val="auto"/>
          <w:highlight w:val="none"/>
          <w:u w:val="single"/>
        </w:rPr>
        <w:t>评标委员会评委</w:t>
      </w:r>
      <w:r>
        <w:rPr>
          <w:rFonts w:hint="eastAsia" w:ascii="宋体" w:hAnsi="宋体" w:cs="宋体"/>
          <w:color w:val="auto"/>
          <w:szCs w:val="21"/>
          <w:highlight w:val="none"/>
          <w:u w:val="single"/>
        </w:rPr>
        <w:t>对所有通过形式审查的投标人进行资格审查。资格审查文件中全部符合</w:t>
      </w:r>
      <w:r>
        <w:rPr>
          <w:rFonts w:hint="eastAsia" w:ascii="宋体" w:hAnsi="宋体" w:cs="宋体"/>
          <w:color w:val="auto"/>
          <w:highlight w:val="none"/>
          <w:u w:val="single"/>
        </w:rPr>
        <w:t>资格评审标准（详见前附表）</w:t>
      </w:r>
      <w:r>
        <w:rPr>
          <w:rFonts w:hint="eastAsia" w:ascii="宋体" w:hAnsi="宋体" w:cs="宋体"/>
          <w:color w:val="auto"/>
          <w:szCs w:val="21"/>
          <w:highlight w:val="none"/>
          <w:u w:val="single"/>
        </w:rPr>
        <w:t>中规定情形的，为资格审查合格。否则为资格审查不合格，经</w:t>
      </w:r>
      <w:r>
        <w:rPr>
          <w:rFonts w:hint="eastAsia" w:ascii="宋体" w:hAnsi="宋体" w:cs="宋体"/>
          <w:color w:val="auto"/>
          <w:highlight w:val="none"/>
          <w:u w:val="single"/>
        </w:rPr>
        <w:t>评标委员会评委共同</w:t>
      </w:r>
      <w:r>
        <w:rPr>
          <w:rFonts w:hint="eastAsia" w:ascii="宋体" w:hAnsi="宋体" w:cs="宋体"/>
          <w:color w:val="auto"/>
          <w:szCs w:val="21"/>
          <w:highlight w:val="none"/>
          <w:u w:val="single"/>
        </w:rPr>
        <w:t>认定后，其投标将被拒绝。如</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过半数成员的意见作为评标委员会对该情形的认定结论。只有通过资格审查的投标人方可进入下一阶段的评审。</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3.2.5汇总资格审查情况，编写资格审查报告。资格审查合格的投标人少于3名的，则本项目招标失败。</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3.2.6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特别声明：资审合格后，投标人的资格发生变化而不满足投标人合格条件，在发出中标通知书前，资格问题仍未解决的，招标人将取消其中标资格。</w:t>
      </w:r>
    </w:p>
    <w:p>
      <w:pPr>
        <w:pStyle w:val="4"/>
        <w:spacing w:line="360" w:lineRule="auto"/>
        <w:rPr>
          <w:rFonts w:ascii="宋体" w:eastAsia="宋体" w:cs="宋体"/>
          <w:color w:val="auto"/>
          <w:highlight w:val="none"/>
          <w:u w:val="single"/>
        </w:rPr>
      </w:pPr>
      <w:bookmarkStart w:id="62" w:name="_Toc13314"/>
      <w:r>
        <w:rPr>
          <w:rFonts w:hint="eastAsia" w:ascii="宋体" w:eastAsia="宋体" w:cs="宋体"/>
          <w:color w:val="auto"/>
          <w:highlight w:val="none"/>
          <w:u w:val="single"/>
        </w:rPr>
        <w:t>3.3工程承包实施方案评审</w:t>
      </w:r>
      <w:bookmarkEnd w:id="62"/>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3.3.1工程承包实施方案的响应性审查：通过资格审查的投标文件中没有任一种列于工程承包实施方案响应性评审标准（详见前附表）中情形的，为有效标书。否则为无效标书，经</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评委共同认定后，其投标文件将被拒绝。如</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评委过半数成员的意见作为评标委员会对该情形的认定结论。</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3.3.2工程承包实施方案详细审查：</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评委按照工程承包实施方案评分标准（详见前附表），对通过响应性审查的投标文件进行详细审查，评分。</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3.3.3各投标人工程承包实施方案得分为各评委评分的算术平均值，</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评委按此汇总每个投标人工程承包实施方案详细审查得分，分数出现小数点，保留小数点后二位，第三位小数四舍五入。</w:t>
      </w:r>
    </w:p>
    <w:p>
      <w:pPr>
        <w:pStyle w:val="4"/>
        <w:spacing w:line="360" w:lineRule="auto"/>
        <w:rPr>
          <w:rFonts w:ascii="宋体" w:eastAsia="宋体" w:cs="宋体"/>
          <w:color w:val="auto"/>
          <w:highlight w:val="none"/>
          <w:u w:val="single"/>
        </w:rPr>
      </w:pPr>
      <w:bookmarkStart w:id="63" w:name="_Toc22206"/>
      <w:r>
        <w:rPr>
          <w:rFonts w:hint="eastAsia" w:ascii="宋体" w:eastAsia="宋体" w:cs="宋体"/>
          <w:color w:val="auto"/>
          <w:highlight w:val="none"/>
          <w:u w:val="single"/>
        </w:rPr>
        <w:t>3.4投标报价得分</w:t>
      </w:r>
      <w:bookmarkEnd w:id="63"/>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3.4.1投标报价的算术校核。</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评委对通过工程承包实施方案响应性审查的投标文件的投标报进行算术校核，具体标准如下：</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w:t>
      </w:r>
      <w:r>
        <w:rPr>
          <w:rFonts w:hint="eastAsia" w:ascii="宋体" w:cs="宋体"/>
          <w:color w:val="auto"/>
          <w:szCs w:val="21"/>
          <w:highlight w:val="none"/>
          <w:u w:val="single"/>
        </w:rPr>
        <w:t>如果数字表示的金额和用文字表示的金额不一致时，应以文字表示的金额为准（有以下算术性错误需要修正的除外）；</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（2）如果下浮率与最高投标限价乘积不等于投标报价时，以下浮率为准修正投标报价（下浮率有明显的数量级错误的除外，此时应修正下浮率），若修正后的投标报价超过最高投标限价的，作否决投标处理；</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（3）如果分项报价累加不等总价的，以分项报价累加为准，修正总价；</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（4）投标文件存在其他计算性错误的，按就低不就高计算并修正；</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（5）按上述修正错误的原则及方法调整或修正投标文件的投标报价，调整后的投标报价对投标人起约束作用。如果投标人不接受修正后的报价，则取消其投标资格或中标资格。</w:t>
      </w:r>
    </w:p>
    <w:p>
      <w:pPr>
        <w:spacing w:line="360" w:lineRule="auto"/>
        <w:ind w:firstLine="420" w:firstLineChars="200"/>
        <w:rPr>
          <w:rFonts w:ascii="宋体" w:hAnsi="宋体" w:cs="宋体"/>
          <w:color w:val="auto"/>
          <w:szCs w:val="21"/>
          <w:highlight w:val="none"/>
          <w:u w:val="single"/>
        </w:rPr>
      </w:pPr>
      <w:r>
        <w:rPr>
          <w:rFonts w:ascii="宋体" w:hAnsi="宋体" w:cs="宋体"/>
          <w:color w:val="auto"/>
          <w:szCs w:val="21"/>
          <w:highlight w:val="none"/>
          <w:u w:val="single"/>
        </w:rPr>
        <w:t>3.4.2投标报价评分</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w:t>
      </w:r>
      <w:r>
        <w:rPr>
          <w:rFonts w:ascii="宋体" w:hAnsi="宋体" w:cs="宋体"/>
          <w:color w:val="auto"/>
          <w:szCs w:val="21"/>
          <w:highlight w:val="none"/>
          <w:u w:val="single"/>
        </w:rPr>
        <w:t>1）通过</w:t>
      </w:r>
      <w:r>
        <w:rPr>
          <w:rFonts w:hint="eastAsia" w:ascii="宋体" w:hAnsi="宋体" w:cs="宋体"/>
          <w:color w:val="auto"/>
          <w:szCs w:val="21"/>
          <w:highlight w:val="none"/>
          <w:u w:val="single"/>
        </w:rPr>
        <w:t>设计文件有效性审查和</w:t>
      </w:r>
      <w:r>
        <w:rPr>
          <w:rFonts w:ascii="宋体" w:hAnsi="宋体" w:cs="宋体"/>
          <w:color w:val="auto"/>
          <w:szCs w:val="21"/>
          <w:highlight w:val="none"/>
          <w:u w:val="single"/>
        </w:rPr>
        <w:t>工程承包实施方案响应性审查且经算术校核的投标总报价位于</w:t>
      </w:r>
      <w:r>
        <w:rPr>
          <w:rFonts w:hint="eastAsia" w:ascii="宋体" w:hAnsi="宋体" w:cs="宋体"/>
          <w:color w:val="auto"/>
          <w:szCs w:val="21"/>
          <w:highlight w:val="none"/>
          <w:u w:val="single"/>
        </w:rPr>
        <w:t>[投标总报价最高限价×94%，投标总报价最高限价]区间的投标人超过5家时，在经算术校核的位于[投标总报价最高限价×94%，投标总报价最高限价]区间的投标人的投标总报价中，去掉一个最高价和一个最低价后，取剩余报价的算术平均值为评标参考价；通过工程承包实施方案响应性审查且经算术校核的投标总报价位于[投标总报价最高限价×94%，投标总报价最高限价]区间的投标人少于5家（含5家）时，直接取投标总报价最高限价×94%为评标参考价</w:t>
      </w:r>
      <w:r>
        <w:rPr>
          <w:rFonts w:ascii="宋体" w:hAnsi="宋体" w:cs="宋体"/>
          <w:color w:val="auto"/>
          <w:szCs w:val="21"/>
          <w:highlight w:val="none"/>
          <w:u w:val="single"/>
        </w:rPr>
        <w:t>。</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（2）当经算术校核的投标总报价等于评标参考价时得100分，报价每高于评标参考价1%，扣1.5分，每低于评标参考价1%，扣</w:t>
      </w:r>
      <w:r>
        <w:rPr>
          <w:rFonts w:ascii="宋体" w:hAnsi="宋体" w:cs="宋体"/>
          <w:color w:val="auto"/>
          <w:szCs w:val="21"/>
          <w:highlight w:val="none"/>
          <w:u w:val="single"/>
        </w:rPr>
        <w:t>1</w:t>
      </w:r>
      <w:r>
        <w:rPr>
          <w:rFonts w:hint="eastAsia" w:ascii="宋体" w:hAnsi="宋体" w:cs="宋体"/>
          <w:color w:val="auto"/>
          <w:szCs w:val="21"/>
          <w:highlight w:val="none"/>
          <w:u w:val="single"/>
        </w:rPr>
        <w:t>分，扣至0分为止，得出投标报价得分，精确到小数点后两位。</w:t>
      </w:r>
    </w:p>
    <w:p>
      <w:pPr>
        <w:pStyle w:val="4"/>
        <w:spacing w:line="360" w:lineRule="auto"/>
        <w:rPr>
          <w:rFonts w:ascii="宋体" w:eastAsia="宋体" w:cs="宋体"/>
          <w:color w:val="auto"/>
          <w:highlight w:val="none"/>
          <w:u w:val="single"/>
        </w:rPr>
      </w:pPr>
      <w:bookmarkStart w:id="64" w:name="_Toc10323"/>
      <w:r>
        <w:rPr>
          <w:rFonts w:hint="eastAsia" w:ascii="宋体" w:eastAsia="宋体" w:cs="宋体"/>
          <w:color w:val="auto"/>
          <w:highlight w:val="none"/>
          <w:u w:val="single"/>
        </w:rPr>
        <w:t>3.5评审汇总</w:t>
      </w:r>
      <w:bookmarkEnd w:id="64"/>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3.5.1投标人总得分满分为100分，各部分分值分配详见评标办法前附表。</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3.5.2</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汇总各有效投标文件的总分，并按照总分从高到低排列先后次序，只有通过形式审查、资格审查、</w:t>
      </w:r>
      <w:r>
        <w:rPr>
          <w:rFonts w:hint="eastAsia" w:ascii="宋体" w:hAnsi="宋体" w:cs="宋体"/>
          <w:color w:val="auto"/>
          <w:highlight w:val="none"/>
          <w:u w:val="single"/>
        </w:rPr>
        <w:t>设计方案响应性审查和</w:t>
      </w:r>
      <w:r>
        <w:rPr>
          <w:rFonts w:hint="eastAsia" w:ascii="宋体" w:hAnsi="宋体" w:cs="宋体"/>
          <w:color w:val="auto"/>
          <w:szCs w:val="21"/>
          <w:highlight w:val="none"/>
          <w:u w:val="single"/>
        </w:rPr>
        <w:t>工程承包实施方案</w:t>
      </w:r>
      <w:r>
        <w:rPr>
          <w:rFonts w:hint="eastAsia" w:ascii="宋体" w:hAnsi="宋体" w:cs="宋体"/>
          <w:color w:val="auto"/>
          <w:highlight w:val="none"/>
          <w:u w:val="single"/>
        </w:rPr>
        <w:t>响应性审查</w:t>
      </w:r>
      <w:r>
        <w:rPr>
          <w:rFonts w:hint="eastAsia" w:ascii="宋体" w:hAnsi="宋体" w:cs="宋体"/>
          <w:color w:val="auto"/>
          <w:szCs w:val="21"/>
          <w:highlight w:val="none"/>
          <w:u w:val="single"/>
        </w:rPr>
        <w:t>的投标文件方可计算总分。</w:t>
      </w:r>
      <w:r>
        <w:rPr>
          <w:rFonts w:hint="eastAsia" w:ascii="宋体" w:hAnsi="宋体" w:cs="宋体"/>
          <w:color w:val="auto"/>
          <w:highlight w:val="none"/>
          <w:u w:val="single"/>
          <w:lang w:eastAsia="zh-CN"/>
        </w:rPr>
        <w:t>总分相同的，以设计方案评审得分较高的排前；总分与设计方案得分均相同的投标文件，以工程承包实施方案评审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color w:val="auto"/>
          <w:highlight w:val="none"/>
        </w:rPr>
        <w:t>。</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3.5.3有效投标单位不足三家，应当依法重新组织招标。</w:t>
      </w:r>
    </w:p>
    <w:p>
      <w:pPr>
        <w:pStyle w:val="4"/>
        <w:spacing w:line="360" w:lineRule="auto"/>
        <w:rPr>
          <w:rFonts w:ascii="宋体" w:eastAsia="宋体" w:cs="宋体"/>
          <w:color w:val="auto"/>
          <w:highlight w:val="none"/>
          <w:u w:val="single"/>
        </w:rPr>
      </w:pPr>
      <w:bookmarkStart w:id="65" w:name="_Toc6442"/>
      <w:r>
        <w:rPr>
          <w:rFonts w:hint="eastAsia" w:ascii="宋体" w:eastAsia="宋体" w:cs="宋体"/>
          <w:color w:val="auto"/>
          <w:highlight w:val="none"/>
          <w:u w:val="single"/>
        </w:rPr>
        <w:t>3.6投标文件的澄清和补正</w:t>
      </w:r>
      <w:bookmarkEnd w:id="65"/>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3.6.3 评标委员会成员均应当阅读投标人的澄清，但应独立参考澄清对投标文件进行评审。</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pPr>
        <w:pStyle w:val="4"/>
        <w:spacing w:line="360" w:lineRule="auto"/>
        <w:rPr>
          <w:rFonts w:ascii="宋体" w:eastAsia="宋体" w:cs="宋体"/>
          <w:color w:val="auto"/>
          <w:highlight w:val="none"/>
          <w:u w:val="single"/>
        </w:rPr>
      </w:pPr>
      <w:bookmarkStart w:id="66" w:name="_Toc7436"/>
      <w:r>
        <w:rPr>
          <w:rFonts w:hint="eastAsia" w:ascii="宋体" w:eastAsia="宋体" w:cs="宋体"/>
          <w:color w:val="auto"/>
          <w:highlight w:val="none"/>
          <w:u w:val="single"/>
        </w:rPr>
        <w:t>3.7评标结果</w:t>
      </w:r>
      <w:bookmarkEnd w:id="66"/>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3.7.1 除第二章“投标人须知”前附表授权直接确定中标人外，评标委员会按照得分由高到低的顺序推荐中标候选人。</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3.7.2 评标委员会完成评标后，应当向招标人提交书面评标报告。</w:t>
      </w: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2"/>
        <w:jc w:val="center"/>
        <w:rPr>
          <w:rFonts w:ascii="宋体" w:hAnsi="宋体" w:cs="宋体"/>
          <w:color w:val="auto"/>
          <w:highlight w:val="none"/>
        </w:rPr>
      </w:pPr>
    </w:p>
    <w:p>
      <w:pPr>
        <w:pStyle w:val="2"/>
        <w:jc w:val="center"/>
        <w:rPr>
          <w:rFonts w:ascii="宋体" w:hAnsi="宋体" w:cs="宋体"/>
          <w:color w:val="auto"/>
          <w:highlight w:val="none"/>
        </w:rPr>
        <w:sectPr>
          <w:pgSz w:w="11906" w:h="16838"/>
          <w:pgMar w:top="1440" w:right="1083" w:bottom="1440" w:left="1083" w:header="851" w:footer="992" w:gutter="0"/>
          <w:cols w:space="0" w:num="1"/>
          <w:docGrid w:type="lines" w:linePitch="317" w:charSpace="0"/>
        </w:sectPr>
      </w:pPr>
    </w:p>
    <w:p>
      <w:pPr>
        <w:pStyle w:val="2"/>
        <w:jc w:val="center"/>
        <w:rPr>
          <w:rFonts w:ascii="宋体" w:hAnsi="宋体" w:cs="宋体"/>
          <w:color w:val="auto"/>
          <w:highlight w:val="none"/>
        </w:rPr>
      </w:pPr>
      <w:bookmarkStart w:id="67" w:name="_Toc14495"/>
      <w:r>
        <w:rPr>
          <w:rFonts w:hint="eastAsia" w:ascii="宋体" w:hAnsi="宋体" w:cs="宋体"/>
          <w:color w:val="auto"/>
          <w:highlight w:val="none"/>
        </w:rPr>
        <w:t>第四章 合同条款及格式</w:t>
      </w:r>
      <w:bookmarkEnd w:id="67"/>
    </w:p>
    <w:p>
      <w:pPr>
        <w:rPr>
          <w:color w:val="auto"/>
          <w:highlight w:val="none"/>
        </w:rPr>
      </w:pPr>
      <w:r>
        <w:rPr>
          <w:rFonts w:hint="eastAsia"/>
          <w:color w:val="auto"/>
          <w:highlight w:val="none"/>
        </w:rPr>
        <w:t>　　　　　　　　　　　　　　　　　　　（另册）</w:t>
      </w:r>
    </w:p>
    <w:p>
      <w:pPr>
        <w:pStyle w:val="2"/>
        <w:rPr>
          <w:rFonts w:ascii="宋体" w:hAnsi="宋体" w:cs="宋体"/>
          <w:color w:val="auto"/>
          <w:highlight w:val="none"/>
        </w:rPr>
      </w:pPr>
      <w:r>
        <w:rPr>
          <w:rFonts w:hint="eastAsia" w:ascii="宋体" w:hAnsi="宋体" w:cs="宋体"/>
          <w:color w:val="auto"/>
          <w:highlight w:val="none"/>
        </w:rPr>
        <w:br w:type="page"/>
      </w:r>
    </w:p>
    <w:p>
      <w:pPr>
        <w:pStyle w:val="2"/>
        <w:jc w:val="center"/>
        <w:rPr>
          <w:rFonts w:ascii="宋体" w:hAnsi="宋体" w:cs="宋体"/>
          <w:color w:val="auto"/>
          <w:highlight w:val="none"/>
        </w:rPr>
      </w:pPr>
      <w:r>
        <w:rPr>
          <w:rFonts w:hint="eastAsia" w:ascii="宋体" w:hAnsi="宋体" w:cs="宋体"/>
          <w:color w:val="auto"/>
          <w:highlight w:val="none"/>
        </w:rPr>
        <w:t xml:space="preserve"> </w:t>
      </w:r>
    </w:p>
    <w:p>
      <w:pPr>
        <w:spacing w:line="400" w:lineRule="exact"/>
        <w:rPr>
          <w:rFonts w:ascii="宋体" w:hAnsi="宋体" w:cs="宋体"/>
          <w:color w:val="auto"/>
          <w:highlight w:val="none"/>
        </w:rPr>
      </w:pPr>
    </w:p>
    <w:p>
      <w:pPr>
        <w:pStyle w:val="2"/>
        <w:jc w:val="center"/>
        <w:rPr>
          <w:rFonts w:ascii="宋体" w:hAnsi="宋体" w:cs="宋体"/>
          <w:color w:val="auto"/>
          <w:sz w:val="20"/>
          <w:szCs w:val="20"/>
          <w:highlight w:val="none"/>
        </w:rPr>
      </w:pPr>
      <w:bookmarkStart w:id="68" w:name="_Toc12525"/>
      <w:r>
        <w:rPr>
          <w:rFonts w:hint="eastAsia" w:ascii="宋体" w:hAnsi="宋体" w:cs="宋体"/>
          <w:color w:val="auto"/>
          <w:highlight w:val="none"/>
        </w:rPr>
        <w:t>第二卷</w:t>
      </w:r>
      <w:r>
        <w:rPr>
          <w:rFonts w:hint="eastAsia" w:ascii="宋体" w:hAnsi="宋体" w:cs="宋体"/>
          <w:color w:val="auto"/>
          <w:highlight w:val="none"/>
        </w:rPr>
        <w:br w:type="page"/>
      </w:r>
      <w:bookmarkEnd w:id="68"/>
    </w:p>
    <w:p>
      <w:pPr>
        <w:spacing w:line="440" w:lineRule="exact"/>
        <w:jc w:val="center"/>
        <w:rPr>
          <w:rFonts w:ascii="宋体" w:hAnsi="宋体" w:cs="宋体"/>
          <w:color w:val="auto"/>
          <w:sz w:val="20"/>
          <w:szCs w:val="20"/>
          <w:highlight w:val="none"/>
        </w:rPr>
      </w:pPr>
    </w:p>
    <w:p>
      <w:pPr>
        <w:spacing w:line="440" w:lineRule="exact"/>
        <w:jc w:val="center"/>
        <w:rPr>
          <w:rFonts w:ascii="宋体" w:hAnsi="宋体" w:cs="宋体"/>
          <w:color w:val="auto"/>
          <w:sz w:val="20"/>
          <w:szCs w:val="20"/>
          <w:highlight w:val="none"/>
        </w:rPr>
      </w:pPr>
    </w:p>
    <w:p>
      <w:pPr>
        <w:pStyle w:val="2"/>
        <w:jc w:val="center"/>
        <w:rPr>
          <w:rFonts w:ascii="宋体" w:hAnsi="宋体" w:cs="宋体"/>
          <w:color w:val="auto"/>
          <w:highlight w:val="none"/>
        </w:rPr>
      </w:pPr>
      <w:bookmarkStart w:id="69" w:name="_Toc25825"/>
      <w:r>
        <w:rPr>
          <w:rFonts w:hint="eastAsia" w:ascii="宋体" w:hAnsi="宋体" w:cs="宋体"/>
          <w:color w:val="auto"/>
          <w:highlight w:val="none"/>
        </w:rPr>
        <w:t>第五章  招标人要求</w:t>
      </w:r>
      <w:bookmarkEnd w:id="69"/>
    </w:p>
    <w:p>
      <w:pPr>
        <w:topLinePunct/>
        <w:spacing w:line="440" w:lineRule="exact"/>
        <w:jc w:val="center"/>
        <w:rPr>
          <w:rFonts w:ascii="宋体" w:hAnsi="宋体" w:cs="宋体"/>
          <w:color w:val="auto"/>
          <w:highlight w:val="none"/>
        </w:rPr>
      </w:pPr>
    </w:p>
    <w:p>
      <w:pPr>
        <w:spacing w:line="400" w:lineRule="exact"/>
        <w:jc w:val="center"/>
        <w:rPr>
          <w:rFonts w:ascii="宋体" w:hAnsi="宋体" w:cs="宋体"/>
          <w:color w:val="auto"/>
          <w:highlight w:val="none"/>
        </w:rPr>
      </w:pPr>
      <w:r>
        <w:rPr>
          <w:rFonts w:hint="eastAsia" w:ascii="宋体" w:hAnsi="宋体" w:cs="宋体"/>
          <w:color w:val="auto"/>
          <w:highlight w:val="none"/>
        </w:rPr>
        <w:br w:type="page"/>
      </w:r>
    </w:p>
    <w:p>
      <w:pPr>
        <w:spacing w:line="800" w:lineRule="exact"/>
        <w:jc w:val="center"/>
        <w:rPr>
          <w:rFonts w:ascii="宋体" w:hAnsi="宋体"/>
          <w:b/>
          <w:color w:val="auto"/>
          <w:sz w:val="44"/>
          <w:szCs w:val="44"/>
          <w:highlight w:val="none"/>
        </w:rPr>
      </w:pPr>
      <w:r>
        <w:rPr>
          <w:rFonts w:hint="eastAsia" w:ascii="宋体" w:hAnsi="宋体"/>
          <w:b/>
          <w:color w:val="auto"/>
          <w:sz w:val="44"/>
          <w:szCs w:val="44"/>
          <w:highlight w:val="none"/>
        </w:rPr>
        <w:t>一、施工要求</w:t>
      </w:r>
    </w:p>
    <w:p>
      <w:pPr>
        <w:spacing w:line="360" w:lineRule="auto"/>
        <w:ind w:firstLine="480"/>
        <w:jc w:val="left"/>
        <w:rPr>
          <w:rFonts w:ascii="宋体" w:hAnsi="宋体"/>
          <w:b/>
          <w:bCs/>
          <w:color w:val="auto"/>
          <w:sz w:val="24"/>
          <w:highlight w:val="none"/>
        </w:rPr>
      </w:pPr>
      <w:r>
        <w:rPr>
          <w:rFonts w:hint="eastAsia" w:ascii="宋体" w:hAnsi="宋体"/>
          <w:b/>
          <w:bCs/>
          <w:color w:val="auto"/>
          <w:sz w:val="24"/>
          <w:highlight w:val="none"/>
        </w:rPr>
        <w:t>（投标人在编制施工组织设计或施工方案时应按照招标人提出的施工现场建筑垃圾源头减量的具体要求以及建筑垃圾综合利用产品的使用要求提供相应措施。）</w:t>
      </w:r>
    </w:p>
    <w:p>
      <w:pPr>
        <w:spacing w:line="360" w:lineRule="auto"/>
        <w:ind w:firstLine="480"/>
        <w:jc w:val="left"/>
        <w:rPr>
          <w:rFonts w:ascii="宋体" w:hAnsi="宋体"/>
          <w:color w:val="auto"/>
          <w:sz w:val="24"/>
          <w:highlight w:val="none"/>
        </w:rPr>
      </w:pPr>
      <w:r>
        <w:rPr>
          <w:rFonts w:hint="eastAsia" w:ascii="宋体" w:hAnsi="宋体"/>
          <w:color w:val="auto"/>
          <w:sz w:val="24"/>
          <w:highlight w:val="none"/>
        </w:rPr>
        <w:t>1.本工程按照国家有关规定、规范进行施工、验收，具体以施工图纸及相关技术和验收标准、遵照招标人相关规定要求为准。</w:t>
      </w:r>
    </w:p>
    <w:p>
      <w:pPr>
        <w:spacing w:line="360" w:lineRule="auto"/>
        <w:ind w:firstLine="480"/>
        <w:jc w:val="left"/>
        <w:rPr>
          <w:rFonts w:ascii="宋体" w:hAnsi="宋体"/>
          <w:color w:val="auto"/>
          <w:sz w:val="24"/>
          <w:highlight w:val="none"/>
        </w:rPr>
      </w:pPr>
      <w:r>
        <w:rPr>
          <w:rFonts w:hint="eastAsia" w:ascii="宋体" w:hAnsi="宋体"/>
          <w:color w:val="auto"/>
          <w:sz w:val="24"/>
          <w:highlight w:val="none"/>
        </w:rPr>
        <w:t>2.本工程采用的工程建设标准、规范必须遵守现行中华人民共和国以及广东省、广州市或行业最新的工程建设标准及规范，且必须满足设计文件的相关要求。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3.施工现场建筑垃圾源头减量的具体要求和建筑垃圾综合利用产品的使用要求：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建筑垃圾应当按照国家有关规定进行分类，实行分类收集、分类贮存、分类运输、分类处置。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施工单位应当建立建筑垃圾管理台账，分类收集、贮存和及时清运施工过程中产生的建筑垃圾，采取有效措施防止混合已分类的建筑垃圾。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3.4工程施工单位应当将建筑垃圾的产生量与种类、清运时间、最终去向等信息在施工现场公示，接受社会监督。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3.6建筑垃圾运输车辆、船舶应当符合相应的载运技术条件。建筑垃圾处置场所为陆域的，不得采用开底式船舶运输建筑垃圾。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3.7工程泥浆应当在施工现场进行脱水固化处理。施工现场不具备条件的，应当采用罐装器具密闭运输至依法设置的建筑垃圾处置场所进行处置。水上工程中依法无需经脱水处理的除外。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3.9具备现场综合利用条件的建设工程，应当进行建筑垃圾现场综合利用。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3.10 建设单位和施工单位严格遵守并执行《广东省建筑垃圾管理条例》。</w:t>
      </w:r>
    </w:p>
    <w:p>
      <w:pPr>
        <w:spacing w:line="360" w:lineRule="auto"/>
        <w:ind w:firstLine="480"/>
        <w:jc w:val="center"/>
        <w:rPr>
          <w:rFonts w:ascii="宋体" w:hAnsi="宋体"/>
          <w:b/>
          <w:bCs/>
          <w:color w:val="auto"/>
          <w:sz w:val="32"/>
          <w:szCs w:val="32"/>
          <w:highlight w:val="none"/>
        </w:rPr>
      </w:pPr>
    </w:p>
    <w:p>
      <w:pPr>
        <w:spacing w:line="400" w:lineRule="exact"/>
        <w:rPr>
          <w:rFonts w:ascii="宋体" w:hAnsi="宋体" w:cs="宋体"/>
          <w:color w:val="auto"/>
          <w:highlight w:val="none"/>
        </w:rPr>
      </w:pPr>
    </w:p>
    <w:p>
      <w:pPr>
        <w:spacing w:line="800" w:lineRule="exact"/>
        <w:jc w:val="center"/>
        <w:rPr>
          <w:rFonts w:ascii="宋体" w:hAnsi="宋体"/>
          <w:b/>
          <w:color w:val="auto"/>
          <w:sz w:val="44"/>
          <w:szCs w:val="44"/>
          <w:highlight w:val="none"/>
        </w:rPr>
      </w:pPr>
    </w:p>
    <w:p>
      <w:pPr>
        <w:spacing w:line="800" w:lineRule="exact"/>
        <w:jc w:val="center"/>
        <w:rPr>
          <w:rFonts w:ascii="宋体" w:hAnsi="宋体"/>
          <w:b/>
          <w:color w:val="auto"/>
          <w:sz w:val="44"/>
          <w:szCs w:val="44"/>
          <w:highlight w:val="none"/>
        </w:rPr>
      </w:pPr>
    </w:p>
    <w:p>
      <w:pPr>
        <w:spacing w:line="800" w:lineRule="exact"/>
        <w:jc w:val="center"/>
        <w:rPr>
          <w:rFonts w:ascii="宋体" w:hAnsi="宋体"/>
          <w:b/>
          <w:color w:val="auto"/>
          <w:sz w:val="44"/>
          <w:szCs w:val="44"/>
          <w:highlight w:val="none"/>
        </w:rPr>
      </w:pPr>
    </w:p>
    <w:p>
      <w:pPr>
        <w:spacing w:line="800" w:lineRule="exact"/>
        <w:jc w:val="center"/>
        <w:rPr>
          <w:rFonts w:ascii="宋体" w:hAnsi="宋体"/>
          <w:b/>
          <w:color w:val="auto"/>
          <w:sz w:val="44"/>
          <w:szCs w:val="44"/>
          <w:highlight w:val="none"/>
        </w:rPr>
      </w:pPr>
    </w:p>
    <w:p>
      <w:pPr>
        <w:spacing w:line="800" w:lineRule="exact"/>
        <w:jc w:val="center"/>
        <w:rPr>
          <w:rFonts w:ascii="宋体" w:hAnsi="宋体"/>
          <w:b/>
          <w:color w:val="auto"/>
          <w:sz w:val="44"/>
          <w:szCs w:val="44"/>
          <w:highlight w:val="none"/>
        </w:rPr>
      </w:pPr>
    </w:p>
    <w:p>
      <w:pPr>
        <w:spacing w:line="800" w:lineRule="exact"/>
        <w:jc w:val="center"/>
        <w:rPr>
          <w:rFonts w:ascii="宋体" w:hAnsi="宋体"/>
          <w:b/>
          <w:color w:val="auto"/>
          <w:sz w:val="44"/>
          <w:szCs w:val="44"/>
          <w:highlight w:val="none"/>
        </w:rPr>
      </w:pPr>
    </w:p>
    <w:p>
      <w:pPr>
        <w:spacing w:line="800" w:lineRule="exact"/>
        <w:jc w:val="center"/>
        <w:rPr>
          <w:rFonts w:ascii="宋体" w:hAnsi="宋体"/>
          <w:b/>
          <w:color w:val="auto"/>
          <w:sz w:val="44"/>
          <w:szCs w:val="44"/>
          <w:highlight w:val="none"/>
        </w:rPr>
      </w:pPr>
    </w:p>
    <w:p>
      <w:pPr>
        <w:spacing w:line="800" w:lineRule="exact"/>
        <w:jc w:val="center"/>
        <w:rPr>
          <w:rFonts w:ascii="宋体" w:hAnsi="宋体"/>
          <w:b/>
          <w:color w:val="auto"/>
          <w:sz w:val="44"/>
          <w:szCs w:val="44"/>
          <w:highlight w:val="none"/>
        </w:rPr>
      </w:pPr>
    </w:p>
    <w:p>
      <w:pPr>
        <w:spacing w:line="800" w:lineRule="exact"/>
        <w:jc w:val="center"/>
        <w:rPr>
          <w:rFonts w:ascii="宋体" w:hAnsi="宋体"/>
          <w:b/>
          <w:color w:val="auto"/>
          <w:sz w:val="44"/>
          <w:szCs w:val="44"/>
          <w:highlight w:val="none"/>
        </w:rPr>
      </w:pPr>
    </w:p>
    <w:p>
      <w:pPr>
        <w:spacing w:line="800" w:lineRule="exact"/>
        <w:jc w:val="center"/>
        <w:rPr>
          <w:rFonts w:ascii="宋体" w:hAnsi="宋体"/>
          <w:b/>
          <w:color w:val="auto"/>
          <w:sz w:val="44"/>
          <w:szCs w:val="44"/>
          <w:highlight w:val="none"/>
        </w:rPr>
      </w:pPr>
    </w:p>
    <w:p>
      <w:pPr>
        <w:spacing w:line="800" w:lineRule="exact"/>
        <w:jc w:val="center"/>
        <w:rPr>
          <w:rFonts w:ascii="宋体" w:hAnsi="宋体"/>
          <w:b/>
          <w:color w:val="auto"/>
          <w:sz w:val="44"/>
          <w:szCs w:val="44"/>
          <w:highlight w:val="none"/>
        </w:rPr>
      </w:pPr>
    </w:p>
    <w:p>
      <w:pPr>
        <w:spacing w:line="800" w:lineRule="exact"/>
        <w:jc w:val="center"/>
        <w:rPr>
          <w:rFonts w:ascii="宋体" w:hAnsi="宋体"/>
          <w:b/>
          <w:color w:val="auto"/>
          <w:sz w:val="44"/>
          <w:szCs w:val="44"/>
          <w:highlight w:val="none"/>
        </w:rPr>
      </w:pPr>
      <w:r>
        <w:rPr>
          <w:rFonts w:hint="eastAsia" w:ascii="宋体" w:hAnsi="宋体"/>
          <w:b/>
          <w:color w:val="auto"/>
          <w:sz w:val="44"/>
          <w:szCs w:val="44"/>
          <w:highlight w:val="none"/>
        </w:rPr>
        <w:t>二、设计任务书</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工程名称：</w:t>
      </w:r>
      <w:r>
        <w:rPr>
          <w:rFonts w:hint="eastAsia" w:ascii="宋体" w:hAnsi="宋体" w:cs="宋体"/>
          <w:color w:val="auto"/>
          <w:sz w:val="24"/>
          <w:highlight w:val="none"/>
          <w:lang w:eastAsia="zh-CN"/>
        </w:rPr>
        <w:t>东方宾馆2号楼二、三层及东翼商场综合维修保养项目设计施工一体化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工程地点：越秀区流花路</w:t>
      </w:r>
      <w:r>
        <w:rPr>
          <w:rFonts w:ascii="宋体" w:hAnsi="宋体" w:cs="宋体"/>
          <w:color w:val="auto"/>
          <w:sz w:val="24"/>
          <w:highlight w:val="none"/>
        </w:rPr>
        <w:t>120号</w:t>
      </w:r>
    </w:p>
    <w:p>
      <w:pPr>
        <w:spacing w:line="560" w:lineRule="exact"/>
        <w:ind w:firstLine="600" w:firstLineChars="200"/>
        <w:rPr>
          <w:rFonts w:ascii="仿宋_GB2312" w:hAnsi="仿宋_GB2312" w:eastAsia="仿宋_GB2312" w:cs="仿宋_GB2312"/>
          <w:color w:val="auto"/>
          <w:sz w:val="30"/>
          <w:szCs w:val="30"/>
          <w:highlight w:val="none"/>
        </w:rPr>
      </w:pPr>
    </w:p>
    <w:p>
      <w:pPr>
        <w:numPr>
          <w:ilvl w:val="0"/>
          <w:numId w:val="4"/>
        </w:numPr>
        <w:spacing w:line="560" w:lineRule="exact"/>
        <w:ind w:firstLine="602" w:firstLineChars="200"/>
        <w:rPr>
          <w:rFonts w:ascii="仿宋_GB2312" w:hAnsi="黑体" w:eastAsia="仿宋_GB2312" w:cs="黑体"/>
          <w:b/>
          <w:bCs/>
          <w:color w:val="auto"/>
          <w:sz w:val="30"/>
          <w:szCs w:val="30"/>
          <w:highlight w:val="none"/>
        </w:rPr>
      </w:pPr>
      <w:r>
        <w:rPr>
          <w:rFonts w:hint="eastAsia" w:ascii="仿宋_GB2312" w:hAnsi="黑体" w:eastAsia="仿宋_GB2312" w:cs="黑体"/>
          <w:b/>
          <w:bCs/>
          <w:color w:val="auto"/>
          <w:sz w:val="30"/>
          <w:szCs w:val="30"/>
          <w:highlight w:val="none"/>
        </w:rPr>
        <w:t>工程概况</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项目位于广州市越秀区流花路</w:t>
      </w:r>
      <w:r>
        <w:rPr>
          <w:rFonts w:ascii="宋体" w:hAnsi="宋体" w:cs="宋体"/>
          <w:color w:val="auto"/>
          <w:sz w:val="24"/>
          <w:highlight w:val="none"/>
        </w:rPr>
        <w:t>120号，装修总面积约为</w:t>
      </w:r>
      <w:r>
        <w:rPr>
          <w:rFonts w:hint="eastAsia" w:ascii="宋体" w:hAnsi="宋体" w:cs="宋体"/>
          <w:color w:val="auto"/>
          <w:sz w:val="24"/>
          <w:highlight w:val="none"/>
          <w:lang w:eastAsia="zh-CN"/>
        </w:rPr>
        <w:t>11102</w:t>
      </w:r>
      <w:r>
        <w:rPr>
          <w:rFonts w:hint="eastAsia" w:ascii="宋体" w:hAnsi="宋体" w:cs="宋体"/>
          <w:color w:val="auto"/>
          <w:sz w:val="24"/>
          <w:highlight w:val="none"/>
        </w:rPr>
        <w:t>（含东翼飘蓬、连廊等）平方米。</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（一）东方宾馆</w:t>
      </w:r>
      <w:r>
        <w:rPr>
          <w:rFonts w:ascii="宋体" w:hAnsi="宋体" w:cs="宋体"/>
          <w:color w:val="auto"/>
          <w:sz w:val="24"/>
          <w:highlight w:val="none"/>
        </w:rPr>
        <w:t>2号楼会展中心二三层</w:t>
      </w:r>
      <w:r>
        <w:rPr>
          <w:rFonts w:hint="eastAsia" w:ascii="宋体" w:hAnsi="宋体" w:cs="宋体"/>
          <w:color w:val="auto"/>
          <w:sz w:val="24"/>
          <w:highlight w:val="none"/>
        </w:rPr>
        <w:t>：该场地建于</w:t>
      </w:r>
      <w:r>
        <w:rPr>
          <w:rFonts w:ascii="宋体" w:hAnsi="宋体" w:cs="宋体"/>
          <w:color w:val="auto"/>
          <w:sz w:val="24"/>
          <w:highlight w:val="none"/>
        </w:rPr>
        <w:t>1959年，使用</w:t>
      </w:r>
      <w:r>
        <w:rPr>
          <w:rFonts w:hint="eastAsia" w:ascii="宋体" w:hAnsi="宋体" w:cs="宋体"/>
          <w:color w:val="auto"/>
          <w:sz w:val="24"/>
          <w:highlight w:val="none"/>
        </w:rPr>
        <w:t>约</w:t>
      </w:r>
      <w:r>
        <w:rPr>
          <w:rFonts w:ascii="宋体" w:hAnsi="宋体" w:cs="宋体"/>
          <w:color w:val="auto"/>
          <w:sz w:val="24"/>
          <w:highlight w:val="none"/>
        </w:rPr>
        <w:t xml:space="preserve">66 </w:t>
      </w:r>
      <w:r>
        <w:rPr>
          <w:rFonts w:hint="eastAsia" w:ascii="宋体" w:hAnsi="宋体" w:cs="宋体"/>
          <w:color w:val="auto"/>
          <w:sz w:val="24"/>
          <w:highlight w:val="none"/>
        </w:rPr>
        <w:t>年，为南北向钢筋砼框架结构</w:t>
      </w:r>
      <w:r>
        <w:rPr>
          <w:rFonts w:ascii="宋体" w:hAnsi="宋体" w:cs="宋体"/>
          <w:color w:val="auto"/>
          <w:sz w:val="24"/>
          <w:highlight w:val="none"/>
        </w:rPr>
        <w:t xml:space="preserve"> </w:t>
      </w:r>
      <w:r>
        <w:rPr>
          <w:rFonts w:hint="eastAsia" w:ascii="宋体" w:hAnsi="宋体" w:cs="宋体"/>
          <w:color w:val="auto"/>
          <w:sz w:val="24"/>
          <w:highlight w:val="none"/>
        </w:rPr>
        <w:t>，二三层层高约为</w:t>
      </w:r>
      <w:r>
        <w:rPr>
          <w:rFonts w:ascii="宋体" w:hAnsi="宋体" w:cs="宋体"/>
          <w:color w:val="auto"/>
          <w:sz w:val="24"/>
          <w:highlight w:val="none"/>
        </w:rPr>
        <w:t>3.1米。</w:t>
      </w:r>
      <w:r>
        <w:rPr>
          <w:rFonts w:hint="eastAsia" w:ascii="宋体" w:hAnsi="宋体" w:cs="宋体"/>
          <w:color w:val="auto"/>
          <w:sz w:val="24"/>
          <w:highlight w:val="none"/>
        </w:rPr>
        <w:t>于</w:t>
      </w:r>
      <w:r>
        <w:rPr>
          <w:rFonts w:ascii="宋体" w:hAnsi="宋体" w:cs="宋体"/>
          <w:color w:val="auto"/>
          <w:sz w:val="24"/>
          <w:highlight w:val="none"/>
        </w:rPr>
        <w:t>2022年对该场地进行三通一平，目前该场地为毛坯状态。二层和三层场地配备总风机房、总电房、消防喷淋水主管和烟感线端口等设施，需要承租人自行安装房屋间隔、水电、空调出风口、消防系统等设备设施。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（二）东方宾馆东翼商场首二层：该场地建于约</w:t>
      </w:r>
      <w:r>
        <w:rPr>
          <w:rFonts w:ascii="宋体" w:hAnsi="宋体" w:cs="宋体"/>
          <w:color w:val="auto"/>
          <w:sz w:val="24"/>
          <w:highlight w:val="none"/>
        </w:rPr>
        <w:t>1996年，使用约29年，东翼建筑为长81米、宽37米，钢筋砼框架结构，东西朝向两层（部分一层），首层为3.1米、二层3.2米、部分一层为4.5米；商场首层场地配备天花、瓷砖地面，中央空调和消防系统；</w:t>
      </w:r>
      <w:r>
        <w:rPr>
          <w:rFonts w:hint="eastAsia" w:ascii="宋体" w:hAnsi="宋体" w:cs="宋体"/>
          <w:color w:val="auto"/>
          <w:sz w:val="24"/>
          <w:highlight w:val="none"/>
        </w:rPr>
        <w:t>商场二楼中段场地配备天花、瓷砖地面和消防系统，中央空调柜机坏不能使用。</w:t>
      </w:r>
    </w:p>
    <w:p>
      <w:pPr>
        <w:pStyle w:val="11"/>
        <w:rPr>
          <w:rFonts w:ascii="仿宋_GB2312" w:eastAsia="仿宋_GB2312"/>
          <w:color w:val="auto"/>
          <w:highlight w:val="none"/>
          <w:lang w:bidi="ar"/>
        </w:rPr>
      </w:pPr>
    </w:p>
    <w:p>
      <w:pPr>
        <w:numPr>
          <w:ilvl w:val="0"/>
          <w:numId w:val="5"/>
        </w:numPr>
        <w:spacing w:line="560" w:lineRule="exact"/>
        <w:ind w:firstLine="602" w:firstLineChars="200"/>
        <w:rPr>
          <w:rFonts w:ascii="仿宋_GB2312" w:hAnsi="仿宋_GB2312" w:eastAsia="仿宋_GB2312" w:cs="仿宋_GB2312"/>
          <w:color w:val="auto"/>
          <w:sz w:val="30"/>
          <w:szCs w:val="30"/>
          <w:highlight w:val="none"/>
        </w:rPr>
      </w:pPr>
      <w:r>
        <w:rPr>
          <w:rFonts w:hint="eastAsia" w:ascii="仿宋_GB2312" w:hAnsi="黑体" w:eastAsia="仿宋_GB2312" w:cs="黑体"/>
          <w:b/>
          <w:bCs/>
          <w:color w:val="auto"/>
          <w:sz w:val="30"/>
          <w:szCs w:val="30"/>
          <w:highlight w:val="none"/>
        </w:rPr>
        <w:t>项目设计范围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（一）东翼商场设计范围：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室内部分：公共通道天花、地面、大堂、门头招牌、商铺间隔、卫生间、消防、暖通、电气（含灯光照明及商铺电源）、网络、视频监控、钢楼梯、给排水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结构加固</w:t>
      </w:r>
      <w:r>
        <w:rPr>
          <w:rFonts w:hint="eastAsia" w:ascii="宋体" w:hAnsi="宋体" w:cs="宋体"/>
          <w:color w:val="auto"/>
          <w:sz w:val="24"/>
          <w:highlight w:val="none"/>
        </w:rPr>
        <w:t>等等；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w:t>
      </w:r>
      <w:r>
        <w:rPr>
          <w:rFonts w:ascii="宋体" w:hAnsi="宋体" w:cs="宋体"/>
          <w:color w:val="auto"/>
          <w:sz w:val="24"/>
          <w:highlight w:val="none"/>
        </w:rPr>
        <w:t>2号楼二、三层设计范围：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大堂、公共通道天花、地面、门头招牌、商铺间隔、卫生间、消防（含消防疏散楼梯）、暖通、电气（含灯光照明及商铺电源）、网络、视频监控、给排水、门禁</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结构加固</w:t>
      </w:r>
      <w:r>
        <w:rPr>
          <w:rFonts w:hint="eastAsia" w:ascii="宋体" w:hAnsi="宋体" w:cs="宋体"/>
          <w:color w:val="auto"/>
          <w:sz w:val="24"/>
          <w:highlight w:val="none"/>
        </w:rPr>
        <w:t>等等。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（三）对甲方提供的图纸等资料进行复核。</w:t>
      </w:r>
    </w:p>
    <w:p>
      <w:pPr>
        <w:spacing w:line="560" w:lineRule="exact"/>
        <w:rPr>
          <w:rFonts w:ascii="仿宋_GB2312" w:hAnsi="黑体" w:eastAsia="仿宋_GB2312" w:cs="黑体"/>
          <w:b/>
          <w:bCs/>
          <w:color w:val="auto"/>
          <w:sz w:val="30"/>
          <w:szCs w:val="30"/>
          <w:highlight w:val="none"/>
        </w:rPr>
      </w:pPr>
    </w:p>
    <w:p>
      <w:pPr>
        <w:pStyle w:val="11"/>
        <w:rPr>
          <w:rFonts w:ascii="仿宋_GB2312" w:eastAsia="仿宋_GB2312"/>
          <w:color w:val="auto"/>
          <w:highlight w:val="none"/>
        </w:rPr>
      </w:pPr>
    </w:p>
    <w:p>
      <w:pPr>
        <w:spacing w:line="560" w:lineRule="exact"/>
        <w:ind w:firstLine="602" w:firstLineChars="200"/>
        <w:jc w:val="left"/>
        <w:rPr>
          <w:rFonts w:ascii="仿宋_GB2312" w:hAnsi="黑体" w:eastAsia="仿宋_GB2312" w:cs="黑体"/>
          <w:color w:val="auto"/>
          <w:sz w:val="30"/>
          <w:szCs w:val="30"/>
          <w:highlight w:val="none"/>
        </w:rPr>
      </w:pPr>
      <w:r>
        <w:rPr>
          <w:rFonts w:hint="eastAsia" w:ascii="仿宋_GB2312" w:hAnsi="黑体" w:eastAsia="仿宋_GB2312" w:cs="黑体"/>
          <w:b/>
          <w:bCs/>
          <w:color w:val="auto"/>
          <w:sz w:val="30"/>
          <w:szCs w:val="30"/>
          <w:highlight w:val="none"/>
        </w:rPr>
        <w:t>三、本项目设计装修风格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国家标准《建筑装饰装修规范》、《建筑设计防火规范》等规范，以及结合建设单位以大湾区眼健康生态港业态为主题，打造验光、配镜为一体，让客户体验一站式服务的眼健康生态休闲中心。设计人员应摒弃传统的格子商铺死板的空间形态理念，应营造以休闲、健康体验融合、创意性、舒适性为主题的设计理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（一）设计内容</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1.深化设计：结合建设单位提供的平面布置图，进行深化设计包括使用功能的空间设计、流线等，分析提出材料控制、色彩控制等内容。</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2.效果设计：平面功能布局图、各区域效果图（如通道、大堂室、卫生间可还原1:1）等。</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施工图：图纸目录、设计说明、原建图、装修平面图（含天花、地面、立面、墙身、节点大样图等）、配电图含（含灯光、配电平面、配电系统图等）、消防图（含消防自动报警系统、喷淋系统、消火栓系统、防火卷帘系统、防排烟及正压送风系统图等）、暖通图（含空调通风系统图等）、给排水图（含供水、排水、排污、空调排水等）、网络、监控图（含监控平面、监控系统图等）</w:t>
      </w:r>
      <w:r>
        <w:rPr>
          <w:rFonts w:hint="eastAsia" w:ascii="宋体" w:hAnsi="宋体" w:cs="宋体"/>
          <w:color w:val="auto"/>
          <w:sz w:val="24"/>
          <w:highlight w:val="none"/>
          <w:lang w:eastAsia="zh-CN"/>
        </w:rPr>
        <w:t>、结构</w:t>
      </w:r>
      <w:r>
        <w:rPr>
          <w:rFonts w:hint="eastAsia" w:ascii="宋体" w:hAnsi="宋体" w:cs="宋体"/>
          <w:color w:val="auto"/>
          <w:sz w:val="24"/>
          <w:highlight w:val="none"/>
          <w:lang w:val="en-US" w:eastAsia="zh-CN"/>
        </w:rPr>
        <w:t>加固</w:t>
      </w:r>
      <w:r>
        <w:rPr>
          <w:rFonts w:hint="eastAsia" w:ascii="宋体" w:hAnsi="宋体" w:cs="宋体"/>
          <w:color w:val="auto"/>
          <w:sz w:val="24"/>
          <w:highlight w:val="none"/>
          <w:lang w:eastAsia="zh-CN"/>
        </w:rPr>
        <w:t>工程施工图</w:t>
      </w:r>
      <w:r>
        <w:rPr>
          <w:rFonts w:ascii="宋体" w:hAnsi="宋体" w:cs="宋体"/>
          <w:color w:val="auto"/>
          <w:sz w:val="24"/>
          <w:highlight w:val="none"/>
        </w:rPr>
        <w:t>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（二）设计时间要求在</w:t>
      </w:r>
      <w:r>
        <w:rPr>
          <w:rFonts w:ascii="宋体" w:hAnsi="宋体" w:cs="宋体"/>
          <w:color w:val="auto"/>
          <w:sz w:val="24"/>
          <w:highlight w:val="none"/>
        </w:rPr>
        <w:t>20</w:t>
      </w:r>
      <w:r>
        <w:rPr>
          <w:rFonts w:hint="eastAsia" w:ascii="宋体" w:hAnsi="宋体" w:cs="宋体"/>
          <w:color w:val="auto"/>
          <w:sz w:val="24"/>
          <w:highlight w:val="none"/>
        </w:rPr>
        <w:t>日历天内完成。</w:t>
      </w:r>
    </w:p>
    <w:p>
      <w:pPr>
        <w:pStyle w:val="11"/>
        <w:rPr>
          <w:rFonts w:ascii="仿宋_GB2312" w:eastAsia="仿宋_GB2312"/>
          <w:color w:val="auto"/>
          <w:highlight w:val="none"/>
        </w:rPr>
      </w:pPr>
    </w:p>
    <w:p>
      <w:pPr>
        <w:spacing w:line="560" w:lineRule="exact"/>
        <w:ind w:firstLine="602" w:firstLineChars="200"/>
        <w:rPr>
          <w:rFonts w:ascii="仿宋_GB2312" w:hAnsi="宋体" w:eastAsia="仿宋_GB2312" w:cs="宋体"/>
          <w:b/>
          <w:bCs/>
          <w:color w:val="auto"/>
          <w:sz w:val="30"/>
          <w:szCs w:val="30"/>
          <w:highlight w:val="none"/>
        </w:rPr>
      </w:pPr>
      <w:r>
        <w:rPr>
          <w:rFonts w:hint="eastAsia" w:ascii="仿宋_GB2312" w:hAnsi="黑体" w:eastAsia="仿宋_GB2312" w:cs="黑体"/>
          <w:b/>
          <w:bCs/>
          <w:color w:val="auto"/>
          <w:sz w:val="30"/>
          <w:szCs w:val="30"/>
          <w:highlight w:val="none"/>
        </w:rPr>
        <w:t>四、技术规范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所有文件应符合国家、地方、行业以及相关专业的现行技术规范、法规、标准。</w:t>
      </w:r>
    </w:p>
    <w:p>
      <w:pPr>
        <w:pStyle w:val="11"/>
        <w:rPr>
          <w:rFonts w:ascii="仿宋_GB2312" w:eastAsia="仿宋_GB2312"/>
          <w:color w:val="auto"/>
          <w:highlight w:val="none"/>
        </w:rPr>
      </w:pPr>
    </w:p>
    <w:p>
      <w:pPr>
        <w:spacing w:line="560" w:lineRule="exact"/>
        <w:ind w:firstLine="602" w:firstLineChars="200"/>
        <w:rPr>
          <w:rFonts w:ascii="仿宋_GB2312" w:hAnsi="仿宋_GB2312" w:eastAsia="仿宋_GB2312" w:cs="仿宋_GB2312"/>
          <w:color w:val="auto"/>
          <w:sz w:val="30"/>
          <w:szCs w:val="30"/>
          <w:highlight w:val="none"/>
        </w:rPr>
      </w:pPr>
      <w:r>
        <w:rPr>
          <w:rFonts w:hint="eastAsia" w:ascii="仿宋_GB2312" w:hAnsi="黑体" w:eastAsia="仿宋_GB2312" w:cs="黑体"/>
          <w:b/>
          <w:bCs/>
          <w:color w:val="auto"/>
          <w:sz w:val="30"/>
          <w:szCs w:val="30"/>
          <w:highlight w:val="none"/>
        </w:rPr>
        <w:t>五、设计要求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（一）设计说明</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方案设计理念、装修风格介绍；各主要功能分区及各功能分区之间的衔接设计；对具有特定功能要求的设计进行阐述；方案设计的主要选材及设备、公用配套设施等方面的考虑。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（二）施工图</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1、电气部分：配电实行三级控制即一级低压配电房总控制、二级在层间配电柜独立控制每一间商铺用电及计量、三级商铺内控制开关箱。</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2、消防部分：应符合《建筑设计防火规范》要求，如楼宇硬件与现行规范有缺陷时，设计应尽量向现行规范靠拢。</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3、暖通部分：通道、大堂、商铺等配置空调。</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4、每间商铺配置宽带网络、公共区域应设置无线WIF功能。</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5、视频监控部分：公共区域、出入口及重点部位应无死角。</w:t>
      </w:r>
    </w:p>
    <w:p>
      <w:pPr>
        <w:pStyle w:val="99"/>
        <w:spacing w:line="360" w:lineRule="auto"/>
        <w:ind w:firstLine="602" w:firstLineChars="200"/>
        <w:rPr>
          <w:rFonts w:ascii="仿宋_GB2312" w:hAnsi="黑体" w:eastAsia="仿宋_GB2312" w:cs="黑体"/>
          <w:b/>
          <w:bCs/>
          <w:color w:val="auto"/>
          <w:sz w:val="30"/>
          <w:szCs w:val="30"/>
          <w:highlight w:val="none"/>
        </w:rPr>
      </w:pPr>
      <w:r>
        <w:rPr>
          <w:rFonts w:hint="eastAsia" w:ascii="仿宋_GB2312" w:hAnsi="黑体" w:eastAsia="仿宋_GB2312" w:cs="黑体"/>
          <w:b/>
          <w:bCs/>
          <w:color w:val="auto"/>
          <w:sz w:val="30"/>
          <w:szCs w:val="30"/>
          <w:highlight w:val="none"/>
        </w:rPr>
        <w:t>六、设计阶段划分及主要工作内容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设计单位必须清楚地了解设计范围及委托方的功能定位、进度要求及造价控制等相关要求，编排设计进度计划报委托方确认，并按设计进度展开各阶段设计工作。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（一）概念设计阶段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概念设计阶段需对设计理念、构思、表现手法特点进行阐述，采用参考资料图片、现场实景图片、文字说明以及手绘插图等多种表达方式。设计单位应对空间功能、人流组织、平面功能布局及主要空间区域效果风格定位、色调走向及材料搭配意向提供分析展示。以上概念设计均需以</w:t>
      </w:r>
      <w:r>
        <w:rPr>
          <w:rFonts w:ascii="宋体" w:hAnsi="宋体" w:cs="宋体"/>
          <w:color w:val="auto"/>
          <w:sz w:val="24"/>
          <w:highlight w:val="none"/>
        </w:rPr>
        <w:t>PPT格式提供电子文件。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（二）初步方案设计阶段</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1.设计单位在概念设计得到委托方确认的前提下，展开初步方案设计工作。对原有概念设计进行完善、优化和深化。</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2.进一步调整各空间平面布置，对主要空间的装饰效果进行设计及效果图制作，效果图数量需以能全面表达空间装饰效果为原则。</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3.列出各主要空间的主材使用搭配方案及相应的技术指标。</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4.确认标识导向系统初步方案。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（三）深化方案设计阶段</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1.进一步细化各空间平面布置图、细化天花平面图及立面具体方案、明确主要饰面的工艺做法、材料运用。</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设计单位对天花图的布置需与机电设计单位就空调、消防、强弱电等专业沟通，共同确认各专业末端设备的定位、安装方式，确保室内设计符合美观的同时也能达到相关规范和合理使用的要求，并在下阶段施工图中落实到位。</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对室内强弱电插座、开关位置、电话、网络、对给排水点位、监控、门禁等进行具体定位，并对相关其他专业的如喷淋点、烟感头、消防广播、消防疏散指示灯牌进行复核调整，对原有的用电负荷、供水量进行复核调整。</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4.对室内地面进行方案设计，对各功能空间地面的材质搭配、图案，相对标高进行方案设计并提供图案平面设计图及主材搭配手册。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（四）施工图设计阶段</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1.在深化方案得到建设方确认的前提下，进一步对各空间平面布置、天花图、立面图的细化设计及所有节点的具体做法并提供相应大样节点图；</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在施工图中应明确所有强弱电点位及走线和系统（电源插座、开关、各类照明灯具等）以及消防（喷淋、烟感、消防广播、消防疏散指示等）点位及弱电（监控、门禁、电话、网络、电视及视频等的点位设计并需与原有建筑设计相关专业进行协调；）</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3.应在施工图中明确所有饰面材料的规格和材料品质技术指标说明及相应参考图片，对主要材料提供材料实板；</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（五）工程施工阶段</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1.配合建设方进行装修工程报审和验收，并提供所需资料和技术支持；</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2.配合建设方或相关审核部门对工程预算、增加项目及工程结算报价的确认提供技术支持；</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3.对施工单位提供的主材料实板进行审核并签字确认；</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4.工程施工期间相关主设计师需根据工程进度对施工中技术问题进行现场处理，并对出现的技术问题及时解决，并编写设计变更通知书；</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5.设计单位应配合建设方对供应商提供成品的装饰灯具、家具、窗帘、地毯及工艺品等提供验收工作中的技术指导；</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6.配合建设方对施工质量和竣工验收提供相应的技术服务并参加相关会议；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（六）各阶段需完成的设计内容及成果要求：</w:t>
      </w:r>
      <w:r>
        <w:rPr>
          <w:rFonts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概念方案设计：方案设计文本4套，内容应包含：设计说明，包含设计理念、构思、空间功能、人流组织等分析及功能定位分布；主要区域彩色效果图；各层平面布置图；主要区域的家具及软装示意图；设计估算。</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2、初步方案设计：初步方案展示效果图册4套（A3图幅精装成册）。</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3、深化方案设计：设计文本4套，内容应包含：设计说明；主要区域效果图；各层平面布置图及机电点位图；立面图；天花造型、灯具布置图（显示原建筑结构梁位置）地面材料布置图；材料样板；设计概算。</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4、施工图设计：施工图蓝图8套。深度按相关标准。</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5、竣工图编制：竣工图蓝图8套。深度按相关标准。</w:t>
      </w:r>
    </w:p>
    <w:p>
      <w:pPr>
        <w:spacing w:line="360" w:lineRule="auto"/>
        <w:ind w:firstLine="480" w:firstLineChars="200"/>
        <w:rPr>
          <w:rFonts w:ascii="宋体" w:hAnsi="宋体" w:cs="宋体"/>
          <w:color w:val="auto"/>
          <w:sz w:val="24"/>
          <w:highlight w:val="none"/>
        </w:rPr>
      </w:pPr>
    </w:p>
    <w:p>
      <w:pPr>
        <w:spacing w:line="800" w:lineRule="exact"/>
        <w:rPr>
          <w:rFonts w:ascii="仿宋_GB2312" w:eastAsia="仿宋_GB2312"/>
          <w:color w:val="auto"/>
          <w:sz w:val="36"/>
          <w:szCs w:val="36"/>
          <w:highlight w:val="none"/>
        </w:rPr>
      </w:pPr>
    </w:p>
    <w:p>
      <w:pPr>
        <w:spacing w:line="800" w:lineRule="exact"/>
        <w:rPr>
          <w:rFonts w:ascii="仿宋_GB2312" w:eastAsia="仿宋_GB2312"/>
          <w:color w:val="auto"/>
          <w:sz w:val="32"/>
          <w:szCs w:val="32"/>
          <w:highlight w:val="none"/>
        </w:rPr>
      </w:pPr>
    </w:p>
    <w:p>
      <w:pPr>
        <w:spacing w:line="800" w:lineRule="exact"/>
        <w:rPr>
          <w:rFonts w:ascii="仿宋_GB2312" w:eastAsia="仿宋_GB2312"/>
          <w:color w:val="auto"/>
          <w:sz w:val="32"/>
          <w:szCs w:val="32"/>
          <w:highlight w:val="none"/>
        </w:rPr>
      </w:pPr>
    </w:p>
    <w:p>
      <w:pPr>
        <w:spacing w:line="800" w:lineRule="exact"/>
        <w:rPr>
          <w:rFonts w:ascii="仿宋_GB2312" w:eastAsia="仿宋_GB2312"/>
          <w:color w:val="auto"/>
          <w:sz w:val="32"/>
          <w:szCs w:val="32"/>
          <w:highlight w:val="none"/>
        </w:rPr>
      </w:pPr>
    </w:p>
    <w:p>
      <w:pPr>
        <w:spacing w:line="800" w:lineRule="exact"/>
        <w:rPr>
          <w:rFonts w:ascii="仿宋_GB2312" w:eastAsia="仿宋_GB2312"/>
          <w:color w:val="auto"/>
          <w:sz w:val="32"/>
          <w:szCs w:val="32"/>
          <w:highlight w:val="none"/>
        </w:rPr>
      </w:pPr>
    </w:p>
    <w:p>
      <w:pPr>
        <w:spacing w:line="800" w:lineRule="exact"/>
        <w:rPr>
          <w:rFonts w:ascii="仿宋_GB2312" w:eastAsia="仿宋_GB2312"/>
          <w:color w:val="auto"/>
          <w:sz w:val="32"/>
          <w:szCs w:val="32"/>
          <w:highlight w:val="none"/>
        </w:rPr>
      </w:pPr>
    </w:p>
    <w:p>
      <w:pPr>
        <w:spacing w:line="800" w:lineRule="exact"/>
        <w:rPr>
          <w:rFonts w:ascii="仿宋_GB2312" w:eastAsia="仿宋_GB2312"/>
          <w:color w:val="auto"/>
          <w:sz w:val="32"/>
          <w:szCs w:val="32"/>
          <w:highlight w:val="none"/>
        </w:rPr>
      </w:pPr>
    </w:p>
    <w:p>
      <w:pPr>
        <w:spacing w:line="800" w:lineRule="exact"/>
        <w:rPr>
          <w:rFonts w:ascii="仿宋_GB2312" w:eastAsia="仿宋_GB2312"/>
          <w:color w:val="auto"/>
          <w:sz w:val="32"/>
          <w:szCs w:val="32"/>
          <w:highlight w:val="none"/>
        </w:rPr>
      </w:pPr>
    </w:p>
    <w:p>
      <w:pPr>
        <w:spacing w:line="400" w:lineRule="exact"/>
        <w:jc w:val="center"/>
        <w:rPr>
          <w:rFonts w:ascii="宋体" w:hAnsi="宋体" w:cs="宋体"/>
          <w:color w:val="auto"/>
          <w:szCs w:val="21"/>
          <w:highlight w:val="none"/>
        </w:rPr>
      </w:pPr>
    </w:p>
    <w:p>
      <w:pPr>
        <w:spacing w:line="400" w:lineRule="exact"/>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p>
    <w:p>
      <w:pPr>
        <w:pStyle w:val="2"/>
        <w:jc w:val="center"/>
        <w:rPr>
          <w:rFonts w:ascii="宋体" w:hAnsi="宋体" w:cs="宋体"/>
          <w:color w:val="auto"/>
          <w:highlight w:val="none"/>
        </w:rPr>
      </w:pPr>
      <w:bookmarkStart w:id="70" w:name="_Toc14496"/>
      <w:r>
        <w:rPr>
          <w:rFonts w:hint="eastAsia" w:ascii="宋体" w:hAnsi="宋体" w:cs="宋体"/>
          <w:color w:val="auto"/>
          <w:highlight w:val="none"/>
        </w:rPr>
        <w:t>第六章  招标人提供的资料</w:t>
      </w:r>
      <w:bookmarkEnd w:id="70"/>
    </w:p>
    <w:p>
      <w:pPr>
        <w:spacing w:line="360" w:lineRule="auto"/>
        <w:rPr>
          <w:rFonts w:ascii="宋体" w:hAnsi="宋体" w:cs="宋体"/>
          <w:color w:val="auto"/>
          <w:highlight w:val="none"/>
        </w:rPr>
      </w:pPr>
      <w:r>
        <w:rPr>
          <w:rFonts w:hint="eastAsia" w:ascii="宋体" w:hAnsi="宋体" w:cs="宋体"/>
          <w:color w:val="auto"/>
          <w:highlight w:val="none"/>
        </w:rPr>
        <w:br w:type="page"/>
      </w:r>
    </w:p>
    <w:p>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招标人提供的资料</w:t>
      </w:r>
    </w:p>
    <w:p>
      <w:pPr>
        <w:rPr>
          <w:rFonts w:ascii="宋体" w:hAnsi="宋体" w:cs="宋体"/>
          <w:b/>
          <w:color w:val="auto"/>
          <w:sz w:val="30"/>
          <w:szCs w:val="30"/>
          <w:highlight w:val="none"/>
        </w:rPr>
      </w:pPr>
    </w:p>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（现状平面图）</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rPr>
        <w:t>另册</w:t>
      </w: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pStyle w:val="19"/>
        <w:rPr>
          <w:rFonts w:ascii="宋体" w:hAnsi="宋体" w:eastAsia="宋体" w:cs="宋体"/>
          <w:color w:val="auto"/>
          <w:highlight w:val="none"/>
        </w:rPr>
      </w:pPr>
    </w:p>
    <w:p>
      <w:pPr>
        <w:rPr>
          <w:rFonts w:ascii="宋体" w:hAnsi="宋体" w:cs="宋体"/>
          <w:color w:val="auto"/>
          <w:highlight w:val="none"/>
        </w:rPr>
      </w:pPr>
    </w:p>
    <w:p>
      <w:pPr>
        <w:pStyle w:val="19"/>
        <w:rPr>
          <w:rFonts w:ascii="宋体" w:hAnsi="宋体" w:eastAsia="宋体" w:cs="宋体"/>
          <w:color w:val="auto"/>
          <w:highlight w:val="none"/>
        </w:rPr>
      </w:pPr>
    </w:p>
    <w:p>
      <w:pPr>
        <w:rPr>
          <w:rFonts w:ascii="宋体" w:hAnsi="宋体" w:cs="宋体"/>
          <w:color w:val="auto"/>
          <w:highlight w:val="none"/>
        </w:rPr>
      </w:pPr>
    </w:p>
    <w:p>
      <w:pPr>
        <w:pStyle w:val="19"/>
        <w:rPr>
          <w:rFonts w:ascii="宋体" w:hAnsi="宋体" w:eastAsia="宋体" w:cs="宋体"/>
          <w:color w:val="auto"/>
          <w:highlight w:val="none"/>
        </w:rPr>
      </w:pPr>
    </w:p>
    <w:p>
      <w:pPr>
        <w:rPr>
          <w:rFonts w:ascii="宋体" w:hAnsi="宋体" w:cs="宋体"/>
          <w:color w:val="auto"/>
          <w:highlight w:val="none"/>
        </w:rPr>
      </w:pPr>
    </w:p>
    <w:p>
      <w:pPr>
        <w:pStyle w:val="19"/>
        <w:rPr>
          <w:rFonts w:ascii="宋体" w:hAnsi="宋体" w:eastAsia="宋体" w:cs="宋体"/>
          <w:color w:val="auto"/>
          <w:highlight w:val="none"/>
        </w:rPr>
      </w:pPr>
    </w:p>
    <w:p>
      <w:pPr>
        <w:rPr>
          <w:rFonts w:ascii="宋体" w:hAnsi="宋体" w:cs="宋体"/>
          <w:color w:val="auto"/>
          <w:highlight w:val="none"/>
        </w:rPr>
      </w:pPr>
    </w:p>
    <w:p>
      <w:pPr>
        <w:pStyle w:val="19"/>
        <w:rPr>
          <w:rFonts w:ascii="宋体" w:hAnsi="宋体" w:eastAsia="宋体" w:cs="宋体"/>
          <w:color w:val="auto"/>
          <w:highlight w:val="none"/>
        </w:rPr>
      </w:pPr>
    </w:p>
    <w:p>
      <w:pPr>
        <w:rPr>
          <w:rFonts w:ascii="宋体" w:hAnsi="宋体" w:cs="宋体"/>
          <w:color w:val="auto"/>
          <w:highlight w:val="none"/>
        </w:rPr>
      </w:pPr>
    </w:p>
    <w:p>
      <w:pPr>
        <w:pStyle w:val="19"/>
        <w:rPr>
          <w:rFonts w:ascii="宋体" w:hAnsi="宋体" w:eastAsia="宋体" w:cs="宋体"/>
          <w:color w:val="auto"/>
          <w:highlight w:val="none"/>
        </w:rPr>
      </w:pPr>
    </w:p>
    <w:p>
      <w:pPr>
        <w:rPr>
          <w:rFonts w:ascii="宋体" w:hAnsi="宋体" w:cs="宋体"/>
          <w:color w:val="auto"/>
          <w:highlight w:val="none"/>
        </w:rPr>
      </w:pPr>
    </w:p>
    <w:p>
      <w:pPr>
        <w:pStyle w:val="19"/>
        <w:rPr>
          <w:rFonts w:ascii="宋体" w:hAnsi="宋体" w:eastAsia="宋体" w:cs="宋体"/>
          <w:color w:val="auto"/>
          <w:highlight w:val="none"/>
        </w:rPr>
      </w:pPr>
    </w:p>
    <w:p>
      <w:pPr>
        <w:rPr>
          <w:rFonts w:ascii="宋体" w:hAnsi="宋体" w:cs="宋体"/>
          <w:color w:val="auto"/>
          <w:highlight w:val="none"/>
        </w:rPr>
      </w:pPr>
    </w:p>
    <w:p>
      <w:pPr>
        <w:pStyle w:val="19"/>
        <w:rPr>
          <w:rFonts w:ascii="宋体" w:hAnsi="宋体" w:eastAsia="宋体" w:cs="宋体"/>
          <w:color w:val="auto"/>
          <w:highlight w:val="none"/>
        </w:rPr>
      </w:pPr>
    </w:p>
    <w:p>
      <w:pPr>
        <w:rPr>
          <w:rFonts w:ascii="宋体" w:hAnsi="宋体" w:cs="宋体"/>
          <w:color w:val="auto"/>
          <w:highlight w:val="none"/>
        </w:rPr>
      </w:pPr>
    </w:p>
    <w:p>
      <w:pPr>
        <w:pStyle w:val="19"/>
        <w:rPr>
          <w:rFonts w:ascii="宋体" w:hAnsi="宋体" w:eastAsia="宋体" w:cs="宋体"/>
          <w:color w:val="auto"/>
          <w:highlight w:val="none"/>
        </w:rPr>
      </w:pPr>
    </w:p>
    <w:p>
      <w:pPr>
        <w:rPr>
          <w:rFonts w:ascii="宋体" w:hAnsi="宋体" w:cs="宋体"/>
          <w:color w:val="auto"/>
          <w:highlight w:val="none"/>
        </w:rPr>
      </w:pPr>
    </w:p>
    <w:p>
      <w:pPr>
        <w:pStyle w:val="19"/>
        <w:rPr>
          <w:rFonts w:ascii="宋体" w:hAnsi="宋体" w:eastAsia="宋体" w:cs="宋体"/>
          <w:color w:val="auto"/>
          <w:highlight w:val="none"/>
        </w:rPr>
      </w:pPr>
    </w:p>
    <w:p>
      <w:pPr>
        <w:rPr>
          <w:rFonts w:ascii="宋体" w:hAnsi="宋体" w:cs="宋体"/>
          <w:color w:val="auto"/>
          <w:highlight w:val="none"/>
        </w:rPr>
      </w:pPr>
    </w:p>
    <w:p>
      <w:pPr>
        <w:pStyle w:val="19"/>
        <w:rPr>
          <w:rFonts w:ascii="宋体" w:hAnsi="宋体" w:eastAsia="宋体" w:cs="宋体"/>
          <w:color w:val="auto"/>
          <w:highlight w:val="none"/>
        </w:rPr>
      </w:pPr>
    </w:p>
    <w:p>
      <w:pPr>
        <w:rPr>
          <w:rFonts w:ascii="宋体" w:hAnsi="宋体" w:cs="宋体"/>
          <w:color w:val="auto"/>
          <w:highlight w:val="none"/>
        </w:rPr>
      </w:pPr>
    </w:p>
    <w:p>
      <w:pPr>
        <w:pStyle w:val="19"/>
        <w:rPr>
          <w:rFonts w:ascii="宋体" w:hAnsi="宋体" w:eastAsia="宋体" w:cs="宋体"/>
          <w:color w:val="auto"/>
          <w:highlight w:val="none"/>
        </w:rPr>
      </w:pPr>
    </w:p>
    <w:p>
      <w:pPr>
        <w:rPr>
          <w:rFonts w:ascii="宋体" w:hAnsi="宋体" w:cs="宋体"/>
          <w:color w:val="auto"/>
          <w:highlight w:val="none"/>
        </w:rPr>
      </w:pPr>
    </w:p>
    <w:p>
      <w:pPr>
        <w:pStyle w:val="19"/>
        <w:rPr>
          <w:rFonts w:ascii="宋体" w:hAnsi="宋体" w:eastAsia="宋体" w:cs="宋体"/>
          <w:color w:val="auto"/>
          <w:highlight w:val="none"/>
        </w:rPr>
      </w:pPr>
    </w:p>
    <w:p>
      <w:pPr>
        <w:rPr>
          <w:rFonts w:ascii="宋体" w:hAnsi="宋体" w:cs="宋体"/>
          <w:color w:val="auto"/>
          <w:highlight w:val="none"/>
        </w:rPr>
      </w:pPr>
    </w:p>
    <w:p>
      <w:pPr>
        <w:pStyle w:val="19"/>
        <w:rPr>
          <w:rFonts w:ascii="宋体" w:hAnsi="宋体" w:eastAsia="宋体" w:cs="宋体"/>
          <w:color w:val="auto"/>
          <w:highlight w:val="none"/>
        </w:rPr>
      </w:pPr>
    </w:p>
    <w:p>
      <w:pPr>
        <w:rPr>
          <w:rFonts w:ascii="宋体" w:hAnsi="宋体" w:cs="宋体"/>
          <w:color w:val="auto"/>
          <w:highlight w:val="none"/>
        </w:rPr>
      </w:pPr>
    </w:p>
    <w:p>
      <w:pPr>
        <w:pStyle w:val="19"/>
        <w:rPr>
          <w:color w:val="auto"/>
          <w:highlight w:val="none"/>
        </w:rPr>
      </w:pPr>
    </w:p>
    <w:p>
      <w:pPr>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spacing w:line="400" w:lineRule="exact"/>
        <w:rPr>
          <w:rFonts w:ascii="宋体" w:hAnsi="宋体" w:cs="宋体"/>
          <w:color w:val="auto"/>
          <w:highlight w:val="none"/>
        </w:rPr>
      </w:pPr>
    </w:p>
    <w:p>
      <w:pPr>
        <w:pStyle w:val="2"/>
        <w:jc w:val="center"/>
        <w:rPr>
          <w:rFonts w:ascii="宋体" w:hAnsi="宋体" w:cs="宋体"/>
          <w:color w:val="auto"/>
          <w:highlight w:val="none"/>
        </w:rPr>
      </w:pPr>
    </w:p>
    <w:p>
      <w:pPr>
        <w:pStyle w:val="2"/>
        <w:jc w:val="center"/>
        <w:rPr>
          <w:rFonts w:ascii="宋体" w:hAnsi="宋体" w:cs="宋体"/>
          <w:color w:val="auto"/>
          <w:highlight w:val="none"/>
        </w:rPr>
      </w:pPr>
    </w:p>
    <w:p>
      <w:pPr>
        <w:pStyle w:val="2"/>
        <w:jc w:val="center"/>
        <w:rPr>
          <w:rFonts w:ascii="宋体" w:hAnsi="宋体" w:cs="宋体"/>
          <w:color w:val="auto"/>
          <w:highlight w:val="none"/>
        </w:rPr>
      </w:pPr>
      <w:bookmarkStart w:id="71" w:name="_Toc23550"/>
      <w:r>
        <w:rPr>
          <w:rFonts w:hint="eastAsia" w:ascii="宋体" w:hAnsi="宋体" w:cs="宋体"/>
          <w:color w:val="auto"/>
          <w:highlight w:val="none"/>
        </w:rPr>
        <w:t>第三卷</w:t>
      </w:r>
      <w:bookmarkEnd w:id="71"/>
    </w:p>
    <w:p>
      <w:pPr>
        <w:spacing w:line="400" w:lineRule="exact"/>
        <w:jc w:val="center"/>
        <w:rPr>
          <w:rFonts w:ascii="宋体" w:hAnsi="宋体" w:cs="宋体"/>
          <w:color w:val="auto"/>
          <w:highlight w:val="none"/>
        </w:rPr>
      </w:pPr>
      <w:r>
        <w:rPr>
          <w:rFonts w:hint="eastAsia" w:ascii="宋体" w:hAnsi="宋体" w:cs="宋体"/>
          <w:b/>
          <w:bCs/>
          <w:color w:val="auto"/>
          <w:sz w:val="32"/>
          <w:highlight w:val="none"/>
        </w:rPr>
        <w:br w:type="page"/>
      </w:r>
    </w:p>
    <w:p>
      <w:pPr>
        <w:pStyle w:val="2"/>
        <w:jc w:val="center"/>
        <w:rPr>
          <w:rFonts w:ascii="宋体" w:hAnsi="宋体" w:cs="宋体"/>
          <w:color w:val="auto"/>
          <w:highlight w:val="none"/>
        </w:rPr>
      </w:pPr>
      <w:bookmarkStart w:id="72" w:name="_Toc3525"/>
      <w:r>
        <w:rPr>
          <w:rFonts w:hint="eastAsia" w:ascii="宋体" w:hAnsi="宋体" w:cs="宋体"/>
          <w:color w:val="auto"/>
          <w:highlight w:val="none"/>
        </w:rPr>
        <w:t>第七章  投标文件格式</w:t>
      </w:r>
      <w:bookmarkEnd w:id="72"/>
    </w:p>
    <w:p>
      <w:pPr>
        <w:spacing w:line="400" w:lineRule="exact"/>
        <w:rPr>
          <w:rFonts w:ascii="宋体" w:hAnsi="宋体" w:cs="宋体"/>
          <w:color w:val="auto"/>
          <w:highlight w:val="none"/>
        </w:rPr>
      </w:pPr>
    </w:p>
    <w:p>
      <w:pPr>
        <w:jc w:val="center"/>
        <w:rPr>
          <w:rFonts w:ascii="宋体" w:hAnsi="宋体" w:cs="宋体"/>
          <w:color w:val="auto"/>
          <w:highlight w:val="none"/>
        </w:rPr>
      </w:pPr>
      <w:r>
        <w:rPr>
          <w:rFonts w:hint="eastAsia" w:ascii="宋体" w:hAnsi="宋体" w:cs="宋体"/>
          <w:color w:val="auto"/>
          <w:highlight w:val="none"/>
        </w:rPr>
        <w:br w:type="page"/>
      </w:r>
    </w:p>
    <w:p>
      <w:pPr>
        <w:pStyle w:val="36"/>
        <w:rPr>
          <w:color w:val="auto"/>
          <w:highlight w:val="none"/>
        </w:rPr>
      </w:pPr>
    </w:p>
    <w:p>
      <w:pPr>
        <w:pStyle w:val="36"/>
        <w:rPr>
          <w:color w:val="auto"/>
          <w:highlight w:val="none"/>
        </w:rPr>
      </w:pPr>
    </w:p>
    <w:p>
      <w:pPr>
        <w:jc w:val="center"/>
        <w:rPr>
          <w:rFonts w:ascii="宋体" w:hAnsi="宋体" w:cs="宋体"/>
          <w:color w:val="auto"/>
          <w:sz w:val="28"/>
          <w:szCs w:val="28"/>
          <w:highlight w:val="none"/>
        </w:rPr>
      </w:pPr>
      <w:r>
        <w:rPr>
          <w:rFonts w:hint="eastAsia" w:ascii="宋体" w:hAnsi="宋体" w:cs="宋体"/>
          <w:color w:val="auto"/>
          <w:sz w:val="40"/>
          <w:szCs w:val="40"/>
          <w:highlight w:val="none"/>
          <w:u w:val="single"/>
        </w:rPr>
        <w:t xml:space="preserve">            </w:t>
      </w:r>
      <w:r>
        <w:rPr>
          <w:rFonts w:hint="eastAsia" w:ascii="宋体" w:hAnsi="宋体" w:cs="宋体"/>
          <w:color w:val="auto"/>
          <w:sz w:val="40"/>
          <w:szCs w:val="40"/>
          <w:highlight w:val="none"/>
        </w:rPr>
        <w:t>（项目名称）</w:t>
      </w:r>
    </w:p>
    <w:p>
      <w:pPr>
        <w:rPr>
          <w:rFonts w:ascii="宋体" w:hAnsi="宋体" w:cs="宋体"/>
          <w:color w:val="auto"/>
          <w:sz w:val="20"/>
          <w:szCs w:val="20"/>
          <w:highlight w:val="none"/>
        </w:rPr>
      </w:pPr>
    </w:p>
    <w:p>
      <w:pPr>
        <w:rPr>
          <w:rFonts w:ascii="宋体" w:hAnsi="宋体" w:cs="宋体"/>
          <w:color w:val="auto"/>
          <w:sz w:val="20"/>
          <w:szCs w:val="20"/>
          <w:highlight w:val="none"/>
        </w:rPr>
      </w:pPr>
    </w:p>
    <w:p>
      <w:pPr>
        <w:jc w:val="center"/>
        <w:rPr>
          <w:rFonts w:ascii="宋体" w:hAnsi="宋体" w:cs="宋体"/>
          <w:color w:val="auto"/>
          <w:sz w:val="44"/>
          <w:szCs w:val="44"/>
          <w:highlight w:val="none"/>
        </w:rPr>
      </w:pPr>
      <w:r>
        <w:rPr>
          <w:rFonts w:hint="eastAsia" w:ascii="宋体" w:hAnsi="宋体" w:cs="宋体"/>
          <w:color w:val="auto"/>
          <w:sz w:val="44"/>
          <w:szCs w:val="44"/>
          <w:highlight w:val="none"/>
        </w:rPr>
        <w:t>投  标  文  件</w:t>
      </w:r>
    </w:p>
    <w:p>
      <w:pPr>
        <w:pStyle w:val="19"/>
        <w:rPr>
          <w:rFonts w:eastAsia="宋体"/>
          <w:color w:val="auto"/>
          <w:highlight w:val="none"/>
        </w:rPr>
      </w:pPr>
      <w:r>
        <w:rPr>
          <w:rFonts w:hint="eastAsia" w:ascii="宋体" w:hAnsi="宋体" w:eastAsia="宋体" w:cs="宋体"/>
          <w:color w:val="auto"/>
          <w:sz w:val="44"/>
          <w:szCs w:val="44"/>
          <w:highlight w:val="none"/>
        </w:rPr>
        <w:t xml:space="preserve">         （资格审查文件部分）</w:t>
      </w: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pPr>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pStyle w:val="19"/>
        <w:rPr>
          <w:rFonts w:ascii="宋体" w:hAnsi="宋体" w:eastAsia="宋体" w:cs="宋体"/>
          <w:color w:val="auto"/>
          <w:sz w:val="28"/>
          <w:szCs w:val="28"/>
          <w:highlight w:val="none"/>
        </w:rPr>
      </w:pPr>
    </w:p>
    <w:p>
      <w:pPr>
        <w:rPr>
          <w:rFonts w:ascii="宋体" w:hAnsi="宋体" w:cs="宋体"/>
          <w:b/>
          <w:color w:val="auto"/>
          <w:kern w:val="1"/>
          <w:sz w:val="24"/>
          <w:highlight w:val="none"/>
          <w:lang w:val="zh-CN"/>
        </w:rPr>
      </w:pPr>
      <w:r>
        <w:rPr>
          <w:rFonts w:ascii="宋体" w:hAnsi="宋体" w:cs="宋体"/>
          <w:b/>
          <w:color w:val="auto"/>
          <w:kern w:val="1"/>
          <w:sz w:val="24"/>
          <w:highlight w:val="none"/>
          <w:lang w:val="zh-CN"/>
        </w:rPr>
        <w:br w:type="page"/>
      </w: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1</w:t>
      </w:r>
      <w:r>
        <w:rPr>
          <w:rFonts w:hint="eastAsia" w:ascii="宋体" w:hAnsi="宋体" w:cs="宋体"/>
          <w:b/>
          <w:color w:val="auto"/>
          <w:kern w:val="1"/>
          <w:sz w:val="24"/>
          <w:highlight w:val="none"/>
          <w:lang w:val="zh-CN"/>
        </w:rPr>
        <w:t>：</w:t>
      </w:r>
    </w:p>
    <w:p>
      <w:pPr>
        <w:autoSpaceDE w:val="0"/>
        <w:autoSpaceDN w:val="0"/>
        <w:adjustRightInd w:val="0"/>
        <w:spacing w:line="360" w:lineRule="auto"/>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法人代表证明书、授权委托证明书</w:t>
      </w:r>
    </w:p>
    <w:p>
      <w:pPr>
        <w:autoSpaceDE w:val="0"/>
        <w:autoSpaceDN w:val="0"/>
        <w:adjustRightInd w:val="0"/>
        <w:spacing w:line="360" w:lineRule="auto"/>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法定代表人证明书</w:t>
      </w:r>
    </w:p>
    <w:p>
      <w:pPr>
        <w:spacing w:line="360" w:lineRule="auto"/>
        <w:jc w:val="right"/>
        <w:rPr>
          <w:rFonts w:ascii="宋体" w:hAnsi="宋体" w:cs="宋体"/>
          <w:color w:val="auto"/>
          <w:highlight w:val="none"/>
        </w:rPr>
      </w:pPr>
      <w:r>
        <w:rPr>
          <w:rFonts w:hint="eastAsia" w:ascii="宋体" w:hAnsi="宋体" w:cs="宋体"/>
          <w:color w:val="auto"/>
          <w:highlight w:val="none"/>
        </w:rPr>
        <w:t>（   ）第   号</w:t>
      </w:r>
    </w:p>
    <w:tbl>
      <w:tblPr>
        <w:tblStyle w:val="37"/>
        <w:tblW w:w="0" w:type="auto"/>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jc w:val="center"/>
        </w:trPr>
        <w:tc>
          <w:tcPr>
            <w:tcW w:w="9498" w:type="dxa"/>
          </w:tcPr>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现任我公司职务，为法定代表人（负责人），特此证明。</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有效期限：</w:t>
            </w:r>
          </w:p>
          <w:p>
            <w:pPr>
              <w:snapToGrid w:val="0"/>
              <w:spacing w:line="360" w:lineRule="auto"/>
              <w:rPr>
                <w:rFonts w:ascii="宋体" w:hAnsi="宋体" w:cs="宋体"/>
                <w:color w:val="auto"/>
                <w:highlight w:val="none"/>
                <w:u w:val="single"/>
              </w:rPr>
            </w:pPr>
            <w:r>
              <w:rPr>
                <w:rFonts w:hint="eastAsia" w:ascii="宋体" w:hAnsi="宋体" w:cs="宋体"/>
                <w:color w:val="auto"/>
                <w:highlight w:val="none"/>
              </w:rPr>
              <w:t>附：法定代表人（负责人）性别：  年龄：  身份证号码：</w:t>
            </w:r>
          </w:p>
          <w:p>
            <w:pPr>
              <w:snapToGrid w:val="0"/>
              <w:spacing w:line="360" w:lineRule="auto"/>
              <w:ind w:firstLine="570"/>
              <w:rPr>
                <w:rFonts w:ascii="宋体" w:hAnsi="宋体" w:cs="宋体"/>
                <w:color w:val="auto"/>
                <w:highlight w:val="none"/>
                <w:u w:val="single"/>
              </w:rPr>
            </w:pPr>
            <w:r>
              <w:rPr>
                <w:rFonts w:hint="eastAsia" w:ascii="宋体" w:hAnsi="宋体" w:cs="宋体"/>
                <w:color w:val="auto"/>
                <w:highlight w:val="none"/>
              </w:rPr>
              <w:t>统一社会信用代码：  企业类型：</w:t>
            </w:r>
          </w:p>
          <w:p>
            <w:pPr>
              <w:snapToGrid w:val="0"/>
              <w:spacing w:line="360" w:lineRule="auto"/>
              <w:ind w:firstLine="570"/>
              <w:rPr>
                <w:rFonts w:ascii="宋体" w:hAnsi="宋体" w:cs="宋体"/>
                <w:color w:val="auto"/>
                <w:highlight w:val="none"/>
                <w:u w:val="single"/>
              </w:rPr>
            </w:pPr>
            <w:r>
              <w:rPr>
                <w:rFonts w:hint="eastAsia" w:ascii="宋体" w:hAnsi="宋体" w:cs="宋体"/>
                <w:color w:val="auto"/>
                <w:highlight w:val="none"/>
              </w:rPr>
              <w:t>经营范围：</w:t>
            </w:r>
          </w:p>
          <w:p>
            <w:pPr>
              <w:snapToGrid w:val="0"/>
              <w:spacing w:line="360" w:lineRule="auto"/>
              <w:ind w:firstLine="570"/>
              <w:rPr>
                <w:rFonts w:ascii="宋体" w:hAnsi="宋体" w:cs="宋体"/>
                <w:color w:val="auto"/>
                <w:highlight w:val="none"/>
              </w:rPr>
            </w:pPr>
            <w:r>
              <w:rPr>
                <w:rFonts w:hint="eastAsia" w:ascii="宋体" w:hAnsi="宋体" w:cs="宋体"/>
                <w:color w:val="auto"/>
                <w:highlight w:val="none"/>
              </w:rPr>
              <w:t xml:space="preserve">                       单位：（盖章）</w:t>
            </w:r>
          </w:p>
          <w:p>
            <w:pPr>
              <w:snapToGrid w:val="0"/>
              <w:spacing w:line="360" w:lineRule="auto"/>
              <w:ind w:firstLine="573"/>
              <w:rPr>
                <w:rFonts w:ascii="宋体" w:hAnsi="宋体" w:cs="宋体"/>
                <w:color w:val="auto"/>
                <w:highlight w:val="none"/>
              </w:rPr>
            </w:pPr>
            <w:r>
              <w:rPr>
                <w:rFonts w:hint="eastAsia" w:ascii="宋体" w:hAnsi="宋体" w:cs="宋体"/>
                <w:color w:val="auto"/>
                <w:highlight w:val="none"/>
              </w:rPr>
              <w:t xml:space="preserve">                                       年  月  日</w:t>
            </w:r>
          </w:p>
        </w:tc>
      </w:tr>
    </w:tbl>
    <w:p>
      <w:pPr>
        <w:rPr>
          <w:rFonts w:ascii="宋体" w:hAnsi="宋体" w:cs="宋体"/>
          <w:color w:val="auto"/>
          <w:szCs w:val="21"/>
          <w:highlight w:val="none"/>
        </w:rPr>
      </w:pPr>
      <w:r>
        <w:rPr>
          <w:rFonts w:hint="eastAsia" w:ascii="宋体" w:hAnsi="宋体" w:cs="宋体"/>
          <w:color w:val="auto"/>
          <w:szCs w:val="21"/>
          <w:highlight w:val="none"/>
        </w:rPr>
        <w:t>注：1、法定代表人证明书也可以采用工商行政管理局统一印制的格式。</w:t>
      </w:r>
    </w:p>
    <w:p>
      <w:pPr>
        <w:rPr>
          <w:rFonts w:ascii="宋体" w:hAnsi="宋体" w:cs="宋体"/>
          <w:color w:val="auto"/>
          <w:szCs w:val="21"/>
          <w:highlight w:val="none"/>
        </w:rPr>
      </w:pPr>
      <w:r>
        <w:rPr>
          <w:rFonts w:hint="eastAsia" w:ascii="宋体" w:hAnsi="宋体" w:cs="宋体"/>
          <w:color w:val="auto"/>
          <w:szCs w:val="21"/>
          <w:highlight w:val="none"/>
        </w:rPr>
        <w:t xml:space="preserve">    2、联合体投标的，本证明书由主办方出具，仅填写主办方单位名称并由主办方盖章即可。</w:t>
      </w:r>
    </w:p>
    <w:p>
      <w:pPr>
        <w:autoSpaceDE w:val="0"/>
        <w:autoSpaceDN w:val="0"/>
        <w:adjustRightInd w:val="0"/>
        <w:spacing w:line="360" w:lineRule="auto"/>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法定代表人授权委托书</w:t>
      </w:r>
    </w:p>
    <w:p>
      <w:pPr>
        <w:spacing w:line="360" w:lineRule="auto"/>
        <w:jc w:val="right"/>
        <w:rPr>
          <w:rFonts w:ascii="宋体" w:hAnsi="宋体" w:cs="宋体"/>
          <w:color w:val="auto"/>
          <w:highlight w:val="none"/>
        </w:rPr>
      </w:pPr>
      <w:r>
        <w:rPr>
          <w:rFonts w:hint="eastAsia" w:ascii="宋体" w:hAnsi="宋体" w:cs="宋体"/>
          <w:color w:val="auto"/>
          <w:highlight w:val="none"/>
        </w:rPr>
        <w:t>（   ）第   号</w:t>
      </w:r>
    </w:p>
    <w:tbl>
      <w:tblPr>
        <w:tblStyle w:val="37"/>
        <w:tblW w:w="0" w:type="auto"/>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PrEx>
        <w:trPr>
          <w:trHeight w:val="4080" w:hRule="atLeast"/>
          <w:jc w:val="center"/>
        </w:trPr>
        <w:tc>
          <w:tcPr>
            <w:tcW w:w="9540" w:type="dxa"/>
          </w:tcPr>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兹授权为我方委托代理人，其权限是：</w:t>
            </w:r>
            <w:r>
              <w:rPr>
                <w:rFonts w:hint="eastAsia" w:ascii="宋体" w:hAnsi="宋体" w:cs="宋体"/>
                <w:color w:val="auto"/>
                <w:highlight w:val="none"/>
                <w:u w:val="single"/>
              </w:rPr>
              <w:t>负责办理         投标相关事宜</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有效期限：</w:t>
            </w:r>
          </w:p>
          <w:p>
            <w:pPr>
              <w:spacing w:line="360" w:lineRule="auto"/>
              <w:rPr>
                <w:rFonts w:ascii="宋体" w:hAnsi="宋体" w:cs="宋体"/>
                <w:color w:val="auto"/>
                <w:highlight w:val="none"/>
                <w:u w:val="single"/>
              </w:rPr>
            </w:pPr>
            <w:r>
              <w:rPr>
                <w:rFonts w:hint="eastAsia" w:ascii="宋体" w:hAnsi="宋体" w:cs="宋体"/>
                <w:color w:val="auto"/>
                <w:highlight w:val="none"/>
              </w:rPr>
              <w:t>附：代理人性别： 年龄： 身份证号码：</w:t>
            </w:r>
          </w:p>
          <w:p>
            <w:pPr>
              <w:snapToGrid w:val="0"/>
              <w:spacing w:line="360" w:lineRule="auto"/>
              <w:ind w:firstLine="570"/>
              <w:rPr>
                <w:rFonts w:ascii="宋体" w:hAnsi="宋体" w:cs="宋体"/>
                <w:color w:val="auto"/>
                <w:highlight w:val="none"/>
                <w:u w:val="single"/>
              </w:rPr>
            </w:pPr>
            <w:r>
              <w:rPr>
                <w:rFonts w:hint="eastAsia" w:ascii="宋体" w:hAnsi="宋体" w:cs="宋体"/>
                <w:color w:val="auto"/>
                <w:highlight w:val="none"/>
              </w:rPr>
              <w:t>统一社会信用代码：  企业类型：</w:t>
            </w:r>
          </w:p>
          <w:p>
            <w:pPr>
              <w:snapToGrid w:val="0"/>
              <w:spacing w:line="360" w:lineRule="auto"/>
              <w:ind w:firstLine="570"/>
              <w:rPr>
                <w:rFonts w:ascii="宋体" w:hAnsi="宋体" w:cs="宋体"/>
                <w:color w:val="auto"/>
                <w:highlight w:val="none"/>
                <w:u w:val="single"/>
              </w:rPr>
            </w:pPr>
            <w:r>
              <w:rPr>
                <w:rFonts w:hint="eastAsia" w:ascii="宋体" w:hAnsi="宋体" w:cs="宋体"/>
                <w:color w:val="auto"/>
                <w:highlight w:val="none"/>
              </w:rPr>
              <w:t>经营范围：</w:t>
            </w:r>
          </w:p>
          <w:p>
            <w:pPr>
              <w:snapToGrid w:val="0"/>
              <w:spacing w:line="360" w:lineRule="auto"/>
              <w:ind w:hanging="105"/>
              <w:rPr>
                <w:rFonts w:ascii="宋体" w:hAnsi="宋体" w:cs="宋体"/>
                <w:color w:val="auto"/>
                <w:highlight w:val="none"/>
                <w:u w:val="singl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法定代表人（负责人）：（签名或盖章）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授权单位：（盖章）</w:t>
            </w:r>
          </w:p>
          <w:p>
            <w:pPr>
              <w:snapToGrid w:val="0"/>
              <w:spacing w:line="360" w:lineRule="auto"/>
              <w:ind w:firstLine="570"/>
              <w:rPr>
                <w:rFonts w:ascii="宋体" w:hAnsi="宋体" w:cs="宋体"/>
                <w:color w:val="auto"/>
                <w:highlight w:val="none"/>
              </w:rPr>
            </w:pPr>
            <w:r>
              <w:rPr>
                <w:rFonts w:hint="eastAsia" w:ascii="宋体" w:hAnsi="宋体" w:cs="宋体"/>
                <w:color w:val="auto"/>
                <w:highlight w:val="none"/>
              </w:rPr>
              <w:t xml:space="preserve">                      年  月  日</w:t>
            </w:r>
          </w:p>
        </w:tc>
      </w:tr>
    </w:tbl>
    <w:p>
      <w:pPr>
        <w:rPr>
          <w:rFonts w:ascii="宋体" w:hAnsi="宋体" w:cs="宋体"/>
          <w:color w:val="auto"/>
          <w:szCs w:val="21"/>
          <w:highlight w:val="none"/>
        </w:rPr>
      </w:pPr>
      <w:r>
        <w:rPr>
          <w:rFonts w:hint="eastAsia" w:ascii="宋体" w:hAnsi="宋体" w:cs="宋体"/>
          <w:color w:val="auto"/>
          <w:szCs w:val="21"/>
          <w:highlight w:val="none"/>
        </w:rPr>
        <w:t>注：1、法定代表人授权委托书也可以采用工商行政管理局统一印制的格式。</w:t>
      </w:r>
    </w:p>
    <w:p>
      <w:pPr>
        <w:ind w:firstLine="420"/>
        <w:rPr>
          <w:rFonts w:ascii="宋体" w:hAnsi="宋体" w:cs="宋体"/>
          <w:color w:val="auto"/>
          <w:szCs w:val="21"/>
          <w:highlight w:val="none"/>
        </w:rPr>
      </w:pPr>
      <w:r>
        <w:rPr>
          <w:rFonts w:hint="eastAsia" w:ascii="宋体" w:hAnsi="宋体" w:cs="宋体"/>
          <w:color w:val="auto"/>
          <w:szCs w:val="21"/>
          <w:highlight w:val="none"/>
        </w:rPr>
        <w:t>2、联合体投标的，本授权书由主办方出具，仅填写主办方单位名称并由主办方签字或盖章即可。</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如授权代表，须提供授权委托代理人2025年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月由社保行政主管部门出具的社保证明资料）</w:t>
      </w:r>
    </w:p>
    <w:p>
      <w:pPr>
        <w:spacing w:line="360" w:lineRule="auto"/>
        <w:ind w:firstLine="420"/>
        <w:rPr>
          <w:rFonts w:ascii="宋体" w:hAnsi="宋体" w:cs="宋体"/>
          <w:color w:val="auto"/>
          <w:szCs w:val="21"/>
          <w:highlight w:val="none"/>
        </w:rPr>
      </w:pPr>
    </w:p>
    <w:p>
      <w:pPr>
        <w:pStyle w:val="36"/>
        <w:rPr>
          <w:color w:val="auto"/>
          <w:highlight w:val="none"/>
        </w:rPr>
      </w:pPr>
    </w:p>
    <w:p>
      <w:pPr>
        <w:pStyle w:val="36"/>
        <w:rPr>
          <w:color w:val="auto"/>
          <w:highlight w:val="none"/>
        </w:rPr>
      </w:pPr>
    </w:p>
    <w:p>
      <w:pPr>
        <w:jc w:val="center"/>
        <w:rPr>
          <w:rFonts w:ascii="宋体" w:hAnsi="宋体" w:cs="宋体"/>
          <w:color w:val="auto"/>
          <w:sz w:val="40"/>
          <w:szCs w:val="40"/>
          <w:highlight w:val="none"/>
        </w:rPr>
      </w:pPr>
      <w:r>
        <w:rPr>
          <w:rFonts w:hint="eastAsia" w:ascii="宋体" w:hAnsi="宋体" w:cs="宋体"/>
          <w:color w:val="auto"/>
          <w:sz w:val="40"/>
          <w:szCs w:val="40"/>
          <w:highlight w:val="none"/>
          <w:u w:val="single"/>
        </w:rPr>
        <w:t xml:space="preserve">            </w:t>
      </w:r>
      <w:r>
        <w:rPr>
          <w:rFonts w:hint="eastAsia" w:ascii="宋体" w:hAnsi="宋体" w:cs="宋体"/>
          <w:color w:val="auto"/>
          <w:sz w:val="40"/>
          <w:szCs w:val="40"/>
          <w:highlight w:val="none"/>
        </w:rPr>
        <w:t>（项目名称）</w:t>
      </w:r>
    </w:p>
    <w:p>
      <w:pPr>
        <w:rPr>
          <w:rFonts w:ascii="宋体" w:hAnsi="宋体" w:cs="宋体"/>
          <w:color w:val="auto"/>
          <w:sz w:val="20"/>
          <w:szCs w:val="20"/>
          <w:highlight w:val="none"/>
        </w:rPr>
      </w:pPr>
    </w:p>
    <w:p>
      <w:pPr>
        <w:rPr>
          <w:rFonts w:ascii="宋体" w:hAnsi="宋体" w:cs="宋体"/>
          <w:color w:val="auto"/>
          <w:sz w:val="20"/>
          <w:szCs w:val="20"/>
          <w:highlight w:val="none"/>
        </w:rPr>
      </w:pPr>
    </w:p>
    <w:p>
      <w:pPr>
        <w:jc w:val="center"/>
        <w:rPr>
          <w:rFonts w:ascii="宋体" w:hAnsi="宋体" w:cs="宋体"/>
          <w:color w:val="auto"/>
          <w:sz w:val="44"/>
          <w:szCs w:val="44"/>
          <w:highlight w:val="none"/>
        </w:rPr>
      </w:pPr>
      <w:r>
        <w:rPr>
          <w:rFonts w:hint="eastAsia" w:ascii="宋体" w:hAnsi="宋体" w:cs="宋体"/>
          <w:color w:val="auto"/>
          <w:sz w:val="44"/>
          <w:szCs w:val="44"/>
          <w:highlight w:val="none"/>
        </w:rPr>
        <w:t>投  标  文  件</w:t>
      </w:r>
    </w:p>
    <w:p>
      <w:pPr>
        <w:pStyle w:val="19"/>
        <w:jc w:val="center"/>
        <w:rPr>
          <w:rFonts w:eastAsia="宋体"/>
          <w:color w:val="auto"/>
          <w:highlight w:val="none"/>
        </w:rPr>
      </w:pPr>
      <w:r>
        <w:rPr>
          <w:rFonts w:hint="eastAsia" w:ascii="宋体" w:hAnsi="宋体" w:eastAsia="宋体" w:cs="宋体"/>
          <w:color w:val="auto"/>
          <w:sz w:val="44"/>
          <w:szCs w:val="44"/>
          <w:highlight w:val="none"/>
        </w:rPr>
        <w:t>（工程承包实施方案）</w:t>
      </w: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pPr>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pStyle w:val="19"/>
        <w:rPr>
          <w:rFonts w:ascii="宋体" w:hAnsi="宋体" w:eastAsia="宋体" w:cs="宋体"/>
          <w:color w:val="auto"/>
          <w:sz w:val="28"/>
          <w:szCs w:val="28"/>
          <w:highlight w:val="none"/>
        </w:rPr>
      </w:pPr>
    </w:p>
    <w:p>
      <w:pPr>
        <w:spacing w:line="360" w:lineRule="auto"/>
        <w:jc w:val="left"/>
        <w:rPr>
          <w:rFonts w:ascii="宋体" w:hAnsi="宋体" w:cs="宋体"/>
          <w:b/>
          <w:color w:val="auto"/>
          <w:kern w:val="1"/>
          <w:sz w:val="24"/>
          <w:highlight w:val="none"/>
          <w:lang w:val="zh-CN"/>
        </w:rPr>
      </w:pPr>
    </w:p>
    <w:p>
      <w:pPr>
        <w:pStyle w:val="36"/>
        <w:rPr>
          <w:color w:val="auto"/>
          <w:highlight w:val="none"/>
          <w:lang w:val="zh-CN"/>
        </w:rPr>
      </w:pPr>
    </w:p>
    <w:p>
      <w:pPr>
        <w:pStyle w:val="36"/>
        <w:rPr>
          <w:color w:val="auto"/>
          <w:highlight w:val="none"/>
          <w:lang w:val="zh-CN"/>
        </w:rPr>
      </w:pPr>
    </w:p>
    <w:p>
      <w:pPr>
        <w:spacing w:line="540" w:lineRule="exact"/>
        <w:rPr>
          <w:rFonts w:ascii="宋体" w:hAnsi="宋体" w:cs="宋体"/>
          <w:b/>
          <w:color w:val="auto"/>
          <w:kern w:val="1"/>
          <w:sz w:val="24"/>
          <w:highlight w:val="none"/>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2：</w:t>
      </w:r>
    </w:p>
    <w:p>
      <w:pPr>
        <w:autoSpaceDE w:val="0"/>
        <w:autoSpaceDN w:val="0"/>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投标书</w:t>
      </w:r>
    </w:p>
    <w:p>
      <w:pPr>
        <w:spacing w:line="360" w:lineRule="auto"/>
        <w:rPr>
          <w:rFonts w:ascii="宋体" w:hAnsi="宋体" w:cs="宋体"/>
          <w:color w:val="auto"/>
          <w:highlight w:val="none"/>
        </w:rPr>
      </w:pPr>
    </w:p>
    <w:tbl>
      <w:tblPr>
        <w:tblStyle w:val="37"/>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163"/>
        <w:gridCol w:w="4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val="zh-CN"/>
              </w:rPr>
              <w:t>项目名称</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val="zh-CN"/>
              </w:rPr>
              <w:t>投标总报价（元）</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大写：</w:t>
            </w:r>
          </w:p>
          <w:p>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626" w:type="dxa"/>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lang w:val="zh-CN"/>
              </w:rPr>
              <w:t>其中</w:t>
            </w:r>
            <w:r>
              <w:rPr>
                <w:rFonts w:hint="eastAsia" w:ascii="宋体" w:hAnsi="宋体" w:cs="宋体"/>
                <w:b/>
                <w:color w:val="auto"/>
                <w:szCs w:val="21"/>
                <w:highlight w:val="none"/>
              </w:rPr>
              <w:t>：</w:t>
            </w:r>
            <w:r>
              <w:rPr>
                <w:rFonts w:hint="eastAsia" w:ascii="宋体" w:hAnsi="宋体" w:cs="宋体"/>
                <w:b/>
                <w:color w:val="auto"/>
                <w:szCs w:val="21"/>
                <w:highlight w:val="none"/>
                <w:lang w:val="zh-CN"/>
              </w:rPr>
              <w:t>施工部分</w:t>
            </w:r>
            <w:r>
              <w:rPr>
                <w:rFonts w:hint="eastAsia" w:ascii="宋体" w:hAnsi="宋体" w:cs="宋体"/>
                <w:b/>
                <w:color w:val="auto"/>
                <w:szCs w:val="21"/>
                <w:highlight w:val="none"/>
              </w:rPr>
              <w:t>（</w:t>
            </w:r>
            <w:r>
              <w:rPr>
                <w:rFonts w:hint="eastAsia" w:ascii="宋体" w:hAnsi="宋体" w:cs="宋体"/>
                <w:b/>
                <w:color w:val="auto"/>
                <w:szCs w:val="21"/>
                <w:highlight w:val="none"/>
                <w:lang w:val="zh-CN"/>
              </w:rPr>
              <w:t>元</w:t>
            </w:r>
            <w:r>
              <w:rPr>
                <w:rFonts w:hint="eastAsia" w:ascii="宋体" w:hAnsi="宋体" w:cs="宋体"/>
                <w:b/>
                <w:color w:val="auto"/>
                <w:szCs w:val="21"/>
                <w:highlight w:val="none"/>
              </w:rPr>
              <w:t>）</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626" w:type="dxa"/>
            <w:vMerge w:val="continue"/>
            <w:tcBorders>
              <w:left w:val="single" w:color="auto" w:sz="4" w:space="0"/>
              <w:right w:val="single" w:color="auto" w:sz="4" w:space="0"/>
            </w:tcBorders>
            <w:vAlign w:val="center"/>
          </w:tcPr>
          <w:p>
            <w:pPr>
              <w:spacing w:line="360" w:lineRule="auto"/>
              <w:rPr>
                <w:rFonts w:ascii="宋体" w:hAnsi="宋体" w:cs="宋体"/>
                <w:b/>
                <w:color w:val="auto"/>
                <w:szCs w:val="21"/>
                <w:highlight w:val="none"/>
                <w:lang w:val="zh-CN"/>
              </w:rPr>
            </w:pP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626" w:type="dxa"/>
            <w:vMerge w:val="continue"/>
            <w:tcBorders>
              <w:left w:val="single" w:color="auto" w:sz="4" w:space="0"/>
              <w:right w:val="single" w:color="auto" w:sz="4" w:space="0"/>
            </w:tcBorders>
            <w:vAlign w:val="center"/>
          </w:tcPr>
          <w:p>
            <w:pPr>
              <w:spacing w:line="360" w:lineRule="auto"/>
              <w:rPr>
                <w:rFonts w:ascii="宋体" w:hAnsi="宋体" w:cs="宋体"/>
                <w:b/>
                <w:color w:val="auto"/>
                <w:szCs w:val="21"/>
                <w:highlight w:val="none"/>
                <w:lang w:val="zh-CN"/>
              </w:rPr>
            </w:pP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绿色施工安全防护措施费：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360" w:lineRule="auto"/>
              <w:ind w:firstLine="616" w:firstLineChars="292"/>
              <w:rPr>
                <w:rFonts w:ascii="宋体" w:hAnsi="宋体" w:cs="宋体"/>
                <w:b/>
                <w:color w:val="auto"/>
                <w:szCs w:val="21"/>
                <w:highlight w:val="none"/>
                <w:lang w:val="zh-CN"/>
              </w:rPr>
            </w:pPr>
            <w:r>
              <w:rPr>
                <w:rFonts w:hint="eastAsia" w:ascii="宋体" w:hAnsi="宋体" w:cs="宋体"/>
                <w:b/>
                <w:color w:val="auto"/>
                <w:szCs w:val="21"/>
                <w:highlight w:val="none"/>
                <w:lang w:val="zh-CN"/>
              </w:rPr>
              <w:t>设计部分（元）</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投标总工期（含设计工期）</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val="zh-CN"/>
              </w:rPr>
              <w:t>工程质量标准</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保修期限</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委派的项目负责人</w:t>
            </w:r>
          </w:p>
        </w:tc>
        <w:tc>
          <w:tcPr>
            <w:tcW w:w="2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43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委派的安全员</w:t>
            </w:r>
          </w:p>
        </w:tc>
        <w:tc>
          <w:tcPr>
            <w:tcW w:w="2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43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委派的设计负责人</w:t>
            </w:r>
          </w:p>
        </w:tc>
        <w:tc>
          <w:tcPr>
            <w:tcW w:w="2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43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投标有效期</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rPr>
              <w:t>法定代表人或其委托代理人（签字或盖章）</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投标单位（盖章）</w:t>
            </w:r>
          </w:p>
        </w:tc>
        <w:tc>
          <w:tcPr>
            <w:tcW w:w="6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auto"/>
                <w:szCs w:val="21"/>
                <w:highlight w:val="none"/>
              </w:rPr>
            </w:pPr>
          </w:p>
        </w:tc>
      </w:tr>
    </w:tbl>
    <w:p>
      <w:pPr>
        <w:snapToGrid w:val="0"/>
        <w:ind w:firstLine="422" w:firstLineChars="200"/>
        <w:rPr>
          <w:rFonts w:ascii="宋体" w:hAnsi="宋体"/>
          <w:b/>
          <w:color w:val="auto"/>
          <w:szCs w:val="21"/>
          <w:highlight w:val="none"/>
        </w:rPr>
      </w:pPr>
      <w:r>
        <w:rPr>
          <w:rFonts w:hint="eastAsia" w:ascii="宋体" w:hAnsi="宋体"/>
          <w:b/>
          <w:color w:val="auto"/>
          <w:szCs w:val="21"/>
          <w:highlight w:val="none"/>
        </w:rPr>
        <w:t>注：1.联合体投标的，“投标单位”一栏需书写所有联合体成员的单位全称，并由联合体主办方按要求签字或盖章，联合体其他成员可不签字或盖章。</w:t>
      </w:r>
    </w:p>
    <w:p>
      <w:pPr>
        <w:snapToGrid w:val="0"/>
        <w:ind w:firstLine="422" w:firstLineChars="200"/>
        <w:rPr>
          <w:rFonts w:ascii="宋体" w:hAnsi="宋体"/>
          <w:b/>
          <w:color w:val="auto"/>
          <w:szCs w:val="21"/>
          <w:highlight w:val="none"/>
        </w:rPr>
      </w:pPr>
      <w:r>
        <w:rPr>
          <w:rFonts w:hint="eastAsia" w:ascii="宋体" w:hAnsi="宋体"/>
          <w:b/>
          <w:color w:val="auto"/>
          <w:szCs w:val="21"/>
          <w:highlight w:val="none"/>
        </w:rPr>
        <w:t>2.</w:t>
      </w:r>
      <w:r>
        <w:rPr>
          <w:rFonts w:hint="eastAsia"/>
          <w:b/>
          <w:color w:val="auto"/>
          <w:highlight w:val="none"/>
        </w:rPr>
        <w:t xml:space="preserve"> 投标总报价的大写金额和小写金额不一致的，以大写金额为准</w:t>
      </w:r>
      <w:r>
        <w:rPr>
          <w:rFonts w:hint="eastAsia" w:ascii="宋体" w:hAnsi="宋体"/>
          <w:b/>
          <w:color w:val="auto"/>
          <w:szCs w:val="21"/>
          <w:highlight w:val="none"/>
        </w:rPr>
        <w:t>。</w:t>
      </w:r>
    </w:p>
    <w:p>
      <w:pPr>
        <w:spacing w:line="360" w:lineRule="auto"/>
        <w:ind w:firstLine="241" w:firstLineChars="100"/>
        <w:rPr>
          <w:rFonts w:ascii="宋体" w:hAnsi="宋体" w:cs="宋体"/>
          <w:b/>
          <w:color w:val="auto"/>
          <w:kern w:val="0"/>
          <w:sz w:val="24"/>
          <w:highlight w:val="none"/>
        </w:rPr>
      </w:pPr>
    </w:p>
    <w:p>
      <w:pPr>
        <w:spacing w:line="360" w:lineRule="auto"/>
        <w:jc w:val="left"/>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3</w:t>
      </w:r>
      <w:r>
        <w:rPr>
          <w:rFonts w:hint="eastAsia" w:ascii="宋体" w:hAnsi="宋体" w:cs="宋体"/>
          <w:b/>
          <w:color w:val="auto"/>
          <w:kern w:val="1"/>
          <w:sz w:val="24"/>
          <w:highlight w:val="none"/>
          <w:lang w:val="zh-CN"/>
        </w:rPr>
        <w:t>：</w:t>
      </w:r>
    </w:p>
    <w:p>
      <w:pPr>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投标人基本情况表</w:t>
      </w:r>
    </w:p>
    <w:tbl>
      <w:tblPr>
        <w:tblStyle w:val="37"/>
        <w:tblW w:w="0" w:type="auto"/>
        <w:jc w:val="center"/>
        <w:tblLayout w:type="fixed"/>
        <w:tblCellMar>
          <w:top w:w="0" w:type="dxa"/>
          <w:left w:w="0" w:type="dxa"/>
          <w:bottom w:w="0" w:type="dxa"/>
          <w:right w:w="0" w:type="dxa"/>
        </w:tblCellMar>
      </w:tblPr>
      <w:tblGrid>
        <w:gridCol w:w="1885"/>
        <w:gridCol w:w="1102"/>
        <w:gridCol w:w="1214"/>
        <w:gridCol w:w="840"/>
        <w:gridCol w:w="425"/>
        <w:gridCol w:w="212"/>
        <w:gridCol w:w="1265"/>
        <w:gridCol w:w="204"/>
        <w:gridCol w:w="840"/>
        <w:gridCol w:w="1232"/>
      </w:tblGrid>
      <w:tr>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投标人名称</w:t>
            </w:r>
          </w:p>
        </w:tc>
        <w:tc>
          <w:tcPr>
            <w:tcW w:w="7334" w:type="dxa"/>
            <w:gridSpan w:val="9"/>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注册地址</w:t>
            </w:r>
          </w:p>
        </w:tc>
        <w:tc>
          <w:tcPr>
            <w:tcW w:w="3793" w:type="dxa"/>
            <w:gridSpan w:val="5"/>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邮政编码</w:t>
            </w:r>
          </w:p>
        </w:tc>
        <w:tc>
          <w:tcPr>
            <w:tcW w:w="2276"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r>
      <w:tr>
        <w:tblPrEx>
          <w:tblCellMar>
            <w:top w:w="0" w:type="dxa"/>
            <w:left w:w="0" w:type="dxa"/>
            <w:bottom w:w="0" w:type="dxa"/>
            <w:right w:w="0" w:type="dxa"/>
          </w:tblCellMar>
        </w:tblPrEx>
        <w:trPr>
          <w:cantSplit/>
          <w:trHeight w:val="540" w:hRule="exact"/>
          <w:jc w:val="center"/>
        </w:trPr>
        <w:tc>
          <w:tcPr>
            <w:tcW w:w="1885" w:type="dxa"/>
            <w:vMerge w:val="restart"/>
            <w:tcBorders>
              <w:top w:val="single" w:color="auto" w:sz="8" w:space="0"/>
              <w:left w:val="single" w:color="auto" w:sz="8" w:space="0"/>
              <w:bottom w:val="nil"/>
              <w:right w:val="single" w:color="auto" w:sz="8" w:space="0"/>
            </w:tcBorders>
            <w:vAlign w:val="center"/>
          </w:tcPr>
          <w:p>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1102"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联系人</w:t>
            </w:r>
          </w:p>
        </w:tc>
        <w:tc>
          <w:tcPr>
            <w:tcW w:w="2691"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电话</w:t>
            </w:r>
          </w:p>
        </w:tc>
        <w:tc>
          <w:tcPr>
            <w:tcW w:w="2276"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r>
      <w:tr>
        <w:tblPrEx>
          <w:tblCellMar>
            <w:top w:w="0" w:type="dxa"/>
            <w:left w:w="0" w:type="dxa"/>
            <w:bottom w:w="0" w:type="dxa"/>
            <w:right w:w="0" w:type="dxa"/>
          </w:tblCellMar>
        </w:tblPrEx>
        <w:trPr>
          <w:cantSplit/>
          <w:trHeight w:val="520" w:hRule="exact"/>
          <w:jc w:val="center"/>
        </w:trPr>
        <w:tc>
          <w:tcPr>
            <w:tcW w:w="1885" w:type="dxa"/>
            <w:vMerge w:val="continue"/>
            <w:tcBorders>
              <w:top w:val="nil"/>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kern w:val="0"/>
                <w:szCs w:val="21"/>
                <w:highlight w:val="none"/>
              </w:rPr>
            </w:pPr>
          </w:p>
        </w:tc>
        <w:tc>
          <w:tcPr>
            <w:tcW w:w="1102"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传真</w:t>
            </w:r>
          </w:p>
        </w:tc>
        <w:tc>
          <w:tcPr>
            <w:tcW w:w="2691"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电子邮件</w:t>
            </w:r>
          </w:p>
        </w:tc>
        <w:tc>
          <w:tcPr>
            <w:tcW w:w="2276"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法定代表人</w:t>
            </w:r>
          </w:p>
        </w:tc>
        <w:tc>
          <w:tcPr>
            <w:tcW w:w="1102"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姓名</w:t>
            </w:r>
          </w:p>
        </w:tc>
        <w:tc>
          <w:tcPr>
            <w:tcW w:w="1214"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1265"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技术职称</w:t>
            </w:r>
          </w:p>
        </w:tc>
        <w:tc>
          <w:tcPr>
            <w:tcW w:w="1681"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840"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电话</w:t>
            </w:r>
          </w:p>
        </w:tc>
        <w:tc>
          <w:tcPr>
            <w:tcW w:w="1232"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技术负责人</w:t>
            </w:r>
          </w:p>
        </w:tc>
        <w:tc>
          <w:tcPr>
            <w:tcW w:w="1102"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姓名</w:t>
            </w:r>
          </w:p>
        </w:tc>
        <w:tc>
          <w:tcPr>
            <w:tcW w:w="1214"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1265"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技术职称</w:t>
            </w:r>
          </w:p>
        </w:tc>
        <w:tc>
          <w:tcPr>
            <w:tcW w:w="1681"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840"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电话</w:t>
            </w:r>
          </w:p>
        </w:tc>
        <w:tc>
          <w:tcPr>
            <w:tcW w:w="1232"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4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成立时间</w:t>
            </w:r>
          </w:p>
        </w:tc>
        <w:tc>
          <w:tcPr>
            <w:tcW w:w="231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5018" w:type="dxa"/>
            <w:gridSpan w:val="7"/>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员工总人数：</w:t>
            </w:r>
          </w:p>
        </w:tc>
      </w:tr>
      <w:tr>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企业资质等级</w:t>
            </w:r>
          </w:p>
        </w:tc>
        <w:tc>
          <w:tcPr>
            <w:tcW w:w="231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840" w:type="dxa"/>
            <w:vMerge w:val="restart"/>
            <w:tcBorders>
              <w:top w:val="single" w:color="auto" w:sz="8" w:space="0"/>
              <w:left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其中</w:t>
            </w:r>
          </w:p>
        </w:tc>
        <w:tc>
          <w:tcPr>
            <w:tcW w:w="2106"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项目经理</w:t>
            </w:r>
          </w:p>
        </w:tc>
        <w:tc>
          <w:tcPr>
            <w:tcW w:w="207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r>
      <w:tr>
        <w:tblPrEx>
          <w:tblCellMar>
            <w:top w:w="0" w:type="dxa"/>
            <w:left w:w="0" w:type="dxa"/>
            <w:bottom w:w="0" w:type="dxa"/>
            <w:right w:w="0" w:type="dxa"/>
          </w:tblCellMar>
        </w:tblPrEx>
        <w:trPr>
          <w:cantSplit/>
          <w:trHeight w:val="54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营业执照号</w:t>
            </w:r>
          </w:p>
        </w:tc>
        <w:tc>
          <w:tcPr>
            <w:tcW w:w="231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840" w:type="dxa"/>
            <w:vMerge w:val="continue"/>
            <w:tcBorders>
              <w:left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高级职称人员</w:t>
            </w:r>
          </w:p>
        </w:tc>
        <w:tc>
          <w:tcPr>
            <w:tcW w:w="207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注册资金</w:t>
            </w:r>
          </w:p>
        </w:tc>
        <w:tc>
          <w:tcPr>
            <w:tcW w:w="231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840" w:type="dxa"/>
            <w:vMerge w:val="continue"/>
            <w:tcBorders>
              <w:left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中级职称人员</w:t>
            </w:r>
          </w:p>
        </w:tc>
        <w:tc>
          <w:tcPr>
            <w:tcW w:w="207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r>
      <w:tr>
        <w:tblPrEx>
          <w:tblCellMar>
            <w:top w:w="0" w:type="dxa"/>
            <w:left w:w="0" w:type="dxa"/>
            <w:bottom w:w="0" w:type="dxa"/>
            <w:right w:w="0" w:type="dxa"/>
          </w:tblCellMar>
        </w:tblPrEx>
        <w:trPr>
          <w:cantSplit/>
          <w:trHeight w:val="782"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基本账户开户银行</w:t>
            </w:r>
          </w:p>
        </w:tc>
        <w:tc>
          <w:tcPr>
            <w:tcW w:w="231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840" w:type="dxa"/>
            <w:vMerge w:val="continue"/>
            <w:tcBorders>
              <w:left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初级职称人员</w:t>
            </w:r>
          </w:p>
        </w:tc>
        <w:tc>
          <w:tcPr>
            <w:tcW w:w="207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r>
      <w:tr>
        <w:tblPrEx>
          <w:tblCellMar>
            <w:top w:w="0" w:type="dxa"/>
            <w:left w:w="0" w:type="dxa"/>
            <w:bottom w:w="0" w:type="dxa"/>
            <w:right w:w="0" w:type="dxa"/>
          </w:tblCellMar>
        </w:tblPrEx>
        <w:trPr>
          <w:cantSplit/>
          <w:trHeight w:val="71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基本账户账号</w:t>
            </w:r>
          </w:p>
        </w:tc>
        <w:tc>
          <w:tcPr>
            <w:tcW w:w="231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840" w:type="dxa"/>
            <w:vMerge w:val="continue"/>
            <w:tcBorders>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技工</w:t>
            </w:r>
          </w:p>
        </w:tc>
        <w:tc>
          <w:tcPr>
            <w:tcW w:w="207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r>
      <w:tr>
        <w:tblPrEx>
          <w:tblCellMar>
            <w:top w:w="0" w:type="dxa"/>
            <w:left w:w="0" w:type="dxa"/>
            <w:bottom w:w="0" w:type="dxa"/>
            <w:right w:w="0" w:type="dxa"/>
          </w:tblCellMar>
        </w:tblPrEx>
        <w:trPr>
          <w:trHeight w:val="1676"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经营范围</w:t>
            </w:r>
          </w:p>
        </w:tc>
        <w:tc>
          <w:tcPr>
            <w:tcW w:w="7334" w:type="dxa"/>
            <w:gridSpan w:val="9"/>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r>
      <w:tr>
        <w:tblPrEx>
          <w:tblCellMar>
            <w:top w:w="0" w:type="dxa"/>
            <w:left w:w="0" w:type="dxa"/>
            <w:bottom w:w="0" w:type="dxa"/>
            <w:right w:w="0" w:type="dxa"/>
          </w:tblCellMar>
        </w:tblPrEx>
        <w:trPr>
          <w:trHeight w:val="1421"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企业简介</w:t>
            </w:r>
          </w:p>
        </w:tc>
        <w:tc>
          <w:tcPr>
            <w:tcW w:w="7334" w:type="dxa"/>
            <w:gridSpan w:val="9"/>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（本项内容可另附页）</w:t>
            </w:r>
          </w:p>
        </w:tc>
      </w:tr>
      <w:tr>
        <w:tblPrEx>
          <w:tblCellMar>
            <w:top w:w="0" w:type="dxa"/>
            <w:left w:w="0" w:type="dxa"/>
            <w:bottom w:w="0" w:type="dxa"/>
            <w:right w:w="0" w:type="dxa"/>
          </w:tblCellMar>
        </w:tblPrEx>
        <w:trPr>
          <w:trHeight w:val="1084"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备注</w:t>
            </w:r>
          </w:p>
        </w:tc>
        <w:tc>
          <w:tcPr>
            <w:tcW w:w="7334" w:type="dxa"/>
            <w:gridSpan w:val="9"/>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auto"/>
                <w:szCs w:val="21"/>
                <w:highlight w:val="none"/>
              </w:rPr>
            </w:pPr>
          </w:p>
        </w:tc>
      </w:tr>
    </w:tbl>
    <w:p>
      <w:pPr>
        <w:pStyle w:val="35"/>
        <w:spacing w:line="360" w:lineRule="auto"/>
        <w:ind w:left="-2" w:leftChars="-1" w:firstLine="422" w:firstLineChars="175"/>
        <w:jc w:val="left"/>
        <w:rPr>
          <w:rFonts w:ascii="宋体" w:hAnsi="宋体" w:cs="宋体"/>
          <w:b/>
          <w:color w:val="auto"/>
          <w:sz w:val="24"/>
          <w:highlight w:val="none"/>
        </w:rPr>
      </w:pPr>
    </w:p>
    <w:p>
      <w:pPr>
        <w:pStyle w:val="35"/>
        <w:spacing w:line="360" w:lineRule="auto"/>
        <w:ind w:left="-2" w:leftChars="-1" w:firstLine="422" w:firstLineChars="175"/>
        <w:jc w:val="left"/>
        <w:rPr>
          <w:rFonts w:ascii="宋体" w:hAnsi="宋体" w:cs="宋体"/>
          <w:b/>
          <w:color w:val="auto"/>
          <w:sz w:val="24"/>
          <w:highlight w:val="none"/>
        </w:rPr>
      </w:pPr>
      <w:r>
        <w:rPr>
          <w:rFonts w:hint="eastAsia" w:ascii="宋体" w:hAnsi="宋体" w:cs="宋体"/>
          <w:b/>
          <w:color w:val="auto"/>
          <w:sz w:val="24"/>
          <w:highlight w:val="none"/>
        </w:rPr>
        <w:t>注：由联合体主办方提供。</w:t>
      </w:r>
    </w:p>
    <w:p>
      <w:pPr>
        <w:rPr>
          <w:rFonts w:ascii="宋体" w:hAnsi="宋体" w:cs="宋体"/>
          <w:color w:val="auto"/>
          <w:highlight w:val="none"/>
        </w:rPr>
      </w:pP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4：</w:t>
      </w:r>
    </w:p>
    <w:p>
      <w:pPr>
        <w:spacing w:line="540" w:lineRule="exact"/>
        <w:jc w:val="center"/>
        <w:rPr>
          <w:rFonts w:ascii="宋体" w:hAnsi="宋体" w:cs="宋体"/>
          <w:color w:val="auto"/>
          <w:highlight w:val="none"/>
        </w:rPr>
      </w:pPr>
      <w:r>
        <w:rPr>
          <w:rFonts w:hint="eastAsia" w:ascii="宋体" w:hAnsi="宋体" w:cs="宋体"/>
          <w:b/>
          <w:color w:val="auto"/>
          <w:sz w:val="28"/>
          <w:szCs w:val="28"/>
          <w:highlight w:val="none"/>
        </w:rPr>
        <w:t>投标承诺函</w:t>
      </w:r>
    </w:p>
    <w:p>
      <w:pPr>
        <w:spacing w:line="440" w:lineRule="exact"/>
        <w:rPr>
          <w:rFonts w:ascii="宋体" w:hAnsi="宋体" w:cs="宋体"/>
          <w:color w:val="auto"/>
          <w:sz w:val="20"/>
          <w:szCs w:val="20"/>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1．我方已仔细研究了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招标文件的全部内容，愿意以《投标书》中承诺的投标报价和工期，按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我方已充分阅读了本项目招标文件并充分了解有关报价方式及变更、结算方式，我方完全响应招标文件的规定。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3．我方承诺投标文件中的一切资料、数据是真实的，并承担由此引起的一切责任。</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4．我方承诺在招标文件规定的投标有效期内不修改、撤销投标文件。</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5．随同本投标函提交投标保证金一份，我方对招标文件中不予退还投标保证金的情形无异议。</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6．我方如果中标，我方保证：</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（4）保证尽一切力量确保投标承诺的竣工日期，若我方未能按投标承诺的工期完成本项目，除承担合同约定的违约责任外，发包人有权解除合同，我方承担由于违约解除合同退场造成的对发包人的一切损失。</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（5）保证所投入本项目的主要材料、设备质量符合或优于招标文件要求，所投入本项目的辅助设备、材料与主主要材料、设备质量一致并有良好的配套性。</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（6）保证按照招标文件的要求确保安全生产及文明施工，如有违反，我方愿意按合同约定承担违约责任，并为此负相关的法律责任。</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（7）保证按国家的有关规定制订保证民工工资支付的方案及保证措施，否则，我方愿按合同条款规定承担违约责任并赔偿发包人的全部损失。</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（8）保证按施工期间做好安全文明和交通保证措施，施工区全封闭围挡，根据工程进度计划分段施工分期围挡。最大限度满足交通和市民出行方便，施工行为做到便民，不扰民。</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（9）保证按发包方工期要求编制施工进度计划，计划内用全面详实，根据项目特点合理组织分段施工，分段逐步移交。</w:t>
      </w:r>
    </w:p>
    <w:p>
      <w:pPr>
        <w:spacing w:line="440" w:lineRule="exact"/>
        <w:ind w:firstLine="420" w:firstLineChars="200"/>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p>
    <w:p>
      <w:pPr>
        <w:spacing w:line="440" w:lineRule="exact"/>
        <w:ind w:firstLine="4725" w:firstLineChars="2250"/>
        <w:rPr>
          <w:rFonts w:ascii="宋体" w:hAnsi="宋体" w:cs="宋体"/>
          <w:color w:val="auto"/>
          <w:szCs w:val="21"/>
          <w:highlight w:val="none"/>
        </w:rPr>
      </w:pPr>
    </w:p>
    <w:p>
      <w:pPr>
        <w:spacing w:line="440" w:lineRule="exact"/>
        <w:ind w:right="1260" w:firstLine="420" w:firstLineChars="200"/>
        <w:jc w:val="right"/>
        <w:rPr>
          <w:rFonts w:ascii="宋体" w:hAnsi="宋体" w:cs="宋体"/>
          <w:color w:val="auto"/>
          <w:szCs w:val="21"/>
          <w:highlight w:val="none"/>
        </w:rPr>
      </w:pPr>
      <w:r>
        <w:rPr>
          <w:rFonts w:hint="eastAsia" w:ascii="宋体" w:hAnsi="宋体" w:cs="宋体"/>
          <w:color w:val="auto"/>
          <w:szCs w:val="21"/>
          <w:highlight w:val="none"/>
        </w:rPr>
        <w:t>投标人名称（盖章）：</w:t>
      </w:r>
    </w:p>
    <w:p>
      <w:pPr>
        <w:spacing w:line="440" w:lineRule="exact"/>
        <w:ind w:firstLine="5880" w:firstLineChars="28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ind w:firstLine="4725" w:firstLineChars="2250"/>
        <w:rPr>
          <w:rFonts w:ascii="宋体" w:hAnsi="宋体" w:cs="宋体"/>
          <w:color w:val="auto"/>
          <w:szCs w:val="21"/>
          <w:highlight w:val="none"/>
        </w:rPr>
      </w:pPr>
    </w:p>
    <w:p>
      <w:pPr>
        <w:autoSpaceDE w:val="0"/>
        <w:autoSpaceDN w:val="0"/>
        <w:adjustRightInd w:val="0"/>
        <w:spacing w:line="360" w:lineRule="auto"/>
        <w:jc w:val="left"/>
        <w:rPr>
          <w:rFonts w:ascii="宋体" w:cs="宋体"/>
          <w:b/>
          <w:color w:val="auto"/>
          <w:spacing w:val="20"/>
          <w:kern w:val="1"/>
          <w:highlight w:val="none"/>
        </w:rPr>
      </w:pPr>
      <w:r>
        <w:rPr>
          <w:rFonts w:hint="eastAsia" w:ascii="宋体" w:cs="宋体"/>
          <w:color w:val="auto"/>
          <w:sz w:val="20"/>
          <w:szCs w:val="20"/>
          <w:highlight w:val="none"/>
        </w:rPr>
        <w:br w:type="page"/>
      </w:r>
      <w:r>
        <w:rPr>
          <w:rFonts w:hint="eastAsia" w:ascii="宋体" w:hAnsi="宋体" w:cs="宋体"/>
          <w:b/>
          <w:color w:val="auto"/>
          <w:kern w:val="1"/>
          <w:sz w:val="24"/>
          <w:highlight w:val="none"/>
          <w:lang w:val="zh-CN"/>
        </w:rPr>
        <w:t>格式5</w:t>
      </w:r>
    </w:p>
    <w:p>
      <w:pPr>
        <w:spacing w:line="480" w:lineRule="auto"/>
        <w:jc w:val="center"/>
        <w:rPr>
          <w:rFonts w:ascii="宋体" w:hAnsi="宋体" w:cs="宋体"/>
          <w:b/>
          <w:color w:val="auto"/>
          <w:kern w:val="1"/>
          <w:sz w:val="28"/>
          <w:szCs w:val="28"/>
          <w:highlight w:val="none"/>
        </w:rPr>
      </w:pPr>
      <w:r>
        <w:rPr>
          <w:rFonts w:hint="eastAsia" w:ascii="宋体" w:hAnsi="宋体" w:cs="宋体"/>
          <w:b/>
          <w:color w:val="auto"/>
          <w:kern w:val="1"/>
          <w:sz w:val="28"/>
          <w:szCs w:val="28"/>
          <w:highlight w:val="none"/>
          <w:lang w:val="zh-CN"/>
        </w:rPr>
        <w:t>企业类似工程业绩信息表</w:t>
      </w:r>
    </w:p>
    <w:tbl>
      <w:tblPr>
        <w:tblStyle w:val="37"/>
        <w:tblW w:w="4998" w:type="pct"/>
        <w:tblInd w:w="0" w:type="dxa"/>
        <w:tblLayout w:type="autofit"/>
        <w:tblCellMar>
          <w:top w:w="0" w:type="dxa"/>
          <w:left w:w="108" w:type="dxa"/>
          <w:bottom w:w="0" w:type="dxa"/>
          <w:right w:w="108" w:type="dxa"/>
        </w:tblCellMar>
      </w:tblPr>
      <w:tblGrid>
        <w:gridCol w:w="1388"/>
        <w:gridCol w:w="2392"/>
        <w:gridCol w:w="2392"/>
        <w:gridCol w:w="2392"/>
        <w:gridCol w:w="1388"/>
      </w:tblGrid>
      <w:tr>
        <w:tblPrEx>
          <w:tblCellMar>
            <w:top w:w="0" w:type="dxa"/>
            <w:left w:w="108" w:type="dxa"/>
            <w:bottom w:w="0" w:type="dxa"/>
            <w:right w:w="108" w:type="dxa"/>
          </w:tblCellMar>
        </w:tblPrEx>
        <w:trPr>
          <w:trHeight w:val="880" w:hRule="atLeast"/>
        </w:trPr>
        <w:tc>
          <w:tcPr>
            <w:tcW w:w="697"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lang w:val="zh-CN"/>
              </w:rPr>
              <w:t>序号</w:t>
            </w: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rPr>
              <w:t>项目编号</w:t>
            </w: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lang w:val="zh-CN"/>
              </w:rPr>
              <w:t>工程名称</w:t>
            </w: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rPr>
              <w:t>造价</w:t>
            </w:r>
          </w:p>
          <w:p>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lang w:val="zh-CN"/>
              </w:rPr>
              <w:t>（万元）</w:t>
            </w:r>
          </w:p>
        </w:tc>
        <w:tc>
          <w:tcPr>
            <w:tcW w:w="697"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lang w:val="zh-CN"/>
              </w:rPr>
              <w:t>备注</w:t>
            </w:r>
          </w:p>
        </w:tc>
      </w:tr>
      <w:tr>
        <w:tblPrEx>
          <w:tblCellMar>
            <w:top w:w="0" w:type="dxa"/>
            <w:left w:w="108" w:type="dxa"/>
            <w:bottom w:w="0" w:type="dxa"/>
            <w:right w:w="108" w:type="dxa"/>
          </w:tblCellMar>
        </w:tblPrEx>
        <w:trPr>
          <w:trHeight w:val="880" w:hRule="atLeast"/>
        </w:trPr>
        <w:tc>
          <w:tcPr>
            <w:tcW w:w="697"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697"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880" w:hRule="atLeast"/>
        </w:trPr>
        <w:tc>
          <w:tcPr>
            <w:tcW w:w="697"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697"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880" w:hRule="atLeast"/>
        </w:trPr>
        <w:tc>
          <w:tcPr>
            <w:tcW w:w="697"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697"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880" w:hRule="atLeast"/>
        </w:trPr>
        <w:tc>
          <w:tcPr>
            <w:tcW w:w="697"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697"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r>
    </w:tbl>
    <w:p>
      <w:pPr>
        <w:pStyle w:val="36"/>
        <w:rPr>
          <w:color w:val="auto"/>
          <w:highlight w:val="none"/>
          <w:lang w:val="zh-CN"/>
        </w:rPr>
      </w:pPr>
    </w:p>
    <w:p>
      <w:pPr>
        <w:spacing w:line="440" w:lineRule="exact"/>
        <w:ind w:right="1260" w:firstLine="420" w:firstLineChars="200"/>
        <w:jc w:val="right"/>
        <w:rPr>
          <w:rFonts w:ascii="宋体" w:hAnsi="宋体" w:cs="宋体"/>
          <w:color w:val="auto"/>
          <w:szCs w:val="21"/>
          <w:highlight w:val="none"/>
        </w:rPr>
      </w:pPr>
      <w:r>
        <w:rPr>
          <w:rFonts w:hint="eastAsia" w:ascii="宋体" w:hAnsi="宋体" w:cs="宋体"/>
          <w:color w:val="auto"/>
          <w:szCs w:val="21"/>
          <w:highlight w:val="none"/>
        </w:rPr>
        <w:t>投标人名称：</w:t>
      </w:r>
    </w:p>
    <w:p>
      <w:pPr>
        <w:spacing w:line="440" w:lineRule="exact"/>
        <w:ind w:firstLine="5880" w:firstLineChars="28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360" w:lineRule="auto"/>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br w:type="page"/>
      </w: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6</w:t>
      </w:r>
    </w:p>
    <w:p>
      <w:pPr>
        <w:spacing w:line="360" w:lineRule="auto"/>
        <w:jc w:val="center"/>
        <w:rPr>
          <w:rFonts w:ascii="宋体" w:hAnsi="宋体" w:cs="宋体"/>
          <w:color w:val="auto"/>
          <w:kern w:val="1"/>
          <w:sz w:val="28"/>
          <w:szCs w:val="28"/>
          <w:highlight w:val="none"/>
        </w:rPr>
      </w:pPr>
      <w:r>
        <w:rPr>
          <w:rFonts w:hint="eastAsia" w:ascii="宋体" w:hAnsi="宋体" w:cs="宋体"/>
          <w:b/>
          <w:bCs/>
          <w:color w:val="auto"/>
          <w:kern w:val="1"/>
          <w:sz w:val="28"/>
          <w:szCs w:val="28"/>
          <w:highlight w:val="none"/>
          <w:lang w:val="zh-CN"/>
        </w:rPr>
        <w:t>企业获奖情况业绩信息表</w:t>
      </w:r>
    </w:p>
    <w:tbl>
      <w:tblPr>
        <w:tblStyle w:val="37"/>
        <w:tblW w:w="4998" w:type="pct"/>
        <w:tblInd w:w="0" w:type="dxa"/>
        <w:tblLayout w:type="autofit"/>
        <w:tblCellMar>
          <w:top w:w="0" w:type="dxa"/>
          <w:left w:w="108" w:type="dxa"/>
          <w:bottom w:w="0" w:type="dxa"/>
          <w:right w:w="108" w:type="dxa"/>
        </w:tblCellMar>
      </w:tblPr>
      <w:tblGrid>
        <w:gridCol w:w="983"/>
        <w:gridCol w:w="2186"/>
        <w:gridCol w:w="2320"/>
        <w:gridCol w:w="3035"/>
        <w:gridCol w:w="1428"/>
      </w:tblGrid>
      <w:tr>
        <w:tblPrEx>
          <w:tblCellMar>
            <w:top w:w="0" w:type="dxa"/>
            <w:left w:w="108" w:type="dxa"/>
            <w:bottom w:w="0" w:type="dxa"/>
            <w:right w:w="108" w:type="dxa"/>
          </w:tblCellMar>
        </w:tblPrEx>
        <w:trPr>
          <w:trHeight w:val="758" w:hRule="atLeast"/>
        </w:trPr>
        <w:tc>
          <w:tcPr>
            <w:tcW w:w="494"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lang w:val="zh-CN"/>
              </w:rPr>
              <w:t>序号</w:t>
            </w:r>
          </w:p>
        </w:tc>
        <w:tc>
          <w:tcPr>
            <w:tcW w:w="1098"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rPr>
              <w:t>项目编号</w:t>
            </w:r>
          </w:p>
        </w:tc>
        <w:tc>
          <w:tcPr>
            <w:tcW w:w="1165"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lang w:val="zh-CN"/>
              </w:rPr>
              <w:t>工程名称</w:t>
            </w:r>
          </w:p>
        </w:tc>
        <w:tc>
          <w:tcPr>
            <w:tcW w:w="1524"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rPr>
              <w:t>获奖情况</w:t>
            </w:r>
          </w:p>
        </w:tc>
        <w:tc>
          <w:tcPr>
            <w:tcW w:w="717"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lang w:val="zh-CN"/>
              </w:rPr>
              <w:t>备注</w:t>
            </w:r>
          </w:p>
        </w:tc>
      </w:tr>
      <w:tr>
        <w:tblPrEx>
          <w:tblCellMar>
            <w:top w:w="0" w:type="dxa"/>
            <w:left w:w="108" w:type="dxa"/>
            <w:bottom w:w="0" w:type="dxa"/>
            <w:right w:w="108" w:type="dxa"/>
          </w:tblCellMar>
        </w:tblPrEx>
        <w:trPr>
          <w:trHeight w:val="504" w:hRule="atLeast"/>
        </w:trPr>
        <w:tc>
          <w:tcPr>
            <w:tcW w:w="494"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098"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165"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524"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717"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504" w:hRule="atLeast"/>
        </w:trPr>
        <w:tc>
          <w:tcPr>
            <w:tcW w:w="494"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098"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165"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524"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717"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504" w:hRule="atLeast"/>
        </w:trPr>
        <w:tc>
          <w:tcPr>
            <w:tcW w:w="494"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098"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165"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524"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717"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r>
      <w:tr>
        <w:tblPrEx>
          <w:tblCellMar>
            <w:top w:w="0" w:type="dxa"/>
            <w:left w:w="108" w:type="dxa"/>
            <w:bottom w:w="0" w:type="dxa"/>
            <w:right w:w="108" w:type="dxa"/>
          </w:tblCellMar>
        </w:tblPrEx>
        <w:trPr>
          <w:trHeight w:val="512" w:hRule="atLeast"/>
        </w:trPr>
        <w:tc>
          <w:tcPr>
            <w:tcW w:w="494"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098"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165"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1524"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c>
          <w:tcPr>
            <w:tcW w:w="717" w:type="pct"/>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ascii="宋体" w:hAnsi="宋体" w:cs="宋体"/>
                <w:color w:val="auto"/>
                <w:kern w:val="1"/>
                <w:sz w:val="28"/>
                <w:szCs w:val="28"/>
                <w:highlight w:val="none"/>
              </w:rPr>
            </w:pPr>
          </w:p>
        </w:tc>
      </w:tr>
    </w:tbl>
    <w:p>
      <w:pPr>
        <w:tabs>
          <w:tab w:val="left" w:pos="7655"/>
        </w:tabs>
        <w:ind w:right="492"/>
        <w:jc w:val="center"/>
        <w:rPr>
          <w:rFonts w:ascii="宋体" w:hAnsi="宋体" w:cs="宋体"/>
          <w:color w:val="auto"/>
          <w:sz w:val="18"/>
          <w:szCs w:val="18"/>
          <w:highlight w:val="none"/>
        </w:rPr>
      </w:pPr>
    </w:p>
    <w:p>
      <w:pPr>
        <w:tabs>
          <w:tab w:val="left" w:pos="7655"/>
        </w:tabs>
        <w:ind w:right="492"/>
        <w:jc w:val="center"/>
        <w:rPr>
          <w:rFonts w:ascii="宋体" w:hAnsi="宋体" w:cs="宋体"/>
          <w:dstrike/>
          <w:color w:val="auto"/>
          <w:sz w:val="18"/>
          <w:szCs w:val="18"/>
          <w:highlight w:val="none"/>
        </w:rPr>
      </w:pPr>
    </w:p>
    <w:p>
      <w:pPr>
        <w:spacing w:line="540" w:lineRule="exact"/>
        <w:rPr>
          <w:rFonts w:ascii="宋体" w:hAnsi="宋体" w:cs="宋体"/>
          <w:b/>
          <w:dstrike/>
          <w:color w:val="auto"/>
          <w:kern w:val="1"/>
          <w:sz w:val="24"/>
          <w:highlight w:val="none"/>
          <w:lang w:val="zh-CN"/>
        </w:rPr>
      </w:pPr>
    </w:p>
    <w:p>
      <w:pPr>
        <w:spacing w:line="540" w:lineRule="exact"/>
        <w:rPr>
          <w:rFonts w:ascii="宋体" w:hAnsi="宋体" w:cs="宋体"/>
          <w:b/>
          <w:color w:val="auto"/>
          <w:kern w:val="1"/>
          <w:sz w:val="24"/>
          <w:highlight w:val="none"/>
          <w:lang w:val="zh-CN"/>
        </w:rPr>
      </w:pPr>
    </w:p>
    <w:p>
      <w:pPr>
        <w:spacing w:line="440" w:lineRule="exact"/>
        <w:ind w:right="1260" w:firstLine="420" w:firstLineChars="200"/>
        <w:jc w:val="right"/>
        <w:rPr>
          <w:rFonts w:ascii="宋体" w:hAnsi="宋体" w:cs="宋体"/>
          <w:color w:val="auto"/>
          <w:szCs w:val="21"/>
          <w:highlight w:val="none"/>
        </w:rPr>
      </w:pPr>
      <w:r>
        <w:rPr>
          <w:rFonts w:hint="eastAsia" w:ascii="宋体" w:hAnsi="宋体" w:cs="宋体"/>
          <w:color w:val="auto"/>
          <w:szCs w:val="21"/>
          <w:highlight w:val="none"/>
        </w:rPr>
        <w:t>投标人名称：</w:t>
      </w:r>
    </w:p>
    <w:p>
      <w:pPr>
        <w:spacing w:line="440" w:lineRule="exact"/>
        <w:ind w:firstLine="5880" w:firstLineChars="2800"/>
        <w:rPr>
          <w:rFonts w:ascii="宋体" w:hAnsi="宋体" w:cs="宋体"/>
          <w:color w:val="auto"/>
          <w:szCs w:val="21"/>
          <w:highlight w:val="none"/>
        </w:rPr>
      </w:pPr>
      <w:r>
        <w:rPr>
          <w:rFonts w:hint="eastAsia" w:ascii="宋体" w:hAnsi="宋体" w:cs="宋体"/>
          <w:color w:val="auto"/>
          <w:szCs w:val="21"/>
          <w:highlight w:val="none"/>
        </w:rPr>
        <w:t>日期：   年  月  日</w:t>
      </w:r>
    </w:p>
    <w:p>
      <w:pPr>
        <w:pStyle w:val="36"/>
        <w:rPr>
          <w:color w:val="auto"/>
          <w:highlight w:val="none"/>
        </w:rPr>
      </w:pPr>
    </w:p>
    <w:p>
      <w:pPr>
        <w:spacing w:line="360" w:lineRule="auto"/>
        <w:jc w:val="left"/>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br w:type="page"/>
      </w: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7</w:t>
      </w:r>
      <w:r>
        <w:rPr>
          <w:rFonts w:hint="eastAsia" w:ascii="宋体" w:hAnsi="宋体" w:cs="宋体"/>
          <w:b/>
          <w:color w:val="auto"/>
          <w:kern w:val="1"/>
          <w:sz w:val="24"/>
          <w:highlight w:val="none"/>
          <w:lang w:val="zh-CN"/>
        </w:rPr>
        <w:t>：</w:t>
      </w:r>
    </w:p>
    <w:p>
      <w:pPr>
        <w:autoSpaceDE w:val="0"/>
        <w:autoSpaceDN w:val="0"/>
        <w:adjustRightInd w:val="0"/>
        <w:spacing w:line="360" w:lineRule="auto"/>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项目管理机构配备表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478"/>
        <w:gridCol w:w="992"/>
        <w:gridCol w:w="1069"/>
        <w:gridCol w:w="993"/>
        <w:gridCol w:w="1134"/>
        <w:gridCol w:w="930"/>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09"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78"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拟在本项目任职</w:t>
            </w:r>
          </w:p>
        </w:tc>
        <w:tc>
          <w:tcPr>
            <w:tcW w:w="992"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69"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993"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注册证</w:t>
            </w:r>
          </w:p>
        </w:tc>
        <w:tc>
          <w:tcPr>
            <w:tcW w:w="1134"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930"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236"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工作年限（年）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pPr>
              <w:adjustRightInd w:val="0"/>
              <w:snapToGrid w:val="0"/>
              <w:jc w:val="center"/>
              <w:rPr>
                <w:rFonts w:ascii="宋体" w:hAnsi="宋体" w:cs="宋体"/>
                <w:color w:val="auto"/>
                <w:szCs w:val="21"/>
                <w:highlight w:val="none"/>
              </w:rPr>
            </w:pPr>
          </w:p>
        </w:tc>
        <w:tc>
          <w:tcPr>
            <w:tcW w:w="1478" w:type="dxa"/>
            <w:vAlign w:val="center"/>
          </w:tcPr>
          <w:p>
            <w:pPr>
              <w:adjustRightInd w:val="0"/>
              <w:snapToGrid w:val="0"/>
              <w:jc w:val="center"/>
              <w:rPr>
                <w:rFonts w:ascii="宋体" w:hAnsi="宋体" w:cs="宋体"/>
                <w:color w:val="auto"/>
                <w:szCs w:val="21"/>
                <w:highlight w:val="none"/>
              </w:rPr>
            </w:pPr>
          </w:p>
        </w:tc>
        <w:tc>
          <w:tcPr>
            <w:tcW w:w="992" w:type="dxa"/>
            <w:vAlign w:val="center"/>
          </w:tcPr>
          <w:p>
            <w:pPr>
              <w:adjustRightInd w:val="0"/>
              <w:snapToGrid w:val="0"/>
              <w:jc w:val="center"/>
              <w:rPr>
                <w:rFonts w:ascii="宋体" w:hAnsi="宋体" w:cs="宋体"/>
                <w:color w:val="auto"/>
                <w:szCs w:val="21"/>
                <w:highlight w:val="none"/>
              </w:rPr>
            </w:pPr>
          </w:p>
        </w:tc>
        <w:tc>
          <w:tcPr>
            <w:tcW w:w="1069" w:type="dxa"/>
            <w:vAlign w:val="center"/>
          </w:tcPr>
          <w:p>
            <w:pPr>
              <w:adjustRightInd w:val="0"/>
              <w:snapToGrid w:val="0"/>
              <w:jc w:val="center"/>
              <w:rPr>
                <w:rFonts w:ascii="宋体" w:hAnsi="宋体" w:cs="宋体"/>
                <w:color w:val="auto"/>
                <w:szCs w:val="21"/>
                <w:highlight w:val="none"/>
              </w:rPr>
            </w:pPr>
          </w:p>
        </w:tc>
        <w:tc>
          <w:tcPr>
            <w:tcW w:w="993" w:type="dxa"/>
            <w:vAlign w:val="center"/>
          </w:tcPr>
          <w:p>
            <w:pPr>
              <w:adjustRightInd w:val="0"/>
              <w:snapToGrid w:val="0"/>
              <w:jc w:val="center"/>
              <w:rPr>
                <w:rFonts w:ascii="宋体" w:hAnsi="宋体" w:cs="宋体"/>
                <w:color w:val="auto"/>
                <w:szCs w:val="21"/>
                <w:highlight w:val="none"/>
              </w:rPr>
            </w:pPr>
          </w:p>
        </w:tc>
        <w:tc>
          <w:tcPr>
            <w:tcW w:w="1134" w:type="dxa"/>
            <w:vAlign w:val="center"/>
          </w:tcPr>
          <w:p>
            <w:pPr>
              <w:adjustRightInd w:val="0"/>
              <w:snapToGrid w:val="0"/>
              <w:jc w:val="center"/>
              <w:rPr>
                <w:rFonts w:ascii="宋体" w:hAnsi="宋体" w:cs="宋体"/>
                <w:color w:val="auto"/>
                <w:szCs w:val="21"/>
                <w:highlight w:val="none"/>
              </w:rPr>
            </w:pPr>
          </w:p>
        </w:tc>
        <w:tc>
          <w:tcPr>
            <w:tcW w:w="930" w:type="dxa"/>
            <w:vAlign w:val="center"/>
          </w:tcPr>
          <w:p>
            <w:pPr>
              <w:adjustRightInd w:val="0"/>
              <w:snapToGrid w:val="0"/>
              <w:jc w:val="center"/>
              <w:rPr>
                <w:rFonts w:ascii="宋体" w:hAnsi="宋体" w:cs="宋体"/>
                <w:color w:val="auto"/>
                <w:szCs w:val="21"/>
                <w:highlight w:val="none"/>
              </w:rPr>
            </w:pPr>
          </w:p>
        </w:tc>
        <w:tc>
          <w:tcPr>
            <w:tcW w:w="1236" w:type="dxa"/>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pPr>
              <w:adjustRightInd w:val="0"/>
              <w:snapToGrid w:val="0"/>
              <w:jc w:val="center"/>
              <w:rPr>
                <w:rFonts w:ascii="宋体" w:hAnsi="宋体" w:cs="宋体"/>
                <w:color w:val="auto"/>
                <w:szCs w:val="21"/>
                <w:highlight w:val="none"/>
              </w:rPr>
            </w:pPr>
          </w:p>
        </w:tc>
        <w:tc>
          <w:tcPr>
            <w:tcW w:w="1478" w:type="dxa"/>
            <w:vAlign w:val="center"/>
          </w:tcPr>
          <w:p>
            <w:pPr>
              <w:adjustRightInd w:val="0"/>
              <w:snapToGrid w:val="0"/>
              <w:jc w:val="center"/>
              <w:rPr>
                <w:rFonts w:ascii="宋体" w:hAnsi="宋体" w:cs="宋体"/>
                <w:color w:val="auto"/>
                <w:szCs w:val="21"/>
                <w:highlight w:val="none"/>
              </w:rPr>
            </w:pPr>
          </w:p>
        </w:tc>
        <w:tc>
          <w:tcPr>
            <w:tcW w:w="992" w:type="dxa"/>
            <w:vAlign w:val="center"/>
          </w:tcPr>
          <w:p>
            <w:pPr>
              <w:adjustRightInd w:val="0"/>
              <w:snapToGrid w:val="0"/>
              <w:jc w:val="center"/>
              <w:rPr>
                <w:rFonts w:ascii="宋体" w:hAnsi="宋体" w:cs="宋体"/>
                <w:color w:val="auto"/>
                <w:szCs w:val="21"/>
                <w:highlight w:val="none"/>
              </w:rPr>
            </w:pPr>
          </w:p>
        </w:tc>
        <w:tc>
          <w:tcPr>
            <w:tcW w:w="1069" w:type="dxa"/>
            <w:vAlign w:val="center"/>
          </w:tcPr>
          <w:p>
            <w:pPr>
              <w:adjustRightInd w:val="0"/>
              <w:snapToGrid w:val="0"/>
              <w:jc w:val="center"/>
              <w:rPr>
                <w:rFonts w:ascii="宋体" w:hAnsi="宋体" w:cs="宋体"/>
                <w:color w:val="auto"/>
                <w:szCs w:val="21"/>
                <w:highlight w:val="none"/>
              </w:rPr>
            </w:pPr>
          </w:p>
        </w:tc>
        <w:tc>
          <w:tcPr>
            <w:tcW w:w="993" w:type="dxa"/>
            <w:vAlign w:val="center"/>
          </w:tcPr>
          <w:p>
            <w:pPr>
              <w:adjustRightInd w:val="0"/>
              <w:snapToGrid w:val="0"/>
              <w:jc w:val="center"/>
              <w:rPr>
                <w:rFonts w:ascii="宋体" w:hAnsi="宋体" w:cs="宋体"/>
                <w:color w:val="auto"/>
                <w:szCs w:val="21"/>
                <w:highlight w:val="none"/>
              </w:rPr>
            </w:pPr>
          </w:p>
        </w:tc>
        <w:tc>
          <w:tcPr>
            <w:tcW w:w="1134" w:type="dxa"/>
            <w:vAlign w:val="center"/>
          </w:tcPr>
          <w:p>
            <w:pPr>
              <w:adjustRightInd w:val="0"/>
              <w:snapToGrid w:val="0"/>
              <w:jc w:val="center"/>
              <w:rPr>
                <w:rFonts w:ascii="宋体" w:hAnsi="宋体" w:cs="宋体"/>
                <w:color w:val="auto"/>
                <w:szCs w:val="21"/>
                <w:highlight w:val="none"/>
              </w:rPr>
            </w:pPr>
          </w:p>
        </w:tc>
        <w:tc>
          <w:tcPr>
            <w:tcW w:w="930" w:type="dxa"/>
            <w:vAlign w:val="center"/>
          </w:tcPr>
          <w:p>
            <w:pPr>
              <w:adjustRightInd w:val="0"/>
              <w:snapToGrid w:val="0"/>
              <w:jc w:val="center"/>
              <w:rPr>
                <w:rFonts w:ascii="宋体" w:hAnsi="宋体" w:cs="宋体"/>
                <w:color w:val="auto"/>
                <w:szCs w:val="21"/>
                <w:highlight w:val="none"/>
              </w:rPr>
            </w:pPr>
          </w:p>
        </w:tc>
        <w:tc>
          <w:tcPr>
            <w:tcW w:w="1236" w:type="dxa"/>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pPr>
              <w:adjustRightInd w:val="0"/>
              <w:snapToGrid w:val="0"/>
              <w:jc w:val="center"/>
              <w:rPr>
                <w:rFonts w:ascii="宋体" w:hAnsi="宋体" w:cs="宋体"/>
                <w:color w:val="auto"/>
                <w:szCs w:val="21"/>
                <w:highlight w:val="none"/>
              </w:rPr>
            </w:pPr>
          </w:p>
        </w:tc>
        <w:tc>
          <w:tcPr>
            <w:tcW w:w="1478" w:type="dxa"/>
            <w:vAlign w:val="center"/>
          </w:tcPr>
          <w:p>
            <w:pPr>
              <w:adjustRightInd w:val="0"/>
              <w:snapToGrid w:val="0"/>
              <w:jc w:val="center"/>
              <w:rPr>
                <w:rFonts w:ascii="宋体" w:hAnsi="宋体" w:cs="宋体"/>
                <w:color w:val="auto"/>
                <w:szCs w:val="21"/>
                <w:highlight w:val="none"/>
              </w:rPr>
            </w:pPr>
          </w:p>
        </w:tc>
        <w:tc>
          <w:tcPr>
            <w:tcW w:w="992" w:type="dxa"/>
            <w:vAlign w:val="center"/>
          </w:tcPr>
          <w:p>
            <w:pPr>
              <w:adjustRightInd w:val="0"/>
              <w:snapToGrid w:val="0"/>
              <w:jc w:val="center"/>
              <w:rPr>
                <w:rFonts w:ascii="宋体" w:hAnsi="宋体" w:cs="宋体"/>
                <w:color w:val="auto"/>
                <w:szCs w:val="21"/>
                <w:highlight w:val="none"/>
              </w:rPr>
            </w:pPr>
          </w:p>
        </w:tc>
        <w:tc>
          <w:tcPr>
            <w:tcW w:w="1069" w:type="dxa"/>
            <w:vAlign w:val="center"/>
          </w:tcPr>
          <w:p>
            <w:pPr>
              <w:adjustRightInd w:val="0"/>
              <w:snapToGrid w:val="0"/>
              <w:jc w:val="center"/>
              <w:rPr>
                <w:rFonts w:ascii="宋体" w:hAnsi="宋体" w:cs="宋体"/>
                <w:color w:val="auto"/>
                <w:szCs w:val="21"/>
                <w:highlight w:val="none"/>
              </w:rPr>
            </w:pPr>
          </w:p>
        </w:tc>
        <w:tc>
          <w:tcPr>
            <w:tcW w:w="993" w:type="dxa"/>
            <w:vAlign w:val="center"/>
          </w:tcPr>
          <w:p>
            <w:pPr>
              <w:adjustRightInd w:val="0"/>
              <w:snapToGrid w:val="0"/>
              <w:jc w:val="center"/>
              <w:rPr>
                <w:rFonts w:ascii="宋体" w:hAnsi="宋体" w:cs="宋体"/>
                <w:color w:val="auto"/>
                <w:szCs w:val="21"/>
                <w:highlight w:val="none"/>
              </w:rPr>
            </w:pPr>
          </w:p>
        </w:tc>
        <w:tc>
          <w:tcPr>
            <w:tcW w:w="1134" w:type="dxa"/>
            <w:vAlign w:val="center"/>
          </w:tcPr>
          <w:p>
            <w:pPr>
              <w:adjustRightInd w:val="0"/>
              <w:snapToGrid w:val="0"/>
              <w:jc w:val="center"/>
              <w:rPr>
                <w:rFonts w:ascii="宋体" w:hAnsi="宋体" w:cs="宋体"/>
                <w:color w:val="auto"/>
                <w:szCs w:val="21"/>
                <w:highlight w:val="none"/>
              </w:rPr>
            </w:pPr>
          </w:p>
        </w:tc>
        <w:tc>
          <w:tcPr>
            <w:tcW w:w="930" w:type="dxa"/>
            <w:vAlign w:val="center"/>
          </w:tcPr>
          <w:p>
            <w:pPr>
              <w:adjustRightInd w:val="0"/>
              <w:snapToGrid w:val="0"/>
              <w:jc w:val="center"/>
              <w:rPr>
                <w:rFonts w:ascii="宋体" w:hAnsi="宋体" w:cs="宋体"/>
                <w:color w:val="auto"/>
                <w:szCs w:val="21"/>
                <w:highlight w:val="none"/>
              </w:rPr>
            </w:pPr>
          </w:p>
        </w:tc>
        <w:tc>
          <w:tcPr>
            <w:tcW w:w="1236" w:type="dxa"/>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pPr>
              <w:adjustRightInd w:val="0"/>
              <w:snapToGrid w:val="0"/>
              <w:jc w:val="center"/>
              <w:rPr>
                <w:rFonts w:ascii="宋体" w:hAnsi="宋体" w:cs="宋体"/>
                <w:color w:val="auto"/>
                <w:szCs w:val="21"/>
                <w:highlight w:val="none"/>
              </w:rPr>
            </w:pPr>
          </w:p>
        </w:tc>
        <w:tc>
          <w:tcPr>
            <w:tcW w:w="1478" w:type="dxa"/>
            <w:vAlign w:val="center"/>
          </w:tcPr>
          <w:p>
            <w:pPr>
              <w:adjustRightInd w:val="0"/>
              <w:snapToGrid w:val="0"/>
              <w:jc w:val="center"/>
              <w:rPr>
                <w:rFonts w:ascii="宋体" w:hAnsi="宋体" w:cs="宋体"/>
                <w:color w:val="auto"/>
                <w:szCs w:val="21"/>
                <w:highlight w:val="none"/>
              </w:rPr>
            </w:pPr>
          </w:p>
        </w:tc>
        <w:tc>
          <w:tcPr>
            <w:tcW w:w="992" w:type="dxa"/>
            <w:vAlign w:val="center"/>
          </w:tcPr>
          <w:p>
            <w:pPr>
              <w:adjustRightInd w:val="0"/>
              <w:snapToGrid w:val="0"/>
              <w:jc w:val="center"/>
              <w:rPr>
                <w:rFonts w:ascii="宋体" w:hAnsi="宋体" w:cs="宋体"/>
                <w:color w:val="auto"/>
                <w:szCs w:val="21"/>
                <w:highlight w:val="none"/>
              </w:rPr>
            </w:pPr>
          </w:p>
        </w:tc>
        <w:tc>
          <w:tcPr>
            <w:tcW w:w="1069" w:type="dxa"/>
            <w:vAlign w:val="center"/>
          </w:tcPr>
          <w:p>
            <w:pPr>
              <w:adjustRightInd w:val="0"/>
              <w:snapToGrid w:val="0"/>
              <w:jc w:val="center"/>
              <w:rPr>
                <w:rFonts w:ascii="宋体" w:hAnsi="宋体" w:cs="宋体"/>
                <w:color w:val="auto"/>
                <w:szCs w:val="21"/>
                <w:highlight w:val="none"/>
              </w:rPr>
            </w:pPr>
          </w:p>
        </w:tc>
        <w:tc>
          <w:tcPr>
            <w:tcW w:w="993" w:type="dxa"/>
            <w:vAlign w:val="center"/>
          </w:tcPr>
          <w:p>
            <w:pPr>
              <w:adjustRightInd w:val="0"/>
              <w:snapToGrid w:val="0"/>
              <w:jc w:val="center"/>
              <w:rPr>
                <w:rFonts w:ascii="宋体" w:hAnsi="宋体" w:cs="宋体"/>
                <w:color w:val="auto"/>
                <w:szCs w:val="21"/>
                <w:highlight w:val="none"/>
              </w:rPr>
            </w:pPr>
          </w:p>
        </w:tc>
        <w:tc>
          <w:tcPr>
            <w:tcW w:w="1134" w:type="dxa"/>
            <w:vAlign w:val="center"/>
          </w:tcPr>
          <w:p>
            <w:pPr>
              <w:adjustRightInd w:val="0"/>
              <w:snapToGrid w:val="0"/>
              <w:jc w:val="center"/>
              <w:rPr>
                <w:rFonts w:ascii="宋体" w:hAnsi="宋体" w:cs="宋体"/>
                <w:color w:val="auto"/>
                <w:szCs w:val="21"/>
                <w:highlight w:val="none"/>
              </w:rPr>
            </w:pPr>
          </w:p>
        </w:tc>
        <w:tc>
          <w:tcPr>
            <w:tcW w:w="930" w:type="dxa"/>
            <w:vAlign w:val="center"/>
          </w:tcPr>
          <w:p>
            <w:pPr>
              <w:adjustRightInd w:val="0"/>
              <w:snapToGrid w:val="0"/>
              <w:jc w:val="center"/>
              <w:rPr>
                <w:rFonts w:ascii="宋体" w:hAnsi="宋体" w:cs="宋体"/>
                <w:color w:val="auto"/>
                <w:szCs w:val="21"/>
                <w:highlight w:val="none"/>
              </w:rPr>
            </w:pPr>
          </w:p>
        </w:tc>
        <w:tc>
          <w:tcPr>
            <w:tcW w:w="1236" w:type="dxa"/>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pPr>
              <w:adjustRightInd w:val="0"/>
              <w:snapToGrid w:val="0"/>
              <w:jc w:val="center"/>
              <w:rPr>
                <w:rFonts w:ascii="宋体" w:hAnsi="宋体" w:cs="宋体"/>
                <w:color w:val="auto"/>
                <w:szCs w:val="21"/>
                <w:highlight w:val="none"/>
              </w:rPr>
            </w:pPr>
          </w:p>
        </w:tc>
        <w:tc>
          <w:tcPr>
            <w:tcW w:w="1478" w:type="dxa"/>
            <w:vAlign w:val="center"/>
          </w:tcPr>
          <w:p>
            <w:pPr>
              <w:adjustRightInd w:val="0"/>
              <w:snapToGrid w:val="0"/>
              <w:jc w:val="center"/>
              <w:rPr>
                <w:rFonts w:ascii="宋体" w:hAnsi="宋体" w:cs="宋体"/>
                <w:color w:val="auto"/>
                <w:szCs w:val="21"/>
                <w:highlight w:val="none"/>
              </w:rPr>
            </w:pPr>
          </w:p>
        </w:tc>
        <w:tc>
          <w:tcPr>
            <w:tcW w:w="992" w:type="dxa"/>
            <w:vAlign w:val="center"/>
          </w:tcPr>
          <w:p>
            <w:pPr>
              <w:adjustRightInd w:val="0"/>
              <w:snapToGrid w:val="0"/>
              <w:jc w:val="center"/>
              <w:rPr>
                <w:rFonts w:ascii="宋体" w:hAnsi="宋体" w:cs="宋体"/>
                <w:color w:val="auto"/>
                <w:szCs w:val="21"/>
                <w:highlight w:val="none"/>
              </w:rPr>
            </w:pPr>
          </w:p>
        </w:tc>
        <w:tc>
          <w:tcPr>
            <w:tcW w:w="1069" w:type="dxa"/>
            <w:vAlign w:val="center"/>
          </w:tcPr>
          <w:p>
            <w:pPr>
              <w:adjustRightInd w:val="0"/>
              <w:snapToGrid w:val="0"/>
              <w:jc w:val="center"/>
              <w:rPr>
                <w:rFonts w:ascii="宋体" w:hAnsi="宋体" w:cs="宋体"/>
                <w:color w:val="auto"/>
                <w:szCs w:val="21"/>
                <w:highlight w:val="none"/>
              </w:rPr>
            </w:pPr>
          </w:p>
        </w:tc>
        <w:tc>
          <w:tcPr>
            <w:tcW w:w="993" w:type="dxa"/>
            <w:vAlign w:val="center"/>
          </w:tcPr>
          <w:p>
            <w:pPr>
              <w:adjustRightInd w:val="0"/>
              <w:snapToGrid w:val="0"/>
              <w:jc w:val="center"/>
              <w:rPr>
                <w:rFonts w:ascii="宋体" w:hAnsi="宋体" w:cs="宋体"/>
                <w:color w:val="auto"/>
                <w:szCs w:val="21"/>
                <w:highlight w:val="none"/>
              </w:rPr>
            </w:pPr>
          </w:p>
        </w:tc>
        <w:tc>
          <w:tcPr>
            <w:tcW w:w="1134" w:type="dxa"/>
            <w:vAlign w:val="center"/>
          </w:tcPr>
          <w:p>
            <w:pPr>
              <w:adjustRightInd w:val="0"/>
              <w:snapToGrid w:val="0"/>
              <w:jc w:val="center"/>
              <w:rPr>
                <w:rFonts w:ascii="宋体" w:hAnsi="宋体" w:cs="宋体"/>
                <w:color w:val="auto"/>
                <w:szCs w:val="21"/>
                <w:highlight w:val="none"/>
              </w:rPr>
            </w:pPr>
          </w:p>
        </w:tc>
        <w:tc>
          <w:tcPr>
            <w:tcW w:w="930" w:type="dxa"/>
            <w:vAlign w:val="center"/>
          </w:tcPr>
          <w:p>
            <w:pPr>
              <w:adjustRightInd w:val="0"/>
              <w:snapToGrid w:val="0"/>
              <w:jc w:val="center"/>
              <w:rPr>
                <w:rFonts w:ascii="宋体" w:hAnsi="宋体" w:cs="宋体"/>
                <w:color w:val="auto"/>
                <w:szCs w:val="21"/>
                <w:highlight w:val="none"/>
              </w:rPr>
            </w:pPr>
          </w:p>
        </w:tc>
        <w:tc>
          <w:tcPr>
            <w:tcW w:w="1236" w:type="dxa"/>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pPr>
              <w:adjustRightInd w:val="0"/>
              <w:snapToGrid w:val="0"/>
              <w:jc w:val="center"/>
              <w:rPr>
                <w:rFonts w:ascii="宋体" w:hAnsi="宋体" w:cs="宋体"/>
                <w:color w:val="auto"/>
                <w:szCs w:val="21"/>
                <w:highlight w:val="none"/>
              </w:rPr>
            </w:pPr>
          </w:p>
        </w:tc>
        <w:tc>
          <w:tcPr>
            <w:tcW w:w="1478" w:type="dxa"/>
            <w:vAlign w:val="center"/>
          </w:tcPr>
          <w:p>
            <w:pPr>
              <w:adjustRightInd w:val="0"/>
              <w:snapToGrid w:val="0"/>
              <w:jc w:val="center"/>
              <w:rPr>
                <w:rFonts w:ascii="宋体" w:hAnsi="宋体" w:cs="宋体"/>
                <w:color w:val="auto"/>
                <w:szCs w:val="21"/>
                <w:highlight w:val="none"/>
              </w:rPr>
            </w:pPr>
          </w:p>
        </w:tc>
        <w:tc>
          <w:tcPr>
            <w:tcW w:w="992" w:type="dxa"/>
            <w:vAlign w:val="center"/>
          </w:tcPr>
          <w:p>
            <w:pPr>
              <w:adjustRightInd w:val="0"/>
              <w:snapToGrid w:val="0"/>
              <w:jc w:val="center"/>
              <w:rPr>
                <w:rFonts w:ascii="宋体" w:hAnsi="宋体" w:cs="宋体"/>
                <w:color w:val="auto"/>
                <w:szCs w:val="21"/>
                <w:highlight w:val="none"/>
              </w:rPr>
            </w:pPr>
          </w:p>
        </w:tc>
        <w:tc>
          <w:tcPr>
            <w:tcW w:w="1069" w:type="dxa"/>
            <w:vAlign w:val="center"/>
          </w:tcPr>
          <w:p>
            <w:pPr>
              <w:adjustRightInd w:val="0"/>
              <w:snapToGrid w:val="0"/>
              <w:jc w:val="center"/>
              <w:rPr>
                <w:rFonts w:ascii="宋体" w:hAnsi="宋体" w:cs="宋体"/>
                <w:color w:val="auto"/>
                <w:szCs w:val="21"/>
                <w:highlight w:val="none"/>
              </w:rPr>
            </w:pPr>
          </w:p>
        </w:tc>
        <w:tc>
          <w:tcPr>
            <w:tcW w:w="993" w:type="dxa"/>
            <w:vAlign w:val="center"/>
          </w:tcPr>
          <w:p>
            <w:pPr>
              <w:adjustRightInd w:val="0"/>
              <w:snapToGrid w:val="0"/>
              <w:jc w:val="center"/>
              <w:rPr>
                <w:rFonts w:ascii="宋体" w:hAnsi="宋体" w:cs="宋体"/>
                <w:color w:val="auto"/>
                <w:szCs w:val="21"/>
                <w:highlight w:val="none"/>
              </w:rPr>
            </w:pPr>
          </w:p>
        </w:tc>
        <w:tc>
          <w:tcPr>
            <w:tcW w:w="1134" w:type="dxa"/>
            <w:vAlign w:val="center"/>
          </w:tcPr>
          <w:p>
            <w:pPr>
              <w:adjustRightInd w:val="0"/>
              <w:snapToGrid w:val="0"/>
              <w:jc w:val="center"/>
              <w:rPr>
                <w:rFonts w:ascii="宋体" w:hAnsi="宋体" w:cs="宋体"/>
                <w:color w:val="auto"/>
                <w:szCs w:val="21"/>
                <w:highlight w:val="none"/>
              </w:rPr>
            </w:pPr>
          </w:p>
        </w:tc>
        <w:tc>
          <w:tcPr>
            <w:tcW w:w="930" w:type="dxa"/>
            <w:vAlign w:val="center"/>
          </w:tcPr>
          <w:p>
            <w:pPr>
              <w:adjustRightInd w:val="0"/>
              <w:snapToGrid w:val="0"/>
              <w:jc w:val="center"/>
              <w:rPr>
                <w:rFonts w:ascii="宋体" w:hAnsi="宋体" w:cs="宋体"/>
                <w:color w:val="auto"/>
                <w:szCs w:val="21"/>
                <w:highlight w:val="none"/>
              </w:rPr>
            </w:pPr>
          </w:p>
        </w:tc>
        <w:tc>
          <w:tcPr>
            <w:tcW w:w="1236" w:type="dxa"/>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pPr>
              <w:adjustRightInd w:val="0"/>
              <w:snapToGrid w:val="0"/>
              <w:jc w:val="center"/>
              <w:rPr>
                <w:rFonts w:ascii="宋体" w:hAnsi="宋体" w:cs="宋体"/>
                <w:color w:val="auto"/>
                <w:szCs w:val="21"/>
                <w:highlight w:val="none"/>
              </w:rPr>
            </w:pPr>
          </w:p>
        </w:tc>
        <w:tc>
          <w:tcPr>
            <w:tcW w:w="1478" w:type="dxa"/>
            <w:vAlign w:val="center"/>
          </w:tcPr>
          <w:p>
            <w:pPr>
              <w:adjustRightInd w:val="0"/>
              <w:snapToGrid w:val="0"/>
              <w:jc w:val="center"/>
              <w:rPr>
                <w:rFonts w:ascii="宋体" w:hAnsi="宋体" w:cs="宋体"/>
                <w:color w:val="auto"/>
                <w:szCs w:val="21"/>
                <w:highlight w:val="none"/>
              </w:rPr>
            </w:pPr>
          </w:p>
        </w:tc>
        <w:tc>
          <w:tcPr>
            <w:tcW w:w="992" w:type="dxa"/>
            <w:vAlign w:val="center"/>
          </w:tcPr>
          <w:p>
            <w:pPr>
              <w:adjustRightInd w:val="0"/>
              <w:snapToGrid w:val="0"/>
              <w:jc w:val="center"/>
              <w:rPr>
                <w:rFonts w:ascii="宋体" w:hAnsi="宋体" w:cs="宋体"/>
                <w:color w:val="auto"/>
                <w:szCs w:val="21"/>
                <w:highlight w:val="none"/>
              </w:rPr>
            </w:pPr>
          </w:p>
        </w:tc>
        <w:tc>
          <w:tcPr>
            <w:tcW w:w="1069" w:type="dxa"/>
            <w:vAlign w:val="center"/>
          </w:tcPr>
          <w:p>
            <w:pPr>
              <w:adjustRightInd w:val="0"/>
              <w:snapToGrid w:val="0"/>
              <w:jc w:val="center"/>
              <w:rPr>
                <w:rFonts w:ascii="宋体" w:hAnsi="宋体" w:cs="宋体"/>
                <w:color w:val="auto"/>
                <w:szCs w:val="21"/>
                <w:highlight w:val="none"/>
              </w:rPr>
            </w:pPr>
          </w:p>
        </w:tc>
        <w:tc>
          <w:tcPr>
            <w:tcW w:w="993" w:type="dxa"/>
            <w:vAlign w:val="center"/>
          </w:tcPr>
          <w:p>
            <w:pPr>
              <w:adjustRightInd w:val="0"/>
              <w:snapToGrid w:val="0"/>
              <w:jc w:val="center"/>
              <w:rPr>
                <w:rFonts w:ascii="宋体" w:hAnsi="宋体" w:cs="宋体"/>
                <w:color w:val="auto"/>
                <w:szCs w:val="21"/>
                <w:highlight w:val="none"/>
              </w:rPr>
            </w:pPr>
          </w:p>
        </w:tc>
        <w:tc>
          <w:tcPr>
            <w:tcW w:w="1134" w:type="dxa"/>
            <w:vAlign w:val="center"/>
          </w:tcPr>
          <w:p>
            <w:pPr>
              <w:adjustRightInd w:val="0"/>
              <w:snapToGrid w:val="0"/>
              <w:jc w:val="center"/>
              <w:rPr>
                <w:rFonts w:ascii="宋体" w:hAnsi="宋体" w:cs="宋体"/>
                <w:color w:val="auto"/>
                <w:szCs w:val="21"/>
                <w:highlight w:val="none"/>
              </w:rPr>
            </w:pPr>
          </w:p>
        </w:tc>
        <w:tc>
          <w:tcPr>
            <w:tcW w:w="930" w:type="dxa"/>
            <w:vAlign w:val="center"/>
          </w:tcPr>
          <w:p>
            <w:pPr>
              <w:adjustRightInd w:val="0"/>
              <w:snapToGrid w:val="0"/>
              <w:jc w:val="center"/>
              <w:rPr>
                <w:rFonts w:ascii="宋体" w:hAnsi="宋体" w:cs="宋体"/>
                <w:color w:val="auto"/>
                <w:szCs w:val="21"/>
                <w:highlight w:val="none"/>
              </w:rPr>
            </w:pPr>
          </w:p>
        </w:tc>
        <w:tc>
          <w:tcPr>
            <w:tcW w:w="1236" w:type="dxa"/>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pPr>
              <w:adjustRightInd w:val="0"/>
              <w:snapToGrid w:val="0"/>
              <w:jc w:val="center"/>
              <w:rPr>
                <w:rFonts w:ascii="宋体" w:hAnsi="宋体" w:cs="宋体"/>
                <w:color w:val="auto"/>
                <w:szCs w:val="21"/>
                <w:highlight w:val="none"/>
              </w:rPr>
            </w:pPr>
          </w:p>
        </w:tc>
        <w:tc>
          <w:tcPr>
            <w:tcW w:w="1478" w:type="dxa"/>
            <w:vAlign w:val="center"/>
          </w:tcPr>
          <w:p>
            <w:pPr>
              <w:adjustRightInd w:val="0"/>
              <w:snapToGrid w:val="0"/>
              <w:jc w:val="center"/>
              <w:rPr>
                <w:rFonts w:ascii="宋体" w:hAnsi="宋体" w:cs="宋体"/>
                <w:color w:val="auto"/>
                <w:szCs w:val="21"/>
                <w:highlight w:val="none"/>
              </w:rPr>
            </w:pPr>
          </w:p>
        </w:tc>
        <w:tc>
          <w:tcPr>
            <w:tcW w:w="992" w:type="dxa"/>
            <w:vAlign w:val="center"/>
          </w:tcPr>
          <w:p>
            <w:pPr>
              <w:adjustRightInd w:val="0"/>
              <w:snapToGrid w:val="0"/>
              <w:jc w:val="center"/>
              <w:rPr>
                <w:rFonts w:ascii="宋体" w:hAnsi="宋体" w:cs="宋体"/>
                <w:color w:val="auto"/>
                <w:szCs w:val="21"/>
                <w:highlight w:val="none"/>
              </w:rPr>
            </w:pPr>
          </w:p>
        </w:tc>
        <w:tc>
          <w:tcPr>
            <w:tcW w:w="1069" w:type="dxa"/>
            <w:vAlign w:val="center"/>
          </w:tcPr>
          <w:p>
            <w:pPr>
              <w:adjustRightInd w:val="0"/>
              <w:snapToGrid w:val="0"/>
              <w:jc w:val="center"/>
              <w:rPr>
                <w:rFonts w:ascii="宋体" w:hAnsi="宋体" w:cs="宋体"/>
                <w:color w:val="auto"/>
                <w:szCs w:val="21"/>
                <w:highlight w:val="none"/>
              </w:rPr>
            </w:pPr>
          </w:p>
        </w:tc>
        <w:tc>
          <w:tcPr>
            <w:tcW w:w="993" w:type="dxa"/>
            <w:vAlign w:val="center"/>
          </w:tcPr>
          <w:p>
            <w:pPr>
              <w:adjustRightInd w:val="0"/>
              <w:snapToGrid w:val="0"/>
              <w:jc w:val="center"/>
              <w:rPr>
                <w:rFonts w:ascii="宋体" w:hAnsi="宋体" w:cs="宋体"/>
                <w:color w:val="auto"/>
                <w:szCs w:val="21"/>
                <w:highlight w:val="none"/>
              </w:rPr>
            </w:pPr>
          </w:p>
        </w:tc>
        <w:tc>
          <w:tcPr>
            <w:tcW w:w="1134" w:type="dxa"/>
            <w:vAlign w:val="center"/>
          </w:tcPr>
          <w:p>
            <w:pPr>
              <w:adjustRightInd w:val="0"/>
              <w:snapToGrid w:val="0"/>
              <w:jc w:val="center"/>
              <w:rPr>
                <w:rFonts w:ascii="宋体" w:hAnsi="宋体" w:cs="宋体"/>
                <w:color w:val="auto"/>
                <w:szCs w:val="21"/>
                <w:highlight w:val="none"/>
              </w:rPr>
            </w:pPr>
          </w:p>
        </w:tc>
        <w:tc>
          <w:tcPr>
            <w:tcW w:w="930" w:type="dxa"/>
            <w:vAlign w:val="center"/>
          </w:tcPr>
          <w:p>
            <w:pPr>
              <w:adjustRightInd w:val="0"/>
              <w:snapToGrid w:val="0"/>
              <w:jc w:val="center"/>
              <w:rPr>
                <w:rFonts w:ascii="宋体" w:hAnsi="宋体" w:cs="宋体"/>
                <w:color w:val="auto"/>
                <w:szCs w:val="21"/>
                <w:highlight w:val="none"/>
              </w:rPr>
            </w:pPr>
          </w:p>
        </w:tc>
        <w:tc>
          <w:tcPr>
            <w:tcW w:w="1236" w:type="dxa"/>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pPr>
              <w:adjustRightInd w:val="0"/>
              <w:snapToGrid w:val="0"/>
              <w:jc w:val="center"/>
              <w:rPr>
                <w:rFonts w:ascii="宋体" w:hAnsi="宋体" w:cs="宋体"/>
                <w:color w:val="auto"/>
                <w:szCs w:val="21"/>
                <w:highlight w:val="none"/>
              </w:rPr>
            </w:pPr>
          </w:p>
        </w:tc>
        <w:tc>
          <w:tcPr>
            <w:tcW w:w="1478" w:type="dxa"/>
            <w:vAlign w:val="center"/>
          </w:tcPr>
          <w:p>
            <w:pPr>
              <w:adjustRightInd w:val="0"/>
              <w:snapToGrid w:val="0"/>
              <w:jc w:val="center"/>
              <w:rPr>
                <w:rFonts w:ascii="宋体" w:hAnsi="宋体" w:cs="宋体"/>
                <w:color w:val="auto"/>
                <w:szCs w:val="21"/>
                <w:highlight w:val="none"/>
              </w:rPr>
            </w:pPr>
          </w:p>
        </w:tc>
        <w:tc>
          <w:tcPr>
            <w:tcW w:w="992" w:type="dxa"/>
            <w:vAlign w:val="center"/>
          </w:tcPr>
          <w:p>
            <w:pPr>
              <w:adjustRightInd w:val="0"/>
              <w:snapToGrid w:val="0"/>
              <w:jc w:val="center"/>
              <w:rPr>
                <w:rFonts w:ascii="宋体" w:hAnsi="宋体" w:cs="宋体"/>
                <w:color w:val="auto"/>
                <w:szCs w:val="21"/>
                <w:highlight w:val="none"/>
              </w:rPr>
            </w:pPr>
          </w:p>
        </w:tc>
        <w:tc>
          <w:tcPr>
            <w:tcW w:w="1069" w:type="dxa"/>
            <w:vAlign w:val="center"/>
          </w:tcPr>
          <w:p>
            <w:pPr>
              <w:adjustRightInd w:val="0"/>
              <w:snapToGrid w:val="0"/>
              <w:jc w:val="center"/>
              <w:rPr>
                <w:rFonts w:ascii="宋体" w:hAnsi="宋体" w:cs="宋体"/>
                <w:color w:val="auto"/>
                <w:szCs w:val="21"/>
                <w:highlight w:val="none"/>
              </w:rPr>
            </w:pPr>
          </w:p>
        </w:tc>
        <w:tc>
          <w:tcPr>
            <w:tcW w:w="993" w:type="dxa"/>
            <w:vAlign w:val="center"/>
          </w:tcPr>
          <w:p>
            <w:pPr>
              <w:adjustRightInd w:val="0"/>
              <w:snapToGrid w:val="0"/>
              <w:jc w:val="center"/>
              <w:rPr>
                <w:rFonts w:ascii="宋体" w:hAnsi="宋体" w:cs="宋体"/>
                <w:color w:val="auto"/>
                <w:szCs w:val="21"/>
                <w:highlight w:val="none"/>
              </w:rPr>
            </w:pPr>
          </w:p>
        </w:tc>
        <w:tc>
          <w:tcPr>
            <w:tcW w:w="1134" w:type="dxa"/>
            <w:vAlign w:val="center"/>
          </w:tcPr>
          <w:p>
            <w:pPr>
              <w:adjustRightInd w:val="0"/>
              <w:snapToGrid w:val="0"/>
              <w:jc w:val="center"/>
              <w:rPr>
                <w:rFonts w:ascii="宋体" w:hAnsi="宋体" w:cs="宋体"/>
                <w:color w:val="auto"/>
                <w:szCs w:val="21"/>
                <w:highlight w:val="none"/>
              </w:rPr>
            </w:pPr>
          </w:p>
        </w:tc>
        <w:tc>
          <w:tcPr>
            <w:tcW w:w="930" w:type="dxa"/>
            <w:vAlign w:val="center"/>
          </w:tcPr>
          <w:p>
            <w:pPr>
              <w:adjustRightInd w:val="0"/>
              <w:snapToGrid w:val="0"/>
              <w:jc w:val="center"/>
              <w:rPr>
                <w:rFonts w:ascii="宋体" w:hAnsi="宋体" w:cs="宋体"/>
                <w:color w:val="auto"/>
                <w:szCs w:val="21"/>
                <w:highlight w:val="none"/>
              </w:rPr>
            </w:pPr>
          </w:p>
        </w:tc>
        <w:tc>
          <w:tcPr>
            <w:tcW w:w="1236" w:type="dxa"/>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pPr>
              <w:adjustRightInd w:val="0"/>
              <w:snapToGrid w:val="0"/>
              <w:jc w:val="center"/>
              <w:rPr>
                <w:rFonts w:ascii="宋体" w:hAnsi="宋体" w:cs="宋体"/>
                <w:color w:val="auto"/>
                <w:szCs w:val="21"/>
                <w:highlight w:val="none"/>
              </w:rPr>
            </w:pPr>
          </w:p>
        </w:tc>
        <w:tc>
          <w:tcPr>
            <w:tcW w:w="1478" w:type="dxa"/>
            <w:vAlign w:val="center"/>
          </w:tcPr>
          <w:p>
            <w:pPr>
              <w:adjustRightInd w:val="0"/>
              <w:snapToGrid w:val="0"/>
              <w:jc w:val="center"/>
              <w:rPr>
                <w:rFonts w:ascii="宋体" w:hAnsi="宋体" w:cs="宋体"/>
                <w:color w:val="auto"/>
                <w:szCs w:val="21"/>
                <w:highlight w:val="none"/>
              </w:rPr>
            </w:pPr>
          </w:p>
        </w:tc>
        <w:tc>
          <w:tcPr>
            <w:tcW w:w="992" w:type="dxa"/>
            <w:vAlign w:val="center"/>
          </w:tcPr>
          <w:p>
            <w:pPr>
              <w:adjustRightInd w:val="0"/>
              <w:snapToGrid w:val="0"/>
              <w:jc w:val="center"/>
              <w:rPr>
                <w:rFonts w:ascii="宋体" w:hAnsi="宋体" w:cs="宋体"/>
                <w:color w:val="auto"/>
                <w:szCs w:val="21"/>
                <w:highlight w:val="none"/>
              </w:rPr>
            </w:pPr>
          </w:p>
        </w:tc>
        <w:tc>
          <w:tcPr>
            <w:tcW w:w="1069" w:type="dxa"/>
            <w:vAlign w:val="center"/>
          </w:tcPr>
          <w:p>
            <w:pPr>
              <w:adjustRightInd w:val="0"/>
              <w:snapToGrid w:val="0"/>
              <w:jc w:val="center"/>
              <w:rPr>
                <w:rFonts w:ascii="宋体" w:hAnsi="宋体" w:cs="宋体"/>
                <w:color w:val="auto"/>
                <w:szCs w:val="21"/>
                <w:highlight w:val="none"/>
              </w:rPr>
            </w:pPr>
          </w:p>
        </w:tc>
        <w:tc>
          <w:tcPr>
            <w:tcW w:w="993" w:type="dxa"/>
            <w:vAlign w:val="center"/>
          </w:tcPr>
          <w:p>
            <w:pPr>
              <w:adjustRightInd w:val="0"/>
              <w:snapToGrid w:val="0"/>
              <w:jc w:val="center"/>
              <w:rPr>
                <w:rFonts w:ascii="宋体" w:hAnsi="宋体" w:cs="宋体"/>
                <w:color w:val="auto"/>
                <w:szCs w:val="21"/>
                <w:highlight w:val="none"/>
              </w:rPr>
            </w:pPr>
          </w:p>
        </w:tc>
        <w:tc>
          <w:tcPr>
            <w:tcW w:w="1134" w:type="dxa"/>
            <w:vAlign w:val="center"/>
          </w:tcPr>
          <w:p>
            <w:pPr>
              <w:adjustRightInd w:val="0"/>
              <w:snapToGrid w:val="0"/>
              <w:jc w:val="center"/>
              <w:rPr>
                <w:rFonts w:ascii="宋体" w:hAnsi="宋体" w:cs="宋体"/>
                <w:color w:val="auto"/>
                <w:szCs w:val="21"/>
                <w:highlight w:val="none"/>
              </w:rPr>
            </w:pPr>
          </w:p>
        </w:tc>
        <w:tc>
          <w:tcPr>
            <w:tcW w:w="930" w:type="dxa"/>
            <w:vAlign w:val="center"/>
          </w:tcPr>
          <w:p>
            <w:pPr>
              <w:adjustRightInd w:val="0"/>
              <w:snapToGrid w:val="0"/>
              <w:jc w:val="center"/>
              <w:rPr>
                <w:rFonts w:ascii="宋体" w:hAnsi="宋体" w:cs="宋体"/>
                <w:color w:val="auto"/>
                <w:szCs w:val="21"/>
                <w:highlight w:val="none"/>
              </w:rPr>
            </w:pPr>
          </w:p>
        </w:tc>
        <w:tc>
          <w:tcPr>
            <w:tcW w:w="1236" w:type="dxa"/>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pPr>
              <w:adjustRightInd w:val="0"/>
              <w:snapToGrid w:val="0"/>
              <w:jc w:val="center"/>
              <w:rPr>
                <w:rFonts w:ascii="宋体" w:hAnsi="宋体" w:cs="宋体"/>
                <w:color w:val="auto"/>
                <w:szCs w:val="21"/>
                <w:highlight w:val="none"/>
              </w:rPr>
            </w:pPr>
          </w:p>
        </w:tc>
        <w:tc>
          <w:tcPr>
            <w:tcW w:w="1478" w:type="dxa"/>
            <w:vAlign w:val="center"/>
          </w:tcPr>
          <w:p>
            <w:pPr>
              <w:adjustRightInd w:val="0"/>
              <w:snapToGrid w:val="0"/>
              <w:jc w:val="center"/>
              <w:rPr>
                <w:rFonts w:ascii="宋体" w:hAnsi="宋体" w:cs="宋体"/>
                <w:color w:val="auto"/>
                <w:szCs w:val="21"/>
                <w:highlight w:val="none"/>
              </w:rPr>
            </w:pPr>
          </w:p>
        </w:tc>
        <w:tc>
          <w:tcPr>
            <w:tcW w:w="992" w:type="dxa"/>
            <w:vAlign w:val="center"/>
          </w:tcPr>
          <w:p>
            <w:pPr>
              <w:adjustRightInd w:val="0"/>
              <w:snapToGrid w:val="0"/>
              <w:jc w:val="center"/>
              <w:rPr>
                <w:rFonts w:ascii="宋体" w:hAnsi="宋体" w:cs="宋体"/>
                <w:color w:val="auto"/>
                <w:szCs w:val="21"/>
                <w:highlight w:val="none"/>
              </w:rPr>
            </w:pPr>
          </w:p>
        </w:tc>
        <w:tc>
          <w:tcPr>
            <w:tcW w:w="1069" w:type="dxa"/>
            <w:vAlign w:val="center"/>
          </w:tcPr>
          <w:p>
            <w:pPr>
              <w:adjustRightInd w:val="0"/>
              <w:snapToGrid w:val="0"/>
              <w:jc w:val="center"/>
              <w:rPr>
                <w:rFonts w:ascii="宋体" w:hAnsi="宋体" w:cs="宋体"/>
                <w:color w:val="auto"/>
                <w:szCs w:val="21"/>
                <w:highlight w:val="none"/>
              </w:rPr>
            </w:pPr>
          </w:p>
        </w:tc>
        <w:tc>
          <w:tcPr>
            <w:tcW w:w="993" w:type="dxa"/>
            <w:vAlign w:val="center"/>
          </w:tcPr>
          <w:p>
            <w:pPr>
              <w:adjustRightInd w:val="0"/>
              <w:snapToGrid w:val="0"/>
              <w:jc w:val="center"/>
              <w:rPr>
                <w:rFonts w:ascii="宋体" w:hAnsi="宋体" w:cs="宋体"/>
                <w:color w:val="auto"/>
                <w:szCs w:val="21"/>
                <w:highlight w:val="none"/>
              </w:rPr>
            </w:pPr>
          </w:p>
        </w:tc>
        <w:tc>
          <w:tcPr>
            <w:tcW w:w="1134" w:type="dxa"/>
            <w:vAlign w:val="center"/>
          </w:tcPr>
          <w:p>
            <w:pPr>
              <w:adjustRightInd w:val="0"/>
              <w:snapToGrid w:val="0"/>
              <w:jc w:val="center"/>
              <w:rPr>
                <w:rFonts w:ascii="宋体" w:hAnsi="宋体" w:cs="宋体"/>
                <w:color w:val="auto"/>
                <w:szCs w:val="21"/>
                <w:highlight w:val="none"/>
              </w:rPr>
            </w:pPr>
          </w:p>
        </w:tc>
        <w:tc>
          <w:tcPr>
            <w:tcW w:w="930" w:type="dxa"/>
            <w:vAlign w:val="center"/>
          </w:tcPr>
          <w:p>
            <w:pPr>
              <w:adjustRightInd w:val="0"/>
              <w:snapToGrid w:val="0"/>
              <w:jc w:val="center"/>
              <w:rPr>
                <w:rFonts w:ascii="宋体" w:hAnsi="宋体" w:cs="宋体"/>
                <w:color w:val="auto"/>
                <w:szCs w:val="21"/>
                <w:highlight w:val="none"/>
              </w:rPr>
            </w:pPr>
          </w:p>
        </w:tc>
        <w:tc>
          <w:tcPr>
            <w:tcW w:w="1236" w:type="dxa"/>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pPr>
              <w:adjustRightInd w:val="0"/>
              <w:snapToGrid w:val="0"/>
              <w:jc w:val="center"/>
              <w:rPr>
                <w:rFonts w:ascii="宋体" w:hAnsi="宋体" w:cs="宋体"/>
                <w:color w:val="auto"/>
                <w:szCs w:val="21"/>
                <w:highlight w:val="none"/>
              </w:rPr>
            </w:pPr>
          </w:p>
        </w:tc>
        <w:tc>
          <w:tcPr>
            <w:tcW w:w="1478" w:type="dxa"/>
            <w:vAlign w:val="center"/>
          </w:tcPr>
          <w:p>
            <w:pPr>
              <w:adjustRightInd w:val="0"/>
              <w:snapToGrid w:val="0"/>
              <w:jc w:val="center"/>
              <w:rPr>
                <w:rFonts w:ascii="宋体" w:hAnsi="宋体" w:cs="宋体"/>
                <w:color w:val="auto"/>
                <w:szCs w:val="21"/>
                <w:highlight w:val="none"/>
              </w:rPr>
            </w:pPr>
          </w:p>
        </w:tc>
        <w:tc>
          <w:tcPr>
            <w:tcW w:w="992" w:type="dxa"/>
            <w:vAlign w:val="center"/>
          </w:tcPr>
          <w:p>
            <w:pPr>
              <w:adjustRightInd w:val="0"/>
              <w:snapToGrid w:val="0"/>
              <w:jc w:val="center"/>
              <w:rPr>
                <w:rFonts w:ascii="宋体" w:hAnsi="宋体" w:cs="宋体"/>
                <w:color w:val="auto"/>
                <w:szCs w:val="21"/>
                <w:highlight w:val="none"/>
              </w:rPr>
            </w:pPr>
          </w:p>
        </w:tc>
        <w:tc>
          <w:tcPr>
            <w:tcW w:w="1069" w:type="dxa"/>
            <w:vAlign w:val="center"/>
          </w:tcPr>
          <w:p>
            <w:pPr>
              <w:adjustRightInd w:val="0"/>
              <w:snapToGrid w:val="0"/>
              <w:jc w:val="center"/>
              <w:rPr>
                <w:rFonts w:ascii="宋体" w:hAnsi="宋体" w:cs="宋体"/>
                <w:color w:val="auto"/>
                <w:szCs w:val="21"/>
                <w:highlight w:val="none"/>
              </w:rPr>
            </w:pPr>
          </w:p>
        </w:tc>
        <w:tc>
          <w:tcPr>
            <w:tcW w:w="993" w:type="dxa"/>
            <w:vAlign w:val="center"/>
          </w:tcPr>
          <w:p>
            <w:pPr>
              <w:adjustRightInd w:val="0"/>
              <w:snapToGrid w:val="0"/>
              <w:jc w:val="center"/>
              <w:rPr>
                <w:rFonts w:ascii="宋体" w:hAnsi="宋体" w:cs="宋体"/>
                <w:color w:val="auto"/>
                <w:szCs w:val="21"/>
                <w:highlight w:val="none"/>
              </w:rPr>
            </w:pPr>
          </w:p>
        </w:tc>
        <w:tc>
          <w:tcPr>
            <w:tcW w:w="1134" w:type="dxa"/>
            <w:vAlign w:val="center"/>
          </w:tcPr>
          <w:p>
            <w:pPr>
              <w:adjustRightInd w:val="0"/>
              <w:snapToGrid w:val="0"/>
              <w:jc w:val="center"/>
              <w:rPr>
                <w:rFonts w:ascii="宋体" w:hAnsi="宋体" w:cs="宋体"/>
                <w:color w:val="auto"/>
                <w:szCs w:val="21"/>
                <w:highlight w:val="none"/>
              </w:rPr>
            </w:pPr>
          </w:p>
        </w:tc>
        <w:tc>
          <w:tcPr>
            <w:tcW w:w="930" w:type="dxa"/>
            <w:vAlign w:val="center"/>
          </w:tcPr>
          <w:p>
            <w:pPr>
              <w:adjustRightInd w:val="0"/>
              <w:snapToGrid w:val="0"/>
              <w:jc w:val="center"/>
              <w:rPr>
                <w:rFonts w:ascii="宋体" w:hAnsi="宋体" w:cs="宋体"/>
                <w:color w:val="auto"/>
                <w:szCs w:val="21"/>
                <w:highlight w:val="none"/>
              </w:rPr>
            </w:pPr>
          </w:p>
        </w:tc>
        <w:tc>
          <w:tcPr>
            <w:tcW w:w="1236" w:type="dxa"/>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pPr>
              <w:adjustRightInd w:val="0"/>
              <w:snapToGrid w:val="0"/>
              <w:jc w:val="center"/>
              <w:rPr>
                <w:rFonts w:ascii="宋体" w:hAnsi="宋体" w:cs="宋体"/>
                <w:color w:val="auto"/>
                <w:szCs w:val="21"/>
                <w:highlight w:val="none"/>
              </w:rPr>
            </w:pPr>
          </w:p>
        </w:tc>
        <w:tc>
          <w:tcPr>
            <w:tcW w:w="1478" w:type="dxa"/>
            <w:vAlign w:val="center"/>
          </w:tcPr>
          <w:p>
            <w:pPr>
              <w:adjustRightInd w:val="0"/>
              <w:snapToGrid w:val="0"/>
              <w:jc w:val="center"/>
              <w:rPr>
                <w:rFonts w:ascii="宋体" w:hAnsi="宋体" w:cs="宋体"/>
                <w:color w:val="auto"/>
                <w:szCs w:val="21"/>
                <w:highlight w:val="none"/>
              </w:rPr>
            </w:pPr>
          </w:p>
        </w:tc>
        <w:tc>
          <w:tcPr>
            <w:tcW w:w="992" w:type="dxa"/>
            <w:vAlign w:val="center"/>
          </w:tcPr>
          <w:p>
            <w:pPr>
              <w:adjustRightInd w:val="0"/>
              <w:snapToGrid w:val="0"/>
              <w:jc w:val="center"/>
              <w:rPr>
                <w:rFonts w:ascii="宋体" w:hAnsi="宋体" w:cs="宋体"/>
                <w:color w:val="auto"/>
                <w:szCs w:val="21"/>
                <w:highlight w:val="none"/>
              </w:rPr>
            </w:pPr>
          </w:p>
        </w:tc>
        <w:tc>
          <w:tcPr>
            <w:tcW w:w="1069" w:type="dxa"/>
            <w:vAlign w:val="center"/>
          </w:tcPr>
          <w:p>
            <w:pPr>
              <w:adjustRightInd w:val="0"/>
              <w:snapToGrid w:val="0"/>
              <w:jc w:val="center"/>
              <w:rPr>
                <w:rFonts w:ascii="宋体" w:hAnsi="宋体" w:cs="宋体"/>
                <w:color w:val="auto"/>
                <w:szCs w:val="21"/>
                <w:highlight w:val="none"/>
              </w:rPr>
            </w:pPr>
          </w:p>
        </w:tc>
        <w:tc>
          <w:tcPr>
            <w:tcW w:w="993" w:type="dxa"/>
            <w:vAlign w:val="center"/>
          </w:tcPr>
          <w:p>
            <w:pPr>
              <w:adjustRightInd w:val="0"/>
              <w:snapToGrid w:val="0"/>
              <w:jc w:val="center"/>
              <w:rPr>
                <w:rFonts w:ascii="宋体" w:hAnsi="宋体" w:cs="宋体"/>
                <w:color w:val="auto"/>
                <w:szCs w:val="21"/>
                <w:highlight w:val="none"/>
              </w:rPr>
            </w:pPr>
          </w:p>
        </w:tc>
        <w:tc>
          <w:tcPr>
            <w:tcW w:w="1134" w:type="dxa"/>
            <w:vAlign w:val="center"/>
          </w:tcPr>
          <w:p>
            <w:pPr>
              <w:adjustRightInd w:val="0"/>
              <w:snapToGrid w:val="0"/>
              <w:jc w:val="center"/>
              <w:rPr>
                <w:rFonts w:ascii="宋体" w:hAnsi="宋体" w:cs="宋体"/>
                <w:color w:val="auto"/>
                <w:szCs w:val="21"/>
                <w:highlight w:val="none"/>
              </w:rPr>
            </w:pPr>
          </w:p>
        </w:tc>
        <w:tc>
          <w:tcPr>
            <w:tcW w:w="930" w:type="dxa"/>
            <w:vAlign w:val="center"/>
          </w:tcPr>
          <w:p>
            <w:pPr>
              <w:adjustRightInd w:val="0"/>
              <w:snapToGrid w:val="0"/>
              <w:jc w:val="center"/>
              <w:rPr>
                <w:rFonts w:ascii="宋体" w:hAnsi="宋体" w:cs="宋体"/>
                <w:color w:val="auto"/>
                <w:szCs w:val="21"/>
                <w:highlight w:val="none"/>
              </w:rPr>
            </w:pPr>
          </w:p>
        </w:tc>
        <w:tc>
          <w:tcPr>
            <w:tcW w:w="1236" w:type="dxa"/>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pPr>
              <w:adjustRightInd w:val="0"/>
              <w:snapToGrid w:val="0"/>
              <w:jc w:val="center"/>
              <w:rPr>
                <w:rFonts w:ascii="宋体" w:hAnsi="宋体" w:cs="宋体"/>
                <w:color w:val="auto"/>
                <w:szCs w:val="21"/>
                <w:highlight w:val="none"/>
              </w:rPr>
            </w:pPr>
          </w:p>
        </w:tc>
        <w:tc>
          <w:tcPr>
            <w:tcW w:w="1478" w:type="dxa"/>
            <w:vAlign w:val="center"/>
          </w:tcPr>
          <w:p>
            <w:pPr>
              <w:adjustRightInd w:val="0"/>
              <w:snapToGrid w:val="0"/>
              <w:jc w:val="center"/>
              <w:rPr>
                <w:rFonts w:ascii="宋体" w:hAnsi="宋体" w:cs="宋体"/>
                <w:color w:val="auto"/>
                <w:szCs w:val="21"/>
                <w:highlight w:val="none"/>
              </w:rPr>
            </w:pPr>
          </w:p>
        </w:tc>
        <w:tc>
          <w:tcPr>
            <w:tcW w:w="992" w:type="dxa"/>
            <w:vAlign w:val="center"/>
          </w:tcPr>
          <w:p>
            <w:pPr>
              <w:adjustRightInd w:val="0"/>
              <w:snapToGrid w:val="0"/>
              <w:jc w:val="center"/>
              <w:rPr>
                <w:rFonts w:ascii="宋体" w:hAnsi="宋体" w:cs="宋体"/>
                <w:color w:val="auto"/>
                <w:szCs w:val="21"/>
                <w:highlight w:val="none"/>
              </w:rPr>
            </w:pPr>
          </w:p>
        </w:tc>
        <w:tc>
          <w:tcPr>
            <w:tcW w:w="1069" w:type="dxa"/>
            <w:vAlign w:val="center"/>
          </w:tcPr>
          <w:p>
            <w:pPr>
              <w:adjustRightInd w:val="0"/>
              <w:snapToGrid w:val="0"/>
              <w:jc w:val="center"/>
              <w:rPr>
                <w:rFonts w:ascii="宋体" w:hAnsi="宋体" w:cs="宋体"/>
                <w:color w:val="auto"/>
                <w:szCs w:val="21"/>
                <w:highlight w:val="none"/>
              </w:rPr>
            </w:pPr>
          </w:p>
        </w:tc>
        <w:tc>
          <w:tcPr>
            <w:tcW w:w="993" w:type="dxa"/>
            <w:vAlign w:val="center"/>
          </w:tcPr>
          <w:p>
            <w:pPr>
              <w:adjustRightInd w:val="0"/>
              <w:snapToGrid w:val="0"/>
              <w:jc w:val="center"/>
              <w:rPr>
                <w:rFonts w:ascii="宋体" w:hAnsi="宋体" w:cs="宋体"/>
                <w:color w:val="auto"/>
                <w:szCs w:val="21"/>
                <w:highlight w:val="none"/>
              </w:rPr>
            </w:pPr>
          </w:p>
        </w:tc>
        <w:tc>
          <w:tcPr>
            <w:tcW w:w="1134" w:type="dxa"/>
            <w:vAlign w:val="center"/>
          </w:tcPr>
          <w:p>
            <w:pPr>
              <w:adjustRightInd w:val="0"/>
              <w:snapToGrid w:val="0"/>
              <w:jc w:val="center"/>
              <w:rPr>
                <w:rFonts w:ascii="宋体" w:hAnsi="宋体" w:cs="宋体"/>
                <w:color w:val="auto"/>
                <w:szCs w:val="21"/>
                <w:highlight w:val="none"/>
              </w:rPr>
            </w:pPr>
          </w:p>
        </w:tc>
        <w:tc>
          <w:tcPr>
            <w:tcW w:w="930" w:type="dxa"/>
            <w:vAlign w:val="center"/>
          </w:tcPr>
          <w:p>
            <w:pPr>
              <w:adjustRightInd w:val="0"/>
              <w:snapToGrid w:val="0"/>
              <w:jc w:val="center"/>
              <w:rPr>
                <w:rFonts w:ascii="宋体" w:hAnsi="宋体" w:cs="宋体"/>
                <w:color w:val="auto"/>
                <w:szCs w:val="21"/>
                <w:highlight w:val="none"/>
              </w:rPr>
            </w:pPr>
          </w:p>
        </w:tc>
        <w:tc>
          <w:tcPr>
            <w:tcW w:w="1236" w:type="dxa"/>
            <w:vAlign w:val="center"/>
          </w:tcPr>
          <w:p>
            <w:pPr>
              <w:adjustRightInd w:val="0"/>
              <w:snapToGrid w:val="0"/>
              <w:jc w:val="center"/>
              <w:rPr>
                <w:rFonts w:ascii="宋体" w:hAnsi="宋体" w:cs="宋体"/>
                <w:color w:val="auto"/>
                <w:szCs w:val="21"/>
                <w:highlight w:val="none"/>
              </w:rPr>
            </w:pPr>
          </w:p>
        </w:tc>
      </w:tr>
    </w:tbl>
    <w:p>
      <w:pPr>
        <w:pStyle w:val="65"/>
        <w:ind w:firstLine="0" w:firstLineChars="0"/>
        <w:rPr>
          <w:rFonts w:ascii="宋体" w:hAnsi="宋体" w:eastAsia="宋体" w:cs="宋体"/>
          <w:color w:val="auto"/>
          <w:highlight w:val="none"/>
        </w:rPr>
      </w:pPr>
      <w:r>
        <w:rPr>
          <w:rFonts w:hint="eastAsia" w:ascii="宋体" w:hAnsi="宋体" w:eastAsia="宋体" w:cs="宋体"/>
          <w:color w:val="auto"/>
          <w:spacing w:val="0"/>
          <w:kern w:val="2"/>
          <w:sz w:val="21"/>
          <w:szCs w:val="21"/>
          <w:highlight w:val="none"/>
        </w:rPr>
        <w:t>注：相应的证书附后。</w:t>
      </w:r>
    </w:p>
    <w:p>
      <w:pPr>
        <w:spacing w:line="440" w:lineRule="exact"/>
        <w:ind w:right="1260" w:firstLine="420" w:firstLineChars="200"/>
        <w:jc w:val="right"/>
        <w:rPr>
          <w:rFonts w:ascii="宋体" w:hAnsi="宋体" w:cs="宋体"/>
          <w:color w:val="auto"/>
          <w:szCs w:val="21"/>
          <w:highlight w:val="none"/>
        </w:rPr>
      </w:pPr>
      <w:r>
        <w:rPr>
          <w:rFonts w:hint="eastAsia" w:ascii="宋体" w:hAnsi="宋体" w:cs="宋体"/>
          <w:color w:val="auto"/>
          <w:szCs w:val="21"/>
          <w:highlight w:val="none"/>
        </w:rPr>
        <w:t>投标人名称：</w:t>
      </w:r>
    </w:p>
    <w:p>
      <w:pPr>
        <w:spacing w:line="440" w:lineRule="exact"/>
        <w:ind w:firstLine="5880" w:firstLineChars="2800"/>
        <w:rPr>
          <w:rFonts w:ascii="宋体" w:hAnsi="宋体" w:cs="宋体"/>
          <w:color w:val="auto"/>
          <w:szCs w:val="21"/>
          <w:highlight w:val="none"/>
        </w:rPr>
      </w:pPr>
      <w:r>
        <w:rPr>
          <w:rFonts w:hint="eastAsia" w:ascii="宋体" w:hAnsi="宋体" w:cs="宋体"/>
          <w:color w:val="auto"/>
          <w:szCs w:val="21"/>
          <w:highlight w:val="none"/>
        </w:rPr>
        <w:t>日期：   年  月  日</w:t>
      </w:r>
    </w:p>
    <w:p>
      <w:pPr>
        <w:pStyle w:val="36"/>
        <w:rPr>
          <w:color w:val="auto"/>
          <w:highlight w:val="none"/>
        </w:rPr>
      </w:pPr>
    </w:p>
    <w:p>
      <w:pPr>
        <w:pStyle w:val="36"/>
        <w:rPr>
          <w:color w:val="auto"/>
          <w:highlight w:val="none"/>
        </w:rPr>
      </w:pPr>
    </w:p>
    <w:p>
      <w:pPr>
        <w:pStyle w:val="36"/>
        <w:rPr>
          <w:color w:val="auto"/>
          <w:highlight w:val="none"/>
        </w:rPr>
      </w:pPr>
    </w:p>
    <w:p>
      <w:pPr>
        <w:rPr>
          <w:rFonts w:ascii="宋体" w:hAnsi="宋体" w:cs="宋体"/>
          <w:b/>
          <w:color w:val="auto"/>
          <w:kern w:val="1"/>
          <w:sz w:val="24"/>
          <w:highlight w:val="none"/>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8：</w:t>
      </w:r>
    </w:p>
    <w:p>
      <w:pPr>
        <w:pStyle w:val="35"/>
        <w:spacing w:after="0" w:line="360" w:lineRule="auto"/>
        <w:ind w:firstLine="562" w:firstLineChars="200"/>
        <w:jc w:val="center"/>
        <w:rPr>
          <w:rFonts w:ascii="宋体" w:hAnsi="宋体" w:cs="宋体"/>
          <w:color w:val="auto"/>
          <w:sz w:val="18"/>
          <w:szCs w:val="18"/>
          <w:highlight w:val="none"/>
        </w:rPr>
      </w:pPr>
      <w:r>
        <w:rPr>
          <w:rFonts w:hint="eastAsia" w:ascii="宋体" w:hAnsi="宋体" w:cs="宋体"/>
          <w:b/>
          <w:color w:val="auto"/>
          <w:sz w:val="28"/>
          <w:szCs w:val="28"/>
          <w:highlight w:val="none"/>
        </w:rPr>
        <w:t>投标文件编制人员名单</w:t>
      </w:r>
    </w:p>
    <w:tbl>
      <w:tblPr>
        <w:tblStyle w:val="37"/>
        <w:tblW w:w="0" w:type="auto"/>
        <w:tblInd w:w="0" w:type="dxa"/>
        <w:tblLayout w:type="fixed"/>
        <w:tblCellMar>
          <w:top w:w="0" w:type="dxa"/>
          <w:left w:w="108" w:type="dxa"/>
          <w:bottom w:w="0" w:type="dxa"/>
          <w:right w:w="108" w:type="dxa"/>
        </w:tblCellMar>
      </w:tblPr>
      <w:tblGrid>
        <w:gridCol w:w="1249"/>
        <w:gridCol w:w="1453"/>
        <w:gridCol w:w="2486"/>
        <w:gridCol w:w="2383"/>
        <w:gridCol w:w="1432"/>
      </w:tblGrid>
      <w:tr>
        <w:tblPrEx>
          <w:tblCellMar>
            <w:top w:w="0" w:type="dxa"/>
            <w:left w:w="108" w:type="dxa"/>
            <w:bottom w:w="0" w:type="dxa"/>
            <w:right w:w="108" w:type="dxa"/>
          </w:tblCellMar>
        </w:tblPrEx>
        <w:trPr>
          <w:trHeight w:val="318"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投标单位名称：</w:t>
            </w:r>
          </w:p>
        </w:tc>
      </w:tr>
      <w:tr>
        <w:tblPrEx>
          <w:tblCellMar>
            <w:top w:w="0" w:type="dxa"/>
            <w:left w:w="108" w:type="dxa"/>
            <w:bottom w:w="0" w:type="dxa"/>
            <w:right w:w="108" w:type="dxa"/>
          </w:tblCellMar>
        </w:tblPrEx>
        <w:trPr>
          <w:trHeight w:val="212" w:hRule="atLeast"/>
        </w:trPr>
        <w:tc>
          <w:tcPr>
            <w:tcW w:w="12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姓名</w:t>
            </w:r>
          </w:p>
        </w:tc>
        <w:tc>
          <w:tcPr>
            <w:tcW w:w="14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职务</w:t>
            </w:r>
          </w:p>
        </w:tc>
        <w:tc>
          <w:tcPr>
            <w:tcW w:w="248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所承担工作</w:t>
            </w:r>
          </w:p>
        </w:tc>
        <w:tc>
          <w:tcPr>
            <w:tcW w:w="238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身份证号码</w:t>
            </w:r>
          </w:p>
        </w:tc>
        <w:tc>
          <w:tcPr>
            <w:tcW w:w="143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本人签名栏</w:t>
            </w:r>
          </w:p>
        </w:tc>
      </w:tr>
      <w:tr>
        <w:tblPrEx>
          <w:tblCellMar>
            <w:top w:w="0" w:type="dxa"/>
            <w:left w:w="108" w:type="dxa"/>
            <w:bottom w:w="0" w:type="dxa"/>
            <w:right w:w="108" w:type="dxa"/>
          </w:tblCellMar>
        </w:tblPrEx>
        <w:trPr>
          <w:trHeight w:val="58" w:hRule="atLeast"/>
        </w:trPr>
        <w:tc>
          <w:tcPr>
            <w:tcW w:w="12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162" w:hRule="atLeast"/>
        </w:trPr>
        <w:tc>
          <w:tcPr>
            <w:tcW w:w="12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123" w:hRule="atLeast"/>
        </w:trPr>
        <w:tc>
          <w:tcPr>
            <w:tcW w:w="12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214" w:hRule="atLeast"/>
        </w:trPr>
        <w:tc>
          <w:tcPr>
            <w:tcW w:w="12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175" w:hRule="atLeast"/>
        </w:trPr>
        <w:tc>
          <w:tcPr>
            <w:tcW w:w="12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 w:val="18"/>
                <w:szCs w:val="18"/>
                <w:highlight w:val="none"/>
              </w:rPr>
            </w:pPr>
          </w:p>
        </w:tc>
      </w:tr>
    </w:tbl>
    <w:p>
      <w:pPr>
        <w:pStyle w:val="35"/>
        <w:spacing w:after="0" w:line="360" w:lineRule="auto"/>
        <w:ind w:left="-2" w:leftChars="-1" w:firstLine="0"/>
        <w:rPr>
          <w:rFonts w:ascii="宋体" w:hAnsi="宋体" w:cs="宋体"/>
          <w:color w:val="auto"/>
          <w:sz w:val="18"/>
          <w:szCs w:val="18"/>
          <w:highlight w:val="none"/>
        </w:rPr>
      </w:pPr>
    </w:p>
    <w:p>
      <w:pPr>
        <w:pStyle w:val="35"/>
        <w:spacing w:after="0" w:line="360" w:lineRule="auto"/>
        <w:ind w:left="-2" w:leftChars="-1" w:firstLine="0"/>
        <w:rPr>
          <w:rFonts w:ascii="宋体" w:hAnsi="宋体" w:cs="宋体"/>
          <w:bCs/>
          <w:iCs/>
          <w:color w:val="auto"/>
          <w:sz w:val="18"/>
          <w:szCs w:val="18"/>
          <w:highlight w:val="none"/>
        </w:rPr>
      </w:pPr>
      <w:r>
        <w:rPr>
          <w:rFonts w:hint="eastAsia" w:ascii="宋体" w:hAnsi="宋体" w:cs="宋体"/>
          <w:color w:val="auto"/>
          <w:sz w:val="18"/>
          <w:szCs w:val="18"/>
          <w:highlight w:val="none"/>
        </w:rPr>
        <w:t>注：</w:t>
      </w:r>
      <w:r>
        <w:rPr>
          <w:rFonts w:hint="eastAsia" w:ascii="宋体" w:hAnsi="宋体" w:cs="宋体"/>
          <w:bCs/>
          <w:iCs/>
          <w:color w:val="auto"/>
          <w:sz w:val="18"/>
          <w:szCs w:val="18"/>
          <w:highlight w:val="none"/>
        </w:rPr>
        <w:t>参与编制标书所有人员名单应包括如编制工程承包实施方案、投标报价、负责清样校对、负责加密打包、负责上传、负责密封、负责打印及复印等所有人员在内的人员名单。</w:t>
      </w: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color w:val="auto"/>
          <w:highlight w:val="none"/>
        </w:rPr>
      </w:pPr>
    </w:p>
    <w:p>
      <w:pPr>
        <w:pStyle w:val="65"/>
        <w:ind w:firstLine="0" w:firstLineChars="0"/>
        <w:rPr>
          <w:rFonts w:ascii="宋体" w:hAnsi="宋体" w:eastAsia="宋体" w:cs="宋体"/>
          <w:b/>
          <w:color w:val="auto"/>
          <w:spacing w:val="0"/>
          <w:kern w:val="1"/>
          <w:highlight w:val="none"/>
          <w:lang w:val="zh-CN"/>
        </w:rPr>
      </w:pPr>
      <w:r>
        <w:rPr>
          <w:rFonts w:ascii="宋体" w:hAnsi="宋体" w:eastAsia="宋体" w:cs="宋体"/>
          <w:b/>
          <w:color w:val="auto"/>
          <w:spacing w:val="0"/>
          <w:kern w:val="1"/>
          <w:highlight w:val="none"/>
        </w:rPr>
        <w:br w:type="page"/>
      </w:r>
      <w:r>
        <w:rPr>
          <w:rFonts w:hint="eastAsia" w:ascii="宋体" w:hAnsi="宋体" w:eastAsia="宋体" w:cs="宋体"/>
          <w:b/>
          <w:color w:val="auto"/>
          <w:spacing w:val="0"/>
          <w:kern w:val="1"/>
          <w:highlight w:val="none"/>
          <w:lang w:val="zh-CN"/>
        </w:rPr>
        <w:t>格式9</w:t>
      </w:r>
    </w:p>
    <w:p>
      <w:pPr>
        <w:pStyle w:val="65"/>
        <w:ind w:firstLine="578"/>
        <w:jc w:val="center"/>
        <w:rPr>
          <w:rFonts w:ascii="宋体" w:hAnsi="宋体" w:eastAsia="宋体" w:cs="宋体"/>
          <w:b/>
          <w:bCs/>
          <w:color w:val="auto"/>
          <w:sz w:val="28"/>
          <w:highlight w:val="none"/>
        </w:rPr>
      </w:pPr>
      <w:r>
        <w:rPr>
          <w:rFonts w:hint="eastAsia" w:ascii="宋体" w:hAnsi="宋体" w:eastAsia="宋体" w:cs="宋体"/>
          <w:b/>
          <w:bCs/>
          <w:color w:val="auto"/>
          <w:sz w:val="28"/>
          <w:highlight w:val="none"/>
        </w:rPr>
        <w:t>工程量清单报价表</w:t>
      </w:r>
    </w:p>
    <w:p>
      <w:pPr>
        <w:pStyle w:val="65"/>
        <w:ind w:firstLine="0" w:firstLineChars="0"/>
        <w:jc w:val="center"/>
        <w:rPr>
          <w:rFonts w:ascii="宋体" w:hAnsi="宋体" w:eastAsia="宋体" w:cs="宋体"/>
          <w:b/>
          <w:bCs/>
          <w:color w:val="auto"/>
          <w:sz w:val="28"/>
          <w:highlight w:val="none"/>
        </w:rPr>
      </w:pPr>
      <w:r>
        <w:rPr>
          <w:rFonts w:hint="eastAsia" w:ascii="宋体" w:hAnsi="宋体" w:eastAsia="宋体" w:cs="宋体"/>
          <w:b/>
          <w:bCs/>
          <w:color w:val="auto"/>
          <w:sz w:val="28"/>
          <w:highlight w:val="none"/>
        </w:rPr>
        <w:t xml:space="preserve">  （另册）</w:t>
      </w:r>
    </w:p>
    <w:p>
      <w:pPr>
        <w:pStyle w:val="65"/>
        <w:ind w:firstLine="0" w:firstLineChars="0"/>
        <w:jc w:val="center"/>
        <w:rPr>
          <w:rFonts w:ascii="宋体" w:hAnsi="宋体" w:eastAsia="宋体" w:cs="宋体"/>
          <w:b/>
          <w:bCs/>
          <w:color w:val="auto"/>
          <w:sz w:val="28"/>
          <w:highlight w:val="none"/>
        </w:rPr>
      </w:pPr>
    </w:p>
    <w:p>
      <w:pPr>
        <w:pStyle w:val="65"/>
        <w:ind w:firstLine="0" w:firstLineChars="0"/>
        <w:rPr>
          <w:rFonts w:ascii="宋体" w:hAnsi="宋体" w:eastAsia="宋体" w:cs="宋体"/>
          <w:b/>
          <w:color w:val="auto"/>
          <w:spacing w:val="0"/>
          <w:kern w:val="1"/>
          <w:highlight w:val="none"/>
          <w:lang w:val="zh-CN"/>
        </w:rPr>
      </w:pPr>
      <w:r>
        <w:rPr>
          <w:rFonts w:hint="eastAsia" w:ascii="宋体" w:hAnsi="宋体" w:eastAsia="宋体" w:cs="宋体"/>
          <w:b/>
          <w:color w:val="auto"/>
          <w:spacing w:val="0"/>
          <w:kern w:val="1"/>
          <w:highlight w:val="none"/>
          <w:lang w:val="zh-CN"/>
        </w:rPr>
        <w:t>格式10</w:t>
      </w:r>
    </w:p>
    <w:p>
      <w:pPr>
        <w:pStyle w:val="65"/>
        <w:ind w:firstLine="0" w:firstLineChars="0"/>
        <w:jc w:val="center"/>
        <w:rPr>
          <w:rFonts w:ascii="宋体" w:hAnsi="宋体" w:eastAsia="宋体" w:cs="宋体"/>
          <w:b/>
          <w:bCs/>
          <w:color w:val="auto"/>
          <w:sz w:val="28"/>
          <w:highlight w:val="none"/>
        </w:rPr>
      </w:pPr>
      <w:r>
        <w:rPr>
          <w:rFonts w:hint="eastAsia" w:ascii="宋体" w:hAnsi="宋体" w:eastAsia="宋体" w:cs="宋体"/>
          <w:b/>
          <w:bCs/>
          <w:color w:val="auto"/>
          <w:sz w:val="28"/>
          <w:highlight w:val="none"/>
        </w:rPr>
        <w:t>投标人认为应该补充的资料</w:t>
      </w:r>
    </w:p>
    <w:p>
      <w:pPr>
        <w:pStyle w:val="65"/>
        <w:ind w:firstLine="0" w:firstLineChars="0"/>
        <w:jc w:val="center"/>
        <w:rPr>
          <w:rFonts w:ascii="宋体" w:hAnsi="宋体" w:eastAsia="宋体" w:cs="宋体"/>
          <w:b/>
          <w:bCs/>
          <w:color w:val="auto"/>
          <w:sz w:val="28"/>
          <w:highlight w:val="none"/>
        </w:rPr>
      </w:pPr>
      <w:r>
        <w:rPr>
          <w:rFonts w:hint="eastAsia" w:ascii="宋体" w:hAnsi="宋体" w:eastAsia="宋体" w:cs="宋体"/>
          <w:b/>
          <w:bCs/>
          <w:color w:val="auto"/>
          <w:sz w:val="28"/>
          <w:highlight w:val="none"/>
        </w:rPr>
        <w:t>（内容格式自拟）</w:t>
      </w: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widowControl/>
        <w:jc w:val="left"/>
        <w:rPr>
          <w:rFonts w:ascii="宋体" w:hAnsi="宋体" w:cs="宋体"/>
          <w:b/>
          <w:color w:val="auto"/>
          <w:kern w:val="1"/>
          <w:sz w:val="24"/>
          <w:highlight w:val="none"/>
          <w:lang w:val="zh-CN"/>
        </w:rPr>
      </w:pPr>
    </w:p>
    <w:p>
      <w:pPr>
        <w:pStyle w:val="13"/>
        <w:rPr>
          <w:rFonts w:ascii="宋体" w:hAnsi="宋体" w:cs="宋体"/>
          <w:color w:val="auto"/>
          <w:highlight w:val="none"/>
        </w:rPr>
      </w:pPr>
    </w:p>
    <w:p>
      <w:pPr>
        <w:pStyle w:val="13"/>
        <w:rPr>
          <w:rFonts w:ascii="宋体" w:hAnsi="宋体" w:cs="宋体"/>
          <w:color w:val="auto"/>
          <w:highlight w:val="none"/>
        </w:rPr>
      </w:pPr>
    </w:p>
    <w:bookmarkEnd w:id="73"/>
    <w:sectPr>
      <w:pgSz w:w="11906" w:h="16838"/>
      <w:pgMar w:top="1440" w:right="1083" w:bottom="1440" w:left="108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AZOrAwDQIAAAQEAAAOAAAAAAAAAAEAIAAAAB8B&#10;AABkcnMvZTJvRG9jLnhtbFBLBQYAAAAABgAGAFkBAACeBQ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24"/>
      <w:pBdr>
        <w:bottom w:val="none" w:color="auto" w:sz="0" w:space="0"/>
      </w:pBd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0288" behindDoc="0" locked="0" layoutInCell="1" allowOverlap="1">
              <wp:simplePos x="0" y="0"/>
              <wp:positionH relativeFrom="margin">
                <wp:posOffset>2824480</wp:posOffset>
              </wp:positionH>
              <wp:positionV relativeFrom="paragraph">
                <wp:posOffset>4445</wp:posOffset>
              </wp:positionV>
              <wp:extent cx="266700" cy="285750"/>
              <wp:effectExtent l="0" t="0" r="0" b="0"/>
              <wp:wrapNone/>
              <wp:docPr id="4"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266700" cy="285750"/>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 id="文本框 1026" o:spid="_x0000_s1026" o:spt="202" type="#_x0000_t202" style="position:absolute;left:0pt;margin-left:222.4pt;margin-top:0.35pt;height:22.5pt;width:21pt;mso-position-horizontal-relative:margin;z-index:251660288;mso-width-relative:page;mso-height-relative:page;" filled="f" stroked="f" coordsize="21600,21600" o:gfxdata="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VLlCNUAAAAHAQAADwAAAAAAAAABACAA&#10;AAAiAAAAZHJzL2Rvd25yZXYueG1sUEsBAhQAFAAAAAgAh07iQKIH95MQAgAABwQAAA4AAAAAAAAA&#10;AQAgAAAAJAEAAGRycy9lMm9Eb2MueG1sUEsFBgAAAAAGAAYAWQEAAKYFAAAAAA==&#10;">
              <v:fill on="f" focussize="0,0"/>
              <v:stroke on="f"/>
              <v:imagedata o:title=""/>
              <o:lock v:ext="edit" aspectratio="f"/>
              <v:textbox inset="0mm,0mm,0mm,0mm">
                <w:txbxContent>
                  <w:p>
                    <w:pPr>
                      <w:pStyle w:val="23"/>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7612C"/>
    <w:multiLevelType w:val="singleLevel"/>
    <w:tmpl w:val="8AD7612C"/>
    <w:lvl w:ilvl="0" w:tentative="0">
      <w:start w:val="6"/>
      <w:numFmt w:val="decimal"/>
      <w:suff w:val="space"/>
      <w:lvlText w:val="%1."/>
      <w:lvlJc w:val="left"/>
    </w:lvl>
  </w:abstractNum>
  <w:abstractNum w:abstractNumId="1">
    <w:nsid w:val="0563A288"/>
    <w:multiLevelType w:val="singleLevel"/>
    <w:tmpl w:val="0563A288"/>
    <w:lvl w:ilvl="0" w:tentative="0">
      <w:start w:val="1"/>
      <w:numFmt w:val="decimal"/>
      <w:suff w:val="nothing"/>
      <w:lvlText w:val="（%1）"/>
      <w:lvlJc w:val="left"/>
    </w:lvl>
  </w:abstractNum>
  <w:abstractNum w:abstractNumId="2">
    <w:nsid w:val="252C83BC"/>
    <w:multiLevelType w:val="singleLevel"/>
    <w:tmpl w:val="252C83BC"/>
    <w:lvl w:ilvl="0" w:tentative="0">
      <w:start w:val="1"/>
      <w:numFmt w:val="decimal"/>
      <w:suff w:val="nothing"/>
      <w:lvlText w:val="（%1）"/>
      <w:lvlJc w:val="left"/>
    </w:lvl>
  </w:abstractNum>
  <w:abstractNum w:abstractNumId="3">
    <w:nsid w:val="58BE4D52"/>
    <w:multiLevelType w:val="singleLevel"/>
    <w:tmpl w:val="58BE4D52"/>
    <w:lvl w:ilvl="0" w:tentative="0">
      <w:start w:val="2"/>
      <w:numFmt w:val="chineseCounting"/>
      <w:suff w:val="nothing"/>
      <w:lvlText w:val="%1、"/>
      <w:lvlJc w:val="left"/>
      <w:rPr>
        <w:rFonts w:hint="eastAsia"/>
      </w:rPr>
    </w:lvl>
  </w:abstractNum>
  <w:abstractNum w:abstractNumId="4">
    <w:nsid w:val="6FEA7A2A"/>
    <w:multiLevelType w:val="singleLevel"/>
    <w:tmpl w:val="6FEA7A2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GWebUrl" w:val="http://10.168.30.10:7890/easoa/PositionServlet"/>
  </w:docVars>
  <w:rsids>
    <w:rsidRoot w:val="00172A27"/>
    <w:rsid w:val="00000393"/>
    <w:rsid w:val="00000DE9"/>
    <w:rsid w:val="0000133A"/>
    <w:rsid w:val="00001518"/>
    <w:rsid w:val="00001B17"/>
    <w:rsid w:val="0000378D"/>
    <w:rsid w:val="00003C7B"/>
    <w:rsid w:val="0000562D"/>
    <w:rsid w:val="0000771B"/>
    <w:rsid w:val="000108FA"/>
    <w:rsid w:val="00012E70"/>
    <w:rsid w:val="0001314A"/>
    <w:rsid w:val="00013409"/>
    <w:rsid w:val="0001673E"/>
    <w:rsid w:val="0001686B"/>
    <w:rsid w:val="00030637"/>
    <w:rsid w:val="00030BFA"/>
    <w:rsid w:val="00033FD3"/>
    <w:rsid w:val="00036079"/>
    <w:rsid w:val="00037489"/>
    <w:rsid w:val="0003765B"/>
    <w:rsid w:val="00040E20"/>
    <w:rsid w:val="00043F7E"/>
    <w:rsid w:val="0004572A"/>
    <w:rsid w:val="000473B5"/>
    <w:rsid w:val="0004768B"/>
    <w:rsid w:val="000527A5"/>
    <w:rsid w:val="0005291F"/>
    <w:rsid w:val="00052D5F"/>
    <w:rsid w:val="000538FB"/>
    <w:rsid w:val="000540B8"/>
    <w:rsid w:val="000547A0"/>
    <w:rsid w:val="000568C9"/>
    <w:rsid w:val="00057FA4"/>
    <w:rsid w:val="00060554"/>
    <w:rsid w:val="000609DC"/>
    <w:rsid w:val="00061B45"/>
    <w:rsid w:val="00061E2D"/>
    <w:rsid w:val="00062B5A"/>
    <w:rsid w:val="00064AD6"/>
    <w:rsid w:val="00066C21"/>
    <w:rsid w:val="00066E93"/>
    <w:rsid w:val="000677BD"/>
    <w:rsid w:val="00070193"/>
    <w:rsid w:val="0007044E"/>
    <w:rsid w:val="00070492"/>
    <w:rsid w:val="00071E5D"/>
    <w:rsid w:val="000728B4"/>
    <w:rsid w:val="00073ACE"/>
    <w:rsid w:val="0007578B"/>
    <w:rsid w:val="00075B15"/>
    <w:rsid w:val="00076D54"/>
    <w:rsid w:val="000773D6"/>
    <w:rsid w:val="0007741A"/>
    <w:rsid w:val="000823A6"/>
    <w:rsid w:val="00082FEA"/>
    <w:rsid w:val="00083312"/>
    <w:rsid w:val="000842DE"/>
    <w:rsid w:val="00084AB0"/>
    <w:rsid w:val="00087775"/>
    <w:rsid w:val="000902A4"/>
    <w:rsid w:val="00093539"/>
    <w:rsid w:val="000939B0"/>
    <w:rsid w:val="00094665"/>
    <w:rsid w:val="00096DB1"/>
    <w:rsid w:val="000974B7"/>
    <w:rsid w:val="00097D5C"/>
    <w:rsid w:val="00097E04"/>
    <w:rsid w:val="000A0AB8"/>
    <w:rsid w:val="000A10D2"/>
    <w:rsid w:val="000A401E"/>
    <w:rsid w:val="000A5AC8"/>
    <w:rsid w:val="000A68CC"/>
    <w:rsid w:val="000A6DC9"/>
    <w:rsid w:val="000A7CE9"/>
    <w:rsid w:val="000B22A1"/>
    <w:rsid w:val="000B2B70"/>
    <w:rsid w:val="000B36AD"/>
    <w:rsid w:val="000B5901"/>
    <w:rsid w:val="000B5A36"/>
    <w:rsid w:val="000B615E"/>
    <w:rsid w:val="000B7682"/>
    <w:rsid w:val="000B7757"/>
    <w:rsid w:val="000C08F2"/>
    <w:rsid w:val="000C1C5E"/>
    <w:rsid w:val="000C2061"/>
    <w:rsid w:val="000C4A60"/>
    <w:rsid w:val="000C50C0"/>
    <w:rsid w:val="000C548B"/>
    <w:rsid w:val="000C5CD6"/>
    <w:rsid w:val="000C77AE"/>
    <w:rsid w:val="000C7F1C"/>
    <w:rsid w:val="000D1854"/>
    <w:rsid w:val="000D2806"/>
    <w:rsid w:val="000D4709"/>
    <w:rsid w:val="000D6EC1"/>
    <w:rsid w:val="000D7410"/>
    <w:rsid w:val="000E0542"/>
    <w:rsid w:val="000E3F41"/>
    <w:rsid w:val="000E64BF"/>
    <w:rsid w:val="000F0426"/>
    <w:rsid w:val="000F0E16"/>
    <w:rsid w:val="000F4262"/>
    <w:rsid w:val="000F4FE9"/>
    <w:rsid w:val="000F59AB"/>
    <w:rsid w:val="00100E67"/>
    <w:rsid w:val="00101757"/>
    <w:rsid w:val="0010359E"/>
    <w:rsid w:val="00104A71"/>
    <w:rsid w:val="00105273"/>
    <w:rsid w:val="0011035C"/>
    <w:rsid w:val="00111D53"/>
    <w:rsid w:val="00111F5F"/>
    <w:rsid w:val="0011205D"/>
    <w:rsid w:val="001132D2"/>
    <w:rsid w:val="00114E7E"/>
    <w:rsid w:val="00116540"/>
    <w:rsid w:val="00120882"/>
    <w:rsid w:val="00120BF9"/>
    <w:rsid w:val="001211A7"/>
    <w:rsid w:val="00121C2E"/>
    <w:rsid w:val="00122496"/>
    <w:rsid w:val="0012269E"/>
    <w:rsid w:val="00124134"/>
    <w:rsid w:val="001243AE"/>
    <w:rsid w:val="001245D3"/>
    <w:rsid w:val="0012543F"/>
    <w:rsid w:val="00126DDC"/>
    <w:rsid w:val="0013253A"/>
    <w:rsid w:val="00134893"/>
    <w:rsid w:val="001358F9"/>
    <w:rsid w:val="00136226"/>
    <w:rsid w:val="0013775A"/>
    <w:rsid w:val="001379A6"/>
    <w:rsid w:val="00140592"/>
    <w:rsid w:val="00140DC6"/>
    <w:rsid w:val="001415F6"/>
    <w:rsid w:val="001439D7"/>
    <w:rsid w:val="00144067"/>
    <w:rsid w:val="00144387"/>
    <w:rsid w:val="00146694"/>
    <w:rsid w:val="0015105C"/>
    <w:rsid w:val="00151D89"/>
    <w:rsid w:val="00152925"/>
    <w:rsid w:val="0015336D"/>
    <w:rsid w:val="0015588E"/>
    <w:rsid w:val="00155C00"/>
    <w:rsid w:val="00160969"/>
    <w:rsid w:val="00160F72"/>
    <w:rsid w:val="0016128D"/>
    <w:rsid w:val="00161F46"/>
    <w:rsid w:val="001630EA"/>
    <w:rsid w:val="0016373A"/>
    <w:rsid w:val="00163CC8"/>
    <w:rsid w:val="00165C2C"/>
    <w:rsid w:val="001667F7"/>
    <w:rsid w:val="00167C11"/>
    <w:rsid w:val="00167EEA"/>
    <w:rsid w:val="00170E33"/>
    <w:rsid w:val="00170F9F"/>
    <w:rsid w:val="001710EC"/>
    <w:rsid w:val="00171738"/>
    <w:rsid w:val="001724F4"/>
    <w:rsid w:val="00172A27"/>
    <w:rsid w:val="00176254"/>
    <w:rsid w:val="00177D2C"/>
    <w:rsid w:val="00181D3A"/>
    <w:rsid w:val="0018357F"/>
    <w:rsid w:val="0018385E"/>
    <w:rsid w:val="001853CD"/>
    <w:rsid w:val="00185E33"/>
    <w:rsid w:val="0018665A"/>
    <w:rsid w:val="00186718"/>
    <w:rsid w:val="00187754"/>
    <w:rsid w:val="00187A83"/>
    <w:rsid w:val="001913B5"/>
    <w:rsid w:val="0019565B"/>
    <w:rsid w:val="001973D4"/>
    <w:rsid w:val="001A1BF6"/>
    <w:rsid w:val="001A346A"/>
    <w:rsid w:val="001A4C48"/>
    <w:rsid w:val="001A5612"/>
    <w:rsid w:val="001A7180"/>
    <w:rsid w:val="001A730F"/>
    <w:rsid w:val="001A7880"/>
    <w:rsid w:val="001B1D90"/>
    <w:rsid w:val="001B283F"/>
    <w:rsid w:val="001B32A6"/>
    <w:rsid w:val="001B39AC"/>
    <w:rsid w:val="001B4A13"/>
    <w:rsid w:val="001B5BF8"/>
    <w:rsid w:val="001B5DEE"/>
    <w:rsid w:val="001B62F8"/>
    <w:rsid w:val="001C0903"/>
    <w:rsid w:val="001C143D"/>
    <w:rsid w:val="001C45BD"/>
    <w:rsid w:val="001C5C4F"/>
    <w:rsid w:val="001C614B"/>
    <w:rsid w:val="001C70DC"/>
    <w:rsid w:val="001C7EB3"/>
    <w:rsid w:val="001D13D5"/>
    <w:rsid w:val="001D2AC0"/>
    <w:rsid w:val="001D4370"/>
    <w:rsid w:val="001D4B15"/>
    <w:rsid w:val="001D4C1F"/>
    <w:rsid w:val="001E16C8"/>
    <w:rsid w:val="001E1759"/>
    <w:rsid w:val="001E17FC"/>
    <w:rsid w:val="001E2917"/>
    <w:rsid w:val="001E3DE6"/>
    <w:rsid w:val="001E4DE1"/>
    <w:rsid w:val="001E66B8"/>
    <w:rsid w:val="001F0447"/>
    <w:rsid w:val="001F0B11"/>
    <w:rsid w:val="001F1441"/>
    <w:rsid w:val="001F2AE7"/>
    <w:rsid w:val="001F4808"/>
    <w:rsid w:val="001F4EA1"/>
    <w:rsid w:val="001F6F0A"/>
    <w:rsid w:val="0020041E"/>
    <w:rsid w:val="00201111"/>
    <w:rsid w:val="00201ABD"/>
    <w:rsid w:val="002046B5"/>
    <w:rsid w:val="00204791"/>
    <w:rsid w:val="00204E1A"/>
    <w:rsid w:val="002074D8"/>
    <w:rsid w:val="00207A2B"/>
    <w:rsid w:val="00207E72"/>
    <w:rsid w:val="00210C1A"/>
    <w:rsid w:val="0021237C"/>
    <w:rsid w:val="00213DB0"/>
    <w:rsid w:val="00216226"/>
    <w:rsid w:val="00216350"/>
    <w:rsid w:val="00216982"/>
    <w:rsid w:val="00220CAC"/>
    <w:rsid w:val="00221377"/>
    <w:rsid w:val="00222071"/>
    <w:rsid w:val="00222AE0"/>
    <w:rsid w:val="00223225"/>
    <w:rsid w:val="00224318"/>
    <w:rsid w:val="0022510D"/>
    <w:rsid w:val="00225C66"/>
    <w:rsid w:val="00230F5A"/>
    <w:rsid w:val="00232D5A"/>
    <w:rsid w:val="002363F8"/>
    <w:rsid w:val="0023665A"/>
    <w:rsid w:val="002378C5"/>
    <w:rsid w:val="00246CFF"/>
    <w:rsid w:val="002503C4"/>
    <w:rsid w:val="002504BA"/>
    <w:rsid w:val="00251321"/>
    <w:rsid w:val="002513FB"/>
    <w:rsid w:val="002528C7"/>
    <w:rsid w:val="00253068"/>
    <w:rsid w:val="00254AF3"/>
    <w:rsid w:val="002609F1"/>
    <w:rsid w:val="00261799"/>
    <w:rsid w:val="00261A88"/>
    <w:rsid w:val="00261CA9"/>
    <w:rsid w:val="00262EC5"/>
    <w:rsid w:val="00263F40"/>
    <w:rsid w:val="0026419F"/>
    <w:rsid w:val="00264E6E"/>
    <w:rsid w:val="00264EDB"/>
    <w:rsid w:val="00266162"/>
    <w:rsid w:val="00266B6C"/>
    <w:rsid w:val="00266D48"/>
    <w:rsid w:val="00267458"/>
    <w:rsid w:val="002677C0"/>
    <w:rsid w:val="00267988"/>
    <w:rsid w:val="00267E84"/>
    <w:rsid w:val="002707E2"/>
    <w:rsid w:val="00270D15"/>
    <w:rsid w:val="0027131E"/>
    <w:rsid w:val="0027211D"/>
    <w:rsid w:val="0027400A"/>
    <w:rsid w:val="00274EC6"/>
    <w:rsid w:val="00275CAC"/>
    <w:rsid w:val="00276664"/>
    <w:rsid w:val="0027705D"/>
    <w:rsid w:val="00277F2C"/>
    <w:rsid w:val="00282818"/>
    <w:rsid w:val="00282C09"/>
    <w:rsid w:val="0028343D"/>
    <w:rsid w:val="00284D63"/>
    <w:rsid w:val="00284EE5"/>
    <w:rsid w:val="00285466"/>
    <w:rsid w:val="00286036"/>
    <w:rsid w:val="00287F11"/>
    <w:rsid w:val="0029070D"/>
    <w:rsid w:val="00290E39"/>
    <w:rsid w:val="002915CD"/>
    <w:rsid w:val="00291ABE"/>
    <w:rsid w:val="00291E5D"/>
    <w:rsid w:val="0029268C"/>
    <w:rsid w:val="0029269C"/>
    <w:rsid w:val="00293037"/>
    <w:rsid w:val="00293BEC"/>
    <w:rsid w:val="00293C36"/>
    <w:rsid w:val="00294674"/>
    <w:rsid w:val="0029568C"/>
    <w:rsid w:val="00295708"/>
    <w:rsid w:val="00296277"/>
    <w:rsid w:val="002A0000"/>
    <w:rsid w:val="002A026C"/>
    <w:rsid w:val="002A0514"/>
    <w:rsid w:val="002A10D9"/>
    <w:rsid w:val="002A1B03"/>
    <w:rsid w:val="002A26AE"/>
    <w:rsid w:val="002A2DBA"/>
    <w:rsid w:val="002A30C4"/>
    <w:rsid w:val="002A317C"/>
    <w:rsid w:val="002A33E4"/>
    <w:rsid w:val="002A4006"/>
    <w:rsid w:val="002A43A5"/>
    <w:rsid w:val="002A5594"/>
    <w:rsid w:val="002A5913"/>
    <w:rsid w:val="002A62BD"/>
    <w:rsid w:val="002B2185"/>
    <w:rsid w:val="002B2CA4"/>
    <w:rsid w:val="002B3D06"/>
    <w:rsid w:val="002B4717"/>
    <w:rsid w:val="002C0033"/>
    <w:rsid w:val="002C18DD"/>
    <w:rsid w:val="002C2072"/>
    <w:rsid w:val="002C2F79"/>
    <w:rsid w:val="002C428C"/>
    <w:rsid w:val="002C58FE"/>
    <w:rsid w:val="002C6063"/>
    <w:rsid w:val="002D2274"/>
    <w:rsid w:val="002D2922"/>
    <w:rsid w:val="002D2D65"/>
    <w:rsid w:val="002D35C5"/>
    <w:rsid w:val="002D68C0"/>
    <w:rsid w:val="002D70EB"/>
    <w:rsid w:val="002E0557"/>
    <w:rsid w:val="002E1FDF"/>
    <w:rsid w:val="002E202C"/>
    <w:rsid w:val="002E24F2"/>
    <w:rsid w:val="002E414B"/>
    <w:rsid w:val="002E43C5"/>
    <w:rsid w:val="002E7F95"/>
    <w:rsid w:val="002F01D0"/>
    <w:rsid w:val="002F3C62"/>
    <w:rsid w:val="002F3EA3"/>
    <w:rsid w:val="002F4079"/>
    <w:rsid w:val="002F5030"/>
    <w:rsid w:val="002F5281"/>
    <w:rsid w:val="002F5DA2"/>
    <w:rsid w:val="002F6332"/>
    <w:rsid w:val="002F7B55"/>
    <w:rsid w:val="0030093A"/>
    <w:rsid w:val="00300B06"/>
    <w:rsid w:val="003016BB"/>
    <w:rsid w:val="00303DBD"/>
    <w:rsid w:val="00304035"/>
    <w:rsid w:val="003050FC"/>
    <w:rsid w:val="00305258"/>
    <w:rsid w:val="0030662D"/>
    <w:rsid w:val="003074D3"/>
    <w:rsid w:val="00307553"/>
    <w:rsid w:val="003075E7"/>
    <w:rsid w:val="0031010C"/>
    <w:rsid w:val="003114E8"/>
    <w:rsid w:val="00312AA7"/>
    <w:rsid w:val="00313580"/>
    <w:rsid w:val="00314D8F"/>
    <w:rsid w:val="00314D9D"/>
    <w:rsid w:val="0031563E"/>
    <w:rsid w:val="0031593B"/>
    <w:rsid w:val="00315D5C"/>
    <w:rsid w:val="0031695B"/>
    <w:rsid w:val="003206FC"/>
    <w:rsid w:val="003217C5"/>
    <w:rsid w:val="00322579"/>
    <w:rsid w:val="00324276"/>
    <w:rsid w:val="00325081"/>
    <w:rsid w:val="00330509"/>
    <w:rsid w:val="0033058E"/>
    <w:rsid w:val="00332076"/>
    <w:rsid w:val="00333175"/>
    <w:rsid w:val="00334C0D"/>
    <w:rsid w:val="00335DBE"/>
    <w:rsid w:val="00336351"/>
    <w:rsid w:val="00336D5A"/>
    <w:rsid w:val="00337386"/>
    <w:rsid w:val="003376E5"/>
    <w:rsid w:val="00337E49"/>
    <w:rsid w:val="0034043A"/>
    <w:rsid w:val="00341D0C"/>
    <w:rsid w:val="00341DF6"/>
    <w:rsid w:val="00343460"/>
    <w:rsid w:val="00343A71"/>
    <w:rsid w:val="00344431"/>
    <w:rsid w:val="0034515A"/>
    <w:rsid w:val="00350009"/>
    <w:rsid w:val="00351A45"/>
    <w:rsid w:val="00351A93"/>
    <w:rsid w:val="00352BB1"/>
    <w:rsid w:val="00353155"/>
    <w:rsid w:val="00354E74"/>
    <w:rsid w:val="0035666E"/>
    <w:rsid w:val="003574C1"/>
    <w:rsid w:val="003608E3"/>
    <w:rsid w:val="00361DB2"/>
    <w:rsid w:val="00362FBE"/>
    <w:rsid w:val="00364051"/>
    <w:rsid w:val="0036433C"/>
    <w:rsid w:val="00364812"/>
    <w:rsid w:val="0036481E"/>
    <w:rsid w:val="00364B3F"/>
    <w:rsid w:val="003654D3"/>
    <w:rsid w:val="00367C89"/>
    <w:rsid w:val="00367E75"/>
    <w:rsid w:val="0037065F"/>
    <w:rsid w:val="00370AA2"/>
    <w:rsid w:val="0037135C"/>
    <w:rsid w:val="003729EE"/>
    <w:rsid w:val="00372A67"/>
    <w:rsid w:val="00372B70"/>
    <w:rsid w:val="00373E82"/>
    <w:rsid w:val="00374C0D"/>
    <w:rsid w:val="003750F8"/>
    <w:rsid w:val="00376230"/>
    <w:rsid w:val="00377245"/>
    <w:rsid w:val="0037757B"/>
    <w:rsid w:val="003802FD"/>
    <w:rsid w:val="00380BDE"/>
    <w:rsid w:val="00382034"/>
    <w:rsid w:val="00383688"/>
    <w:rsid w:val="00386049"/>
    <w:rsid w:val="00390955"/>
    <w:rsid w:val="00391B4A"/>
    <w:rsid w:val="0039202F"/>
    <w:rsid w:val="0039216B"/>
    <w:rsid w:val="003925F0"/>
    <w:rsid w:val="003943EC"/>
    <w:rsid w:val="00395588"/>
    <w:rsid w:val="00395890"/>
    <w:rsid w:val="00395D6F"/>
    <w:rsid w:val="003A01A8"/>
    <w:rsid w:val="003A2152"/>
    <w:rsid w:val="003A2934"/>
    <w:rsid w:val="003A307E"/>
    <w:rsid w:val="003A49AD"/>
    <w:rsid w:val="003A50B6"/>
    <w:rsid w:val="003A5178"/>
    <w:rsid w:val="003A532D"/>
    <w:rsid w:val="003B0F44"/>
    <w:rsid w:val="003B1493"/>
    <w:rsid w:val="003B2155"/>
    <w:rsid w:val="003B217C"/>
    <w:rsid w:val="003B2ED9"/>
    <w:rsid w:val="003B3147"/>
    <w:rsid w:val="003B46DF"/>
    <w:rsid w:val="003C0533"/>
    <w:rsid w:val="003C4211"/>
    <w:rsid w:val="003C6E0A"/>
    <w:rsid w:val="003C735F"/>
    <w:rsid w:val="003D016E"/>
    <w:rsid w:val="003D0C46"/>
    <w:rsid w:val="003D12B1"/>
    <w:rsid w:val="003D228E"/>
    <w:rsid w:val="003D2D40"/>
    <w:rsid w:val="003D2DA1"/>
    <w:rsid w:val="003D3657"/>
    <w:rsid w:val="003D49B3"/>
    <w:rsid w:val="003D4DCB"/>
    <w:rsid w:val="003D6028"/>
    <w:rsid w:val="003D7279"/>
    <w:rsid w:val="003D7908"/>
    <w:rsid w:val="003E0B8A"/>
    <w:rsid w:val="003E1C97"/>
    <w:rsid w:val="003E212B"/>
    <w:rsid w:val="003E4EC4"/>
    <w:rsid w:val="003E5720"/>
    <w:rsid w:val="003E755A"/>
    <w:rsid w:val="003E78BE"/>
    <w:rsid w:val="003F061A"/>
    <w:rsid w:val="003F3181"/>
    <w:rsid w:val="003F3708"/>
    <w:rsid w:val="003F3BE3"/>
    <w:rsid w:val="003F58B9"/>
    <w:rsid w:val="003F58D2"/>
    <w:rsid w:val="003F6817"/>
    <w:rsid w:val="003F68B1"/>
    <w:rsid w:val="00402290"/>
    <w:rsid w:val="00402748"/>
    <w:rsid w:val="00402A04"/>
    <w:rsid w:val="00403310"/>
    <w:rsid w:val="00403946"/>
    <w:rsid w:val="00403D3F"/>
    <w:rsid w:val="0040475C"/>
    <w:rsid w:val="00404FBA"/>
    <w:rsid w:val="00405EE9"/>
    <w:rsid w:val="004062B8"/>
    <w:rsid w:val="00407BB4"/>
    <w:rsid w:val="00410FD3"/>
    <w:rsid w:val="00411E2F"/>
    <w:rsid w:val="00413A76"/>
    <w:rsid w:val="00413ADB"/>
    <w:rsid w:val="004145DD"/>
    <w:rsid w:val="00415CCB"/>
    <w:rsid w:val="00416E62"/>
    <w:rsid w:val="004225F2"/>
    <w:rsid w:val="0042475D"/>
    <w:rsid w:val="00424801"/>
    <w:rsid w:val="004261A1"/>
    <w:rsid w:val="00426552"/>
    <w:rsid w:val="0042732D"/>
    <w:rsid w:val="0043077C"/>
    <w:rsid w:val="004311D6"/>
    <w:rsid w:val="004314F9"/>
    <w:rsid w:val="00432EC2"/>
    <w:rsid w:val="004332AB"/>
    <w:rsid w:val="0043367A"/>
    <w:rsid w:val="00434018"/>
    <w:rsid w:val="004345AA"/>
    <w:rsid w:val="00435039"/>
    <w:rsid w:val="00436222"/>
    <w:rsid w:val="00436E8A"/>
    <w:rsid w:val="00440FCB"/>
    <w:rsid w:val="0044282A"/>
    <w:rsid w:val="004431A5"/>
    <w:rsid w:val="0044332C"/>
    <w:rsid w:val="00444B58"/>
    <w:rsid w:val="00445197"/>
    <w:rsid w:val="00447E46"/>
    <w:rsid w:val="004511DC"/>
    <w:rsid w:val="0045132C"/>
    <w:rsid w:val="004517CA"/>
    <w:rsid w:val="00451E12"/>
    <w:rsid w:val="00452710"/>
    <w:rsid w:val="004532CE"/>
    <w:rsid w:val="004554AE"/>
    <w:rsid w:val="00456AC9"/>
    <w:rsid w:val="00457B69"/>
    <w:rsid w:val="0046132E"/>
    <w:rsid w:val="00463196"/>
    <w:rsid w:val="00466B95"/>
    <w:rsid w:val="00467288"/>
    <w:rsid w:val="00467786"/>
    <w:rsid w:val="004708AE"/>
    <w:rsid w:val="00470C4D"/>
    <w:rsid w:val="00471DFE"/>
    <w:rsid w:val="00472135"/>
    <w:rsid w:val="00473409"/>
    <w:rsid w:val="00474B4B"/>
    <w:rsid w:val="00475F43"/>
    <w:rsid w:val="0047619C"/>
    <w:rsid w:val="004761F4"/>
    <w:rsid w:val="00476944"/>
    <w:rsid w:val="00476E80"/>
    <w:rsid w:val="0047733F"/>
    <w:rsid w:val="004776F2"/>
    <w:rsid w:val="004810C7"/>
    <w:rsid w:val="0048165B"/>
    <w:rsid w:val="004822E7"/>
    <w:rsid w:val="00485A1F"/>
    <w:rsid w:val="00486726"/>
    <w:rsid w:val="00486BCD"/>
    <w:rsid w:val="00487072"/>
    <w:rsid w:val="0048708A"/>
    <w:rsid w:val="00490990"/>
    <w:rsid w:val="00491555"/>
    <w:rsid w:val="00492495"/>
    <w:rsid w:val="00495415"/>
    <w:rsid w:val="004964B5"/>
    <w:rsid w:val="00497291"/>
    <w:rsid w:val="004A140F"/>
    <w:rsid w:val="004A196E"/>
    <w:rsid w:val="004A216C"/>
    <w:rsid w:val="004A3A93"/>
    <w:rsid w:val="004A4600"/>
    <w:rsid w:val="004A4887"/>
    <w:rsid w:val="004A764F"/>
    <w:rsid w:val="004B07F4"/>
    <w:rsid w:val="004B0BAC"/>
    <w:rsid w:val="004B1D11"/>
    <w:rsid w:val="004B1F08"/>
    <w:rsid w:val="004B28B8"/>
    <w:rsid w:val="004B2904"/>
    <w:rsid w:val="004B30A2"/>
    <w:rsid w:val="004B3953"/>
    <w:rsid w:val="004B3F0E"/>
    <w:rsid w:val="004B44F0"/>
    <w:rsid w:val="004B45C8"/>
    <w:rsid w:val="004B53B9"/>
    <w:rsid w:val="004B6A56"/>
    <w:rsid w:val="004C1025"/>
    <w:rsid w:val="004C164C"/>
    <w:rsid w:val="004C21FE"/>
    <w:rsid w:val="004C2804"/>
    <w:rsid w:val="004C6064"/>
    <w:rsid w:val="004C7092"/>
    <w:rsid w:val="004C70B6"/>
    <w:rsid w:val="004D20D4"/>
    <w:rsid w:val="004D35D1"/>
    <w:rsid w:val="004D3947"/>
    <w:rsid w:val="004D4FE6"/>
    <w:rsid w:val="004D67A0"/>
    <w:rsid w:val="004D71E3"/>
    <w:rsid w:val="004D7F6F"/>
    <w:rsid w:val="004E0253"/>
    <w:rsid w:val="004E1452"/>
    <w:rsid w:val="004E16E5"/>
    <w:rsid w:val="004E21E4"/>
    <w:rsid w:val="004E3270"/>
    <w:rsid w:val="004E4624"/>
    <w:rsid w:val="004E5415"/>
    <w:rsid w:val="004E6D71"/>
    <w:rsid w:val="004E7DB3"/>
    <w:rsid w:val="004F2D16"/>
    <w:rsid w:val="004F3137"/>
    <w:rsid w:val="004F3849"/>
    <w:rsid w:val="004F581C"/>
    <w:rsid w:val="005000B1"/>
    <w:rsid w:val="00501C0C"/>
    <w:rsid w:val="00502DBE"/>
    <w:rsid w:val="00505472"/>
    <w:rsid w:val="00505774"/>
    <w:rsid w:val="00506327"/>
    <w:rsid w:val="0050639C"/>
    <w:rsid w:val="00506AF2"/>
    <w:rsid w:val="00507D99"/>
    <w:rsid w:val="00510DB1"/>
    <w:rsid w:val="00512CC1"/>
    <w:rsid w:val="00515834"/>
    <w:rsid w:val="00516DBE"/>
    <w:rsid w:val="00517889"/>
    <w:rsid w:val="00520C76"/>
    <w:rsid w:val="005215B7"/>
    <w:rsid w:val="005216C4"/>
    <w:rsid w:val="00524210"/>
    <w:rsid w:val="00524A00"/>
    <w:rsid w:val="00524B01"/>
    <w:rsid w:val="005258D9"/>
    <w:rsid w:val="00527C61"/>
    <w:rsid w:val="00530D73"/>
    <w:rsid w:val="005315D7"/>
    <w:rsid w:val="005317D3"/>
    <w:rsid w:val="005317FE"/>
    <w:rsid w:val="00534307"/>
    <w:rsid w:val="00536185"/>
    <w:rsid w:val="0053694F"/>
    <w:rsid w:val="00537D7A"/>
    <w:rsid w:val="00537FC0"/>
    <w:rsid w:val="00540D29"/>
    <w:rsid w:val="005438E1"/>
    <w:rsid w:val="00544D54"/>
    <w:rsid w:val="00545BA3"/>
    <w:rsid w:val="00546B4B"/>
    <w:rsid w:val="005515A6"/>
    <w:rsid w:val="00551916"/>
    <w:rsid w:val="00551D70"/>
    <w:rsid w:val="005600E9"/>
    <w:rsid w:val="00560665"/>
    <w:rsid w:val="00561A4C"/>
    <w:rsid w:val="0056221A"/>
    <w:rsid w:val="0056290C"/>
    <w:rsid w:val="00563394"/>
    <w:rsid w:val="00563C21"/>
    <w:rsid w:val="0056449B"/>
    <w:rsid w:val="005647D4"/>
    <w:rsid w:val="0056497C"/>
    <w:rsid w:val="005655E4"/>
    <w:rsid w:val="00566A2E"/>
    <w:rsid w:val="0056719F"/>
    <w:rsid w:val="0057155B"/>
    <w:rsid w:val="0057182E"/>
    <w:rsid w:val="0057330F"/>
    <w:rsid w:val="0057440E"/>
    <w:rsid w:val="005753CA"/>
    <w:rsid w:val="0057580A"/>
    <w:rsid w:val="005758AD"/>
    <w:rsid w:val="005769E0"/>
    <w:rsid w:val="00576E16"/>
    <w:rsid w:val="005773B8"/>
    <w:rsid w:val="00580C55"/>
    <w:rsid w:val="00581590"/>
    <w:rsid w:val="00581771"/>
    <w:rsid w:val="0058189D"/>
    <w:rsid w:val="00581ECF"/>
    <w:rsid w:val="00582E1A"/>
    <w:rsid w:val="00583902"/>
    <w:rsid w:val="0058536C"/>
    <w:rsid w:val="00586647"/>
    <w:rsid w:val="005866B0"/>
    <w:rsid w:val="005874E7"/>
    <w:rsid w:val="00587F25"/>
    <w:rsid w:val="005900D3"/>
    <w:rsid w:val="005914A6"/>
    <w:rsid w:val="00591F8E"/>
    <w:rsid w:val="005923BC"/>
    <w:rsid w:val="00592C33"/>
    <w:rsid w:val="00592F9B"/>
    <w:rsid w:val="005946A1"/>
    <w:rsid w:val="00595593"/>
    <w:rsid w:val="00595652"/>
    <w:rsid w:val="0059573E"/>
    <w:rsid w:val="00595818"/>
    <w:rsid w:val="005962F1"/>
    <w:rsid w:val="00596853"/>
    <w:rsid w:val="005A30B8"/>
    <w:rsid w:val="005A35F5"/>
    <w:rsid w:val="005A407E"/>
    <w:rsid w:val="005A7594"/>
    <w:rsid w:val="005A79FA"/>
    <w:rsid w:val="005B1497"/>
    <w:rsid w:val="005B1653"/>
    <w:rsid w:val="005B47CE"/>
    <w:rsid w:val="005B4939"/>
    <w:rsid w:val="005B4DFB"/>
    <w:rsid w:val="005B534B"/>
    <w:rsid w:val="005B7B86"/>
    <w:rsid w:val="005B7F0A"/>
    <w:rsid w:val="005C0484"/>
    <w:rsid w:val="005C08F6"/>
    <w:rsid w:val="005C0A93"/>
    <w:rsid w:val="005C2A4E"/>
    <w:rsid w:val="005C390D"/>
    <w:rsid w:val="005C4C61"/>
    <w:rsid w:val="005C687E"/>
    <w:rsid w:val="005D3F8B"/>
    <w:rsid w:val="005E0519"/>
    <w:rsid w:val="005E09EC"/>
    <w:rsid w:val="005E1567"/>
    <w:rsid w:val="005E1B95"/>
    <w:rsid w:val="005E3A10"/>
    <w:rsid w:val="005E6061"/>
    <w:rsid w:val="005E7819"/>
    <w:rsid w:val="005F0993"/>
    <w:rsid w:val="005F1753"/>
    <w:rsid w:val="005F294A"/>
    <w:rsid w:val="005F2E78"/>
    <w:rsid w:val="005F2FEF"/>
    <w:rsid w:val="005F3199"/>
    <w:rsid w:val="005F32A1"/>
    <w:rsid w:val="005F3B68"/>
    <w:rsid w:val="005F3D90"/>
    <w:rsid w:val="005F3E78"/>
    <w:rsid w:val="005F3F07"/>
    <w:rsid w:val="005F5BF9"/>
    <w:rsid w:val="005F649A"/>
    <w:rsid w:val="006019FF"/>
    <w:rsid w:val="00601C00"/>
    <w:rsid w:val="00601D4B"/>
    <w:rsid w:val="0060298C"/>
    <w:rsid w:val="00602D22"/>
    <w:rsid w:val="00602EF2"/>
    <w:rsid w:val="00604B92"/>
    <w:rsid w:val="006066FA"/>
    <w:rsid w:val="006070DF"/>
    <w:rsid w:val="006071D9"/>
    <w:rsid w:val="0060763B"/>
    <w:rsid w:val="00611513"/>
    <w:rsid w:val="00611994"/>
    <w:rsid w:val="00612EC4"/>
    <w:rsid w:val="0061399D"/>
    <w:rsid w:val="00613A07"/>
    <w:rsid w:val="00613C47"/>
    <w:rsid w:val="00614EE2"/>
    <w:rsid w:val="00616B4D"/>
    <w:rsid w:val="0061725E"/>
    <w:rsid w:val="00617E0D"/>
    <w:rsid w:val="00621291"/>
    <w:rsid w:val="00621D07"/>
    <w:rsid w:val="00623651"/>
    <w:rsid w:val="00623756"/>
    <w:rsid w:val="006239C7"/>
    <w:rsid w:val="00623F04"/>
    <w:rsid w:val="00626C90"/>
    <w:rsid w:val="006310A6"/>
    <w:rsid w:val="00631401"/>
    <w:rsid w:val="00631820"/>
    <w:rsid w:val="0063182E"/>
    <w:rsid w:val="00631A49"/>
    <w:rsid w:val="00634785"/>
    <w:rsid w:val="00634A1C"/>
    <w:rsid w:val="006352D5"/>
    <w:rsid w:val="00635B42"/>
    <w:rsid w:val="0063614B"/>
    <w:rsid w:val="00637EE9"/>
    <w:rsid w:val="00641825"/>
    <w:rsid w:val="00642860"/>
    <w:rsid w:val="00644B02"/>
    <w:rsid w:val="00645A74"/>
    <w:rsid w:val="006475C6"/>
    <w:rsid w:val="00647C4D"/>
    <w:rsid w:val="006520B8"/>
    <w:rsid w:val="006522BD"/>
    <w:rsid w:val="0065254A"/>
    <w:rsid w:val="0065326C"/>
    <w:rsid w:val="00654461"/>
    <w:rsid w:val="00655556"/>
    <w:rsid w:val="0065707C"/>
    <w:rsid w:val="006577F9"/>
    <w:rsid w:val="00657B07"/>
    <w:rsid w:val="00657C3A"/>
    <w:rsid w:val="00660056"/>
    <w:rsid w:val="006610F5"/>
    <w:rsid w:val="00661104"/>
    <w:rsid w:val="006634C8"/>
    <w:rsid w:val="0066428E"/>
    <w:rsid w:val="0066587F"/>
    <w:rsid w:val="00665F79"/>
    <w:rsid w:val="006663A9"/>
    <w:rsid w:val="00666BE8"/>
    <w:rsid w:val="006671D1"/>
    <w:rsid w:val="00667B10"/>
    <w:rsid w:val="00667E02"/>
    <w:rsid w:val="00667FD8"/>
    <w:rsid w:val="00671213"/>
    <w:rsid w:val="0067233E"/>
    <w:rsid w:val="00672848"/>
    <w:rsid w:val="00672CBD"/>
    <w:rsid w:val="00673B0F"/>
    <w:rsid w:val="006749E4"/>
    <w:rsid w:val="00676EDB"/>
    <w:rsid w:val="00677FB1"/>
    <w:rsid w:val="00680D9C"/>
    <w:rsid w:val="006825C5"/>
    <w:rsid w:val="00683071"/>
    <w:rsid w:val="006834AC"/>
    <w:rsid w:val="006869CE"/>
    <w:rsid w:val="00686E9C"/>
    <w:rsid w:val="00690537"/>
    <w:rsid w:val="00693288"/>
    <w:rsid w:val="006958DB"/>
    <w:rsid w:val="00695FD6"/>
    <w:rsid w:val="00696295"/>
    <w:rsid w:val="00697849"/>
    <w:rsid w:val="00697AA5"/>
    <w:rsid w:val="00697AF2"/>
    <w:rsid w:val="006A0FFC"/>
    <w:rsid w:val="006A1B71"/>
    <w:rsid w:val="006A1C0F"/>
    <w:rsid w:val="006A1F8D"/>
    <w:rsid w:val="006A2D45"/>
    <w:rsid w:val="006A46B6"/>
    <w:rsid w:val="006A4838"/>
    <w:rsid w:val="006A6434"/>
    <w:rsid w:val="006A64E7"/>
    <w:rsid w:val="006B000C"/>
    <w:rsid w:val="006B04B3"/>
    <w:rsid w:val="006B0587"/>
    <w:rsid w:val="006B0D1A"/>
    <w:rsid w:val="006B0F09"/>
    <w:rsid w:val="006B1734"/>
    <w:rsid w:val="006B21A6"/>
    <w:rsid w:val="006B2A7A"/>
    <w:rsid w:val="006B417F"/>
    <w:rsid w:val="006B436E"/>
    <w:rsid w:val="006B4706"/>
    <w:rsid w:val="006B6E5A"/>
    <w:rsid w:val="006B72EF"/>
    <w:rsid w:val="006B78AA"/>
    <w:rsid w:val="006B7FA1"/>
    <w:rsid w:val="006C0A05"/>
    <w:rsid w:val="006C1FB8"/>
    <w:rsid w:val="006C2D26"/>
    <w:rsid w:val="006C2F49"/>
    <w:rsid w:val="006C34DE"/>
    <w:rsid w:val="006C394D"/>
    <w:rsid w:val="006C45A6"/>
    <w:rsid w:val="006C5637"/>
    <w:rsid w:val="006C5C8F"/>
    <w:rsid w:val="006C7175"/>
    <w:rsid w:val="006C71E6"/>
    <w:rsid w:val="006C7B70"/>
    <w:rsid w:val="006D0AE8"/>
    <w:rsid w:val="006D0CC2"/>
    <w:rsid w:val="006D2271"/>
    <w:rsid w:val="006D431C"/>
    <w:rsid w:val="006D4E53"/>
    <w:rsid w:val="006D640B"/>
    <w:rsid w:val="006E0902"/>
    <w:rsid w:val="006E23AE"/>
    <w:rsid w:val="006E56EF"/>
    <w:rsid w:val="006E585F"/>
    <w:rsid w:val="006E7F22"/>
    <w:rsid w:val="006F0A9D"/>
    <w:rsid w:val="006F1BD1"/>
    <w:rsid w:val="006F252D"/>
    <w:rsid w:val="006F419F"/>
    <w:rsid w:val="006F4C77"/>
    <w:rsid w:val="006F56AF"/>
    <w:rsid w:val="006F5B87"/>
    <w:rsid w:val="006F6011"/>
    <w:rsid w:val="006F6D59"/>
    <w:rsid w:val="0070062F"/>
    <w:rsid w:val="007006CB"/>
    <w:rsid w:val="00701776"/>
    <w:rsid w:val="007023F0"/>
    <w:rsid w:val="00702D82"/>
    <w:rsid w:val="00703C34"/>
    <w:rsid w:val="00704ADB"/>
    <w:rsid w:val="007064A7"/>
    <w:rsid w:val="00706584"/>
    <w:rsid w:val="00707F7B"/>
    <w:rsid w:val="007115F4"/>
    <w:rsid w:val="007131D2"/>
    <w:rsid w:val="007145FB"/>
    <w:rsid w:val="00715658"/>
    <w:rsid w:val="00716A53"/>
    <w:rsid w:val="00716BBB"/>
    <w:rsid w:val="00720F6B"/>
    <w:rsid w:val="00721B8A"/>
    <w:rsid w:val="00721C17"/>
    <w:rsid w:val="00721F31"/>
    <w:rsid w:val="007233B0"/>
    <w:rsid w:val="00723BCC"/>
    <w:rsid w:val="00724248"/>
    <w:rsid w:val="007274BB"/>
    <w:rsid w:val="00730FDA"/>
    <w:rsid w:val="0073153F"/>
    <w:rsid w:val="00731603"/>
    <w:rsid w:val="007320D7"/>
    <w:rsid w:val="00736CB5"/>
    <w:rsid w:val="00736D0A"/>
    <w:rsid w:val="007373D6"/>
    <w:rsid w:val="007408E5"/>
    <w:rsid w:val="00741334"/>
    <w:rsid w:val="007422BB"/>
    <w:rsid w:val="00742475"/>
    <w:rsid w:val="00742AC9"/>
    <w:rsid w:val="00743608"/>
    <w:rsid w:val="00745D95"/>
    <w:rsid w:val="00746202"/>
    <w:rsid w:val="00746846"/>
    <w:rsid w:val="0074791F"/>
    <w:rsid w:val="00751A10"/>
    <w:rsid w:val="00751F11"/>
    <w:rsid w:val="00752231"/>
    <w:rsid w:val="007529BB"/>
    <w:rsid w:val="00753536"/>
    <w:rsid w:val="007541ED"/>
    <w:rsid w:val="00756044"/>
    <w:rsid w:val="00756B36"/>
    <w:rsid w:val="00756EBD"/>
    <w:rsid w:val="00761A28"/>
    <w:rsid w:val="00761E6F"/>
    <w:rsid w:val="007621CB"/>
    <w:rsid w:val="007635D8"/>
    <w:rsid w:val="007647B7"/>
    <w:rsid w:val="00764EFF"/>
    <w:rsid w:val="00766B32"/>
    <w:rsid w:val="00766DC9"/>
    <w:rsid w:val="00766F31"/>
    <w:rsid w:val="0077028F"/>
    <w:rsid w:val="00771758"/>
    <w:rsid w:val="00772351"/>
    <w:rsid w:val="00772551"/>
    <w:rsid w:val="00773328"/>
    <w:rsid w:val="00773A85"/>
    <w:rsid w:val="007741CA"/>
    <w:rsid w:val="007750CC"/>
    <w:rsid w:val="00775B37"/>
    <w:rsid w:val="00775F7F"/>
    <w:rsid w:val="007762BD"/>
    <w:rsid w:val="00783F4E"/>
    <w:rsid w:val="007847BD"/>
    <w:rsid w:val="00791DEB"/>
    <w:rsid w:val="00793E76"/>
    <w:rsid w:val="00795B75"/>
    <w:rsid w:val="0079629D"/>
    <w:rsid w:val="00797EAB"/>
    <w:rsid w:val="007A0F8B"/>
    <w:rsid w:val="007A1CBD"/>
    <w:rsid w:val="007A1EC6"/>
    <w:rsid w:val="007A1FD5"/>
    <w:rsid w:val="007A25E5"/>
    <w:rsid w:val="007A26CB"/>
    <w:rsid w:val="007A2A89"/>
    <w:rsid w:val="007A31D6"/>
    <w:rsid w:val="007A3BCD"/>
    <w:rsid w:val="007A46A1"/>
    <w:rsid w:val="007A66C8"/>
    <w:rsid w:val="007A7023"/>
    <w:rsid w:val="007B0ADC"/>
    <w:rsid w:val="007B11E2"/>
    <w:rsid w:val="007B347B"/>
    <w:rsid w:val="007B3D88"/>
    <w:rsid w:val="007B557C"/>
    <w:rsid w:val="007B77E7"/>
    <w:rsid w:val="007C00C2"/>
    <w:rsid w:val="007C0685"/>
    <w:rsid w:val="007C07F5"/>
    <w:rsid w:val="007C0E0E"/>
    <w:rsid w:val="007C0F83"/>
    <w:rsid w:val="007C1C1D"/>
    <w:rsid w:val="007C1D98"/>
    <w:rsid w:val="007C42BB"/>
    <w:rsid w:val="007C5E1D"/>
    <w:rsid w:val="007C6115"/>
    <w:rsid w:val="007C67A2"/>
    <w:rsid w:val="007D09C8"/>
    <w:rsid w:val="007D1589"/>
    <w:rsid w:val="007D2ADF"/>
    <w:rsid w:val="007D3209"/>
    <w:rsid w:val="007D35BB"/>
    <w:rsid w:val="007D41FF"/>
    <w:rsid w:val="007D5ABE"/>
    <w:rsid w:val="007D7AA4"/>
    <w:rsid w:val="007D7C62"/>
    <w:rsid w:val="007E01D0"/>
    <w:rsid w:val="007E0759"/>
    <w:rsid w:val="007E0819"/>
    <w:rsid w:val="007E0A4E"/>
    <w:rsid w:val="007E0F4C"/>
    <w:rsid w:val="007E38D4"/>
    <w:rsid w:val="007E4F46"/>
    <w:rsid w:val="007E7FF1"/>
    <w:rsid w:val="007F0B17"/>
    <w:rsid w:val="007F1DD4"/>
    <w:rsid w:val="007F3CA4"/>
    <w:rsid w:val="007F3F75"/>
    <w:rsid w:val="007F54F1"/>
    <w:rsid w:val="007F63A3"/>
    <w:rsid w:val="007F6837"/>
    <w:rsid w:val="007F744C"/>
    <w:rsid w:val="008037AD"/>
    <w:rsid w:val="008041F9"/>
    <w:rsid w:val="0080555F"/>
    <w:rsid w:val="0081136C"/>
    <w:rsid w:val="00813085"/>
    <w:rsid w:val="00813760"/>
    <w:rsid w:val="008138AB"/>
    <w:rsid w:val="00814224"/>
    <w:rsid w:val="008142EA"/>
    <w:rsid w:val="00815E9D"/>
    <w:rsid w:val="008169EF"/>
    <w:rsid w:val="0081736E"/>
    <w:rsid w:val="00820B12"/>
    <w:rsid w:val="00820B3C"/>
    <w:rsid w:val="008213E6"/>
    <w:rsid w:val="00823B96"/>
    <w:rsid w:val="00826834"/>
    <w:rsid w:val="00826EB6"/>
    <w:rsid w:val="00827609"/>
    <w:rsid w:val="00827ED8"/>
    <w:rsid w:val="00830B52"/>
    <w:rsid w:val="008313F3"/>
    <w:rsid w:val="00831400"/>
    <w:rsid w:val="00831424"/>
    <w:rsid w:val="0083249F"/>
    <w:rsid w:val="00832629"/>
    <w:rsid w:val="00832F70"/>
    <w:rsid w:val="00834B33"/>
    <w:rsid w:val="00835FAA"/>
    <w:rsid w:val="00836A3D"/>
    <w:rsid w:val="00837377"/>
    <w:rsid w:val="00837A96"/>
    <w:rsid w:val="00841741"/>
    <w:rsid w:val="00841B45"/>
    <w:rsid w:val="00842C3C"/>
    <w:rsid w:val="008439D4"/>
    <w:rsid w:val="00844CC6"/>
    <w:rsid w:val="00845B02"/>
    <w:rsid w:val="00846F3D"/>
    <w:rsid w:val="00847BB2"/>
    <w:rsid w:val="0085059A"/>
    <w:rsid w:val="00850A24"/>
    <w:rsid w:val="00850F37"/>
    <w:rsid w:val="0085384E"/>
    <w:rsid w:val="0085483E"/>
    <w:rsid w:val="00856025"/>
    <w:rsid w:val="00856E09"/>
    <w:rsid w:val="0085738E"/>
    <w:rsid w:val="0086111E"/>
    <w:rsid w:val="008616BD"/>
    <w:rsid w:val="00861B7D"/>
    <w:rsid w:val="00862CC8"/>
    <w:rsid w:val="00863581"/>
    <w:rsid w:val="00863898"/>
    <w:rsid w:val="00863F33"/>
    <w:rsid w:val="00864466"/>
    <w:rsid w:val="00865061"/>
    <w:rsid w:val="008655F3"/>
    <w:rsid w:val="00865908"/>
    <w:rsid w:val="00866623"/>
    <w:rsid w:val="00867B22"/>
    <w:rsid w:val="00872E05"/>
    <w:rsid w:val="00873BEE"/>
    <w:rsid w:val="008748C0"/>
    <w:rsid w:val="00874E79"/>
    <w:rsid w:val="00875006"/>
    <w:rsid w:val="0087532F"/>
    <w:rsid w:val="008818F0"/>
    <w:rsid w:val="00883408"/>
    <w:rsid w:val="00883BBF"/>
    <w:rsid w:val="00884CFF"/>
    <w:rsid w:val="008862CC"/>
    <w:rsid w:val="008862E3"/>
    <w:rsid w:val="00886816"/>
    <w:rsid w:val="0089100C"/>
    <w:rsid w:val="0089157A"/>
    <w:rsid w:val="008928E5"/>
    <w:rsid w:val="00893A89"/>
    <w:rsid w:val="00894A47"/>
    <w:rsid w:val="008962C6"/>
    <w:rsid w:val="008A1879"/>
    <w:rsid w:val="008A1B52"/>
    <w:rsid w:val="008A1C63"/>
    <w:rsid w:val="008A208E"/>
    <w:rsid w:val="008A3A59"/>
    <w:rsid w:val="008A3B8B"/>
    <w:rsid w:val="008A50EE"/>
    <w:rsid w:val="008A5442"/>
    <w:rsid w:val="008A641B"/>
    <w:rsid w:val="008B0143"/>
    <w:rsid w:val="008B254B"/>
    <w:rsid w:val="008B3768"/>
    <w:rsid w:val="008B50F8"/>
    <w:rsid w:val="008B5E01"/>
    <w:rsid w:val="008B5F1A"/>
    <w:rsid w:val="008B61CF"/>
    <w:rsid w:val="008B6D17"/>
    <w:rsid w:val="008B7410"/>
    <w:rsid w:val="008C0D26"/>
    <w:rsid w:val="008C2B8B"/>
    <w:rsid w:val="008C4F23"/>
    <w:rsid w:val="008C7F75"/>
    <w:rsid w:val="008D0735"/>
    <w:rsid w:val="008D2C98"/>
    <w:rsid w:val="008D6BF0"/>
    <w:rsid w:val="008D7617"/>
    <w:rsid w:val="008D79EA"/>
    <w:rsid w:val="008E28D9"/>
    <w:rsid w:val="008E50B0"/>
    <w:rsid w:val="008E5861"/>
    <w:rsid w:val="008E74A1"/>
    <w:rsid w:val="008E7CDE"/>
    <w:rsid w:val="008F15B1"/>
    <w:rsid w:val="008F1730"/>
    <w:rsid w:val="008F18F1"/>
    <w:rsid w:val="008F2ED5"/>
    <w:rsid w:val="008F37BD"/>
    <w:rsid w:val="008F3EDC"/>
    <w:rsid w:val="008F46C7"/>
    <w:rsid w:val="008F4895"/>
    <w:rsid w:val="008F4EDE"/>
    <w:rsid w:val="008F5C40"/>
    <w:rsid w:val="008F6D64"/>
    <w:rsid w:val="008F7EBD"/>
    <w:rsid w:val="00900C4B"/>
    <w:rsid w:val="00900E97"/>
    <w:rsid w:val="00902881"/>
    <w:rsid w:val="00903F29"/>
    <w:rsid w:val="009063F7"/>
    <w:rsid w:val="00906A27"/>
    <w:rsid w:val="00910369"/>
    <w:rsid w:val="009118B6"/>
    <w:rsid w:val="00912421"/>
    <w:rsid w:val="0091378B"/>
    <w:rsid w:val="0091756D"/>
    <w:rsid w:val="00921805"/>
    <w:rsid w:val="0092180F"/>
    <w:rsid w:val="00922FD6"/>
    <w:rsid w:val="009230E9"/>
    <w:rsid w:val="009238B5"/>
    <w:rsid w:val="009244EF"/>
    <w:rsid w:val="00924A12"/>
    <w:rsid w:val="00925DBA"/>
    <w:rsid w:val="009267E4"/>
    <w:rsid w:val="00930137"/>
    <w:rsid w:val="009302E8"/>
    <w:rsid w:val="00930EA6"/>
    <w:rsid w:val="009318EF"/>
    <w:rsid w:val="00932970"/>
    <w:rsid w:val="009332BD"/>
    <w:rsid w:val="00934EA6"/>
    <w:rsid w:val="00935977"/>
    <w:rsid w:val="00935D6B"/>
    <w:rsid w:val="009369BB"/>
    <w:rsid w:val="0093783D"/>
    <w:rsid w:val="00940493"/>
    <w:rsid w:val="00941067"/>
    <w:rsid w:val="009416A2"/>
    <w:rsid w:val="00942BCE"/>
    <w:rsid w:val="00943520"/>
    <w:rsid w:val="009435C7"/>
    <w:rsid w:val="00944ECD"/>
    <w:rsid w:val="00945087"/>
    <w:rsid w:val="00945C9B"/>
    <w:rsid w:val="00946513"/>
    <w:rsid w:val="009470B6"/>
    <w:rsid w:val="00950F66"/>
    <w:rsid w:val="00951E61"/>
    <w:rsid w:val="00955E2E"/>
    <w:rsid w:val="00957B69"/>
    <w:rsid w:val="00961A4A"/>
    <w:rsid w:val="00962A13"/>
    <w:rsid w:val="00963E5E"/>
    <w:rsid w:val="009644D4"/>
    <w:rsid w:val="00964B00"/>
    <w:rsid w:val="00966485"/>
    <w:rsid w:val="00967741"/>
    <w:rsid w:val="0097102D"/>
    <w:rsid w:val="009710D8"/>
    <w:rsid w:val="009743FB"/>
    <w:rsid w:val="009750CA"/>
    <w:rsid w:val="00975BFE"/>
    <w:rsid w:val="00977DA9"/>
    <w:rsid w:val="009806E9"/>
    <w:rsid w:val="00981AB0"/>
    <w:rsid w:val="0098256F"/>
    <w:rsid w:val="00982816"/>
    <w:rsid w:val="00982936"/>
    <w:rsid w:val="00982D5F"/>
    <w:rsid w:val="00984DC3"/>
    <w:rsid w:val="009859E2"/>
    <w:rsid w:val="00987D11"/>
    <w:rsid w:val="00992237"/>
    <w:rsid w:val="00993C08"/>
    <w:rsid w:val="009946F7"/>
    <w:rsid w:val="00995788"/>
    <w:rsid w:val="00995D75"/>
    <w:rsid w:val="00996298"/>
    <w:rsid w:val="00996FF5"/>
    <w:rsid w:val="00997177"/>
    <w:rsid w:val="009A01EE"/>
    <w:rsid w:val="009A1007"/>
    <w:rsid w:val="009A2D0A"/>
    <w:rsid w:val="009A2F21"/>
    <w:rsid w:val="009A38A0"/>
    <w:rsid w:val="009A393E"/>
    <w:rsid w:val="009A59F5"/>
    <w:rsid w:val="009A681C"/>
    <w:rsid w:val="009A7D3C"/>
    <w:rsid w:val="009B1089"/>
    <w:rsid w:val="009B13C0"/>
    <w:rsid w:val="009B365C"/>
    <w:rsid w:val="009B6F9E"/>
    <w:rsid w:val="009C0137"/>
    <w:rsid w:val="009C0983"/>
    <w:rsid w:val="009C17AF"/>
    <w:rsid w:val="009C28B5"/>
    <w:rsid w:val="009C3F53"/>
    <w:rsid w:val="009C571B"/>
    <w:rsid w:val="009C630F"/>
    <w:rsid w:val="009C7ACA"/>
    <w:rsid w:val="009D0B8C"/>
    <w:rsid w:val="009D0FD1"/>
    <w:rsid w:val="009D1005"/>
    <w:rsid w:val="009D1828"/>
    <w:rsid w:val="009D2049"/>
    <w:rsid w:val="009D2AEB"/>
    <w:rsid w:val="009D3F00"/>
    <w:rsid w:val="009D66C2"/>
    <w:rsid w:val="009E0322"/>
    <w:rsid w:val="009E0DDE"/>
    <w:rsid w:val="009E2601"/>
    <w:rsid w:val="009E2677"/>
    <w:rsid w:val="009E2F1F"/>
    <w:rsid w:val="009E3064"/>
    <w:rsid w:val="009E4070"/>
    <w:rsid w:val="009E5525"/>
    <w:rsid w:val="009E60EC"/>
    <w:rsid w:val="009E6755"/>
    <w:rsid w:val="009F0DBB"/>
    <w:rsid w:val="009F1397"/>
    <w:rsid w:val="009F1BA3"/>
    <w:rsid w:val="009F1F6D"/>
    <w:rsid w:val="009F2A8F"/>
    <w:rsid w:val="009F420A"/>
    <w:rsid w:val="009F54BA"/>
    <w:rsid w:val="009F66BC"/>
    <w:rsid w:val="009F7596"/>
    <w:rsid w:val="009F77F6"/>
    <w:rsid w:val="00A00AAA"/>
    <w:rsid w:val="00A014FC"/>
    <w:rsid w:val="00A01A8F"/>
    <w:rsid w:val="00A01EC3"/>
    <w:rsid w:val="00A01F84"/>
    <w:rsid w:val="00A04E4A"/>
    <w:rsid w:val="00A062FE"/>
    <w:rsid w:val="00A064BD"/>
    <w:rsid w:val="00A06B8F"/>
    <w:rsid w:val="00A07681"/>
    <w:rsid w:val="00A07BA7"/>
    <w:rsid w:val="00A109FA"/>
    <w:rsid w:val="00A10B34"/>
    <w:rsid w:val="00A13CEE"/>
    <w:rsid w:val="00A14102"/>
    <w:rsid w:val="00A142C3"/>
    <w:rsid w:val="00A15646"/>
    <w:rsid w:val="00A17372"/>
    <w:rsid w:val="00A1791E"/>
    <w:rsid w:val="00A20D25"/>
    <w:rsid w:val="00A21C2D"/>
    <w:rsid w:val="00A2448E"/>
    <w:rsid w:val="00A26D25"/>
    <w:rsid w:val="00A30B0E"/>
    <w:rsid w:val="00A33250"/>
    <w:rsid w:val="00A33B73"/>
    <w:rsid w:val="00A34A17"/>
    <w:rsid w:val="00A3543B"/>
    <w:rsid w:val="00A3657C"/>
    <w:rsid w:val="00A41B54"/>
    <w:rsid w:val="00A42397"/>
    <w:rsid w:val="00A42686"/>
    <w:rsid w:val="00A4295C"/>
    <w:rsid w:val="00A43863"/>
    <w:rsid w:val="00A43A38"/>
    <w:rsid w:val="00A4409C"/>
    <w:rsid w:val="00A4541B"/>
    <w:rsid w:val="00A479D3"/>
    <w:rsid w:val="00A47F19"/>
    <w:rsid w:val="00A50BE5"/>
    <w:rsid w:val="00A51000"/>
    <w:rsid w:val="00A51C76"/>
    <w:rsid w:val="00A53E8F"/>
    <w:rsid w:val="00A54C91"/>
    <w:rsid w:val="00A54DFE"/>
    <w:rsid w:val="00A5520A"/>
    <w:rsid w:val="00A56818"/>
    <w:rsid w:val="00A61503"/>
    <w:rsid w:val="00A6275E"/>
    <w:rsid w:val="00A62DFC"/>
    <w:rsid w:val="00A654B3"/>
    <w:rsid w:val="00A65730"/>
    <w:rsid w:val="00A66BC4"/>
    <w:rsid w:val="00A67766"/>
    <w:rsid w:val="00A70218"/>
    <w:rsid w:val="00A70441"/>
    <w:rsid w:val="00A71E86"/>
    <w:rsid w:val="00A7390E"/>
    <w:rsid w:val="00A7430F"/>
    <w:rsid w:val="00A74635"/>
    <w:rsid w:val="00A74755"/>
    <w:rsid w:val="00A74F96"/>
    <w:rsid w:val="00A74FDD"/>
    <w:rsid w:val="00A76040"/>
    <w:rsid w:val="00A76F9E"/>
    <w:rsid w:val="00A77427"/>
    <w:rsid w:val="00A77705"/>
    <w:rsid w:val="00A806EE"/>
    <w:rsid w:val="00A80BCF"/>
    <w:rsid w:val="00A81146"/>
    <w:rsid w:val="00A84EDA"/>
    <w:rsid w:val="00A852E8"/>
    <w:rsid w:val="00A853E3"/>
    <w:rsid w:val="00A91DE4"/>
    <w:rsid w:val="00A92C11"/>
    <w:rsid w:val="00A946D5"/>
    <w:rsid w:val="00A94960"/>
    <w:rsid w:val="00A9729B"/>
    <w:rsid w:val="00A97672"/>
    <w:rsid w:val="00A97760"/>
    <w:rsid w:val="00A97A87"/>
    <w:rsid w:val="00AA1351"/>
    <w:rsid w:val="00AA1AB1"/>
    <w:rsid w:val="00AA2DC0"/>
    <w:rsid w:val="00AA304E"/>
    <w:rsid w:val="00AA3630"/>
    <w:rsid w:val="00AA47E3"/>
    <w:rsid w:val="00AA55BD"/>
    <w:rsid w:val="00AA5FF6"/>
    <w:rsid w:val="00AA6244"/>
    <w:rsid w:val="00AA69AF"/>
    <w:rsid w:val="00AB0B5F"/>
    <w:rsid w:val="00AB1ECF"/>
    <w:rsid w:val="00AB2327"/>
    <w:rsid w:val="00AB276F"/>
    <w:rsid w:val="00AB27EB"/>
    <w:rsid w:val="00AB2E7E"/>
    <w:rsid w:val="00AB3D99"/>
    <w:rsid w:val="00AB4482"/>
    <w:rsid w:val="00AB4C8C"/>
    <w:rsid w:val="00AB569E"/>
    <w:rsid w:val="00AB755E"/>
    <w:rsid w:val="00AB7DBF"/>
    <w:rsid w:val="00AC0C73"/>
    <w:rsid w:val="00AC0E1B"/>
    <w:rsid w:val="00AC1603"/>
    <w:rsid w:val="00AC43E8"/>
    <w:rsid w:val="00AC74D3"/>
    <w:rsid w:val="00AD03BE"/>
    <w:rsid w:val="00AD2263"/>
    <w:rsid w:val="00AD2D40"/>
    <w:rsid w:val="00AD2EA3"/>
    <w:rsid w:val="00AD3215"/>
    <w:rsid w:val="00AD549C"/>
    <w:rsid w:val="00AD6FC4"/>
    <w:rsid w:val="00AD759F"/>
    <w:rsid w:val="00AD75E0"/>
    <w:rsid w:val="00AD7800"/>
    <w:rsid w:val="00AE05E2"/>
    <w:rsid w:val="00AE0DF6"/>
    <w:rsid w:val="00AE1461"/>
    <w:rsid w:val="00AE1BB2"/>
    <w:rsid w:val="00AE27A7"/>
    <w:rsid w:val="00AE3E85"/>
    <w:rsid w:val="00AE59CA"/>
    <w:rsid w:val="00AE7F2E"/>
    <w:rsid w:val="00AF046E"/>
    <w:rsid w:val="00AF10EB"/>
    <w:rsid w:val="00AF5EC1"/>
    <w:rsid w:val="00AF6786"/>
    <w:rsid w:val="00AF7E28"/>
    <w:rsid w:val="00B004A2"/>
    <w:rsid w:val="00B00B6B"/>
    <w:rsid w:val="00B0321E"/>
    <w:rsid w:val="00B03FC2"/>
    <w:rsid w:val="00B0418A"/>
    <w:rsid w:val="00B05633"/>
    <w:rsid w:val="00B06839"/>
    <w:rsid w:val="00B06FF8"/>
    <w:rsid w:val="00B07FC9"/>
    <w:rsid w:val="00B1010F"/>
    <w:rsid w:val="00B10808"/>
    <w:rsid w:val="00B115E3"/>
    <w:rsid w:val="00B126C6"/>
    <w:rsid w:val="00B14486"/>
    <w:rsid w:val="00B14F6B"/>
    <w:rsid w:val="00B158F8"/>
    <w:rsid w:val="00B167E4"/>
    <w:rsid w:val="00B16985"/>
    <w:rsid w:val="00B17273"/>
    <w:rsid w:val="00B20889"/>
    <w:rsid w:val="00B2104C"/>
    <w:rsid w:val="00B21743"/>
    <w:rsid w:val="00B21AE8"/>
    <w:rsid w:val="00B23892"/>
    <w:rsid w:val="00B23D7F"/>
    <w:rsid w:val="00B25FF0"/>
    <w:rsid w:val="00B273A2"/>
    <w:rsid w:val="00B305B7"/>
    <w:rsid w:val="00B33AEC"/>
    <w:rsid w:val="00B35F69"/>
    <w:rsid w:val="00B36AFF"/>
    <w:rsid w:val="00B43DE9"/>
    <w:rsid w:val="00B43EA0"/>
    <w:rsid w:val="00B43F35"/>
    <w:rsid w:val="00B455B3"/>
    <w:rsid w:val="00B45854"/>
    <w:rsid w:val="00B45B7C"/>
    <w:rsid w:val="00B503E7"/>
    <w:rsid w:val="00B5175E"/>
    <w:rsid w:val="00B51BDC"/>
    <w:rsid w:val="00B52428"/>
    <w:rsid w:val="00B53BB9"/>
    <w:rsid w:val="00B53FE9"/>
    <w:rsid w:val="00B54011"/>
    <w:rsid w:val="00B553B8"/>
    <w:rsid w:val="00B57488"/>
    <w:rsid w:val="00B631CA"/>
    <w:rsid w:val="00B63268"/>
    <w:rsid w:val="00B6367B"/>
    <w:rsid w:val="00B64910"/>
    <w:rsid w:val="00B65221"/>
    <w:rsid w:val="00B65603"/>
    <w:rsid w:val="00B656A1"/>
    <w:rsid w:val="00B66203"/>
    <w:rsid w:val="00B66912"/>
    <w:rsid w:val="00B66A2D"/>
    <w:rsid w:val="00B712A2"/>
    <w:rsid w:val="00B7244A"/>
    <w:rsid w:val="00B75189"/>
    <w:rsid w:val="00B7561F"/>
    <w:rsid w:val="00B75BD3"/>
    <w:rsid w:val="00B7646C"/>
    <w:rsid w:val="00B76491"/>
    <w:rsid w:val="00B766B8"/>
    <w:rsid w:val="00B7722C"/>
    <w:rsid w:val="00B77267"/>
    <w:rsid w:val="00B77AE0"/>
    <w:rsid w:val="00B81346"/>
    <w:rsid w:val="00B81424"/>
    <w:rsid w:val="00B82BF5"/>
    <w:rsid w:val="00B83327"/>
    <w:rsid w:val="00B852B1"/>
    <w:rsid w:val="00B86838"/>
    <w:rsid w:val="00B86B1A"/>
    <w:rsid w:val="00B872AF"/>
    <w:rsid w:val="00B9098C"/>
    <w:rsid w:val="00B91B72"/>
    <w:rsid w:val="00B92C9E"/>
    <w:rsid w:val="00B92EE1"/>
    <w:rsid w:val="00B93D95"/>
    <w:rsid w:val="00B962BC"/>
    <w:rsid w:val="00B970A7"/>
    <w:rsid w:val="00B974D4"/>
    <w:rsid w:val="00BA0FB1"/>
    <w:rsid w:val="00BA109B"/>
    <w:rsid w:val="00BA1BA6"/>
    <w:rsid w:val="00BA1BE0"/>
    <w:rsid w:val="00BA1EF7"/>
    <w:rsid w:val="00BA3623"/>
    <w:rsid w:val="00BA3941"/>
    <w:rsid w:val="00BA4457"/>
    <w:rsid w:val="00BA685E"/>
    <w:rsid w:val="00BB00E3"/>
    <w:rsid w:val="00BB0102"/>
    <w:rsid w:val="00BB02BA"/>
    <w:rsid w:val="00BB0EE5"/>
    <w:rsid w:val="00BB1A20"/>
    <w:rsid w:val="00BB281B"/>
    <w:rsid w:val="00BB3483"/>
    <w:rsid w:val="00BB38ED"/>
    <w:rsid w:val="00BB3C79"/>
    <w:rsid w:val="00BB4E02"/>
    <w:rsid w:val="00BB5397"/>
    <w:rsid w:val="00BB6E9D"/>
    <w:rsid w:val="00BC03BA"/>
    <w:rsid w:val="00BC0E16"/>
    <w:rsid w:val="00BC0EAB"/>
    <w:rsid w:val="00BC16EF"/>
    <w:rsid w:val="00BC5059"/>
    <w:rsid w:val="00BC7540"/>
    <w:rsid w:val="00BD0EFF"/>
    <w:rsid w:val="00BD1E3F"/>
    <w:rsid w:val="00BD2A02"/>
    <w:rsid w:val="00BD341F"/>
    <w:rsid w:val="00BD4C7C"/>
    <w:rsid w:val="00BD4E11"/>
    <w:rsid w:val="00BD52E1"/>
    <w:rsid w:val="00BD7805"/>
    <w:rsid w:val="00BD7D3D"/>
    <w:rsid w:val="00BE00EF"/>
    <w:rsid w:val="00BE26A3"/>
    <w:rsid w:val="00BE2D59"/>
    <w:rsid w:val="00BE2E5F"/>
    <w:rsid w:val="00BE546D"/>
    <w:rsid w:val="00BE554F"/>
    <w:rsid w:val="00BE5DC9"/>
    <w:rsid w:val="00BE6FBF"/>
    <w:rsid w:val="00BE7055"/>
    <w:rsid w:val="00BE764A"/>
    <w:rsid w:val="00BE7A9C"/>
    <w:rsid w:val="00BF1561"/>
    <w:rsid w:val="00BF19D7"/>
    <w:rsid w:val="00BF1C96"/>
    <w:rsid w:val="00BF2163"/>
    <w:rsid w:val="00BF29DB"/>
    <w:rsid w:val="00BF2B9C"/>
    <w:rsid w:val="00BF2F11"/>
    <w:rsid w:val="00BF4A48"/>
    <w:rsid w:val="00BF5061"/>
    <w:rsid w:val="00BF5DD5"/>
    <w:rsid w:val="00BF692C"/>
    <w:rsid w:val="00BF77F8"/>
    <w:rsid w:val="00C01085"/>
    <w:rsid w:val="00C01768"/>
    <w:rsid w:val="00C0458C"/>
    <w:rsid w:val="00C04638"/>
    <w:rsid w:val="00C053CB"/>
    <w:rsid w:val="00C0786D"/>
    <w:rsid w:val="00C10A48"/>
    <w:rsid w:val="00C11B36"/>
    <w:rsid w:val="00C120DA"/>
    <w:rsid w:val="00C1287E"/>
    <w:rsid w:val="00C13CE3"/>
    <w:rsid w:val="00C14760"/>
    <w:rsid w:val="00C14874"/>
    <w:rsid w:val="00C15BBC"/>
    <w:rsid w:val="00C1634B"/>
    <w:rsid w:val="00C16591"/>
    <w:rsid w:val="00C16AB1"/>
    <w:rsid w:val="00C17B41"/>
    <w:rsid w:val="00C20448"/>
    <w:rsid w:val="00C2196F"/>
    <w:rsid w:val="00C231AA"/>
    <w:rsid w:val="00C23948"/>
    <w:rsid w:val="00C271FC"/>
    <w:rsid w:val="00C276A6"/>
    <w:rsid w:val="00C276C9"/>
    <w:rsid w:val="00C30127"/>
    <w:rsid w:val="00C31031"/>
    <w:rsid w:val="00C31FD7"/>
    <w:rsid w:val="00C32749"/>
    <w:rsid w:val="00C33169"/>
    <w:rsid w:val="00C33197"/>
    <w:rsid w:val="00C331CD"/>
    <w:rsid w:val="00C33EFE"/>
    <w:rsid w:val="00C35A4D"/>
    <w:rsid w:val="00C35E4D"/>
    <w:rsid w:val="00C366BC"/>
    <w:rsid w:val="00C368F3"/>
    <w:rsid w:val="00C37ADA"/>
    <w:rsid w:val="00C37FE7"/>
    <w:rsid w:val="00C40556"/>
    <w:rsid w:val="00C42B61"/>
    <w:rsid w:val="00C444BC"/>
    <w:rsid w:val="00C46733"/>
    <w:rsid w:val="00C4685E"/>
    <w:rsid w:val="00C51E21"/>
    <w:rsid w:val="00C53467"/>
    <w:rsid w:val="00C60C81"/>
    <w:rsid w:val="00C60E01"/>
    <w:rsid w:val="00C61329"/>
    <w:rsid w:val="00C61976"/>
    <w:rsid w:val="00C629B1"/>
    <w:rsid w:val="00C63FA0"/>
    <w:rsid w:val="00C646B0"/>
    <w:rsid w:val="00C64821"/>
    <w:rsid w:val="00C64F5D"/>
    <w:rsid w:val="00C67A5D"/>
    <w:rsid w:val="00C70958"/>
    <w:rsid w:val="00C71D13"/>
    <w:rsid w:val="00C7302F"/>
    <w:rsid w:val="00C73F2B"/>
    <w:rsid w:val="00C746A8"/>
    <w:rsid w:val="00C750A8"/>
    <w:rsid w:val="00C76C9A"/>
    <w:rsid w:val="00C77881"/>
    <w:rsid w:val="00C80B31"/>
    <w:rsid w:val="00C83261"/>
    <w:rsid w:val="00C84552"/>
    <w:rsid w:val="00C84EDA"/>
    <w:rsid w:val="00C851D0"/>
    <w:rsid w:val="00C8539D"/>
    <w:rsid w:val="00C862C0"/>
    <w:rsid w:val="00C87CCD"/>
    <w:rsid w:val="00C91022"/>
    <w:rsid w:val="00C919DB"/>
    <w:rsid w:val="00C92C73"/>
    <w:rsid w:val="00C93488"/>
    <w:rsid w:val="00C955AF"/>
    <w:rsid w:val="00C9573D"/>
    <w:rsid w:val="00C97326"/>
    <w:rsid w:val="00C97499"/>
    <w:rsid w:val="00C97A93"/>
    <w:rsid w:val="00C97CCE"/>
    <w:rsid w:val="00CA2156"/>
    <w:rsid w:val="00CA41B7"/>
    <w:rsid w:val="00CA603E"/>
    <w:rsid w:val="00CA6672"/>
    <w:rsid w:val="00CA7322"/>
    <w:rsid w:val="00CA7BE1"/>
    <w:rsid w:val="00CB198E"/>
    <w:rsid w:val="00CB2415"/>
    <w:rsid w:val="00CB294D"/>
    <w:rsid w:val="00CB4AB2"/>
    <w:rsid w:val="00CC0404"/>
    <w:rsid w:val="00CC0C3B"/>
    <w:rsid w:val="00CC17F2"/>
    <w:rsid w:val="00CC1996"/>
    <w:rsid w:val="00CC26AB"/>
    <w:rsid w:val="00CC2832"/>
    <w:rsid w:val="00CC2B90"/>
    <w:rsid w:val="00CC5687"/>
    <w:rsid w:val="00CD05E3"/>
    <w:rsid w:val="00CD0D93"/>
    <w:rsid w:val="00CD1B1A"/>
    <w:rsid w:val="00CD44E8"/>
    <w:rsid w:val="00CD46E2"/>
    <w:rsid w:val="00CD53C1"/>
    <w:rsid w:val="00CE043E"/>
    <w:rsid w:val="00CE1125"/>
    <w:rsid w:val="00CE29F0"/>
    <w:rsid w:val="00CE40CE"/>
    <w:rsid w:val="00CE42FA"/>
    <w:rsid w:val="00CE4CE9"/>
    <w:rsid w:val="00CE4DE9"/>
    <w:rsid w:val="00CE5369"/>
    <w:rsid w:val="00CE5DE4"/>
    <w:rsid w:val="00CE6809"/>
    <w:rsid w:val="00CE7788"/>
    <w:rsid w:val="00CF02E2"/>
    <w:rsid w:val="00CF09BC"/>
    <w:rsid w:val="00CF1C0B"/>
    <w:rsid w:val="00CF5239"/>
    <w:rsid w:val="00CF6E6C"/>
    <w:rsid w:val="00CF7142"/>
    <w:rsid w:val="00D005CF"/>
    <w:rsid w:val="00D00EC4"/>
    <w:rsid w:val="00D018CE"/>
    <w:rsid w:val="00D01ADA"/>
    <w:rsid w:val="00D020B8"/>
    <w:rsid w:val="00D0227E"/>
    <w:rsid w:val="00D029F8"/>
    <w:rsid w:val="00D03224"/>
    <w:rsid w:val="00D03740"/>
    <w:rsid w:val="00D0503A"/>
    <w:rsid w:val="00D05C7B"/>
    <w:rsid w:val="00D05F79"/>
    <w:rsid w:val="00D07250"/>
    <w:rsid w:val="00D12993"/>
    <w:rsid w:val="00D13400"/>
    <w:rsid w:val="00D14790"/>
    <w:rsid w:val="00D15A6E"/>
    <w:rsid w:val="00D15FC2"/>
    <w:rsid w:val="00D1757B"/>
    <w:rsid w:val="00D17887"/>
    <w:rsid w:val="00D17987"/>
    <w:rsid w:val="00D2133F"/>
    <w:rsid w:val="00D25EE9"/>
    <w:rsid w:val="00D2626E"/>
    <w:rsid w:val="00D26F03"/>
    <w:rsid w:val="00D27820"/>
    <w:rsid w:val="00D30A5C"/>
    <w:rsid w:val="00D318F3"/>
    <w:rsid w:val="00D31FAB"/>
    <w:rsid w:val="00D3394C"/>
    <w:rsid w:val="00D34578"/>
    <w:rsid w:val="00D34B2F"/>
    <w:rsid w:val="00D40664"/>
    <w:rsid w:val="00D41428"/>
    <w:rsid w:val="00D43690"/>
    <w:rsid w:val="00D458D5"/>
    <w:rsid w:val="00D46CE5"/>
    <w:rsid w:val="00D47C03"/>
    <w:rsid w:val="00D50B28"/>
    <w:rsid w:val="00D51640"/>
    <w:rsid w:val="00D52DE3"/>
    <w:rsid w:val="00D530A3"/>
    <w:rsid w:val="00D559F4"/>
    <w:rsid w:val="00D57DEE"/>
    <w:rsid w:val="00D628F5"/>
    <w:rsid w:val="00D637FB"/>
    <w:rsid w:val="00D6382F"/>
    <w:rsid w:val="00D63BDA"/>
    <w:rsid w:val="00D64660"/>
    <w:rsid w:val="00D6511B"/>
    <w:rsid w:val="00D668AF"/>
    <w:rsid w:val="00D66925"/>
    <w:rsid w:val="00D67D64"/>
    <w:rsid w:val="00D70919"/>
    <w:rsid w:val="00D7254F"/>
    <w:rsid w:val="00D737E1"/>
    <w:rsid w:val="00D73D5D"/>
    <w:rsid w:val="00D73D75"/>
    <w:rsid w:val="00D74E43"/>
    <w:rsid w:val="00D76206"/>
    <w:rsid w:val="00D76409"/>
    <w:rsid w:val="00D8051B"/>
    <w:rsid w:val="00D80805"/>
    <w:rsid w:val="00D81E7D"/>
    <w:rsid w:val="00D85A89"/>
    <w:rsid w:val="00D86671"/>
    <w:rsid w:val="00D920B4"/>
    <w:rsid w:val="00D92795"/>
    <w:rsid w:val="00D96B76"/>
    <w:rsid w:val="00D96D07"/>
    <w:rsid w:val="00D96DC0"/>
    <w:rsid w:val="00D9718A"/>
    <w:rsid w:val="00D975F7"/>
    <w:rsid w:val="00D9775E"/>
    <w:rsid w:val="00DA0989"/>
    <w:rsid w:val="00DA2A78"/>
    <w:rsid w:val="00DA3435"/>
    <w:rsid w:val="00DA37F2"/>
    <w:rsid w:val="00DA3A12"/>
    <w:rsid w:val="00DA4CA8"/>
    <w:rsid w:val="00DA7846"/>
    <w:rsid w:val="00DA7C5B"/>
    <w:rsid w:val="00DB0BA1"/>
    <w:rsid w:val="00DB0F85"/>
    <w:rsid w:val="00DB1948"/>
    <w:rsid w:val="00DB1DF4"/>
    <w:rsid w:val="00DB239F"/>
    <w:rsid w:val="00DB3423"/>
    <w:rsid w:val="00DB34AE"/>
    <w:rsid w:val="00DB54CD"/>
    <w:rsid w:val="00DB587F"/>
    <w:rsid w:val="00DB664F"/>
    <w:rsid w:val="00DB6F97"/>
    <w:rsid w:val="00DB725E"/>
    <w:rsid w:val="00DC1AED"/>
    <w:rsid w:val="00DC2A47"/>
    <w:rsid w:val="00DC2FC4"/>
    <w:rsid w:val="00DC4E3A"/>
    <w:rsid w:val="00DC6242"/>
    <w:rsid w:val="00DC6641"/>
    <w:rsid w:val="00DC7206"/>
    <w:rsid w:val="00DD2912"/>
    <w:rsid w:val="00DD4AD9"/>
    <w:rsid w:val="00DE0BE1"/>
    <w:rsid w:val="00DE0C61"/>
    <w:rsid w:val="00DE0FC3"/>
    <w:rsid w:val="00DE418A"/>
    <w:rsid w:val="00DE42D4"/>
    <w:rsid w:val="00DE4F70"/>
    <w:rsid w:val="00DE7026"/>
    <w:rsid w:val="00DE7C0E"/>
    <w:rsid w:val="00DF0FEB"/>
    <w:rsid w:val="00DF21B6"/>
    <w:rsid w:val="00DF4C88"/>
    <w:rsid w:val="00DF4F9A"/>
    <w:rsid w:val="00DF6207"/>
    <w:rsid w:val="00E0056C"/>
    <w:rsid w:val="00E008C8"/>
    <w:rsid w:val="00E01DE9"/>
    <w:rsid w:val="00E026BF"/>
    <w:rsid w:val="00E039E5"/>
    <w:rsid w:val="00E04250"/>
    <w:rsid w:val="00E043C7"/>
    <w:rsid w:val="00E04B27"/>
    <w:rsid w:val="00E04B49"/>
    <w:rsid w:val="00E0655B"/>
    <w:rsid w:val="00E0728C"/>
    <w:rsid w:val="00E10DD9"/>
    <w:rsid w:val="00E11139"/>
    <w:rsid w:val="00E11C95"/>
    <w:rsid w:val="00E121AC"/>
    <w:rsid w:val="00E139AA"/>
    <w:rsid w:val="00E1533F"/>
    <w:rsid w:val="00E15BA9"/>
    <w:rsid w:val="00E17930"/>
    <w:rsid w:val="00E214FC"/>
    <w:rsid w:val="00E21B38"/>
    <w:rsid w:val="00E21BE6"/>
    <w:rsid w:val="00E24402"/>
    <w:rsid w:val="00E25242"/>
    <w:rsid w:val="00E26F74"/>
    <w:rsid w:val="00E27B6A"/>
    <w:rsid w:val="00E307C5"/>
    <w:rsid w:val="00E30EEB"/>
    <w:rsid w:val="00E32A92"/>
    <w:rsid w:val="00E32EDE"/>
    <w:rsid w:val="00E33D88"/>
    <w:rsid w:val="00E34E36"/>
    <w:rsid w:val="00E35579"/>
    <w:rsid w:val="00E36111"/>
    <w:rsid w:val="00E37C19"/>
    <w:rsid w:val="00E37CED"/>
    <w:rsid w:val="00E37E2C"/>
    <w:rsid w:val="00E4009F"/>
    <w:rsid w:val="00E41414"/>
    <w:rsid w:val="00E4329C"/>
    <w:rsid w:val="00E436D8"/>
    <w:rsid w:val="00E4560D"/>
    <w:rsid w:val="00E460DA"/>
    <w:rsid w:val="00E46442"/>
    <w:rsid w:val="00E46F71"/>
    <w:rsid w:val="00E47371"/>
    <w:rsid w:val="00E47F06"/>
    <w:rsid w:val="00E50F1D"/>
    <w:rsid w:val="00E51A41"/>
    <w:rsid w:val="00E53137"/>
    <w:rsid w:val="00E5565B"/>
    <w:rsid w:val="00E57051"/>
    <w:rsid w:val="00E618E4"/>
    <w:rsid w:val="00E61AE3"/>
    <w:rsid w:val="00E620D1"/>
    <w:rsid w:val="00E62D56"/>
    <w:rsid w:val="00E6486E"/>
    <w:rsid w:val="00E64BFC"/>
    <w:rsid w:val="00E64D22"/>
    <w:rsid w:val="00E64F43"/>
    <w:rsid w:val="00E65D76"/>
    <w:rsid w:val="00E71D3E"/>
    <w:rsid w:val="00E7207F"/>
    <w:rsid w:val="00E72798"/>
    <w:rsid w:val="00E7312C"/>
    <w:rsid w:val="00E74F53"/>
    <w:rsid w:val="00E75278"/>
    <w:rsid w:val="00E75DF8"/>
    <w:rsid w:val="00E774A0"/>
    <w:rsid w:val="00E80E88"/>
    <w:rsid w:val="00E8141E"/>
    <w:rsid w:val="00E82F86"/>
    <w:rsid w:val="00E84990"/>
    <w:rsid w:val="00E85061"/>
    <w:rsid w:val="00E85581"/>
    <w:rsid w:val="00E86B30"/>
    <w:rsid w:val="00E87500"/>
    <w:rsid w:val="00E92BF3"/>
    <w:rsid w:val="00E934A1"/>
    <w:rsid w:val="00E937EA"/>
    <w:rsid w:val="00E95A3C"/>
    <w:rsid w:val="00EA14EC"/>
    <w:rsid w:val="00EA1A84"/>
    <w:rsid w:val="00EA246D"/>
    <w:rsid w:val="00EA41A7"/>
    <w:rsid w:val="00EA4C2A"/>
    <w:rsid w:val="00EA5B29"/>
    <w:rsid w:val="00EA6683"/>
    <w:rsid w:val="00EA6C77"/>
    <w:rsid w:val="00EB11D7"/>
    <w:rsid w:val="00EB12C0"/>
    <w:rsid w:val="00EB16A1"/>
    <w:rsid w:val="00EB2401"/>
    <w:rsid w:val="00EB2A93"/>
    <w:rsid w:val="00EB2CAB"/>
    <w:rsid w:val="00EB2CB0"/>
    <w:rsid w:val="00EB3362"/>
    <w:rsid w:val="00EB3765"/>
    <w:rsid w:val="00EB473C"/>
    <w:rsid w:val="00EB4B9D"/>
    <w:rsid w:val="00EB66F9"/>
    <w:rsid w:val="00EC046B"/>
    <w:rsid w:val="00EC283E"/>
    <w:rsid w:val="00EC2DD1"/>
    <w:rsid w:val="00EC35BD"/>
    <w:rsid w:val="00EC3EA0"/>
    <w:rsid w:val="00EC5D55"/>
    <w:rsid w:val="00EC7945"/>
    <w:rsid w:val="00ED0925"/>
    <w:rsid w:val="00ED1279"/>
    <w:rsid w:val="00ED1728"/>
    <w:rsid w:val="00ED1C2E"/>
    <w:rsid w:val="00ED265A"/>
    <w:rsid w:val="00ED3C95"/>
    <w:rsid w:val="00ED438B"/>
    <w:rsid w:val="00ED448D"/>
    <w:rsid w:val="00ED4AFE"/>
    <w:rsid w:val="00ED6502"/>
    <w:rsid w:val="00ED778B"/>
    <w:rsid w:val="00EE060F"/>
    <w:rsid w:val="00EE068C"/>
    <w:rsid w:val="00EE08C8"/>
    <w:rsid w:val="00EE1507"/>
    <w:rsid w:val="00EE1EEC"/>
    <w:rsid w:val="00EE2025"/>
    <w:rsid w:val="00EE2BAE"/>
    <w:rsid w:val="00EE2E7E"/>
    <w:rsid w:val="00EE2F28"/>
    <w:rsid w:val="00EE4FEE"/>
    <w:rsid w:val="00EE70DB"/>
    <w:rsid w:val="00EE782F"/>
    <w:rsid w:val="00EF10D7"/>
    <w:rsid w:val="00EF45C3"/>
    <w:rsid w:val="00EF4BED"/>
    <w:rsid w:val="00EF52B1"/>
    <w:rsid w:val="00EF5DD9"/>
    <w:rsid w:val="00EF7C8D"/>
    <w:rsid w:val="00F0158F"/>
    <w:rsid w:val="00F06C67"/>
    <w:rsid w:val="00F07A7A"/>
    <w:rsid w:val="00F10111"/>
    <w:rsid w:val="00F101A3"/>
    <w:rsid w:val="00F10BB0"/>
    <w:rsid w:val="00F11A57"/>
    <w:rsid w:val="00F136E0"/>
    <w:rsid w:val="00F15EE7"/>
    <w:rsid w:val="00F16359"/>
    <w:rsid w:val="00F16B59"/>
    <w:rsid w:val="00F22920"/>
    <w:rsid w:val="00F22CAD"/>
    <w:rsid w:val="00F233C1"/>
    <w:rsid w:val="00F24798"/>
    <w:rsid w:val="00F24C34"/>
    <w:rsid w:val="00F254AD"/>
    <w:rsid w:val="00F3192F"/>
    <w:rsid w:val="00F32BE6"/>
    <w:rsid w:val="00F3415E"/>
    <w:rsid w:val="00F35A30"/>
    <w:rsid w:val="00F369F7"/>
    <w:rsid w:val="00F40C61"/>
    <w:rsid w:val="00F421E5"/>
    <w:rsid w:val="00F43FB8"/>
    <w:rsid w:val="00F442EF"/>
    <w:rsid w:val="00F449F9"/>
    <w:rsid w:val="00F44A8C"/>
    <w:rsid w:val="00F44B91"/>
    <w:rsid w:val="00F47FC7"/>
    <w:rsid w:val="00F519E4"/>
    <w:rsid w:val="00F53257"/>
    <w:rsid w:val="00F533D5"/>
    <w:rsid w:val="00F53D30"/>
    <w:rsid w:val="00F5515A"/>
    <w:rsid w:val="00F5625A"/>
    <w:rsid w:val="00F5731E"/>
    <w:rsid w:val="00F604D4"/>
    <w:rsid w:val="00F63889"/>
    <w:rsid w:val="00F65DC3"/>
    <w:rsid w:val="00F6636A"/>
    <w:rsid w:val="00F66C77"/>
    <w:rsid w:val="00F71390"/>
    <w:rsid w:val="00F71DCE"/>
    <w:rsid w:val="00F76F95"/>
    <w:rsid w:val="00F80720"/>
    <w:rsid w:val="00F80FAB"/>
    <w:rsid w:val="00F82BC2"/>
    <w:rsid w:val="00F84186"/>
    <w:rsid w:val="00F859DA"/>
    <w:rsid w:val="00F905FA"/>
    <w:rsid w:val="00F9288D"/>
    <w:rsid w:val="00F93224"/>
    <w:rsid w:val="00F93895"/>
    <w:rsid w:val="00F9434D"/>
    <w:rsid w:val="00F94FE7"/>
    <w:rsid w:val="00F96A0F"/>
    <w:rsid w:val="00FA15A1"/>
    <w:rsid w:val="00FA21A0"/>
    <w:rsid w:val="00FA2758"/>
    <w:rsid w:val="00FA2888"/>
    <w:rsid w:val="00FA4491"/>
    <w:rsid w:val="00FA49B8"/>
    <w:rsid w:val="00FA4A49"/>
    <w:rsid w:val="00FA61B1"/>
    <w:rsid w:val="00FA65CB"/>
    <w:rsid w:val="00FA6D70"/>
    <w:rsid w:val="00FB007A"/>
    <w:rsid w:val="00FB16B5"/>
    <w:rsid w:val="00FB20BE"/>
    <w:rsid w:val="00FB230B"/>
    <w:rsid w:val="00FB272A"/>
    <w:rsid w:val="00FB28C4"/>
    <w:rsid w:val="00FB28E9"/>
    <w:rsid w:val="00FB2FE6"/>
    <w:rsid w:val="00FB34FE"/>
    <w:rsid w:val="00FB4D2B"/>
    <w:rsid w:val="00FB6A8E"/>
    <w:rsid w:val="00FB6F34"/>
    <w:rsid w:val="00FB7298"/>
    <w:rsid w:val="00FB752E"/>
    <w:rsid w:val="00FC2291"/>
    <w:rsid w:val="00FC22E4"/>
    <w:rsid w:val="00FC3E0F"/>
    <w:rsid w:val="00FC3FF6"/>
    <w:rsid w:val="00FC4C64"/>
    <w:rsid w:val="00FC5C18"/>
    <w:rsid w:val="00FC60DB"/>
    <w:rsid w:val="00FC63FA"/>
    <w:rsid w:val="00FC6DDE"/>
    <w:rsid w:val="00FD2B05"/>
    <w:rsid w:val="00FD3369"/>
    <w:rsid w:val="00FD394A"/>
    <w:rsid w:val="00FD3EEF"/>
    <w:rsid w:val="00FD4A40"/>
    <w:rsid w:val="00FD4EF4"/>
    <w:rsid w:val="00FD5B7A"/>
    <w:rsid w:val="00FD60DD"/>
    <w:rsid w:val="00FD6E77"/>
    <w:rsid w:val="00FE0116"/>
    <w:rsid w:val="00FE1224"/>
    <w:rsid w:val="00FE33B1"/>
    <w:rsid w:val="00FE368E"/>
    <w:rsid w:val="00FE374E"/>
    <w:rsid w:val="00FE3FD4"/>
    <w:rsid w:val="00FE40BE"/>
    <w:rsid w:val="00FE5AAE"/>
    <w:rsid w:val="00FE78F0"/>
    <w:rsid w:val="00FF30D4"/>
    <w:rsid w:val="00FF3A58"/>
    <w:rsid w:val="00FF5494"/>
    <w:rsid w:val="00FF7685"/>
    <w:rsid w:val="010E5199"/>
    <w:rsid w:val="010F524E"/>
    <w:rsid w:val="014C40D5"/>
    <w:rsid w:val="01D94483"/>
    <w:rsid w:val="02B853D7"/>
    <w:rsid w:val="034C7AFF"/>
    <w:rsid w:val="03510B84"/>
    <w:rsid w:val="039321C0"/>
    <w:rsid w:val="03DF34E4"/>
    <w:rsid w:val="03E04A35"/>
    <w:rsid w:val="045A4146"/>
    <w:rsid w:val="04F209B3"/>
    <w:rsid w:val="055A1B02"/>
    <w:rsid w:val="05DD1395"/>
    <w:rsid w:val="061B6D6D"/>
    <w:rsid w:val="06621996"/>
    <w:rsid w:val="069E1F4A"/>
    <w:rsid w:val="069E5DF6"/>
    <w:rsid w:val="06B06C5D"/>
    <w:rsid w:val="06D3303D"/>
    <w:rsid w:val="07313D00"/>
    <w:rsid w:val="07391B32"/>
    <w:rsid w:val="07623F84"/>
    <w:rsid w:val="07C26CA5"/>
    <w:rsid w:val="07FF3B44"/>
    <w:rsid w:val="089221ED"/>
    <w:rsid w:val="08AA40C0"/>
    <w:rsid w:val="08EC4C92"/>
    <w:rsid w:val="08F479AA"/>
    <w:rsid w:val="091E614B"/>
    <w:rsid w:val="09355DDA"/>
    <w:rsid w:val="09575226"/>
    <w:rsid w:val="09901411"/>
    <w:rsid w:val="09D52101"/>
    <w:rsid w:val="09FD0E9F"/>
    <w:rsid w:val="0A0E5461"/>
    <w:rsid w:val="0A2A4608"/>
    <w:rsid w:val="0A761936"/>
    <w:rsid w:val="0A956A37"/>
    <w:rsid w:val="0B353EC5"/>
    <w:rsid w:val="0B3C11F1"/>
    <w:rsid w:val="0B666A61"/>
    <w:rsid w:val="0BC11374"/>
    <w:rsid w:val="0BD57A11"/>
    <w:rsid w:val="0C1341B9"/>
    <w:rsid w:val="0C3254DC"/>
    <w:rsid w:val="0C7D65BC"/>
    <w:rsid w:val="0CAD38AC"/>
    <w:rsid w:val="0CD52391"/>
    <w:rsid w:val="0CD90881"/>
    <w:rsid w:val="0CED7D8C"/>
    <w:rsid w:val="0D6A4AD7"/>
    <w:rsid w:val="0DD53DD4"/>
    <w:rsid w:val="0E255D69"/>
    <w:rsid w:val="0E2F74A0"/>
    <w:rsid w:val="0E8C7F2B"/>
    <w:rsid w:val="0F794A18"/>
    <w:rsid w:val="0F9D6B5D"/>
    <w:rsid w:val="0FB82FD5"/>
    <w:rsid w:val="1009014F"/>
    <w:rsid w:val="10514AD4"/>
    <w:rsid w:val="11214B6D"/>
    <w:rsid w:val="11D00633"/>
    <w:rsid w:val="133B3B5D"/>
    <w:rsid w:val="133F5C40"/>
    <w:rsid w:val="13B91FDD"/>
    <w:rsid w:val="13F32887"/>
    <w:rsid w:val="14340E2C"/>
    <w:rsid w:val="151072FF"/>
    <w:rsid w:val="15B05FA8"/>
    <w:rsid w:val="15C76D29"/>
    <w:rsid w:val="15F95707"/>
    <w:rsid w:val="1648040C"/>
    <w:rsid w:val="17134CD7"/>
    <w:rsid w:val="17153C0C"/>
    <w:rsid w:val="173F7C7B"/>
    <w:rsid w:val="17C34B62"/>
    <w:rsid w:val="18244E26"/>
    <w:rsid w:val="183506F4"/>
    <w:rsid w:val="1868701A"/>
    <w:rsid w:val="18C04373"/>
    <w:rsid w:val="18C3178B"/>
    <w:rsid w:val="190301FC"/>
    <w:rsid w:val="190E58A7"/>
    <w:rsid w:val="19495575"/>
    <w:rsid w:val="19BA5D94"/>
    <w:rsid w:val="1B3A2A27"/>
    <w:rsid w:val="1B627C0A"/>
    <w:rsid w:val="1B7603DB"/>
    <w:rsid w:val="1B7A01CA"/>
    <w:rsid w:val="1BE51C24"/>
    <w:rsid w:val="1C1D5C5A"/>
    <w:rsid w:val="1C8B2DC8"/>
    <w:rsid w:val="1CBD009F"/>
    <w:rsid w:val="1CD8377F"/>
    <w:rsid w:val="1CF75694"/>
    <w:rsid w:val="1D433820"/>
    <w:rsid w:val="1D5A77BF"/>
    <w:rsid w:val="1D667FFB"/>
    <w:rsid w:val="1DB218CD"/>
    <w:rsid w:val="1DC5334C"/>
    <w:rsid w:val="1DE2088E"/>
    <w:rsid w:val="1E7563B9"/>
    <w:rsid w:val="1E764E95"/>
    <w:rsid w:val="1EB13227"/>
    <w:rsid w:val="1EF21687"/>
    <w:rsid w:val="1F2C68C3"/>
    <w:rsid w:val="1F304D42"/>
    <w:rsid w:val="1F843D72"/>
    <w:rsid w:val="1F87756D"/>
    <w:rsid w:val="1FE55271"/>
    <w:rsid w:val="1FF94A12"/>
    <w:rsid w:val="20AD0BF1"/>
    <w:rsid w:val="20DE36A9"/>
    <w:rsid w:val="20F24498"/>
    <w:rsid w:val="21E01EA3"/>
    <w:rsid w:val="22052962"/>
    <w:rsid w:val="222E39E5"/>
    <w:rsid w:val="225E0B69"/>
    <w:rsid w:val="22714EB1"/>
    <w:rsid w:val="22863A7B"/>
    <w:rsid w:val="22A93684"/>
    <w:rsid w:val="231825B5"/>
    <w:rsid w:val="2329499C"/>
    <w:rsid w:val="234F3F82"/>
    <w:rsid w:val="24B6742C"/>
    <w:rsid w:val="24D61B28"/>
    <w:rsid w:val="2546260F"/>
    <w:rsid w:val="259322B4"/>
    <w:rsid w:val="260643AC"/>
    <w:rsid w:val="26135DCC"/>
    <w:rsid w:val="262558FD"/>
    <w:rsid w:val="26AC1B2A"/>
    <w:rsid w:val="26BE0D88"/>
    <w:rsid w:val="26CF1B23"/>
    <w:rsid w:val="26FC2A88"/>
    <w:rsid w:val="272378A0"/>
    <w:rsid w:val="27265A63"/>
    <w:rsid w:val="276F394A"/>
    <w:rsid w:val="27850DB9"/>
    <w:rsid w:val="27D76FC4"/>
    <w:rsid w:val="27E47E54"/>
    <w:rsid w:val="27EF5C4B"/>
    <w:rsid w:val="280363BD"/>
    <w:rsid w:val="28426463"/>
    <w:rsid w:val="28BC438E"/>
    <w:rsid w:val="29845D0F"/>
    <w:rsid w:val="29F738D5"/>
    <w:rsid w:val="2A240F21"/>
    <w:rsid w:val="2A3E16D4"/>
    <w:rsid w:val="2B146FA7"/>
    <w:rsid w:val="2BBF30C3"/>
    <w:rsid w:val="2BC9660D"/>
    <w:rsid w:val="2C2038D9"/>
    <w:rsid w:val="2C9835CA"/>
    <w:rsid w:val="2CA11F33"/>
    <w:rsid w:val="2CD920D2"/>
    <w:rsid w:val="2D5C2250"/>
    <w:rsid w:val="2DAA7713"/>
    <w:rsid w:val="2DC45B3D"/>
    <w:rsid w:val="2E0C1D6B"/>
    <w:rsid w:val="2E2850C4"/>
    <w:rsid w:val="2E304BA3"/>
    <w:rsid w:val="2E375F69"/>
    <w:rsid w:val="2EAE1057"/>
    <w:rsid w:val="2ECE666B"/>
    <w:rsid w:val="2F03519A"/>
    <w:rsid w:val="2F450157"/>
    <w:rsid w:val="2FBF3F34"/>
    <w:rsid w:val="2FC52C51"/>
    <w:rsid w:val="30073B78"/>
    <w:rsid w:val="30A9322D"/>
    <w:rsid w:val="30B45F5A"/>
    <w:rsid w:val="311A54E9"/>
    <w:rsid w:val="312C2234"/>
    <w:rsid w:val="317957AA"/>
    <w:rsid w:val="317E36F8"/>
    <w:rsid w:val="31F600E5"/>
    <w:rsid w:val="3247367B"/>
    <w:rsid w:val="339A2A4E"/>
    <w:rsid w:val="33C77B70"/>
    <w:rsid w:val="33D726ED"/>
    <w:rsid w:val="340F73E6"/>
    <w:rsid w:val="34347434"/>
    <w:rsid w:val="3441272A"/>
    <w:rsid w:val="3441319B"/>
    <w:rsid w:val="34596F5C"/>
    <w:rsid w:val="34682775"/>
    <w:rsid w:val="34B4528F"/>
    <w:rsid w:val="35007B1B"/>
    <w:rsid w:val="350D5220"/>
    <w:rsid w:val="35A250E3"/>
    <w:rsid w:val="35FB7A22"/>
    <w:rsid w:val="36ED0492"/>
    <w:rsid w:val="371154DF"/>
    <w:rsid w:val="37154308"/>
    <w:rsid w:val="37A92E71"/>
    <w:rsid w:val="37CD55EE"/>
    <w:rsid w:val="37F60D8B"/>
    <w:rsid w:val="385E6884"/>
    <w:rsid w:val="397B7BC6"/>
    <w:rsid w:val="39A17AE0"/>
    <w:rsid w:val="39B10819"/>
    <w:rsid w:val="39D32FD8"/>
    <w:rsid w:val="3A745884"/>
    <w:rsid w:val="3ACB4755"/>
    <w:rsid w:val="3ACE574C"/>
    <w:rsid w:val="3B0B0AD5"/>
    <w:rsid w:val="3B6B19B8"/>
    <w:rsid w:val="3B6D5039"/>
    <w:rsid w:val="3BB5324D"/>
    <w:rsid w:val="3C4E234C"/>
    <w:rsid w:val="3D303804"/>
    <w:rsid w:val="3D3E1714"/>
    <w:rsid w:val="3D947A19"/>
    <w:rsid w:val="3E030956"/>
    <w:rsid w:val="3E35171E"/>
    <w:rsid w:val="3E3C2B86"/>
    <w:rsid w:val="3EA84E5D"/>
    <w:rsid w:val="3F0E09A9"/>
    <w:rsid w:val="3F2216AD"/>
    <w:rsid w:val="3FCD1DFE"/>
    <w:rsid w:val="401D7FC2"/>
    <w:rsid w:val="40337D20"/>
    <w:rsid w:val="4044724E"/>
    <w:rsid w:val="408C16E3"/>
    <w:rsid w:val="41765B26"/>
    <w:rsid w:val="41805DAA"/>
    <w:rsid w:val="41A62A24"/>
    <w:rsid w:val="42263950"/>
    <w:rsid w:val="422B64EB"/>
    <w:rsid w:val="424C4720"/>
    <w:rsid w:val="427663E1"/>
    <w:rsid w:val="429172CC"/>
    <w:rsid w:val="42BB6E80"/>
    <w:rsid w:val="42C01496"/>
    <w:rsid w:val="42CE0484"/>
    <w:rsid w:val="43054933"/>
    <w:rsid w:val="431B2186"/>
    <w:rsid w:val="431F54B9"/>
    <w:rsid w:val="43243AB5"/>
    <w:rsid w:val="43773C74"/>
    <w:rsid w:val="43F87E97"/>
    <w:rsid w:val="43FA7D96"/>
    <w:rsid w:val="443822C9"/>
    <w:rsid w:val="44893F23"/>
    <w:rsid w:val="451F670F"/>
    <w:rsid w:val="455F36F2"/>
    <w:rsid w:val="45DB7850"/>
    <w:rsid w:val="460F75B1"/>
    <w:rsid w:val="464B42E2"/>
    <w:rsid w:val="4672373B"/>
    <w:rsid w:val="468058F6"/>
    <w:rsid w:val="468731C3"/>
    <w:rsid w:val="46CA7B5A"/>
    <w:rsid w:val="46D16626"/>
    <w:rsid w:val="46F8000E"/>
    <w:rsid w:val="4704295F"/>
    <w:rsid w:val="47AD5B80"/>
    <w:rsid w:val="47B023EB"/>
    <w:rsid w:val="481C13BF"/>
    <w:rsid w:val="48547F3A"/>
    <w:rsid w:val="48D35B86"/>
    <w:rsid w:val="4949300E"/>
    <w:rsid w:val="494E1C53"/>
    <w:rsid w:val="498F2A6E"/>
    <w:rsid w:val="49E905DC"/>
    <w:rsid w:val="4A01097D"/>
    <w:rsid w:val="4AD87D62"/>
    <w:rsid w:val="4B202062"/>
    <w:rsid w:val="4B4E43A6"/>
    <w:rsid w:val="4B7F2792"/>
    <w:rsid w:val="4BB156FA"/>
    <w:rsid w:val="4BB64397"/>
    <w:rsid w:val="4BCE582C"/>
    <w:rsid w:val="4C290DCF"/>
    <w:rsid w:val="4C555ECC"/>
    <w:rsid w:val="4C672C81"/>
    <w:rsid w:val="4C813E50"/>
    <w:rsid w:val="4CB952A0"/>
    <w:rsid w:val="4CC86CA3"/>
    <w:rsid w:val="4CE30117"/>
    <w:rsid w:val="4D077263"/>
    <w:rsid w:val="4D440B3B"/>
    <w:rsid w:val="4DED6593"/>
    <w:rsid w:val="4E1C207C"/>
    <w:rsid w:val="4E4478F5"/>
    <w:rsid w:val="4E83505D"/>
    <w:rsid w:val="4E9E3E16"/>
    <w:rsid w:val="4EB47032"/>
    <w:rsid w:val="4EDB0166"/>
    <w:rsid w:val="4EE53D72"/>
    <w:rsid w:val="4FB21842"/>
    <w:rsid w:val="4FF80565"/>
    <w:rsid w:val="50192F5A"/>
    <w:rsid w:val="505062AF"/>
    <w:rsid w:val="505E2BE9"/>
    <w:rsid w:val="50DF58C1"/>
    <w:rsid w:val="512300E0"/>
    <w:rsid w:val="5128120B"/>
    <w:rsid w:val="516D537A"/>
    <w:rsid w:val="5196418D"/>
    <w:rsid w:val="51980D4A"/>
    <w:rsid w:val="51A81F9C"/>
    <w:rsid w:val="51DD3CF4"/>
    <w:rsid w:val="51F91887"/>
    <w:rsid w:val="520E39C4"/>
    <w:rsid w:val="52A526FE"/>
    <w:rsid w:val="52E636C6"/>
    <w:rsid w:val="537B0041"/>
    <w:rsid w:val="53D40987"/>
    <w:rsid w:val="542A243C"/>
    <w:rsid w:val="542C153F"/>
    <w:rsid w:val="5451789C"/>
    <w:rsid w:val="548B0DE9"/>
    <w:rsid w:val="54CE0F89"/>
    <w:rsid w:val="55134FF8"/>
    <w:rsid w:val="554566F2"/>
    <w:rsid w:val="558D356B"/>
    <w:rsid w:val="55D63080"/>
    <w:rsid w:val="562653FF"/>
    <w:rsid w:val="56383EDB"/>
    <w:rsid w:val="56792D6E"/>
    <w:rsid w:val="56DD22AA"/>
    <w:rsid w:val="56DF7CA4"/>
    <w:rsid w:val="571E1156"/>
    <w:rsid w:val="57764369"/>
    <w:rsid w:val="57A83A08"/>
    <w:rsid w:val="57CF2DE7"/>
    <w:rsid w:val="58842B91"/>
    <w:rsid w:val="5899060A"/>
    <w:rsid w:val="589A168E"/>
    <w:rsid w:val="589F26F3"/>
    <w:rsid w:val="597F55E4"/>
    <w:rsid w:val="59D75B33"/>
    <w:rsid w:val="5A4C30A3"/>
    <w:rsid w:val="5A574D33"/>
    <w:rsid w:val="5A5F1F59"/>
    <w:rsid w:val="5AED4DB1"/>
    <w:rsid w:val="5B1D417B"/>
    <w:rsid w:val="5B2B6E12"/>
    <w:rsid w:val="5B845F39"/>
    <w:rsid w:val="5BC67A99"/>
    <w:rsid w:val="5BF73773"/>
    <w:rsid w:val="5C272945"/>
    <w:rsid w:val="5CE430FF"/>
    <w:rsid w:val="5D210617"/>
    <w:rsid w:val="5D506A1D"/>
    <w:rsid w:val="5D5750F2"/>
    <w:rsid w:val="5D8E6B86"/>
    <w:rsid w:val="5DBD092A"/>
    <w:rsid w:val="5DE04AC0"/>
    <w:rsid w:val="5E435949"/>
    <w:rsid w:val="5E756687"/>
    <w:rsid w:val="5E8F0379"/>
    <w:rsid w:val="5EC16984"/>
    <w:rsid w:val="5EDF13B1"/>
    <w:rsid w:val="5EED5BDD"/>
    <w:rsid w:val="5F011023"/>
    <w:rsid w:val="5F201E20"/>
    <w:rsid w:val="5F8D3CAC"/>
    <w:rsid w:val="5FD24066"/>
    <w:rsid w:val="601B5E69"/>
    <w:rsid w:val="60543434"/>
    <w:rsid w:val="608A76DC"/>
    <w:rsid w:val="60EA0C7D"/>
    <w:rsid w:val="611B2C3C"/>
    <w:rsid w:val="61DD0B9F"/>
    <w:rsid w:val="629B3BA0"/>
    <w:rsid w:val="62ED5AA7"/>
    <w:rsid w:val="637830F1"/>
    <w:rsid w:val="63960CF7"/>
    <w:rsid w:val="63D62E9B"/>
    <w:rsid w:val="63D72461"/>
    <w:rsid w:val="64181EC5"/>
    <w:rsid w:val="64511325"/>
    <w:rsid w:val="648139C1"/>
    <w:rsid w:val="64C44984"/>
    <w:rsid w:val="64E952CA"/>
    <w:rsid w:val="650F218B"/>
    <w:rsid w:val="6540070B"/>
    <w:rsid w:val="657659F9"/>
    <w:rsid w:val="65842F89"/>
    <w:rsid w:val="65E92ECC"/>
    <w:rsid w:val="663522DE"/>
    <w:rsid w:val="668E0232"/>
    <w:rsid w:val="66DC4064"/>
    <w:rsid w:val="672E6309"/>
    <w:rsid w:val="67467314"/>
    <w:rsid w:val="675621B9"/>
    <w:rsid w:val="67D02912"/>
    <w:rsid w:val="6871363F"/>
    <w:rsid w:val="68B23596"/>
    <w:rsid w:val="68EE6D01"/>
    <w:rsid w:val="691C5D7F"/>
    <w:rsid w:val="69331FB4"/>
    <w:rsid w:val="69644B5A"/>
    <w:rsid w:val="69666837"/>
    <w:rsid w:val="6A1422BF"/>
    <w:rsid w:val="6B085216"/>
    <w:rsid w:val="6BD71EAC"/>
    <w:rsid w:val="6C7146F7"/>
    <w:rsid w:val="6C965C75"/>
    <w:rsid w:val="6CA12577"/>
    <w:rsid w:val="6DFE57FA"/>
    <w:rsid w:val="6EE8397B"/>
    <w:rsid w:val="6F2509B0"/>
    <w:rsid w:val="6F2533C2"/>
    <w:rsid w:val="6F8F4467"/>
    <w:rsid w:val="6FA702DC"/>
    <w:rsid w:val="6FC84254"/>
    <w:rsid w:val="708422B7"/>
    <w:rsid w:val="708B0254"/>
    <w:rsid w:val="70B079BF"/>
    <w:rsid w:val="70B54732"/>
    <w:rsid w:val="70E471AF"/>
    <w:rsid w:val="70FC649E"/>
    <w:rsid w:val="71662C52"/>
    <w:rsid w:val="716A441A"/>
    <w:rsid w:val="724A0232"/>
    <w:rsid w:val="729E2462"/>
    <w:rsid w:val="72AD57F7"/>
    <w:rsid w:val="73536CF4"/>
    <w:rsid w:val="73685AB8"/>
    <w:rsid w:val="739D2CBD"/>
    <w:rsid w:val="73BA794D"/>
    <w:rsid w:val="741F515C"/>
    <w:rsid w:val="745131DF"/>
    <w:rsid w:val="746677E7"/>
    <w:rsid w:val="749016E6"/>
    <w:rsid w:val="75BF44B0"/>
    <w:rsid w:val="760A1427"/>
    <w:rsid w:val="76226699"/>
    <w:rsid w:val="76581835"/>
    <w:rsid w:val="766E2873"/>
    <w:rsid w:val="7776441B"/>
    <w:rsid w:val="77F064F7"/>
    <w:rsid w:val="78342545"/>
    <w:rsid w:val="784D2619"/>
    <w:rsid w:val="78743EEF"/>
    <w:rsid w:val="78C82E8E"/>
    <w:rsid w:val="78DC45ED"/>
    <w:rsid w:val="79447D53"/>
    <w:rsid w:val="7A256A27"/>
    <w:rsid w:val="7A374D14"/>
    <w:rsid w:val="7A7F5669"/>
    <w:rsid w:val="7B182646"/>
    <w:rsid w:val="7B475FAB"/>
    <w:rsid w:val="7B7E331B"/>
    <w:rsid w:val="7BAE4242"/>
    <w:rsid w:val="7BBE2AF8"/>
    <w:rsid w:val="7BCD00F5"/>
    <w:rsid w:val="7BED75DA"/>
    <w:rsid w:val="7CC51E3F"/>
    <w:rsid w:val="7CCF19CB"/>
    <w:rsid w:val="7CD8156C"/>
    <w:rsid w:val="7D0166C2"/>
    <w:rsid w:val="7D925D0F"/>
    <w:rsid w:val="7E6D2268"/>
    <w:rsid w:val="7EE24B36"/>
    <w:rsid w:val="7F1555BA"/>
    <w:rsid w:val="7F580E55"/>
    <w:rsid w:val="7FF8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link w:val="49"/>
    <w:qFormat/>
    <w:uiPriority w:val="0"/>
    <w:pPr>
      <w:keepNext/>
      <w:keepLines/>
      <w:spacing w:before="280" w:after="290" w:line="374" w:lineRule="auto"/>
      <w:outlineLvl w:val="3"/>
    </w:pPr>
    <w:rPr>
      <w:rFonts w:ascii="Arial" w:hAnsi="Arial" w:eastAsia="黑体"/>
      <w:b/>
      <w:bCs/>
      <w:sz w:val="28"/>
      <w:szCs w:val="28"/>
    </w:rPr>
  </w:style>
  <w:style w:type="paragraph" w:styleId="6">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0"/>
    <w:pPr>
      <w:ind w:left="1260"/>
      <w:jc w:val="left"/>
    </w:pPr>
    <w:rPr>
      <w:sz w:val="18"/>
      <w:szCs w:val="18"/>
    </w:rPr>
  </w:style>
  <w:style w:type="paragraph" w:styleId="11">
    <w:name w:val="Normal Indent"/>
    <w:basedOn w:val="1"/>
    <w:link w:val="94"/>
    <w:qFormat/>
    <w:uiPriority w:val="0"/>
    <w:pPr>
      <w:ind w:firstLine="420" w:firstLineChars="200"/>
    </w:pPr>
  </w:style>
  <w:style w:type="paragraph" w:styleId="12">
    <w:name w:val="Document Map"/>
    <w:basedOn w:val="1"/>
    <w:link w:val="50"/>
    <w:qFormat/>
    <w:uiPriority w:val="0"/>
    <w:pPr>
      <w:shd w:val="clear" w:color="auto" w:fill="000080"/>
    </w:pPr>
  </w:style>
  <w:style w:type="paragraph" w:styleId="13">
    <w:name w:val="annotation text"/>
    <w:basedOn w:val="1"/>
    <w:link w:val="51"/>
    <w:qFormat/>
    <w:uiPriority w:val="0"/>
    <w:pPr>
      <w:jc w:val="left"/>
    </w:pPr>
  </w:style>
  <w:style w:type="paragraph" w:styleId="14">
    <w:name w:val="Body Text 3"/>
    <w:basedOn w:val="1"/>
    <w:link w:val="52"/>
    <w:qFormat/>
    <w:uiPriority w:val="0"/>
    <w:rPr>
      <w:rFonts w:ascii="宋体"/>
      <w:sz w:val="24"/>
      <w:szCs w:val="20"/>
    </w:rPr>
  </w:style>
  <w:style w:type="paragraph" w:styleId="15">
    <w:name w:val="Body Text"/>
    <w:basedOn w:val="1"/>
    <w:link w:val="53"/>
    <w:qFormat/>
    <w:uiPriority w:val="0"/>
    <w:pPr>
      <w:spacing w:after="120"/>
    </w:pPr>
  </w:style>
  <w:style w:type="paragraph" w:styleId="16">
    <w:name w:val="Body Text Indent"/>
    <w:basedOn w:val="1"/>
    <w:qFormat/>
    <w:uiPriority w:val="0"/>
    <w:pPr>
      <w:spacing w:after="120"/>
      <w:ind w:left="420" w:leftChars="200"/>
    </w:pPr>
  </w:style>
  <w:style w:type="paragraph" w:styleId="17">
    <w:name w:val="toc 5"/>
    <w:basedOn w:val="1"/>
    <w:next w:val="1"/>
    <w:qFormat/>
    <w:uiPriority w:val="0"/>
    <w:pPr>
      <w:ind w:left="840"/>
      <w:jc w:val="left"/>
    </w:pPr>
    <w:rPr>
      <w:sz w:val="18"/>
      <w:szCs w:val="18"/>
    </w:rPr>
  </w:style>
  <w:style w:type="paragraph" w:styleId="18">
    <w:name w:val="toc 3"/>
    <w:basedOn w:val="1"/>
    <w:next w:val="1"/>
    <w:qFormat/>
    <w:uiPriority w:val="39"/>
    <w:pPr>
      <w:ind w:left="420"/>
      <w:jc w:val="left"/>
    </w:pPr>
    <w:rPr>
      <w:iCs/>
      <w:sz w:val="20"/>
      <w:szCs w:val="20"/>
    </w:rPr>
  </w:style>
  <w:style w:type="paragraph" w:styleId="19">
    <w:name w:val="Plain Text"/>
    <w:basedOn w:val="1"/>
    <w:next w:val="1"/>
    <w:link w:val="54"/>
    <w:qFormat/>
    <w:uiPriority w:val="0"/>
    <w:rPr>
      <w:rFonts w:ascii="等线" w:hAnsi="Courier New" w:eastAsia="等线"/>
      <w:szCs w:val="22"/>
    </w:rPr>
  </w:style>
  <w:style w:type="paragraph" w:styleId="20">
    <w:name w:val="toc 8"/>
    <w:basedOn w:val="1"/>
    <w:next w:val="1"/>
    <w:qFormat/>
    <w:uiPriority w:val="0"/>
    <w:pPr>
      <w:ind w:left="1470"/>
      <w:jc w:val="left"/>
    </w:pPr>
    <w:rPr>
      <w:sz w:val="18"/>
      <w:szCs w:val="18"/>
    </w:rPr>
  </w:style>
  <w:style w:type="paragraph" w:styleId="21">
    <w:name w:val="Date"/>
    <w:basedOn w:val="1"/>
    <w:next w:val="1"/>
    <w:link w:val="55"/>
    <w:qFormat/>
    <w:uiPriority w:val="0"/>
    <w:rPr>
      <w:sz w:val="24"/>
      <w:szCs w:val="20"/>
    </w:rPr>
  </w:style>
  <w:style w:type="paragraph" w:styleId="22">
    <w:name w:val="Balloon Text"/>
    <w:basedOn w:val="1"/>
    <w:qFormat/>
    <w:uiPriority w:val="0"/>
    <w:rPr>
      <w:sz w:val="18"/>
      <w:szCs w:val="18"/>
    </w:rPr>
  </w:style>
  <w:style w:type="paragraph" w:styleId="23">
    <w:name w:val="footer"/>
    <w:basedOn w:val="1"/>
    <w:link w:val="56"/>
    <w:qFormat/>
    <w:uiPriority w:val="0"/>
    <w:pPr>
      <w:tabs>
        <w:tab w:val="center" w:pos="4153"/>
        <w:tab w:val="right" w:pos="8306"/>
      </w:tabs>
      <w:snapToGrid w:val="0"/>
      <w:jc w:val="left"/>
    </w:pPr>
    <w:rPr>
      <w:sz w:val="18"/>
      <w:szCs w:val="18"/>
    </w:rPr>
  </w:style>
  <w:style w:type="paragraph" w:styleId="24">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jc w:val="left"/>
    </w:pPr>
    <w:rPr>
      <w:b/>
      <w:bCs/>
      <w:caps/>
      <w:sz w:val="20"/>
      <w:szCs w:val="20"/>
    </w:rPr>
  </w:style>
  <w:style w:type="paragraph" w:styleId="26">
    <w:name w:val="toc 4"/>
    <w:basedOn w:val="1"/>
    <w:next w:val="1"/>
    <w:qFormat/>
    <w:uiPriority w:val="0"/>
    <w:pPr>
      <w:ind w:left="630"/>
      <w:jc w:val="left"/>
    </w:pPr>
    <w:rPr>
      <w:sz w:val="18"/>
      <w:szCs w:val="18"/>
    </w:rPr>
  </w:style>
  <w:style w:type="paragraph" w:styleId="27">
    <w:name w:val="toc 6"/>
    <w:basedOn w:val="1"/>
    <w:next w:val="1"/>
    <w:qFormat/>
    <w:uiPriority w:val="0"/>
    <w:pPr>
      <w:ind w:left="1050"/>
      <w:jc w:val="left"/>
    </w:pPr>
    <w:rPr>
      <w:sz w:val="18"/>
      <w:szCs w:val="18"/>
    </w:rPr>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qFormat/>
    <w:uiPriority w:val="39"/>
    <w:pPr>
      <w:ind w:left="210"/>
      <w:jc w:val="left"/>
    </w:pPr>
    <w:rPr>
      <w:smallCaps/>
      <w:sz w:val="20"/>
      <w:szCs w:val="20"/>
    </w:rPr>
  </w:style>
  <w:style w:type="paragraph" w:styleId="30">
    <w:name w:val="toc 9"/>
    <w:basedOn w:val="1"/>
    <w:next w:val="1"/>
    <w:qFormat/>
    <w:uiPriority w:val="0"/>
    <w:pPr>
      <w:ind w:left="1680"/>
      <w:jc w:val="left"/>
    </w:pPr>
    <w:rPr>
      <w:sz w:val="18"/>
      <w:szCs w:val="18"/>
    </w:rPr>
  </w:style>
  <w:style w:type="paragraph" w:styleId="31">
    <w:name w:val="Normal (Web)"/>
    <w:basedOn w:val="1"/>
    <w:qFormat/>
    <w:uiPriority w:val="0"/>
    <w:pPr>
      <w:widowControl/>
      <w:spacing w:before="100" w:beforeAutospacing="1" w:after="100" w:afterAutospacing="1"/>
      <w:jc w:val="left"/>
    </w:pPr>
    <w:rPr>
      <w:rFonts w:ascii="宋体" w:hAnsi="宋体" w:eastAsia="楷体_GB2312" w:cs="宋体"/>
      <w:kern w:val="0"/>
      <w:sz w:val="24"/>
    </w:rPr>
  </w:style>
  <w:style w:type="paragraph" w:styleId="32">
    <w:name w:val="index 1"/>
    <w:basedOn w:val="1"/>
    <w:next w:val="1"/>
    <w:qFormat/>
    <w:uiPriority w:val="0"/>
    <w:pPr>
      <w:spacing w:line="220" w:lineRule="exact"/>
      <w:jc w:val="center"/>
    </w:pPr>
    <w:rPr>
      <w:rFonts w:ascii="仿宋_GB2312" w:eastAsia="仿宋_GB2312"/>
      <w:szCs w:val="21"/>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3"/>
    <w:next w:val="13"/>
    <w:link w:val="58"/>
    <w:qFormat/>
    <w:uiPriority w:val="0"/>
    <w:pPr>
      <w:jc w:val="both"/>
    </w:pPr>
    <w:rPr>
      <w:b/>
      <w:bCs/>
    </w:rPr>
  </w:style>
  <w:style w:type="paragraph" w:styleId="35">
    <w:name w:val="Body Text First Indent"/>
    <w:basedOn w:val="15"/>
    <w:link w:val="59"/>
    <w:qFormat/>
    <w:uiPriority w:val="0"/>
    <w:pPr>
      <w:spacing w:line="312" w:lineRule="auto"/>
      <w:ind w:firstLine="420"/>
    </w:pPr>
    <w:rPr>
      <w:kern w:val="0"/>
      <w:sz w:val="20"/>
      <w:szCs w:val="20"/>
    </w:rPr>
  </w:style>
  <w:style w:type="paragraph" w:styleId="36">
    <w:name w:val="Body Text First Indent 2"/>
    <w:basedOn w:val="16"/>
    <w:unhideWhenUsed/>
    <w:qFormat/>
    <w:uiPriority w:val="0"/>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link w:val="2"/>
    <w:qFormat/>
    <w:uiPriority w:val="0"/>
    <w:rPr>
      <w:rFonts w:eastAsia="宋体"/>
      <w:b/>
      <w:bCs/>
      <w:kern w:val="44"/>
      <w:sz w:val="44"/>
      <w:szCs w:val="44"/>
      <w:lang w:val="en-US" w:eastAsia="zh-CN" w:bidi="ar-SA"/>
    </w:rPr>
  </w:style>
  <w:style w:type="character" w:customStyle="1" w:styleId="47">
    <w:name w:val="标题 2 字符"/>
    <w:link w:val="3"/>
    <w:qFormat/>
    <w:uiPriority w:val="0"/>
    <w:rPr>
      <w:rFonts w:ascii="Arial" w:hAnsi="Arial" w:eastAsia="黑体"/>
      <w:b/>
      <w:bCs/>
      <w:kern w:val="2"/>
      <w:sz w:val="32"/>
      <w:szCs w:val="32"/>
      <w:lang w:val="en-US" w:eastAsia="zh-CN" w:bidi="ar-SA"/>
    </w:rPr>
  </w:style>
  <w:style w:type="character" w:customStyle="1" w:styleId="48">
    <w:name w:val="标题 3 字符"/>
    <w:link w:val="4"/>
    <w:qFormat/>
    <w:uiPriority w:val="0"/>
    <w:rPr>
      <w:rFonts w:ascii="黑体" w:hAnsi="宋体" w:eastAsia="黑体"/>
      <w:bCs/>
      <w:kern w:val="2"/>
      <w:sz w:val="28"/>
      <w:szCs w:val="28"/>
      <w:lang w:val="en-US" w:eastAsia="zh-CN" w:bidi="ar-SA"/>
    </w:rPr>
  </w:style>
  <w:style w:type="character" w:customStyle="1" w:styleId="49">
    <w:name w:val="标题 4 字符"/>
    <w:link w:val="5"/>
    <w:qFormat/>
    <w:uiPriority w:val="0"/>
    <w:rPr>
      <w:rFonts w:ascii="Arial" w:hAnsi="Arial" w:eastAsia="黑体"/>
      <w:b/>
      <w:bCs/>
      <w:kern w:val="2"/>
      <w:sz w:val="28"/>
      <w:szCs w:val="28"/>
      <w:lang w:val="en-US" w:eastAsia="zh-CN" w:bidi="ar-SA"/>
    </w:rPr>
  </w:style>
  <w:style w:type="character" w:customStyle="1" w:styleId="50">
    <w:name w:val="文档结构图 字符"/>
    <w:link w:val="12"/>
    <w:qFormat/>
    <w:uiPriority w:val="0"/>
    <w:rPr>
      <w:rFonts w:eastAsia="宋体"/>
      <w:kern w:val="2"/>
      <w:sz w:val="21"/>
      <w:szCs w:val="24"/>
      <w:lang w:val="en-US" w:eastAsia="zh-CN" w:bidi="ar-SA"/>
    </w:rPr>
  </w:style>
  <w:style w:type="character" w:customStyle="1" w:styleId="51">
    <w:name w:val="批注文字 字符"/>
    <w:link w:val="13"/>
    <w:qFormat/>
    <w:uiPriority w:val="0"/>
    <w:rPr>
      <w:rFonts w:eastAsia="宋体"/>
      <w:kern w:val="2"/>
      <w:sz w:val="21"/>
      <w:szCs w:val="24"/>
      <w:lang w:val="en-US" w:eastAsia="zh-CN" w:bidi="ar-SA"/>
    </w:rPr>
  </w:style>
  <w:style w:type="character" w:customStyle="1" w:styleId="52">
    <w:name w:val="正文文本 3 字符"/>
    <w:link w:val="14"/>
    <w:qFormat/>
    <w:uiPriority w:val="0"/>
    <w:rPr>
      <w:rFonts w:ascii="宋体"/>
      <w:kern w:val="2"/>
      <w:sz w:val="24"/>
    </w:rPr>
  </w:style>
  <w:style w:type="character" w:customStyle="1" w:styleId="53">
    <w:name w:val="正文文本 字符"/>
    <w:link w:val="15"/>
    <w:qFormat/>
    <w:uiPriority w:val="0"/>
    <w:rPr>
      <w:rFonts w:eastAsia="宋体"/>
      <w:kern w:val="2"/>
      <w:sz w:val="21"/>
      <w:szCs w:val="24"/>
      <w:lang w:val="en-US" w:eastAsia="zh-CN" w:bidi="ar-SA"/>
    </w:rPr>
  </w:style>
  <w:style w:type="character" w:customStyle="1" w:styleId="54">
    <w:name w:val="纯文本 字符"/>
    <w:link w:val="19"/>
    <w:qFormat/>
    <w:uiPriority w:val="0"/>
    <w:rPr>
      <w:rFonts w:ascii="等线" w:hAnsi="Courier New" w:eastAsia="等线" w:cs="Courier New"/>
      <w:kern w:val="2"/>
      <w:sz w:val="21"/>
      <w:szCs w:val="22"/>
    </w:rPr>
  </w:style>
  <w:style w:type="character" w:customStyle="1" w:styleId="55">
    <w:name w:val="日期 字符"/>
    <w:link w:val="21"/>
    <w:qFormat/>
    <w:uiPriority w:val="0"/>
    <w:rPr>
      <w:kern w:val="2"/>
      <w:sz w:val="24"/>
    </w:rPr>
  </w:style>
  <w:style w:type="character" w:customStyle="1" w:styleId="56">
    <w:name w:val="页脚 字符"/>
    <w:link w:val="23"/>
    <w:qFormat/>
    <w:uiPriority w:val="0"/>
    <w:rPr>
      <w:rFonts w:eastAsia="宋体"/>
      <w:kern w:val="2"/>
      <w:sz w:val="18"/>
      <w:szCs w:val="18"/>
      <w:lang w:val="en-US" w:eastAsia="zh-CN" w:bidi="ar-SA"/>
    </w:rPr>
  </w:style>
  <w:style w:type="character" w:customStyle="1" w:styleId="57">
    <w:name w:val="页眉 字符"/>
    <w:link w:val="24"/>
    <w:qFormat/>
    <w:uiPriority w:val="0"/>
    <w:rPr>
      <w:rFonts w:eastAsia="宋体"/>
      <w:kern w:val="2"/>
      <w:sz w:val="18"/>
      <w:szCs w:val="18"/>
      <w:lang w:val="en-US" w:eastAsia="zh-CN" w:bidi="ar-SA"/>
    </w:rPr>
  </w:style>
  <w:style w:type="character" w:customStyle="1" w:styleId="58">
    <w:name w:val="批注主题 字符"/>
    <w:link w:val="34"/>
    <w:qFormat/>
    <w:uiPriority w:val="0"/>
    <w:rPr>
      <w:rFonts w:eastAsia="宋体"/>
      <w:b/>
      <w:bCs/>
      <w:kern w:val="2"/>
      <w:sz w:val="21"/>
      <w:szCs w:val="24"/>
      <w:lang w:val="en-US" w:eastAsia="zh-CN" w:bidi="ar-SA"/>
    </w:rPr>
  </w:style>
  <w:style w:type="character" w:customStyle="1" w:styleId="59">
    <w:name w:val="正文首行缩进 字符"/>
    <w:link w:val="35"/>
    <w:qFormat/>
    <w:uiPriority w:val="0"/>
    <w:rPr>
      <w:lang w:val="en-US" w:eastAsia="zh-CN" w:bidi="ar-SA"/>
    </w:rPr>
  </w:style>
  <w:style w:type="character" w:customStyle="1" w:styleId="60">
    <w:name w:val="批注文字 Char1"/>
    <w:semiHidden/>
    <w:qFormat/>
    <w:locked/>
    <w:uiPriority w:val="0"/>
    <w:rPr>
      <w:kern w:val="2"/>
      <w:sz w:val="21"/>
      <w:szCs w:val="22"/>
    </w:rPr>
  </w:style>
  <w:style w:type="character" w:customStyle="1" w:styleId="61">
    <w:name w:val="font161"/>
    <w:qFormat/>
    <w:uiPriority w:val="0"/>
    <w:rPr>
      <w:b/>
      <w:bCs/>
      <w:sz w:val="32"/>
      <w:szCs w:val="32"/>
    </w:rPr>
  </w:style>
  <w:style w:type="character" w:customStyle="1" w:styleId="62">
    <w:name w:val="font11"/>
    <w:qFormat/>
    <w:uiPriority w:val="0"/>
    <w:rPr>
      <w:rFonts w:hint="eastAsia" w:ascii="仿宋" w:hAnsi="仿宋" w:eastAsia="仿宋" w:cs="仿宋"/>
      <w:color w:val="000000"/>
      <w:sz w:val="28"/>
      <w:szCs w:val="28"/>
      <w:u w:val="none"/>
    </w:rPr>
  </w:style>
  <w:style w:type="character" w:customStyle="1" w:styleId="63">
    <w:name w:val="font21"/>
    <w:qFormat/>
    <w:uiPriority w:val="0"/>
    <w:rPr>
      <w:rFonts w:hint="eastAsia" w:ascii="仿宋" w:hAnsi="仿宋" w:eastAsia="仿宋" w:cs="仿宋"/>
      <w:b/>
      <w:color w:val="000000"/>
      <w:sz w:val="28"/>
      <w:szCs w:val="28"/>
      <w:u w:val="none"/>
    </w:rPr>
  </w:style>
  <w:style w:type="character" w:customStyle="1" w:styleId="64">
    <w:name w:val="文一 Char Char"/>
    <w:link w:val="65"/>
    <w:qFormat/>
    <w:uiPriority w:val="0"/>
    <w:rPr>
      <w:rFonts w:ascii="等线" w:hAnsi="等线" w:eastAsia="等线"/>
      <w:spacing w:val="4"/>
      <w:sz w:val="24"/>
      <w:szCs w:val="24"/>
    </w:rPr>
  </w:style>
  <w:style w:type="paragraph" w:customStyle="1" w:styleId="65">
    <w:name w:val="文一"/>
    <w:basedOn w:val="1"/>
    <w:link w:val="64"/>
    <w:qFormat/>
    <w:uiPriority w:val="0"/>
    <w:pPr>
      <w:topLinePunct/>
      <w:adjustRightInd w:val="0"/>
      <w:snapToGrid w:val="0"/>
      <w:spacing w:line="360" w:lineRule="auto"/>
      <w:ind w:firstLine="200" w:firstLineChars="200"/>
    </w:pPr>
    <w:rPr>
      <w:rFonts w:ascii="等线" w:hAnsi="等线" w:eastAsia="等线"/>
      <w:spacing w:val="4"/>
      <w:kern w:val="0"/>
      <w:sz w:val="24"/>
    </w:rPr>
  </w:style>
  <w:style w:type="character" w:customStyle="1" w:styleId="66">
    <w:name w:val="fontstyle01"/>
    <w:qFormat/>
    <w:uiPriority w:val="0"/>
    <w:rPr>
      <w:rFonts w:hint="eastAsia" w:ascii="宋体" w:hAnsi="宋体" w:eastAsia="宋体"/>
      <w:color w:val="000000"/>
      <w:sz w:val="22"/>
      <w:szCs w:val="22"/>
    </w:rPr>
  </w:style>
  <w:style w:type="character" w:customStyle="1" w:styleId="67">
    <w:name w:val="纯文本 Char"/>
    <w:qFormat/>
    <w:uiPriority w:val="0"/>
    <w:rPr>
      <w:rFonts w:ascii="等线" w:hAnsi="Courier New" w:eastAsia="等线"/>
      <w:kern w:val="2"/>
      <w:sz w:val="21"/>
      <w:szCs w:val="22"/>
      <w:lang w:bidi="ar-SA"/>
    </w:rPr>
  </w:style>
  <w:style w:type="character" w:customStyle="1" w:styleId="68">
    <w:name w:val="批注文字 Char2"/>
    <w:qFormat/>
    <w:uiPriority w:val="0"/>
  </w:style>
  <w:style w:type="paragraph" w:styleId="69">
    <w:name w:val="List Paragraph"/>
    <w:basedOn w:val="1"/>
    <w:qFormat/>
    <w:uiPriority w:val="99"/>
    <w:pPr>
      <w:ind w:firstLine="420" w:firstLineChars="200"/>
    </w:pPr>
    <w:rPr>
      <w:szCs w:val="20"/>
    </w:rPr>
  </w:style>
  <w:style w:type="paragraph" w:customStyle="1" w:styleId="70">
    <w:name w:val="样式 标题 3 + (中文) 黑体 小四 非加粗 段前: 7.8 磅 段后: 0 磅 行距: 固定值 20 磅"/>
    <w:basedOn w:val="4"/>
    <w:qFormat/>
    <w:uiPriority w:val="0"/>
    <w:pPr>
      <w:spacing w:before="0" w:after="0" w:line="400" w:lineRule="exact"/>
    </w:pPr>
    <w:rPr>
      <w:rFonts w:cs="宋体"/>
      <w:bCs w:val="0"/>
      <w:sz w:val="24"/>
      <w:szCs w:val="20"/>
    </w:rPr>
  </w:style>
  <w:style w:type="paragraph" w:customStyle="1" w:styleId="7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72">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 w:type="paragraph" w:customStyle="1" w:styleId="73">
    <w:name w:val="表头"/>
    <w:basedOn w:val="1"/>
    <w:qFormat/>
    <w:uiPriority w:val="0"/>
    <w:pPr>
      <w:spacing w:line="360" w:lineRule="auto"/>
      <w:jc w:val="center"/>
    </w:pPr>
    <w:rPr>
      <w:rFonts w:ascii="黑体" w:eastAsia="黑体"/>
      <w:kern w:val="0"/>
      <w:sz w:val="24"/>
      <w:szCs w:val="20"/>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Other|1"/>
    <w:basedOn w:val="1"/>
    <w:qFormat/>
    <w:uiPriority w:val="0"/>
    <w:pPr>
      <w:spacing w:line="228" w:lineRule="exact"/>
    </w:pPr>
    <w:rPr>
      <w:rFonts w:ascii="宋体" w:hAnsi="宋体" w:cs="宋体"/>
      <w:sz w:val="17"/>
      <w:szCs w:val="17"/>
      <w:lang w:val="zh-TW" w:eastAsia="zh-TW" w:bidi="zh-TW"/>
    </w:rPr>
  </w:style>
  <w:style w:type="paragraph" w:customStyle="1" w:styleId="76">
    <w:name w:val="修订11"/>
    <w:qFormat/>
    <w:uiPriority w:val="0"/>
    <w:rPr>
      <w:rFonts w:ascii="Times New Roman" w:hAnsi="Times New Roman" w:eastAsia="宋体" w:cs="Times New Roman"/>
      <w:kern w:val="2"/>
      <w:sz w:val="21"/>
      <w:szCs w:val="24"/>
      <w:lang w:val="en-US" w:eastAsia="zh-CN" w:bidi="ar-SA"/>
    </w:rPr>
  </w:style>
  <w:style w:type="paragraph" w:customStyle="1" w:styleId="7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8">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79">
    <w:name w:val="样式2"/>
    <w:basedOn w:val="4"/>
    <w:qFormat/>
    <w:uiPriority w:val="0"/>
    <w:rPr>
      <w:i/>
    </w:rPr>
  </w:style>
  <w:style w:type="paragraph" w:customStyle="1" w:styleId="8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3">
    <w:name w:val="Char1"/>
    <w:basedOn w:val="1"/>
    <w:qFormat/>
    <w:uiPriority w:val="0"/>
    <w:pPr>
      <w:tabs>
        <w:tab w:val="left" w:pos="360"/>
      </w:tabs>
    </w:pPr>
    <w:rPr>
      <w:sz w:val="24"/>
    </w:rPr>
  </w:style>
  <w:style w:type="paragraph" w:customStyle="1" w:styleId="84">
    <w:name w:val="发文落款"/>
    <w:basedOn w:val="80"/>
    <w:qFormat/>
    <w:uiPriority w:val="0"/>
    <w:pPr>
      <w:ind w:left="4094" w:right="607" w:firstLine="0"/>
      <w:jc w:val="center"/>
    </w:pPr>
  </w:style>
  <w:style w:type="paragraph" w:customStyle="1" w:styleId="85">
    <w:name w:val="1"/>
    <w:basedOn w:val="1"/>
    <w:qFormat/>
    <w:uiPriority w:val="0"/>
  </w:style>
  <w:style w:type="paragraph" w:customStyle="1" w:styleId="86">
    <w:name w:val="样式1"/>
    <w:basedOn w:val="1"/>
    <w:next w:val="5"/>
    <w:qFormat/>
    <w:uiPriority w:val="0"/>
    <w:pPr>
      <w:spacing w:line="360" w:lineRule="auto"/>
      <w:ind w:firstLine="420" w:firstLineChars="200"/>
    </w:pPr>
    <w:rPr>
      <w:rFonts w:ascii="宋体" w:hAnsi="宋体"/>
      <w:szCs w:val="21"/>
    </w:rPr>
  </w:style>
  <w:style w:type="paragraph" w:customStyle="1" w:styleId="87">
    <w:name w:val="正题"/>
    <w:basedOn w:val="65"/>
    <w:next w:val="65"/>
    <w:qFormat/>
    <w:uiPriority w:val="0"/>
    <w:pPr>
      <w:ind w:firstLine="0" w:firstLineChars="0"/>
      <w:jc w:val="center"/>
    </w:pPr>
    <w:rPr>
      <w:rFonts w:eastAsia="黑体"/>
      <w:b/>
      <w:sz w:val="36"/>
      <w:szCs w:val="36"/>
    </w:rPr>
  </w:style>
  <w:style w:type="paragraph" w:customStyle="1" w:styleId="88">
    <w:name w:val="Char"/>
    <w:basedOn w:val="1"/>
    <w:qFormat/>
    <w:uiPriority w:val="0"/>
    <w:pPr>
      <w:tabs>
        <w:tab w:val="left" w:pos="360"/>
      </w:tabs>
    </w:pPr>
    <w:rPr>
      <w:sz w:val="24"/>
    </w:rPr>
  </w:style>
  <w:style w:type="paragraph" w:customStyle="1" w:styleId="89">
    <w:name w:val="Body text|3"/>
    <w:basedOn w:val="1"/>
    <w:qFormat/>
    <w:uiPriority w:val="0"/>
    <w:rPr>
      <w:rFonts w:ascii="宋体" w:hAnsi="宋体" w:cs="宋体"/>
      <w:sz w:val="20"/>
      <w:szCs w:val="20"/>
      <w:lang w:val="zh-TW" w:eastAsia="zh-TW" w:bidi="zh-TW"/>
    </w:rPr>
  </w:style>
  <w:style w:type="paragraph" w:customStyle="1" w:styleId="90">
    <w:name w:val="表格"/>
    <w:basedOn w:val="1"/>
    <w:qFormat/>
    <w:uiPriority w:val="0"/>
    <w:pPr>
      <w:jc w:val="center"/>
      <w:textAlignment w:val="center"/>
    </w:pPr>
    <w:rPr>
      <w:rFonts w:ascii="华文细黑" w:hAnsi="华文细黑"/>
      <w:kern w:val="0"/>
      <w:szCs w:val="20"/>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2">
    <w:name w:val="font81"/>
    <w:qFormat/>
    <w:uiPriority w:val="0"/>
    <w:rPr>
      <w:rFonts w:hint="eastAsia" w:ascii="宋体" w:hAnsi="宋体" w:eastAsia="宋体" w:cs="宋体"/>
      <w:color w:val="000000"/>
      <w:sz w:val="21"/>
      <w:szCs w:val="21"/>
      <w:u w:val="none"/>
    </w:rPr>
  </w:style>
  <w:style w:type="paragraph" w:customStyle="1" w:styleId="93">
    <w:name w:val="be358f00-9758-446e-aec5-cde8345aeef3"/>
    <w:basedOn w:val="36"/>
    <w:link w:val="95"/>
    <w:qFormat/>
    <w:uiPriority w:val="0"/>
    <w:pPr>
      <w:adjustRightInd w:val="0"/>
      <w:spacing w:after="0" w:line="288" w:lineRule="auto"/>
      <w:ind w:left="0" w:firstLine="440"/>
      <w:jc w:val="left"/>
    </w:pPr>
    <w:rPr>
      <w:rFonts w:ascii="微软雅黑" w:hAnsi="微软雅黑" w:eastAsia="微软雅黑" w:cs="宋体"/>
      <w:color w:val="000000"/>
      <w:sz w:val="22"/>
    </w:rPr>
  </w:style>
  <w:style w:type="character" w:customStyle="1" w:styleId="94">
    <w:name w:val="正文缩进 字符"/>
    <w:basedOn w:val="39"/>
    <w:link w:val="11"/>
    <w:qFormat/>
    <w:uiPriority w:val="0"/>
    <w:rPr>
      <w:kern w:val="2"/>
      <w:sz w:val="21"/>
      <w:szCs w:val="24"/>
    </w:rPr>
  </w:style>
  <w:style w:type="character" w:customStyle="1" w:styleId="95">
    <w:name w:val="be358f00-9758-446e-aec5-cde8345aeef3 字符"/>
    <w:basedOn w:val="94"/>
    <w:link w:val="93"/>
    <w:qFormat/>
    <w:uiPriority w:val="0"/>
    <w:rPr>
      <w:rFonts w:ascii="微软雅黑" w:hAnsi="微软雅黑" w:eastAsia="微软雅黑" w:cs="宋体"/>
      <w:color w:val="000000"/>
      <w:kern w:val="2"/>
      <w:sz w:val="22"/>
      <w:szCs w:val="24"/>
    </w:rPr>
  </w:style>
  <w:style w:type="paragraph" w:customStyle="1" w:styleId="9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9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99">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修订5"/>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7D187-505F-4EA2-A062-B37D1B5DD45B}">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22848</Words>
  <Characters>24235</Characters>
  <Lines>305</Lines>
  <Paragraphs>86</Paragraphs>
  <TotalTime>0</TotalTime>
  <ScaleCrop>false</ScaleCrop>
  <LinksUpToDate>false</LinksUpToDate>
  <CharactersWithSpaces>24977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2025-07-28T15:26:00Z</dcterms:created>
  <dc:creator>9.22</dc:creator>
  <cp:lastModifiedBy>HP-C</cp:lastModifiedBy>
  <cp:lastPrinted>2024-12-03T06:11:00Z</cp:lastPrinted>
  <dcterms:modified xsi:type="dcterms:W3CDTF">2025-08-26T10:58:28Z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DD37D47743004358AD81E11F652AD251_13</vt:lpwstr>
  </property>
  <property fmtid="{D5CDD505-2E9C-101B-9397-08002B2CF9AE}" pid="4" name="KSOTemplateDocerSaveRecord">
    <vt:lpwstr>eyJoZGlkIjoiNjAwMmEyYjllZTFiMWVlMWI1NzE4YWVhNDIwZTMxMzIiLCJ1c2VySWQiOiIxMzQyOTExNDQ1In0=</vt:lpwstr>
  </property>
</Properties>
</file>