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eastAsia="黑体" w:cs="Times New Roman"/>
          <w:color w:val="auto"/>
          <w:sz w:val="28"/>
          <w:szCs w:val="28"/>
          <w:highlight w:val="none"/>
          <w:lang w:eastAsia="zh-CN"/>
        </w:rPr>
      </w:pPr>
      <w:r>
        <w:rPr>
          <w:rFonts w:hint="eastAsia" w:ascii="Times New Roman" w:hAnsi="Times New Roman" w:eastAsia="黑体" w:cs="Times New Roman"/>
          <w:color w:val="auto"/>
          <w:sz w:val="28"/>
          <w:szCs w:val="28"/>
          <w:highlight w:val="none"/>
          <w:lang w:eastAsia="zh-CN"/>
        </w:rPr>
        <w:t xml:space="preserve">国道G207线信宜溪兰至铜鼓段路面预防养护及功能性修复养护工程 </w:t>
      </w:r>
    </w:p>
    <w:p>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施工招标公告</w:t>
      </w:r>
    </w:p>
    <w:p>
      <w:pPr>
        <w:adjustRightInd w:val="0"/>
        <w:snapToGrid w:val="0"/>
        <w:spacing w:line="400" w:lineRule="exact"/>
        <w:ind w:firstLine="6480" w:firstLineChars="270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w:t>
      </w:r>
      <w:bookmarkStart w:id="0" w:name="_Toc470760973"/>
      <w:bookmarkStart w:id="1" w:name="_Toc501257033"/>
      <w:bookmarkStart w:id="2" w:name="_Toc510089781"/>
      <w:bookmarkStart w:id="3" w:name="_Toc509962289"/>
      <w:bookmarkStart w:id="4" w:name="_Toc509959048"/>
      <w:bookmarkStart w:id="5" w:name="_Toc510172694"/>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1. 招标条件</w:t>
      </w:r>
      <w:bookmarkEnd w:id="0"/>
      <w:bookmarkEnd w:id="1"/>
      <w:bookmarkEnd w:id="2"/>
      <w:bookmarkEnd w:id="3"/>
      <w:bookmarkEnd w:id="4"/>
      <w:bookmarkEnd w:id="5"/>
    </w:p>
    <w:p>
      <w:pPr>
        <w:keepNext w:val="0"/>
        <w:keepLines w:val="0"/>
        <w:pageBreakBefore w:val="0"/>
        <w:widowControl w:val="0"/>
        <w:tabs>
          <w:tab w:val="center" w:pos="3670"/>
        </w:tabs>
        <w:kinsoku/>
        <w:wordWrap w:val="0"/>
        <w:overflowPunct/>
        <w:topLinePunct w:val="0"/>
        <w:autoSpaceDE/>
        <w:autoSpaceDN/>
        <w:bidi w:val="0"/>
        <w:adjustRightInd w:val="0"/>
        <w:snapToGrid w:val="0"/>
        <w:spacing w:line="400" w:lineRule="exact"/>
        <w:ind w:firstLine="480" w:firstLineChars="200"/>
        <w:jc w:val="both"/>
        <w:textAlignment w:val="auto"/>
        <w:rPr>
          <w:rFonts w:hint="default" w:ascii="Times New Roman" w:hAnsi="Times New Roman" w:cs="Times New Roman"/>
          <w:color w:val="auto"/>
          <w:sz w:val="24"/>
          <w:highlight w:val="none"/>
        </w:rPr>
      </w:pPr>
      <w:bookmarkStart w:id="6" w:name="_Toc510172695"/>
      <w:bookmarkStart w:id="7" w:name="_Toc470760974"/>
      <w:bookmarkStart w:id="8" w:name="_Toc509959049"/>
      <w:bookmarkStart w:id="9" w:name="_Toc509962290"/>
      <w:bookmarkStart w:id="10" w:name="_Toc510089782"/>
      <w:bookmarkStart w:id="11" w:name="_Toc501257034"/>
      <w:r>
        <w:rPr>
          <w:rFonts w:hint="default" w:ascii="Times New Roman" w:hAnsi="Times New Roman" w:cs="Times New Roman"/>
          <w:color w:val="auto"/>
          <w:sz w:val="24"/>
          <w:highlight w:val="none"/>
        </w:rPr>
        <w:t>本招标项目</w:t>
      </w:r>
      <w:r>
        <w:rPr>
          <w:rFonts w:hint="eastAsia" w:ascii="Times New Roman" w:hAnsi="Times New Roman" w:cs="Times New Roman"/>
          <w:color w:val="auto"/>
          <w:sz w:val="24"/>
          <w:highlight w:val="none"/>
          <w:lang w:eastAsia="zh-CN"/>
        </w:rPr>
        <w:t xml:space="preserve">国道G207线信宜溪兰至铜鼓段路面预防养护及功能性修复养护工程 </w:t>
      </w:r>
      <w:r>
        <w:rPr>
          <w:rFonts w:hint="eastAsia" w:ascii="Times New Roman" w:hAnsi="Times New Roman" w:cs="Times New Roman"/>
          <w:color w:val="auto"/>
          <w:sz w:val="24"/>
          <w:highlight w:val="none"/>
          <w:lang w:val="en-US" w:eastAsia="zh-CN"/>
        </w:rPr>
        <w:t>方案设计</w:t>
      </w:r>
      <w:r>
        <w:rPr>
          <w:rFonts w:hint="default" w:ascii="Times New Roman" w:hAnsi="Times New Roman" w:cs="Times New Roman"/>
          <w:color w:val="auto"/>
          <w:sz w:val="24"/>
          <w:highlight w:val="none"/>
        </w:rPr>
        <w:t>已由</w:t>
      </w:r>
      <w:r>
        <w:rPr>
          <w:rFonts w:hint="eastAsia" w:ascii="Times New Roman" w:hAnsi="Times New Roman" w:cs="Times New Roman"/>
          <w:color w:val="auto"/>
          <w:sz w:val="24"/>
          <w:highlight w:val="none"/>
          <w:lang w:val="en-US" w:eastAsia="zh-CN"/>
        </w:rPr>
        <w:t>广东省公路事务中心</w:t>
      </w:r>
      <w:r>
        <w:rPr>
          <w:rFonts w:hint="default" w:ascii="Times New Roman" w:hAnsi="Times New Roman" w:cs="Times New Roman"/>
          <w:color w:val="auto"/>
          <w:sz w:val="24"/>
          <w:highlight w:val="none"/>
        </w:rPr>
        <w:t>以</w:t>
      </w:r>
      <w:r>
        <w:rPr>
          <w:rFonts w:hint="eastAsia" w:ascii="Times New Roman" w:hAnsi="Times New Roman" w:cs="Times New Roman"/>
          <w:color w:val="auto"/>
          <w:sz w:val="24"/>
          <w:highlight w:val="none"/>
          <w:lang w:val="en-US" w:eastAsia="zh-CN"/>
        </w:rPr>
        <w:t>粤公养函[2024]316号</w:t>
      </w:r>
      <w:r>
        <w:rPr>
          <w:rFonts w:hint="default" w:ascii="Times New Roman" w:hAnsi="Times New Roman" w:cs="Times New Roman"/>
          <w:color w:val="auto"/>
          <w:sz w:val="24"/>
          <w:highlight w:val="none"/>
          <w:lang w:val="en-US" w:eastAsia="zh-CN"/>
        </w:rPr>
        <w:t>文</w:t>
      </w:r>
      <w:r>
        <w:rPr>
          <w:rFonts w:hint="eastAsia" w:ascii="Times New Roman" w:hAnsi="Times New Roman" w:cs="Times New Roman"/>
          <w:color w:val="auto"/>
          <w:sz w:val="24"/>
          <w:highlight w:val="none"/>
          <w:lang w:val="en-US" w:eastAsia="zh-CN"/>
        </w:rPr>
        <w:t>批复</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施工图设计已由茂名市交通运输局以茂交审</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202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lang w:val="en-US" w:eastAsia="zh-CN"/>
        </w:rPr>
        <w:t>号文批复，</w:t>
      </w:r>
      <w:r>
        <w:rPr>
          <w:rFonts w:hint="default" w:ascii="Times New Roman" w:hAnsi="Times New Roman" w:cs="Times New Roman"/>
          <w:color w:val="auto"/>
          <w:sz w:val="24"/>
          <w:highlight w:val="none"/>
        </w:rPr>
        <w:t>项目业主为</w:t>
      </w:r>
      <w:r>
        <w:rPr>
          <w:rFonts w:hint="eastAsia" w:ascii="Times New Roman" w:hAnsi="Times New Roman" w:cs="Times New Roman"/>
          <w:color w:val="auto"/>
          <w:sz w:val="24"/>
          <w:highlight w:val="none"/>
          <w:u w:val="single"/>
          <w:lang w:eastAsia="zh-CN"/>
        </w:rPr>
        <w:t>信宜市公路事务中心</w:t>
      </w:r>
      <w:r>
        <w:rPr>
          <w:rFonts w:hint="default" w:ascii="Times New Roman" w:hAnsi="Times New Roman" w:cs="Times New Roman"/>
          <w:color w:val="auto"/>
          <w:sz w:val="24"/>
          <w:highlight w:val="none"/>
        </w:rPr>
        <w:t>，建设资金来自</w:t>
      </w:r>
      <w:r>
        <w:rPr>
          <w:rFonts w:hint="default" w:ascii="Times New Roman" w:hAnsi="Times New Roman" w:cs="Times New Roman"/>
          <w:color w:val="auto"/>
          <w:sz w:val="24"/>
          <w:highlight w:val="none"/>
          <w:lang w:val="en-US" w:eastAsia="zh-CN"/>
        </w:rPr>
        <w:t>上级补助及地方自筹解决</w:t>
      </w:r>
      <w:r>
        <w:rPr>
          <w:rFonts w:hint="default" w:ascii="Times New Roman" w:hAnsi="Times New Roman" w:cs="Times New Roman"/>
          <w:color w:val="auto"/>
          <w:sz w:val="24"/>
          <w:highlight w:val="none"/>
        </w:rPr>
        <w:t>，招标人为</w:t>
      </w:r>
      <w:r>
        <w:rPr>
          <w:rFonts w:hint="eastAsia" w:ascii="Times New Roman" w:hAnsi="Times New Roman" w:cs="Times New Roman"/>
          <w:color w:val="auto"/>
          <w:sz w:val="24"/>
          <w:highlight w:val="none"/>
          <w:lang w:eastAsia="zh-CN"/>
        </w:rPr>
        <w:t>信宜市公路事务中心</w:t>
      </w:r>
      <w:r>
        <w:rPr>
          <w:rFonts w:hint="default" w:ascii="Times New Roman" w:hAnsi="Times New Roman" w:cs="Times New Roman"/>
          <w:color w:val="auto"/>
          <w:sz w:val="24"/>
          <w:highlight w:val="none"/>
        </w:rPr>
        <w:t>。项目已具备招标条件，现对该项目的施工采用资格后审方式进行公开招标。</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2. 项目概况与招标范围</w:t>
      </w:r>
      <w:bookmarkEnd w:id="6"/>
      <w:bookmarkEnd w:id="7"/>
      <w:bookmarkEnd w:id="8"/>
      <w:bookmarkEnd w:id="9"/>
      <w:bookmarkEnd w:id="10"/>
      <w:bookmarkEnd w:id="11"/>
    </w:p>
    <w:p>
      <w:pPr>
        <w:tabs>
          <w:tab w:val="center" w:pos="3670"/>
        </w:tabs>
        <w:wordWrap w:val="0"/>
        <w:adjustRightInd w:val="0"/>
        <w:snapToGrid w:val="0"/>
        <w:spacing w:beforeLines="0" w:afterLines="0" w:line="400" w:lineRule="exact"/>
        <w:ind w:firstLine="480" w:firstLineChars="200"/>
        <w:jc w:val="both"/>
        <w:rPr>
          <w:rFonts w:hint="default" w:ascii="Times New Roman" w:hAnsi="Times New Roman" w:cs="Times New Roman"/>
          <w:color w:val="auto"/>
          <w:sz w:val="24"/>
          <w:highlight w:val="none"/>
        </w:rPr>
      </w:pPr>
      <w:bookmarkStart w:id="12" w:name="_Toc470760975"/>
      <w:bookmarkStart w:id="13" w:name="_Toc501257035"/>
      <w:r>
        <w:rPr>
          <w:rFonts w:hint="default" w:ascii="Times New Roman" w:hAnsi="Times New Roman" w:cs="Times New Roman"/>
          <w:color w:val="auto"/>
          <w:sz w:val="24"/>
          <w:highlight w:val="none"/>
          <w:lang w:val="en-US" w:eastAsia="zh-CN"/>
        </w:rPr>
        <w:t>本项目位于茂名</w:t>
      </w:r>
      <w:r>
        <w:rPr>
          <w:rFonts w:hint="eastAsia" w:ascii="Times New Roman" w:hAnsi="Times New Roman" w:cs="Times New Roman"/>
          <w:color w:val="auto"/>
          <w:sz w:val="24"/>
          <w:highlight w:val="none"/>
          <w:lang w:val="en-US" w:eastAsia="zh-CN"/>
        </w:rPr>
        <w:t>信宜市国道G207线，起点位于朱砂溪兰村，起点桩号为K3859+859，路线由北往南经过莲塘村、朱砂镇、三家村、新垌村、坑口，终点位于池洞铜鼓村，终点桩号为K3885+594，路线全长25.735公里，工程在既有公路基础上实施，维持既有二级公路技术标准，设计速度60km/h，根据路况调查，本项目路段范围主要病害有水泥混凝土路面裂缝及路面板块破碎、边角剥落，沥青混凝土路面车辙严重，里面横向、纵向裂缝，急需处治，本项目的设计方案主要是：（一）K3859+859~K3868+100、K3870+760~K3885+594路段，现状为水泥混凝土路面，长度23.075km，先对旧路面进行修复处治（如换板、灌缝、压浆、铣刨打毛等措施）后加铺5cm厚细粒式改性沥青混凝土（GAC-13C）面层；（二）K3868+100~K3870+760路段为沥青混凝土路面，长度共2.66km，先铣刨原有沥青混凝土面层后重新铺筑5cm厚细粒式改性沥青混凝土（GAC-13C）面层，</w:t>
      </w:r>
      <w:r>
        <w:rPr>
          <w:rFonts w:hint="default" w:ascii="Times New Roman" w:hAnsi="Times New Roman" w:cs="Times New Roman"/>
          <w:color w:val="auto"/>
          <w:sz w:val="24"/>
          <w:highlight w:val="none"/>
          <w:lang w:val="en-US" w:eastAsia="zh-CN"/>
        </w:rPr>
        <w:t>本项目最高投标限价为37559358元</w:t>
      </w:r>
      <w:r>
        <w:rPr>
          <w:rFonts w:hint="default" w:ascii="Times New Roman" w:hAnsi="Times New Roman" w:cs="Times New Roman"/>
          <w:color w:val="auto"/>
          <w:sz w:val="24"/>
          <w:highlight w:val="none"/>
        </w:rPr>
        <w:t>（以上为暂定工程概况，实际施工以招标人提供的经审核的施工图纸为准）。</w:t>
      </w:r>
    </w:p>
    <w:p>
      <w:pPr>
        <w:tabs>
          <w:tab w:val="center" w:pos="3670"/>
        </w:tabs>
        <w:adjustRightInd w:val="0"/>
        <w:snapToGrid w:val="0"/>
        <w:spacing w:line="400" w:lineRule="exac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本次施工招标设1个合同段，计划施工工期为</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个月。</w:t>
      </w:r>
    </w:p>
    <w:p>
      <w:pPr>
        <w:tabs>
          <w:tab w:val="center" w:pos="3670"/>
        </w:tabs>
        <w:adjustRightInd w:val="0"/>
        <w:snapToGrid w:val="0"/>
        <w:spacing w:line="400" w:lineRule="exac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招标范围主要包括路基、路面、交通安全设施等工程的施工及缺陷修复（具体内容以施工图纸及招标工程量清单为准）。</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bookmarkStart w:id="14" w:name="_Toc509959050"/>
      <w:bookmarkStart w:id="15" w:name="_Toc510172696"/>
      <w:bookmarkStart w:id="16" w:name="_Toc510089783"/>
      <w:bookmarkStart w:id="17" w:name="_Toc509962291"/>
      <w:r>
        <w:rPr>
          <w:rFonts w:hint="default" w:ascii="Times New Roman" w:hAnsi="Times New Roman" w:eastAsia="黑体" w:cs="Times New Roman"/>
          <w:b/>
          <w:bCs/>
          <w:color w:val="auto"/>
          <w:sz w:val="28"/>
          <w:szCs w:val="28"/>
          <w:highlight w:val="none"/>
        </w:rPr>
        <w:t>3. 投标人资格要求</w:t>
      </w:r>
      <w:bookmarkEnd w:id="12"/>
      <w:bookmarkEnd w:id="13"/>
      <w:bookmarkEnd w:id="14"/>
      <w:bookmarkEnd w:id="15"/>
      <w:bookmarkEnd w:id="16"/>
      <w:bookmarkEnd w:id="17"/>
    </w:p>
    <w:p>
      <w:pPr>
        <w:spacing w:line="400" w:lineRule="atLeas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本次招标要求投标人</w:t>
      </w:r>
      <w:r>
        <w:rPr>
          <w:rFonts w:hint="default" w:ascii="Times New Roman" w:hAnsi="Times New Roman" w:cs="Times New Roman"/>
          <w:color w:val="auto"/>
          <w:kern w:val="0"/>
          <w:sz w:val="24"/>
          <w:highlight w:val="none"/>
        </w:rPr>
        <w:t>具备建设行政主管部门核发的公路工程施工总承包</w:t>
      </w:r>
      <w:r>
        <w:rPr>
          <w:rFonts w:hint="eastAsia" w:ascii="Times New Roman" w:hAnsi="Times New Roman" w:cs="Times New Roman"/>
          <w:color w:val="auto"/>
          <w:kern w:val="0"/>
          <w:sz w:val="24"/>
          <w:highlight w:val="none"/>
          <w:lang w:val="en-US" w:eastAsia="zh-CN"/>
        </w:rPr>
        <w:t>三</w:t>
      </w:r>
      <w:r>
        <w:rPr>
          <w:rFonts w:hint="default" w:ascii="Times New Roman" w:hAnsi="Times New Roman" w:cs="Times New Roman"/>
          <w:color w:val="auto"/>
          <w:kern w:val="0"/>
          <w:sz w:val="24"/>
          <w:highlight w:val="none"/>
        </w:rPr>
        <w:t>级（或以上）资质</w:t>
      </w:r>
      <w:r>
        <w:rPr>
          <w:rFonts w:hint="default" w:ascii="Times New Roman" w:hAnsi="Times New Roman" w:cs="Times New Roman"/>
          <w:color w:val="auto"/>
          <w:kern w:val="0"/>
          <w:sz w:val="24"/>
          <w:highlight w:val="none"/>
          <w:lang w:val="en-US" w:eastAsia="zh-CN"/>
        </w:rPr>
        <w:t>或具备交通运输主管部门核发的公路养护作业路基路面</w:t>
      </w:r>
      <w:r>
        <w:rPr>
          <w:rFonts w:hint="eastAsia" w:ascii="Times New Roman" w:hAnsi="Times New Roman" w:cs="Times New Roman"/>
          <w:color w:val="auto"/>
          <w:kern w:val="0"/>
          <w:sz w:val="24"/>
          <w:highlight w:val="none"/>
          <w:lang w:val="en-US" w:eastAsia="zh-CN"/>
        </w:rPr>
        <w:t>乙</w:t>
      </w:r>
      <w:r>
        <w:rPr>
          <w:rFonts w:hint="default" w:ascii="Times New Roman" w:hAnsi="Times New Roman" w:cs="Times New Roman"/>
          <w:color w:val="auto"/>
          <w:kern w:val="0"/>
          <w:sz w:val="24"/>
          <w:highlight w:val="none"/>
          <w:lang w:val="en-US" w:eastAsia="zh-CN"/>
        </w:rPr>
        <w:t>级</w:t>
      </w:r>
      <w:r>
        <w:rPr>
          <w:rFonts w:hint="eastAsia" w:ascii="Times New Roman" w:hAnsi="Times New Roman" w:cs="Times New Roman"/>
          <w:color w:val="auto"/>
          <w:kern w:val="0"/>
          <w:sz w:val="24"/>
          <w:highlight w:val="none"/>
          <w:lang w:val="en-US" w:eastAsia="zh-CN"/>
        </w:rPr>
        <w:t>（或以上）</w:t>
      </w:r>
      <w:r>
        <w:rPr>
          <w:rFonts w:hint="default" w:ascii="Times New Roman" w:hAnsi="Times New Roman" w:cs="Times New Roman"/>
          <w:color w:val="auto"/>
          <w:kern w:val="0"/>
          <w:sz w:val="24"/>
          <w:highlight w:val="none"/>
          <w:lang w:val="en-US" w:eastAsia="zh-CN"/>
        </w:rPr>
        <w:t>资质</w:t>
      </w:r>
      <w:r>
        <w:rPr>
          <w:rFonts w:hint="default" w:ascii="Times New Roman" w:hAnsi="Times New Roman" w:cs="Times New Roman"/>
          <w:color w:val="auto"/>
          <w:sz w:val="24"/>
          <w:highlight w:val="none"/>
        </w:rPr>
        <w:t>，并在人员、设备、资金等方面具有相应的施工能力。</w:t>
      </w:r>
    </w:p>
    <w:p>
      <w:pPr>
        <w:spacing w:line="400" w:lineRule="atLeas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投标人应进入交通运输部“</w:t>
      </w:r>
      <w:r>
        <w:rPr>
          <w:rFonts w:hint="default" w:ascii="Times New Roman" w:hAnsi="Times New Roman" w:eastAsia="宋体"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highlight w:val="none"/>
          <w:lang w:eastAsia="zh-CN"/>
        </w:rPr>
        <w:t>https://hwdms.mot.gov.cn</w:t>
      </w:r>
      <w:r>
        <w:rPr>
          <w:rFonts w:hint="default" w:ascii="Times New Roman" w:hAnsi="Times New Roman" w:cs="Times New Roman"/>
          <w:color w:val="auto"/>
          <w:sz w:val="24"/>
          <w:highlight w:val="none"/>
        </w:rPr>
        <w:t>）”中的公路工程施工资质企业名录，且投标人名称和资质与该名录中的相应企业名称和资质完全一致。</w:t>
      </w:r>
      <w:r>
        <w:rPr>
          <w:rStyle w:val="13"/>
          <w:rFonts w:hint="default" w:ascii="Times New Roman" w:hAnsi="Times New Roman" w:cs="Times New Roman"/>
          <w:color w:val="auto"/>
          <w:highlight w:val="none"/>
        </w:rPr>
        <w:footnoteReference w:id="0"/>
      </w:r>
    </w:p>
    <w:p>
      <w:pPr>
        <w:tabs>
          <w:tab w:val="left" w:pos="360"/>
        </w:tabs>
        <w:spacing w:line="400" w:lineRule="atLeast"/>
        <w:ind w:firstLine="480" w:firstLineChars="200"/>
        <w:jc w:val="both"/>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3.2 本次招标</w:t>
      </w:r>
      <w:r>
        <w:rPr>
          <w:rFonts w:hint="eastAsia" w:ascii="Times New Roman" w:hAnsi="Times New Roman" w:cs="Times New Roman"/>
          <w:color w:val="auto"/>
          <w:sz w:val="24"/>
          <w:highlight w:val="none"/>
          <w:lang w:val="en-US" w:eastAsia="zh-CN"/>
        </w:rPr>
        <w:t>不</w:t>
      </w:r>
      <w:r>
        <w:rPr>
          <w:rFonts w:hint="default" w:ascii="Times New Roman" w:hAnsi="Times New Roman" w:cs="Times New Roman"/>
          <w:color w:val="auto"/>
          <w:sz w:val="24"/>
          <w:highlight w:val="none"/>
        </w:rPr>
        <w:t>接受联合体投标</w:t>
      </w:r>
      <w:r>
        <w:rPr>
          <w:rFonts w:hint="eastAsia" w:ascii="Times New Roman" w:hAnsi="Times New Roman" w:cs="Times New Roman"/>
          <w:color w:val="auto"/>
          <w:sz w:val="24"/>
          <w:highlight w:val="none"/>
          <w:lang w:eastAsia="zh-CN"/>
        </w:rPr>
        <w:t>。</w:t>
      </w:r>
    </w:p>
    <w:p>
      <w:pPr>
        <w:tabs>
          <w:tab w:val="left" w:pos="360"/>
        </w:tabs>
        <w:spacing w:line="400" w:lineRule="atLeas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3.3与招标人存在利害关系可能影响招标公正性的法人，不得参加投标；若单位负责人</w:t>
      </w:r>
      <w:r>
        <w:rPr>
          <w:rStyle w:val="13"/>
          <w:rFonts w:hint="default" w:ascii="Times New Roman" w:hAnsi="Times New Roman" w:cs="Times New Roman"/>
          <w:color w:val="auto"/>
          <w:sz w:val="24"/>
          <w:highlight w:val="none"/>
        </w:rPr>
        <w:footnoteReference w:id="1"/>
      </w:r>
      <w:r>
        <w:rPr>
          <w:rFonts w:hint="default" w:ascii="Times New Roman" w:hAnsi="Times New Roman" w:cs="Times New Roman"/>
          <w:color w:val="auto"/>
          <w:sz w:val="24"/>
          <w:highlight w:val="none"/>
        </w:rPr>
        <w:t>为同一人、或者存在控股</w:t>
      </w:r>
      <w:r>
        <w:rPr>
          <w:rStyle w:val="13"/>
          <w:rFonts w:hint="default" w:ascii="Times New Roman" w:hAnsi="Times New Roman" w:cs="Times New Roman"/>
          <w:color w:val="auto"/>
          <w:sz w:val="24"/>
          <w:highlight w:val="none"/>
        </w:rPr>
        <w:footnoteReference w:id="2"/>
      </w:r>
      <w:r>
        <w:rPr>
          <w:rFonts w:hint="default" w:ascii="Times New Roman" w:hAnsi="Times New Roman" w:cs="Times New Roman"/>
          <w:color w:val="auto"/>
          <w:sz w:val="24"/>
          <w:highlight w:val="none"/>
        </w:rPr>
        <w:t>、管理关系</w:t>
      </w:r>
      <w:r>
        <w:rPr>
          <w:rStyle w:val="13"/>
          <w:rFonts w:hint="default" w:ascii="Times New Roman" w:hAnsi="Times New Roman" w:cs="Times New Roman"/>
          <w:color w:val="auto"/>
          <w:sz w:val="24"/>
          <w:highlight w:val="none"/>
        </w:rPr>
        <w:footnoteReference w:id="3"/>
      </w:r>
      <w:r>
        <w:rPr>
          <w:rFonts w:hint="default" w:ascii="Times New Roman" w:hAnsi="Times New Roman" w:cs="Times New Roman"/>
          <w:color w:val="auto"/>
          <w:sz w:val="24"/>
          <w:highlight w:val="none"/>
        </w:rPr>
        <w:t>的不同单位，不得参加同一标段投标或者未划分标段的同一招标项目投标，否则按否决其投标处理。</w:t>
      </w:r>
    </w:p>
    <w:p>
      <w:pPr>
        <w:pStyle w:val="14"/>
        <w:shd w:val="clear" w:color="auto" w:fill="auto"/>
        <w:spacing w:before="0" w:line="420" w:lineRule="exact"/>
        <w:ind w:firstLine="480" w:firstLineChars="200"/>
        <w:jc w:val="both"/>
        <w:rPr>
          <w:rFonts w:hint="default" w:ascii="Times New Roman" w:hAnsi="Times New Roman" w:eastAsia="宋体" w:cs="Times New Roman"/>
          <w:color w:val="auto"/>
          <w:spacing w:val="0"/>
          <w:kern w:val="2"/>
          <w:sz w:val="24"/>
          <w:szCs w:val="24"/>
          <w:highlight w:val="none"/>
        </w:rPr>
      </w:pPr>
      <w:r>
        <w:rPr>
          <w:rFonts w:hint="default" w:ascii="Times New Roman" w:hAnsi="Times New Roman" w:eastAsia="宋体" w:cs="Times New Roman"/>
          <w:color w:val="auto"/>
          <w:spacing w:val="0"/>
          <w:kern w:val="2"/>
          <w:sz w:val="24"/>
          <w:szCs w:val="24"/>
          <w:highlight w:val="none"/>
        </w:rPr>
        <w:t>3.4在“信用中国”网站（</w:t>
      </w:r>
      <w:r>
        <w:rPr>
          <w:rFonts w:hint="default" w:ascii="Times New Roman" w:hAnsi="Times New Roman" w:eastAsia="宋体" w:cs="Times New Roman"/>
          <w:color w:val="auto"/>
          <w:spacing w:val="0"/>
          <w:kern w:val="2"/>
          <w:sz w:val="24"/>
          <w:szCs w:val="24"/>
          <w:highlight w:val="none"/>
        </w:rPr>
        <w:fldChar w:fldCharType="begin"/>
      </w:r>
      <w:r>
        <w:rPr>
          <w:rFonts w:hint="default" w:ascii="Times New Roman" w:hAnsi="Times New Roman" w:eastAsia="宋体" w:cs="Times New Roman"/>
          <w:color w:val="auto"/>
          <w:spacing w:val="0"/>
          <w:kern w:val="2"/>
          <w:sz w:val="24"/>
          <w:szCs w:val="24"/>
          <w:highlight w:val="none"/>
        </w:rPr>
        <w:instrText xml:space="preserve"> HYPERLINK "http://www.creditchina.gov.cn/)%e4%b8%ad%e8%a2%ab%e5%88%97%e5%85%a5%e5%a4%b1%e4%bf%a1%e8%a2%ab%e6%89%a7" </w:instrText>
      </w:r>
      <w:r>
        <w:rPr>
          <w:rFonts w:hint="default" w:ascii="Times New Roman" w:hAnsi="Times New Roman" w:eastAsia="宋体" w:cs="Times New Roman"/>
          <w:color w:val="auto"/>
          <w:spacing w:val="0"/>
          <w:kern w:val="2"/>
          <w:sz w:val="24"/>
          <w:szCs w:val="24"/>
          <w:highlight w:val="none"/>
        </w:rPr>
        <w:fldChar w:fldCharType="separate"/>
      </w:r>
      <w:r>
        <w:rPr>
          <w:rFonts w:hint="default" w:ascii="Times New Roman" w:hAnsi="Times New Roman" w:eastAsia="宋体" w:cs="Times New Roman"/>
          <w:color w:val="auto"/>
          <w:spacing w:val="0"/>
          <w:kern w:val="2"/>
          <w:sz w:val="24"/>
          <w:szCs w:val="24"/>
          <w:highlight w:val="none"/>
        </w:rPr>
        <w:t>http://www.creditchina.gov.cn/）中被列入失信被执</w:t>
      </w:r>
      <w:r>
        <w:rPr>
          <w:rFonts w:hint="default" w:ascii="Times New Roman" w:hAnsi="Times New Roman" w:eastAsia="宋体" w:cs="Times New Roman"/>
          <w:color w:val="auto"/>
          <w:spacing w:val="0"/>
          <w:kern w:val="2"/>
          <w:sz w:val="24"/>
          <w:szCs w:val="24"/>
          <w:highlight w:val="none"/>
        </w:rPr>
        <w:fldChar w:fldCharType="end"/>
      </w:r>
      <w:r>
        <w:rPr>
          <w:rFonts w:hint="default" w:ascii="Times New Roman" w:hAnsi="Times New Roman" w:eastAsia="宋体" w:cs="Times New Roman"/>
          <w:color w:val="auto"/>
          <w:spacing w:val="0"/>
          <w:kern w:val="2"/>
          <w:sz w:val="24"/>
          <w:szCs w:val="24"/>
          <w:highlight w:val="none"/>
        </w:rPr>
        <w:t>行人名单的投标人，在国家企业信用信息公示系统（</w:t>
      </w:r>
      <w:r>
        <w:rPr>
          <w:rFonts w:hint="default" w:ascii="Times New Roman" w:hAnsi="Times New Roman" w:eastAsia="宋体" w:cs="Times New Roman"/>
          <w:color w:val="auto"/>
          <w:spacing w:val="0"/>
          <w:kern w:val="2"/>
          <w:sz w:val="24"/>
          <w:szCs w:val="24"/>
          <w:highlight w:val="none"/>
        </w:rPr>
        <w:fldChar w:fldCharType="begin"/>
      </w:r>
      <w:r>
        <w:rPr>
          <w:rFonts w:hint="default" w:ascii="Times New Roman" w:hAnsi="Times New Roman" w:eastAsia="宋体" w:cs="Times New Roman"/>
          <w:color w:val="auto"/>
          <w:spacing w:val="0"/>
          <w:kern w:val="2"/>
          <w:sz w:val="24"/>
          <w:szCs w:val="24"/>
          <w:highlight w:val="none"/>
        </w:rPr>
        <w:instrText xml:space="preserve"> HYPERLINK "http://www.gsxt.gov.cn" </w:instrText>
      </w:r>
      <w:r>
        <w:rPr>
          <w:rFonts w:hint="default" w:ascii="Times New Roman" w:hAnsi="Times New Roman" w:eastAsia="宋体" w:cs="Times New Roman"/>
          <w:color w:val="auto"/>
          <w:spacing w:val="0"/>
          <w:kern w:val="2"/>
          <w:sz w:val="24"/>
          <w:szCs w:val="24"/>
          <w:highlight w:val="none"/>
        </w:rPr>
        <w:fldChar w:fldCharType="separate"/>
      </w:r>
      <w:r>
        <w:rPr>
          <w:rFonts w:hint="default" w:ascii="Times New Roman" w:hAnsi="Times New Roman" w:eastAsia="宋体" w:cs="Times New Roman"/>
          <w:color w:val="auto"/>
          <w:spacing w:val="0"/>
          <w:kern w:val="2"/>
          <w:sz w:val="24"/>
          <w:szCs w:val="24"/>
          <w:highlight w:val="none"/>
          <w:lang w:eastAsia="zh-CN"/>
        </w:rPr>
        <w:t>http://www.gsxt.gov.cn/</w:t>
      </w:r>
      <w:r>
        <w:rPr>
          <w:rFonts w:hint="default" w:ascii="Times New Roman" w:hAnsi="Times New Roman" w:eastAsia="宋体" w:cs="Times New Roman"/>
          <w:color w:val="auto"/>
          <w:spacing w:val="0"/>
          <w:kern w:val="2"/>
          <w:sz w:val="24"/>
          <w:szCs w:val="24"/>
          <w:highlight w:val="none"/>
        </w:rPr>
        <w:fldChar w:fldCharType="end"/>
      </w:r>
      <w:r>
        <w:rPr>
          <w:rFonts w:hint="default" w:ascii="Times New Roman" w:hAnsi="Times New Roman" w:eastAsia="宋体" w:cs="Times New Roman"/>
          <w:color w:val="auto"/>
          <w:spacing w:val="0"/>
          <w:kern w:val="2"/>
          <w:sz w:val="24"/>
          <w:szCs w:val="24"/>
          <w:highlight w:val="none"/>
        </w:rPr>
        <w:t>）中被列入严重违法失信企业名单的投标人，均按否决投标处理。</w:t>
      </w:r>
    </w:p>
    <w:p>
      <w:pPr>
        <w:pStyle w:val="4"/>
        <w:keepNext/>
        <w:keepLines/>
        <w:pageBreakBefore w:val="0"/>
        <w:widowControl w:val="0"/>
        <w:numPr>
          <w:ilvl w:val="0"/>
          <w:numId w:val="1"/>
        </w:numPr>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bookmarkStart w:id="18" w:name="_Toc509959051"/>
      <w:bookmarkStart w:id="19" w:name="_Toc510089784"/>
      <w:bookmarkStart w:id="20" w:name="_Toc510172697"/>
      <w:bookmarkStart w:id="21" w:name="_Toc509962292"/>
      <w:r>
        <w:rPr>
          <w:rFonts w:hint="default" w:ascii="Times New Roman" w:hAnsi="Times New Roman" w:eastAsia="黑体" w:cs="Times New Roman"/>
          <w:b/>
          <w:bCs/>
          <w:color w:val="auto"/>
          <w:sz w:val="28"/>
          <w:szCs w:val="28"/>
          <w:highlight w:val="none"/>
        </w:rPr>
        <w:t>招标文件的获取</w:t>
      </w:r>
      <w:bookmarkEnd w:id="18"/>
      <w:bookmarkEnd w:id="19"/>
      <w:bookmarkEnd w:id="20"/>
      <w:bookmarkEnd w:id="21"/>
      <w:r>
        <w:rPr>
          <w:rFonts w:hint="default" w:ascii="Times New Roman" w:hAnsi="Times New Roman" w:eastAsia="黑体" w:cs="Times New Roman"/>
          <w:b/>
          <w:bCs/>
          <w:color w:val="auto"/>
          <w:sz w:val="28"/>
          <w:szCs w:val="28"/>
          <w:highlight w:val="none"/>
        </w:rPr>
        <w:tab/>
      </w:r>
    </w:p>
    <w:p>
      <w:pPr>
        <w:tabs>
          <w:tab w:val="left" w:pos="360"/>
        </w:tabs>
        <w:autoSpaceDN w:val="0"/>
        <w:adjustRightInd w:val="0"/>
        <w:snapToGrid w:val="0"/>
        <w:spacing w:line="400" w:lineRule="exact"/>
        <w:ind w:firstLine="480" w:firstLineChars="200"/>
        <w:jc w:val="both"/>
        <w:rPr>
          <w:rFonts w:hint="default" w:ascii="Times New Roman" w:hAnsi="Times New Roman" w:cs="Times New Roman"/>
          <w:color w:val="auto"/>
          <w:sz w:val="24"/>
          <w:highlight w:val="none"/>
          <w:lang w:val="en-US" w:eastAsia="zh-CN"/>
        </w:rPr>
      </w:pPr>
      <w:bookmarkStart w:id="22" w:name="OLE_LINK2"/>
      <w:bookmarkStart w:id="23" w:name="_Toc470760977"/>
      <w:bookmarkStart w:id="24" w:name="_Toc501257037"/>
      <w:bookmarkStart w:id="25" w:name="_Toc510089785"/>
      <w:bookmarkStart w:id="26" w:name="_Toc509959052"/>
      <w:bookmarkStart w:id="27" w:name="_Toc509962293"/>
      <w:bookmarkStart w:id="28" w:name="_Toc510172698"/>
      <w:r>
        <w:rPr>
          <w:rFonts w:hint="default" w:ascii="Times New Roman" w:hAnsi="Times New Roman" w:cs="Times New Roman"/>
          <w:color w:val="auto"/>
          <w:sz w:val="24"/>
          <w:highlight w:val="none"/>
        </w:rPr>
        <w:t>4.1凡有意参加投标者，请于2025年</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日至2025年</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日 （法定休假日正常发售招标文件），每日09时30分至11时30分，14时00分至16时00分（北京时间，24小时制，下同），</w:t>
      </w:r>
      <w:r>
        <w:rPr>
          <w:rFonts w:hint="default" w:ascii="Times New Roman" w:hAnsi="Times New Roman" w:cs="Times New Roman"/>
          <w:color w:val="auto"/>
          <w:sz w:val="24"/>
          <w:highlight w:val="none"/>
          <w:lang w:val="en-US" w:eastAsia="zh-CN"/>
        </w:rPr>
        <w:t>登录广州公共资源交易中心网站，并选择对应招标项目进行投标登记，</w:t>
      </w:r>
      <w:r>
        <w:rPr>
          <w:rFonts w:hint="default" w:ascii="Times New Roman" w:hAnsi="Times New Roman" w:cs="Times New Roman"/>
          <w:color w:val="auto"/>
          <w:sz w:val="24"/>
          <w:highlight w:val="none"/>
        </w:rPr>
        <w:t>投标登记并购买招标文件及图纸后</w:t>
      </w:r>
      <w:r>
        <w:rPr>
          <w:rFonts w:hint="default" w:ascii="Times New Roman" w:hAnsi="Times New Roman" w:cs="Times New Roman"/>
          <w:color w:val="auto"/>
          <w:sz w:val="24"/>
          <w:highlight w:val="none"/>
          <w:lang w:val="en-US" w:eastAsia="zh-CN"/>
        </w:rPr>
        <w:t>，招标文件</w:t>
      </w:r>
      <w:r>
        <w:rPr>
          <w:rFonts w:hint="default" w:ascii="Times New Roman" w:hAnsi="Times New Roman" w:cs="Times New Roman"/>
          <w:color w:val="auto"/>
          <w:sz w:val="24"/>
          <w:highlight w:val="none"/>
        </w:rPr>
        <w:t>及图纸</w:t>
      </w:r>
      <w:r>
        <w:rPr>
          <w:rFonts w:hint="default" w:ascii="Times New Roman" w:hAnsi="Times New Roman" w:cs="Times New Roman"/>
          <w:color w:val="auto"/>
          <w:sz w:val="24"/>
          <w:highlight w:val="none"/>
          <w:lang w:val="en-US" w:eastAsia="zh-CN"/>
        </w:rPr>
        <w:t xml:space="preserve">通过邮寄或电子邮件的形式发送给投标人。 </w:t>
      </w:r>
    </w:p>
    <w:p>
      <w:pPr>
        <w:tabs>
          <w:tab w:val="left" w:pos="360"/>
        </w:tabs>
        <w:autoSpaceDN w:val="0"/>
        <w:adjustRightInd w:val="0"/>
        <w:snapToGrid w:val="0"/>
        <w:spacing w:line="400" w:lineRule="exac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4.2招标文件每套售价1000元，图纸每套售价</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00元，售后不退。投标人应在获取招标文件截止时间以前以转账或电汇、非现金方式向代理公司交纳本项目的招标文件及图纸费用 （户名：茂名市建恒工程管理有限公司 账号：9550881246012303651</w:t>
      </w:r>
    </w:p>
    <w:p>
      <w:pPr>
        <w:tabs>
          <w:tab w:val="left" w:pos="360"/>
        </w:tabs>
        <w:autoSpaceDN w:val="0"/>
        <w:adjustRightInd w:val="0"/>
        <w:snapToGrid w:val="0"/>
        <w:spacing w:line="400" w:lineRule="exact"/>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开户行：广发银行股份有限公司茂名高州支行），汇款方的出票人的名称必须同投标人全称相符，在转账凭证上标注工程名称（工程名称可缩写），并将转账凭证的扫描件发至招标代理电子邮箱</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https://wx.qq.com/cgi-bin/mmwebwx-bin/webwxcheckurl?requrl=http://1499482940@qq.com&amp;skey=@crypt_bc3cf5bd_49a86d8c908085f132554684279ef71b&amp;deviceid=e833121872957499&amp;pass_ticket=ICpuKHY1xYXzJOOXf77wSD9ecTt2UXaTKG80pnwPuI4cbtXv14u4hqf%2FjAnQi18H56gQLu1AToXgvyPMvmHoxw%3D%3D&amp;opcode=2&amp;scene=1&amp;username=@894ad584c6a13a809f7e114557294ae69a12528460354b84c47ded75cb00d564" \t "https://wx.qq.com/_blank"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1499482940@qq.com</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lang w:val="en-US" w:eastAsia="zh-CN"/>
        </w:rPr>
        <w:t>。</w:t>
      </w:r>
    </w:p>
    <w:p>
      <w:pPr>
        <w:tabs>
          <w:tab w:val="left" w:pos="360"/>
        </w:tabs>
        <w:autoSpaceDN w:val="0"/>
        <w:adjustRightInd w:val="0"/>
        <w:snapToGrid w:val="0"/>
        <w:spacing w:line="400" w:lineRule="exact"/>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投标人应在登记前到广州公共资源交易中心办理投标企业信息登记，获取并激活企业编号，企业编号未在广州公共资源交易中心系统激活的投标申请将不予受理。企业信息登记的办理详情参见广州公共资源交易中心网站（http://www.gzggzy.cn/）服务指南栏目。</w:t>
      </w:r>
      <w:bookmarkEnd w:id="22"/>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5. 投标文件的递交及相关事宜</w:t>
      </w:r>
      <w:bookmarkEnd w:id="23"/>
      <w:bookmarkEnd w:id="24"/>
      <w:bookmarkEnd w:id="25"/>
      <w:bookmarkEnd w:id="26"/>
      <w:bookmarkEnd w:id="27"/>
      <w:bookmarkEnd w:id="28"/>
    </w:p>
    <w:p>
      <w:pPr>
        <w:autoSpaceDE w:val="0"/>
        <w:autoSpaceDN w:val="0"/>
        <w:adjustRightInd w:val="0"/>
        <w:snapToGrid w:val="0"/>
        <w:spacing w:line="400" w:lineRule="exact"/>
        <w:ind w:firstLine="476" w:firstLineChars="200"/>
        <w:jc w:val="both"/>
        <w:rPr>
          <w:rFonts w:hint="default" w:ascii="Times New Roman" w:hAnsi="Times New Roman" w:cs="Times New Roman"/>
          <w:color w:val="auto"/>
          <w:spacing w:val="-1"/>
          <w:kern w:val="0"/>
          <w:sz w:val="24"/>
          <w:szCs w:val="21"/>
          <w:highlight w:val="none"/>
        </w:rPr>
      </w:pPr>
      <w:bookmarkStart w:id="29" w:name="_Toc501257038"/>
      <w:bookmarkStart w:id="30" w:name="_Toc470760978"/>
      <w:r>
        <w:rPr>
          <w:rFonts w:hint="default" w:ascii="Times New Roman" w:hAnsi="Times New Roman" w:cs="Times New Roman"/>
          <w:color w:val="auto"/>
          <w:spacing w:val="-1"/>
          <w:kern w:val="0"/>
          <w:sz w:val="24"/>
          <w:szCs w:val="21"/>
          <w:highlight w:val="none"/>
        </w:rPr>
        <w:t>5.1  招标人不统一组织工程现场踏勘和召开投标预备会。</w:t>
      </w:r>
    </w:p>
    <w:p>
      <w:pPr>
        <w:snapToGrid w:val="0"/>
        <w:spacing w:line="360" w:lineRule="auto"/>
        <w:ind w:left="239" w:leftChars="114" w:firstLine="238" w:firstLineChars="100"/>
        <w:jc w:val="both"/>
        <w:rPr>
          <w:rFonts w:hint="default" w:ascii="Times New Roman" w:hAnsi="Times New Roman" w:cs="Times New Roman"/>
          <w:color w:val="auto"/>
          <w:spacing w:val="-1"/>
          <w:kern w:val="0"/>
          <w:sz w:val="24"/>
          <w:szCs w:val="21"/>
          <w:highlight w:val="none"/>
          <w:u w:val="single"/>
          <w:lang w:val="en-US" w:eastAsia="zh-CN"/>
        </w:rPr>
      </w:pPr>
      <w:r>
        <w:rPr>
          <w:rFonts w:hint="default" w:ascii="Times New Roman" w:hAnsi="Times New Roman" w:cs="Times New Roman"/>
          <w:color w:val="auto"/>
          <w:spacing w:val="-1"/>
          <w:kern w:val="0"/>
          <w:sz w:val="24"/>
          <w:szCs w:val="21"/>
          <w:highlight w:val="none"/>
        </w:rPr>
        <w:t>5.2  投标文件递交的截止时间（投标截止时间，下同）为202</w:t>
      </w:r>
      <w:r>
        <w:rPr>
          <w:rFonts w:hint="eastAsia" w:ascii="Times New Roman" w:hAnsi="Times New Roman" w:cs="Times New Roman"/>
          <w:color w:val="auto"/>
          <w:spacing w:val="-1"/>
          <w:kern w:val="0"/>
          <w:sz w:val="24"/>
          <w:szCs w:val="21"/>
          <w:highlight w:val="none"/>
          <w:lang w:val="en-US" w:eastAsia="zh-CN"/>
        </w:rPr>
        <w:t>5</w:t>
      </w:r>
      <w:r>
        <w:rPr>
          <w:rFonts w:hint="default" w:ascii="Times New Roman" w:hAnsi="Times New Roman" w:cs="Times New Roman"/>
          <w:color w:val="auto"/>
          <w:spacing w:val="-1"/>
          <w:kern w:val="0"/>
          <w:sz w:val="24"/>
          <w:szCs w:val="21"/>
          <w:highlight w:val="none"/>
        </w:rPr>
        <w:t>年</w:t>
      </w:r>
      <w:r>
        <w:rPr>
          <w:rFonts w:hint="default" w:ascii="Times New Roman" w:hAnsi="Times New Roman" w:cs="Times New Roman"/>
          <w:color w:val="auto"/>
          <w:spacing w:val="-1"/>
          <w:kern w:val="0"/>
          <w:sz w:val="24"/>
          <w:szCs w:val="21"/>
          <w:highlight w:val="none"/>
          <w:u w:val="single"/>
        </w:rPr>
        <w:t xml:space="preserve">  </w:t>
      </w:r>
      <w:r>
        <w:rPr>
          <w:rFonts w:hint="default" w:ascii="Times New Roman" w:hAnsi="Times New Roman" w:cs="Times New Roman"/>
          <w:color w:val="auto"/>
          <w:spacing w:val="-1"/>
          <w:kern w:val="0"/>
          <w:sz w:val="24"/>
          <w:szCs w:val="21"/>
          <w:highlight w:val="none"/>
        </w:rPr>
        <w:t>月</w:t>
      </w:r>
      <w:r>
        <w:rPr>
          <w:rFonts w:hint="default" w:ascii="Times New Roman" w:hAnsi="Times New Roman" w:cs="Times New Roman"/>
          <w:color w:val="auto"/>
          <w:spacing w:val="-1"/>
          <w:kern w:val="0"/>
          <w:sz w:val="24"/>
          <w:szCs w:val="21"/>
          <w:highlight w:val="none"/>
          <w:u w:val="single"/>
        </w:rPr>
        <w:t xml:space="preserve">  </w:t>
      </w:r>
      <w:r>
        <w:rPr>
          <w:rFonts w:hint="default" w:ascii="Times New Roman" w:hAnsi="Times New Roman" w:cs="Times New Roman"/>
          <w:color w:val="auto"/>
          <w:spacing w:val="-1"/>
          <w:kern w:val="0"/>
          <w:sz w:val="24"/>
          <w:szCs w:val="21"/>
          <w:highlight w:val="none"/>
        </w:rPr>
        <w:t>日</w:t>
      </w:r>
      <w:r>
        <w:rPr>
          <w:rFonts w:hint="default" w:ascii="Times New Roman" w:hAnsi="Times New Roman" w:cs="Times New Roman"/>
          <w:color w:val="auto"/>
          <w:spacing w:val="-1"/>
          <w:kern w:val="0"/>
          <w:sz w:val="24"/>
          <w:szCs w:val="21"/>
          <w:highlight w:val="none"/>
          <w:u w:val="single"/>
          <w:lang w:val="en-US" w:eastAsia="zh-CN"/>
        </w:rPr>
        <w:t xml:space="preserve">  </w:t>
      </w:r>
    </w:p>
    <w:p>
      <w:pPr>
        <w:snapToGrid w:val="0"/>
        <w:spacing w:line="360" w:lineRule="auto"/>
        <w:ind w:left="239" w:leftChars="114" w:firstLine="238" w:firstLineChars="100"/>
        <w:jc w:val="both"/>
        <w:rPr>
          <w:rFonts w:hint="default" w:ascii="Times New Roman" w:hAnsi="Times New Roman" w:cs="Times New Roman"/>
          <w:color w:val="auto"/>
          <w:sz w:val="24"/>
          <w:highlight w:val="none"/>
        </w:rPr>
      </w:pPr>
      <w:r>
        <w:rPr>
          <w:rFonts w:hint="default" w:ascii="Times New Roman" w:hAnsi="Times New Roman" w:cs="Times New Roman"/>
          <w:color w:val="auto"/>
          <w:spacing w:val="-1"/>
          <w:kern w:val="0"/>
          <w:sz w:val="24"/>
          <w:szCs w:val="21"/>
          <w:highlight w:val="none"/>
        </w:rPr>
        <w:t>时</w:t>
      </w:r>
      <w:r>
        <w:rPr>
          <w:rFonts w:hint="default" w:ascii="Times New Roman" w:hAnsi="Times New Roman" w:cs="Times New Roman"/>
          <w:color w:val="auto"/>
          <w:spacing w:val="-1"/>
          <w:kern w:val="0"/>
          <w:sz w:val="24"/>
          <w:szCs w:val="21"/>
          <w:highlight w:val="none"/>
          <w:u w:val="single"/>
        </w:rPr>
        <w:t xml:space="preserve"> </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rPr>
        <w:t>分，投标人应于当日</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时</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分至</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时</w:t>
      </w:r>
      <w:r>
        <w:rPr>
          <w:rFonts w:hint="default" w:ascii="Times New Roman" w:hAnsi="Times New Roman" w:cs="Times New Roman"/>
          <w:color w:val="auto"/>
          <w:spacing w:val="-1"/>
          <w:kern w:val="0"/>
          <w:sz w:val="24"/>
          <w:szCs w:val="21"/>
          <w:highlight w:val="none"/>
          <w:u w:val="single"/>
          <w:lang w:val="en-US" w:eastAsia="zh-CN"/>
        </w:rPr>
        <w:t xml:space="preserve">  </w:t>
      </w:r>
      <w:r>
        <w:rPr>
          <w:rFonts w:hint="default" w:ascii="Times New Roman" w:hAnsi="Times New Roman" w:cs="Times New Roman"/>
          <w:color w:val="auto"/>
          <w:spacing w:val="-1"/>
          <w:kern w:val="0"/>
          <w:sz w:val="24"/>
          <w:szCs w:val="21"/>
          <w:highlight w:val="none"/>
          <w:lang w:val="en-US" w:eastAsia="zh-CN"/>
        </w:rPr>
        <w:t>分</w:t>
      </w:r>
      <w:r>
        <w:rPr>
          <w:rFonts w:hint="default" w:ascii="Times New Roman" w:hAnsi="Times New Roman" w:cs="Times New Roman"/>
          <w:color w:val="auto"/>
          <w:spacing w:val="-1"/>
          <w:kern w:val="0"/>
          <w:sz w:val="24"/>
          <w:szCs w:val="21"/>
          <w:highlight w:val="none"/>
        </w:rPr>
        <w:t>将投标文件递交</w:t>
      </w:r>
      <w:r>
        <w:rPr>
          <w:rFonts w:hint="default" w:ascii="Times New Roman" w:hAnsi="Times New Roman" w:cs="Times New Roman"/>
          <w:color w:val="auto"/>
          <w:spacing w:val="-1"/>
          <w:kern w:val="0"/>
          <w:sz w:val="24"/>
          <w:szCs w:val="21"/>
          <w:highlight w:val="none"/>
          <w:lang w:val="en-US" w:eastAsia="zh-CN"/>
        </w:rPr>
        <w:t>至</w:t>
      </w:r>
      <w:r>
        <w:rPr>
          <w:rFonts w:hint="default" w:ascii="Times New Roman" w:hAnsi="Times New Roman" w:cs="Times New Roman"/>
          <w:color w:val="auto"/>
          <w:spacing w:val="-1"/>
          <w:kern w:val="0"/>
          <w:sz w:val="24"/>
          <w:szCs w:val="21"/>
          <w:highlight w:val="none"/>
        </w:rPr>
        <w:t>广州市天河区天润路333号广州公共资源交易中心。</w:t>
      </w:r>
    </w:p>
    <w:p>
      <w:pPr>
        <w:snapToGrid w:val="0"/>
        <w:spacing w:line="360" w:lineRule="auto"/>
        <w:ind w:firstLine="478" w:firstLineChars="201"/>
        <w:jc w:val="both"/>
        <w:rPr>
          <w:rFonts w:hint="default" w:ascii="Times New Roman" w:hAnsi="Times New Roman" w:cs="Times New Roman"/>
          <w:color w:val="auto"/>
          <w:spacing w:val="-1"/>
          <w:kern w:val="0"/>
          <w:sz w:val="24"/>
          <w:szCs w:val="21"/>
          <w:highlight w:val="none"/>
        </w:rPr>
      </w:pPr>
      <w:r>
        <w:rPr>
          <w:rFonts w:hint="default" w:ascii="Times New Roman" w:hAnsi="Times New Roman" w:cs="Times New Roman"/>
          <w:color w:val="auto"/>
          <w:spacing w:val="-1"/>
          <w:kern w:val="0"/>
          <w:sz w:val="24"/>
          <w:szCs w:val="21"/>
          <w:highlight w:val="none"/>
        </w:rPr>
        <w:t xml:space="preserve">5.3  </w:t>
      </w:r>
      <w:r>
        <w:rPr>
          <w:rFonts w:hint="default" w:ascii="Times New Roman" w:hAnsi="Times New Roman" w:cs="Times New Roman"/>
          <w:color w:val="auto"/>
          <w:spacing w:val="-1"/>
          <w:kern w:val="0"/>
          <w:sz w:val="24"/>
          <w:szCs w:val="21"/>
          <w:highlight w:val="none"/>
          <w:lang w:val="en-US" w:eastAsia="zh-CN"/>
        </w:rPr>
        <w:t>逾期送达的、未送达指定地点的或不按照招标文件要求密封的投标文件， 招标人将予以拒收。</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bookmarkStart w:id="31" w:name="_Toc509959053"/>
      <w:bookmarkStart w:id="32" w:name="_Toc509962294"/>
      <w:bookmarkStart w:id="33" w:name="_Toc510172699"/>
      <w:bookmarkStart w:id="34" w:name="_Toc510089786"/>
      <w:r>
        <w:rPr>
          <w:rFonts w:hint="default" w:ascii="Times New Roman" w:hAnsi="Times New Roman" w:eastAsia="黑体" w:cs="Times New Roman"/>
          <w:b/>
          <w:bCs/>
          <w:color w:val="auto"/>
          <w:sz w:val="28"/>
          <w:szCs w:val="28"/>
          <w:highlight w:val="none"/>
        </w:rPr>
        <w:t>6. 发布公告的媒介</w:t>
      </w:r>
      <w:bookmarkEnd w:id="29"/>
      <w:bookmarkEnd w:id="30"/>
      <w:bookmarkEnd w:id="31"/>
      <w:bookmarkEnd w:id="32"/>
      <w:bookmarkEnd w:id="33"/>
      <w:bookmarkEnd w:id="34"/>
    </w:p>
    <w:p>
      <w:pPr>
        <w:keepNext w:val="0"/>
        <w:keepLines w:val="0"/>
        <w:pageBreakBefore w:val="0"/>
        <w:widowControl w:val="0"/>
        <w:kinsoku/>
        <w:wordWrap/>
        <w:overflowPunct/>
        <w:autoSpaceDE w:val="0"/>
        <w:autoSpaceDN w:val="0"/>
        <w:bidi w:val="0"/>
        <w:snapToGrid w:val="0"/>
        <w:spacing w:line="440" w:lineRule="exact"/>
        <w:ind w:right="0" w:firstLine="476" w:firstLineChars="200"/>
        <w:jc w:val="both"/>
        <w:rPr>
          <w:rFonts w:hint="default" w:ascii="Times New Roman" w:hAnsi="Times New Roman" w:cs="Times New Roman"/>
          <w:color w:val="auto"/>
          <w:spacing w:val="-1"/>
          <w:sz w:val="24"/>
          <w:szCs w:val="24"/>
          <w:highlight w:val="none"/>
          <w:shd w:val="clear" w:color="auto" w:fill="FFFFFF"/>
        </w:rPr>
      </w:pPr>
      <w:bookmarkStart w:id="35" w:name="_Toc510089787"/>
      <w:bookmarkStart w:id="36" w:name="_Toc510172700"/>
      <w:bookmarkStart w:id="37" w:name="_Toc509962295"/>
      <w:bookmarkStart w:id="38" w:name="_Toc509959054"/>
      <w:r>
        <w:rPr>
          <w:rFonts w:hint="default" w:ascii="Times New Roman" w:hAnsi="Times New Roman" w:cs="Times New Roman"/>
          <w:color w:val="auto"/>
          <w:spacing w:val="-1"/>
          <w:kern w:val="0"/>
          <w:sz w:val="24"/>
          <w:szCs w:val="21"/>
          <w:highlight w:val="none"/>
          <w:lang w:bidi="ar"/>
        </w:rPr>
        <w:t>本次招标公告同时在</w:t>
      </w:r>
      <w:r>
        <w:rPr>
          <w:rFonts w:hint="default" w:ascii="Times New Roman" w:hAnsi="Times New Roman" w:cs="Times New Roman"/>
          <w:bCs/>
          <w:color w:val="auto"/>
          <w:kern w:val="0"/>
          <w:sz w:val="24"/>
          <w:highlight w:val="none"/>
          <w:u w:val="single"/>
          <w:lang w:bidi="ar"/>
        </w:rPr>
        <w:t>广东省招标投标监管网（</w:t>
      </w:r>
      <w:r>
        <w:rPr>
          <w:rFonts w:hint="default" w:ascii="Times New Roman" w:hAnsi="Times New Roman" w:eastAsia="宋体" w:cs="Times New Roman"/>
          <w:bCs/>
          <w:color w:val="auto"/>
          <w:kern w:val="0"/>
          <w:sz w:val="24"/>
          <w:highlight w:val="none"/>
          <w:u w:val="single"/>
          <w:lang w:eastAsia="zh-CN" w:bidi="ar"/>
        </w:rPr>
        <w:t>http://zbtb.gd.gov.cn</w:t>
      </w:r>
      <w:r>
        <w:rPr>
          <w:rFonts w:hint="default" w:ascii="Times New Roman" w:hAnsi="Times New Roman" w:eastAsia="宋体" w:cs="Times New Roman"/>
          <w:color w:val="auto"/>
          <w:spacing w:val="0"/>
          <w:kern w:val="2"/>
          <w:sz w:val="24"/>
          <w:szCs w:val="24"/>
          <w:highlight w:val="none"/>
        </w:rPr>
        <w:t>/</w:t>
      </w:r>
      <w:r>
        <w:rPr>
          <w:rFonts w:hint="default" w:ascii="Times New Roman" w:hAnsi="Times New Roman" w:cs="Times New Roman"/>
          <w:bCs/>
          <w:color w:val="auto"/>
          <w:kern w:val="0"/>
          <w:sz w:val="24"/>
          <w:highlight w:val="none"/>
          <w:u w:val="single"/>
          <w:lang w:bidi="ar"/>
        </w:rPr>
        <w:t>）、</w:t>
      </w:r>
      <w:r>
        <w:rPr>
          <w:rFonts w:hint="default" w:ascii="Times New Roman" w:hAnsi="Times New Roman" w:cs="Times New Roman"/>
          <w:color w:val="auto"/>
          <w:spacing w:val="-1"/>
          <w:kern w:val="0"/>
          <w:sz w:val="24"/>
          <w:szCs w:val="21"/>
          <w:highlight w:val="none"/>
          <w:lang w:bidi="ar"/>
        </w:rPr>
        <w:t>广州公共资源交易中心网站（http://www.gzggzy.cn</w:t>
      </w:r>
      <w:r>
        <w:rPr>
          <w:rFonts w:hint="default" w:ascii="Times New Roman" w:hAnsi="Times New Roman" w:eastAsia="宋体" w:cs="Times New Roman"/>
          <w:color w:val="auto"/>
          <w:spacing w:val="0"/>
          <w:kern w:val="2"/>
          <w:sz w:val="24"/>
          <w:szCs w:val="24"/>
          <w:highlight w:val="none"/>
        </w:rPr>
        <w:t>/</w:t>
      </w:r>
      <w:r>
        <w:rPr>
          <w:rFonts w:hint="default" w:ascii="Times New Roman" w:hAnsi="Times New Roman" w:cs="Times New Roman"/>
          <w:color w:val="auto"/>
          <w:spacing w:val="-1"/>
          <w:kern w:val="0"/>
          <w:sz w:val="24"/>
          <w:szCs w:val="21"/>
          <w:highlight w:val="none"/>
          <w:lang w:bidi="ar"/>
        </w:rPr>
        <w:t>）上发布</w:t>
      </w:r>
      <w:r>
        <w:rPr>
          <w:rFonts w:hint="default" w:ascii="Times New Roman" w:hAnsi="Times New Roman" w:cs="Times New Roman"/>
          <w:color w:val="auto"/>
          <w:spacing w:val="-1"/>
          <w:sz w:val="24"/>
          <w:szCs w:val="24"/>
          <w:highlight w:val="none"/>
          <w:shd w:val="clear" w:color="auto" w:fill="FFFFFF"/>
          <w:lang w:eastAsia="zh-CN"/>
        </w:rPr>
        <w:t>，</w:t>
      </w:r>
      <w:r>
        <w:rPr>
          <w:rFonts w:hint="default" w:ascii="Times New Roman" w:hAnsi="Times New Roman" w:cs="Times New Roman"/>
          <w:color w:val="auto"/>
          <w:spacing w:val="-1"/>
          <w:sz w:val="24"/>
          <w:szCs w:val="24"/>
          <w:highlight w:val="none"/>
          <w:shd w:val="clear" w:color="auto" w:fill="FFFFFF"/>
          <w:lang w:val="en-US" w:eastAsia="zh-CN"/>
        </w:rPr>
        <w:t>如果公告详细内容不一致者，以</w:t>
      </w:r>
      <w:r>
        <w:rPr>
          <w:rFonts w:hint="default" w:ascii="Times New Roman" w:hAnsi="Times New Roman" w:cs="Times New Roman"/>
          <w:color w:val="auto"/>
          <w:spacing w:val="-1"/>
          <w:sz w:val="24"/>
          <w:szCs w:val="24"/>
          <w:highlight w:val="none"/>
          <w:shd w:val="clear" w:color="auto" w:fill="FFFFFF"/>
        </w:rPr>
        <w:t>广东省招标投标监管网</w:t>
      </w:r>
      <w:r>
        <w:rPr>
          <w:rFonts w:hint="default" w:ascii="Times New Roman" w:hAnsi="Times New Roman" w:cs="Times New Roman"/>
          <w:color w:val="auto"/>
          <w:spacing w:val="-1"/>
          <w:sz w:val="24"/>
          <w:szCs w:val="24"/>
          <w:highlight w:val="none"/>
          <w:shd w:val="clear" w:color="auto" w:fill="FFFFFF"/>
          <w:lang w:val="en-US" w:eastAsia="zh-CN"/>
        </w:rPr>
        <w:t>公告为准</w:t>
      </w:r>
      <w:r>
        <w:rPr>
          <w:rFonts w:hint="default" w:ascii="Times New Roman" w:hAnsi="Times New Roman" w:cs="Times New Roman"/>
          <w:color w:val="auto"/>
          <w:spacing w:val="-1"/>
          <w:sz w:val="24"/>
          <w:szCs w:val="24"/>
          <w:highlight w:val="none"/>
          <w:shd w:val="clear" w:color="auto" w:fill="FFFFFF"/>
        </w:rPr>
        <w:t>。</w:t>
      </w:r>
      <w:bookmarkEnd w:id="35"/>
      <w:bookmarkEnd w:id="36"/>
      <w:bookmarkEnd w:id="37"/>
      <w:bookmarkEnd w:id="38"/>
      <w:bookmarkStart w:id="39" w:name="_Toc509962296"/>
      <w:bookmarkStart w:id="40" w:name="_Toc510172701"/>
      <w:bookmarkStart w:id="41" w:name="_Toc509959055"/>
      <w:bookmarkStart w:id="42" w:name="_Toc510089788"/>
    </w:p>
    <w:p>
      <w:pPr>
        <w:keepNext w:val="0"/>
        <w:keepLines w:val="0"/>
        <w:pageBreakBefore w:val="0"/>
        <w:widowControl w:val="0"/>
        <w:numPr>
          <w:ilvl w:val="0"/>
          <w:numId w:val="2"/>
        </w:numPr>
        <w:kinsoku/>
        <w:wordWrap/>
        <w:overflowPunct/>
        <w:autoSpaceDE w:val="0"/>
        <w:autoSpaceDN w:val="0"/>
        <w:bidi w:val="0"/>
        <w:snapToGrid w:val="0"/>
        <w:spacing w:line="440" w:lineRule="exact"/>
        <w:ind w:right="0" w:rightChars="0"/>
        <w:jc w:val="both"/>
        <w:rPr>
          <w:rFonts w:hint="default" w:ascii="Times New Roman" w:hAnsi="Times New Roman" w:eastAsia="黑体" w:cs="Times New Roman"/>
          <w:b/>
          <w:bCs/>
          <w:color w:val="auto"/>
          <w:sz w:val="28"/>
          <w:szCs w:val="28"/>
          <w:highlight w:val="none"/>
          <w:lang w:val="en-US" w:eastAsia="zh-CN"/>
        </w:rPr>
      </w:pPr>
      <w:r>
        <w:rPr>
          <w:rFonts w:hint="default" w:ascii="Times New Roman" w:hAnsi="Times New Roman" w:eastAsia="黑体" w:cs="Times New Roman"/>
          <w:b/>
          <w:bCs/>
          <w:color w:val="auto"/>
          <w:sz w:val="28"/>
          <w:szCs w:val="28"/>
          <w:highlight w:val="none"/>
          <w:lang w:val="en-US" w:eastAsia="zh-CN"/>
        </w:rPr>
        <w:t>其他要求</w:t>
      </w:r>
    </w:p>
    <w:p>
      <w:pPr>
        <w:keepNext w:val="0"/>
        <w:keepLines w:val="0"/>
        <w:pageBreakBefore w:val="0"/>
        <w:widowControl w:val="0"/>
        <w:numPr>
          <w:ilvl w:val="0"/>
          <w:numId w:val="0"/>
        </w:numPr>
        <w:kinsoku/>
        <w:wordWrap/>
        <w:overflowPunct/>
        <w:autoSpaceDE w:val="0"/>
        <w:autoSpaceDN w:val="0"/>
        <w:bidi w:val="0"/>
        <w:snapToGrid w:val="0"/>
        <w:spacing w:line="440" w:lineRule="exact"/>
        <w:ind w:right="0" w:rightChars="0" w:firstLine="480" w:firstLineChars="200"/>
        <w:jc w:val="both"/>
        <w:rPr>
          <w:rFonts w:hint="default" w:ascii="Times New Roman" w:hAnsi="Times New Roman" w:eastAsia="宋体" w:cs="Times New Roman"/>
          <w:b w:val="0"/>
          <w:bCs w:val="0"/>
          <w:color w:val="auto"/>
          <w:kern w:val="2"/>
          <w:sz w:val="24"/>
          <w:szCs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rPr>
        <w:t>在规定的投标登记期间，如某个标段投标登记并购买招标文件的投标人不足3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w:t>
      </w:r>
      <w:r>
        <w:rPr>
          <w:rFonts w:hint="default" w:ascii="Times New Roman" w:hAnsi="Times New Roman" w:eastAsia="宋体" w:cs="Times New Roman"/>
          <w:b w:val="0"/>
          <w:bCs w:val="0"/>
          <w:color w:val="auto"/>
          <w:kern w:val="2"/>
          <w:sz w:val="24"/>
          <w:szCs w:val="24"/>
          <w:highlight w:val="none"/>
        </w:rPr>
        <w:t>织</w:t>
      </w:r>
      <w:r>
        <w:rPr>
          <w:rFonts w:hint="default" w:ascii="Times New Roman" w:hAnsi="Times New Roman" w:eastAsia="宋体" w:cs="Times New Roman"/>
          <w:b w:val="0"/>
          <w:bCs w:val="0"/>
          <w:color w:val="auto"/>
          <w:kern w:val="2"/>
          <w:sz w:val="24"/>
          <w:szCs w:val="24"/>
          <w:highlight w:val="none"/>
          <w:lang w:val="en-US" w:eastAsia="zh-CN"/>
        </w:rPr>
        <w:t>招标或不再招标。</w:t>
      </w:r>
    </w:p>
    <w:p>
      <w:pPr>
        <w:pStyle w:val="4"/>
        <w:keepNext/>
        <w:keepLines/>
        <w:pageBreakBefore w:val="0"/>
        <w:widowControl w:val="0"/>
        <w:kinsoku/>
        <w:wordWrap/>
        <w:overflowPunct/>
        <w:topLinePunct w:val="0"/>
        <w:autoSpaceDE/>
        <w:autoSpaceDN/>
        <w:bidi w:val="0"/>
        <w:adjustRightInd/>
        <w:snapToGrid/>
        <w:spacing w:before="313" w:beforeLines="100" w:after="0" w:line="240" w:lineRule="atLeast"/>
        <w:jc w:val="both"/>
        <w:textAlignment w:val="auto"/>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lang w:val="en-US" w:eastAsia="zh-CN"/>
        </w:rPr>
        <w:t>8</w:t>
      </w:r>
      <w:r>
        <w:rPr>
          <w:rFonts w:hint="default" w:ascii="Times New Roman" w:hAnsi="Times New Roman" w:eastAsia="黑体" w:cs="Times New Roman"/>
          <w:b/>
          <w:bCs/>
          <w:color w:val="auto"/>
          <w:sz w:val="28"/>
          <w:szCs w:val="28"/>
          <w:highlight w:val="none"/>
        </w:rPr>
        <w:t>. 联系方式</w:t>
      </w:r>
      <w:bookmarkEnd w:id="39"/>
      <w:bookmarkEnd w:id="40"/>
      <w:bookmarkEnd w:id="41"/>
      <w:bookmarkEnd w:id="42"/>
    </w:p>
    <w:tbl>
      <w:tblPr>
        <w:tblStyle w:val="11"/>
        <w:tblW w:w="8777" w:type="dxa"/>
        <w:jc w:val="center"/>
        <w:tblInd w:w="0" w:type="dxa"/>
        <w:tblLayout w:type="fixed"/>
        <w:tblCellMar>
          <w:top w:w="0" w:type="dxa"/>
          <w:left w:w="108" w:type="dxa"/>
          <w:bottom w:w="0" w:type="dxa"/>
          <w:right w:w="108" w:type="dxa"/>
        </w:tblCellMar>
      </w:tblPr>
      <w:tblGrid>
        <w:gridCol w:w="4386"/>
        <w:gridCol w:w="4391"/>
      </w:tblGrid>
      <w:tr>
        <w:tblPrEx>
          <w:tblLayout w:type="fixed"/>
          <w:tblCellMar>
            <w:top w:w="0" w:type="dxa"/>
            <w:left w:w="108" w:type="dxa"/>
            <w:bottom w:w="0" w:type="dxa"/>
            <w:right w:w="108" w:type="dxa"/>
          </w:tblCellMar>
        </w:tblPrEx>
        <w:trPr>
          <w:jc w:val="center"/>
        </w:trPr>
        <w:tc>
          <w:tcPr>
            <w:tcW w:w="4386" w:type="dxa"/>
            <w:noWrap w:val="0"/>
            <w:vAlign w:val="top"/>
          </w:tcPr>
          <w:p>
            <w:pPr>
              <w:snapToGrid w:val="0"/>
              <w:spacing w:line="440" w:lineRule="exact"/>
              <w:rPr>
                <w:rFonts w:hint="eastAsia" w:eastAsia="Times New Roman"/>
                <w:sz w:val="24"/>
                <w:highlight w:val="none"/>
                <w:shd w:val="clear" w:color="auto" w:fill="FFFFFF"/>
                <w:lang w:eastAsia="zh-CN"/>
              </w:rPr>
            </w:pPr>
            <w:r>
              <w:rPr>
                <w:rFonts w:hint="eastAsia"/>
                <w:sz w:val="24"/>
                <w:highlight w:val="none"/>
                <w:shd w:val="clear" w:color="auto" w:fill="FFFFFF"/>
              </w:rPr>
              <w:t>招 标 人：</w:t>
            </w:r>
            <w:r>
              <w:rPr>
                <w:rFonts w:hint="eastAsia"/>
                <w:sz w:val="24"/>
                <w:highlight w:val="none"/>
                <w:shd w:val="clear" w:color="auto" w:fill="FFFFFF"/>
                <w:lang w:eastAsia="zh-CN"/>
              </w:rPr>
              <w:t>信宜市公路事务中心</w:t>
            </w:r>
          </w:p>
          <w:p>
            <w:pPr>
              <w:snapToGrid w:val="0"/>
              <w:spacing w:line="440" w:lineRule="exact"/>
              <w:rPr>
                <w:rFonts w:hint="eastAsia"/>
                <w:sz w:val="24"/>
                <w:highlight w:val="none"/>
                <w:shd w:val="clear" w:color="auto" w:fill="FFFFFF"/>
              </w:rPr>
            </w:pPr>
            <w:r>
              <w:rPr>
                <w:rFonts w:hint="eastAsia"/>
                <w:sz w:val="24"/>
                <w:highlight w:val="none"/>
                <w:shd w:val="clear" w:color="auto" w:fill="FFFFFF"/>
              </w:rPr>
              <w:t>地    址：</w:t>
            </w:r>
            <w:bookmarkStart w:id="43" w:name="OLE_LINK4"/>
            <w:r>
              <w:rPr>
                <w:rFonts w:hint="eastAsia"/>
                <w:sz w:val="24"/>
                <w:highlight w:val="none"/>
                <w:shd w:val="clear" w:color="auto" w:fill="FFFFFF"/>
              </w:rPr>
              <w:t>茂名市信宜市新城路16号 </w:t>
            </w:r>
            <w:bookmarkEnd w:id="43"/>
          </w:p>
          <w:p>
            <w:pPr>
              <w:autoSpaceDE w:val="0"/>
              <w:autoSpaceDN w:val="0"/>
              <w:adjustRightInd w:val="0"/>
              <w:snapToGrid w:val="0"/>
              <w:spacing w:line="400" w:lineRule="exact"/>
              <w:jc w:val="left"/>
              <w:rPr>
                <w:rFonts w:hint="eastAsia"/>
                <w:sz w:val="24"/>
                <w:highlight w:val="none"/>
                <w:shd w:val="clear" w:color="auto" w:fill="FFFFFF"/>
              </w:rPr>
            </w:pPr>
            <w:r>
              <w:rPr>
                <w:rFonts w:hint="eastAsia"/>
                <w:sz w:val="24"/>
                <w:highlight w:val="none"/>
                <w:shd w:val="clear" w:color="auto" w:fill="FFFFFF"/>
              </w:rPr>
              <w:t>电    话：0668-8692272</w:t>
            </w:r>
          </w:p>
          <w:p>
            <w:pPr>
              <w:autoSpaceDE w:val="0"/>
              <w:autoSpaceDN w:val="0"/>
              <w:adjustRightInd w:val="0"/>
              <w:snapToGrid w:val="0"/>
              <w:spacing w:line="400" w:lineRule="exact"/>
              <w:jc w:val="left"/>
              <w:rPr>
                <w:rFonts w:hint="default" w:ascii="Times New Roman" w:hAnsi="Times New Roman" w:eastAsia="宋体" w:cs="Times New Roman"/>
                <w:color w:val="auto"/>
                <w:spacing w:val="-1"/>
                <w:kern w:val="0"/>
                <w:sz w:val="24"/>
                <w:szCs w:val="21"/>
                <w:highlight w:val="none"/>
                <w:lang w:val="en-US" w:eastAsia="zh-CN"/>
              </w:rPr>
            </w:pPr>
            <w:r>
              <w:rPr>
                <w:rFonts w:hint="eastAsia"/>
                <w:sz w:val="24"/>
                <w:highlight w:val="none"/>
                <w:shd w:val="clear" w:color="auto" w:fill="FFFFFF"/>
              </w:rPr>
              <w:t>联 系 人：罗生</w:t>
            </w:r>
          </w:p>
        </w:tc>
        <w:tc>
          <w:tcPr>
            <w:tcW w:w="4391" w:type="dxa"/>
            <w:noWrap w:val="0"/>
            <w:vAlign w:val="top"/>
          </w:tcPr>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lang w:val="en-US" w:eastAsia="zh-CN"/>
              </w:rPr>
            </w:pPr>
            <w:r>
              <w:rPr>
                <w:rFonts w:hint="default" w:ascii="Times New Roman" w:hAnsi="Times New Roman" w:cs="Times New Roman"/>
                <w:color w:val="auto"/>
                <w:spacing w:val="-1"/>
                <w:kern w:val="0"/>
                <w:sz w:val="24"/>
                <w:highlight w:val="none"/>
                <w:lang w:val="en-US" w:eastAsia="zh-CN"/>
              </w:rPr>
              <w:t>招标代理：茂名市建恒工程管理有限公司</w:t>
            </w:r>
          </w:p>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lang w:val="en-US" w:eastAsia="zh-CN"/>
              </w:rPr>
            </w:pPr>
            <w:r>
              <w:rPr>
                <w:rFonts w:hint="default" w:ascii="Times New Roman" w:hAnsi="Times New Roman" w:cs="Times New Roman"/>
                <w:color w:val="auto"/>
                <w:spacing w:val="-1"/>
                <w:kern w:val="0"/>
                <w:sz w:val="24"/>
                <w:highlight w:val="none"/>
                <w:lang w:val="en-US" w:eastAsia="zh-CN"/>
              </w:rPr>
              <w:t>公司地址：</w:t>
            </w:r>
            <w:r>
              <w:rPr>
                <w:rFonts w:hint="eastAsia" w:ascii="Times New Roman" w:hAnsi="Times New Roman" w:cs="Times New Roman"/>
                <w:color w:val="auto"/>
                <w:spacing w:val="-1"/>
                <w:kern w:val="0"/>
                <w:sz w:val="24"/>
                <w:highlight w:val="none"/>
                <w:lang w:val="en-US" w:eastAsia="zh-CN"/>
              </w:rPr>
              <w:t>茂名市茂南开发区大岭村208号C栋5楼503室</w:t>
            </w:r>
          </w:p>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lang w:eastAsia="zh-CN"/>
              </w:rPr>
            </w:pPr>
            <w:r>
              <w:rPr>
                <w:rFonts w:hint="default" w:ascii="Times New Roman" w:hAnsi="Times New Roman" w:cs="Times New Roman"/>
                <w:color w:val="auto"/>
                <w:spacing w:val="-1"/>
                <w:kern w:val="0"/>
                <w:sz w:val="24"/>
                <w:highlight w:val="none"/>
              </w:rPr>
              <w:t>邮    编：</w:t>
            </w:r>
            <w:r>
              <w:rPr>
                <w:rFonts w:hint="default" w:ascii="Times New Roman" w:hAnsi="Times New Roman" w:cs="Times New Roman"/>
                <w:color w:val="auto"/>
                <w:spacing w:val="-1"/>
                <w:kern w:val="0"/>
                <w:sz w:val="24"/>
                <w:highlight w:val="none"/>
                <w:lang w:eastAsia="zh-CN"/>
              </w:rPr>
              <w:t>525</w:t>
            </w:r>
            <w:r>
              <w:rPr>
                <w:rFonts w:hint="eastAsia" w:ascii="Times New Roman" w:hAnsi="Times New Roman" w:cs="Times New Roman"/>
                <w:color w:val="auto"/>
                <w:spacing w:val="-1"/>
                <w:kern w:val="0"/>
                <w:sz w:val="24"/>
                <w:highlight w:val="none"/>
                <w:lang w:val="en-US" w:eastAsia="zh-CN"/>
              </w:rPr>
              <w:t>0</w:t>
            </w:r>
            <w:r>
              <w:rPr>
                <w:rFonts w:hint="default" w:ascii="Times New Roman" w:hAnsi="Times New Roman" w:cs="Times New Roman"/>
                <w:color w:val="auto"/>
                <w:spacing w:val="-1"/>
                <w:kern w:val="0"/>
                <w:sz w:val="24"/>
                <w:highlight w:val="none"/>
                <w:lang w:eastAsia="zh-CN"/>
              </w:rPr>
              <w:t>00</w:t>
            </w:r>
          </w:p>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lang w:eastAsia="zh-CN"/>
              </w:rPr>
            </w:pPr>
            <w:r>
              <w:rPr>
                <w:rFonts w:hint="default" w:ascii="Times New Roman" w:hAnsi="Times New Roman" w:cs="Times New Roman"/>
                <w:color w:val="auto"/>
                <w:spacing w:val="-1"/>
                <w:kern w:val="0"/>
                <w:sz w:val="24"/>
                <w:highlight w:val="none"/>
              </w:rPr>
              <w:t>电    话：</w:t>
            </w:r>
            <w:r>
              <w:rPr>
                <w:rFonts w:hint="default" w:ascii="Times New Roman" w:hAnsi="Times New Roman" w:cs="Times New Roman"/>
                <w:color w:val="auto"/>
                <w:spacing w:val="-1"/>
                <w:kern w:val="0"/>
                <w:sz w:val="24"/>
                <w:highlight w:val="none"/>
                <w:lang w:val="en-US" w:eastAsia="zh-CN"/>
              </w:rPr>
              <w:t>18218294032</w:t>
            </w:r>
          </w:p>
          <w:p>
            <w:pPr>
              <w:pageBreakBefore w:val="0"/>
              <w:widowControl w:val="0"/>
              <w:kinsoku/>
              <w:overflowPunct/>
              <w:autoSpaceDE w:val="0"/>
              <w:autoSpaceDN w:val="0"/>
              <w:bidi w:val="0"/>
              <w:snapToGrid w:val="0"/>
              <w:spacing w:line="480" w:lineRule="exact"/>
              <w:ind w:right="0" w:firstLine="0" w:firstLineChars="0"/>
              <w:jc w:val="both"/>
              <w:rPr>
                <w:rFonts w:hint="default" w:ascii="Times New Roman" w:hAnsi="Times New Roman" w:cs="Times New Roman"/>
                <w:color w:val="auto"/>
                <w:spacing w:val="-1"/>
                <w:kern w:val="0"/>
                <w:sz w:val="24"/>
                <w:highlight w:val="none"/>
              </w:rPr>
            </w:pPr>
            <w:r>
              <w:rPr>
                <w:rFonts w:hint="default" w:ascii="Times New Roman" w:hAnsi="Times New Roman" w:cs="Times New Roman"/>
                <w:color w:val="auto"/>
                <w:spacing w:val="-1"/>
                <w:kern w:val="0"/>
                <w:sz w:val="24"/>
                <w:highlight w:val="none"/>
              </w:rPr>
              <w:t>联 系 人：</w:t>
            </w:r>
            <w:r>
              <w:rPr>
                <w:rFonts w:hint="default" w:ascii="Times New Roman" w:hAnsi="Times New Roman" w:cs="Times New Roman"/>
                <w:color w:val="auto"/>
                <w:spacing w:val="-1"/>
                <w:kern w:val="0"/>
                <w:sz w:val="24"/>
                <w:highlight w:val="none"/>
                <w:lang w:val="en-US" w:eastAsia="zh-CN"/>
              </w:rPr>
              <w:t>陈工</w:t>
            </w:r>
          </w:p>
        </w:tc>
      </w:tr>
    </w:tbl>
    <w:p>
      <w:pPr>
        <w:widowControl/>
        <w:jc w:val="right"/>
        <w:rPr>
          <w:rFonts w:hint="default" w:ascii="Times New Roman" w:hAnsi="Times New Roman" w:eastAsia="黑体" w:cs="Times New Roman"/>
          <w:color w:val="auto"/>
          <w:sz w:val="28"/>
          <w:szCs w:val="28"/>
          <w:highlight w:val="none"/>
          <w:u w:val="single"/>
        </w:rPr>
      </w:pP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年</w:t>
      </w:r>
      <w:r>
        <w:rPr>
          <w:rFonts w:hint="default" w:ascii="Times New Roman" w:hAnsi="Times New Roman" w:cs="Times New Roman"/>
          <w:color w:val="auto"/>
          <w:spacing w:val="2"/>
          <w:sz w:val="24"/>
          <w:highlight w:val="none"/>
          <w:u w:val="single"/>
          <w:lang w:val="en-US" w:eastAsia="zh-CN"/>
        </w:rPr>
        <w:t xml:space="preserve">  </w:t>
      </w:r>
      <w:r>
        <w:rPr>
          <w:rFonts w:hint="default" w:ascii="Times New Roman" w:hAnsi="Times New Roman" w:cs="Times New Roman"/>
          <w:color w:val="auto"/>
          <w:spacing w:val="2"/>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pacing w:val="2"/>
          <w:sz w:val="24"/>
          <w:highlight w:val="none"/>
          <w:u w:val="single"/>
          <w:lang w:val="en-US" w:eastAsia="zh-CN"/>
        </w:rPr>
        <w:t xml:space="preserve">  </w:t>
      </w:r>
      <w:r>
        <w:rPr>
          <w:rFonts w:hint="default" w:ascii="Times New Roman" w:hAnsi="Times New Roman" w:cs="Times New Roman"/>
          <w:color w:val="auto"/>
          <w:spacing w:val="2"/>
          <w:sz w:val="24"/>
          <w:highlight w:val="none"/>
          <w:u w:val="single"/>
        </w:rPr>
        <w:t xml:space="preserve"> </w:t>
      </w:r>
      <w:r>
        <w:rPr>
          <w:rFonts w:hint="default" w:ascii="Times New Roman" w:hAnsi="Times New Roman" w:cs="Times New Roman"/>
          <w:color w:val="auto"/>
          <w:sz w:val="24"/>
          <w:highlight w:val="none"/>
        </w:rPr>
        <w:t>日</w:t>
      </w:r>
    </w:p>
    <w:p>
      <w:pPr>
        <w:snapToGrid w:val="0"/>
        <w:spacing w:line="440" w:lineRule="exact"/>
        <w:rPr>
          <w:rFonts w:hint="eastAsia"/>
          <w:sz w:val="24"/>
          <w:highlight w:val="none"/>
          <w:shd w:val="clear" w:color="auto" w:fill="FFFFFF"/>
          <w:lang w:val="en-US" w:eastAsia="zh-CN"/>
        </w:rPr>
      </w:pPr>
      <w:r>
        <w:rPr>
          <w:rFonts w:hint="eastAsia"/>
          <w:sz w:val="24"/>
          <w:highlight w:val="none"/>
          <w:shd w:val="clear" w:color="auto" w:fill="FFFFFF"/>
          <w:lang w:val="en-US" w:eastAsia="zh-CN"/>
        </w:rPr>
        <w:t>附件：资格审查条件及评标办法</w:t>
      </w:r>
    </w:p>
    <w:p>
      <w:pPr>
        <w:pStyle w:val="5"/>
        <w:jc w:val="left"/>
        <w:rPr>
          <w:rFonts w:hint="eastAsia" w:ascii="宋体" w:hAnsi="宋体" w:eastAsia="宋体" w:cs="宋体"/>
          <w:color w:val="auto"/>
          <w:highlight w:val="none"/>
        </w:rPr>
        <w:sectPr>
          <w:footerReference r:id="rId5" w:type="default"/>
          <w:headerReference r:id="rId4" w:type="even"/>
          <w:footerReference r:id="rId6"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pPr>
        <w:pStyle w:val="4"/>
        <w:spacing w:before="240" w:after="240" w:line="240" w:lineRule="atLeast"/>
        <w:jc w:val="center"/>
        <w:rPr>
          <w:rFonts w:hint="default" w:ascii="Times New Roman" w:hAnsi="Times New Roman" w:cs="Times New Roman"/>
          <w:color w:val="auto"/>
          <w:highlight w:val="none"/>
        </w:rPr>
      </w:pPr>
      <w:bookmarkStart w:id="44" w:name="_Toc234832863"/>
      <w:bookmarkStart w:id="45" w:name="_Toc509959059"/>
      <w:bookmarkStart w:id="46" w:name="_Toc509962300"/>
      <w:bookmarkStart w:id="47" w:name="_Toc510089792"/>
      <w:bookmarkStart w:id="48" w:name="_Toc510172705"/>
      <w:bookmarkStart w:id="49" w:name="_Toc501257053"/>
      <w:r>
        <w:rPr>
          <w:rFonts w:hint="default" w:ascii="Times New Roman" w:hAnsi="Times New Roman" w:eastAsia="黑体" w:cs="Times New Roman"/>
          <w:color w:val="auto"/>
          <w:sz w:val="28"/>
          <w:szCs w:val="28"/>
          <w:highlight w:val="none"/>
        </w:rPr>
        <w:t>附录1  资格审查条件（资质最低要求）</w:t>
      </w:r>
      <w:bookmarkEnd w:id="44"/>
      <w:bookmarkEnd w:id="45"/>
      <w:bookmarkEnd w:id="46"/>
      <w:bookmarkEnd w:id="47"/>
      <w:bookmarkEnd w:id="48"/>
      <w:bookmarkEnd w:id="49"/>
    </w:p>
    <w:tbl>
      <w:tblPr>
        <w:tblStyle w:val="11"/>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3"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numPr>
                <w:ilvl w:val="0"/>
                <w:numId w:val="3"/>
              </w:numPr>
              <w:adjustRightInd w:val="0"/>
              <w:snapToGrid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中华人民共和国国内注册成立的独立企业法人。</w:t>
            </w:r>
          </w:p>
          <w:p>
            <w:pPr>
              <w:numPr>
                <w:ilvl w:val="0"/>
                <w:numId w:val="0"/>
              </w:numPr>
              <w:adjustRightInd w:val="0"/>
              <w:snapToGrid w:val="0"/>
              <w:spacing w:line="400" w:lineRule="atLeast"/>
              <w:ind w:left="420" w:leftChars="0"/>
              <w:rPr>
                <w:rFonts w:hint="default" w:ascii="Times New Roman" w:hAnsi="Times New Roman" w:cs="Times New Roman"/>
                <w:color w:val="auto"/>
                <w:sz w:val="24"/>
                <w:highlight w:val="none"/>
              </w:rPr>
            </w:pPr>
          </w:p>
          <w:p>
            <w:pPr>
              <w:numPr>
                <w:ilvl w:val="0"/>
                <w:numId w:val="3"/>
              </w:numPr>
              <w:adjustRightInd w:val="0"/>
              <w:snapToGrid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具备建设行政主管部门核发的公路工程施工总承包</w:t>
            </w:r>
            <w:r>
              <w:rPr>
                <w:rFonts w:hint="eastAsia" w:ascii="Times New Roman" w:hAnsi="Times New Roman" w:cs="Times New Roman"/>
                <w:color w:val="auto"/>
                <w:sz w:val="24"/>
                <w:highlight w:val="none"/>
                <w:lang w:val="en-US" w:eastAsia="zh-CN"/>
              </w:rPr>
              <w:t>三</w:t>
            </w:r>
            <w:r>
              <w:rPr>
                <w:rFonts w:hint="default" w:ascii="Times New Roman" w:hAnsi="Times New Roman" w:cs="Times New Roman"/>
                <w:color w:val="auto"/>
                <w:sz w:val="24"/>
                <w:highlight w:val="none"/>
              </w:rPr>
              <w:t>级（或以上）资质</w:t>
            </w:r>
            <w:r>
              <w:rPr>
                <w:rFonts w:hint="default" w:ascii="Times New Roman" w:hAnsi="Times New Roman" w:cs="Times New Roman"/>
                <w:color w:val="auto"/>
                <w:sz w:val="24"/>
                <w:highlight w:val="none"/>
                <w:lang w:val="en-US" w:eastAsia="zh-CN"/>
              </w:rPr>
              <w:t>或具备交通运输主管部门核发的公路养护作业路基路面</w:t>
            </w:r>
            <w:r>
              <w:rPr>
                <w:rFonts w:hint="eastAsia" w:ascii="Times New Roman" w:hAnsi="Times New Roman" w:cs="Times New Roman"/>
                <w:color w:val="auto"/>
                <w:sz w:val="24"/>
                <w:highlight w:val="none"/>
                <w:lang w:val="en-US" w:eastAsia="zh-CN"/>
              </w:rPr>
              <w:t>乙级（或以上）</w:t>
            </w:r>
            <w:r>
              <w:rPr>
                <w:rFonts w:hint="default" w:ascii="Times New Roman" w:hAnsi="Times New Roman" w:cs="Times New Roman"/>
                <w:color w:val="auto"/>
                <w:sz w:val="24"/>
                <w:highlight w:val="none"/>
                <w:lang w:val="en-US" w:eastAsia="zh-CN"/>
              </w:rPr>
              <w:t>资质</w:t>
            </w:r>
            <w:r>
              <w:rPr>
                <w:rFonts w:hint="default" w:ascii="Times New Roman" w:hAnsi="Times New Roman" w:cs="Times New Roman"/>
                <w:color w:val="auto"/>
                <w:sz w:val="24"/>
                <w:highlight w:val="none"/>
              </w:rPr>
              <w:t>。</w:t>
            </w:r>
          </w:p>
          <w:p>
            <w:pPr>
              <w:numPr>
                <w:ilvl w:val="0"/>
                <w:numId w:val="0"/>
              </w:numPr>
              <w:adjustRightInd w:val="0"/>
              <w:snapToGrid w:val="0"/>
              <w:spacing w:line="400" w:lineRule="atLeast"/>
              <w:ind w:left="420" w:leftChars="0"/>
              <w:rPr>
                <w:rFonts w:hint="default" w:ascii="Times New Roman" w:hAnsi="Times New Roman" w:cs="Times New Roman"/>
                <w:color w:val="auto"/>
                <w:sz w:val="24"/>
                <w:highlight w:val="none"/>
              </w:rPr>
            </w:pPr>
          </w:p>
          <w:p>
            <w:pPr>
              <w:numPr>
                <w:ilvl w:val="0"/>
                <w:numId w:val="3"/>
              </w:numPr>
              <w:adjustRightInd w:val="0"/>
              <w:snapToGrid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具有有效的安全生产许可证。</w:t>
            </w: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tc>
      </w:tr>
    </w:tbl>
    <w:p>
      <w:pPr>
        <w:adjustRightInd w:val="0"/>
        <w:snapToGrid w:val="0"/>
        <w:spacing w:line="300" w:lineRule="exact"/>
        <w:rPr>
          <w:rFonts w:hint="default" w:ascii="Times New Roman" w:hAnsi="Times New Roman" w:eastAsia="隶书" w:cs="Times New Roman"/>
          <w:b/>
          <w:color w:val="auto"/>
          <w:sz w:val="32"/>
          <w:highlight w:val="none"/>
        </w:rPr>
      </w:pPr>
    </w:p>
    <w:p>
      <w:pPr>
        <w:adjustRightInd w:val="0"/>
        <w:snapToGrid w:val="0"/>
        <w:spacing w:line="300" w:lineRule="exact"/>
        <w:rPr>
          <w:rFonts w:hint="default" w:ascii="Times New Roman" w:hAnsi="Times New Roman" w:eastAsia="隶书" w:cs="Times New Roman"/>
          <w:b/>
          <w:color w:val="auto"/>
          <w:sz w:val="32"/>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bookmarkStart w:id="50" w:name="_Toc509959060"/>
      <w:bookmarkStart w:id="51" w:name="_Toc234832864"/>
      <w:bookmarkStart w:id="52" w:name="_Toc501257054"/>
      <w:bookmarkStart w:id="53" w:name="_Toc510172706"/>
      <w:bookmarkStart w:id="54" w:name="_Toc509962301"/>
      <w:bookmarkStart w:id="55" w:name="_Toc510089793"/>
      <w:r>
        <w:rPr>
          <w:rFonts w:hint="default" w:ascii="Times New Roman" w:hAnsi="Times New Roman" w:eastAsia="黑体" w:cs="Times New Roman"/>
          <w:color w:val="auto"/>
          <w:sz w:val="28"/>
          <w:szCs w:val="28"/>
          <w:highlight w:val="none"/>
        </w:rPr>
        <w:t>附录2  资格审查条件（财务最低要求）</w:t>
      </w:r>
      <w:bookmarkEnd w:id="50"/>
      <w:bookmarkEnd w:id="51"/>
      <w:bookmarkEnd w:id="52"/>
      <w:bookmarkEnd w:id="53"/>
      <w:bookmarkEnd w:id="54"/>
      <w:bookmarkEnd w:id="55"/>
    </w:p>
    <w:tbl>
      <w:tblPr>
        <w:tblStyle w:val="11"/>
        <w:tblW w:w="8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806"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0" w:hRule="atLeast"/>
          <w:jc w:val="center"/>
        </w:trPr>
        <w:tc>
          <w:tcPr>
            <w:tcW w:w="8806"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1、企业净资产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（总资产－总负债）不少于</w:t>
            </w:r>
            <w:r>
              <w:rPr>
                <w:rFonts w:hint="eastAsia" w:ascii="Times New Roman" w:hAnsi="Times New Roman" w:cs="Times New Roman"/>
                <w:color w:val="auto"/>
                <w:sz w:val="24"/>
                <w:szCs w:val="24"/>
                <w:highlight w:val="none"/>
                <w:lang w:val="en-US" w:eastAsia="zh-CN"/>
              </w:rPr>
              <w:t>100</w:t>
            </w:r>
            <w:r>
              <w:rPr>
                <w:rFonts w:hint="default" w:ascii="Times New Roman" w:hAnsi="Times New Roman" w:cs="Times New Roman"/>
                <w:color w:val="auto"/>
                <w:sz w:val="24"/>
                <w:szCs w:val="24"/>
                <w:highlight w:val="none"/>
              </w:rPr>
              <w:t>0万元人民币；</w:t>
            </w: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2、营运资金</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（流动资产－流动负债）不少于</w:t>
            </w:r>
            <w:r>
              <w:rPr>
                <w:rFonts w:hint="eastAsia" w:ascii="Times New Roman" w:hAnsi="Times New Roman" w:cs="Times New Roman"/>
                <w:color w:val="auto"/>
                <w:sz w:val="24"/>
                <w:szCs w:val="24"/>
                <w:highlight w:val="none"/>
                <w:lang w:val="en-US" w:eastAsia="zh-CN"/>
              </w:rPr>
              <w:t>35</w:t>
            </w:r>
            <w:r>
              <w:rPr>
                <w:rFonts w:hint="default" w:ascii="Times New Roman" w:hAnsi="Times New Roman" w:cs="Times New Roman"/>
                <w:color w:val="auto"/>
                <w:sz w:val="24"/>
                <w:szCs w:val="24"/>
                <w:highlight w:val="none"/>
              </w:rPr>
              <w:t>00万元人民币；</w:t>
            </w: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3、最近三年度</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年至202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的平均营业总收入不少于</w:t>
            </w: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val="en-US" w:eastAsia="zh-CN"/>
              </w:rPr>
              <w:t>000</w:t>
            </w:r>
            <w:r>
              <w:rPr>
                <w:rFonts w:hint="default" w:ascii="Times New Roman" w:hAnsi="Times New Roman" w:cs="Times New Roman"/>
                <w:color w:val="auto"/>
                <w:sz w:val="24"/>
                <w:szCs w:val="24"/>
                <w:highlight w:val="none"/>
              </w:rPr>
              <w:t>万元人民币；</w:t>
            </w:r>
          </w:p>
          <w:p>
            <w:pPr>
              <w:adjustRightInd w:val="0"/>
              <w:snapToGrid w:val="0"/>
              <w:spacing w:line="40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4、最近三年度</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202</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年至202</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年</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至少有</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年盈利</w:t>
            </w:r>
            <w:r>
              <w:rPr>
                <w:rFonts w:hint="default" w:ascii="Times New Roman" w:hAnsi="Times New Roman" w:cs="Times New Roman"/>
                <w:color w:val="auto"/>
                <w:sz w:val="24"/>
                <w:szCs w:val="24"/>
                <w:highlight w:val="none"/>
              </w:rPr>
              <w:t>。</w:t>
            </w: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pStyle w:val="4"/>
              <w:adjustRightInd w:val="0"/>
              <w:snapToGrid w:val="0"/>
              <w:spacing w:before="240" w:after="240" w:line="400" w:lineRule="exact"/>
              <w:rPr>
                <w:rFonts w:hint="default" w:ascii="Times New Roman" w:hAnsi="Times New Roman" w:cs="Times New Roman"/>
                <w:b w:val="0"/>
                <w:color w:val="auto"/>
                <w:sz w:val="21"/>
                <w:szCs w:val="21"/>
                <w:highlight w:val="none"/>
              </w:rPr>
            </w:pPr>
          </w:p>
        </w:tc>
      </w:tr>
    </w:tbl>
    <w:p>
      <w:pPr>
        <w:pStyle w:val="4"/>
        <w:pageBreakBefore w:val="0"/>
        <w:widowControl w:val="0"/>
        <w:kinsoku/>
        <w:wordWrap/>
        <w:overflowPunct/>
        <w:topLinePunct w:val="0"/>
        <w:autoSpaceDE/>
        <w:autoSpaceDN/>
        <w:bidi w:val="0"/>
        <w:adjustRightInd w:val="0"/>
        <w:snapToGrid w:val="0"/>
        <w:spacing w:before="240" w:after="240" w:line="240" w:lineRule="atLeast"/>
        <w:jc w:val="left"/>
        <w:textAlignment w:val="auto"/>
        <w:rPr>
          <w:rFonts w:hint="default" w:ascii="Times New Roman" w:hAnsi="Times New Roman" w:cs="Times New Roman"/>
          <w:b w:val="0"/>
          <w:bCs/>
          <w:color w:val="auto"/>
          <w:kern w:val="2"/>
          <w:sz w:val="21"/>
          <w:szCs w:val="21"/>
          <w:highlight w:val="none"/>
          <w:lang w:val="en-US" w:eastAsia="zh-CN" w:bidi="ar-SA"/>
        </w:rPr>
      </w:pPr>
      <w:bookmarkStart w:id="56" w:name="_Toc510172707"/>
      <w:bookmarkStart w:id="57" w:name="_Toc509959061"/>
      <w:bookmarkStart w:id="58" w:name="_Toc234832865"/>
      <w:bookmarkStart w:id="59" w:name="_Toc510089794"/>
      <w:bookmarkStart w:id="60" w:name="_Toc501257055"/>
      <w:bookmarkStart w:id="61" w:name="_Toc509962302"/>
      <w:r>
        <w:rPr>
          <w:rFonts w:hint="default" w:ascii="Times New Roman" w:hAnsi="Times New Roman" w:cs="Times New Roman"/>
          <w:b w:val="0"/>
          <w:bCs/>
          <w:color w:val="auto"/>
          <w:kern w:val="2"/>
          <w:sz w:val="21"/>
          <w:szCs w:val="21"/>
          <w:highlight w:val="none"/>
          <w:lang w:val="en-US" w:eastAsia="zh-CN" w:bidi="ar-SA"/>
        </w:rPr>
        <w:t>注：1、如投标人成立不足三年的，则财务信息以成立后的计算，比如投标人只有202</w:t>
      </w:r>
      <w:r>
        <w:rPr>
          <w:rFonts w:hint="eastAsia" w:ascii="Times New Roman" w:hAnsi="Times New Roman" w:cs="Times New Roman"/>
          <w:b w:val="0"/>
          <w:bCs/>
          <w:color w:val="auto"/>
          <w:kern w:val="2"/>
          <w:sz w:val="21"/>
          <w:szCs w:val="21"/>
          <w:highlight w:val="none"/>
          <w:lang w:val="en-US" w:eastAsia="zh-CN" w:bidi="ar-SA"/>
        </w:rPr>
        <w:t>3</w:t>
      </w:r>
      <w:r>
        <w:rPr>
          <w:rFonts w:hint="default" w:ascii="Times New Roman" w:hAnsi="Times New Roman" w:cs="Times New Roman"/>
          <w:b w:val="0"/>
          <w:bCs/>
          <w:color w:val="auto"/>
          <w:kern w:val="2"/>
          <w:sz w:val="21"/>
          <w:szCs w:val="21"/>
          <w:highlight w:val="none"/>
          <w:lang w:val="en-US" w:eastAsia="zh-CN" w:bidi="ar-SA"/>
        </w:rPr>
        <w:t>年和202</w:t>
      </w:r>
      <w:r>
        <w:rPr>
          <w:rFonts w:hint="eastAsia" w:ascii="Times New Roman" w:hAnsi="Times New Roman" w:cs="Times New Roman"/>
          <w:b w:val="0"/>
          <w:bCs/>
          <w:color w:val="auto"/>
          <w:kern w:val="2"/>
          <w:sz w:val="21"/>
          <w:szCs w:val="21"/>
          <w:highlight w:val="none"/>
          <w:lang w:val="en-US" w:eastAsia="zh-CN" w:bidi="ar-SA"/>
        </w:rPr>
        <w:t>4</w:t>
      </w:r>
      <w:r>
        <w:rPr>
          <w:rFonts w:hint="default" w:ascii="Times New Roman" w:hAnsi="Times New Roman" w:cs="Times New Roman"/>
          <w:b w:val="0"/>
          <w:bCs/>
          <w:color w:val="auto"/>
          <w:kern w:val="2"/>
          <w:sz w:val="21"/>
          <w:szCs w:val="21"/>
          <w:highlight w:val="none"/>
          <w:lang w:val="en-US" w:eastAsia="zh-CN" w:bidi="ar-SA"/>
        </w:rPr>
        <w:t xml:space="preserve"> 年财务信息，则平均营业总收入按202</w:t>
      </w:r>
      <w:r>
        <w:rPr>
          <w:rFonts w:hint="eastAsia" w:ascii="Times New Roman" w:hAnsi="Times New Roman" w:cs="Times New Roman"/>
          <w:b w:val="0"/>
          <w:bCs/>
          <w:color w:val="auto"/>
          <w:kern w:val="2"/>
          <w:sz w:val="21"/>
          <w:szCs w:val="21"/>
          <w:highlight w:val="none"/>
          <w:lang w:val="en-US" w:eastAsia="zh-CN" w:bidi="ar-SA"/>
        </w:rPr>
        <w:t>3</w:t>
      </w:r>
      <w:r>
        <w:rPr>
          <w:rFonts w:hint="default" w:ascii="Times New Roman" w:hAnsi="Times New Roman" w:cs="Times New Roman"/>
          <w:b w:val="0"/>
          <w:bCs/>
          <w:color w:val="auto"/>
          <w:kern w:val="2"/>
          <w:sz w:val="21"/>
          <w:szCs w:val="21"/>
          <w:highlight w:val="none"/>
          <w:lang w:val="en-US" w:eastAsia="zh-CN" w:bidi="ar-SA"/>
        </w:rPr>
        <w:t>年和202</w:t>
      </w:r>
      <w:r>
        <w:rPr>
          <w:rFonts w:hint="eastAsia" w:ascii="Times New Roman" w:hAnsi="Times New Roman" w:cs="Times New Roman"/>
          <w:b w:val="0"/>
          <w:bCs/>
          <w:color w:val="auto"/>
          <w:kern w:val="2"/>
          <w:sz w:val="21"/>
          <w:szCs w:val="21"/>
          <w:highlight w:val="none"/>
          <w:lang w:val="en-US" w:eastAsia="zh-CN" w:bidi="ar-SA"/>
        </w:rPr>
        <w:t>4</w:t>
      </w:r>
      <w:r>
        <w:rPr>
          <w:rFonts w:hint="default" w:ascii="Times New Roman" w:hAnsi="Times New Roman" w:cs="Times New Roman"/>
          <w:b w:val="0"/>
          <w:bCs/>
          <w:color w:val="auto"/>
          <w:kern w:val="2"/>
          <w:sz w:val="21"/>
          <w:szCs w:val="21"/>
          <w:highlight w:val="none"/>
          <w:lang w:val="en-US" w:eastAsia="zh-CN" w:bidi="ar-SA"/>
        </w:rPr>
        <w:t>年的营业总收入的平均值，盈利以202</w:t>
      </w:r>
      <w:r>
        <w:rPr>
          <w:rFonts w:hint="eastAsia" w:ascii="Times New Roman" w:hAnsi="Times New Roman" w:cs="Times New Roman"/>
          <w:b w:val="0"/>
          <w:bCs/>
          <w:color w:val="auto"/>
          <w:kern w:val="2"/>
          <w:sz w:val="21"/>
          <w:szCs w:val="21"/>
          <w:highlight w:val="none"/>
          <w:lang w:val="en-US" w:eastAsia="zh-CN" w:bidi="ar-SA"/>
        </w:rPr>
        <w:t>3</w:t>
      </w:r>
      <w:r>
        <w:rPr>
          <w:rFonts w:hint="default" w:ascii="Times New Roman" w:hAnsi="Times New Roman" w:cs="Times New Roman"/>
          <w:b w:val="0"/>
          <w:bCs/>
          <w:color w:val="auto"/>
          <w:kern w:val="2"/>
          <w:sz w:val="21"/>
          <w:szCs w:val="21"/>
          <w:highlight w:val="none"/>
          <w:lang w:val="en-US" w:eastAsia="zh-CN" w:bidi="ar-SA"/>
        </w:rPr>
        <w:t>年和202</w:t>
      </w:r>
      <w:r>
        <w:rPr>
          <w:rFonts w:hint="eastAsia" w:ascii="Times New Roman" w:hAnsi="Times New Roman" w:cs="Times New Roman"/>
          <w:b w:val="0"/>
          <w:bCs/>
          <w:color w:val="auto"/>
          <w:kern w:val="2"/>
          <w:sz w:val="21"/>
          <w:szCs w:val="21"/>
          <w:highlight w:val="none"/>
          <w:lang w:val="en-US" w:eastAsia="zh-CN" w:bidi="ar-SA"/>
        </w:rPr>
        <w:t>4</w:t>
      </w:r>
      <w:r>
        <w:rPr>
          <w:rFonts w:hint="default" w:ascii="Times New Roman" w:hAnsi="Times New Roman" w:cs="Times New Roman"/>
          <w:b w:val="0"/>
          <w:bCs/>
          <w:color w:val="auto"/>
          <w:kern w:val="2"/>
          <w:sz w:val="21"/>
          <w:szCs w:val="21"/>
          <w:highlight w:val="none"/>
          <w:lang w:val="en-US" w:eastAsia="zh-CN" w:bidi="ar-SA"/>
        </w:rPr>
        <w:t>年是否盈利计算。</w:t>
      </w:r>
    </w:p>
    <w:p>
      <w:pPr>
        <w:pStyle w:val="4"/>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附录3  资格审查条件（业绩最低要求）</w:t>
      </w:r>
      <w:bookmarkEnd w:id="56"/>
      <w:bookmarkEnd w:id="57"/>
      <w:bookmarkEnd w:id="58"/>
      <w:bookmarkEnd w:id="59"/>
      <w:bookmarkEnd w:id="60"/>
      <w:bookmarkEnd w:id="61"/>
    </w:p>
    <w:tbl>
      <w:tblPr>
        <w:tblStyle w:val="11"/>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9" w:hRule="atLeast"/>
          <w:jc w:val="center"/>
        </w:trPr>
        <w:tc>
          <w:tcPr>
            <w:tcW w:w="8708" w:type="dxa"/>
            <w:noWrap w:val="0"/>
            <w:vAlign w:val="center"/>
          </w:tcPr>
          <w:p>
            <w:pPr>
              <w:adjustRightInd w:val="0"/>
              <w:snapToGrid w:val="0"/>
              <w:spacing w:line="400" w:lineRule="atLeast"/>
              <w:ind w:firstLine="360" w:firstLineChars="15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近五年内（20</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eastAsia="zh-CN"/>
              </w:rPr>
              <w:t>年</w:t>
            </w:r>
            <w:r>
              <w:rPr>
                <w:rFonts w:hint="eastAsia"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lang w:eastAsia="zh-CN"/>
              </w:rPr>
              <w:t xml:space="preserve">月1日至递交投标文件截止日止），成功地完成： </w:t>
            </w:r>
          </w:p>
          <w:p>
            <w:pPr>
              <w:adjustRightInd w:val="0"/>
              <w:snapToGrid w:val="0"/>
              <w:spacing w:line="400" w:lineRule="atLeast"/>
              <w:ind w:firstLine="720" w:firstLineChars="3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累计里程不少于</w:t>
            </w:r>
            <w:r>
              <w:rPr>
                <w:rFonts w:hint="eastAsia" w:eastAsia="宋体" w:cs="Times New Roman"/>
                <w:color w:val="auto"/>
                <w:sz w:val="24"/>
                <w:highlight w:val="none"/>
                <w:lang w:val="en-US" w:eastAsia="zh-CN"/>
              </w:rPr>
              <w:t>25</w:t>
            </w:r>
            <w:r>
              <w:rPr>
                <w:rFonts w:hint="default" w:ascii="Times New Roman" w:hAnsi="Times New Roman" w:eastAsia="宋体" w:cs="Times New Roman"/>
                <w:color w:val="auto"/>
                <w:sz w:val="24"/>
                <w:highlight w:val="none"/>
                <w:lang w:eastAsia="zh-CN"/>
              </w:rPr>
              <w:t>km的</w:t>
            </w:r>
            <w:r>
              <w:rPr>
                <w:rFonts w:hint="eastAsia" w:ascii="Times New Roman" w:hAnsi="Times New Roman" w:eastAsia="宋体" w:cs="Times New Roman"/>
                <w:color w:val="auto"/>
                <w:sz w:val="24"/>
                <w:highlight w:val="none"/>
                <w:lang w:val="en-US" w:eastAsia="zh-CN"/>
              </w:rPr>
              <w:t>类似工程的施工任务</w:t>
            </w:r>
            <w:r>
              <w:rPr>
                <w:rFonts w:hint="default" w:ascii="Times New Roman" w:hAnsi="Times New Roman" w:eastAsia="宋体" w:cs="Times New Roman"/>
                <w:color w:val="auto"/>
                <w:sz w:val="24"/>
                <w:highlight w:val="none"/>
                <w:lang w:val="en-US" w:eastAsia="zh-CN"/>
              </w:rPr>
              <w:t>，其中有1个标段里程不少于</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km</w:t>
            </w:r>
            <w:r>
              <w:rPr>
                <w:rFonts w:hint="default" w:ascii="Times New Roman" w:hAnsi="Times New Roman" w:eastAsia="宋体" w:cs="Times New Roman"/>
                <w:color w:val="auto"/>
                <w:sz w:val="24"/>
                <w:highlight w:val="none"/>
                <w:lang w:eastAsia="zh-CN"/>
              </w:rPr>
              <w:t>。</w:t>
            </w:r>
          </w:p>
          <w:p>
            <w:pPr>
              <w:adjustRightInd w:val="0"/>
              <w:snapToGrid w:val="0"/>
              <w:spacing w:line="400" w:lineRule="atLeast"/>
              <w:ind w:firstLine="360" w:firstLineChars="15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 xml:space="preserve"> </w:t>
            </w:r>
          </w:p>
        </w:tc>
      </w:tr>
    </w:tbl>
    <w:p>
      <w:pPr>
        <w:adjustRightInd w:val="0"/>
        <w:snapToGrid w:val="0"/>
        <w:spacing w:line="3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注：1、本附录所要求的业绩仅限中华人民共和国境内业绩。</w:t>
      </w:r>
    </w:p>
    <w:p>
      <w:pPr>
        <w:adjustRightInd w:val="0"/>
        <w:snapToGrid w:val="0"/>
        <w:spacing w:line="3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val="en-US" w:eastAsia="zh-CN"/>
        </w:rPr>
        <w:t>2</w:t>
      </w:r>
      <w:r>
        <w:rPr>
          <w:rFonts w:hint="default" w:ascii="Times New Roman" w:hAnsi="Times New Roman" w:cs="Times New Roman"/>
          <w:bCs/>
          <w:color w:val="auto"/>
          <w:szCs w:val="21"/>
          <w:highlight w:val="none"/>
        </w:rPr>
        <w:t>、近年完成的类似项目情况的时间要求：20</w:t>
      </w:r>
      <w:r>
        <w:rPr>
          <w:rFonts w:hint="eastAsia" w:ascii="Times New Roman" w:hAnsi="Times New Roman" w:cs="Times New Roman"/>
          <w:bCs/>
          <w:color w:val="auto"/>
          <w:szCs w:val="21"/>
          <w:highlight w:val="none"/>
          <w:lang w:val="en-US" w:eastAsia="zh-CN"/>
        </w:rPr>
        <w:t>20</w:t>
      </w:r>
      <w:r>
        <w:rPr>
          <w:rFonts w:hint="default" w:ascii="Times New Roman" w:hAnsi="Times New Roman" w:cs="Times New Roman"/>
          <w:bCs/>
          <w:color w:val="auto"/>
          <w:szCs w:val="21"/>
          <w:highlight w:val="none"/>
        </w:rPr>
        <w:t>年</w:t>
      </w:r>
      <w:r>
        <w:rPr>
          <w:rFonts w:hint="eastAsia" w:ascii="Times New Roman" w:hAnsi="Times New Roman" w:cs="Times New Roman"/>
          <w:bCs/>
          <w:color w:val="auto"/>
          <w:szCs w:val="21"/>
          <w:highlight w:val="none"/>
          <w:lang w:val="en-US" w:eastAsia="zh-CN"/>
        </w:rPr>
        <w:t>9</w:t>
      </w:r>
      <w:r>
        <w:rPr>
          <w:rFonts w:hint="default" w:ascii="Times New Roman" w:hAnsi="Times New Roman" w:cs="Times New Roman"/>
          <w:bCs/>
          <w:color w:val="auto"/>
          <w:szCs w:val="21"/>
          <w:highlight w:val="none"/>
        </w:rPr>
        <w:t>月1日至投标文件递交截止之日止（近5年），以“</w:t>
      </w:r>
      <w:r>
        <w:rPr>
          <w:rFonts w:hint="default" w:ascii="Times New Roman" w:hAnsi="Times New Roman" w:eastAsia="宋体" w:cs="Times New Roman"/>
          <w:bCs/>
          <w:color w:val="auto"/>
          <w:szCs w:val="21"/>
          <w:highlight w:val="none"/>
          <w:lang w:eastAsia="zh-CN"/>
        </w:rPr>
        <w:t>全国公路建设市场监督管理系统</w:t>
      </w:r>
      <w:r>
        <w:rPr>
          <w:rFonts w:hint="default" w:ascii="Times New Roman" w:hAnsi="Times New Roman" w:cs="Times New Roman"/>
          <w:bCs/>
          <w:color w:val="auto"/>
          <w:szCs w:val="21"/>
          <w:highlight w:val="none"/>
        </w:rPr>
        <w:t>”上的交工验收或未交工验收一次性竣工验收的时间为准。“近年完成的类似项目”应是已列入交通运输部“</w:t>
      </w:r>
      <w:r>
        <w:rPr>
          <w:rFonts w:hint="default" w:ascii="Times New Roman" w:hAnsi="Times New Roman" w:eastAsia="宋体" w:cs="Times New Roman"/>
          <w:bCs/>
          <w:color w:val="auto"/>
          <w:szCs w:val="21"/>
          <w:highlight w:val="none"/>
          <w:lang w:eastAsia="zh-CN"/>
        </w:rPr>
        <w:t>全国公路建设市场监督管理系统</w:t>
      </w:r>
      <w:r>
        <w:rPr>
          <w:rFonts w:hint="default" w:ascii="Times New Roman" w:hAnsi="Times New Roman" w:cs="Times New Roman"/>
          <w:bCs/>
          <w:color w:val="auto"/>
          <w:szCs w:val="21"/>
          <w:highlight w:val="none"/>
        </w:rPr>
        <w:t>”并公开的</w:t>
      </w:r>
      <w:r>
        <w:rPr>
          <w:rFonts w:hint="default" w:ascii="Times New Roman" w:hAnsi="Times New Roman" w:cs="Times New Roman"/>
          <w:bCs/>
          <w:color w:val="auto"/>
          <w:szCs w:val="21"/>
          <w:highlight w:val="none"/>
          <w:lang w:val="en-US" w:eastAsia="zh-CN"/>
        </w:rPr>
        <w:t>总</w:t>
      </w:r>
      <w:r>
        <w:rPr>
          <w:rFonts w:hint="default" w:ascii="Times New Roman" w:hAnsi="Times New Roman" w:cs="Times New Roman"/>
          <w:bCs/>
          <w:color w:val="auto"/>
          <w:szCs w:val="21"/>
          <w:highlight w:val="none"/>
        </w:rPr>
        <w:t>包已建业绩或分包（不包括劳务分包）已建业绩，具体时间要求见投标人须知前附表。“近年完成的类似项目情况表”应附在交通运输部“</w:t>
      </w:r>
      <w:r>
        <w:rPr>
          <w:rFonts w:hint="default" w:ascii="Times New Roman" w:hAnsi="Times New Roman" w:eastAsia="宋体" w:cs="Times New Roman"/>
          <w:bCs/>
          <w:color w:val="auto"/>
          <w:szCs w:val="21"/>
          <w:highlight w:val="none"/>
          <w:lang w:eastAsia="zh-CN"/>
        </w:rPr>
        <w:t>全国公路建设市场监督管理系统</w:t>
      </w:r>
      <w:r>
        <w:rPr>
          <w:rFonts w:hint="default" w:ascii="Times New Roman" w:hAnsi="Times New Roman" w:cs="Times New Roman"/>
          <w:bCs/>
          <w:color w:val="auto"/>
          <w:szCs w:val="21"/>
          <w:highlight w:val="none"/>
        </w:rPr>
        <w:t>”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adjustRightInd w:val="0"/>
        <w:snapToGrid w:val="0"/>
        <w:spacing w:line="3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val="en-US" w:eastAsia="zh-CN"/>
        </w:rPr>
        <w:t>3</w:t>
      </w:r>
      <w:r>
        <w:rPr>
          <w:rFonts w:hint="default" w:ascii="Times New Roman" w:hAnsi="Times New Roman" w:cs="Times New Roman"/>
          <w:bCs/>
          <w:color w:val="auto"/>
          <w:szCs w:val="21"/>
          <w:highlight w:val="none"/>
        </w:rPr>
        <w:t>、如投标人未提供相关项目网页截图复印件或相关项目网页截图中的信息无法证实投标人满足招标文件规定的资格审查条件（业绩最低要求）或评标办法评分标准（如有），则该项目业绩不予认定。</w:t>
      </w:r>
    </w:p>
    <w:p>
      <w:pPr>
        <w:adjustRightInd w:val="0"/>
        <w:snapToGrid w:val="0"/>
        <w:spacing w:line="300" w:lineRule="exac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val="en-US" w:eastAsia="zh-CN"/>
        </w:rPr>
        <w:t>4</w:t>
      </w:r>
      <w:r>
        <w:rPr>
          <w:rFonts w:hint="default" w:ascii="Times New Roman" w:hAnsi="Times New Roman" w:cs="Times New Roman"/>
          <w:bCs/>
          <w:color w:val="auto"/>
          <w:szCs w:val="21"/>
          <w:highlight w:val="none"/>
        </w:rPr>
        <w:t>、如近年来，投标人法人机构发生合法变更或重组或法人名称变更时，应提供相关部门的合法批件或其他相关证明材料来证明其所附业绩的继承性。</w:t>
      </w: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cs="Times New Roman"/>
          <w:bCs/>
          <w:color w:val="auto"/>
          <w:szCs w:val="21"/>
          <w:highlight w:val="none"/>
          <w:lang w:val="en-US" w:eastAsia="zh-CN"/>
        </w:rPr>
        <w:t>5、投标人应根据招标文件第二章“投标人须知”第 3.5.3 项的要求附相关证明材料。</w:t>
      </w:r>
    </w:p>
    <w:p>
      <w:pP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6、</w:t>
      </w:r>
      <w:r>
        <w:rPr>
          <w:rFonts w:hint="default"/>
          <w:highlight w:val="none"/>
          <w:lang w:val="en-US" w:eastAsia="zh-CN"/>
        </w:rPr>
        <w:t>类似工程”指</w:t>
      </w:r>
      <w:r>
        <w:rPr>
          <w:rFonts w:hint="eastAsia"/>
          <w:highlight w:val="none"/>
          <w:lang w:val="en-US" w:eastAsia="zh-CN"/>
        </w:rPr>
        <w:t>新建或改建或扩建或路面改造或养护工程（路基路面大中修、维修工程）二</w:t>
      </w:r>
      <w:r>
        <w:rPr>
          <w:rFonts w:hint="default"/>
          <w:highlight w:val="none"/>
          <w:lang w:val="en-US" w:eastAsia="zh-CN"/>
        </w:rPr>
        <w:t>级或以上等级公路工程施工项目</w:t>
      </w:r>
      <w:r>
        <w:rPr>
          <w:rFonts w:hint="eastAsia"/>
          <w:highlight w:val="none"/>
          <w:lang w:val="en-US" w:eastAsia="zh-CN"/>
        </w:rPr>
        <w:t>。</w:t>
      </w:r>
    </w:p>
    <w:p>
      <w:pPr>
        <w:pStyle w:val="4"/>
        <w:spacing w:before="240" w:after="240" w:line="240" w:lineRule="atLeast"/>
        <w:jc w:val="center"/>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 xml:space="preserve">   </w:t>
      </w:r>
      <w:bookmarkStart w:id="62" w:name="_Toc509962303"/>
      <w:bookmarkStart w:id="63" w:name="_Toc510172708"/>
      <w:bookmarkStart w:id="64" w:name="_Toc509959062"/>
      <w:bookmarkStart w:id="65" w:name="_Toc510089795"/>
      <w:bookmarkStart w:id="66" w:name="_Toc234832866"/>
      <w:bookmarkStart w:id="67" w:name="_Toc501257056"/>
    </w:p>
    <w:p>
      <w:pPr>
        <w:pStyle w:val="4"/>
        <w:spacing w:before="240" w:after="240" w:line="240" w:lineRule="atLeast"/>
        <w:jc w:val="center"/>
        <w:rPr>
          <w:rFonts w:hint="default" w:ascii="Times New Roman" w:hAnsi="Times New Roman" w:eastAsia="黑体" w:cs="Times New Roman"/>
          <w:b/>
          <w:bCs/>
          <w:color w:val="auto"/>
          <w:sz w:val="28"/>
          <w:szCs w:val="28"/>
          <w:highlight w:val="none"/>
        </w:rPr>
      </w:pPr>
    </w:p>
    <w:p>
      <w:pPr>
        <w:pStyle w:val="4"/>
        <w:spacing w:before="240" w:after="240" w:line="240" w:lineRule="atLeast"/>
        <w:jc w:val="center"/>
        <w:rPr>
          <w:rFonts w:hint="default" w:ascii="Times New Roman" w:hAnsi="Times New Roman" w:eastAsia="黑体" w:cs="Times New Roman"/>
          <w:b/>
          <w:bCs/>
          <w:color w:val="auto"/>
          <w:sz w:val="28"/>
          <w:szCs w:val="28"/>
          <w:highlight w:val="none"/>
        </w:rPr>
      </w:pPr>
      <w:r>
        <w:rPr>
          <w:rFonts w:hint="default" w:ascii="Times New Roman" w:hAnsi="Times New Roman" w:eastAsia="黑体" w:cs="Times New Roman"/>
          <w:b/>
          <w:bCs/>
          <w:color w:val="auto"/>
          <w:sz w:val="28"/>
          <w:szCs w:val="28"/>
          <w:highlight w:val="none"/>
        </w:rPr>
        <w:t>附录4  资格审查条件（信誉最低要求）</w:t>
      </w:r>
      <w:bookmarkEnd w:id="62"/>
      <w:bookmarkEnd w:id="63"/>
      <w:bookmarkEnd w:id="64"/>
      <w:bookmarkEnd w:id="65"/>
      <w:bookmarkEnd w:id="66"/>
      <w:bookmarkEnd w:id="67"/>
    </w:p>
    <w:tbl>
      <w:tblPr>
        <w:tblStyle w:val="11"/>
        <w:tblW w:w="87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0" w:hRule="atLeast"/>
          <w:jc w:val="center"/>
        </w:trPr>
        <w:tc>
          <w:tcPr>
            <w:tcW w:w="8708" w:type="dxa"/>
            <w:noWrap w:val="0"/>
            <w:vAlign w:val="center"/>
          </w:tcPr>
          <w:p>
            <w:pPr>
              <w:adjustRightInd w:val="0"/>
              <w:snapToGrid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在最新年度广东省公路工程从业单位（施工单位）信用评价（含无最新年度而上一年度有信用评价）中，信用等级未被评为D级；</w:t>
            </w:r>
          </w:p>
          <w:p>
            <w:pPr>
              <w:adjustRightInd w:val="0"/>
              <w:snapToGrid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初次进入广东省的投标人，在最新年度的全国公路从业单位（施工单位）信用评价结果中未被评为D级。</w:t>
            </w:r>
          </w:p>
          <w:p>
            <w:pPr>
              <w:adjustRightInd w:val="0"/>
              <w:snapToGrid w:val="0"/>
              <w:spacing w:line="400" w:lineRule="atLeast"/>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tc>
      </w:tr>
    </w:tbl>
    <w:p>
      <w:pPr>
        <w:rPr>
          <w:rFonts w:hint="default" w:ascii="Times New Roman" w:hAnsi="Times New Roman" w:cs="Times New Roman"/>
          <w:color w:val="auto"/>
          <w:highlight w:val="none"/>
        </w:rPr>
      </w:pPr>
      <w:bookmarkStart w:id="68" w:name="_Toc509962304"/>
      <w:bookmarkStart w:id="69" w:name="_Toc234832867"/>
      <w:bookmarkStart w:id="70" w:name="_Toc501257057"/>
      <w:bookmarkStart w:id="71" w:name="_Toc509959063"/>
      <w:r>
        <w:rPr>
          <w:rFonts w:hint="default" w:ascii="Times New Roman" w:hAnsi="Times New Roman" w:cs="Times New Roman"/>
          <w:color w:val="auto"/>
          <w:highlight w:val="none"/>
        </w:rPr>
        <w:t>注：1、信用等级的确定原则遵遁投标人须知前附表10.2款的规定。</w:t>
      </w:r>
    </w:p>
    <w:p>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投标人应根据第九章“投标文件格式”中“八、资格审查资料 （五）投标人的信誉情况表”填写情况说明。</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4"/>
        <w:spacing w:before="240" w:after="240" w:line="240" w:lineRule="atLeast"/>
        <w:jc w:val="center"/>
        <w:rPr>
          <w:rFonts w:hint="default" w:ascii="Times New Roman" w:hAnsi="Times New Roman" w:eastAsia="黑体" w:cs="Times New Roman"/>
          <w:color w:val="auto"/>
          <w:sz w:val="28"/>
          <w:szCs w:val="28"/>
          <w:highlight w:val="none"/>
        </w:rPr>
      </w:pPr>
      <w:bookmarkStart w:id="72" w:name="_Toc510172710"/>
      <w:bookmarkStart w:id="73" w:name="_Toc510089797"/>
    </w:p>
    <w:p>
      <w:pPr>
        <w:pStyle w:val="4"/>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附录5  资格审查条件（项目经理和项目总工最低要求）</w:t>
      </w:r>
      <w:bookmarkEnd w:id="68"/>
      <w:bookmarkEnd w:id="69"/>
      <w:bookmarkEnd w:id="70"/>
      <w:bookmarkEnd w:id="71"/>
      <w:bookmarkEnd w:id="72"/>
      <w:bookmarkEnd w:id="73"/>
    </w:p>
    <w:tbl>
      <w:tblPr>
        <w:tblStyle w:val="11"/>
        <w:tblW w:w="8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540"/>
        <w:gridCol w:w="2852"/>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649"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  员</w:t>
            </w:r>
          </w:p>
        </w:tc>
        <w:tc>
          <w:tcPr>
            <w:tcW w:w="154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  量</w:t>
            </w:r>
          </w:p>
        </w:tc>
        <w:tc>
          <w:tcPr>
            <w:tcW w:w="2852"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 格 要 求</w:t>
            </w:r>
          </w:p>
        </w:tc>
        <w:tc>
          <w:tcPr>
            <w:tcW w:w="285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2" w:hRule="atLeast"/>
          <w:jc w:val="center"/>
        </w:trPr>
        <w:tc>
          <w:tcPr>
            <w:tcW w:w="1649"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154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1</w:t>
            </w:r>
          </w:p>
        </w:tc>
        <w:tc>
          <w:tcPr>
            <w:tcW w:w="2852" w:type="dxa"/>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工程师或以上职称，担任类似工程项目经理（或项目副经理或项目总工）岗位累计不少于</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lang w:val="en-US" w:eastAsia="zh-CN"/>
              </w:rPr>
              <w:t>个月，并持有建设行政主管部门颁发的公路工程专业</w:t>
            </w:r>
            <w:r>
              <w:rPr>
                <w:rFonts w:hint="eastAsia" w:ascii="Times New Roman" w:hAnsi="Times New Roman" w:cs="Times New Roman"/>
                <w:color w:val="auto"/>
                <w:szCs w:val="21"/>
                <w:highlight w:val="none"/>
                <w:lang w:val="en-US" w:eastAsia="zh-CN"/>
              </w:rPr>
              <w:t>壹</w:t>
            </w:r>
            <w:r>
              <w:rPr>
                <w:rFonts w:hint="default" w:ascii="Times New Roman" w:hAnsi="Times New Roman" w:cs="Times New Roman"/>
                <w:color w:val="auto"/>
                <w:szCs w:val="21"/>
                <w:highlight w:val="none"/>
                <w:lang w:val="en-US" w:eastAsia="zh-CN"/>
              </w:rPr>
              <w:t>级建造师注册证书（不含临时资格证书），具有交通主管部门颁发的有效安全生产“三类人员”B类证书。</w:t>
            </w:r>
          </w:p>
        </w:tc>
        <w:tc>
          <w:tcPr>
            <w:tcW w:w="2850" w:type="dxa"/>
            <w:vMerge w:val="restart"/>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无在岗项目（指目前未在其他项目上任职，或虽在其他项目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0" w:hRule="atLeast"/>
          <w:jc w:val="center"/>
        </w:trPr>
        <w:tc>
          <w:tcPr>
            <w:tcW w:w="1649"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w:t>
            </w:r>
          </w:p>
        </w:tc>
        <w:tc>
          <w:tcPr>
            <w:tcW w:w="1540"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1</w:t>
            </w:r>
          </w:p>
        </w:tc>
        <w:tc>
          <w:tcPr>
            <w:tcW w:w="2852" w:type="dxa"/>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公路工程</w:t>
            </w:r>
            <w:r>
              <w:rPr>
                <w:rFonts w:hint="default" w:ascii="Times New Roman" w:hAnsi="Times New Roman" w:cs="Times New Roman"/>
                <w:color w:val="auto"/>
                <w:szCs w:val="21"/>
                <w:highlight w:val="none"/>
              </w:rPr>
              <w:t>相关专业</w:t>
            </w:r>
            <w:r>
              <w:rPr>
                <w:rFonts w:hint="eastAsia" w:ascii="Times New Roman" w:hAnsi="Times New Roman" w:cs="Times New Roman"/>
                <w:color w:val="auto"/>
                <w:szCs w:val="21"/>
                <w:highlight w:val="none"/>
                <w:lang w:val="en-US" w:eastAsia="zh-CN"/>
              </w:rPr>
              <w:t>高级</w:t>
            </w:r>
            <w:r>
              <w:rPr>
                <w:rFonts w:hint="default" w:ascii="Times New Roman" w:hAnsi="Times New Roman" w:cs="Times New Roman"/>
                <w:color w:val="auto"/>
                <w:szCs w:val="21"/>
                <w:highlight w:val="none"/>
              </w:rPr>
              <w:t>工程师或以上职称，</w:t>
            </w:r>
            <w:r>
              <w:rPr>
                <w:rFonts w:hint="default" w:ascii="Times New Roman" w:hAnsi="Times New Roman" w:cs="Times New Roman"/>
                <w:color w:val="auto"/>
                <w:szCs w:val="21"/>
                <w:highlight w:val="none"/>
                <w:lang w:val="en-US" w:eastAsia="zh-CN"/>
              </w:rPr>
              <w:t>主管类似工程技术工作岗位累计不少于</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lang w:val="en-US" w:eastAsia="zh-CN"/>
              </w:rPr>
              <w:t>个月，</w:t>
            </w:r>
            <w:r>
              <w:rPr>
                <w:rFonts w:hint="default" w:ascii="Times New Roman" w:hAnsi="Times New Roman" w:cs="Times New Roman"/>
                <w:color w:val="auto"/>
                <w:szCs w:val="21"/>
                <w:highlight w:val="none"/>
              </w:rPr>
              <w:t>具有交通主管部门颁发的有效安全生产“三类人员”B类证书。</w:t>
            </w:r>
          </w:p>
        </w:tc>
        <w:tc>
          <w:tcPr>
            <w:tcW w:w="2850" w:type="dxa"/>
            <w:vMerge w:val="continue"/>
            <w:noWrap w:val="0"/>
            <w:vAlign w:val="center"/>
          </w:tcPr>
          <w:p>
            <w:pPr>
              <w:adjustRightInd w:val="0"/>
              <w:snapToGrid w:val="0"/>
              <w:spacing w:line="300" w:lineRule="auto"/>
              <w:rPr>
                <w:rFonts w:hint="default" w:ascii="Times New Roman" w:hAnsi="Times New Roman"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注：1、资格要求的人员建造师注册证书、安全生产“三类人员”B 类证书均应在投标人所在单位，否则视为无效。</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en-US" w:eastAsia="zh-CN"/>
        </w:rPr>
        <w:t>2、</w:t>
      </w:r>
      <w:r>
        <w:rPr>
          <w:rFonts w:hint="eastAsia" w:ascii="Times New Roman" w:hAnsi="Times New Roman" w:cs="Times New Roman"/>
          <w:color w:val="auto"/>
          <w:szCs w:val="21"/>
          <w:highlight w:val="none"/>
          <w:lang w:val="en-US" w:eastAsia="zh-CN"/>
        </w:rPr>
        <w:t>公路工程</w:t>
      </w:r>
      <w:r>
        <w:rPr>
          <w:rFonts w:hint="default" w:ascii="Times New Roman" w:hAnsi="Times New Roman" w:cs="Times New Roman"/>
          <w:bCs/>
          <w:color w:val="auto"/>
          <w:szCs w:val="21"/>
          <w:highlight w:val="none"/>
        </w:rPr>
        <w:t>相关专业职称包括公路工程、桥梁工程、公路与桥梁工程、交通土建、隧道（地下结构）工程、交通工程等专业职称。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en-US" w:eastAsia="zh-CN"/>
        </w:rPr>
        <w:t xml:space="preserve">3、主管技术工作指：担任过项目经理、项目副经理、总工程师、质检部门负责人、工程部门负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cs="Times New Roman"/>
          <w:bCs/>
          <w:color w:val="auto"/>
          <w:szCs w:val="21"/>
          <w:highlight w:val="none"/>
        </w:rPr>
      </w:pPr>
      <w:r>
        <w:rPr>
          <w:rFonts w:hint="eastAsia" w:ascii="Times New Roman" w:hAnsi="Times New Roman" w:cs="Times New Roman"/>
          <w:bCs/>
          <w:color w:val="auto"/>
          <w:szCs w:val="21"/>
          <w:highlight w:val="none"/>
          <w:lang w:val="en-US" w:eastAsia="zh-CN"/>
        </w:rPr>
        <w:t xml:space="preserve">责人。担任类似工程项目经理（或项目副经理或项目总工）岗位经验累计时间、主管类似工程技术工作岗位经验累计时间统计至月，计算时尾数如不少于 15 天的按 1 个月计，不足 15 天部分不计。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cs="Times New Roman"/>
          <w:bCs/>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bCs/>
          <w:color w:val="auto"/>
          <w:szCs w:val="21"/>
          <w:highlight w:val="none"/>
          <w:lang w:val="en-US" w:eastAsia="zh-CN"/>
        </w:rPr>
        <w:t>4、投标人应根据招标文件第二章“投标人须知”第 3.5.5 项的要求附相关证明材料。</w:t>
      </w:r>
    </w:p>
    <w:p>
      <w:pPr>
        <w:pStyle w:val="4"/>
        <w:spacing w:before="480" w:after="240" w:line="380" w:lineRule="atLeast"/>
        <w:jc w:val="center"/>
        <w:rPr>
          <w:rFonts w:hint="default" w:ascii="Times New Roman" w:hAnsi="Times New Roman" w:eastAsia="黑体" w:cs="Times New Roman"/>
          <w:b w:val="0"/>
          <w:color w:val="auto"/>
          <w:highlight w:val="none"/>
        </w:rPr>
      </w:pPr>
      <w:bookmarkStart w:id="74" w:name="_Toc510089859"/>
      <w:bookmarkStart w:id="75" w:name="_Toc501257140"/>
      <w:bookmarkStart w:id="76" w:name="_Toc510172772"/>
      <w:bookmarkStart w:id="77" w:name="_Toc509959125"/>
      <w:bookmarkStart w:id="78" w:name="_Toc509962366"/>
      <w:bookmarkStart w:id="79" w:name="_Hlk76063090"/>
      <w:r>
        <w:rPr>
          <w:rFonts w:hint="default" w:ascii="Times New Roman" w:hAnsi="Times New Roman" w:eastAsia="黑体" w:cs="Times New Roman"/>
          <w:b w:val="0"/>
          <w:color w:val="auto"/>
          <w:highlight w:val="none"/>
        </w:rPr>
        <w:t>第三章</w:t>
      </w:r>
      <w:r>
        <w:rPr>
          <w:rFonts w:hint="eastAsia" w:ascii="Times New Roman" w:hAnsi="Times New Roman" w:eastAsia="黑体" w:cs="Times New Roman"/>
          <w:b w:val="0"/>
          <w:color w:val="auto"/>
          <w:highlight w:val="none"/>
          <w:lang w:val="en-US" w:eastAsia="zh-CN"/>
        </w:rPr>
        <w:t xml:space="preserve">  </w:t>
      </w:r>
      <w:r>
        <w:rPr>
          <w:rFonts w:hint="default" w:ascii="Times New Roman" w:hAnsi="Times New Roman" w:eastAsia="黑体" w:cs="Times New Roman"/>
          <w:b w:val="0"/>
          <w:color w:val="auto"/>
          <w:highlight w:val="none"/>
        </w:rPr>
        <w:t>评标办法（</w:t>
      </w:r>
      <w:r>
        <w:rPr>
          <w:rFonts w:hint="eastAsia" w:ascii="Times New Roman" w:hAnsi="Times New Roman" w:eastAsia="黑体" w:cs="Times New Roman"/>
          <w:b w:val="0"/>
          <w:color w:val="auto"/>
          <w:highlight w:val="none"/>
          <w:lang w:val="en-US" w:eastAsia="zh-CN"/>
        </w:rPr>
        <w:t>双信封</w:t>
      </w:r>
      <w:r>
        <w:rPr>
          <w:rFonts w:hint="default" w:ascii="Times New Roman" w:hAnsi="Times New Roman" w:eastAsia="黑体" w:cs="Times New Roman"/>
          <w:b w:val="0"/>
          <w:color w:val="auto"/>
          <w:highlight w:val="none"/>
        </w:rPr>
        <w:t>技术评分最低标价法）</w:t>
      </w:r>
      <w:bookmarkEnd w:id="74"/>
      <w:bookmarkEnd w:id="75"/>
      <w:bookmarkEnd w:id="76"/>
      <w:bookmarkEnd w:id="77"/>
      <w:bookmarkEnd w:id="78"/>
    </w:p>
    <w:p>
      <w:pPr>
        <w:pStyle w:val="4"/>
        <w:spacing w:before="480" w:after="240" w:line="380" w:lineRule="atLeast"/>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评标办法前附表</w:t>
      </w:r>
    </w:p>
    <w:tbl>
      <w:tblPr>
        <w:tblStyle w:val="11"/>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268"/>
        <w:gridCol w:w="6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2235" w:type="dxa"/>
            <w:gridSpan w:val="2"/>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pacing w:val="4"/>
                <w:szCs w:val="21"/>
                <w:highlight w:val="none"/>
              </w:rPr>
            </w:pPr>
            <w:r>
              <w:rPr>
                <w:rFonts w:hint="default" w:ascii="Times New Roman" w:hAnsi="Times New Roman" w:cs="Times New Roman"/>
                <w:b/>
                <w:color w:val="auto"/>
                <w:spacing w:val="4"/>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268"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评标方法</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评标价相等时，评标委员会依次按照以下优先顺序推荐中标候选人或确定中标人：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（1）按招标文件规定被认定为最新年度广东省公路工程从业单位信用评价等级较高的投标人优先；【采用如下的优先顺序：承诺使用的AA 级投标人、不承诺使用的AA 级投标人、承诺使用的A 级投标人、不承诺使用的A 级投标人、B 级投标人、未参评且被确定为B 级投标人】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（2）以投标人企业最新年度净资产较高的优先；</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2.1.1</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2.1.3</w:t>
            </w:r>
          </w:p>
        </w:tc>
        <w:tc>
          <w:tcPr>
            <w:tcW w:w="1268"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形式评审与响应性评审标准</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第一个信封（商务及技术文件）评审标准：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a.投标函按招标文件规定填报了项目名称、标段号（如有</w:t>
            </w:r>
            <w:r>
              <w:rPr>
                <w:rFonts w:hint="default" w:ascii="Times New Roman" w:hAnsi="Times New Roman" w:eastAsia="宋体" w:cs="Times New Roman"/>
                <w:color w:val="auto"/>
                <w:szCs w:val="21"/>
                <w:highlight w:val="none"/>
                <w:lang w:eastAsia="zh-CN"/>
              </w:rPr>
              <w:t>）</w:t>
            </w:r>
            <w:r>
              <w:rPr>
                <w:rFonts w:hint="default" w:ascii="Times New Roman" w:hAnsi="Times New Roman" w:cs="Times New Roman"/>
                <w:color w:val="auto"/>
                <w:szCs w:val="21"/>
                <w:highlight w:val="none"/>
              </w:rPr>
              <w:t>、补遗书编号（如有）、工期、工程质量要求及安全目标；</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b.投标函附录的所有数据均符合招标文件规定；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（3）投标人按照招标文件的规定提供了投标保证金：</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a.投标保证金金额符合招标文件规定的金额，且投标保证金有效期不少于投标有效期；</w:t>
            </w:r>
          </w:p>
        </w:tc>
      </w:tr>
    </w:tbl>
    <w:p>
      <w:pPr>
        <w:rPr>
          <w:rFonts w:hint="default" w:ascii="Times New Roman" w:hAnsi="Times New Roman" w:cs="Times New Roman"/>
          <w:color w:val="auto"/>
          <w:highlight w:val="none"/>
        </w:rPr>
      </w:pPr>
    </w:p>
    <w:tbl>
      <w:tblPr>
        <w:tblStyle w:val="11"/>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78"/>
        <w:gridCol w:w="238"/>
        <w:gridCol w:w="445"/>
        <w:gridCol w:w="407"/>
        <w:gridCol w:w="281"/>
        <w:gridCol w:w="637"/>
        <w:gridCol w:w="1120"/>
        <w:gridCol w:w="711"/>
        <w:gridCol w:w="39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64" w:hRule="atLeast"/>
        </w:trPr>
        <w:tc>
          <w:tcPr>
            <w:tcW w:w="967" w:type="dxa"/>
            <w:tcBorders>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268" w:type="dxa"/>
            <w:gridSpan w:val="4"/>
            <w:tcBorders>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65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kern w:val="0"/>
                <w:sz w:val="20"/>
                <w:szCs w:val="20"/>
                <w:highlight w:val="none"/>
              </w:rPr>
              <w:t xml:space="preserve"> </w:t>
            </w:r>
            <w:r>
              <w:rPr>
                <w:rFonts w:hint="default" w:ascii="Times New Roman" w:hAnsi="Times New Roman" w:cs="Times New Roman"/>
                <w:color w:val="auto"/>
                <w:szCs w:val="21"/>
                <w:highlight w:val="none"/>
              </w:rPr>
              <w:t>若投标保证金采用现金或支票形式提交，投标人应在投标人须知3.4.1 款规定的时间，将投标保证金由投标人的基本账户转入招标人指定账户；</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w:t>
            </w:r>
            <w:r>
              <w:rPr>
                <w:rFonts w:hint="default" w:ascii="Times New Roman" w:hAnsi="Times New Roman" w:cs="Times New Roman"/>
                <w:color w:val="auto"/>
                <w:kern w:val="0"/>
                <w:sz w:val="20"/>
                <w:szCs w:val="20"/>
                <w:highlight w:val="none"/>
              </w:rPr>
              <w:t xml:space="preserve"> 若投标保证金采用银行保函或投标人须知前附表3.4.1项规定的其他形式提交，应满足招标文件要求</w:t>
            </w:r>
            <w:r>
              <w:rPr>
                <w:rFonts w:hint="default" w:ascii="Times New Roman" w:hAnsi="Times New Roman" w:cs="Times New Roman"/>
                <w:color w:val="auto"/>
                <w:kern w:val="2"/>
                <w:sz w:val="21"/>
                <w:szCs w:val="21"/>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（4）投标人法定代表人授权委托代理人签署投标文件的，需提交授权委托书，且授权人和被授权人均在授权委托书上签名，未使用印章、签名章或其他电子制版签名代替。</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（6）投标人未以联合体形式投标</w:t>
            </w:r>
            <w:r>
              <w:rPr>
                <w:rFonts w:hint="eastAsia" w:ascii="Times New Roman" w:hAnsi="Times New Roman" w:cs="Times New Roman"/>
                <w:color w:val="auto"/>
                <w:szCs w:val="21"/>
                <w:highlight w:val="none"/>
                <w:lang w:eastAsia="zh-CN"/>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r>
              <w:rPr>
                <w:rFonts w:hint="default" w:ascii="Times New Roman" w:hAnsi="Times New Roman" w:eastAsia="宋体" w:cs="Times New Roman"/>
                <w:color w:val="auto"/>
                <w:szCs w:val="21"/>
                <w:highlight w:val="none"/>
              </w:rPr>
              <w:t>如投标人不具备</w:t>
            </w:r>
            <w:r>
              <w:rPr>
                <w:rFonts w:hint="default" w:ascii="Times New Roman" w:hAnsi="Times New Roman" w:eastAsia="宋体" w:cs="Times New Roman"/>
                <w:color w:val="auto"/>
                <w:szCs w:val="21"/>
                <w:highlight w:val="none"/>
                <w:lang w:val="en-US"/>
              </w:rPr>
              <w:t>拟分包工程所需的</w:t>
            </w:r>
            <w:r>
              <w:rPr>
                <w:rFonts w:hint="default" w:ascii="Times New Roman" w:hAnsi="Times New Roman" w:eastAsia="宋体" w:cs="Times New Roman"/>
                <w:color w:val="auto"/>
                <w:szCs w:val="21"/>
                <w:highlight w:val="none"/>
              </w:rPr>
              <w:t>某专项工程相应资质</w:t>
            </w:r>
            <w:r>
              <w:rPr>
                <w:rFonts w:hint="default" w:ascii="Times New Roman" w:hAnsi="Times New Roman" w:eastAsia="宋体" w:cs="Times New Roman"/>
                <w:color w:val="auto"/>
                <w:szCs w:val="21"/>
                <w:highlight w:val="none"/>
                <w:lang w:val="en-US"/>
              </w:rPr>
              <w:t>或</w:t>
            </w:r>
            <w:r>
              <w:rPr>
                <w:rFonts w:hint="default" w:ascii="Times New Roman" w:hAnsi="Times New Roman" w:eastAsia="宋体" w:cs="Times New Roman"/>
                <w:color w:val="auto"/>
                <w:szCs w:val="21"/>
                <w:highlight w:val="none"/>
              </w:rPr>
              <w:t>投标人如有分包计划，符合招标文件第二章“投标人须知” 第1.11款规定，且按招标文件第九章“投标文件格式”的要求填写了“拟分包项目情况表”。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（8）同一投标人未提交两个以上不同的投标文件，但招标文件要求提交备选投标的除外。</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（9）投标文件中未出现有关投标报价的内容。</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（10）投标文件载明的招标项目完成期限未超过招标文件规定的时限。</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（11）投标文件对招标文件的实质性要求和条件作出响应。</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（12）权利义务符合招标文件规定：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a.投标人应接受招标文件规定的风险划分原则，未提出新的风险划分办法；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b.投标人未增加发包人的责任范围，或减少投标人义务；</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c.投标人未提出不同的工程验收、计量、支付办法；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d.投标人对合同纠纷、事故处理办法未提出异议；</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e.投标人在投标活动中无欺诈行为；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f.投标人未对合同条款有重要保留。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（13）投标文件正、副本份数符合招标文件第二章“投标人须知”第3.7.4项规定。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（14）投标文件未附有招标人不能接受的条件。</w:t>
            </w:r>
          </w:p>
          <w:p>
            <w:pPr>
              <w:adjustRightInd w:val="0"/>
              <w:snapToGrid w:val="0"/>
              <w:spacing w:line="360" w:lineRule="auto"/>
              <w:ind w:firstLine="420" w:firstLineChars="200"/>
              <w:rPr>
                <w:rFonts w:hint="default" w:ascii="Times New Roman" w:hAnsi="Times New Roman" w:cs="Times New Roman"/>
                <w:color w:val="auto"/>
                <w:szCs w:val="21"/>
                <w:highlight w:val="none"/>
              </w:rPr>
            </w:pPr>
          </w:p>
          <w:p>
            <w:pPr>
              <w:adjustRightInd w:val="0"/>
              <w:snapToGrid w:val="0"/>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第二个信封（报价文件）评审标准：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a.投标函按招标文件规定填报了项目名称、标段号（如有）、补遗书编号（如有）、投标</w:t>
            </w:r>
            <w:r>
              <w:rPr>
                <w:rFonts w:hint="default" w:ascii="Times New Roman" w:hAnsi="Times New Roman" w:eastAsia="宋体" w:cs="Times New Roman"/>
                <w:color w:val="auto"/>
                <w:szCs w:val="21"/>
                <w:highlight w:val="none"/>
                <w:lang w:val="en-US" w:eastAsia="zh-CN"/>
              </w:rPr>
              <w:t>总报</w:t>
            </w:r>
            <w:r>
              <w:rPr>
                <w:rFonts w:hint="default" w:ascii="Times New Roman" w:hAnsi="Times New Roman" w:cs="Times New Roman"/>
                <w:color w:val="auto"/>
                <w:szCs w:val="21"/>
                <w:highlight w:val="none"/>
              </w:rPr>
              <w:t>价（包括大写金额和小写金额）；</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b.已标价工程量清单说明文字与招标文件规定一致，未进行实质性修改和删减；</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（3）投标报价或调价函中的报价不超过招标文件设定的最高</w:t>
            </w:r>
            <w:r>
              <w:rPr>
                <w:rFonts w:hint="default" w:ascii="Times New Roman" w:hAnsi="Times New Roman" w:eastAsia="宋体" w:cs="Times New Roman"/>
                <w:color w:val="auto"/>
                <w:szCs w:val="21"/>
                <w:highlight w:val="none"/>
                <w:lang w:val="en-US" w:eastAsia="zh-CN"/>
              </w:rPr>
              <w:t>投</w:t>
            </w:r>
            <w:r>
              <w:rPr>
                <w:rFonts w:hint="default" w:ascii="Times New Roman" w:hAnsi="Times New Roman" w:cs="Times New Roman"/>
                <w:color w:val="auto"/>
                <w:szCs w:val="21"/>
                <w:highlight w:val="none"/>
              </w:rPr>
              <w:t>标限价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如有</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及</w:t>
            </w:r>
            <w:r>
              <w:rPr>
                <w:rFonts w:hint="default" w:ascii="Times New Roman" w:hAnsi="Times New Roman" w:cs="Times New Roman"/>
                <w:color w:val="auto"/>
                <w:szCs w:val="21"/>
                <w:highlight w:val="none"/>
              </w:rPr>
              <w:t>最高评标限价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如有</w:t>
            </w:r>
            <w:r>
              <w:rPr>
                <w:rFonts w:hint="default" w:ascii="Times New Roman" w:hAnsi="Times New Roman" w:eastAsia="宋体" w:cs="Times New Roman"/>
                <w:color w:val="auto"/>
                <w:szCs w:val="21"/>
                <w:highlight w:val="none"/>
                <w:lang w:eastAsia="zh-CN"/>
              </w:rPr>
              <w:t>）</w:t>
            </w:r>
            <w:r>
              <w:rPr>
                <w:rFonts w:hint="default" w:ascii="Times New Roman" w:hAnsi="Times New Roman" w:cs="Times New Roman"/>
                <w:color w:val="auto"/>
                <w:szCs w:val="21"/>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w:t>
            </w:r>
            <w:r>
              <w:rPr>
                <w:rFonts w:hint="default" w:ascii="Times New Roman" w:hAnsi="Times New Roman" w:eastAsia="宋体" w:cs="Times New Roman"/>
                <w:color w:val="auto"/>
                <w:szCs w:val="21"/>
                <w:highlight w:val="none"/>
                <w:lang w:val="en-US" w:eastAsia="zh-CN"/>
              </w:rPr>
              <w:t>总</w:t>
            </w:r>
            <w:r>
              <w:rPr>
                <w:rFonts w:hint="default" w:ascii="Times New Roman" w:hAnsi="Times New Roman" w:cs="Times New Roman"/>
                <w:color w:val="auto"/>
                <w:szCs w:val="21"/>
                <w:highlight w:val="none"/>
              </w:rPr>
              <w:t>报价或调价函中报价的大写金额能够确定具体数值。</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（5）同一投标人未提交两个以上不同的投标报价，但招标文件要求提交备选投标的除外。</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（6）投标人若提交调价函，调价函符合招标文件第二章“投标人须知”第3.2.6项要求。</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（7）投标人若填写工程量固化清单，填写完毕的工程量固化清单未对工程量固化清单电子文件中的数据、格式和运算定义进行修改；工程量固化清单中的投标</w:t>
            </w:r>
            <w:r>
              <w:rPr>
                <w:rFonts w:hint="default" w:ascii="Times New Roman" w:hAnsi="Times New Roman" w:eastAsia="宋体" w:cs="Times New Roman"/>
                <w:color w:val="auto"/>
                <w:szCs w:val="21"/>
                <w:highlight w:val="none"/>
                <w:lang w:val="en-US" w:eastAsia="zh-CN"/>
              </w:rPr>
              <w:t>总</w:t>
            </w:r>
            <w:r>
              <w:rPr>
                <w:rFonts w:hint="default" w:ascii="Times New Roman" w:hAnsi="Times New Roman" w:cs="Times New Roman"/>
                <w:color w:val="auto"/>
                <w:szCs w:val="21"/>
                <w:highlight w:val="none"/>
              </w:rPr>
              <w:t>报价和投标函大写金额报价一致。</w:t>
            </w:r>
          </w:p>
          <w:p>
            <w:pPr>
              <w:adjustRightInd w:val="0"/>
              <w:snapToGrid w:val="0"/>
              <w:spacing w:line="360" w:lineRule="auto"/>
              <w:ind w:firstLine="384" w:firstLineChars="183"/>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38" w:hRule="atLeast"/>
        </w:trPr>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2.1.2</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标准</w:t>
            </w:r>
          </w:p>
        </w:tc>
        <w:tc>
          <w:tcPr>
            <w:tcW w:w="6656" w:type="dxa"/>
            <w:gridSpan w:val="5"/>
            <w:tcBorders>
              <w:top w:val="single" w:color="auto" w:sz="4" w:space="0"/>
              <w:left w:val="single" w:color="auto" w:sz="4" w:space="0"/>
              <w:right w:val="single" w:color="auto" w:sz="4" w:space="0"/>
            </w:tcBorders>
            <w:noWrap w:val="0"/>
            <w:vAlign w:val="center"/>
          </w:tcPr>
          <w:p>
            <w:pPr>
              <w:numPr>
                <w:ilvl w:val="0"/>
                <w:numId w:val="4"/>
              </w:num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numPr>
                <w:ilvl w:val="0"/>
                <w:numId w:val="0"/>
              </w:num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（2）投标人的资质等级符合招标文件规定。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（3）投标人的财务状况符合招标文件规定。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（4）投标人的类似项目业绩符合招标文件规定。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（5）投标人的信誉符合招标文件规定。</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（6）投标人的项目经理和项目总工资格、在岗情况符合招标文件规定，并按规定在投标文件中签字确认。</w:t>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（7）投标人的其他要求符合招标文件规定。</w:t>
            </w:r>
            <w:r>
              <w:rPr>
                <w:rFonts w:hint="default" w:ascii="Times New Roman" w:hAnsi="Times New Roman" w:cs="Times New Roman"/>
                <w:color w:val="auto"/>
                <w:sz w:val="22"/>
                <w:szCs w:val="28"/>
                <w:highlight w:val="none"/>
              </w:rPr>
              <w:footnoteReference w:id="4"/>
            </w:r>
          </w:p>
          <w:p>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（8）投标人不存在第二章“投标人须知”第1.4.3项或第1.4.4项规定的任何一种情形。</w:t>
            </w:r>
          </w:p>
          <w:p>
            <w:pPr>
              <w:adjustRightInd w:val="0"/>
              <w:snapToGrid w:val="0"/>
              <w:spacing w:line="36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（9）投标人符合第二章“投标人须知”第1.4.5项规定。</w:t>
            </w:r>
            <w:r>
              <w:rPr>
                <w:rFonts w:hint="default" w:ascii="Times New Roman" w:hAnsi="Times New Roman" w:cs="Times New Roman"/>
                <w:color w:val="auto"/>
                <w:highlight w:val="none"/>
              </w:rPr>
              <w:footnoteReference w:id="5"/>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条款内容</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2.2.1</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第一个信封评分分值构成</w:t>
            </w:r>
          </w:p>
          <w:p>
            <w:pPr>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（总分100分）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1、施工组织设计：</w:t>
            </w:r>
            <w:r>
              <w:rPr>
                <w:rFonts w:hint="default" w:ascii="Times New Roman" w:hAnsi="Times New Roman" w:cs="Times New Roman"/>
                <w:color w:val="auto"/>
                <w:szCs w:val="21"/>
                <w:highlight w:val="none"/>
                <w:u w:val="single"/>
                <w:lang w:val="en-US" w:eastAsia="zh-CN"/>
              </w:rPr>
              <w:t>25</w:t>
            </w:r>
            <w:r>
              <w:rPr>
                <w:rFonts w:hint="default" w:ascii="Times New Roman" w:hAnsi="Times New Roman" w:cs="Times New Roman"/>
                <w:color w:val="auto"/>
                <w:szCs w:val="21"/>
                <w:highlight w:val="none"/>
              </w:rPr>
              <w:t>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2、主要人员：</w:t>
            </w:r>
            <w:r>
              <w:rPr>
                <w:rFonts w:hint="default" w:ascii="Times New Roman" w:hAnsi="Times New Roman" w:cs="Times New Roman"/>
                <w:color w:val="auto"/>
                <w:szCs w:val="21"/>
                <w:highlight w:val="none"/>
                <w:u w:val="single"/>
                <w:lang w:val="en-US" w:eastAsia="zh-CN"/>
              </w:rPr>
              <w:t>40</w:t>
            </w:r>
            <w:r>
              <w:rPr>
                <w:rFonts w:hint="default" w:ascii="Times New Roman" w:hAnsi="Times New Roman" w:cs="Times New Roman"/>
                <w:color w:val="auto"/>
                <w:szCs w:val="21"/>
                <w:highlight w:val="none"/>
                <w:u w:val="single"/>
              </w:rPr>
              <w:t>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3、技术能力：</w:t>
            </w: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 xml:space="preserve">分 </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4、履约信誉：</w:t>
            </w:r>
            <w:r>
              <w:rPr>
                <w:rFonts w:hint="default" w:ascii="Times New Roman" w:hAnsi="Times New Roman" w:cs="Times New Roman"/>
                <w:color w:val="auto"/>
                <w:szCs w:val="21"/>
                <w:highlight w:val="none"/>
                <w:u w:val="single"/>
              </w:rPr>
              <w:t>15</w:t>
            </w:r>
            <w:r>
              <w:rPr>
                <w:rFonts w:hint="default" w:ascii="Times New Roman" w:hAnsi="Times New Roman" w:cs="Times New Roman"/>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第二个信封详细评审标准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8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评标价计算公式：</w:t>
            </w:r>
          </w:p>
          <w:p>
            <w:pPr>
              <w:adjustRightInd w:val="0"/>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评标价＝修正后的投标报价－暂估价－暂列金额</w:t>
            </w:r>
          </w:p>
          <w:p>
            <w:pPr>
              <w:adjustRightInd w:val="0"/>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最高评标限价＝最高投标限价×9</w:t>
            </w: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w:t>
            </w:r>
          </w:p>
          <w:p>
            <w:pPr>
              <w:adjustRightInd w:val="0"/>
              <w:snapToGrid w:val="0"/>
              <w:spacing w:line="38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投标人的评标价小于最高评标限价的85％，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3.2.4</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通过第一个信封详细评审的投标人数量</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按照投标人的商务和技术得分由高到低排序，选择</w:t>
            </w:r>
            <w:r>
              <w:rPr>
                <w:rFonts w:hint="default" w:ascii="Times New Roman" w:hAnsi="Times New Roman" w:cs="Times New Roman"/>
                <w:color w:val="auto"/>
                <w:szCs w:val="21"/>
                <w:highlight w:val="none"/>
                <w:u w:val="single"/>
              </w:rPr>
              <w:t>前5名（不少于3 名但不足5名时，按全部实际数量）</w:t>
            </w:r>
            <w:r>
              <w:rPr>
                <w:rFonts w:hint="default" w:ascii="Times New Roman" w:hAnsi="Times New Roman" w:cs="Times New Roman"/>
                <w:color w:val="auto"/>
                <w:szCs w:val="21"/>
                <w:highlight w:val="none"/>
              </w:rPr>
              <w:t>通过详细评审</w:t>
            </w:r>
            <w:r>
              <w:rPr>
                <w:rFonts w:hint="default" w:ascii="Times New Roman" w:hAnsi="Times New Roman" w:cs="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984" w:type="dxa"/>
            <w:gridSpan w:val="9"/>
            <w:tcBorders>
              <w:top w:val="single" w:color="auto" w:sz="4" w:space="0"/>
            </w:tcBorders>
            <w:noWrap w:val="0"/>
            <w:vAlign w:val="top"/>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评分因素与权重分值</w:t>
            </w:r>
          </w:p>
        </w:tc>
        <w:tc>
          <w:tcPr>
            <w:tcW w:w="3907" w:type="dxa"/>
            <w:vMerge w:val="restart"/>
            <w:tcBorders>
              <w:top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383" w:type="dxa"/>
            <w:gridSpan w:val="3"/>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bookmarkStart w:id="80" w:name="_Hlk12615626"/>
            <w:r>
              <w:rPr>
                <w:rFonts w:hint="default" w:ascii="Times New Roman" w:hAnsi="Times New Roman" w:cs="Times New Roman"/>
                <w:b/>
                <w:color w:val="auto"/>
                <w:szCs w:val="21"/>
                <w:highlight w:val="none"/>
              </w:rPr>
              <w:t>条款号</w:t>
            </w:r>
          </w:p>
        </w:tc>
        <w:tc>
          <w:tcPr>
            <w:tcW w:w="1133" w:type="dxa"/>
            <w:gridSpan w:val="3"/>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w:t>
            </w:r>
          </w:p>
        </w:tc>
        <w:tc>
          <w:tcPr>
            <w:tcW w:w="637" w:type="dxa"/>
            <w:noWrap w:val="0"/>
            <w:vAlign w:val="center"/>
          </w:tcPr>
          <w:p>
            <w:pPr>
              <w:adjustRightInd w:val="0"/>
              <w:snapToGrid w:val="0"/>
              <w:spacing w:line="360" w:lineRule="auto"/>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评分因素权重分值</w:t>
            </w:r>
          </w:p>
        </w:tc>
        <w:tc>
          <w:tcPr>
            <w:tcW w:w="1120" w:type="dxa"/>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各评分因素细分项</w:t>
            </w:r>
          </w:p>
        </w:tc>
        <w:tc>
          <w:tcPr>
            <w:tcW w:w="711" w:type="dxa"/>
            <w:noWrap w:val="0"/>
            <w:vAlign w:val="center"/>
          </w:tcPr>
          <w:p>
            <w:pPr>
              <w:adjustRightInd w:val="0"/>
              <w:snapToGrid w:val="0"/>
              <w:spacing w:line="360" w:lineRule="auto"/>
              <w:jc w:val="righ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分值</w:t>
            </w:r>
          </w:p>
        </w:tc>
        <w:tc>
          <w:tcPr>
            <w:tcW w:w="3907" w:type="dxa"/>
            <w:vMerge w:val="continue"/>
            <w:noWrap w:val="0"/>
            <w:vAlign w:val="top"/>
          </w:tcPr>
          <w:p>
            <w:pPr>
              <w:adjustRightInd w:val="0"/>
              <w:snapToGrid w:val="0"/>
              <w:spacing w:line="360" w:lineRule="auto"/>
              <w:jc w:val="center"/>
              <w:rPr>
                <w:rFonts w:hint="default" w:ascii="Times New Roman" w:hAnsi="Times New Roman"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2.2.2（1）</w:t>
            </w:r>
          </w:p>
        </w:tc>
        <w:tc>
          <w:tcPr>
            <w:tcW w:w="113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施工组织设计</w:t>
            </w:r>
          </w:p>
        </w:tc>
        <w:tc>
          <w:tcPr>
            <w:tcW w:w="637" w:type="dxa"/>
            <w:vMerge w:val="restart"/>
            <w:noWrap w:val="0"/>
            <w:vAlign w:val="center"/>
          </w:tcPr>
          <w:p>
            <w:pPr>
              <w:adjustRightInd w:val="0"/>
              <w:snapToGrid w:val="0"/>
              <w:spacing w:line="360" w:lineRule="auto"/>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25</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 w:val="21"/>
                <w:szCs w:val="21"/>
                <w:highlight w:val="none"/>
              </w:rPr>
            </w:pPr>
            <w:r>
              <w:rPr>
                <w:rStyle w:val="15"/>
                <w:rFonts w:hint="default" w:ascii="Times New Roman" w:hAnsi="Times New Roman" w:eastAsia="宋体" w:cs="Times New Roman"/>
                <w:color w:val="auto"/>
                <w:sz w:val="21"/>
                <w:szCs w:val="21"/>
                <w:highlight w:val="none"/>
              </w:rPr>
              <w:t>总体施工组织布置及规划</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分</w:t>
            </w:r>
          </w:p>
        </w:tc>
        <w:tc>
          <w:tcPr>
            <w:tcW w:w="3907" w:type="dxa"/>
            <w:noWrap w:val="0"/>
            <w:vAlign w:val="top"/>
          </w:tcPr>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（1）对项目的基本情况了解全面、准确，施工总体布置规划、施工进度计划科学合理、可操作性强，按</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广东省公路工程施工标准化指南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及</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rPr>
              <w:t>公路工程施工安全防护设施技术指南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 xml:space="preserve">执行，得 </w:t>
            </w:r>
            <w:r>
              <w:rPr>
                <w:rFonts w:hint="default" w:ascii="Times New Roman" w:hAnsi="Times New Roman" w:cs="Times New Roman"/>
                <w:color w:val="auto"/>
                <w:kern w:val="0"/>
                <w:sz w:val="21"/>
                <w:szCs w:val="21"/>
                <w:highlight w:val="none"/>
                <w:lang w:val="en-US" w:eastAsia="zh-CN"/>
              </w:rPr>
              <w:t>8.1-10</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（2）满足工程建设需要，施工总体布置规划、施工进度计划基本可行，得</w:t>
            </w:r>
            <w:r>
              <w:rPr>
                <w:rFonts w:hint="default" w:ascii="Times New Roman" w:hAnsi="Times New Roman" w:cs="Times New Roman"/>
                <w:color w:val="auto"/>
                <w:kern w:val="0"/>
                <w:sz w:val="21"/>
                <w:szCs w:val="21"/>
                <w:highlight w:val="none"/>
                <w:lang w:val="en-US" w:eastAsia="zh-CN"/>
              </w:rPr>
              <w:t>6.1-8</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（3）一般但不被评定为不响应的</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得</w:t>
            </w:r>
            <w:r>
              <w:rPr>
                <w:rFonts w:hint="default" w:ascii="Times New Roman" w:hAnsi="Times New Roman"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 w:val="21"/>
                <w:szCs w:val="21"/>
                <w:highlight w:val="none"/>
              </w:rPr>
            </w:pPr>
            <w:r>
              <w:rPr>
                <w:rStyle w:val="15"/>
                <w:rFonts w:hint="default" w:ascii="Times New Roman" w:hAnsi="Times New Roman" w:eastAsia="宋体" w:cs="Times New Roman"/>
                <w:color w:val="auto"/>
                <w:sz w:val="21"/>
                <w:szCs w:val="21"/>
                <w:highlight w:val="none"/>
              </w:rPr>
              <w:t>重点、难点和关键工程的施工方案与技术措施</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lang w:val="en-US" w:eastAsia="zh-CN"/>
              </w:rPr>
              <w:t>10</w:t>
            </w:r>
            <w:r>
              <w:rPr>
                <w:rFonts w:hint="default" w:ascii="Times New Roman" w:hAnsi="Times New Roman" w:cs="Times New Roman"/>
                <w:color w:val="auto"/>
                <w:sz w:val="21"/>
                <w:szCs w:val="21"/>
                <w:highlight w:val="none"/>
              </w:rPr>
              <w:t>分</w:t>
            </w:r>
          </w:p>
        </w:tc>
        <w:tc>
          <w:tcPr>
            <w:tcW w:w="3907" w:type="dxa"/>
            <w:noWrap w:val="0"/>
            <w:vAlign w:val="top"/>
          </w:tcPr>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（1）对项目重点、难点和关键工程认识分析透彻，能充分发挥自身优势，积极采用“四新”技术，制定的施工方案与技术措施针对性和可操作性强，重点突出的，按</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广东省公路工程施工标准化指南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及</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rPr>
              <w:t>公路工程施工安全防护设施技术指南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执行，得</w:t>
            </w:r>
            <w:r>
              <w:rPr>
                <w:rFonts w:hint="default" w:ascii="Times New Roman" w:hAnsi="Times New Roman"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cs="Times New Roman"/>
                <w:color w:val="auto"/>
                <w:kern w:val="0"/>
                <w:sz w:val="21"/>
                <w:szCs w:val="21"/>
                <w:highlight w:val="none"/>
                <w:lang w:val="en-US" w:eastAsia="zh-CN"/>
              </w:rPr>
              <w:t>-10</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（2）对项目重点、难点和关键工程认识基本到位，施工方案与技术措施基本可行，重点较为突出的，得</w:t>
            </w:r>
            <w:r>
              <w:rPr>
                <w:rFonts w:hint="default" w:ascii="Times New Roman" w:hAnsi="Times New Roman" w:cs="Times New Roman"/>
                <w:color w:val="auto"/>
                <w:kern w:val="0"/>
                <w:sz w:val="21"/>
                <w:szCs w:val="21"/>
                <w:highlight w:val="none"/>
                <w:lang w:val="en-US" w:eastAsia="zh-CN"/>
              </w:rPr>
              <w:t>6.1-8</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（3）一般但不被评定为不响应的, 得</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工期、质量、安全、环保水保、文明施工保证措施</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lang w:val="en-US" w:eastAsia="zh-CN"/>
              </w:rPr>
              <w:t>5</w:t>
            </w:r>
            <w:r>
              <w:rPr>
                <w:rFonts w:hint="default" w:ascii="Times New Roman" w:hAnsi="Times New Roman" w:cs="Times New Roman"/>
                <w:color w:val="auto"/>
                <w:sz w:val="21"/>
                <w:szCs w:val="21"/>
                <w:highlight w:val="none"/>
              </w:rPr>
              <w:t>分</w:t>
            </w:r>
          </w:p>
        </w:tc>
        <w:tc>
          <w:tcPr>
            <w:tcW w:w="3907" w:type="dxa"/>
            <w:noWrap w:val="0"/>
            <w:vAlign w:val="top"/>
          </w:tcPr>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（1）能够准确预判分析工期、质量、安全、环保、水保、文明施工目标实现的主要影响因素，拟采取预防保证措施针对性强、科学有效，重点突出的，按</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广东省公路工程施工标准化指南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及</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rPr>
              <w:t>公路工程施工安全防护设施技术指南</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执行，得</w:t>
            </w:r>
            <w:r>
              <w:rPr>
                <w:rFonts w:hint="default"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（2）对工期、质量、安全、环保、水保等风险有一定认识，预防保证措施基本可行，重点较为突出的，得 </w:t>
            </w:r>
            <w:r>
              <w:rPr>
                <w:rFonts w:hint="default" w:ascii="Times New Roman" w:hAnsi="Times New Roman" w:eastAsia="宋体" w:cs="Times New Roman"/>
                <w:color w:val="auto"/>
                <w:kern w:val="0"/>
                <w:sz w:val="21"/>
                <w:szCs w:val="21"/>
                <w:highlight w:val="none"/>
                <w:lang w:val="en-US" w:eastAsia="zh-CN"/>
              </w:rPr>
              <w:t>3.1</w:t>
            </w:r>
            <w:r>
              <w:rPr>
                <w:rFonts w:hint="default" w:ascii="Times New Roman" w:hAnsi="Times New Roman" w:cs="Times New Roman"/>
                <w:color w:val="auto"/>
                <w:kern w:val="0"/>
                <w:sz w:val="21"/>
                <w:szCs w:val="21"/>
                <w:highlight w:val="none"/>
                <w:lang w:val="en-US" w:eastAsia="zh-CN"/>
              </w:rPr>
              <w:t>-4</w:t>
            </w:r>
            <w:r>
              <w:rPr>
                <w:rFonts w:hint="default" w:ascii="Times New Roman" w:hAnsi="Times New Roman" w:cs="Times New Roman"/>
                <w:color w:val="auto"/>
                <w:kern w:val="0"/>
                <w:sz w:val="21"/>
                <w:szCs w:val="21"/>
                <w:highlight w:val="none"/>
              </w:rPr>
              <w:t>分；</w:t>
            </w:r>
          </w:p>
          <w:p>
            <w:pPr>
              <w:widowControl/>
              <w:spacing w:line="276" w:lineRule="auto"/>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（3）一般但不被评定为不响应的, 得</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ind w:left="-92" w:leftChars="-44" w:right="-88" w:rightChars="-42"/>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2.2.2（2）</w:t>
            </w:r>
          </w:p>
        </w:tc>
        <w:tc>
          <w:tcPr>
            <w:tcW w:w="113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主要人员</w:t>
            </w:r>
          </w:p>
        </w:tc>
        <w:tc>
          <w:tcPr>
            <w:tcW w:w="637" w:type="dxa"/>
            <w:vMerge w:val="restart"/>
            <w:noWrap w:val="0"/>
            <w:vAlign w:val="center"/>
          </w:tcPr>
          <w:p>
            <w:pPr>
              <w:adjustRightInd w:val="0"/>
              <w:snapToGrid w:val="0"/>
              <w:spacing w:line="360" w:lineRule="auto"/>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40</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ind w:firstLine="186" w:firstLineChars="8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项目经理任职资格与业绩</w:t>
            </w:r>
          </w:p>
        </w:tc>
        <w:tc>
          <w:tcPr>
            <w:tcW w:w="711"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20</w:t>
            </w:r>
            <w:r>
              <w:rPr>
                <w:rFonts w:hint="default" w:ascii="Times New Roman" w:hAnsi="Times New Roman" w:cs="Times New Roman"/>
                <w:color w:val="auto"/>
                <w:szCs w:val="21"/>
                <w:highlight w:val="none"/>
                <w:u w:val="none"/>
                <w:lang w:val="en-US" w:eastAsia="zh-CN"/>
              </w:rPr>
              <w:t>分</w:t>
            </w:r>
          </w:p>
        </w:tc>
        <w:tc>
          <w:tcPr>
            <w:tcW w:w="3907" w:type="dxa"/>
            <w:noWrap w:val="0"/>
            <w:vAlign w:val="center"/>
          </w:tcPr>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项目经理在满足资格审查条件的最低要求时，得1</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zh-CN"/>
              </w:rPr>
              <w:t>分</w:t>
            </w:r>
            <w:r>
              <w:rPr>
                <w:rFonts w:hint="eastAsia" w:ascii="Times New Roman" w:hAnsi="Times New Roman" w:cs="Times New Roman"/>
                <w:color w:val="auto"/>
                <w:szCs w:val="21"/>
                <w:highlight w:val="none"/>
                <w:lang w:val="zh-CN"/>
              </w:rPr>
              <w:t>；</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zh-CN"/>
              </w:rPr>
              <w:t>项目经理具有高级工程师</w:t>
            </w:r>
            <w:r>
              <w:rPr>
                <w:rFonts w:hint="default" w:ascii="Times New Roman" w:hAnsi="Times New Roman" w:cs="Times New Roman"/>
                <w:color w:val="auto"/>
                <w:szCs w:val="21"/>
                <w:highlight w:val="none"/>
                <w:lang w:val="zh-CN" w:eastAsia="zh-CN"/>
              </w:rPr>
              <w:t>或以上</w:t>
            </w:r>
            <w:r>
              <w:rPr>
                <w:rFonts w:hint="default" w:ascii="Times New Roman" w:hAnsi="Times New Roman" w:cs="Times New Roman"/>
                <w:color w:val="auto"/>
                <w:szCs w:val="21"/>
                <w:highlight w:val="none"/>
                <w:lang w:val="en-US" w:eastAsia="zh-CN"/>
              </w:rPr>
              <w:t>职称</w:t>
            </w:r>
            <w:r>
              <w:rPr>
                <w:rFonts w:hint="default" w:ascii="Times New Roman" w:hAnsi="Times New Roman" w:cs="Times New Roman"/>
                <w:color w:val="auto"/>
                <w:szCs w:val="21"/>
                <w:highlight w:val="none"/>
                <w:lang w:val="zh-CN" w:eastAsia="zh-CN"/>
              </w:rPr>
              <w:t>的</w:t>
            </w:r>
            <w:r>
              <w:rPr>
                <w:rFonts w:hint="default" w:ascii="Times New Roman" w:hAnsi="Times New Roman" w:cs="Times New Roman"/>
                <w:color w:val="auto"/>
                <w:szCs w:val="21"/>
                <w:highlight w:val="none"/>
                <w:lang w:val="zh-CN"/>
              </w:rPr>
              <w:t>，加</w:t>
            </w:r>
            <w:r>
              <w:rPr>
                <w:rFonts w:hint="eastAsia" w:cs="Times New Roman"/>
                <w:color w:val="auto"/>
                <w:szCs w:val="21"/>
                <w:highlight w:val="none"/>
                <w:lang w:val="en-US" w:eastAsia="zh-CN"/>
              </w:rPr>
              <w:t>8</w:t>
            </w:r>
            <w:r>
              <w:rPr>
                <w:rFonts w:hint="default" w:ascii="Times New Roman" w:hAnsi="Times New Roman" w:cs="Times New Roman"/>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firstLine="186" w:firstLineChars="89"/>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项目总工任职资格与业绩</w:t>
            </w:r>
          </w:p>
        </w:tc>
        <w:tc>
          <w:tcPr>
            <w:tcW w:w="711" w:type="dxa"/>
            <w:noWrap w:val="0"/>
            <w:vAlign w:val="center"/>
          </w:tcPr>
          <w:p>
            <w:pPr>
              <w:tabs>
                <w:tab w:val="left" w:pos="400"/>
              </w:tabs>
              <w:autoSpaceDE w:val="0"/>
              <w:autoSpaceDN w:val="0"/>
              <w:adjustRightInd w:val="0"/>
              <w:snapToGrid w:val="0"/>
              <w:spacing w:line="360" w:lineRule="auto"/>
              <w:ind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20</w:t>
            </w:r>
            <w:r>
              <w:rPr>
                <w:rFonts w:hint="default" w:ascii="Times New Roman" w:hAnsi="Times New Roman" w:cs="Times New Roman"/>
                <w:color w:val="auto"/>
                <w:szCs w:val="21"/>
                <w:highlight w:val="none"/>
              </w:rPr>
              <w:t>分</w:t>
            </w:r>
          </w:p>
        </w:tc>
        <w:tc>
          <w:tcPr>
            <w:tcW w:w="3907" w:type="dxa"/>
            <w:noWrap w:val="0"/>
            <w:vAlign w:val="center"/>
          </w:tcPr>
          <w:p>
            <w:pPr>
              <w:adjustRightInd w:val="0"/>
              <w:snapToGrid w:val="0"/>
              <w:spacing w:line="360" w:lineRule="auto"/>
              <w:rPr>
                <w:rFonts w:hint="default" w:ascii="Times New Roman" w:hAnsi="Times New Roman" w:cs="Times New Roman"/>
                <w:color w:val="auto"/>
                <w:kern w:val="0"/>
                <w:sz w:val="20"/>
                <w:szCs w:val="20"/>
                <w:highlight w:val="none"/>
                <w:lang w:val="zh-CN"/>
              </w:rPr>
            </w:pPr>
            <w:r>
              <w:rPr>
                <w:rFonts w:hint="default" w:ascii="Times New Roman" w:hAnsi="Times New Roman" w:cs="Times New Roman"/>
                <w:color w:val="auto"/>
                <w:kern w:val="0"/>
                <w:sz w:val="20"/>
                <w:szCs w:val="20"/>
                <w:highlight w:val="none"/>
                <w:lang w:val="zh-CN"/>
              </w:rPr>
              <w:t>项目总工在满足资格审查条件的最低要求时，得</w:t>
            </w:r>
            <w:r>
              <w:rPr>
                <w:rFonts w:hint="eastAsia" w:ascii="Times New Roman" w:hAnsi="Times New Roman" w:cs="Times New Roman"/>
                <w:color w:val="auto"/>
                <w:kern w:val="0"/>
                <w:sz w:val="20"/>
                <w:szCs w:val="20"/>
                <w:highlight w:val="none"/>
                <w:lang w:val="en-US" w:eastAsia="zh-CN"/>
              </w:rPr>
              <w:t>20</w:t>
            </w:r>
            <w:r>
              <w:rPr>
                <w:rFonts w:hint="default" w:ascii="Times New Roman" w:hAnsi="Times New Roman" w:cs="Times New Roman"/>
                <w:color w:val="auto"/>
                <w:kern w:val="0"/>
                <w:sz w:val="20"/>
                <w:szCs w:val="20"/>
                <w:highlight w:val="none"/>
                <w:lang w:val="zh-CN"/>
              </w:rPr>
              <w:t>分</w:t>
            </w:r>
            <w:r>
              <w:rPr>
                <w:rFonts w:hint="eastAsia" w:ascii="Times New Roman" w:hAnsi="Times New Roman" w:cs="Times New Roman"/>
                <w:color w:val="auto"/>
                <w:kern w:val="0"/>
                <w:sz w:val="20"/>
                <w:szCs w:val="20"/>
                <w:highlight w:val="none"/>
                <w:lang w:val="zh-CN"/>
              </w:rPr>
              <w:t>。</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2.2.2（3）</w:t>
            </w:r>
          </w:p>
        </w:tc>
        <w:tc>
          <w:tcPr>
            <w:tcW w:w="445" w:type="dxa"/>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其他因素</w:t>
            </w:r>
          </w:p>
        </w:tc>
        <w:tc>
          <w:tcPr>
            <w:tcW w:w="688"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技术能力</w:t>
            </w:r>
          </w:p>
        </w:tc>
        <w:tc>
          <w:tcPr>
            <w:tcW w:w="637"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技术能力</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投标人获得</w:t>
            </w:r>
            <w:r>
              <w:rPr>
                <w:rFonts w:hint="default" w:ascii="Times New Roman" w:hAnsi="Times New Roman" w:cs="Times New Roman"/>
                <w:color w:val="auto"/>
                <w:szCs w:val="21"/>
                <w:highlight w:val="none"/>
                <w:lang w:val="en-US" w:eastAsia="zh-Hans"/>
              </w:rPr>
              <w:t>过</w:t>
            </w:r>
            <w:r>
              <w:rPr>
                <w:rFonts w:hint="default" w:ascii="Times New Roman" w:hAnsi="Times New Roman" w:cs="Times New Roman"/>
                <w:color w:val="auto"/>
                <w:szCs w:val="21"/>
                <w:highlight w:val="none"/>
                <w:lang w:val="en-US" w:eastAsia="zh-CN"/>
              </w:rPr>
              <w:t>与项目施工有关的</w:t>
            </w:r>
            <w:r>
              <w:rPr>
                <w:rFonts w:hint="default" w:ascii="Times New Roman" w:hAnsi="Times New Roman" w:cs="Times New Roman"/>
                <w:color w:val="auto"/>
                <w:szCs w:val="21"/>
                <w:highlight w:val="none"/>
                <w:lang w:val="zh-CN"/>
              </w:rPr>
              <w:t xml:space="preserve">国家级工法、专利（发明专利或实用新型专利）、国家级科学技术进步奖、鲁班奖、詹天佑奖，主编或参编过国家标准，每项加 </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val="zh-CN"/>
              </w:rPr>
              <w:t>分；</w:t>
            </w:r>
          </w:p>
          <w:p>
            <w:pPr>
              <w:adjustRightInd w:val="0"/>
              <w:snapToGri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（2） 投标人获得省级科学技术进步奖，主编或参编过的行业或地方（指省级）标准，每项加</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lang w:val="zh-CN"/>
              </w:rPr>
              <w:t>分。</w:t>
            </w:r>
          </w:p>
          <w:p>
            <w:pPr>
              <w:widowControl/>
              <w:spacing w:line="276" w:lineRule="auto"/>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zh-CN"/>
              </w:rPr>
              <w:t>注： 本项累计加分最高得 20 分， 同一项目同时满足上述加分条件的，不重复加分，只加一次分，按较高分计。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1383" w:type="dxa"/>
            <w:gridSpan w:val="3"/>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445" w:type="dxa"/>
            <w:vMerge w:val="continue"/>
            <w:noWrap w:val="0"/>
            <w:vAlign w:val="center"/>
          </w:tcPr>
          <w:p>
            <w:pPr>
              <w:adjustRightInd w:val="0"/>
              <w:snapToGrid w:val="0"/>
              <w:spacing w:line="360" w:lineRule="auto"/>
              <w:ind w:left="-105" w:leftChars="-50" w:right="-105" w:rightChars="-50"/>
              <w:jc w:val="center"/>
              <w:rPr>
                <w:rFonts w:hint="default" w:ascii="Times New Roman" w:hAnsi="Times New Roman" w:eastAsia="隶书" w:cs="Times New Roman"/>
                <w:color w:val="auto"/>
                <w:szCs w:val="21"/>
                <w:highlight w:val="none"/>
              </w:rPr>
            </w:pPr>
          </w:p>
        </w:tc>
        <w:tc>
          <w:tcPr>
            <w:tcW w:w="688" w:type="dxa"/>
            <w:gridSpan w:val="2"/>
            <w:vMerge w:val="restart"/>
            <w:noWrap w:val="0"/>
            <w:vAlign w:val="center"/>
          </w:tcPr>
          <w:p>
            <w:pPr>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履约信誉</w:t>
            </w:r>
          </w:p>
        </w:tc>
        <w:tc>
          <w:tcPr>
            <w:tcW w:w="637" w:type="dxa"/>
            <w:vMerge w:val="restart"/>
            <w:noWrap w:val="0"/>
            <w:vAlign w:val="center"/>
          </w:tcPr>
          <w:p>
            <w:pPr>
              <w:adjustRightInd w:val="0"/>
              <w:snapToGrid w:val="0"/>
              <w:spacing w:line="360" w:lineRule="auto"/>
              <w:ind w:right="21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15</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信用等级分值</w:t>
            </w:r>
          </w:p>
        </w:tc>
        <w:tc>
          <w:tcPr>
            <w:tcW w:w="711"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10</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szCs w:val="21"/>
                <w:highlight w:val="none"/>
              </w:rPr>
              <w:t>信用等级分值</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10分</w:t>
            </w:r>
            <w:r>
              <w:rPr>
                <w:rFonts w:hint="default" w:ascii="Times New Roman" w:hAnsi="Times New Roman" w:eastAsia="宋体" w:cs="Times New Roman"/>
                <w:color w:val="auto"/>
                <w:szCs w:val="21"/>
                <w:highlight w:val="none"/>
                <w:lang w:eastAsia="zh-CN"/>
              </w:rPr>
              <w:t>）</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AA、A、B、C 级单位的信用等级分得分分别为10、9.5、8.9、7.3分。</w:t>
            </w:r>
          </w:p>
          <w:p>
            <w:pPr>
              <w:widowControl/>
              <w:spacing w:line="276"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注：信用等级的确定原则遵循投标人须知前附表10.2 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3" w:type="dxa"/>
            <w:gridSpan w:val="3"/>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445" w:type="dxa"/>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688" w:type="dxa"/>
            <w:gridSpan w:val="2"/>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cs="Times New Roman"/>
                <w:b/>
                <w:color w:val="auto"/>
                <w:szCs w:val="21"/>
                <w:highlight w:val="none"/>
              </w:rPr>
            </w:pP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履约情况</w:t>
            </w:r>
          </w:p>
        </w:tc>
        <w:tc>
          <w:tcPr>
            <w:tcW w:w="711"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5</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履约情况（5分）</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若没出现下述情形得满分；</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自 20</w:t>
            </w:r>
            <w:r>
              <w:rPr>
                <w:rFonts w:hint="eastAsia" w:ascii="Times New Roman" w:hAnsi="Times New Roman" w:cs="Times New Roman"/>
                <w:color w:val="auto"/>
                <w:highlight w:val="none"/>
                <w:lang w:val="en-US" w:eastAsia="zh-CN"/>
              </w:rPr>
              <w:t>24</w:t>
            </w:r>
            <w:r>
              <w:rPr>
                <w:rFonts w:hint="default" w:ascii="Times New Roman" w:hAnsi="Times New Roman" w:cs="Times New Roman"/>
                <w:color w:val="auto"/>
                <w:highlight w:val="none"/>
              </w:rPr>
              <w:t xml:space="preserve">年 </w:t>
            </w: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月1日至投标文件递交截止日（投标文件递交截止日前1年内），因公路工程（含附属设施）质量、安全、履约或招标投标问题等原因被：</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（1）交通运输部</w:t>
            </w:r>
            <w:r>
              <w:rPr>
                <w:rFonts w:hint="default" w:ascii="Times New Roman" w:hAnsi="Times New Roman" w:cs="Times New Roman"/>
                <w:color w:val="auto"/>
                <w:highlight w:val="none"/>
                <w:lang w:val="en-US"/>
              </w:rPr>
              <w:t>行政处罚</w:t>
            </w:r>
            <w:r>
              <w:rPr>
                <w:rFonts w:hint="default" w:ascii="Times New Roman" w:hAnsi="Times New Roman" w:cs="Times New Roman"/>
                <w:color w:val="auto"/>
                <w:highlight w:val="none"/>
              </w:rPr>
              <w:t>的，扣5分/次；</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（2）广东省交通运输厅</w:t>
            </w:r>
            <w:r>
              <w:rPr>
                <w:rFonts w:hint="default" w:ascii="Times New Roman" w:hAnsi="Times New Roman" w:cs="Times New Roman"/>
                <w:color w:val="auto"/>
                <w:highlight w:val="none"/>
                <w:lang w:val="en-US"/>
              </w:rPr>
              <w:t>行政处罚的</w:t>
            </w:r>
            <w:r>
              <w:rPr>
                <w:rFonts w:hint="default" w:ascii="Times New Roman" w:hAnsi="Times New Roman" w:cs="Times New Roman"/>
                <w:color w:val="auto"/>
                <w:highlight w:val="none"/>
              </w:rPr>
              <w:t>，扣</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分/次；</w:t>
            </w:r>
          </w:p>
          <w:p>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（3）茂名市交通运输局</w:t>
            </w:r>
            <w:r>
              <w:rPr>
                <w:rFonts w:hint="default" w:ascii="Times New Roman" w:hAnsi="Times New Roman" w:cs="Times New Roman"/>
                <w:color w:val="auto"/>
                <w:highlight w:val="none"/>
                <w:lang w:val="en-US"/>
              </w:rPr>
              <w:t>行政处罚的</w:t>
            </w:r>
            <w:r>
              <w:rPr>
                <w:rFonts w:hint="default" w:ascii="Times New Roman" w:hAnsi="Times New Roman" w:cs="Times New Roman"/>
                <w:color w:val="auto"/>
                <w:highlight w:val="none"/>
              </w:rPr>
              <w:t>，扣</w:t>
            </w:r>
            <w:r>
              <w:rPr>
                <w:rFonts w:hint="default" w:ascii="Times New Roman" w:hAnsi="Times New Roman" w:cs="Times New Roman"/>
                <w:color w:val="auto"/>
                <w:highlight w:val="none"/>
                <w:lang w:val="en-US" w:eastAsia="zh-CN"/>
              </w:rPr>
              <w:t>1.5</w:t>
            </w:r>
            <w:r>
              <w:rPr>
                <w:rFonts w:hint="default" w:ascii="Times New Roman" w:hAnsi="Times New Roman" w:cs="Times New Roman"/>
                <w:color w:val="auto"/>
                <w:highlight w:val="none"/>
              </w:rPr>
              <w:t>分/次。</w:t>
            </w:r>
          </w:p>
          <w:p>
            <w:pPr>
              <w:pStyle w:val="6"/>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（4）广东省交通运输厅正式约谈的，扣0.</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rPr>
              <w:t>分/次。</w:t>
            </w:r>
          </w:p>
          <w:p>
            <w:pPr>
              <w:pStyle w:val="6"/>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val="en-US" w:eastAsia="zh-CN"/>
              </w:rPr>
              <w:t>（5）茂名市交通运输局</w:t>
            </w:r>
            <w:r>
              <w:rPr>
                <w:rFonts w:hint="default" w:ascii="Times New Roman" w:hAnsi="Times New Roman" w:cs="Times New Roman"/>
                <w:color w:val="auto"/>
                <w:highlight w:val="none"/>
                <w:lang w:val="en-US"/>
              </w:rPr>
              <w:t>正式约谈的，扣0.</w:t>
            </w:r>
            <w:r>
              <w:rPr>
                <w:rFonts w:hint="eastAsia" w:ascii="Times New Roman" w:hAnsi="Times New Roman" w:cs="Times New Roman"/>
                <w:color w:val="auto"/>
                <w:highlight w:val="none"/>
                <w:lang w:val="en-US" w:eastAsia="zh-CN"/>
              </w:rPr>
              <w:t>05</w:t>
            </w:r>
            <w:r>
              <w:rPr>
                <w:rFonts w:hint="default" w:ascii="Times New Roman" w:hAnsi="Times New Roman" w:cs="Times New Roman"/>
                <w:color w:val="auto"/>
                <w:highlight w:val="none"/>
                <w:lang w:val="en-US"/>
              </w:rPr>
              <w:t>分/次。</w:t>
            </w:r>
          </w:p>
          <w:p>
            <w:pPr>
              <w:adjustRightInd w:val="0"/>
              <w:snapToGrid w:val="0"/>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注：</w:t>
            </w:r>
            <w:r>
              <w:rPr>
                <w:rFonts w:hint="default" w:ascii="Times New Roman" w:hAnsi="Times New Roman" w:cs="Times New Roman"/>
                <w:color w:val="auto"/>
                <w:highlight w:val="none"/>
                <w:lang w:val="en-US"/>
              </w:rPr>
              <w:t>同一事项同时被多个部门行政处罚或正式约谈只按最高的扣分计算1次</w:t>
            </w:r>
            <w:r>
              <w:rPr>
                <w:rFonts w:hint="default" w:ascii="Times New Roman" w:hAnsi="Times New Roman" w:cs="Times New Roman"/>
                <w:color w:val="auto"/>
                <w:sz w:val="22"/>
                <w:szCs w:val="28"/>
                <w:highlight w:val="none"/>
              </w:rPr>
              <w:footnoteReference w:id="6"/>
            </w:r>
            <w:r>
              <w:rPr>
                <w:rFonts w:hint="default" w:ascii="Times New Roman" w:hAnsi="Times New Roman" w:cs="Times New Roman"/>
                <w:color w:val="auto"/>
                <w:highlight w:val="none"/>
              </w:rPr>
              <w:t>。如果扣完本项分值，可以从总分中扣。</w:t>
            </w:r>
          </w:p>
        </w:tc>
      </w:tr>
      <w:bookmark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1" w:type="dxa"/>
            <w:gridSpan w:val="10"/>
            <w:noWrap w:val="0"/>
            <w:vAlign w:val="top"/>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条款号</w:t>
            </w:r>
          </w:p>
        </w:tc>
        <w:tc>
          <w:tcPr>
            <w:tcW w:w="7746" w:type="dxa"/>
            <w:gridSpan w:val="8"/>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将评标办法范本原文第1条“评标方法”改为“评标方法、组织及工作程序”，并且原文内容修改如下：</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1.1评标方法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rFonts w:hint="default" w:ascii="Times New Roman" w:hAnsi="Times New Roman" w:cs="Times New Roman"/>
                <w:color w:val="auto"/>
                <w:szCs w:val="21"/>
                <w:highlight w:val="none"/>
                <w:u w:val="single"/>
              </w:rPr>
              <w:t>前5名（不少于3 名但不足5 名时，按全部实际数量）</w:t>
            </w:r>
            <w:r>
              <w:rPr>
                <w:rFonts w:hint="default" w:ascii="Times New Roman" w:hAnsi="Times New Roman" w:cs="Times New Roman"/>
                <w:color w:val="auto"/>
                <w:szCs w:val="21"/>
                <w:highlight w:val="none"/>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1.2评标组织</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1.2.1协助工作组</w:t>
            </w:r>
          </w:p>
          <w:p>
            <w:pPr>
              <w:adjustRightInd w:val="0"/>
              <w:snapToGrid w:val="0"/>
              <w:spacing w:line="360" w:lineRule="auto"/>
              <w:ind w:firstLine="315" w:firstLineChars="1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招标人可以协助评标委员会开展下列工作并提供相关信息：</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（1）根据招标文件，编制评标使用的相应表格；</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（2）对投标报价进行算术性校核（如采用固化工程量清单，本步骤省略）；</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（3）以评标标准和方法为依据，列出投标文件相对于招标文件的所有偏差，并进行归类汇总；</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（4）查询公路建设市场信用信息管理系统，对投标人的资质、业绩、主要人员资历和目前在岗情况、信用等级进行核实。</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招标人不得对投标文件作出任何评价，不得故意遗漏或者片面摘录，不得在评标委员会对所有偏差定性之前透露存有偏差的投标人名称。</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1.2.2评标委员会</w:t>
            </w:r>
          </w:p>
          <w:p>
            <w:pPr>
              <w:autoSpaceDE w:val="0"/>
              <w:autoSpaceDN w:val="0"/>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评标委员会由招标人按国家、广东省等的有关规定依法组建。评标委员会的主要工作内容包括：</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（1）评标委员会开始评标工作之前，首先听取招标人、协助工作组关于工程情况和辅助工作的说明，并认真研读招标文件，获取评标所需的重要信息和数据；</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（2）对协助工作组提供的评标工作用表和评标内容进行核查。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（3）按照以下1.3款程序进行各项评审工作。</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1.3评审工作程序</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（一）第一信封（商务文件和技术文件）：</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l、初步评审：包括形式评审与响应性评审、资格评审（适用于未进行资格预</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审）；</w:t>
            </w:r>
          </w:p>
          <w:p>
            <w:pPr>
              <w:adjustRightInd w:val="0"/>
              <w:snapToGrid w:val="0"/>
              <w:spacing w:line="360" w:lineRule="auto"/>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 xml:space="preserve"> 2、详细评审（评审打分）：评标委员会首先对通过第一信封初步评审的投标文件第一个信封（商务及技术文件）进行详细评审，对投标人的施工组织设计、主要人员、其他因素等分别评审打分，并按照综合得分由高到低排序，排名在招标文件规定数量</w:t>
            </w:r>
            <w:r>
              <w:rPr>
                <w:rFonts w:hint="default" w:ascii="Times New Roman" w:hAnsi="Times New Roman" w:cs="Times New Roman"/>
                <w:color w:val="auto"/>
                <w:szCs w:val="21"/>
                <w:highlight w:val="none"/>
                <w:u w:val="single"/>
              </w:rPr>
              <w:t>前5 名（不少于3 名但不足5 名时，按全部实际数量）</w:t>
            </w:r>
            <w:r>
              <w:rPr>
                <w:rFonts w:hint="default" w:ascii="Times New Roman" w:hAnsi="Times New Roman" w:cs="Times New Roman"/>
                <w:color w:val="auto"/>
                <w:szCs w:val="21"/>
                <w:highlight w:val="none"/>
              </w:rPr>
              <w:t>的投标人，其投标文件第一信封（商务及技术文件）通过详细评审。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（二）第二信封（报价文件）：</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1、初步评审：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（1）只有对投标文件第一个信封通过详细评审的投标人的报价文件才能继续参加第二信封报价文件的形式评审与响应性评审。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（2）报价算术性修正（如采用固化工程量清单，本步骤省略）；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2、详细评审：计算评标价。</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（三）投标文件相关信息的核查。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（四）投标文件的澄清和说明（如有）</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（五）按评标办法规定按照第二信封的评标价由低到高的顺序推荐前三名中标候选人，编写评标报告。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3.2.2</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w:t>
            </w:r>
            <w:r>
              <w:rPr>
                <w:rFonts w:hint="default" w:ascii="Times New Roman" w:hAnsi="Times New Roman" w:eastAsia="宋体" w:cs="Times New Roman"/>
                <w:color w:val="auto"/>
                <w:szCs w:val="21"/>
                <w:highlight w:val="none"/>
                <w:lang w:val="en-US" w:eastAsia="zh-CN"/>
              </w:rPr>
              <w:t>标</w:t>
            </w:r>
            <w:r>
              <w:rPr>
                <w:rFonts w:hint="default" w:ascii="Times New Roman" w:hAnsi="Times New Roman" w:cs="Times New Roman"/>
                <w:color w:val="auto"/>
                <w:szCs w:val="21"/>
                <w:highlight w:val="none"/>
              </w:rPr>
              <w:t>办法原文第3.2.2 项修改如下：</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1"/>
                <w:highlight w:val="none"/>
              </w:rPr>
              <w:t>投标人</w:t>
            </w:r>
            <w:r>
              <w:rPr>
                <w:rFonts w:hint="default" w:ascii="Times New Roman" w:hAnsi="Times New Roman" w:eastAsia="宋体" w:cs="Times New Roman"/>
                <w:color w:val="auto"/>
                <w:sz w:val="20"/>
                <w:highlight w:val="none"/>
              </w:rPr>
              <w:t>的商务和</w:t>
            </w:r>
            <w:r>
              <w:rPr>
                <w:rFonts w:hint="default" w:ascii="Times New Roman" w:hAnsi="Times New Roman" w:eastAsia="宋体" w:cs="Times New Roman"/>
                <w:color w:val="auto"/>
                <w:sz w:val="21"/>
                <w:highlight w:val="none"/>
              </w:rPr>
              <w:t>技术得</w:t>
            </w:r>
            <w:r>
              <w:rPr>
                <w:rFonts w:hint="default" w:ascii="Times New Roman" w:hAnsi="Times New Roman" w:eastAsia="宋体" w:cs="Times New Roman"/>
                <w:color w:val="auto"/>
                <w:sz w:val="20"/>
                <w:highlight w:val="none"/>
              </w:rPr>
              <w:t>分分值</w:t>
            </w:r>
            <w:r>
              <w:rPr>
                <w:rFonts w:hint="default" w:ascii="Times New Roman" w:hAnsi="Times New Roman" w:eastAsia="宋体" w:cs="Times New Roman"/>
                <w:color w:val="auto"/>
                <w:sz w:val="20"/>
                <w:highlight w:val="none"/>
                <w:lang w:val="en-US" w:eastAsia="zh-CN"/>
              </w:rPr>
              <w:t>计</w:t>
            </w:r>
            <w:r>
              <w:rPr>
                <w:rFonts w:hint="default" w:ascii="Times New Roman" w:hAnsi="Times New Roman" w:eastAsia="宋体" w:cs="Times New Roman"/>
                <w:color w:val="auto"/>
                <w:sz w:val="20"/>
                <w:highlight w:val="none"/>
              </w:rPr>
              <w:t>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将评标办法范本原文第3.2.3款细化如下：</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投标人的商务和技术得分=A+B+C。</w:t>
            </w:r>
          </w:p>
          <w:p>
            <w:pPr>
              <w:autoSpaceDE w:val="0"/>
              <w:autoSpaceDN w:val="0"/>
              <w:adjustRightInd w:val="0"/>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除技术能力、履约信誉得分外，投标文件各评分因素细分项得分均不应低于其权重分的60%，评分低于权重分值60%的，评标委员会成员应当在评标报告中作出说明。</w:t>
            </w:r>
          </w:p>
          <w:p>
            <w:pPr>
              <w:autoSpaceDE w:val="0"/>
              <w:autoSpaceDN w:val="0"/>
              <w:adjustRightInd w:val="0"/>
              <w:spacing w:line="360" w:lineRule="auto"/>
              <w:ind w:firstLine="42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计算投标人技术得分时</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rPr>
              <w:t>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w:t>
            </w:r>
            <w:r>
              <w:rPr>
                <w:rFonts w:hint="default" w:ascii="Times New Roman" w:hAnsi="Times New Roman" w:cs="Times New Roman"/>
                <w:color w:val="auto"/>
                <w:highlight w:val="none"/>
              </w:rPr>
              <w:t>保留小数点后三位，小数点后第四位“四舍五入”</w:t>
            </w:r>
            <w:r>
              <w:rPr>
                <w:rFonts w:hint="default" w:ascii="Times New Roman" w:hAnsi="Times New Roman" w:cs="Times New Roman"/>
                <w:color w:val="auto"/>
                <w:highlight w:val="none"/>
                <w:lang w:val="en-US"/>
              </w:rPr>
              <w:t>。</w:t>
            </w:r>
          </w:p>
          <w:p>
            <w:pPr>
              <w:autoSpaceDE w:val="0"/>
              <w:autoSpaceDN w:val="0"/>
              <w:adjustRightInd w:val="0"/>
              <w:spacing w:line="360" w:lineRule="auto"/>
              <w:ind w:firstLine="420" w:firstLineChars="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取消其中1名评委所有评分的办法一（依次按照以下流程）：（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pPr>
              <w:autoSpaceDE w:val="0"/>
              <w:autoSpaceDN w:val="0"/>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highlight w:val="none"/>
                <w:lang w:val="en-US"/>
              </w:rPr>
              <w:t>示例</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rPr>
              <w:t>同一评委对5名投标人技术</w:t>
            </w:r>
            <w:r>
              <w:rPr>
                <w:rFonts w:hint="default" w:ascii="Times New Roman" w:hAnsi="Times New Roman" w:cs="Times New Roman"/>
                <w:color w:val="auto"/>
                <w:highlight w:val="none"/>
                <w:lang w:val="en-US" w:eastAsia="zh-CN"/>
              </w:rPr>
              <w:t>评</w:t>
            </w:r>
            <w:r>
              <w:rPr>
                <w:rFonts w:hint="default" w:ascii="Times New Roman" w:hAnsi="Times New Roman" w:cs="Times New Roman"/>
                <w:color w:val="auto"/>
                <w:highlight w:val="none"/>
                <w:lang w:val="en-US"/>
              </w:rPr>
              <w:t>分总分分别</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lang w:val="en-US"/>
              </w:rPr>
              <w:t>6.65（最高分)、5.88、5.11、4.90（次低分）、4.55（最低分），则其最大差值</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lang w:val="en-US"/>
              </w:rPr>
              <w:t>2.1、次大差值</w:t>
            </w:r>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lang w:val="en-US"/>
              </w:rPr>
              <w:t>6.65-4.90=1.75）。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3.4.2</w:t>
            </w:r>
          </w:p>
        </w:tc>
        <w:tc>
          <w:tcPr>
            <w:tcW w:w="7746" w:type="dxa"/>
            <w:gridSpan w:val="8"/>
            <w:noWrap w:val="0"/>
            <w:vAlign w:val="center"/>
          </w:tcPr>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将评标办法范本原文第3.4.2款第（2）、（3）、（4）条修改为：</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（2） 总价金额与依据单价计算出的结果不一致的，在保证投标总价不变的前提下予以合理调整单价。</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（3）当单价与数量相乘不等于合价时，应以标出的合价为准，同时对单价予以修正；</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（4） 当各子目的合价累计不等于总价时，应以总价不变的前提下，修正各子目合价。</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bCs/>
                <w:snapToGrid w:val="0"/>
                <w:color w:val="auto"/>
                <w:szCs w:val="21"/>
                <w:highlight w:val="none"/>
              </w:rPr>
              <w:t>（如采用固化工程量清单，3.4.2~3.4.4条款不适用）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3.4.4</w:t>
            </w:r>
          </w:p>
        </w:tc>
        <w:tc>
          <w:tcPr>
            <w:tcW w:w="7746" w:type="dxa"/>
            <w:gridSpan w:val="8"/>
            <w:noWrap w:val="0"/>
            <w:vAlign w:val="center"/>
          </w:tcPr>
          <w:p>
            <w:pPr>
              <w:tabs>
                <w:tab w:val="left" w:pos="858"/>
              </w:tabs>
              <w:adjustRightInd w:val="0"/>
              <w:snapToGrid w:val="0"/>
              <w:spacing w:line="360" w:lineRule="auto"/>
              <w:rPr>
                <w:rStyle w:val="16"/>
                <w:rFonts w:hint="default" w:ascii="Times New Roman" w:hAnsi="Times New Roman" w:cs="Times New Roman"/>
                <w:color w:val="auto"/>
                <w:szCs w:val="21"/>
                <w:highlight w:val="none"/>
              </w:rPr>
            </w:pPr>
            <w:r>
              <w:rPr>
                <w:rFonts w:hint="default" w:ascii="Times New Roman" w:hAnsi="Times New Roman" w:cs="Times New Roman"/>
                <w:snapToGrid w:val="0"/>
                <w:color w:val="auto"/>
                <w:szCs w:val="21"/>
                <w:highlight w:val="none"/>
              </w:rPr>
              <w:t>将评标办法范本原文第3.4.4款修改为：</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Cs/>
                <w:snapToGrid w:val="0"/>
                <w:color w:val="auto"/>
                <w:highlight w:val="none"/>
              </w:rPr>
              <w:t>修正后的最终投标报价若超过</w:t>
            </w:r>
            <w:r>
              <w:rPr>
                <w:rFonts w:hint="default" w:ascii="Times New Roman" w:hAnsi="Times New Roman" w:cs="Times New Roman"/>
                <w:bCs/>
                <w:snapToGrid w:val="0"/>
                <w:color w:val="auto"/>
                <w:szCs w:val="21"/>
                <w:highlight w:val="none"/>
              </w:rPr>
              <w:t>最高评标限价</w:t>
            </w:r>
            <w:r>
              <w:rPr>
                <w:rFonts w:hint="default" w:ascii="Times New Roman" w:hAnsi="Times New Roman" w:cs="Times New Roman"/>
                <w:bCs/>
                <w:snapToGrid w:val="0"/>
                <w:color w:val="auto"/>
                <w:highlight w:val="none"/>
              </w:rPr>
              <w:t>，评标委员会应否决其投标。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bCs/>
                <w:snapToGrid w:val="0"/>
                <w:color w:val="auto"/>
                <w:highlight w:val="none"/>
              </w:rPr>
            </w:pPr>
            <w:r>
              <w:rPr>
                <w:rFonts w:hint="default" w:ascii="Times New Roman" w:hAnsi="Times New Roman" w:cs="Times New Roman"/>
                <w:bCs/>
                <w:snapToGrid w:val="0"/>
                <w:color w:val="auto"/>
                <w:highlight w:val="none"/>
              </w:rPr>
              <w:t>3.6</w:t>
            </w:r>
          </w:p>
        </w:tc>
        <w:tc>
          <w:tcPr>
            <w:tcW w:w="7746" w:type="dxa"/>
            <w:gridSpan w:val="8"/>
            <w:noWrap w:val="0"/>
            <w:vAlign w:val="center"/>
          </w:tcPr>
          <w:p>
            <w:pPr>
              <w:adjustRightInd w:val="0"/>
              <w:snapToGrid w:val="0"/>
              <w:spacing w:line="360" w:lineRule="auto"/>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3.6.2项（2）目末增加以下条款：</w:t>
            </w:r>
          </w:p>
          <w:p>
            <w:pPr>
              <w:adjustRightInd w:val="0"/>
              <w:snapToGrid w:val="0"/>
              <w:spacing w:line="360" w:lineRule="auto"/>
              <w:ind w:firstLine="420" w:firstLineChars="200"/>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g.当一家以上投标人评标价相同时，若各投标人工程量清单细目单价也相同，视为串标（一个标段仅一工作细目报价的除外）。</w:t>
            </w:r>
          </w:p>
          <w:p>
            <w:pPr>
              <w:adjustRightInd w:val="0"/>
              <w:snapToGrid w:val="0"/>
              <w:spacing w:line="360" w:lineRule="auto"/>
              <w:ind w:firstLine="420" w:firstLineChars="200"/>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h.广东省实施（中华人民共和国招标投标法）办法第十六条规定的情形。</w:t>
            </w:r>
          </w:p>
          <w:p>
            <w:pPr>
              <w:adjustRightInd w:val="0"/>
              <w:snapToGrid w:val="0"/>
              <w:spacing w:line="360" w:lineRule="auto"/>
              <w:rPr>
                <w:rFonts w:hint="default" w:ascii="Times New Roman" w:hAnsi="Times New Roman" w:cs="Times New Roman"/>
                <w:bCs/>
                <w:snapToGrid w:val="0"/>
                <w:color w:val="auto"/>
                <w:highlight w:val="none"/>
                <w:lang w:val="en-US" w:eastAsia="zh-CN"/>
              </w:rPr>
            </w:pPr>
            <w:r>
              <w:rPr>
                <w:rFonts w:hint="default" w:ascii="Times New Roman" w:hAnsi="Times New Roman" w:cs="Times New Roman"/>
                <w:bCs/>
                <w:snapToGrid w:val="0"/>
                <w:color w:val="auto"/>
                <w:highlight w:val="none"/>
                <w:lang w:val="en-US" w:eastAsia="zh-CN"/>
              </w:rPr>
              <w:t>增加3.6.3项：</w:t>
            </w:r>
          </w:p>
          <w:p>
            <w:pPr>
              <w:adjustRightInd w:val="0"/>
              <w:snapToGrid w:val="0"/>
              <w:spacing w:line="360" w:lineRule="auto"/>
              <w:ind w:firstLine="420" w:firstLineChars="200"/>
              <w:rPr>
                <w:rFonts w:hint="default" w:ascii="Times New Roman" w:hAnsi="Times New Roman" w:cs="Times New Roman"/>
                <w:bCs/>
                <w:snapToGrid w:val="0"/>
                <w:color w:val="auto"/>
                <w:highlight w:val="none"/>
              </w:rPr>
            </w:pPr>
            <w:r>
              <w:rPr>
                <w:rFonts w:hint="default" w:ascii="Times New Roman" w:hAnsi="Times New Roman" w:cs="Times New Roman"/>
                <w:bCs/>
                <w:snapToGrid w:val="0"/>
                <w:color w:val="auto"/>
                <w:highlight w:val="none"/>
                <w:lang w:val="en-US" w:eastAsia="zh-CN"/>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3.7.1</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将评标办法范本原文第3.7.1款修改为：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adjustRightInd w:val="0"/>
              <w:snapToGrid w:val="0"/>
              <w:spacing w:line="360" w:lineRule="auto"/>
              <w:ind w:firstLine="420" w:firstLineChars="200"/>
              <w:rPr>
                <w:rFonts w:hint="default" w:ascii="Times New Roman" w:hAnsi="Times New Roman" w:cs="Times New Roman"/>
                <w:bCs/>
                <w:snapToGrid w:val="0"/>
                <w:color w:val="auto"/>
                <w:szCs w:val="21"/>
                <w:highlight w:val="none"/>
              </w:rPr>
            </w:pPr>
            <w:r>
              <w:rPr>
                <w:rFonts w:hint="default" w:ascii="Times New Roman" w:hAnsi="Times New Roman" w:cs="Times New Roman"/>
                <w:bCs/>
                <w:snapToGrid w:val="0"/>
                <w:color w:val="auto"/>
                <w:szCs w:val="21"/>
                <w:highlight w:val="none"/>
              </w:rPr>
              <w:t xml:space="preserve">（1） 投标文件中的下列计算错误为细微偏差（采用固化工程量清单，则a－d步骤省略）： </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a、</w:t>
            </w:r>
            <w:r>
              <w:rPr>
                <w:rFonts w:hint="default" w:ascii="Times New Roman" w:hAnsi="Times New Roman" w:cs="Times New Roman"/>
                <w:snapToGrid w:val="0"/>
                <w:color w:val="auto"/>
                <w:szCs w:val="21"/>
                <w:highlight w:val="none"/>
              </w:rPr>
              <w:t>在</w:t>
            </w:r>
            <w:r>
              <w:rPr>
                <w:rFonts w:hint="default" w:ascii="Times New Roman" w:hAnsi="Times New Roman" w:cs="Times New Roman"/>
                <w:color w:val="auto"/>
                <w:szCs w:val="21"/>
                <w:highlight w:val="none"/>
              </w:rPr>
              <w:t>算术</w:t>
            </w:r>
            <w:r>
              <w:rPr>
                <w:rFonts w:hint="default" w:ascii="Times New Roman" w:hAnsi="Times New Roman" w:cs="Times New Roman"/>
                <w:snapToGrid w:val="0"/>
                <w:color w:val="auto"/>
                <w:szCs w:val="21"/>
                <w:highlight w:val="none"/>
              </w:rPr>
              <w:t>性复核中发现的算术性差错：</w:t>
            </w:r>
          </w:p>
          <w:p>
            <w:pPr>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snapToGrid w:val="0"/>
                <w:color w:val="auto"/>
                <w:szCs w:val="21"/>
                <w:highlight w:val="none"/>
              </w:rPr>
              <w:t>在招标人给定的工程量清单中漏报了某个工程细目的单价和合价；</w:t>
            </w:r>
          </w:p>
          <w:p>
            <w:pPr>
              <w:adjustRightInd w:val="0"/>
              <w:snapToGrid w:val="0"/>
              <w:spacing w:line="360" w:lineRule="auto"/>
              <w:ind w:firstLine="384" w:firstLineChars="194"/>
              <w:rPr>
                <w:rFonts w:hint="default" w:ascii="Times New Roman" w:hAnsi="Times New Roman" w:cs="Times New Roman"/>
                <w:snapToGrid w:val="0"/>
                <w:color w:val="auto"/>
                <w:spacing w:val="-6"/>
                <w:szCs w:val="21"/>
                <w:highlight w:val="none"/>
              </w:rPr>
            </w:pPr>
            <w:r>
              <w:rPr>
                <w:rFonts w:hint="default" w:ascii="Times New Roman" w:hAnsi="Times New Roman" w:cs="Times New Roman"/>
                <w:color w:val="auto"/>
                <w:spacing w:val="-6"/>
                <w:szCs w:val="21"/>
                <w:highlight w:val="none"/>
              </w:rPr>
              <w:t>c、</w:t>
            </w:r>
            <w:r>
              <w:rPr>
                <w:rFonts w:hint="default" w:ascii="Times New Roman" w:hAnsi="Times New Roman" w:cs="Times New Roman"/>
                <w:snapToGrid w:val="0"/>
                <w:color w:val="auto"/>
                <w:spacing w:val="-6"/>
                <w:szCs w:val="21"/>
                <w:highlight w:val="none"/>
              </w:rPr>
              <w:t>在招标人给定的工程量清单中多报了某个工程细目的单价和合价或所报单价增加或减少了报价范围；</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d、</w:t>
            </w:r>
            <w:r>
              <w:rPr>
                <w:rFonts w:hint="default" w:ascii="Times New Roman" w:hAnsi="Times New Roman" w:cs="Times New Roman"/>
                <w:snapToGrid w:val="0"/>
                <w:color w:val="auto"/>
                <w:szCs w:val="21"/>
                <w:highlight w:val="none"/>
              </w:rPr>
              <w:t>在招标人给定的工程量清单中修改了某些支付号的工程数量。</w:t>
            </w:r>
          </w:p>
          <w:p>
            <w:pPr>
              <w:adjustRightInd w:val="0"/>
              <w:snapToGrid w:val="0"/>
              <w:spacing w:line="360" w:lineRule="auto"/>
              <w:ind w:firstLine="420" w:firstLineChars="200"/>
              <w:rPr>
                <w:rFonts w:hint="default" w:ascii="Times New Roman" w:hAnsi="Times New Roman" w:cs="Times New Roman"/>
                <w:bCs/>
                <w:snapToGrid w:val="0"/>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bCs/>
                <w:snapToGrid w:val="0"/>
                <w:color w:val="auto"/>
                <w:szCs w:val="21"/>
                <w:highlight w:val="none"/>
              </w:rPr>
              <w:t>评标委员会对投标文件中的细微偏差按如下规定处理（采用固化工程量清单，则a－d步骤省略）：</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a、</w:t>
            </w:r>
            <w:r>
              <w:rPr>
                <w:rFonts w:hint="default" w:ascii="Times New Roman" w:hAnsi="Times New Roman" w:cs="Times New Roman"/>
                <w:snapToGrid w:val="0"/>
                <w:color w:val="auto"/>
                <w:szCs w:val="21"/>
                <w:highlight w:val="none"/>
              </w:rPr>
              <w:t>按本评标办法的规定对算术性错误予以修正；</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snapToGrid w:val="0"/>
                <w:color w:val="auto"/>
                <w:szCs w:val="21"/>
                <w:highlight w:val="none"/>
              </w:rPr>
              <w:t>对于漏报的工程细目单价和合价或单价和合价减少的报价内容视为已含入其它工程细目的单价和合价之中；</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c、在保证投标总价不变的前提下，</w:t>
            </w:r>
            <w:r>
              <w:rPr>
                <w:rFonts w:hint="default" w:ascii="Times New Roman" w:hAnsi="Times New Roman" w:cs="Times New Roman"/>
                <w:snapToGrid w:val="0"/>
                <w:color w:val="auto"/>
                <w:szCs w:val="21"/>
                <w:highlight w:val="none"/>
              </w:rPr>
              <w:t>对于多报的工程细目报价或工程细目报价中增加的部分报价从投标报价中予以扣除，并对其它细目作相应的平衡性调整；</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snapToGrid w:val="0"/>
                <w:color w:val="auto"/>
                <w:szCs w:val="21"/>
                <w:highlight w:val="none"/>
              </w:rPr>
              <w:t>d、</w:t>
            </w:r>
            <w:r>
              <w:rPr>
                <w:rFonts w:hint="default" w:ascii="Times New Roman" w:hAnsi="Times New Roman" w:cs="Times New Roman"/>
                <w:color w:val="auto"/>
                <w:szCs w:val="21"/>
                <w:highlight w:val="none"/>
              </w:rPr>
              <w:t>在保证投标总价不变的前提下，对</w:t>
            </w:r>
            <w:r>
              <w:rPr>
                <w:rFonts w:hint="default" w:ascii="Times New Roman" w:hAnsi="Times New Roman" w:cs="Times New Roman"/>
                <w:snapToGrid w:val="0"/>
                <w:color w:val="auto"/>
                <w:szCs w:val="21"/>
                <w:highlight w:val="none"/>
              </w:rPr>
              <w:t>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c>
          <w:tcPr>
            <w:tcW w:w="7746" w:type="dxa"/>
            <w:gridSpan w:val="8"/>
            <w:noWrap w:val="0"/>
            <w:vAlign w:val="center"/>
          </w:tcPr>
          <w:p>
            <w:pPr>
              <w:adjustRightInd w:val="0"/>
              <w:snapToGrid w:val="0"/>
              <w:spacing w:line="360" w:lineRule="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增加3.9.3-3.9.</w:t>
            </w:r>
            <w:r>
              <w:rPr>
                <w:rFonts w:hint="default" w:ascii="Times New Roman" w:hAnsi="Times New Roman" w:eastAsia="宋体" w:cs="Times New Roman"/>
                <w:bCs/>
                <w:color w:val="auto"/>
                <w:szCs w:val="21"/>
                <w:highlight w:val="none"/>
                <w:lang w:val="en-US" w:eastAsia="zh-CN"/>
              </w:rPr>
              <w:t>7项</w:t>
            </w:r>
            <w:r>
              <w:rPr>
                <w:rFonts w:hint="default" w:ascii="Times New Roman" w:hAnsi="Times New Roman" w:cs="Times New Roman"/>
                <w:bCs/>
                <w:color w:val="auto"/>
                <w:szCs w:val="21"/>
                <w:highlight w:val="none"/>
              </w:rPr>
              <w:t>：</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3.9.3推荐中标候选人方式：（1）已被推荐为</w:t>
            </w:r>
            <w:r>
              <w:rPr>
                <w:rFonts w:hint="default" w:ascii="Times New Roman" w:hAnsi="Times New Roman" w:eastAsia="宋体" w:cs="Times New Roman"/>
                <w:color w:val="auto"/>
                <w:sz w:val="21"/>
                <w:highlight w:val="none"/>
              </w:rPr>
              <w:t>某一标段</w:t>
            </w:r>
            <w:r>
              <w:rPr>
                <w:rFonts w:hint="default" w:ascii="Times New Roman" w:hAnsi="Times New Roman" w:eastAsia="宋体" w:cs="Times New Roman"/>
                <w:color w:val="auto"/>
                <w:sz w:val="20"/>
                <w:highlight w:val="none"/>
              </w:rPr>
              <w:t>的第一中标候人，自动失去其在本次招标中其他标段</w:t>
            </w:r>
            <w:r>
              <w:rPr>
                <w:rFonts w:hint="default" w:ascii="Times New Roman" w:hAnsi="Times New Roman" w:eastAsia="宋体" w:cs="Times New Roman"/>
                <w:color w:val="auto"/>
                <w:sz w:val="21"/>
                <w:highlight w:val="none"/>
              </w:rPr>
              <w:t>的中标候</w:t>
            </w:r>
            <w:r>
              <w:rPr>
                <w:rFonts w:hint="default" w:ascii="Times New Roman" w:hAnsi="Times New Roman" w:eastAsia="宋体" w:cs="Times New Roman"/>
                <w:color w:val="auto"/>
                <w:sz w:val="20"/>
                <w:highlight w:val="none"/>
              </w:rPr>
              <w:t>选人资格</w:t>
            </w:r>
            <w:r>
              <w:rPr>
                <w:rFonts w:hint="default" w:ascii="Times New Roman" w:hAnsi="Times New Roman" w:cs="Times New Roman"/>
                <w:color w:val="auto"/>
                <w:szCs w:val="21"/>
                <w:highlight w:val="none"/>
              </w:rPr>
              <w:t>。</w:t>
            </w:r>
            <w:r>
              <w:rPr>
                <w:rFonts w:hint="default" w:ascii="Times New Roman" w:hAnsi="Times New Roman" w:eastAsia="宋体" w:cs="Times New Roman"/>
                <w:color w:val="auto"/>
                <w:sz w:val="21"/>
                <w:highlight w:val="none"/>
              </w:rPr>
              <w:t>（2）按标段</w:t>
            </w:r>
            <w:r>
              <w:rPr>
                <w:rFonts w:hint="default" w:ascii="Times New Roman" w:hAnsi="Times New Roman" w:eastAsia="宋体" w:cs="Times New Roman"/>
                <w:color w:val="auto"/>
                <w:sz w:val="20"/>
                <w:highlight w:val="none"/>
              </w:rPr>
              <w:t>最高投标限价由高到低顺序依次选定</w:t>
            </w:r>
            <w:r>
              <w:rPr>
                <w:rFonts w:hint="default" w:ascii="Times New Roman" w:hAnsi="Times New Roman" w:eastAsia="宋体" w:cs="Times New Roman"/>
                <w:color w:val="auto"/>
                <w:sz w:val="21"/>
                <w:highlight w:val="none"/>
              </w:rPr>
              <w:t>各标段</w:t>
            </w:r>
            <w:r>
              <w:rPr>
                <w:rFonts w:hint="default" w:ascii="Times New Roman" w:hAnsi="Times New Roman" w:eastAsia="宋体" w:cs="Times New Roman"/>
                <w:color w:val="auto"/>
                <w:sz w:val="20"/>
                <w:highlight w:val="none"/>
              </w:rPr>
              <w:t>中标候</w:t>
            </w:r>
            <w:r>
              <w:rPr>
                <w:rFonts w:hint="default" w:ascii="Times New Roman" w:hAnsi="Times New Roman" w:eastAsia="宋体" w:cs="Times New Roman"/>
                <w:color w:val="auto"/>
                <w:sz w:val="21"/>
                <w:highlight w:val="none"/>
              </w:rPr>
              <w:t>人，如果出现投</w:t>
            </w:r>
            <w:r>
              <w:rPr>
                <w:rFonts w:hint="default" w:ascii="Times New Roman" w:hAnsi="Times New Roman" w:eastAsia="宋体" w:cs="Times New Roman"/>
                <w:color w:val="auto"/>
                <w:sz w:val="20"/>
                <w:highlight w:val="none"/>
              </w:rPr>
              <w:t>标人在多个标段</w:t>
            </w:r>
            <w:r>
              <w:rPr>
                <w:rFonts w:hint="default" w:ascii="Times New Roman" w:hAnsi="Times New Roman" w:eastAsia="宋体" w:cs="Times New Roman"/>
                <w:color w:val="auto"/>
                <w:sz w:val="21"/>
                <w:highlight w:val="none"/>
              </w:rPr>
              <w:t>都排名第一，将确定该投标人为最高投标限</w:t>
            </w:r>
            <w:r>
              <w:rPr>
                <w:rFonts w:hint="default" w:ascii="Times New Roman" w:hAnsi="Times New Roman" w:eastAsia="宋体" w:cs="Times New Roman"/>
                <w:color w:val="auto"/>
                <w:sz w:val="20"/>
                <w:highlight w:val="none"/>
              </w:rPr>
              <w:t>价较高</w:t>
            </w:r>
            <w:r>
              <w:rPr>
                <w:rFonts w:hint="default" w:ascii="Times New Roman" w:hAnsi="Times New Roman" w:eastAsia="宋体" w:cs="Times New Roman"/>
                <w:color w:val="auto"/>
                <w:sz w:val="21"/>
                <w:highlight w:val="none"/>
              </w:rPr>
              <w:t>的标段</w:t>
            </w:r>
            <w:r>
              <w:rPr>
                <w:rFonts w:hint="default" w:ascii="Times New Roman" w:hAnsi="Times New Roman" w:eastAsia="宋体" w:cs="Times New Roman"/>
                <w:color w:val="auto"/>
                <w:sz w:val="20"/>
                <w:highlight w:val="none"/>
              </w:rPr>
              <w:t>的第一中标候</w:t>
            </w:r>
            <w:r>
              <w:rPr>
                <w:rFonts w:hint="default" w:ascii="Times New Roman" w:hAnsi="Times New Roman" w:eastAsia="宋体" w:cs="Times New Roman"/>
                <w:color w:val="auto"/>
                <w:sz w:val="21"/>
                <w:highlight w:val="none"/>
              </w:rPr>
              <w:t>人，同时该投标人</w:t>
            </w:r>
            <w:r>
              <w:rPr>
                <w:rFonts w:hint="default" w:ascii="Times New Roman" w:hAnsi="Times New Roman" w:eastAsia="宋体" w:cs="Times New Roman"/>
                <w:color w:val="auto"/>
                <w:sz w:val="20"/>
                <w:highlight w:val="none"/>
              </w:rPr>
              <w:t>自动失去在本次招标中其他标段</w:t>
            </w:r>
            <w:r>
              <w:rPr>
                <w:rFonts w:hint="default" w:ascii="Times New Roman" w:hAnsi="Times New Roman" w:eastAsia="宋体" w:cs="Times New Roman"/>
                <w:color w:val="auto"/>
                <w:sz w:val="21"/>
                <w:highlight w:val="none"/>
              </w:rPr>
              <w:t>的中标候</w:t>
            </w:r>
            <w:r>
              <w:rPr>
                <w:rFonts w:hint="default" w:ascii="Times New Roman" w:hAnsi="Times New Roman" w:eastAsia="宋体" w:cs="Times New Roman"/>
                <w:color w:val="auto"/>
                <w:sz w:val="20"/>
                <w:highlight w:val="none"/>
              </w:rPr>
              <w:t>选人资格</w:t>
            </w:r>
            <w:r>
              <w:rPr>
                <w:rFonts w:hint="default" w:ascii="Times New Roman" w:hAnsi="Times New Roman" w:eastAsia="宋体" w:cs="Times New Roman"/>
                <w:color w:val="auto"/>
                <w:sz w:val="21"/>
                <w:highlight w:val="none"/>
              </w:rPr>
              <w:t>，其他标段</w:t>
            </w:r>
            <w:r>
              <w:rPr>
                <w:rFonts w:hint="default" w:ascii="Times New Roman" w:hAnsi="Times New Roman" w:eastAsia="宋体" w:cs="Times New Roman"/>
                <w:color w:val="auto"/>
                <w:sz w:val="20"/>
                <w:highlight w:val="none"/>
              </w:rPr>
              <w:t>的综合</w:t>
            </w:r>
            <w:r>
              <w:rPr>
                <w:rFonts w:hint="default" w:ascii="Times New Roman" w:hAnsi="Times New Roman" w:eastAsia="宋体" w:cs="Times New Roman"/>
                <w:color w:val="auto"/>
                <w:sz w:val="21"/>
                <w:highlight w:val="none"/>
              </w:rPr>
              <w:t>排名名次高者自动上升为中</w:t>
            </w:r>
            <w:r>
              <w:rPr>
                <w:rFonts w:hint="default" w:ascii="Times New Roman" w:hAnsi="Times New Roman" w:eastAsia="宋体" w:cs="Times New Roman"/>
                <w:color w:val="auto"/>
                <w:sz w:val="20"/>
                <w:highlight w:val="none"/>
              </w:rPr>
              <w:t>标候选人</w:t>
            </w:r>
            <w:r>
              <w:rPr>
                <w:rFonts w:hint="default" w:ascii="Times New Roman" w:hAnsi="Times New Roman" w:eastAsia="宋体" w:cs="Times New Roman"/>
                <w:color w:val="auto"/>
                <w:sz w:val="21"/>
                <w:highlight w:val="none"/>
              </w:rPr>
              <w:t>，以此类推</w:t>
            </w:r>
            <w:r>
              <w:rPr>
                <w:rFonts w:hint="default" w:ascii="Times New Roman" w:hAnsi="Times New Roman" w:eastAsia="宋体" w:cs="Times New Roman"/>
                <w:color w:val="auto"/>
                <w:sz w:val="20"/>
                <w:highlight w:val="none"/>
              </w:rPr>
              <w:t>。</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3.9.4通过第一信封商务文件和技术文件评审的投标人少于3个的，评标委员会应否决全部投标。</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3.9.5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3.9.6如果发生无法确定推荐中标候选人的其它意外情况，评标委员会可建议招标人重新招标。</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rPr>
              <w:t>9</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本招标文件规定的否决投标条款包含在以下条款：</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（1）招标公告第3点投标人资格要求；</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（2）投标人须知1.4.3项、1.4.4项、</w:t>
            </w:r>
            <w:r>
              <w:rPr>
                <w:rFonts w:hint="default" w:ascii="Times New Roman" w:hAnsi="Times New Roman" w:cs="Times New Roman"/>
                <w:color w:val="auto"/>
                <w:szCs w:val="21"/>
                <w:highlight w:val="none"/>
                <w:lang w:val="en-US"/>
              </w:rPr>
              <w:t>1.4.5项、</w:t>
            </w:r>
            <w:r>
              <w:rPr>
                <w:rFonts w:hint="default" w:ascii="Times New Roman" w:hAnsi="Times New Roman" w:cs="Times New Roman"/>
                <w:color w:val="auto"/>
                <w:szCs w:val="21"/>
                <w:highlight w:val="none"/>
              </w:rPr>
              <w:t>1.11.1项、1.12</w:t>
            </w:r>
            <w:r>
              <w:rPr>
                <w:rFonts w:hint="default" w:ascii="Times New Roman" w:hAnsi="Times New Roman" w:cs="Times New Roman"/>
                <w:color w:val="auto"/>
                <w:szCs w:val="21"/>
                <w:highlight w:val="none"/>
                <w:lang w:val="en-US"/>
              </w:rPr>
              <w:t>.2</w:t>
            </w:r>
            <w:r>
              <w:rPr>
                <w:rFonts w:hint="default" w:ascii="Times New Roman" w:hAnsi="Times New Roman" w:cs="Times New Roman"/>
                <w:color w:val="auto"/>
                <w:szCs w:val="21"/>
                <w:highlight w:val="none"/>
              </w:rPr>
              <w:t>项、3.4</w:t>
            </w:r>
            <w:r>
              <w:rPr>
                <w:rFonts w:hint="default" w:ascii="Times New Roman" w:hAnsi="Times New Roman" w:cs="Times New Roman"/>
                <w:color w:val="auto"/>
                <w:szCs w:val="21"/>
                <w:highlight w:val="none"/>
                <w:lang w:val="en-US"/>
              </w:rPr>
              <w:t>.2</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val="en-US"/>
              </w:rPr>
              <w:t>3.5.11项、</w:t>
            </w:r>
            <w:r>
              <w:rPr>
                <w:rFonts w:hint="default" w:ascii="Times New Roman" w:hAnsi="Times New Roman" w:cs="Times New Roman"/>
                <w:color w:val="auto"/>
                <w:szCs w:val="21"/>
                <w:highlight w:val="none"/>
              </w:rPr>
              <w:t>3.6</w:t>
            </w:r>
            <w:r>
              <w:rPr>
                <w:rFonts w:hint="default" w:ascii="Times New Roman" w:hAnsi="Times New Roman" w:cs="Times New Roman"/>
                <w:color w:val="auto"/>
                <w:szCs w:val="21"/>
                <w:highlight w:val="none"/>
                <w:lang w:val="en-US"/>
              </w:rPr>
              <w:t>.1</w:t>
            </w:r>
            <w:r>
              <w:rPr>
                <w:rFonts w:hint="default" w:ascii="Times New Roman" w:hAnsi="Times New Roman" w:cs="Times New Roman"/>
                <w:color w:val="auto"/>
                <w:szCs w:val="21"/>
                <w:highlight w:val="none"/>
              </w:rPr>
              <w:t>项；</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（3）本评标办法的否决条款。</w:t>
            </w:r>
          </w:p>
        </w:tc>
      </w:tr>
    </w:tbl>
    <w:p>
      <w:pPr>
        <w:pStyle w:val="4"/>
        <w:spacing w:before="360" w:after="240" w:line="240" w:lineRule="atLeast"/>
        <w:rPr>
          <w:rFonts w:hint="default" w:ascii="Times New Roman" w:hAnsi="Times New Roman" w:cs="Times New Roman"/>
          <w:b w:val="0"/>
          <w:color w:val="auto"/>
          <w:highlight w:val="none"/>
        </w:rPr>
      </w:pPr>
      <w:r>
        <w:rPr>
          <w:rFonts w:hint="default" w:ascii="Times New Roman" w:hAnsi="Times New Roman" w:cs="Times New Roman"/>
          <w:b w:val="0"/>
          <w:color w:val="auto"/>
          <w:highlight w:val="none"/>
        </w:rPr>
        <w:br w:type="page"/>
      </w:r>
      <w:r>
        <w:rPr>
          <w:rFonts w:hint="default" w:ascii="Times New Roman" w:hAnsi="Times New Roman" w:eastAsia="黑体" w:cs="Times New Roman"/>
          <w:b w:val="0"/>
          <w:color w:val="auto"/>
          <w:sz w:val="28"/>
          <w:szCs w:val="28"/>
          <w:highlight w:val="none"/>
        </w:rPr>
        <w:t>1. 评标方法</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4"/>
        <w:spacing w:before="360" w:after="240" w:line="240" w:lineRule="atLeast"/>
        <w:rPr>
          <w:rFonts w:hint="default" w:ascii="Times New Roman" w:hAnsi="Times New Roman" w:eastAsia="黑体" w:cs="Times New Roman"/>
          <w:b w:val="0"/>
          <w:color w:val="auto"/>
          <w:sz w:val="28"/>
          <w:szCs w:val="28"/>
          <w:highlight w:val="none"/>
        </w:rPr>
      </w:pPr>
      <w:bookmarkStart w:id="81" w:name="_Toc501257143"/>
      <w:bookmarkStart w:id="82" w:name="_Toc510089862"/>
      <w:bookmarkStart w:id="83" w:name="_Toc509959128"/>
      <w:bookmarkStart w:id="84" w:name="_Toc509962369"/>
      <w:bookmarkStart w:id="85" w:name="_Toc510172775"/>
      <w:r>
        <w:rPr>
          <w:rFonts w:hint="default" w:ascii="Times New Roman" w:hAnsi="Times New Roman" w:eastAsia="黑体" w:cs="Times New Roman"/>
          <w:b w:val="0"/>
          <w:color w:val="auto"/>
          <w:sz w:val="28"/>
          <w:szCs w:val="28"/>
          <w:highlight w:val="none"/>
        </w:rPr>
        <w:t>2. 评审标准</w:t>
      </w:r>
      <w:bookmarkEnd w:id="81"/>
      <w:bookmarkEnd w:id="82"/>
      <w:bookmarkEnd w:id="83"/>
      <w:bookmarkEnd w:id="84"/>
      <w:bookmarkEnd w:id="85"/>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86" w:name="_Toc510172776"/>
      <w:bookmarkStart w:id="87" w:name="_Toc510089863"/>
      <w:bookmarkStart w:id="88" w:name="_Toc501257144"/>
      <w:bookmarkStart w:id="89" w:name="_Toc509962370"/>
      <w:bookmarkStart w:id="90" w:name="_Toc509959129"/>
      <w:r>
        <w:rPr>
          <w:rFonts w:hint="default" w:ascii="Times New Roman" w:hAnsi="Times New Roman" w:eastAsia="黑体" w:cs="Times New Roman"/>
          <w:b w:val="0"/>
          <w:color w:val="auto"/>
          <w:sz w:val="24"/>
          <w:szCs w:val="24"/>
          <w:highlight w:val="none"/>
        </w:rPr>
        <w:t>2.1 初步评审标准</w:t>
      </w:r>
      <w:bookmarkEnd w:id="86"/>
      <w:bookmarkEnd w:id="87"/>
      <w:bookmarkEnd w:id="88"/>
      <w:bookmarkEnd w:id="89"/>
      <w:bookmarkEnd w:id="90"/>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 形式评审标准：见评标办法前附表。</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资格评审标准：见评标办法前附表（适用于未进行资格预审的）。</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资格评审标准：见资格预审文件第三章“资格审查办法”详细审查标准（适用于已进行资格预审的）。</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 响应性评审标准：见评标办法前附表。</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91" w:name="_Toc509962371"/>
      <w:bookmarkStart w:id="92" w:name="_Toc509959130"/>
      <w:bookmarkStart w:id="93" w:name="_Toc510089864"/>
      <w:bookmarkStart w:id="94" w:name="_Toc510172777"/>
      <w:bookmarkStart w:id="95" w:name="_Toc501257145"/>
      <w:r>
        <w:rPr>
          <w:rFonts w:hint="default" w:ascii="Times New Roman" w:hAnsi="Times New Roman" w:eastAsia="黑体" w:cs="Times New Roman"/>
          <w:b w:val="0"/>
          <w:color w:val="auto"/>
          <w:sz w:val="24"/>
          <w:szCs w:val="24"/>
          <w:highlight w:val="none"/>
        </w:rPr>
        <w:t>2.2 分值构成与评分标准</w:t>
      </w:r>
      <w:bookmarkEnd w:id="91"/>
      <w:bookmarkEnd w:id="92"/>
      <w:bookmarkEnd w:id="93"/>
      <w:bookmarkEnd w:id="94"/>
      <w:bookmarkEnd w:id="95"/>
    </w:p>
    <w:p>
      <w:pPr>
        <w:tabs>
          <w:tab w:val="left" w:pos="360"/>
        </w:tabs>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2.2.1 </w:t>
      </w:r>
      <w:r>
        <w:rPr>
          <w:rFonts w:hint="default" w:ascii="Times New Roman" w:hAnsi="Times New Roman" w:eastAsia="黑体" w:cs="Times New Roman"/>
          <w:bCs/>
          <w:color w:val="auto"/>
          <w:kern w:val="44"/>
          <w:sz w:val="24"/>
          <w:highlight w:val="none"/>
        </w:rPr>
        <w:t>第一个信封评分</w:t>
      </w:r>
      <w:r>
        <w:rPr>
          <w:rFonts w:hint="default" w:ascii="Times New Roman" w:hAnsi="Times New Roman" w:eastAsia="黑体" w:cs="Times New Roman"/>
          <w:color w:val="auto"/>
          <w:sz w:val="24"/>
          <w:highlight w:val="none"/>
        </w:rPr>
        <w:t>分值构成</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（1）施工组织设计：见评标办法前附表；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（2）主要人员：见评标办法前附表；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（3）其他评分因素：见评标办法前附表。</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2.2.2 </w:t>
      </w:r>
      <w:r>
        <w:rPr>
          <w:rFonts w:hint="default" w:ascii="Times New Roman" w:hAnsi="Times New Roman" w:eastAsia="黑体" w:cs="Times New Roman"/>
          <w:bCs/>
          <w:color w:val="auto"/>
          <w:kern w:val="44"/>
          <w:sz w:val="24"/>
          <w:highlight w:val="none"/>
        </w:rPr>
        <w:t>第一个信封评分</w:t>
      </w:r>
      <w:r>
        <w:rPr>
          <w:rFonts w:hint="default" w:ascii="Times New Roman" w:hAnsi="Times New Roman" w:eastAsia="黑体" w:cs="Times New Roman"/>
          <w:color w:val="auto"/>
          <w:sz w:val="24"/>
          <w:highlight w:val="none"/>
        </w:rPr>
        <w:t>评分标准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（1）施工组织设计评分标准：见评标办法前附表；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（2）主要人员评分标准：见评标办法前附表；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（3）其他因素评分标准：见评标办法前附表。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2.2.3 第二个信封详细评审标准：见评标办法前附表。</w:t>
      </w:r>
    </w:p>
    <w:p>
      <w:pPr>
        <w:pStyle w:val="4"/>
        <w:spacing w:before="360" w:after="240" w:line="240" w:lineRule="atLeast"/>
        <w:rPr>
          <w:rFonts w:hint="default" w:ascii="Times New Roman" w:hAnsi="Times New Roman" w:eastAsia="黑体" w:cs="Times New Roman"/>
          <w:b w:val="0"/>
          <w:color w:val="auto"/>
          <w:sz w:val="28"/>
          <w:szCs w:val="28"/>
          <w:highlight w:val="none"/>
        </w:rPr>
      </w:pPr>
      <w:bookmarkStart w:id="96" w:name="_Toc510089865"/>
      <w:bookmarkStart w:id="97" w:name="_Toc501257146"/>
      <w:bookmarkStart w:id="98" w:name="_Toc510172778"/>
      <w:bookmarkStart w:id="99" w:name="_Toc509959131"/>
      <w:bookmarkStart w:id="100" w:name="_Toc509962372"/>
      <w:r>
        <w:rPr>
          <w:rFonts w:hint="default" w:ascii="Times New Roman" w:hAnsi="Times New Roman" w:eastAsia="黑体" w:cs="Times New Roman"/>
          <w:b w:val="0"/>
          <w:color w:val="auto"/>
          <w:sz w:val="28"/>
          <w:szCs w:val="28"/>
          <w:highlight w:val="none"/>
        </w:rPr>
        <w:t>3. 评标程序</w:t>
      </w:r>
      <w:bookmarkEnd w:id="96"/>
      <w:bookmarkEnd w:id="97"/>
      <w:bookmarkEnd w:id="98"/>
      <w:bookmarkEnd w:id="99"/>
      <w:bookmarkEnd w:id="100"/>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01" w:name="_Toc509959132"/>
      <w:bookmarkStart w:id="102" w:name="_Toc501257147"/>
      <w:bookmarkStart w:id="103" w:name="_Toc510172779"/>
      <w:bookmarkStart w:id="104" w:name="_Toc510089866"/>
      <w:bookmarkStart w:id="105" w:name="_Toc509962373"/>
      <w:r>
        <w:rPr>
          <w:rFonts w:hint="default" w:ascii="Times New Roman" w:hAnsi="Times New Roman" w:eastAsia="黑体" w:cs="Times New Roman"/>
          <w:b w:val="0"/>
          <w:color w:val="auto"/>
          <w:sz w:val="24"/>
          <w:szCs w:val="24"/>
          <w:highlight w:val="none"/>
        </w:rPr>
        <w:t>3.1第一个信封初步评审</w:t>
      </w:r>
      <w:bookmarkEnd w:id="101"/>
      <w:bookmarkEnd w:id="102"/>
      <w:bookmarkEnd w:id="103"/>
      <w:bookmarkEnd w:id="104"/>
      <w:bookmarkEnd w:id="10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06" w:name="_Toc509962374"/>
      <w:bookmarkStart w:id="107" w:name="_Toc501257148"/>
      <w:bookmarkStart w:id="108" w:name="_Toc510172780"/>
      <w:bookmarkStart w:id="109" w:name="_Toc509959133"/>
      <w:bookmarkStart w:id="110" w:name="_Toc510089867"/>
      <w:r>
        <w:rPr>
          <w:rFonts w:hint="default" w:ascii="Times New Roman" w:hAnsi="Times New Roman" w:eastAsia="黑体" w:cs="Times New Roman"/>
          <w:b w:val="0"/>
          <w:color w:val="auto"/>
          <w:sz w:val="24"/>
          <w:szCs w:val="24"/>
          <w:highlight w:val="none"/>
        </w:rPr>
        <w:t>3.2 第一个信封详细评审</w:t>
      </w:r>
      <w:bookmarkEnd w:id="106"/>
      <w:bookmarkEnd w:id="107"/>
      <w:bookmarkEnd w:id="108"/>
      <w:bookmarkEnd w:id="109"/>
      <w:bookmarkEnd w:id="11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3.2.1 评标委员会按本章第2.2款规定的量化因素和分值进行打分，并计算出各投标人的商务和技术得分。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（1）按本章第2.2.2项（1）目规定的评审因素和分值对施工组织设计部分计算出得分A；</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（2）按本章第2.2.2项（2）目规定的评审因素和分值对主要人员部分计算出得分B；</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（3）按本章第2.2.2项（3）目规定的评审因素和分值对其他部分计算出得分C。</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3.2.2 投标人的商务和技术得分分值计算保留小数点后两位，小数点后第三位“四舍五入”。</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3.2.3 投标人的商务和技术得分=A+B+C。</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3.2.4 评标委员会按照投标人的商务和技术得分由高到低排序，排名在评标办法前附表规定数量以内的投标人，其投标文件第一个信封（商务及技术文件）通过详细评审。</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11" w:name="_Toc509959134"/>
      <w:bookmarkStart w:id="112" w:name="_Toc510089868"/>
      <w:bookmarkStart w:id="113" w:name="_Toc510172781"/>
      <w:bookmarkStart w:id="114" w:name="_Toc501257149"/>
      <w:bookmarkStart w:id="115" w:name="_Toc509962375"/>
      <w:r>
        <w:rPr>
          <w:rFonts w:hint="default" w:ascii="Times New Roman" w:hAnsi="Times New Roman" w:eastAsia="黑体" w:cs="Times New Roman"/>
          <w:b w:val="0"/>
          <w:color w:val="auto"/>
          <w:sz w:val="24"/>
          <w:szCs w:val="24"/>
          <w:highlight w:val="none"/>
        </w:rPr>
        <w:t>3.3 第二个信封开标</w:t>
      </w:r>
      <w:bookmarkEnd w:id="111"/>
      <w:bookmarkEnd w:id="112"/>
      <w:bookmarkEnd w:id="113"/>
      <w:bookmarkEnd w:id="114"/>
      <w:bookmarkEnd w:id="11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16" w:name="_Toc510172782"/>
      <w:bookmarkStart w:id="117" w:name="_Toc509959135"/>
      <w:bookmarkStart w:id="118" w:name="_Toc510089869"/>
      <w:bookmarkStart w:id="119" w:name="_Toc509962376"/>
      <w:bookmarkStart w:id="120" w:name="_Toc501257150"/>
      <w:r>
        <w:rPr>
          <w:rFonts w:hint="default" w:ascii="Times New Roman" w:hAnsi="Times New Roman" w:eastAsia="黑体" w:cs="Times New Roman"/>
          <w:b w:val="0"/>
          <w:color w:val="auto"/>
          <w:sz w:val="24"/>
          <w:szCs w:val="24"/>
          <w:highlight w:val="none"/>
        </w:rPr>
        <w:t>3.4 第二个信封初步评审</w:t>
      </w:r>
      <w:bookmarkEnd w:id="116"/>
      <w:bookmarkEnd w:id="117"/>
      <w:bookmarkEnd w:id="118"/>
      <w:bookmarkEnd w:id="119"/>
      <w:bookmarkEnd w:id="12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3.4.1 评标委员会依据本章第2.1.1项、第2.1.3项规定的评审标准对投标文件第二个信封（报价文件）进行初步评审。有一项不符合评审标准的，评标委员会应否决其投标。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3.4.2</w:t>
      </w:r>
      <w:r>
        <w:rPr>
          <w:rFonts w:hint="default" w:ascii="Times New Roman" w:hAnsi="Times New Roman" w:eastAsia="隶书" w:cs="Times New Roman"/>
          <w:color w:val="auto"/>
          <w:highlight w:val="none"/>
          <w:vertAlign w:val="superscript"/>
        </w:rPr>
        <w:footnoteReference w:id="7"/>
      </w:r>
      <w:r>
        <w:rPr>
          <w:rFonts w:hint="default" w:ascii="Times New Roman" w:hAnsi="Times New Roman" w:eastAsia="隶书" w:cs="Times New Roman"/>
          <w:color w:val="auto"/>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（1）投标文件中的大写金额与小写金额不一致的，以大写金额为准；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（2）总价金额与依据单价计算出的结果不一致的，以单价金额为准修正总价，但单价金额小数点有明显错误的除外;</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（3）当单价与数量相乘不等于合价时，以单价计算为准，如果单价有明显的小数点位置差错，应以标出的合价为准，同时对单价予以修正；</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（4）当各子目的合价累计不等于总价时，应以各子目合价累计数为准，修正总价。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3.4.3 工程量清单中的投标报价有其他错误的，评标委员会按以下原则对投标报价进行修正，修正的价格经投标人书面确认后具有约束力。投标人不接受修正价格的，评标委员会应否决其投标。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（3）当单价与数量的乘积与合价（金额）虽然一致，但投标人修改了该子目的工程数量，则其合价按招标人给定的工程数量乘以投标人所报单价予以修正。</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3.4.4 修正后的最终投标报价若超过最高投标限价（如有），评标委员会应否决其投标。</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21" w:name="_Toc510172783"/>
      <w:bookmarkStart w:id="122" w:name="_Toc501257151"/>
      <w:bookmarkStart w:id="123" w:name="_Toc510089870"/>
      <w:bookmarkStart w:id="124" w:name="_Toc509962377"/>
      <w:bookmarkStart w:id="125" w:name="_Toc509959136"/>
      <w:r>
        <w:rPr>
          <w:rFonts w:hint="default" w:ascii="Times New Roman" w:hAnsi="Times New Roman" w:eastAsia="黑体" w:cs="Times New Roman"/>
          <w:b w:val="0"/>
          <w:color w:val="auto"/>
          <w:sz w:val="24"/>
          <w:szCs w:val="24"/>
          <w:highlight w:val="none"/>
        </w:rPr>
        <w:t>3.5 第二个信封详细评审</w:t>
      </w:r>
      <w:bookmarkEnd w:id="121"/>
      <w:bookmarkEnd w:id="122"/>
      <w:bookmarkEnd w:id="123"/>
      <w:bookmarkEnd w:id="124"/>
      <w:bookmarkEnd w:id="12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3.5.1 评标委员会按本章第2.2款规定的量化因素和标准进行价格折算，计算出评标价，并编制价格比较一览表。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26" w:name="_Toc509959137"/>
      <w:bookmarkStart w:id="127" w:name="_Toc509962378"/>
      <w:bookmarkStart w:id="128" w:name="_Toc510172784"/>
      <w:bookmarkStart w:id="129" w:name="_Toc510089871"/>
      <w:bookmarkStart w:id="130" w:name="_Toc501257152"/>
      <w:r>
        <w:rPr>
          <w:rFonts w:hint="default" w:ascii="Times New Roman" w:hAnsi="Times New Roman" w:eastAsia="黑体" w:cs="Times New Roman"/>
          <w:b w:val="0"/>
          <w:color w:val="auto"/>
          <w:sz w:val="24"/>
          <w:szCs w:val="24"/>
          <w:highlight w:val="none"/>
        </w:rPr>
        <w:t>3.6 投标文件相关信息的核查</w:t>
      </w:r>
      <w:bookmarkEnd w:id="126"/>
      <w:bookmarkEnd w:id="127"/>
      <w:bookmarkEnd w:id="128"/>
      <w:bookmarkEnd w:id="129"/>
      <w:bookmarkEnd w:id="13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（1）有下列情形之一的，属于投标人相互串通投标：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a.投标人之间协商投标报价等投标文件的实质性内容；</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b.投标人之间约定中标人；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c.投标人之间约定部分投标人放弃投标或中标；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d.属于同一集团、协会、商会等组织成员的投标人按照该组织要求协同投标；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e.投标人之间为谋取中标或排斥特定投标人而采取的其他联合行动。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（2）有下列情形之一的，视为投标人相互串通投标：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a.不同投标人的投标文件由同一单位或个人编制；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b.不同投标人委托同一单位或个人办理投标事宜；</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c.不同投标人的投标文件载明的项目管理成员为同一人；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d.不同投标人的投标文件异常一致或投标报价呈规律性差异；</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e.不同投标人的投标文件相互混装；</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f.不同投标人的投标保证金从同一单位或个人的账户转出。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（3）有下列情形之一的，属于招标人与投标人串通投标：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a.招标人在开标前开启投标文件并将有关信息泄露给其他投标人;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b.招标人直接或间接向投标人泄露标底、评标委员会成员等信息；</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c.招标人明示或暗示投标人压低或抬高投标报价；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d.招标人授意投标人撤换、修改投标文件；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e.招标人明示或暗示投标人为特定投标人中标提供方便；</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f.招标人与投标人为谋求特定投标人中标而采取的其他串通行为。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（4）投标人有下列情形之一的，属于弄虚作假的行为：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a.使用通过受让或租借等方式获取的资格、资质证书投标；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b.使用伪造、变造的许可证件；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c.提供虚假的财务状况或业绩；</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d.提供虚假的项目负责人或主要技术人员简历、劳动关系证明；</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e.提供虚假的信用状况；</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f.其他弄虚作假的行为。</w:t>
      </w:r>
    </w:p>
    <w:p>
      <w:pPr>
        <w:pStyle w:val="4"/>
        <w:spacing w:before="240" w:after="240" w:line="400" w:lineRule="atLeast"/>
        <w:rPr>
          <w:rFonts w:hint="default" w:ascii="Times New Roman" w:hAnsi="Times New Roman" w:eastAsia="黑体" w:cs="Times New Roman"/>
          <w:b w:val="0"/>
          <w:color w:val="auto"/>
          <w:sz w:val="24"/>
          <w:szCs w:val="24"/>
          <w:highlight w:val="none"/>
        </w:rPr>
      </w:pPr>
      <w:bookmarkStart w:id="131" w:name="_Toc510089872"/>
      <w:bookmarkStart w:id="132" w:name="_Toc501257153"/>
      <w:bookmarkStart w:id="133" w:name="_Toc509962379"/>
      <w:bookmarkStart w:id="134" w:name="_Toc509959138"/>
      <w:bookmarkStart w:id="135" w:name="_Toc510172785"/>
      <w:r>
        <w:rPr>
          <w:rFonts w:hint="default" w:ascii="Times New Roman" w:hAnsi="Times New Roman" w:eastAsia="黑体" w:cs="Times New Roman"/>
          <w:b w:val="0"/>
          <w:color w:val="auto"/>
          <w:sz w:val="24"/>
          <w:szCs w:val="24"/>
          <w:highlight w:val="none"/>
        </w:rPr>
        <w:t>3.7 投标文件的澄清和说明</w:t>
      </w:r>
      <w:bookmarkEnd w:id="131"/>
      <w:bookmarkEnd w:id="132"/>
      <w:bookmarkEnd w:id="133"/>
      <w:bookmarkEnd w:id="134"/>
      <w:bookmarkEnd w:id="13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3.7.2 澄清和说明不得超出投标文件的范围或改变投标文件的实质性内容（算术性错误的修正除外）。投标人的书面澄清、说明属于投标文件的组成部分。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3.7.3 评标委员会不得暗示或诱导投标人作出澄清、说明，对投标人提交的澄清、说明有疑问的，可以要求投标人进一步澄清或说明，直至满足评标委员会的要求。</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3.7.4 凡超出招标文件规定的或给发包人带来未曾要求的利益的变化、偏差或其他因素在评标时不予考虑。</w:t>
      </w:r>
    </w:p>
    <w:p>
      <w:pPr>
        <w:pStyle w:val="4"/>
        <w:spacing w:before="240" w:after="240" w:line="400" w:lineRule="atLeast"/>
        <w:rPr>
          <w:rFonts w:hint="default" w:ascii="Times New Roman" w:hAnsi="Times New Roman" w:eastAsia="黑体" w:cs="Times New Roman"/>
          <w:b w:val="0"/>
          <w:color w:val="auto"/>
          <w:sz w:val="24"/>
          <w:szCs w:val="24"/>
          <w:highlight w:val="none"/>
        </w:rPr>
      </w:pPr>
      <w:bookmarkStart w:id="136" w:name="_Toc510089873"/>
      <w:bookmarkStart w:id="137" w:name="_Toc501257154"/>
      <w:bookmarkStart w:id="138" w:name="_Toc510172786"/>
      <w:bookmarkStart w:id="139" w:name="_Toc509959139"/>
      <w:bookmarkStart w:id="140" w:name="_Toc509962380"/>
      <w:r>
        <w:rPr>
          <w:rFonts w:hint="default" w:ascii="Times New Roman" w:hAnsi="Times New Roman" w:eastAsia="黑体" w:cs="Times New Roman"/>
          <w:b w:val="0"/>
          <w:color w:val="auto"/>
          <w:sz w:val="24"/>
          <w:szCs w:val="24"/>
          <w:highlight w:val="none"/>
        </w:rPr>
        <w:t>3.8 不得否决投标的情形</w:t>
      </w:r>
      <w:bookmarkEnd w:id="136"/>
      <w:bookmarkEnd w:id="137"/>
      <w:bookmarkEnd w:id="138"/>
      <w:bookmarkEnd w:id="139"/>
      <w:bookmarkEnd w:id="14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投标文件存在第二章“投标人须知”第1.12.3项所列情形的，均视为细微偏差，评标委员会不得否决投标人的投标，应按照第二章“投标人须知”第1.12.4项规定的原则处理。</w:t>
      </w:r>
    </w:p>
    <w:p>
      <w:pPr>
        <w:pStyle w:val="4"/>
        <w:spacing w:before="240" w:after="240" w:line="240" w:lineRule="atLeast"/>
        <w:rPr>
          <w:rFonts w:hint="default" w:ascii="Times New Roman" w:hAnsi="Times New Roman" w:eastAsia="黑体" w:cs="Times New Roman"/>
          <w:b w:val="0"/>
          <w:color w:val="auto"/>
          <w:sz w:val="24"/>
          <w:szCs w:val="24"/>
          <w:highlight w:val="none"/>
        </w:rPr>
      </w:pPr>
      <w:bookmarkStart w:id="141" w:name="_Toc509959140"/>
      <w:bookmarkStart w:id="142" w:name="_Toc510172787"/>
      <w:bookmarkStart w:id="143" w:name="_Toc501257155"/>
      <w:bookmarkStart w:id="144" w:name="_Toc510089874"/>
      <w:bookmarkStart w:id="145" w:name="_Toc509962381"/>
      <w:r>
        <w:rPr>
          <w:rFonts w:hint="default" w:ascii="Times New Roman" w:hAnsi="Times New Roman" w:eastAsia="黑体" w:cs="Times New Roman"/>
          <w:b w:val="0"/>
          <w:color w:val="auto"/>
          <w:sz w:val="24"/>
          <w:szCs w:val="24"/>
          <w:highlight w:val="none"/>
        </w:rPr>
        <w:t>3.9 评标结果</w:t>
      </w:r>
      <w:bookmarkEnd w:id="141"/>
      <w:bookmarkEnd w:id="142"/>
      <w:bookmarkEnd w:id="143"/>
      <w:bookmarkEnd w:id="144"/>
      <w:bookmarkEnd w:id="14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3.9.1除第二章“投标人须知”前附表授权直接确定中标人外，评标委员会按照评标价由低到高的顺序推荐中标候选人，并标明排序。</w:t>
      </w:r>
    </w:p>
    <w:p>
      <w:pPr>
        <w:pStyle w:val="2"/>
        <w:rPr>
          <w:rFonts w:hint="default"/>
        </w:rPr>
      </w:pPr>
      <w:r>
        <w:rPr>
          <w:rFonts w:hint="default" w:ascii="Times New Roman" w:hAnsi="Times New Roman" w:eastAsia="隶书" w:cs="Times New Roman"/>
          <w:color w:val="auto"/>
          <w:sz w:val="24"/>
          <w:highlight w:val="none"/>
        </w:rPr>
        <w:t>3.9.2 评标委员会完成评标后，应向招标人提交书面评标报告。</w:t>
      </w:r>
      <w:bookmarkStart w:id="148" w:name="_GoBack"/>
      <w:bookmarkEnd w:id="14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rPr>
                              <w:lang w:val="zh-CN"/>
                            </w:rP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p>
    <w:pPr>
      <w:pStyle w:val="8"/>
      <w:spacing w:line="240" w:lineRule="exact"/>
      <w:ind w:right="360" w:firstLine="360"/>
      <w:jc w:val="center"/>
      <w:rPr>
        <w:rFonts w:hint="eastAsia" w:eastAsia="黑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6</w:t>
    </w:r>
    <w:r>
      <w:fldChar w:fldCharType="end"/>
    </w:r>
  </w:p>
  <w:p>
    <w:pPr>
      <w:pStyle w:val="8"/>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320" w:lineRule="atLeast"/>
        <w:ind w:left="180" w:hanging="180" w:hangingChars="100"/>
        <w:rPr>
          <w:szCs w:val="18"/>
        </w:rPr>
      </w:pPr>
      <w:r>
        <w:rPr>
          <w:rStyle w:val="13"/>
          <w:bCs/>
          <w:kern w:val="0"/>
          <w:sz w:val="18"/>
          <w:szCs w:val="20"/>
        </w:rPr>
        <w:footnoteRef/>
      </w:r>
      <w:r>
        <w:rPr>
          <w:rFonts w:hint="eastAsia"/>
          <w:szCs w:val="18"/>
        </w:rPr>
        <w:t xml:space="preserve"> </w:t>
      </w:r>
      <w:r>
        <w:rPr>
          <w:rFonts w:hint="eastAsia"/>
          <w:kern w:val="0"/>
          <w:sz w:val="18"/>
          <w:szCs w:val="18"/>
        </w:rPr>
        <w:t>本段规定仅适用于</w:t>
      </w:r>
      <w:bookmarkStart w:id="146" w:name="_Toc315861048"/>
      <w:bookmarkStart w:id="147" w:name="_Toc411777490"/>
      <w:r>
        <w:rPr>
          <w:rFonts w:hint="eastAsia"/>
          <w:kern w:val="0"/>
          <w:sz w:val="18"/>
          <w:szCs w:val="18"/>
        </w:rPr>
        <w:t>根据</w:t>
      </w:r>
      <w:r>
        <w:rPr>
          <w:rFonts w:hint="eastAsia"/>
          <w:kern w:val="0"/>
          <w:sz w:val="18"/>
          <w:szCs w:val="18"/>
          <w:lang w:eastAsia="zh-CN"/>
        </w:rPr>
        <w:t>（</w:t>
      </w:r>
      <w:r>
        <w:rPr>
          <w:rFonts w:hint="eastAsia"/>
          <w:kern w:val="0"/>
          <w:sz w:val="18"/>
          <w:szCs w:val="18"/>
        </w:rPr>
        <w:t>关于发布公路工程从业企业资质名录的通知</w:t>
      </w:r>
      <w:bookmarkEnd w:id="146"/>
      <w:bookmarkEnd w:id="147"/>
      <w:r>
        <w:rPr>
          <w:rFonts w:hint="eastAsia"/>
          <w:kern w:val="0"/>
          <w:sz w:val="18"/>
          <w:szCs w:val="18"/>
          <w:lang w:eastAsia="zh-CN"/>
        </w:rPr>
        <w:t>）</w:t>
      </w:r>
      <w:r>
        <w:rPr>
          <w:rFonts w:hint="eastAsia"/>
          <w:kern w:val="0"/>
          <w:sz w:val="18"/>
          <w:szCs w:val="18"/>
        </w:rPr>
        <w:t>（厅公路字〔</w:t>
      </w:r>
      <w:r>
        <w:rPr>
          <w:kern w:val="0"/>
          <w:sz w:val="18"/>
          <w:szCs w:val="18"/>
        </w:rPr>
        <w:t>2011</w:t>
      </w:r>
      <w:r>
        <w:rPr>
          <w:rFonts w:hint="eastAsia"/>
          <w:kern w:val="0"/>
          <w:sz w:val="18"/>
          <w:szCs w:val="18"/>
        </w:rPr>
        <w:t>〕</w:t>
      </w:r>
      <w:r>
        <w:rPr>
          <w:kern w:val="0"/>
          <w:sz w:val="18"/>
          <w:szCs w:val="18"/>
        </w:rPr>
        <w:t>114</w:t>
      </w:r>
      <w:r>
        <w:rPr>
          <w:rFonts w:hint="eastAsia"/>
          <w:kern w:val="0"/>
          <w:sz w:val="18"/>
          <w:szCs w:val="18"/>
        </w:rPr>
        <w:t>号）要求，招标人应通过名录对投标人资质条件进行审核的公路施工企业。</w:t>
      </w:r>
    </w:p>
  </w:footnote>
  <w:footnote w:id="1">
    <w:p>
      <w:pPr>
        <w:pStyle w:val="10"/>
        <w:ind w:firstLine="0"/>
        <w:rPr>
          <w:rFonts w:hint="eastAsia"/>
        </w:rPr>
      </w:pPr>
      <w:r>
        <w:rPr>
          <w:rStyle w:val="13"/>
        </w:rPr>
        <w:footnoteRef/>
      </w:r>
      <w:r>
        <w:rPr>
          <w:rFonts w:hint="eastAsia"/>
        </w:rPr>
        <w:t>单位负责人是指单位的法定代表人或者法律、行政法规规定代表单位行使职权的主要负责人。</w:t>
      </w:r>
    </w:p>
  </w:footnote>
  <w:footnote w:id="2">
    <w:p>
      <w:pPr>
        <w:pStyle w:val="10"/>
        <w:ind w:firstLine="0"/>
        <w:rPr>
          <w:rFonts w:hint="eastAsia"/>
        </w:rPr>
      </w:pPr>
      <w:r>
        <w:rPr>
          <w:rStyle w:val="13"/>
        </w:rPr>
        <w:footnoteRef/>
      </w:r>
      <w:r>
        <w:rPr>
          <w:rFonts w:hint="eastAsia"/>
        </w:rPr>
        <w:t>控股是指股份占股份有限公司股本总额的</w:t>
      </w:r>
      <w:r>
        <w:t>50%</w:t>
      </w:r>
      <w:r>
        <w:rPr>
          <w:rFonts w:hint="eastAsia"/>
        </w:rPr>
        <w:t>以上的绝对控股、相对控股或协议控股。</w:t>
      </w:r>
    </w:p>
  </w:footnote>
  <w:footnote w:id="3">
    <w:p>
      <w:pPr>
        <w:pStyle w:val="10"/>
        <w:ind w:firstLine="0"/>
        <w:rPr>
          <w:rFonts w:hint="eastAsia"/>
        </w:rPr>
      </w:pPr>
      <w:r>
        <w:rPr>
          <w:rStyle w:val="13"/>
        </w:rPr>
        <w:footnoteRef/>
      </w:r>
      <w:r>
        <w:rPr>
          <w:rFonts w:hint="eastAsia"/>
        </w:rPr>
        <w:t>管理关系是指不具有出资持股关系的其它单位之间存在的管理与被管理关系。</w:t>
      </w:r>
    </w:p>
  </w:footnote>
  <w:footnote w:id="4">
    <w:p>
      <w:pPr>
        <w:pStyle w:val="10"/>
        <w:spacing w:line="300" w:lineRule="atLeast"/>
        <w:ind w:left="180" w:hanging="180" w:hangingChars="100"/>
        <w:jc w:val="both"/>
        <w:rPr>
          <w:rFonts w:hint="eastAsia"/>
          <w:szCs w:val="18"/>
        </w:rPr>
      </w:pPr>
      <w:r>
        <w:rPr>
          <w:rStyle w:val="13"/>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于特别复杂的特大桥梁和特长隧道项目主体工程以及其他有特殊要求的工程，还可对其他管理和技术人员</w:t>
      </w:r>
      <w:r>
        <w:rPr>
          <w:rFonts w:hint="eastAsia"/>
        </w:rPr>
        <w:t>（例如</w:t>
      </w:r>
      <w:r>
        <w:t>项目副经理、专业工程师等</w:t>
      </w:r>
      <w:r>
        <w:rPr>
          <w:rFonts w:hint="eastAsia"/>
        </w:rPr>
        <w:t>）</w:t>
      </w:r>
      <w:r>
        <w:rPr>
          <w:rFonts w:hint="eastAsia"/>
          <w:szCs w:val="18"/>
        </w:rPr>
        <w:t>以及主要机械设备和试验检测设备进行资格评审。</w:t>
      </w:r>
    </w:p>
  </w:footnote>
  <w:footnote w:id="5">
    <w:p>
      <w:pPr>
        <w:pStyle w:val="10"/>
        <w:spacing w:line="300" w:lineRule="atLeast"/>
        <w:ind w:left="180" w:hanging="180" w:hangingChars="100"/>
        <w:jc w:val="both"/>
        <w:rPr>
          <w:rFonts w:hint="eastAsia"/>
        </w:rPr>
      </w:pPr>
      <w:r>
        <w:rPr>
          <w:rStyle w:val="13"/>
        </w:rPr>
        <w:footnoteRef/>
      </w:r>
      <w:r>
        <w:rPr>
          <w:rFonts w:hint="eastAsia"/>
          <w:szCs w:val="18"/>
        </w:rPr>
        <w:t xml:space="preserve"> 本款规定仅适用于根据</w:t>
      </w:r>
      <w:r>
        <w:rPr>
          <w:rFonts w:hint="eastAsia"/>
          <w:szCs w:val="18"/>
          <w:lang w:eastAsia="zh-CN"/>
        </w:rPr>
        <w:t>（</w:t>
      </w:r>
      <w:r>
        <w:rPr>
          <w:rFonts w:hint="eastAsia"/>
          <w:szCs w:val="18"/>
        </w:rPr>
        <w:t>关于发布公路工程从业企业资质名录的通知</w:t>
      </w:r>
      <w:r>
        <w:rPr>
          <w:rFonts w:hint="eastAsia"/>
          <w:szCs w:val="18"/>
          <w:lang w:eastAsia="zh-CN"/>
        </w:rPr>
        <w:t>）</w:t>
      </w:r>
      <w:r>
        <w:rPr>
          <w:rFonts w:hint="eastAsia"/>
          <w:szCs w:val="18"/>
        </w:rPr>
        <w:t>（厅公路字〔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6">
    <w:p>
      <w:pPr>
        <w:spacing w:beforeLines="0" w:afterLines="0"/>
        <w:jc w:val="left"/>
        <w:rPr>
          <w:rFonts w:hint="eastAsia" w:ascii="宋体" w:hAnsi="宋体" w:eastAsia="宋体"/>
          <w:sz w:val="18"/>
        </w:rPr>
      </w:pPr>
      <w:r>
        <w:rPr>
          <w:rStyle w:val="13"/>
          <w:color w:val="auto"/>
        </w:rPr>
        <w:footnoteRef/>
      </w:r>
      <w:r>
        <w:rPr>
          <w:color w:val="auto"/>
        </w:rPr>
        <w:t xml:space="preserve"> </w:t>
      </w:r>
      <w:r>
        <w:rPr>
          <w:rFonts w:hint="eastAsia" w:ascii="宋体" w:hAnsi="宋体" w:eastAsia="宋体"/>
          <w:sz w:val="18"/>
        </w:rPr>
        <w:t>本条内容所指的行政处罚</w:t>
      </w:r>
      <w:r>
        <w:rPr>
          <w:rFonts w:hint="eastAsia" w:ascii="宋体" w:hAnsi="宋体" w:eastAsia="宋体"/>
          <w:sz w:val="18"/>
          <w:highlight w:val="none"/>
        </w:rPr>
        <w:t>和正式约谈</w:t>
      </w:r>
      <w:r>
        <w:rPr>
          <w:rFonts w:hint="default" w:ascii="Times New Roman" w:hAnsi="Times New Roman" w:eastAsia="宋体" w:cs="Times New Roman"/>
          <w:sz w:val="18"/>
          <w:highlight w:val="none"/>
          <w:lang w:val="en-US" w:eastAsia="zh-CN"/>
        </w:rPr>
        <w:t>是指 202</w:t>
      </w:r>
      <w:r>
        <w:rPr>
          <w:rFonts w:hint="eastAsia" w:ascii="Times New Roman" w:hAnsi="Times New Roman" w:eastAsia="宋体" w:cs="Times New Roman"/>
          <w:sz w:val="18"/>
          <w:highlight w:val="none"/>
          <w:lang w:val="en-US" w:eastAsia="zh-CN"/>
        </w:rPr>
        <w:t>4</w:t>
      </w:r>
      <w:r>
        <w:rPr>
          <w:rFonts w:hint="default" w:ascii="Times New Roman" w:hAnsi="Times New Roman" w:eastAsia="宋体" w:cs="Times New Roman"/>
          <w:sz w:val="18"/>
          <w:highlight w:val="none"/>
          <w:lang w:val="en-US" w:eastAsia="zh-CN"/>
        </w:rPr>
        <w:t>年</w:t>
      </w:r>
      <w:r>
        <w:rPr>
          <w:rFonts w:hint="eastAsia" w:ascii="Times New Roman" w:hAnsi="Times New Roman" w:eastAsia="宋体" w:cs="Times New Roman"/>
          <w:sz w:val="18"/>
          <w:highlight w:val="none"/>
          <w:lang w:val="en-US" w:eastAsia="zh-CN"/>
        </w:rPr>
        <w:t>9</w:t>
      </w:r>
      <w:r>
        <w:rPr>
          <w:rFonts w:hint="default" w:ascii="Times New Roman" w:hAnsi="Times New Roman" w:eastAsia="宋体" w:cs="Times New Roman"/>
          <w:sz w:val="18"/>
          <w:highlight w:val="none"/>
          <w:lang w:val="en-US" w:eastAsia="zh-CN"/>
        </w:rPr>
        <w:t>月1日起发生的行政处罚和</w:t>
      </w:r>
      <w:r>
        <w:rPr>
          <w:rFonts w:hint="eastAsia" w:ascii="宋体" w:hAnsi="宋体" w:eastAsia="宋体"/>
          <w:sz w:val="18"/>
          <w:highlight w:val="none"/>
          <w:lang w:val="en-US" w:eastAsia="zh-CN"/>
        </w:rPr>
        <w:t>正式约谈</w:t>
      </w:r>
      <w:r>
        <w:rPr>
          <w:rFonts w:hint="eastAsia" w:ascii="宋体" w:hAnsi="宋体" w:eastAsia="宋体"/>
          <w:sz w:val="18"/>
          <w:highlight w:val="none"/>
        </w:rPr>
        <w:t>。其中：正式约</w:t>
      </w:r>
      <w:r>
        <w:rPr>
          <w:rFonts w:hint="eastAsia" w:ascii="宋体" w:hAnsi="宋体" w:eastAsia="宋体"/>
          <w:sz w:val="18"/>
        </w:rPr>
        <w:t>谈是指从业单位的企业法人因建设</w:t>
      </w:r>
      <w:r>
        <w:rPr>
          <w:rFonts w:hint="eastAsia" w:ascii="宋体" w:hAnsi="宋体" w:eastAsia="宋体"/>
          <w:sz w:val="18"/>
          <w:lang w:val="en-US" w:eastAsia="zh-CN"/>
        </w:rPr>
        <w:t>项</w:t>
      </w:r>
      <w:r>
        <w:rPr>
          <w:rFonts w:hint="eastAsia" w:ascii="宋体" w:hAnsi="宋体" w:eastAsia="宋体"/>
          <w:sz w:val="18"/>
        </w:rPr>
        <w:t>目质量、安全、履约或招标投标等问</w:t>
      </w:r>
      <w:r>
        <w:rPr>
          <w:rFonts w:hint="eastAsia" w:ascii="宋体" w:hAnsi="宋体" w:eastAsia="宋体"/>
          <w:sz w:val="18"/>
          <w:lang w:val="en-US" w:eastAsia="zh-CN"/>
        </w:rPr>
        <w:t>题</w:t>
      </w:r>
      <w:r>
        <w:rPr>
          <w:rFonts w:hint="eastAsia" w:ascii="宋体" w:hAnsi="宋体" w:eastAsia="宋体"/>
          <w:sz w:val="18"/>
        </w:rPr>
        <w:t>，被上述单位约谈的情形。行政处罚要以上述单位正式发文为依据，以正式发文时间为准；正式约谈要以上述单位的书面通知和约谈会议纪要为依据，时间以约谈会议纪要发文时间为准。</w:t>
      </w:r>
    </w:p>
    <w:p>
      <w:pPr>
        <w:spacing w:beforeLines="0" w:afterLines="0"/>
        <w:jc w:val="left"/>
        <w:rPr>
          <w:rFonts w:hint="eastAsia" w:ascii="宋体" w:hAnsi="宋体" w:eastAsia="宋体"/>
          <w:sz w:val="18"/>
        </w:rPr>
      </w:pPr>
    </w:p>
    <w:p>
      <w:pPr>
        <w:spacing w:beforeLines="0" w:afterLines="0"/>
        <w:jc w:val="left"/>
        <w:rPr>
          <w:rFonts w:hint="eastAsia" w:ascii="宋体" w:hAnsi="宋体" w:eastAsia="宋体"/>
          <w:sz w:val="18"/>
        </w:rPr>
      </w:pPr>
    </w:p>
    <w:p>
      <w:pPr>
        <w:spacing w:beforeLines="0" w:afterLines="0"/>
        <w:jc w:val="left"/>
        <w:rPr>
          <w:rFonts w:hint="eastAsia" w:ascii="宋体" w:hAnsi="宋体" w:eastAsia="宋体"/>
          <w:sz w:val="18"/>
        </w:rPr>
      </w:pPr>
    </w:p>
  </w:footnote>
  <w:footnote w:id="7">
    <w:p>
      <w:pPr>
        <w:pStyle w:val="10"/>
        <w:spacing w:line="320" w:lineRule="atLeast"/>
        <w:ind w:left="180" w:hanging="180" w:hangingChars="100"/>
        <w:rPr>
          <w:rStyle w:val="13"/>
          <w:rFonts w:hint="eastAsia"/>
          <w:szCs w:val="18"/>
        </w:rPr>
      </w:pPr>
      <w:r>
        <w:rPr>
          <w:rStyle w:val="13"/>
          <w:szCs w:val="18"/>
        </w:rPr>
        <w:footnoteRef/>
      </w:r>
      <w:r>
        <w:rPr>
          <w:rFonts w:hint="eastAsia"/>
          <w:szCs w:val="18"/>
        </w:rPr>
        <w:t xml:space="preserve"> 如</w:t>
      </w:r>
      <w:r>
        <w:rPr>
          <w:szCs w:val="18"/>
        </w:rPr>
        <w:t>本项目招标</w:t>
      </w:r>
      <w:r>
        <w:rPr>
          <w:rFonts w:hint="eastAsia"/>
          <w:szCs w:val="18"/>
        </w:rPr>
        <w:t>由投标人按照招标人提供的</w:t>
      </w:r>
      <w:r>
        <w:rPr>
          <w:szCs w:val="18"/>
        </w:rPr>
        <w:t>书面</w:t>
      </w:r>
      <w:r>
        <w:rPr>
          <w:rFonts w:hint="eastAsia"/>
          <w:szCs w:val="18"/>
        </w:rPr>
        <w:t>工程量清单填写</w:t>
      </w:r>
      <w:r>
        <w:rPr>
          <w:szCs w:val="18"/>
        </w:rPr>
        <w:t>本合同各工程子目的单价、合价和总额价</w:t>
      </w:r>
      <w:r>
        <w:rPr>
          <w:rFonts w:hint="eastAsia"/>
          <w:szCs w:val="18"/>
        </w:rPr>
        <w:t>，则</w:t>
      </w:r>
      <w:r>
        <w:rPr>
          <w:szCs w:val="18"/>
        </w:rPr>
        <w:t>评标委员会按照</w:t>
      </w:r>
      <w:r>
        <w:rPr>
          <w:rFonts w:hint="eastAsia"/>
          <w:szCs w:val="18"/>
        </w:rPr>
        <w:t>本</w:t>
      </w:r>
      <w:r>
        <w:rPr>
          <w:szCs w:val="18"/>
        </w:rPr>
        <w:t>章</w:t>
      </w:r>
      <w:r>
        <w:rPr>
          <w:rFonts w:hint="eastAsia"/>
          <w:szCs w:val="18"/>
        </w:rPr>
        <w:t>第3.4.2项和第3.4.3项的</w:t>
      </w:r>
      <w:r>
        <w:rPr>
          <w:szCs w:val="18"/>
        </w:rPr>
        <w:t>规定</w:t>
      </w:r>
      <w:r>
        <w:rPr>
          <w:rFonts w:hint="eastAsia"/>
          <w:szCs w:val="18"/>
        </w:rPr>
        <w:t>对投标人的投标报价进行修正。如</w:t>
      </w:r>
      <w:r>
        <w:rPr>
          <w:szCs w:val="18"/>
        </w:rPr>
        <w:t>本项目招标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电子文件填写工程量清单，无须按照本章第3.4.2项和第3.4.3项的规定对投标报价进行修正，第3.4.2项至第3.4.4项内容不适用。</w:t>
      </w:r>
    </w:p>
    <w:p>
      <w:pPr>
        <w:pStyle w:val="10"/>
        <w:spacing w:line="300" w:lineRule="atLeast"/>
        <w:ind w:left="1890" w:hanging="210"/>
        <w:rPr>
          <w:rStyle w:val="13"/>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C411B"/>
    <w:multiLevelType w:val="singleLevel"/>
    <w:tmpl w:val="A86C411B"/>
    <w:lvl w:ilvl="0" w:tentative="0">
      <w:start w:val="4"/>
      <w:numFmt w:val="decimal"/>
      <w:suff w:val="space"/>
      <w:lvlText w:val="%1."/>
      <w:lvlJc w:val="left"/>
    </w:lvl>
  </w:abstractNum>
  <w:abstractNum w:abstractNumId="1">
    <w:nsid w:val="0000000A"/>
    <w:multiLevelType w:val="singleLevel"/>
    <w:tmpl w:val="0000000A"/>
    <w:lvl w:ilvl="0" w:tentative="0">
      <w:start w:val="1"/>
      <w:numFmt w:val="decimal"/>
      <w:suff w:val="nothing"/>
      <w:lvlText w:val="%1、"/>
      <w:lvlJc w:val="left"/>
      <w:pPr>
        <w:ind w:left="-60"/>
      </w:pPr>
    </w:lvl>
  </w:abstractNum>
  <w:abstractNum w:abstractNumId="2">
    <w:nsid w:val="16955BB1"/>
    <w:multiLevelType w:val="singleLevel"/>
    <w:tmpl w:val="16955BB1"/>
    <w:lvl w:ilvl="0" w:tentative="0">
      <w:start w:val="1"/>
      <w:numFmt w:val="decimal"/>
      <w:suff w:val="nothing"/>
      <w:lvlText w:val="（%1）"/>
      <w:lvlJc w:val="left"/>
    </w:lvl>
  </w:abstractNum>
  <w:abstractNum w:abstractNumId="3">
    <w:nsid w:val="79D34041"/>
    <w:multiLevelType w:val="singleLevel"/>
    <w:tmpl w:val="79D34041"/>
    <w:lvl w:ilvl="0" w:tentative="0">
      <w:start w:val="7"/>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2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 w:type="paragraph" w:styleId="5">
    <w:name w:val="Normal Indent"/>
    <w:basedOn w:val="1"/>
    <w:next w:val="1"/>
    <w:uiPriority w:val="0"/>
    <w:pPr>
      <w:ind w:firstLine="420" w:firstLineChars="200"/>
    </w:pPr>
  </w:style>
  <w:style w:type="paragraph" w:styleId="6">
    <w:name w:val="Plain Text"/>
    <w:basedOn w:val="1"/>
    <w:next w:val="7"/>
    <w:uiPriority w:val="0"/>
    <w:rPr>
      <w:rFonts w:ascii="宋体" w:hAnsi="Courier New"/>
      <w:szCs w:val="20"/>
    </w:rPr>
  </w:style>
  <w:style w:type="paragraph" w:customStyle="1" w:styleId="7">
    <w:name w:val="Defaul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jc w:val="center"/>
    </w:pPr>
    <w:rPr>
      <w:sz w:val="18"/>
      <w:szCs w:val="18"/>
    </w:rPr>
  </w:style>
  <w:style w:type="paragraph" w:styleId="10">
    <w:name w:val="footnote text"/>
    <w:basedOn w:val="1"/>
    <w:next w:val="1"/>
    <w:uiPriority w:val="0"/>
    <w:pPr>
      <w:adjustRightInd w:val="0"/>
      <w:snapToGrid w:val="0"/>
      <w:spacing w:line="420" w:lineRule="atLeast"/>
      <w:ind w:firstLine="454"/>
      <w:jc w:val="left"/>
      <w:textAlignment w:val="baseline"/>
    </w:pPr>
    <w:rPr>
      <w:kern w:val="0"/>
      <w:sz w:val="18"/>
      <w:szCs w:val="20"/>
    </w:rPr>
  </w:style>
  <w:style w:type="character" w:styleId="13">
    <w:name w:val="footnote reference"/>
    <w:uiPriority w:val="0"/>
    <w:rPr>
      <w:vertAlign w:val="superscript"/>
    </w:rPr>
  </w:style>
  <w:style w:type="paragraph" w:customStyle="1" w:styleId="14">
    <w:name w:val="正文文本 (2)1"/>
    <w:basedOn w:val="1"/>
    <w:uiPriority w:val="99"/>
    <w:pPr>
      <w:shd w:val="clear" w:color="auto" w:fill="FFFFFF"/>
      <w:spacing w:before="300" w:line="439" w:lineRule="exact"/>
      <w:jc w:val="distribute"/>
    </w:pPr>
    <w:rPr>
      <w:rFonts w:ascii="MingLiU" w:eastAsia="MingLiU"/>
      <w:spacing w:val="20"/>
      <w:kern w:val="0"/>
      <w:sz w:val="22"/>
      <w:szCs w:val="22"/>
    </w:rPr>
  </w:style>
  <w:style w:type="character" w:customStyle="1" w:styleId="15">
    <w:name w:val="正文文本 (2) + 间距 0 pt3"/>
    <w:uiPriority w:val="99"/>
    <w:rPr>
      <w:rFonts w:ascii="MingLiU" w:eastAsia="MingLiU" w:cs="MingLiU"/>
      <w:spacing w:val="0"/>
      <w:sz w:val="22"/>
      <w:szCs w:val="22"/>
      <w:u w:val="none"/>
    </w:rPr>
  </w:style>
  <w:style w:type="character" w:customStyle="1" w:styleId="16">
    <w:name w:val="正文文本 (2) + 间距 0 pt5"/>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2025-08-26T08:00:14Z</dcterms:created>
  <dc:creator>99741</dc:creator>
  <cp:lastModifiedBy>99741</cp:lastModifiedBy>
  <dcterms:modified xsi:type="dcterms:W3CDTF">2025-08-26T08:02:42Z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