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20" w:after="120" w:line="360" w:lineRule="auto"/>
        <w:rPr>
          <w:color w:val="auto"/>
          <w:highlight w:val="none"/>
        </w:rPr>
      </w:pPr>
      <w:r>
        <w:rPr>
          <w:rFonts w:hint="eastAsia"/>
          <w:color w:val="auto"/>
          <w:sz w:val="28"/>
          <w:szCs w:val="28"/>
          <w:highlight w:val="none"/>
        </w:rPr>
        <w:t>评标办法前附表（双信封的综合评分法）</w:t>
      </w:r>
    </w:p>
    <w:tbl>
      <w:tblPr>
        <w:tblStyle w:val="4"/>
        <w:tblW w:w="846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512"/>
        <w:gridCol w:w="6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blHeader/>
          <w:jc w:val="center"/>
        </w:trPr>
        <w:tc>
          <w:tcPr>
            <w:tcW w:w="2416" w:type="dxa"/>
            <w:gridSpan w:val="2"/>
            <w:vAlign w:val="center"/>
          </w:tcPr>
          <w:p>
            <w:pPr>
              <w:spacing w:before="120" w:before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p>
        </w:tc>
        <w:tc>
          <w:tcPr>
            <w:tcW w:w="6050" w:type="dxa"/>
            <w:vAlign w:val="center"/>
          </w:tcPr>
          <w:p>
            <w:pPr>
              <w:spacing w:before="120" w:before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13" w:hRule="atLeast"/>
          <w:jc w:val="center"/>
        </w:trPr>
        <w:tc>
          <w:tcPr>
            <w:tcW w:w="904"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512"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评标方法</w:t>
            </w:r>
          </w:p>
        </w:tc>
        <w:tc>
          <w:tcPr>
            <w:tcW w:w="6050" w:type="dxa"/>
            <w:vAlign w:val="center"/>
          </w:tcPr>
          <w:p>
            <w:pPr>
              <w:autoSpaceDE w:val="0"/>
              <w:autoSpaceDN w:val="0"/>
              <w:adjustRightIn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综合评分相等时，评标委员会依次按照以下优先顺序推荐中标候选人或确定中标人：</w:t>
            </w:r>
          </w:p>
          <w:p>
            <w:pPr>
              <w:autoSpaceDE w:val="0"/>
              <w:autoSpaceDN w:val="0"/>
              <w:adjustRightIn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（1）评标价低的优先；</w:t>
            </w:r>
          </w:p>
          <w:p>
            <w:pPr>
              <w:autoSpaceDE w:val="0"/>
              <w:autoSpaceDN w:val="0"/>
              <w:adjustRightIn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（2）以投标人企业最新年度净资产较高的优先；</w:t>
            </w:r>
          </w:p>
          <w:p>
            <w:pPr>
              <w:autoSpaceDE w:val="0"/>
              <w:autoSpaceDN w:val="0"/>
              <w:adjustRightIn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（3）评标委员会视投标人情况综合比较，投票确定其名次。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60" w:hRule="atLeast"/>
          <w:jc w:val="center"/>
        </w:trPr>
        <w:tc>
          <w:tcPr>
            <w:tcW w:w="904"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2.1.1</w:t>
            </w:r>
          </w:p>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2.1.3</w:t>
            </w:r>
          </w:p>
        </w:tc>
        <w:tc>
          <w:tcPr>
            <w:tcW w:w="1512"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形式评审与响应性评审标准</w:t>
            </w:r>
          </w:p>
        </w:tc>
        <w:tc>
          <w:tcPr>
            <w:tcW w:w="6050" w:type="dxa"/>
            <w:vAlign w:val="center"/>
          </w:tcPr>
          <w:p>
            <w:pPr>
              <w:autoSpaceDE w:val="0"/>
              <w:autoSpaceDN w:val="0"/>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第一个信封（商务及技术文件）评审标准：</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（1）投标文件按照招标文件规定的格式、内容填写，字迹清晰可辨：</w:t>
            </w:r>
          </w:p>
          <w:p>
            <w:pPr>
              <w:autoSpaceDE w:val="0"/>
              <w:autoSpaceDN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 投标函按招标文件规定填报了项目名称、标段号、补遗书编号（如有)、工期、工程质量要求及安全目标；</w:t>
            </w:r>
          </w:p>
          <w:p>
            <w:pPr>
              <w:autoSpaceDE w:val="0"/>
              <w:autoSpaceDN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b. 投标函附录的所有数据均符合招标文件规定；</w:t>
            </w:r>
          </w:p>
          <w:p>
            <w:pPr>
              <w:autoSpaceDE w:val="0"/>
              <w:autoSpaceDN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C.投标文件组成齐全完整，内容均按规定填写。</w:t>
            </w:r>
          </w:p>
          <w:p>
            <w:pPr>
              <w:autoSpaceDE w:val="0"/>
              <w:autoSpaceDN w:val="0"/>
              <w:spacing w:line="360" w:lineRule="auto"/>
              <w:ind w:firstLine="210" w:firstLineChars="100"/>
              <w:rPr>
                <w:rFonts w:hint="eastAsia" w:ascii="宋体" w:hAnsi="宋体" w:cs="宋体"/>
                <w:b/>
                <w:bCs/>
                <w:color w:val="auto"/>
                <w:sz w:val="21"/>
                <w:szCs w:val="21"/>
                <w:highlight w:val="none"/>
              </w:rPr>
            </w:pPr>
            <w:r>
              <w:rPr>
                <w:rFonts w:hint="eastAsia" w:ascii="宋体" w:hAnsi="宋体" w:cs="宋体"/>
                <w:color w:val="auto"/>
                <w:sz w:val="21"/>
                <w:szCs w:val="21"/>
                <w:highlight w:val="none"/>
              </w:rPr>
              <w:t>（2）投标文件上法定代表人或其委托代理人的签字、投标人的单位章盖章齐全，符合招标文件规定。</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（3）投标人按照招标文件的规定提供了投标保证金：</w:t>
            </w:r>
          </w:p>
          <w:p>
            <w:pPr>
              <w:autoSpaceDE w:val="0"/>
              <w:autoSpaceDN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a.投标保证金金额符合招标文件规定的金额，且投标保证金有效期不少于投标有效期；</w:t>
            </w:r>
          </w:p>
          <w:p>
            <w:pPr>
              <w:autoSpaceDE w:val="0"/>
              <w:autoSpaceDN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b.若投标保证金采用现金或支票或汇票形式提交，投标人应在投标人须知3.4.1项规定的时间，将投标保证金由投标人的基本账户转入招标人指定账户；</w:t>
            </w:r>
          </w:p>
          <w:p>
            <w:pPr>
              <w:autoSpaceDE w:val="0"/>
              <w:autoSpaceDN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c.若投标保证金采用银行保函或投标人须知前附表3.4.1项规定的其他形式提交，应满足招标文件要求。</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（4）投标人法定代表人授权委托代理人签署投标文件的，需提交授权委托书，且授权人和被授权人均在授权委托书上签名，未使用印章、签名章或其他电子制版签名代替。</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（5）投标人法定代表人亲自签署投标文件的，提供了法定代表人身份证明，且法定代表人在法定代表人身份证明上签名，未使用印章、签名章或其他电子制版签名代替。</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（6）</w:t>
            </w:r>
            <w:r>
              <w:rPr>
                <w:rStyle w:val="7"/>
                <w:rFonts w:hint="eastAsia" w:ascii="宋体" w:hAnsi="宋体" w:eastAsia="宋体"/>
                <w:color w:val="auto"/>
                <w:sz w:val="21"/>
                <w:szCs w:val="21"/>
                <w:highlight w:val="none"/>
              </w:rPr>
              <w:t>投标人未以联合体形式投标。</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（7）同一投标人未提交两个以上不同的投标文件，但招标文件要求提交备选投标的除外。</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）投标文件中未出现有关投标报价的内容。</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）投标文件载明的招标项目完成期限未超过招标文件规定的时限。</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）投标文件对招标文件的实质性要求和条件作出响应。</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）权利义务符合招标文件规定：</w:t>
            </w:r>
          </w:p>
          <w:p>
            <w:pPr>
              <w:autoSpaceDE w:val="0"/>
              <w:autoSpaceDN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a.投标人应接受招标文件规定的风险划分原则，未提出新的风险划分办法；</w:t>
            </w:r>
          </w:p>
          <w:p>
            <w:pPr>
              <w:autoSpaceDE w:val="0"/>
              <w:autoSpaceDN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b.投标人未增加发包人的责任范围，或减少投标人义务；</w:t>
            </w:r>
          </w:p>
          <w:p>
            <w:pPr>
              <w:autoSpaceDE w:val="0"/>
              <w:autoSpaceDN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c.投标人未提出不同的工程验收、计量、支付办法；</w:t>
            </w:r>
          </w:p>
          <w:p>
            <w:pPr>
              <w:autoSpaceDE w:val="0"/>
              <w:autoSpaceDN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d.投标人对合同纠纷、事故处理办法未提出异议；</w:t>
            </w:r>
          </w:p>
          <w:p>
            <w:pPr>
              <w:autoSpaceDE w:val="0"/>
              <w:autoSpaceDN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e.投标人在投标活动中无欺诈行为；</w:t>
            </w:r>
          </w:p>
          <w:p>
            <w:pPr>
              <w:autoSpaceDE w:val="0"/>
              <w:autoSpaceDN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f.投标人未对合同条款有重要保留。</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)投标文件正、副本份数符合招标文件第二章“投标人须知 第 3.7.4项规定。</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）投标文件未附有招标人不能接受的条件。</w:t>
            </w:r>
          </w:p>
          <w:p>
            <w:pPr>
              <w:autoSpaceDE w:val="0"/>
              <w:autoSpaceDN w:val="0"/>
              <w:spacing w:line="360" w:lineRule="auto"/>
              <w:ind w:firstLine="422" w:firstLineChars="200"/>
              <w:rPr>
                <w:rFonts w:hint="eastAsia" w:ascii="宋体" w:hAnsi="宋体" w:cs="宋体"/>
                <w:b/>
                <w:bCs/>
                <w:color w:val="auto"/>
                <w:sz w:val="21"/>
                <w:szCs w:val="21"/>
                <w:highlight w:val="none"/>
              </w:rPr>
            </w:pPr>
          </w:p>
          <w:p>
            <w:pPr>
              <w:autoSpaceDE w:val="0"/>
              <w:autoSpaceDN w:val="0"/>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第二个信封（报价文件）评审标准：</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(1)投标文件按照招标文件规定的格式、内容填写，字迹清晰可辨：</w:t>
            </w:r>
          </w:p>
          <w:p>
            <w:pPr>
              <w:autoSpaceDE w:val="0"/>
              <w:autoSpaceDN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a.投标函按招标文件规定填报了项目名称、标段号（如有）、补遗书编号（如有)、投标总报价（包括大写金额和小写金额)；</w:t>
            </w:r>
          </w:p>
          <w:p>
            <w:pPr>
              <w:autoSpaceDE w:val="0"/>
              <w:autoSpaceDN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b.已标价工程量清单说明文字与招标文件规定一致，未进行实质性修改和删减；</w:t>
            </w:r>
          </w:p>
          <w:p>
            <w:pPr>
              <w:autoSpaceDE w:val="0"/>
              <w:autoSpaceDN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c.投标文件组成齐全完整，内容均按规定填写。</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（2）投标文件上法定代表人或其委托代理人的签字、投标人的单位章盖章齐全，符合招标文件规定。</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（3）投标总报价或调价函中的报价未超过招标文件设定的最高投标限价（如有）及最高评标限价（如有）。</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（4）投标总报价或调价函中报价的大写金额能够确定具体数值。</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（5）同一投标人未提交两个以上不同的投标报价，但招标文件要求提交备选投标的除外。</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（6）投标人若提交调价函，调价函符合招标文件第二章“投标人须知”第3.2.6项要求。</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（7）投标人若填写工程量固化清单，填写完毕的工程量固化清单未对工程量固化清单电子文件中的数据、格式和运算定义进行修改；工程量固化清单中的投标总报价和投标函大写金额报价一致。</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（8）投标文件正、副本份数符合招标文件第二章“投标人须知”第3.7.4项规定。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04"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2.1.2</w:t>
            </w:r>
          </w:p>
        </w:tc>
        <w:tc>
          <w:tcPr>
            <w:tcW w:w="1512"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资格评审</w:t>
            </w:r>
          </w:p>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标准</w:t>
            </w:r>
          </w:p>
        </w:tc>
        <w:tc>
          <w:tcPr>
            <w:tcW w:w="6050" w:type="dxa"/>
            <w:vAlign w:val="center"/>
          </w:tcPr>
          <w:p>
            <w:pPr>
              <w:pStyle w:val="8"/>
              <w:shd w:val="clear" w:color="auto" w:fill="auto"/>
              <w:spacing w:before="0" w:line="360" w:lineRule="auto"/>
              <w:ind w:left="142" w:leftChars="59"/>
              <w:rPr>
                <w:rStyle w:val="9"/>
                <w:rFonts w:hint="eastAsia" w:ascii="宋体" w:eastAsia="宋体"/>
                <w:sz w:val="21"/>
                <w:szCs w:val="21"/>
                <w:highlight w:val="none"/>
              </w:rPr>
            </w:pPr>
            <w:r>
              <w:rPr>
                <w:rFonts w:hint="eastAsia" w:ascii="宋体" w:hAnsi="宋体" w:cs="宋体"/>
                <w:sz w:val="21"/>
                <w:szCs w:val="21"/>
                <w:highlight w:val="none"/>
              </w:rPr>
              <w:t>（1）投标人具备有效的营业执照、</w:t>
            </w:r>
            <w:r>
              <w:rPr>
                <w:rFonts w:hint="eastAsia" w:ascii="宋体" w:hAnsi="宋体" w:eastAsia="宋体" w:cs="宋体"/>
                <w:sz w:val="21"/>
                <w:szCs w:val="21"/>
                <w:highlight w:val="none"/>
              </w:rPr>
              <w:t>资质证书、</w:t>
            </w:r>
            <w:r>
              <w:rPr>
                <w:rFonts w:hint="eastAsia" w:ascii="宋体" w:hAnsi="宋体" w:cs="宋体"/>
                <w:sz w:val="21"/>
                <w:szCs w:val="21"/>
                <w:highlight w:val="none"/>
              </w:rPr>
              <w:t>安全生产许可证和基本账户开户许可证</w:t>
            </w:r>
            <w:r>
              <w:rPr>
                <w:rStyle w:val="9"/>
                <w:rFonts w:hint="eastAsia" w:ascii="宋体" w:hAnsi="宋体" w:eastAsia="宋体"/>
                <w:sz w:val="21"/>
                <w:szCs w:val="21"/>
                <w:highlight w:val="none"/>
              </w:rPr>
              <w:t>（如企业所在地已取消企业银行账户许可而无法提供开户许可证的，则需附上开户银行出具的“基本存款账户信息”或“人民银行账户管理系统查询的基本账户信息截图”）；</w:t>
            </w:r>
          </w:p>
          <w:p>
            <w:pPr>
              <w:autoSpaceDE w:val="0"/>
              <w:autoSpaceDN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（2）投标人的资质等级符合招标文件规定；</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（3）投标人的财务状况符合招标文件规定；</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（4）投标人的类似项目业绩符合招标文件规定；</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（5）投标人的信誉符合招标文件规定；</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（6）投标人的项目经理和项目总工资格、在岗情况符合招标文件规定，并按规定在投标文件中签字确认；</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（7）投标人的其他要求符合招标文件规定；</w:t>
            </w:r>
          </w:p>
          <w:p>
            <w:pPr>
              <w:autoSpaceDE w:val="0"/>
              <w:autoSpaceDN w:val="0"/>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（8）投标人不存在第二章“投标人须知”第 1.4.3 项或第 1.4.4 项规定的任何一种情形；</w:t>
            </w:r>
          </w:p>
          <w:p>
            <w:pPr>
              <w:autoSpaceDE w:val="0"/>
              <w:autoSpaceDN w:val="0"/>
              <w:spacing w:line="360" w:lineRule="auto"/>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5" w:hRule="atLeast"/>
          <w:jc w:val="center"/>
        </w:trPr>
        <w:tc>
          <w:tcPr>
            <w:tcW w:w="904"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2.2.1</w:t>
            </w:r>
          </w:p>
        </w:tc>
        <w:tc>
          <w:tcPr>
            <w:tcW w:w="1512"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分值构成</w:t>
            </w:r>
          </w:p>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（总分100分）</w:t>
            </w:r>
          </w:p>
        </w:tc>
        <w:tc>
          <w:tcPr>
            <w:tcW w:w="6050" w:type="dxa"/>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第一个信封（商务及技术文件）的分值：</w:t>
            </w:r>
          </w:p>
          <w:p>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施工组织设计（A）： 7分</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项目管理机构 (B)： 0 分</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其他因素 (D)</w:t>
            </w:r>
          </w:p>
          <w:p>
            <w:pPr>
              <w:pStyle w:val="2"/>
              <w:ind w:left="0" w:leftChars="0"/>
              <w:rPr>
                <w:rFonts w:hint="eastAsia" w:ascii="宋体" w:hAnsi="宋体" w:cs="宋体"/>
                <w:b w:val="0"/>
                <w:color w:val="auto"/>
                <w:kern w:val="2"/>
                <w:sz w:val="21"/>
                <w:szCs w:val="21"/>
                <w:highlight w:val="none"/>
              </w:rPr>
            </w:pPr>
            <w:r>
              <w:rPr>
                <w:rFonts w:hint="eastAsia" w:ascii="宋体" w:hAnsi="宋体" w:cs="宋体"/>
                <w:b w:val="0"/>
                <w:color w:val="auto"/>
                <w:kern w:val="2"/>
                <w:sz w:val="21"/>
                <w:szCs w:val="21"/>
                <w:highlight w:val="none"/>
              </w:rPr>
              <w:t>技术能力：0分</w:t>
            </w:r>
          </w:p>
          <w:p>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业 绩：3分</w:t>
            </w:r>
          </w:p>
          <w:p>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履约信誉：</w:t>
            </w:r>
            <w:r>
              <w:rPr>
                <w:rFonts w:hint="eastAsia" w:ascii="宋体" w:hAnsi="宋体" w:cs="宋体"/>
                <w:b/>
                <w:bCs/>
                <w:color w:val="auto"/>
                <w:sz w:val="21"/>
                <w:szCs w:val="21"/>
                <w:highlight w:val="none"/>
                <w:lang w:eastAsia="zh-CN"/>
              </w:rPr>
              <w:t>1</w:t>
            </w:r>
            <w:r>
              <w:rPr>
                <w:rFonts w:hint="eastAsia" w:ascii="宋体" w:hAnsi="宋体" w:cs="宋体"/>
                <w:b/>
                <w:bCs/>
                <w:color w:val="auto"/>
                <w:sz w:val="21"/>
                <w:szCs w:val="21"/>
                <w:highlight w:val="none"/>
                <w:lang w:val="en-US" w:eastAsia="zh-CN"/>
              </w:rPr>
              <w:t>0</w:t>
            </w:r>
            <w:r>
              <w:rPr>
                <w:rFonts w:hint="eastAsia" w:ascii="宋体" w:hAnsi="宋体" w:cs="宋体"/>
                <w:b/>
                <w:bCs/>
                <w:color w:val="auto"/>
                <w:sz w:val="21"/>
                <w:szCs w:val="21"/>
                <w:highlight w:val="none"/>
              </w:rPr>
              <w:t>分</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场地及机械设备： 0 分</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第二个信封</w:t>
            </w:r>
            <w:r>
              <w:rPr>
                <w:rFonts w:hint="eastAsia" w:ascii="宋体" w:hAnsi="宋体" w:cs="宋体"/>
                <w:color w:val="auto"/>
                <w:kern w:val="0"/>
                <w:sz w:val="21"/>
                <w:szCs w:val="21"/>
                <w:highlight w:val="none"/>
              </w:rPr>
              <w:t>（报价文件）</w:t>
            </w:r>
            <w:r>
              <w:rPr>
                <w:rFonts w:hint="eastAsia" w:ascii="宋体" w:hAnsi="宋体" w:cs="宋体"/>
                <w:color w:val="auto"/>
                <w:sz w:val="21"/>
                <w:szCs w:val="21"/>
                <w:highlight w:val="none"/>
              </w:rPr>
              <w:t>的分值(C)：</w:t>
            </w:r>
          </w:p>
          <w:p>
            <w:pPr>
              <w:spacing w:line="360" w:lineRule="auto"/>
              <w:rPr>
                <w:rFonts w:hint="eastAsia" w:ascii="宋体" w:hAnsi="宋体" w:cs="宋体"/>
                <w:color w:val="auto"/>
                <w:sz w:val="21"/>
                <w:szCs w:val="21"/>
                <w:highlight w:val="none"/>
              </w:rPr>
            </w:pPr>
            <w:r>
              <w:rPr>
                <w:rFonts w:hint="eastAsia" w:ascii="宋体" w:hAnsi="宋体" w:cs="宋体"/>
                <w:b/>
                <w:bCs/>
                <w:color w:val="auto"/>
                <w:sz w:val="21"/>
                <w:szCs w:val="21"/>
                <w:highlight w:val="none"/>
              </w:rPr>
              <w:t>评标价： 8</w:t>
            </w:r>
            <w:r>
              <w:rPr>
                <w:rFonts w:hint="eastAsia" w:ascii="宋体" w:hAnsi="宋体" w:cs="宋体"/>
                <w:b/>
                <w:bCs/>
                <w:color w:val="auto"/>
                <w:sz w:val="21"/>
                <w:szCs w:val="21"/>
                <w:highlight w:val="none"/>
                <w:lang w:eastAsia="zh-CN"/>
              </w:rPr>
              <w:t>0</w:t>
            </w:r>
            <w:r>
              <w:rPr>
                <w:rFonts w:hint="eastAsia" w:ascii="宋体" w:hAnsi="宋体" w:cs="宋体"/>
                <w:b/>
                <w:bCs/>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4"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2.2.2</w:t>
            </w:r>
          </w:p>
        </w:tc>
        <w:tc>
          <w:tcPr>
            <w:tcW w:w="1512"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评标基准价</w:t>
            </w:r>
          </w:p>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计算方法</w:t>
            </w:r>
          </w:p>
        </w:tc>
        <w:tc>
          <w:tcPr>
            <w:tcW w:w="6050" w:type="dxa"/>
            <w:vAlign w:val="center"/>
          </w:tcPr>
          <w:p>
            <w:pPr>
              <w:spacing w:line="340" w:lineRule="exact"/>
              <w:ind w:left="142" w:leftChars="59" w:right="142" w:rightChars="59"/>
              <w:rPr>
                <w:rFonts w:hint="eastAsia" w:ascii="宋体" w:hAnsi="宋体"/>
                <w:color w:val="auto"/>
                <w:sz w:val="21"/>
                <w:szCs w:val="21"/>
                <w:highlight w:val="none"/>
              </w:rPr>
            </w:pPr>
            <w:r>
              <w:rPr>
                <w:rFonts w:hint="eastAsia" w:ascii="宋体" w:hAnsi="宋体"/>
                <w:color w:val="auto"/>
                <w:sz w:val="21"/>
                <w:szCs w:val="21"/>
                <w:highlight w:val="none"/>
              </w:rPr>
              <w:t>评标基准价的计算：</w:t>
            </w:r>
          </w:p>
          <w:p>
            <w:pPr>
              <w:spacing w:line="340" w:lineRule="exact"/>
              <w:ind w:left="142" w:leftChars="59" w:right="142" w:rightChars="59"/>
              <w:rPr>
                <w:rFonts w:hint="eastAsia" w:ascii="宋体" w:hAnsi="宋体"/>
                <w:color w:val="auto"/>
                <w:sz w:val="21"/>
                <w:szCs w:val="21"/>
                <w:highlight w:val="none"/>
              </w:rPr>
            </w:pPr>
            <w:r>
              <w:rPr>
                <w:rFonts w:hint="eastAsia" w:ascii="宋体" w:hAnsi="宋体"/>
                <w:color w:val="auto"/>
                <w:sz w:val="21"/>
                <w:szCs w:val="21"/>
                <w:highlight w:val="none"/>
              </w:rPr>
              <w:t>在开标现场，招标人将当场计算并宣布评标基准价。</w:t>
            </w:r>
          </w:p>
          <w:p>
            <w:pPr>
              <w:spacing w:line="340" w:lineRule="exact"/>
              <w:ind w:left="142" w:leftChars="59" w:right="142" w:rightChars="59"/>
              <w:rPr>
                <w:rFonts w:hint="eastAsia" w:ascii="宋体" w:hAnsi="宋体"/>
                <w:b/>
                <w:color w:val="auto"/>
                <w:sz w:val="21"/>
                <w:szCs w:val="21"/>
                <w:highlight w:val="none"/>
              </w:rPr>
            </w:pPr>
            <w:r>
              <w:rPr>
                <w:rFonts w:hint="eastAsia" w:ascii="宋体" w:hAnsi="宋体"/>
                <w:b/>
                <w:color w:val="auto"/>
                <w:sz w:val="21"/>
                <w:szCs w:val="21"/>
                <w:highlight w:val="none"/>
              </w:rPr>
              <w:t>（1）评标价的确定：</w:t>
            </w:r>
          </w:p>
          <w:p>
            <w:pPr>
              <w:spacing w:line="340" w:lineRule="exact"/>
              <w:ind w:left="142" w:leftChars="59" w:right="142" w:rightChars="59"/>
              <w:rPr>
                <w:rFonts w:hint="eastAsia" w:ascii="宋体" w:hAnsi="宋体"/>
                <w:color w:val="auto"/>
                <w:sz w:val="21"/>
                <w:szCs w:val="21"/>
                <w:highlight w:val="none"/>
              </w:rPr>
            </w:pPr>
            <w:r>
              <w:rPr>
                <w:rFonts w:hint="eastAsia" w:ascii="宋体" w:hAnsi="宋体"/>
                <w:color w:val="auto"/>
                <w:sz w:val="21"/>
                <w:szCs w:val="21"/>
                <w:highlight w:val="none"/>
              </w:rPr>
              <w:t>评标价＝投标函文字报价</w:t>
            </w:r>
          </w:p>
          <w:p>
            <w:pPr>
              <w:spacing w:line="340" w:lineRule="exact"/>
              <w:ind w:left="142" w:leftChars="59" w:right="142" w:rightChars="59"/>
              <w:rPr>
                <w:rFonts w:hint="eastAsia" w:ascii="宋体" w:hAnsi="宋体"/>
                <w:b/>
                <w:color w:val="auto"/>
                <w:sz w:val="21"/>
                <w:szCs w:val="21"/>
                <w:highlight w:val="none"/>
              </w:rPr>
            </w:pPr>
            <w:r>
              <w:rPr>
                <w:rFonts w:hint="eastAsia" w:ascii="宋体" w:hAnsi="宋体"/>
                <w:b/>
                <w:color w:val="auto"/>
                <w:sz w:val="21"/>
                <w:szCs w:val="21"/>
                <w:highlight w:val="none"/>
              </w:rPr>
              <w:t xml:space="preserve">（2）最高评标限价的确定 </w:t>
            </w:r>
          </w:p>
          <w:p>
            <w:pPr>
              <w:spacing w:line="340" w:lineRule="exact"/>
              <w:ind w:left="142" w:leftChars="59" w:right="142" w:rightChars="59"/>
              <w:rPr>
                <w:rFonts w:hint="eastAsia" w:ascii="宋体" w:hAnsi="宋体"/>
                <w:color w:val="auto"/>
                <w:sz w:val="21"/>
                <w:szCs w:val="21"/>
                <w:highlight w:val="none"/>
              </w:rPr>
            </w:pPr>
            <w:r>
              <w:rPr>
                <w:rFonts w:hint="eastAsia" w:ascii="宋体" w:hAnsi="宋体"/>
                <w:color w:val="auto"/>
                <w:sz w:val="21"/>
                <w:szCs w:val="21"/>
                <w:highlight w:val="none"/>
              </w:rPr>
              <w:t>最高投标限价下浮率</w:t>
            </w:r>
            <w:r>
              <w:rPr>
                <w:rFonts w:hint="eastAsia" w:ascii="宋体" w:hAnsi="宋体"/>
                <w:snapToGrid w:val="0"/>
                <w:color w:val="auto"/>
                <w:sz w:val="21"/>
                <w:szCs w:val="21"/>
                <w:highlight w:val="none"/>
              </w:rPr>
              <w:t>（以下简称“下浮率”）</w:t>
            </w:r>
            <w:r>
              <w:rPr>
                <w:rFonts w:hint="eastAsia" w:ascii="宋体" w:hAnsi="宋体"/>
                <w:color w:val="auto"/>
                <w:sz w:val="21"/>
                <w:szCs w:val="21"/>
                <w:highlight w:val="none"/>
              </w:rPr>
              <w:t>在开标前在开标现场采取逐标段摇珠方式确定。摇珠操作办法如下：在下浮率摇珠范围内，以0.1%为一档次增序确定摇珠号码，不少于31个球，每个标段各一次性摇出3个球（摇出的球不放回），摇出3个球对应的下浮率的平均值即为本标段招标的下浮率。（注：三个下浮率的平均值四舍五入取整到0.001%。）</w:t>
            </w:r>
          </w:p>
          <w:p>
            <w:pPr>
              <w:spacing w:line="340" w:lineRule="exact"/>
              <w:ind w:left="142" w:leftChars="59" w:right="142" w:rightChars="59"/>
              <w:rPr>
                <w:rFonts w:hint="eastAsia" w:ascii="宋体" w:hAnsi="宋体"/>
                <w:color w:val="auto"/>
                <w:sz w:val="21"/>
                <w:szCs w:val="21"/>
                <w:highlight w:val="none"/>
              </w:rPr>
            </w:pPr>
            <w:r>
              <w:rPr>
                <w:rFonts w:hint="eastAsia" w:ascii="宋体" w:hAnsi="宋体"/>
                <w:color w:val="auto"/>
                <w:sz w:val="21"/>
                <w:szCs w:val="21"/>
                <w:highlight w:val="none"/>
              </w:rPr>
              <w:t>最高评标限价=最高投标限价×（1-下浮率）</w:t>
            </w:r>
          </w:p>
          <w:p>
            <w:pPr>
              <w:spacing w:line="340" w:lineRule="exact"/>
              <w:ind w:left="142" w:leftChars="59" w:right="142" w:rightChars="59"/>
              <w:rPr>
                <w:rFonts w:hint="eastAsia" w:ascii="宋体" w:hAnsi="宋体"/>
                <w:b/>
                <w:color w:val="auto"/>
                <w:sz w:val="21"/>
                <w:szCs w:val="21"/>
                <w:highlight w:val="none"/>
              </w:rPr>
            </w:pPr>
            <w:r>
              <w:rPr>
                <w:rFonts w:hint="eastAsia" w:ascii="宋体" w:hAnsi="宋体"/>
                <w:snapToGrid w:val="0"/>
                <w:color w:val="auto"/>
                <w:sz w:val="21"/>
                <w:szCs w:val="21"/>
                <w:highlight w:val="none"/>
              </w:rPr>
              <w:t>最高投标限价、下浮率有效范围可在投标文件递交截止日15天前以书面补遗书的形式通知各投标人。</w:t>
            </w:r>
          </w:p>
          <w:p>
            <w:pPr>
              <w:spacing w:line="340" w:lineRule="exact"/>
              <w:ind w:left="142" w:leftChars="59" w:right="142" w:rightChars="59"/>
              <w:rPr>
                <w:rFonts w:hint="eastAsia" w:ascii="宋体" w:hAnsi="宋体"/>
                <w:b/>
                <w:color w:val="auto"/>
                <w:sz w:val="21"/>
                <w:szCs w:val="21"/>
                <w:highlight w:val="none"/>
              </w:rPr>
            </w:pPr>
            <w:r>
              <w:rPr>
                <w:rFonts w:hint="eastAsia" w:ascii="宋体" w:hAnsi="宋体"/>
                <w:b/>
                <w:color w:val="auto"/>
                <w:sz w:val="21"/>
                <w:szCs w:val="21"/>
                <w:highlight w:val="none"/>
              </w:rPr>
              <w:t>（3）有效评标价范围：</w:t>
            </w:r>
          </w:p>
          <w:p>
            <w:pPr>
              <w:spacing w:line="340" w:lineRule="exact"/>
              <w:ind w:left="142" w:leftChars="59" w:right="142" w:rightChars="59"/>
              <w:rPr>
                <w:rFonts w:hint="eastAsia" w:ascii="宋体" w:hAnsi="宋体"/>
                <w:color w:val="auto"/>
                <w:sz w:val="21"/>
                <w:szCs w:val="21"/>
                <w:highlight w:val="none"/>
              </w:rPr>
            </w:pPr>
            <w:r>
              <w:rPr>
                <w:rFonts w:hint="eastAsia" w:ascii="宋体" w:hAnsi="宋体"/>
                <w:color w:val="auto"/>
                <w:sz w:val="21"/>
                <w:szCs w:val="21"/>
                <w:highlight w:val="none"/>
              </w:rPr>
              <w:t>有效评标价范围：不大于最高评标限价的评标价为有效评标价。若大于最高评标限价的评标价，将否决其投标。</w:t>
            </w:r>
          </w:p>
          <w:p>
            <w:pPr>
              <w:spacing w:line="340" w:lineRule="exact"/>
              <w:ind w:left="142" w:leftChars="59" w:right="142" w:rightChars="59"/>
              <w:rPr>
                <w:rFonts w:hint="eastAsia" w:ascii="宋体" w:hAnsi="宋体"/>
                <w:b/>
                <w:color w:val="auto"/>
                <w:sz w:val="21"/>
                <w:szCs w:val="21"/>
                <w:highlight w:val="none"/>
              </w:rPr>
            </w:pPr>
            <w:r>
              <w:rPr>
                <w:rFonts w:hint="eastAsia" w:ascii="宋体" w:hAnsi="宋体"/>
                <w:b/>
                <w:color w:val="auto"/>
                <w:sz w:val="21"/>
                <w:szCs w:val="21"/>
                <w:highlight w:val="none"/>
              </w:rPr>
              <w:t xml:space="preserve">（4）评标基准价的确定： </w:t>
            </w:r>
          </w:p>
          <w:p>
            <w:pPr>
              <w:spacing w:line="340" w:lineRule="exact"/>
              <w:ind w:left="142" w:leftChars="59" w:right="142" w:rightChars="59"/>
              <w:rPr>
                <w:rFonts w:hint="eastAsia" w:ascii="宋体" w:hAnsi="宋体"/>
                <w:color w:val="auto"/>
                <w:sz w:val="21"/>
                <w:szCs w:val="21"/>
                <w:highlight w:val="none"/>
              </w:rPr>
            </w:pPr>
            <w:r>
              <w:rPr>
                <w:rFonts w:hint="eastAsia" w:ascii="宋体" w:hAnsi="宋体"/>
                <w:color w:val="auto"/>
                <w:sz w:val="21"/>
                <w:szCs w:val="21"/>
                <w:highlight w:val="none"/>
              </w:rPr>
              <w:t>最高评标限价下浮2%后，作为评标基准价。</w:t>
            </w:r>
          </w:p>
          <w:p>
            <w:pPr>
              <w:spacing w:line="340" w:lineRule="exact"/>
              <w:ind w:left="142" w:leftChars="59" w:right="142" w:rightChars="59"/>
              <w:rPr>
                <w:rFonts w:hint="eastAsia" w:ascii="宋体" w:hAnsi="宋体"/>
                <w:color w:val="auto"/>
                <w:sz w:val="21"/>
                <w:szCs w:val="21"/>
                <w:highlight w:val="none"/>
              </w:rPr>
            </w:pPr>
            <w:r>
              <w:rPr>
                <w:rFonts w:hint="eastAsia" w:ascii="宋体" w:hAnsi="宋体"/>
                <w:color w:val="auto"/>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pPr>
              <w:spacing w:line="340" w:lineRule="exact"/>
              <w:ind w:left="142" w:leftChars="59" w:right="142" w:rightChars="59"/>
              <w:rPr>
                <w:rFonts w:hint="eastAsia" w:ascii="宋体" w:hAnsi="宋体"/>
                <w:color w:val="auto"/>
                <w:sz w:val="21"/>
                <w:szCs w:val="21"/>
                <w:highlight w:val="none"/>
              </w:rPr>
            </w:pPr>
            <w:r>
              <w:rPr>
                <w:rFonts w:hint="eastAsia" w:ascii="宋体" w:hAnsi="宋体"/>
                <w:b/>
                <w:bCs/>
                <w:color w:val="auto"/>
                <w:sz w:val="21"/>
                <w:szCs w:val="21"/>
                <w:highlight w:val="none"/>
              </w:rPr>
              <w:t>备注：最高评标限价、评标基准价四舍五入至个位整数。</w:t>
            </w:r>
          </w:p>
          <w:p>
            <w:pPr>
              <w:spacing w:line="360" w:lineRule="auto"/>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04"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2.2.3</w:t>
            </w:r>
          </w:p>
        </w:tc>
        <w:tc>
          <w:tcPr>
            <w:tcW w:w="1512"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评标价的偏差率计算公式</w:t>
            </w:r>
          </w:p>
        </w:tc>
        <w:tc>
          <w:tcPr>
            <w:tcW w:w="6050" w:type="dxa"/>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偏差率=100%×（投标人评标价－评标基准价)/评标基准价</w:t>
            </w:r>
          </w:p>
        </w:tc>
      </w:tr>
    </w:tbl>
    <w:p>
      <w:pPr>
        <w:spacing w:line="360" w:lineRule="auto"/>
        <w:rPr>
          <w:color w:val="auto"/>
          <w:highlight w:val="none"/>
        </w:rPr>
        <w:sectPr>
          <w:footnotePr>
            <w:numFmt w:val="decimalEnclosedCircleChinese"/>
            <w:numRestart w:val="eachPage"/>
          </w:footnotePr>
          <w:pgSz w:w="11850" w:h="16783"/>
          <w:pgMar w:top="1440" w:right="1800" w:bottom="1440" w:left="1800" w:header="850" w:footer="850" w:gutter="0"/>
          <w:pgBorders>
            <w:top w:val="none" w:sz="0" w:space="0"/>
            <w:left w:val="none" w:sz="0" w:space="0"/>
            <w:bottom w:val="none" w:sz="0" w:space="0"/>
            <w:right w:val="none" w:sz="0" w:space="0"/>
          </w:pgBorders>
          <w:pgNumType w:fmt="decimal"/>
          <w:cols w:space="720" w:num="1"/>
          <w:docGrid w:linePitch="326" w:charSpace="0"/>
        </w:sectPr>
      </w:pPr>
    </w:p>
    <w:tbl>
      <w:tblPr>
        <w:tblStyle w:val="4"/>
        <w:tblW w:w="84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08"/>
        <w:gridCol w:w="700"/>
        <w:gridCol w:w="888"/>
        <w:gridCol w:w="928"/>
        <w:gridCol w:w="762"/>
        <w:gridCol w:w="36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831" w:type="dxa"/>
            <w:gridSpan w:val="6"/>
            <w:vAlign w:val="center"/>
          </w:tcPr>
          <w:p>
            <w:pPr>
              <w:spacing w:before="120" w:beforeLines="50" w:line="360" w:lineRule="auto"/>
              <w:jc w:val="center"/>
              <w:rPr>
                <w:b/>
                <w:color w:val="auto"/>
                <w:sz w:val="21"/>
                <w:szCs w:val="21"/>
                <w:highlight w:val="none"/>
              </w:rPr>
            </w:pPr>
            <w:r>
              <w:rPr>
                <w:b/>
                <w:color w:val="auto"/>
                <w:sz w:val="21"/>
                <w:szCs w:val="21"/>
                <w:highlight w:val="none"/>
              </w:rPr>
              <w:t>评分因素与权重分值</w:t>
            </w:r>
          </w:p>
        </w:tc>
        <w:tc>
          <w:tcPr>
            <w:tcW w:w="3635" w:type="dxa"/>
            <w:vMerge w:val="restart"/>
            <w:vAlign w:val="center"/>
          </w:tcPr>
          <w:p>
            <w:pPr>
              <w:spacing w:before="120" w:beforeLines="50" w:line="360" w:lineRule="auto"/>
              <w:jc w:val="center"/>
              <w:rPr>
                <w:color w:val="auto"/>
                <w:sz w:val="21"/>
                <w:szCs w:val="21"/>
                <w:highlight w:val="none"/>
              </w:rPr>
            </w:pPr>
            <w:r>
              <w:rPr>
                <w:b/>
                <w:color w:val="auto"/>
                <w:sz w:val="21"/>
                <w:szCs w:val="21"/>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45" w:type="dxa"/>
            <w:vAlign w:val="center"/>
          </w:tcPr>
          <w:p>
            <w:pPr>
              <w:spacing w:before="120" w:beforeLines="50" w:line="360" w:lineRule="auto"/>
              <w:jc w:val="center"/>
              <w:rPr>
                <w:color w:val="auto"/>
                <w:sz w:val="21"/>
                <w:szCs w:val="21"/>
                <w:highlight w:val="none"/>
              </w:rPr>
            </w:pPr>
            <w:r>
              <w:rPr>
                <w:b/>
                <w:color w:val="auto"/>
                <w:sz w:val="21"/>
                <w:szCs w:val="21"/>
                <w:highlight w:val="none"/>
              </w:rPr>
              <w:t>条款号</w:t>
            </w:r>
          </w:p>
        </w:tc>
        <w:tc>
          <w:tcPr>
            <w:tcW w:w="1108" w:type="dxa"/>
            <w:gridSpan w:val="2"/>
            <w:vAlign w:val="center"/>
          </w:tcPr>
          <w:p>
            <w:pPr>
              <w:spacing w:before="120" w:beforeLines="50" w:line="360" w:lineRule="auto"/>
              <w:jc w:val="center"/>
              <w:rPr>
                <w:rFonts w:hint="eastAsia"/>
                <w:b/>
                <w:color w:val="auto"/>
                <w:sz w:val="21"/>
                <w:szCs w:val="21"/>
                <w:highlight w:val="none"/>
              </w:rPr>
            </w:pPr>
            <w:r>
              <w:rPr>
                <w:b/>
                <w:color w:val="auto"/>
                <w:sz w:val="21"/>
                <w:szCs w:val="21"/>
                <w:highlight w:val="none"/>
              </w:rPr>
              <w:t>评分</w:t>
            </w:r>
          </w:p>
          <w:p>
            <w:pPr>
              <w:spacing w:before="120" w:beforeLines="50" w:line="360" w:lineRule="auto"/>
              <w:jc w:val="center"/>
              <w:rPr>
                <w:color w:val="auto"/>
                <w:sz w:val="21"/>
                <w:szCs w:val="21"/>
                <w:highlight w:val="none"/>
              </w:rPr>
            </w:pPr>
            <w:r>
              <w:rPr>
                <w:b/>
                <w:color w:val="auto"/>
                <w:sz w:val="21"/>
                <w:szCs w:val="21"/>
                <w:highlight w:val="none"/>
              </w:rPr>
              <w:t>因素</w:t>
            </w:r>
          </w:p>
        </w:tc>
        <w:tc>
          <w:tcPr>
            <w:tcW w:w="888" w:type="dxa"/>
            <w:vAlign w:val="center"/>
          </w:tcPr>
          <w:p>
            <w:pPr>
              <w:spacing w:before="120" w:beforeLines="50" w:line="360" w:lineRule="auto"/>
              <w:jc w:val="center"/>
              <w:rPr>
                <w:color w:val="auto"/>
                <w:sz w:val="21"/>
                <w:szCs w:val="21"/>
                <w:highlight w:val="none"/>
                <w:u w:val="single"/>
              </w:rPr>
            </w:pPr>
            <w:r>
              <w:rPr>
                <w:b/>
                <w:color w:val="auto"/>
                <w:sz w:val="21"/>
                <w:szCs w:val="21"/>
                <w:highlight w:val="none"/>
              </w:rPr>
              <w:t>评分因素权重分值</w:t>
            </w:r>
          </w:p>
        </w:tc>
        <w:tc>
          <w:tcPr>
            <w:tcW w:w="928" w:type="dxa"/>
            <w:vAlign w:val="center"/>
          </w:tcPr>
          <w:p>
            <w:pPr>
              <w:spacing w:before="120" w:beforeLines="50" w:line="360" w:lineRule="auto"/>
              <w:jc w:val="center"/>
              <w:rPr>
                <w:rFonts w:ascii="宋体" w:hAnsi="宋体"/>
                <w:color w:val="auto"/>
                <w:sz w:val="21"/>
                <w:szCs w:val="21"/>
                <w:highlight w:val="none"/>
              </w:rPr>
            </w:pPr>
            <w:r>
              <w:rPr>
                <w:b/>
                <w:color w:val="auto"/>
                <w:sz w:val="21"/>
                <w:szCs w:val="21"/>
                <w:highlight w:val="none"/>
              </w:rPr>
              <w:t>各评分因素细分项</w:t>
            </w:r>
          </w:p>
        </w:tc>
        <w:tc>
          <w:tcPr>
            <w:tcW w:w="762" w:type="dxa"/>
            <w:vAlign w:val="center"/>
          </w:tcPr>
          <w:p>
            <w:pPr>
              <w:spacing w:before="120" w:beforeLines="50" w:line="360" w:lineRule="auto"/>
              <w:jc w:val="center"/>
              <w:rPr>
                <w:color w:val="auto"/>
                <w:sz w:val="21"/>
                <w:szCs w:val="21"/>
                <w:highlight w:val="none"/>
              </w:rPr>
            </w:pPr>
            <w:r>
              <w:rPr>
                <w:b/>
                <w:color w:val="auto"/>
                <w:sz w:val="21"/>
                <w:szCs w:val="21"/>
                <w:highlight w:val="none"/>
              </w:rPr>
              <w:t>分值</w:t>
            </w:r>
          </w:p>
        </w:tc>
        <w:tc>
          <w:tcPr>
            <w:tcW w:w="3635" w:type="dxa"/>
            <w:vMerge w:val="continue"/>
            <w:vAlign w:val="center"/>
          </w:tcPr>
          <w:p>
            <w:pPr>
              <w:spacing w:line="360" w:lineRule="auto"/>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45" w:type="dxa"/>
            <w:vMerge w:val="restart"/>
            <w:vAlign w:val="center"/>
          </w:tcPr>
          <w:p>
            <w:pPr>
              <w:spacing w:line="360" w:lineRule="auto"/>
              <w:jc w:val="center"/>
              <w:rPr>
                <w:color w:val="auto"/>
                <w:sz w:val="21"/>
                <w:szCs w:val="21"/>
                <w:highlight w:val="none"/>
              </w:rPr>
            </w:pPr>
            <w:r>
              <w:rPr>
                <w:color w:val="auto"/>
                <w:sz w:val="21"/>
                <w:szCs w:val="21"/>
                <w:highlight w:val="none"/>
              </w:rPr>
              <w:t>2.2.4(</w:t>
            </w:r>
            <w:r>
              <w:rPr>
                <w:rFonts w:hint="eastAsia"/>
                <w:color w:val="auto"/>
                <w:sz w:val="21"/>
                <w:szCs w:val="21"/>
                <w:highlight w:val="none"/>
              </w:rPr>
              <w:t>1</w:t>
            </w:r>
            <w:r>
              <w:rPr>
                <w:color w:val="auto"/>
                <w:sz w:val="21"/>
                <w:szCs w:val="21"/>
                <w:highlight w:val="none"/>
              </w:rPr>
              <w:t>)</w:t>
            </w:r>
          </w:p>
        </w:tc>
        <w:tc>
          <w:tcPr>
            <w:tcW w:w="1108" w:type="dxa"/>
            <w:gridSpan w:val="2"/>
            <w:vMerge w:val="restart"/>
            <w:vAlign w:val="center"/>
          </w:tcPr>
          <w:p>
            <w:pPr>
              <w:spacing w:line="360" w:lineRule="auto"/>
              <w:jc w:val="center"/>
              <w:rPr>
                <w:color w:val="auto"/>
                <w:sz w:val="21"/>
                <w:szCs w:val="21"/>
                <w:highlight w:val="none"/>
              </w:rPr>
            </w:pPr>
            <w:r>
              <w:rPr>
                <w:rFonts w:hint="eastAsia"/>
                <w:color w:val="auto"/>
                <w:sz w:val="21"/>
                <w:szCs w:val="21"/>
                <w:highlight w:val="none"/>
              </w:rPr>
              <w:t>施工组织设计</w:t>
            </w:r>
          </w:p>
        </w:tc>
        <w:tc>
          <w:tcPr>
            <w:tcW w:w="888" w:type="dxa"/>
            <w:vMerge w:val="restart"/>
            <w:vAlign w:val="center"/>
          </w:tcPr>
          <w:p>
            <w:pPr>
              <w:spacing w:line="360" w:lineRule="auto"/>
              <w:jc w:val="center"/>
              <w:rPr>
                <w:color w:val="auto"/>
                <w:sz w:val="21"/>
                <w:szCs w:val="21"/>
                <w:highlight w:val="none"/>
              </w:rPr>
            </w:pPr>
            <w:r>
              <w:rPr>
                <w:rFonts w:hint="eastAsia"/>
                <w:color w:val="auto"/>
                <w:sz w:val="21"/>
                <w:szCs w:val="21"/>
                <w:highlight w:val="none"/>
                <w:u w:val="single"/>
              </w:rPr>
              <w:t>7</w:t>
            </w:r>
            <w:r>
              <w:rPr>
                <w:color w:val="auto"/>
                <w:sz w:val="21"/>
                <w:szCs w:val="21"/>
                <w:highlight w:val="none"/>
              </w:rPr>
              <w:t>分</w:t>
            </w:r>
          </w:p>
        </w:tc>
        <w:tc>
          <w:tcPr>
            <w:tcW w:w="928" w:type="dxa"/>
            <w:vAlign w:val="center"/>
          </w:tcPr>
          <w:p>
            <w:pPr>
              <w:spacing w:line="360" w:lineRule="auto"/>
              <w:jc w:val="center"/>
              <w:rPr>
                <w:color w:val="auto"/>
                <w:sz w:val="21"/>
                <w:szCs w:val="21"/>
                <w:highlight w:val="none"/>
              </w:rPr>
            </w:pPr>
            <w:r>
              <w:rPr>
                <w:rFonts w:hint="eastAsia" w:ascii="宋体" w:hAnsi="宋体"/>
                <w:color w:val="auto"/>
                <w:sz w:val="21"/>
                <w:szCs w:val="21"/>
                <w:highlight w:val="none"/>
              </w:rPr>
              <w:t>总体组织布置及规划</w:t>
            </w:r>
          </w:p>
        </w:tc>
        <w:tc>
          <w:tcPr>
            <w:tcW w:w="762" w:type="dxa"/>
            <w:vAlign w:val="center"/>
          </w:tcPr>
          <w:p>
            <w:pPr>
              <w:spacing w:line="360" w:lineRule="auto"/>
              <w:jc w:val="center"/>
              <w:rPr>
                <w:rFonts w:hint="eastAsia" w:eastAsia="宋体"/>
                <w:color w:val="auto"/>
                <w:sz w:val="21"/>
                <w:szCs w:val="21"/>
                <w:highlight w:val="none"/>
                <w:lang w:eastAsia="zh-CN"/>
              </w:rPr>
            </w:pPr>
            <w:r>
              <w:rPr>
                <w:rFonts w:hint="eastAsia"/>
                <w:color w:val="auto"/>
                <w:sz w:val="21"/>
                <w:szCs w:val="21"/>
                <w:highlight w:val="none"/>
                <w:lang w:val="en-US" w:eastAsia="zh-CN"/>
              </w:rPr>
              <w:t>3</w:t>
            </w:r>
          </w:p>
        </w:tc>
        <w:tc>
          <w:tcPr>
            <w:tcW w:w="3635" w:type="dxa"/>
            <w:vAlign w:val="center"/>
          </w:tcPr>
          <w:p>
            <w:pPr>
              <w:spacing w:line="360" w:lineRule="auto"/>
              <w:rPr>
                <w:color w:val="auto"/>
                <w:sz w:val="21"/>
                <w:szCs w:val="21"/>
                <w:highlight w:val="none"/>
              </w:rPr>
            </w:pPr>
            <w:r>
              <w:rPr>
                <w:rFonts w:hint="eastAsia"/>
                <w:color w:val="auto"/>
                <w:sz w:val="21"/>
                <w:szCs w:val="21"/>
                <w:highlight w:val="none"/>
              </w:rPr>
              <w:t>1、对本项目工程特点、项目的重点难点等特性了解透彻，组织布置内容全面，规划方案科学合理，现有情况分析（含产能分析）详细、准确，包括但不限于场地的选址分析、使用面积、使用年限、建设（改造）工期等满足本项目工期及质量要求的情况；制作或存放场地的设置合理，能充分发挥投标人的优质资源；投标人组织机构设置及资源调配合理，利于项目管理和协调；总体布置内容全面，规划方案科学合理；评分范围1.8~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1145" w:type="dxa"/>
            <w:vMerge w:val="continue"/>
            <w:vAlign w:val="center"/>
          </w:tcPr>
          <w:p>
            <w:pPr>
              <w:spacing w:line="360" w:lineRule="auto"/>
              <w:jc w:val="center"/>
              <w:rPr>
                <w:color w:val="auto"/>
                <w:sz w:val="21"/>
                <w:szCs w:val="21"/>
                <w:highlight w:val="none"/>
              </w:rPr>
            </w:pPr>
          </w:p>
        </w:tc>
        <w:tc>
          <w:tcPr>
            <w:tcW w:w="1108" w:type="dxa"/>
            <w:gridSpan w:val="2"/>
            <w:vMerge w:val="continue"/>
            <w:vAlign w:val="center"/>
          </w:tcPr>
          <w:p>
            <w:pPr>
              <w:spacing w:line="360" w:lineRule="auto"/>
              <w:jc w:val="center"/>
              <w:rPr>
                <w:color w:val="auto"/>
                <w:sz w:val="21"/>
                <w:szCs w:val="21"/>
                <w:highlight w:val="none"/>
              </w:rPr>
            </w:pPr>
          </w:p>
        </w:tc>
        <w:tc>
          <w:tcPr>
            <w:tcW w:w="888" w:type="dxa"/>
            <w:vMerge w:val="continue"/>
            <w:vAlign w:val="center"/>
          </w:tcPr>
          <w:p>
            <w:pPr>
              <w:spacing w:line="360" w:lineRule="auto"/>
              <w:jc w:val="center"/>
              <w:rPr>
                <w:color w:val="auto"/>
                <w:sz w:val="21"/>
                <w:szCs w:val="21"/>
                <w:highlight w:val="none"/>
              </w:rPr>
            </w:pPr>
          </w:p>
        </w:tc>
        <w:tc>
          <w:tcPr>
            <w:tcW w:w="928"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制造工艺及装备智能化</w:t>
            </w:r>
          </w:p>
        </w:tc>
        <w:tc>
          <w:tcPr>
            <w:tcW w:w="762" w:type="dxa"/>
            <w:vAlign w:val="center"/>
          </w:tcPr>
          <w:p>
            <w:pPr>
              <w:spacing w:line="360" w:lineRule="auto"/>
              <w:jc w:val="center"/>
              <w:rPr>
                <w:rFonts w:hint="eastAsia" w:eastAsia="宋体"/>
                <w:color w:val="auto"/>
                <w:sz w:val="21"/>
                <w:szCs w:val="21"/>
                <w:highlight w:val="none"/>
                <w:lang w:eastAsia="zh-CN"/>
              </w:rPr>
            </w:pPr>
            <w:r>
              <w:rPr>
                <w:rFonts w:hint="eastAsia"/>
                <w:color w:val="auto"/>
                <w:sz w:val="21"/>
                <w:szCs w:val="21"/>
                <w:highlight w:val="none"/>
                <w:lang w:val="en-US" w:eastAsia="zh-CN"/>
              </w:rPr>
              <w:t>2</w:t>
            </w:r>
          </w:p>
        </w:tc>
        <w:tc>
          <w:tcPr>
            <w:tcW w:w="3635" w:type="dxa"/>
            <w:vAlign w:val="center"/>
          </w:tcPr>
          <w:p>
            <w:pPr>
              <w:spacing w:line="360" w:lineRule="auto"/>
              <w:rPr>
                <w:rFonts w:hint="eastAsia"/>
                <w:color w:val="auto"/>
                <w:highlight w:val="none"/>
              </w:rPr>
            </w:pPr>
            <w:r>
              <w:rPr>
                <w:rFonts w:hint="eastAsia"/>
                <w:color w:val="auto"/>
                <w:sz w:val="21"/>
                <w:szCs w:val="21"/>
                <w:highlight w:val="none"/>
              </w:rPr>
              <w:t>各分项工程制造工艺及流程准确无误，施工措施有效，工序之间衔接良好，过程控制措施得力，场地安排计划衔接合理；需要进行工艺评审的项目齐全，各制作工艺及方案的设计、试验、评审措施完善；</w:t>
            </w:r>
            <w:r>
              <w:rPr>
                <w:rFonts w:hint="eastAsia"/>
                <w:color w:val="auto"/>
                <w:sz w:val="21"/>
                <w:szCs w:val="21"/>
                <w:highlight w:val="none"/>
                <w:lang w:val="en-US" w:eastAsia="zh-CN"/>
              </w:rPr>
              <w:t>在发展新质生产力，推动行业技术进步、技术创新方面所采取的措施，</w:t>
            </w:r>
            <w:r>
              <w:rPr>
                <w:rFonts w:hint="eastAsia"/>
                <w:color w:val="auto"/>
                <w:sz w:val="21"/>
                <w:szCs w:val="21"/>
                <w:highlight w:val="none"/>
              </w:rPr>
              <w:t>对核心工艺环节有预控措施和预控机制；拟投入的生产制造设备很好地满足本合同工程对制造过程机械化、自动化、智能化的要求，且技术水平处于先进地位，性能好，有利于产品生产的高质量、高产出及高稳定性；针对各种特殊设备，制定了完善的操作人员培训计划、维护保养计划等；评分范围</w:t>
            </w:r>
            <w:bookmarkStart w:id="0" w:name="OLE_LINK29"/>
            <w:bookmarkStart w:id="1" w:name="OLE_LINK2"/>
            <w:r>
              <w:rPr>
                <w:rFonts w:hint="eastAsia"/>
                <w:color w:val="auto"/>
                <w:sz w:val="21"/>
                <w:szCs w:val="21"/>
                <w:highlight w:val="none"/>
              </w:rPr>
              <w:t>1.</w:t>
            </w:r>
            <w:r>
              <w:rPr>
                <w:rFonts w:hint="eastAsia"/>
                <w:color w:val="auto"/>
                <w:sz w:val="21"/>
                <w:szCs w:val="21"/>
                <w:highlight w:val="none"/>
                <w:lang w:val="en-US" w:eastAsia="zh-CN"/>
              </w:rPr>
              <w:t>2</w:t>
            </w: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.0</w:t>
            </w:r>
            <w:bookmarkEnd w:id="0"/>
            <w:bookmarkEnd w:id="1"/>
            <w:r>
              <w:rPr>
                <w:rFonts w:hint="eastAsia"/>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45" w:type="dxa"/>
            <w:vMerge w:val="continue"/>
            <w:vAlign w:val="center"/>
          </w:tcPr>
          <w:p>
            <w:pPr>
              <w:spacing w:line="360" w:lineRule="auto"/>
              <w:jc w:val="center"/>
              <w:rPr>
                <w:color w:val="auto"/>
                <w:sz w:val="21"/>
                <w:szCs w:val="21"/>
                <w:highlight w:val="none"/>
              </w:rPr>
            </w:pPr>
          </w:p>
        </w:tc>
        <w:tc>
          <w:tcPr>
            <w:tcW w:w="1108" w:type="dxa"/>
            <w:gridSpan w:val="2"/>
            <w:vMerge w:val="continue"/>
            <w:vAlign w:val="center"/>
          </w:tcPr>
          <w:p>
            <w:pPr>
              <w:spacing w:line="360" w:lineRule="auto"/>
              <w:jc w:val="center"/>
              <w:rPr>
                <w:color w:val="auto"/>
                <w:sz w:val="21"/>
                <w:szCs w:val="21"/>
                <w:highlight w:val="none"/>
              </w:rPr>
            </w:pPr>
          </w:p>
        </w:tc>
        <w:tc>
          <w:tcPr>
            <w:tcW w:w="888" w:type="dxa"/>
            <w:vMerge w:val="continue"/>
            <w:vAlign w:val="center"/>
          </w:tcPr>
          <w:p>
            <w:pPr>
              <w:spacing w:line="360" w:lineRule="auto"/>
              <w:jc w:val="center"/>
              <w:rPr>
                <w:color w:val="auto"/>
                <w:sz w:val="21"/>
                <w:szCs w:val="21"/>
                <w:highlight w:val="none"/>
              </w:rPr>
            </w:pPr>
          </w:p>
        </w:tc>
        <w:tc>
          <w:tcPr>
            <w:tcW w:w="928" w:type="dxa"/>
            <w:vAlign w:val="center"/>
          </w:tcPr>
          <w:p>
            <w:pPr>
              <w:spacing w:line="360" w:lineRule="auto"/>
              <w:jc w:val="center"/>
              <w:rPr>
                <w:color w:val="auto"/>
                <w:sz w:val="21"/>
                <w:szCs w:val="21"/>
                <w:highlight w:val="none"/>
              </w:rPr>
            </w:pPr>
            <w:r>
              <w:rPr>
                <w:rFonts w:ascii="宋体" w:hAnsi="宋体"/>
                <w:color w:val="auto"/>
                <w:sz w:val="21"/>
                <w:szCs w:val="21"/>
                <w:highlight w:val="none"/>
              </w:rPr>
              <w:t>工期</w:t>
            </w:r>
            <w:r>
              <w:rPr>
                <w:rFonts w:hint="eastAsia" w:ascii="宋体" w:hAnsi="宋体"/>
                <w:color w:val="auto"/>
                <w:sz w:val="21"/>
                <w:szCs w:val="21"/>
                <w:highlight w:val="none"/>
              </w:rPr>
              <w:t>、</w:t>
            </w:r>
            <w:r>
              <w:rPr>
                <w:rFonts w:hint="eastAsia"/>
                <w:color w:val="auto"/>
                <w:sz w:val="21"/>
                <w:szCs w:val="21"/>
                <w:highlight w:val="none"/>
              </w:rPr>
              <w:t>质量、安全保证体系及保证措施</w:t>
            </w:r>
          </w:p>
        </w:tc>
        <w:tc>
          <w:tcPr>
            <w:tcW w:w="762" w:type="dxa"/>
            <w:vAlign w:val="center"/>
          </w:tcPr>
          <w:p>
            <w:pPr>
              <w:spacing w:line="360" w:lineRule="auto"/>
              <w:jc w:val="center"/>
              <w:rPr>
                <w:rFonts w:hint="eastAsia"/>
                <w:color w:val="auto"/>
                <w:sz w:val="21"/>
                <w:szCs w:val="21"/>
                <w:highlight w:val="none"/>
              </w:rPr>
            </w:pPr>
            <w:r>
              <w:rPr>
                <w:rFonts w:hint="eastAsia"/>
                <w:color w:val="auto"/>
                <w:sz w:val="21"/>
                <w:szCs w:val="21"/>
                <w:highlight w:val="none"/>
              </w:rPr>
              <w:t>1</w:t>
            </w:r>
          </w:p>
        </w:tc>
        <w:tc>
          <w:tcPr>
            <w:tcW w:w="3635" w:type="dxa"/>
            <w:vAlign w:val="center"/>
          </w:tcPr>
          <w:p>
            <w:pPr>
              <w:spacing w:line="360" w:lineRule="auto"/>
              <w:rPr>
                <w:rFonts w:hint="eastAsia"/>
                <w:color w:val="auto"/>
                <w:sz w:val="21"/>
                <w:szCs w:val="21"/>
                <w:highlight w:val="none"/>
              </w:rPr>
            </w:pPr>
            <w:r>
              <w:rPr>
                <w:rFonts w:hint="eastAsia" w:ascii="宋体" w:hAnsi="宋体" w:cs="宋体"/>
                <w:color w:val="auto"/>
                <w:sz w:val="21"/>
                <w:szCs w:val="21"/>
                <w:highlight w:val="none"/>
                <w:lang w:bidi="ar"/>
              </w:rPr>
              <w:t>分</w:t>
            </w:r>
            <w:r>
              <w:rPr>
                <w:rFonts w:hint="eastAsia"/>
                <w:color w:val="auto"/>
                <w:sz w:val="21"/>
                <w:szCs w:val="21"/>
                <w:highlight w:val="none"/>
              </w:rPr>
              <w:t>进度控制措施得当，对本项目的工期重要性理解特别透彻，对加工场地、重点工序、关键设备故障、与其他承包人衔接、社会环境等问题有切实可行的应对或应急方案，计划科学合理，可操作性高。对本项目质量及安全控制有透彻的认识</w:t>
            </w:r>
            <w:r>
              <w:rPr>
                <w:rFonts w:hint="eastAsia"/>
                <w:color w:val="auto"/>
                <w:sz w:val="21"/>
                <w:szCs w:val="21"/>
                <w:highlight w:val="none"/>
                <w:lang w:bidi="ar"/>
              </w:rPr>
              <w:t>，</w:t>
            </w:r>
            <w:r>
              <w:rPr>
                <w:rFonts w:hint="eastAsia"/>
                <w:color w:val="auto"/>
                <w:sz w:val="21"/>
                <w:szCs w:val="21"/>
                <w:highlight w:val="none"/>
              </w:rPr>
              <w:t>对加工过程中可能发生的各种质量和安全问题有深刻的认识和合理的预见，并有相应的应对措施，应对措施应科学、充分；评分范围0.6~1.0。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45" w:type="dxa"/>
            <w:vMerge w:val="continue"/>
            <w:vAlign w:val="center"/>
          </w:tcPr>
          <w:p>
            <w:pPr>
              <w:spacing w:line="360" w:lineRule="auto"/>
              <w:jc w:val="center"/>
              <w:rPr>
                <w:color w:val="auto"/>
                <w:sz w:val="21"/>
                <w:szCs w:val="21"/>
                <w:highlight w:val="none"/>
              </w:rPr>
            </w:pPr>
          </w:p>
        </w:tc>
        <w:tc>
          <w:tcPr>
            <w:tcW w:w="1108" w:type="dxa"/>
            <w:gridSpan w:val="2"/>
            <w:vMerge w:val="continue"/>
            <w:vAlign w:val="center"/>
          </w:tcPr>
          <w:p>
            <w:pPr>
              <w:spacing w:line="360" w:lineRule="auto"/>
              <w:jc w:val="center"/>
              <w:rPr>
                <w:color w:val="auto"/>
                <w:sz w:val="21"/>
                <w:szCs w:val="21"/>
                <w:highlight w:val="none"/>
              </w:rPr>
            </w:pPr>
          </w:p>
        </w:tc>
        <w:tc>
          <w:tcPr>
            <w:tcW w:w="888" w:type="dxa"/>
            <w:vMerge w:val="continue"/>
            <w:vAlign w:val="center"/>
          </w:tcPr>
          <w:p>
            <w:pPr>
              <w:spacing w:line="360" w:lineRule="auto"/>
              <w:jc w:val="center"/>
              <w:rPr>
                <w:color w:val="auto"/>
                <w:sz w:val="21"/>
                <w:szCs w:val="21"/>
                <w:highlight w:val="none"/>
              </w:rPr>
            </w:pPr>
          </w:p>
        </w:tc>
        <w:tc>
          <w:tcPr>
            <w:tcW w:w="928" w:type="dxa"/>
            <w:vAlign w:val="center"/>
          </w:tcPr>
          <w:p>
            <w:pPr>
              <w:spacing w:line="360" w:lineRule="auto"/>
              <w:jc w:val="center"/>
              <w:rPr>
                <w:rFonts w:hint="eastAsia" w:ascii="宋体" w:hAnsi="宋体"/>
                <w:color w:val="auto"/>
                <w:sz w:val="21"/>
                <w:szCs w:val="21"/>
                <w:highlight w:val="none"/>
              </w:rPr>
            </w:pPr>
            <w:r>
              <w:rPr>
                <w:rFonts w:hint="eastAsia"/>
                <w:color w:val="auto"/>
                <w:sz w:val="21"/>
                <w:szCs w:val="21"/>
                <w:highlight w:val="none"/>
              </w:rPr>
              <w:t>运输方案与后续服务（配合安装）</w:t>
            </w:r>
          </w:p>
        </w:tc>
        <w:tc>
          <w:tcPr>
            <w:tcW w:w="762" w:type="dxa"/>
            <w:vAlign w:val="center"/>
          </w:tcPr>
          <w:p>
            <w:pPr>
              <w:spacing w:line="360" w:lineRule="auto"/>
              <w:jc w:val="center"/>
              <w:rPr>
                <w:rFonts w:hint="eastAsia"/>
                <w:color w:val="auto"/>
                <w:sz w:val="21"/>
                <w:szCs w:val="21"/>
                <w:highlight w:val="none"/>
              </w:rPr>
            </w:pPr>
            <w:r>
              <w:rPr>
                <w:rFonts w:hint="eastAsia"/>
                <w:color w:val="auto"/>
                <w:sz w:val="21"/>
                <w:szCs w:val="21"/>
                <w:highlight w:val="none"/>
              </w:rPr>
              <w:t>1</w:t>
            </w:r>
          </w:p>
        </w:tc>
        <w:tc>
          <w:tcPr>
            <w:tcW w:w="3635" w:type="dxa"/>
            <w:vAlign w:val="center"/>
          </w:tcPr>
          <w:p>
            <w:pPr>
              <w:spacing w:line="360" w:lineRule="auto"/>
              <w:rPr>
                <w:rFonts w:hint="eastAsia"/>
                <w:color w:val="auto"/>
                <w:sz w:val="21"/>
                <w:szCs w:val="21"/>
                <w:highlight w:val="none"/>
              </w:rPr>
            </w:pPr>
            <w:r>
              <w:rPr>
                <w:rFonts w:hint="eastAsia"/>
                <w:color w:val="auto"/>
                <w:sz w:val="21"/>
                <w:szCs w:val="21"/>
                <w:highlight w:val="none"/>
              </w:rPr>
              <w:t>运输方案完善，运输风险识别得当，风险预控措施合理，后续服务（配合安装）及时、可靠评分范围0.6~1.0。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145" w:type="dxa"/>
            <w:vAlign w:val="center"/>
          </w:tcPr>
          <w:p>
            <w:pPr>
              <w:spacing w:line="360" w:lineRule="auto"/>
              <w:jc w:val="center"/>
              <w:rPr>
                <w:color w:val="auto"/>
                <w:sz w:val="21"/>
                <w:szCs w:val="21"/>
                <w:highlight w:val="none"/>
              </w:rPr>
            </w:pPr>
            <w:r>
              <w:rPr>
                <w:color w:val="auto"/>
                <w:sz w:val="21"/>
                <w:szCs w:val="21"/>
                <w:highlight w:val="none"/>
              </w:rPr>
              <w:t>2.2.4(2)</w:t>
            </w:r>
          </w:p>
        </w:tc>
        <w:tc>
          <w:tcPr>
            <w:tcW w:w="1108" w:type="dxa"/>
            <w:gridSpan w:val="2"/>
            <w:vAlign w:val="center"/>
          </w:tcPr>
          <w:p>
            <w:pPr>
              <w:spacing w:line="360" w:lineRule="auto"/>
              <w:jc w:val="center"/>
              <w:rPr>
                <w:color w:val="auto"/>
                <w:sz w:val="21"/>
                <w:szCs w:val="21"/>
                <w:highlight w:val="none"/>
              </w:rPr>
            </w:pPr>
            <w:r>
              <w:rPr>
                <w:color w:val="auto"/>
                <w:sz w:val="21"/>
                <w:szCs w:val="21"/>
                <w:highlight w:val="none"/>
              </w:rPr>
              <w:t>项目管理机构</w:t>
            </w:r>
          </w:p>
        </w:tc>
        <w:tc>
          <w:tcPr>
            <w:tcW w:w="888" w:type="dxa"/>
            <w:vAlign w:val="center"/>
          </w:tcPr>
          <w:p>
            <w:pPr>
              <w:spacing w:line="360" w:lineRule="auto"/>
              <w:jc w:val="center"/>
              <w:rPr>
                <w:color w:val="auto"/>
                <w:sz w:val="21"/>
                <w:szCs w:val="21"/>
                <w:highlight w:val="none"/>
              </w:rPr>
            </w:pPr>
            <w:r>
              <w:rPr>
                <w:rFonts w:hint="eastAsia"/>
                <w:color w:val="auto"/>
                <w:sz w:val="21"/>
                <w:szCs w:val="21"/>
                <w:highlight w:val="none"/>
              </w:rPr>
              <w:t>0</w:t>
            </w:r>
            <w:r>
              <w:rPr>
                <w:color w:val="auto"/>
                <w:sz w:val="21"/>
                <w:szCs w:val="21"/>
                <w:highlight w:val="none"/>
              </w:rPr>
              <w:t>分</w:t>
            </w:r>
          </w:p>
        </w:tc>
        <w:tc>
          <w:tcPr>
            <w:tcW w:w="928" w:type="dxa"/>
            <w:vAlign w:val="center"/>
          </w:tcPr>
          <w:p>
            <w:pPr>
              <w:spacing w:line="360" w:lineRule="auto"/>
              <w:jc w:val="center"/>
              <w:rPr>
                <w:color w:val="auto"/>
                <w:sz w:val="21"/>
                <w:szCs w:val="21"/>
                <w:highlight w:val="none"/>
              </w:rPr>
            </w:pPr>
            <w:r>
              <w:rPr>
                <w:rFonts w:hint="eastAsia"/>
                <w:color w:val="auto"/>
                <w:sz w:val="21"/>
                <w:szCs w:val="21"/>
                <w:highlight w:val="none"/>
              </w:rPr>
              <w:t>/</w:t>
            </w:r>
          </w:p>
        </w:tc>
        <w:tc>
          <w:tcPr>
            <w:tcW w:w="762" w:type="dxa"/>
            <w:vAlign w:val="center"/>
          </w:tcPr>
          <w:p>
            <w:pPr>
              <w:spacing w:line="360" w:lineRule="auto"/>
              <w:jc w:val="center"/>
              <w:rPr>
                <w:color w:val="auto"/>
                <w:sz w:val="21"/>
                <w:szCs w:val="21"/>
                <w:highlight w:val="none"/>
              </w:rPr>
            </w:pPr>
            <w:r>
              <w:rPr>
                <w:rFonts w:hint="eastAsia"/>
                <w:color w:val="auto"/>
                <w:sz w:val="21"/>
                <w:szCs w:val="21"/>
                <w:highlight w:val="none"/>
              </w:rPr>
              <w:t>/</w:t>
            </w:r>
          </w:p>
        </w:tc>
        <w:tc>
          <w:tcPr>
            <w:tcW w:w="3635" w:type="dxa"/>
            <w:vAlign w:val="center"/>
          </w:tcPr>
          <w:p>
            <w:pPr>
              <w:spacing w:line="360" w:lineRule="auto"/>
              <w:jc w:val="center"/>
              <w:rPr>
                <w:color w:val="auto"/>
                <w:sz w:val="21"/>
                <w:szCs w:val="21"/>
                <w:highlight w:val="none"/>
              </w:rPr>
            </w:pPr>
            <w:r>
              <w:rPr>
                <w:rFonts w:hint="eastAsia"/>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145" w:type="dxa"/>
            <w:vAlign w:val="center"/>
          </w:tcPr>
          <w:p>
            <w:pPr>
              <w:spacing w:line="360" w:lineRule="auto"/>
              <w:jc w:val="center"/>
              <w:rPr>
                <w:color w:val="auto"/>
                <w:sz w:val="21"/>
                <w:szCs w:val="21"/>
                <w:highlight w:val="none"/>
              </w:rPr>
            </w:pPr>
            <w:r>
              <w:rPr>
                <w:color w:val="auto"/>
                <w:sz w:val="21"/>
                <w:szCs w:val="21"/>
                <w:highlight w:val="none"/>
              </w:rPr>
              <w:t>2.2.4(3)</w:t>
            </w:r>
          </w:p>
        </w:tc>
        <w:tc>
          <w:tcPr>
            <w:tcW w:w="1108" w:type="dxa"/>
            <w:gridSpan w:val="2"/>
            <w:vAlign w:val="center"/>
          </w:tcPr>
          <w:p>
            <w:pPr>
              <w:spacing w:line="360" w:lineRule="auto"/>
              <w:jc w:val="center"/>
              <w:rPr>
                <w:color w:val="auto"/>
                <w:sz w:val="21"/>
                <w:szCs w:val="21"/>
                <w:highlight w:val="none"/>
              </w:rPr>
            </w:pPr>
            <w:r>
              <w:rPr>
                <w:color w:val="auto"/>
                <w:sz w:val="21"/>
                <w:szCs w:val="21"/>
                <w:highlight w:val="none"/>
              </w:rPr>
              <w:t>评标价</w:t>
            </w:r>
          </w:p>
        </w:tc>
        <w:tc>
          <w:tcPr>
            <w:tcW w:w="888" w:type="dxa"/>
            <w:vAlign w:val="center"/>
          </w:tcPr>
          <w:p>
            <w:pPr>
              <w:spacing w:line="360" w:lineRule="auto"/>
              <w:jc w:val="center"/>
              <w:rPr>
                <w:color w:val="auto"/>
                <w:sz w:val="21"/>
                <w:szCs w:val="21"/>
                <w:highlight w:val="none"/>
              </w:rPr>
            </w:pPr>
            <w:r>
              <w:rPr>
                <w:rFonts w:hint="eastAsia"/>
                <w:color w:val="auto"/>
                <w:sz w:val="21"/>
                <w:szCs w:val="21"/>
                <w:highlight w:val="none"/>
              </w:rPr>
              <w:t>8</w:t>
            </w:r>
            <w:r>
              <w:rPr>
                <w:rFonts w:hint="eastAsia"/>
                <w:color w:val="auto"/>
                <w:sz w:val="21"/>
                <w:szCs w:val="21"/>
                <w:highlight w:val="none"/>
                <w:lang w:eastAsia="zh-CN"/>
              </w:rPr>
              <w:t>0</w:t>
            </w:r>
            <w:r>
              <w:rPr>
                <w:color w:val="auto"/>
                <w:sz w:val="21"/>
                <w:szCs w:val="21"/>
                <w:highlight w:val="none"/>
              </w:rPr>
              <w:t>分</w:t>
            </w:r>
          </w:p>
        </w:tc>
        <w:tc>
          <w:tcPr>
            <w:tcW w:w="5325" w:type="dxa"/>
            <w:gridSpan w:val="3"/>
            <w:vAlign w:val="center"/>
          </w:tcPr>
          <w:p>
            <w:pPr>
              <w:spacing w:line="360" w:lineRule="auto"/>
              <w:rPr>
                <w:color w:val="auto"/>
                <w:sz w:val="21"/>
                <w:szCs w:val="21"/>
                <w:highlight w:val="none"/>
              </w:rPr>
            </w:pPr>
            <w:r>
              <w:rPr>
                <w:color w:val="auto"/>
                <w:sz w:val="21"/>
                <w:szCs w:val="21"/>
                <w:highlight w:val="none"/>
              </w:rPr>
              <w:t>评标价得分计算公式示例：</w:t>
            </w:r>
          </w:p>
          <w:p>
            <w:pPr>
              <w:spacing w:line="360" w:lineRule="auto"/>
              <w:rPr>
                <w:color w:val="auto"/>
                <w:sz w:val="21"/>
                <w:szCs w:val="21"/>
                <w:highlight w:val="none"/>
              </w:rPr>
            </w:pPr>
            <w:r>
              <w:rPr>
                <w:color w:val="auto"/>
                <w:sz w:val="21"/>
                <w:szCs w:val="21"/>
                <w:highlight w:val="none"/>
              </w:rPr>
              <w:t>(1)如果投标人的评标价&gt;评标基准价，则评标价得分＝</w:t>
            </w:r>
            <w:r>
              <w:rPr>
                <w:rFonts w:hint="eastAsia"/>
                <w:color w:val="auto"/>
                <w:sz w:val="21"/>
                <w:szCs w:val="21"/>
                <w:highlight w:val="none"/>
              </w:rPr>
              <w:t>8</w:t>
            </w:r>
            <w:r>
              <w:rPr>
                <w:rFonts w:hint="eastAsia"/>
                <w:color w:val="auto"/>
                <w:sz w:val="21"/>
                <w:szCs w:val="21"/>
                <w:highlight w:val="none"/>
                <w:lang w:eastAsia="zh-CN"/>
              </w:rPr>
              <w:t>0</w:t>
            </w:r>
            <w:r>
              <w:rPr>
                <w:color w:val="auto"/>
                <w:sz w:val="21"/>
                <w:szCs w:val="21"/>
                <w:highlight w:val="none"/>
              </w:rPr>
              <w:t>－偏差率×100×</w:t>
            </w:r>
            <w:r>
              <w:rPr>
                <w:rFonts w:hint="eastAsia"/>
                <w:color w:val="auto"/>
                <w:sz w:val="21"/>
                <w:szCs w:val="21"/>
                <w:highlight w:val="none"/>
              </w:rPr>
              <w:t>D</w:t>
            </w:r>
            <w:r>
              <w:rPr>
                <w:color w:val="auto"/>
                <w:sz w:val="21"/>
                <w:szCs w:val="21"/>
                <w:highlight w:val="none"/>
              </w:rPr>
              <w:t>；</w:t>
            </w:r>
            <w:r>
              <w:rPr>
                <w:rFonts w:hint="eastAsia"/>
                <w:color w:val="auto"/>
                <w:sz w:val="21"/>
                <w:szCs w:val="21"/>
                <w:highlight w:val="none"/>
              </w:rPr>
              <w:t>D=1.5；</w:t>
            </w:r>
          </w:p>
          <w:p>
            <w:pPr>
              <w:spacing w:line="360" w:lineRule="auto"/>
              <w:rPr>
                <w:color w:val="auto"/>
                <w:sz w:val="21"/>
                <w:szCs w:val="21"/>
                <w:highlight w:val="none"/>
              </w:rPr>
            </w:pPr>
            <w:r>
              <w:rPr>
                <w:color w:val="auto"/>
                <w:sz w:val="21"/>
                <w:szCs w:val="21"/>
                <w:highlight w:val="none"/>
              </w:rPr>
              <w:t>(2)如果投标人的评标价≤评标基准价，则评标价得分＝</w:t>
            </w:r>
            <w:r>
              <w:rPr>
                <w:rFonts w:hint="eastAsia"/>
                <w:color w:val="auto"/>
                <w:sz w:val="21"/>
                <w:szCs w:val="21"/>
                <w:highlight w:val="none"/>
              </w:rPr>
              <w:t>8</w:t>
            </w:r>
            <w:r>
              <w:rPr>
                <w:rFonts w:hint="eastAsia"/>
                <w:color w:val="auto"/>
                <w:sz w:val="21"/>
                <w:szCs w:val="21"/>
                <w:highlight w:val="none"/>
                <w:lang w:eastAsia="zh-CN"/>
              </w:rPr>
              <w:t>0</w:t>
            </w:r>
            <w:r>
              <w:rPr>
                <w:color w:val="auto"/>
                <w:sz w:val="21"/>
                <w:szCs w:val="21"/>
                <w:highlight w:val="none"/>
              </w:rPr>
              <w:t>＋偏差率×100×</w:t>
            </w:r>
            <w:r>
              <w:rPr>
                <w:rFonts w:hint="eastAsia"/>
                <w:color w:val="auto"/>
                <w:sz w:val="21"/>
                <w:szCs w:val="21"/>
                <w:highlight w:val="none"/>
              </w:rPr>
              <w:t>D；D＝0.5</w:t>
            </w:r>
            <w:r>
              <w:rPr>
                <w:color w:val="auto"/>
                <w:sz w:val="21"/>
                <w:szCs w:val="21"/>
                <w:highlight w:val="none"/>
              </w:rPr>
              <w:t>。</w:t>
            </w:r>
          </w:p>
          <w:p>
            <w:pPr>
              <w:spacing w:line="360" w:lineRule="auto"/>
              <w:rPr>
                <w:b/>
                <w:color w:val="auto"/>
                <w:sz w:val="21"/>
                <w:szCs w:val="21"/>
                <w:highlight w:val="none"/>
              </w:rPr>
            </w:pPr>
            <w:r>
              <w:rPr>
                <w:rFonts w:hint="eastAsia"/>
                <w:b/>
                <w:color w:val="auto"/>
                <w:sz w:val="21"/>
                <w:szCs w:val="21"/>
                <w:highlight w:val="none"/>
              </w:rPr>
              <w:t>注</w:t>
            </w:r>
            <w:r>
              <w:rPr>
                <w:b/>
                <w:color w:val="auto"/>
                <w:sz w:val="21"/>
                <w:szCs w:val="21"/>
                <w:highlight w:val="none"/>
              </w:rPr>
              <w:t>：</w:t>
            </w:r>
            <w:r>
              <w:rPr>
                <w:rFonts w:hint="eastAsia"/>
                <w:b/>
                <w:color w:val="auto"/>
                <w:sz w:val="21"/>
                <w:szCs w:val="21"/>
                <w:highlight w:val="none"/>
              </w:rPr>
              <w:t>评标价得分计算保留小数点后四位，小数点后第五位“四舍五入”</w:t>
            </w:r>
            <w:r>
              <w:rPr>
                <w:b/>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trPr>
        <w:tc>
          <w:tcPr>
            <w:tcW w:w="1145" w:type="dxa"/>
            <w:vMerge w:val="restart"/>
            <w:vAlign w:val="center"/>
          </w:tcPr>
          <w:p>
            <w:pPr>
              <w:spacing w:line="360" w:lineRule="auto"/>
              <w:jc w:val="center"/>
              <w:rPr>
                <w:color w:val="auto"/>
                <w:sz w:val="21"/>
                <w:szCs w:val="21"/>
                <w:highlight w:val="none"/>
              </w:rPr>
            </w:pPr>
            <w:r>
              <w:rPr>
                <w:color w:val="auto"/>
                <w:sz w:val="21"/>
                <w:szCs w:val="21"/>
                <w:highlight w:val="none"/>
              </w:rPr>
              <w:t>2.2.4(</w:t>
            </w:r>
            <w:r>
              <w:rPr>
                <w:rFonts w:hint="eastAsia"/>
                <w:color w:val="auto"/>
                <w:sz w:val="21"/>
                <w:szCs w:val="21"/>
                <w:highlight w:val="none"/>
              </w:rPr>
              <w:t>4</w:t>
            </w:r>
            <w:r>
              <w:rPr>
                <w:color w:val="auto"/>
                <w:sz w:val="21"/>
                <w:szCs w:val="21"/>
                <w:highlight w:val="none"/>
              </w:rPr>
              <w:t>)</w:t>
            </w:r>
          </w:p>
        </w:tc>
        <w:tc>
          <w:tcPr>
            <w:tcW w:w="408" w:type="dxa"/>
            <w:vMerge w:val="restart"/>
            <w:vAlign w:val="center"/>
          </w:tcPr>
          <w:p>
            <w:pPr>
              <w:spacing w:line="360" w:lineRule="auto"/>
              <w:jc w:val="center"/>
              <w:rPr>
                <w:color w:val="auto"/>
                <w:sz w:val="21"/>
                <w:szCs w:val="21"/>
                <w:highlight w:val="none"/>
              </w:rPr>
            </w:pPr>
            <w:r>
              <w:rPr>
                <w:color w:val="auto"/>
                <w:sz w:val="21"/>
                <w:szCs w:val="21"/>
                <w:highlight w:val="none"/>
              </w:rPr>
              <w:t>其他因素</w:t>
            </w:r>
          </w:p>
        </w:tc>
        <w:tc>
          <w:tcPr>
            <w:tcW w:w="700" w:type="dxa"/>
            <w:vAlign w:val="center"/>
          </w:tcPr>
          <w:p>
            <w:pPr>
              <w:spacing w:line="360" w:lineRule="auto"/>
              <w:jc w:val="center"/>
              <w:rPr>
                <w:color w:val="auto"/>
                <w:sz w:val="21"/>
                <w:szCs w:val="21"/>
                <w:highlight w:val="none"/>
              </w:rPr>
            </w:pPr>
            <w:r>
              <w:rPr>
                <w:color w:val="auto"/>
                <w:sz w:val="21"/>
                <w:szCs w:val="21"/>
                <w:highlight w:val="none"/>
              </w:rPr>
              <w:t>财务能力</w:t>
            </w:r>
          </w:p>
        </w:tc>
        <w:tc>
          <w:tcPr>
            <w:tcW w:w="888" w:type="dxa"/>
            <w:vAlign w:val="center"/>
          </w:tcPr>
          <w:p>
            <w:pPr>
              <w:spacing w:line="360" w:lineRule="auto"/>
              <w:ind w:firstLine="210" w:firstLineChars="100"/>
              <w:jc w:val="center"/>
              <w:rPr>
                <w:color w:val="auto"/>
                <w:sz w:val="21"/>
                <w:szCs w:val="21"/>
                <w:highlight w:val="none"/>
              </w:rPr>
            </w:pPr>
            <w:r>
              <w:rPr>
                <w:rFonts w:hint="eastAsia"/>
                <w:color w:val="auto"/>
                <w:sz w:val="21"/>
                <w:szCs w:val="21"/>
                <w:highlight w:val="none"/>
              </w:rPr>
              <w:t>0</w:t>
            </w:r>
            <w:r>
              <w:rPr>
                <w:color w:val="auto"/>
                <w:sz w:val="21"/>
                <w:szCs w:val="21"/>
                <w:highlight w:val="none"/>
              </w:rPr>
              <w:t>分</w:t>
            </w:r>
          </w:p>
        </w:tc>
        <w:tc>
          <w:tcPr>
            <w:tcW w:w="5325" w:type="dxa"/>
            <w:gridSpan w:val="3"/>
            <w:vAlign w:val="center"/>
          </w:tcPr>
          <w:p>
            <w:pPr>
              <w:spacing w:before="120" w:beforeLines="50" w:line="360" w:lineRule="auto"/>
              <w:ind w:firstLine="420" w:firstLineChars="200"/>
              <w:rPr>
                <w:rFonts w:hint="eastAsia"/>
                <w:color w:val="auto"/>
                <w:sz w:val="21"/>
                <w:szCs w:val="21"/>
                <w:highlight w:val="none"/>
              </w:rPr>
            </w:pPr>
            <w:r>
              <w:rPr>
                <w:rFonts w:hint="eastAsia"/>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47" w:hRule="atLeast"/>
        </w:trPr>
        <w:tc>
          <w:tcPr>
            <w:tcW w:w="1145" w:type="dxa"/>
            <w:vMerge w:val="continue"/>
            <w:vAlign w:val="center"/>
          </w:tcPr>
          <w:p>
            <w:pPr>
              <w:spacing w:line="360" w:lineRule="auto"/>
              <w:jc w:val="center"/>
              <w:rPr>
                <w:color w:val="auto"/>
                <w:sz w:val="21"/>
                <w:szCs w:val="21"/>
                <w:highlight w:val="none"/>
              </w:rPr>
            </w:pPr>
          </w:p>
        </w:tc>
        <w:tc>
          <w:tcPr>
            <w:tcW w:w="408" w:type="dxa"/>
            <w:vMerge w:val="continue"/>
            <w:vAlign w:val="center"/>
          </w:tcPr>
          <w:p>
            <w:pPr>
              <w:spacing w:line="360" w:lineRule="auto"/>
              <w:jc w:val="center"/>
              <w:rPr>
                <w:color w:val="auto"/>
                <w:sz w:val="21"/>
                <w:szCs w:val="21"/>
                <w:highlight w:val="none"/>
              </w:rPr>
            </w:pPr>
          </w:p>
        </w:tc>
        <w:tc>
          <w:tcPr>
            <w:tcW w:w="700" w:type="dxa"/>
            <w:vAlign w:val="center"/>
          </w:tcPr>
          <w:p>
            <w:pPr>
              <w:spacing w:line="360" w:lineRule="auto"/>
              <w:jc w:val="center"/>
              <w:rPr>
                <w:rFonts w:hint="eastAsia"/>
                <w:color w:val="auto"/>
                <w:sz w:val="21"/>
                <w:szCs w:val="21"/>
                <w:highlight w:val="none"/>
              </w:rPr>
            </w:pPr>
            <w:r>
              <w:rPr>
                <w:color w:val="auto"/>
                <w:sz w:val="21"/>
                <w:szCs w:val="21"/>
                <w:highlight w:val="none"/>
              </w:rPr>
              <w:t>业绩</w:t>
            </w:r>
          </w:p>
        </w:tc>
        <w:tc>
          <w:tcPr>
            <w:tcW w:w="888" w:type="dxa"/>
            <w:vAlign w:val="center"/>
          </w:tcPr>
          <w:p>
            <w:pPr>
              <w:spacing w:line="360" w:lineRule="auto"/>
              <w:ind w:firstLine="210" w:firstLineChars="100"/>
              <w:jc w:val="center"/>
              <w:rPr>
                <w:color w:val="auto"/>
                <w:sz w:val="21"/>
                <w:szCs w:val="21"/>
                <w:highlight w:val="none"/>
              </w:rPr>
            </w:pPr>
            <w:r>
              <w:rPr>
                <w:rFonts w:hint="eastAsia"/>
                <w:color w:val="auto"/>
                <w:sz w:val="21"/>
                <w:szCs w:val="21"/>
                <w:highlight w:val="none"/>
              </w:rPr>
              <w:t>3分</w:t>
            </w:r>
          </w:p>
        </w:tc>
        <w:tc>
          <w:tcPr>
            <w:tcW w:w="5325" w:type="dxa"/>
            <w:gridSpan w:val="3"/>
            <w:vAlign w:val="center"/>
          </w:tcPr>
          <w:p>
            <w:pPr>
              <w:spacing w:line="360" w:lineRule="auto"/>
              <w:rPr>
                <w:rFonts w:hint="eastAsia"/>
                <w:color w:val="auto"/>
                <w:sz w:val="21"/>
                <w:szCs w:val="21"/>
                <w:highlight w:val="none"/>
              </w:rPr>
            </w:pPr>
            <w:r>
              <w:rPr>
                <w:rFonts w:hint="eastAsia"/>
                <w:color w:val="auto"/>
                <w:sz w:val="21"/>
                <w:szCs w:val="21"/>
                <w:highlight w:val="none"/>
              </w:rPr>
              <w:t>满足资格审查条件的，得基本分1.8分。在此基础上：</w:t>
            </w:r>
          </w:p>
          <w:p>
            <w:pPr>
              <w:spacing w:line="360" w:lineRule="auto"/>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近5年</w:t>
            </w:r>
            <w:r>
              <w:rPr>
                <w:rFonts w:hint="eastAsia"/>
                <w:color w:val="auto"/>
                <w:sz w:val="21"/>
                <w:szCs w:val="21"/>
                <w:highlight w:val="none"/>
              </w:rPr>
              <w:t>，每增加完成一项单份合同钢结构总重量不少于1万吨（含1万吨）的桥梁钢结构制造业绩加0.2分，最多加0.</w:t>
            </w:r>
            <w:r>
              <w:rPr>
                <w:rFonts w:hint="eastAsia"/>
                <w:color w:val="auto"/>
                <w:sz w:val="21"/>
                <w:szCs w:val="21"/>
                <w:highlight w:val="none"/>
                <w:lang w:val="en-US" w:eastAsia="zh-CN"/>
              </w:rPr>
              <w:t>6</w:t>
            </w:r>
            <w:r>
              <w:rPr>
                <w:rFonts w:hint="eastAsia"/>
                <w:color w:val="auto"/>
                <w:sz w:val="21"/>
                <w:szCs w:val="21"/>
                <w:highlight w:val="none"/>
              </w:rPr>
              <w:t>分；</w:t>
            </w:r>
          </w:p>
          <w:p>
            <w:pPr>
              <w:spacing w:line="360" w:lineRule="auto"/>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近5年</w:t>
            </w:r>
            <w:r>
              <w:rPr>
                <w:rFonts w:hint="eastAsia"/>
                <w:color w:val="auto"/>
                <w:sz w:val="21"/>
                <w:szCs w:val="21"/>
                <w:highlight w:val="none"/>
              </w:rPr>
              <w:t>，每增加完成一项单份合同钢结构总重量不少于</w:t>
            </w:r>
            <w:r>
              <w:rPr>
                <w:rFonts w:hint="eastAsia"/>
                <w:color w:val="auto"/>
                <w:sz w:val="21"/>
                <w:szCs w:val="21"/>
                <w:highlight w:val="none"/>
                <w:lang w:val="en-US" w:eastAsia="zh-CN"/>
              </w:rPr>
              <w:t>3</w:t>
            </w:r>
            <w:r>
              <w:rPr>
                <w:rFonts w:hint="eastAsia"/>
                <w:color w:val="auto"/>
                <w:sz w:val="21"/>
                <w:szCs w:val="21"/>
                <w:highlight w:val="none"/>
              </w:rPr>
              <w:t>万吨（含</w:t>
            </w:r>
            <w:r>
              <w:rPr>
                <w:rFonts w:hint="eastAsia"/>
                <w:color w:val="auto"/>
                <w:sz w:val="21"/>
                <w:szCs w:val="21"/>
                <w:highlight w:val="none"/>
                <w:lang w:val="en-US" w:eastAsia="zh-CN"/>
              </w:rPr>
              <w:t>3</w:t>
            </w:r>
            <w:r>
              <w:rPr>
                <w:rFonts w:hint="eastAsia"/>
                <w:color w:val="auto"/>
                <w:sz w:val="21"/>
                <w:szCs w:val="21"/>
                <w:highlight w:val="none"/>
              </w:rPr>
              <w:t>万吨）的桥梁钢结构制造业绩加0.</w:t>
            </w:r>
            <w:r>
              <w:rPr>
                <w:rFonts w:hint="eastAsia"/>
                <w:color w:val="auto"/>
                <w:sz w:val="21"/>
                <w:szCs w:val="21"/>
                <w:highlight w:val="none"/>
                <w:lang w:val="en-US" w:eastAsia="zh-CN"/>
              </w:rPr>
              <w:t>6</w:t>
            </w:r>
            <w:r>
              <w:rPr>
                <w:rFonts w:hint="eastAsia"/>
                <w:color w:val="auto"/>
                <w:sz w:val="21"/>
                <w:szCs w:val="21"/>
                <w:highlight w:val="none"/>
              </w:rPr>
              <w:t>分，最多加0.</w:t>
            </w:r>
            <w:r>
              <w:rPr>
                <w:rFonts w:hint="eastAsia"/>
                <w:color w:val="auto"/>
                <w:sz w:val="21"/>
                <w:szCs w:val="21"/>
                <w:highlight w:val="none"/>
                <w:lang w:val="en-US" w:eastAsia="zh-CN"/>
              </w:rPr>
              <w:t>6</w:t>
            </w:r>
            <w:r>
              <w:rPr>
                <w:rFonts w:hint="eastAsia"/>
                <w:color w:val="auto"/>
                <w:sz w:val="21"/>
                <w:szCs w:val="21"/>
                <w:highlight w:val="none"/>
              </w:rPr>
              <w:t>分。</w:t>
            </w:r>
          </w:p>
          <w:p>
            <w:pPr>
              <w:spacing w:line="360" w:lineRule="auto"/>
              <w:rPr>
                <w:rFonts w:hint="eastAsia"/>
                <w:color w:val="auto"/>
                <w:sz w:val="21"/>
                <w:szCs w:val="21"/>
                <w:highlight w:val="none"/>
              </w:rPr>
            </w:pPr>
            <w:r>
              <w:rPr>
                <w:rFonts w:hint="eastAsia"/>
                <w:color w:val="auto"/>
                <w:sz w:val="21"/>
                <w:szCs w:val="21"/>
                <w:highlight w:val="none"/>
              </w:rPr>
              <w:t>（3）单项业绩只计一次，不重复计算。</w:t>
            </w:r>
          </w:p>
          <w:p>
            <w:pPr>
              <w:spacing w:line="360" w:lineRule="auto"/>
              <w:rPr>
                <w:color w:val="auto"/>
                <w:sz w:val="21"/>
                <w:szCs w:val="21"/>
                <w:highlight w:val="none"/>
              </w:rPr>
            </w:pPr>
            <w:r>
              <w:rPr>
                <w:rFonts w:hint="eastAsia"/>
                <w:color w:val="auto"/>
                <w:sz w:val="21"/>
                <w:szCs w:val="21"/>
                <w:highlight w:val="none"/>
              </w:rPr>
              <w:t>注：“项”指单份合同</w:t>
            </w:r>
            <w:r>
              <w:rPr>
                <w:rFonts w:hint="eastAsia"/>
                <w:color w:val="auto"/>
                <w:sz w:val="21"/>
                <w:szCs w:val="21"/>
                <w:highlight w:val="none"/>
                <w:lang w:val="en-US" w:eastAsia="zh-CN"/>
              </w:rPr>
              <w:t>项</w:t>
            </w:r>
            <w:r>
              <w:rPr>
                <w:rFonts w:hint="eastAsia"/>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1145" w:type="dxa"/>
            <w:vMerge w:val="continue"/>
            <w:vAlign w:val="center"/>
          </w:tcPr>
          <w:p>
            <w:pPr>
              <w:spacing w:line="360" w:lineRule="auto"/>
              <w:jc w:val="center"/>
              <w:rPr>
                <w:color w:val="auto"/>
                <w:sz w:val="21"/>
                <w:szCs w:val="21"/>
                <w:highlight w:val="none"/>
              </w:rPr>
            </w:pPr>
          </w:p>
        </w:tc>
        <w:tc>
          <w:tcPr>
            <w:tcW w:w="408" w:type="dxa"/>
            <w:vMerge w:val="continue"/>
            <w:vAlign w:val="center"/>
          </w:tcPr>
          <w:p>
            <w:pPr>
              <w:spacing w:line="360" w:lineRule="auto"/>
              <w:jc w:val="center"/>
              <w:rPr>
                <w:color w:val="auto"/>
                <w:sz w:val="21"/>
                <w:szCs w:val="21"/>
                <w:highlight w:val="none"/>
              </w:rPr>
            </w:pPr>
          </w:p>
        </w:tc>
        <w:tc>
          <w:tcPr>
            <w:tcW w:w="700" w:type="dxa"/>
            <w:vAlign w:val="center"/>
          </w:tcPr>
          <w:p>
            <w:pPr>
              <w:spacing w:line="360" w:lineRule="auto"/>
              <w:jc w:val="center"/>
              <w:rPr>
                <w:rFonts w:hint="eastAsia"/>
                <w:color w:val="auto"/>
                <w:sz w:val="21"/>
                <w:szCs w:val="21"/>
                <w:highlight w:val="none"/>
              </w:rPr>
            </w:pPr>
            <w:r>
              <w:rPr>
                <w:rFonts w:hint="eastAsia"/>
                <w:color w:val="auto"/>
                <w:sz w:val="21"/>
                <w:szCs w:val="21"/>
                <w:highlight w:val="none"/>
              </w:rPr>
              <w:t>场地机械设备</w:t>
            </w:r>
          </w:p>
        </w:tc>
        <w:tc>
          <w:tcPr>
            <w:tcW w:w="888" w:type="dxa"/>
            <w:vAlign w:val="center"/>
          </w:tcPr>
          <w:p>
            <w:pPr>
              <w:spacing w:line="360" w:lineRule="auto"/>
              <w:ind w:firstLine="210" w:firstLineChars="100"/>
              <w:jc w:val="center"/>
              <w:rPr>
                <w:rFonts w:hint="eastAsia"/>
                <w:color w:val="auto"/>
                <w:sz w:val="21"/>
                <w:szCs w:val="21"/>
                <w:highlight w:val="none"/>
              </w:rPr>
            </w:pPr>
            <w:r>
              <w:rPr>
                <w:rFonts w:hint="eastAsia"/>
                <w:color w:val="auto"/>
                <w:sz w:val="21"/>
                <w:szCs w:val="21"/>
                <w:highlight w:val="none"/>
              </w:rPr>
              <w:t>0分</w:t>
            </w:r>
          </w:p>
        </w:tc>
        <w:tc>
          <w:tcPr>
            <w:tcW w:w="5325" w:type="dxa"/>
            <w:gridSpan w:val="3"/>
            <w:vAlign w:val="center"/>
          </w:tcPr>
          <w:p>
            <w:pPr>
              <w:spacing w:line="360" w:lineRule="auto"/>
              <w:ind w:firstLine="420" w:firstLineChars="200"/>
              <w:jc w:val="left"/>
              <w:rPr>
                <w:rFonts w:hint="eastAsia"/>
                <w:color w:val="auto"/>
                <w:sz w:val="21"/>
                <w:szCs w:val="21"/>
                <w:highlight w:val="none"/>
              </w:rPr>
            </w:pPr>
            <w:r>
              <w:rPr>
                <w:rFonts w:hint="eastAsia"/>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45" w:type="dxa"/>
            <w:vMerge w:val="continue"/>
            <w:vAlign w:val="center"/>
          </w:tcPr>
          <w:p>
            <w:pPr>
              <w:spacing w:line="360" w:lineRule="auto"/>
              <w:jc w:val="center"/>
              <w:rPr>
                <w:color w:val="auto"/>
                <w:sz w:val="21"/>
                <w:szCs w:val="21"/>
                <w:highlight w:val="none"/>
              </w:rPr>
            </w:pPr>
          </w:p>
        </w:tc>
        <w:tc>
          <w:tcPr>
            <w:tcW w:w="408" w:type="dxa"/>
            <w:vMerge w:val="continue"/>
            <w:vAlign w:val="center"/>
          </w:tcPr>
          <w:p>
            <w:pPr>
              <w:spacing w:line="360" w:lineRule="auto"/>
              <w:jc w:val="center"/>
              <w:rPr>
                <w:color w:val="auto"/>
                <w:sz w:val="21"/>
                <w:szCs w:val="21"/>
                <w:highlight w:val="none"/>
              </w:rPr>
            </w:pPr>
          </w:p>
        </w:tc>
        <w:tc>
          <w:tcPr>
            <w:tcW w:w="700" w:type="dxa"/>
            <w:vAlign w:val="center"/>
          </w:tcPr>
          <w:p>
            <w:pPr>
              <w:spacing w:line="360" w:lineRule="auto"/>
              <w:jc w:val="center"/>
              <w:rPr>
                <w:color w:val="auto"/>
                <w:sz w:val="21"/>
                <w:szCs w:val="21"/>
                <w:highlight w:val="none"/>
              </w:rPr>
            </w:pPr>
            <w:r>
              <w:rPr>
                <w:color w:val="auto"/>
                <w:sz w:val="21"/>
                <w:szCs w:val="21"/>
                <w:highlight w:val="none"/>
              </w:rPr>
              <w:t>履约信誉</w:t>
            </w:r>
          </w:p>
        </w:tc>
        <w:tc>
          <w:tcPr>
            <w:tcW w:w="888" w:type="dxa"/>
            <w:vAlign w:val="center"/>
          </w:tcPr>
          <w:p>
            <w:pPr>
              <w:spacing w:line="360" w:lineRule="auto"/>
              <w:rPr>
                <w:color w:val="auto"/>
                <w:sz w:val="21"/>
                <w:szCs w:val="21"/>
                <w:highlight w:val="none"/>
              </w:rPr>
            </w:pPr>
            <w:r>
              <w:rPr>
                <w:rFonts w:hint="eastAsia"/>
                <w:color w:val="auto"/>
                <w:sz w:val="21"/>
                <w:szCs w:val="21"/>
                <w:highlight w:val="none"/>
                <w:lang w:eastAsia="zh-CN"/>
              </w:rPr>
              <w:t>1</w:t>
            </w:r>
            <w:r>
              <w:rPr>
                <w:rFonts w:hint="eastAsia"/>
                <w:color w:val="auto"/>
                <w:sz w:val="21"/>
                <w:szCs w:val="21"/>
                <w:highlight w:val="none"/>
                <w:lang w:val="en-US" w:eastAsia="zh-CN"/>
              </w:rPr>
              <w:t>0</w:t>
            </w:r>
            <w:r>
              <w:rPr>
                <w:color w:val="auto"/>
                <w:sz w:val="21"/>
                <w:szCs w:val="21"/>
                <w:highlight w:val="none"/>
              </w:rPr>
              <w:t>分</w:t>
            </w:r>
          </w:p>
        </w:tc>
        <w:tc>
          <w:tcPr>
            <w:tcW w:w="5325" w:type="dxa"/>
            <w:gridSpan w:val="3"/>
            <w:vAlign w:val="top"/>
          </w:tcPr>
          <w:p>
            <w:pPr>
              <w:spacing w:line="360" w:lineRule="auto"/>
              <w:ind w:left="120" w:leftChars="50" w:right="120" w:rightChars="50"/>
              <w:jc w:val="both"/>
              <w:rPr>
                <w:rFonts w:hint="eastAsia" w:ascii="宋体" w:hAnsi="宋体" w:cs="宋体"/>
                <w:color w:val="auto"/>
                <w:sz w:val="21"/>
                <w:szCs w:val="21"/>
              </w:rPr>
            </w:pPr>
            <w:r>
              <w:rPr>
                <w:rFonts w:hint="eastAsia" w:ascii="宋体" w:hAnsi="宋体" w:cs="宋体"/>
                <w:color w:val="auto"/>
                <w:sz w:val="21"/>
                <w:szCs w:val="21"/>
              </w:rPr>
              <w:t>1.信用等级分值（5分）</w:t>
            </w:r>
          </w:p>
          <w:p>
            <w:pPr>
              <w:spacing w:line="360" w:lineRule="auto"/>
              <w:ind w:left="120" w:leftChars="50" w:right="120" w:rightChars="50"/>
              <w:jc w:val="both"/>
              <w:rPr>
                <w:rFonts w:hint="eastAsia" w:ascii="宋体" w:hAnsi="宋体" w:cs="宋体"/>
                <w:color w:val="auto"/>
                <w:sz w:val="21"/>
                <w:szCs w:val="21"/>
              </w:rPr>
            </w:pPr>
            <w:r>
              <w:rPr>
                <w:rFonts w:hint="eastAsia" w:ascii="宋体" w:hAnsi="宋体" w:cs="宋体"/>
                <w:color w:val="auto"/>
                <w:sz w:val="21"/>
                <w:szCs w:val="21"/>
              </w:rPr>
              <w:t>AA、A、B、C级单位的信用等级分得分分别为5.00、4.75、4.45、3.65分。</w:t>
            </w:r>
          </w:p>
          <w:p>
            <w:pPr>
              <w:spacing w:line="360" w:lineRule="auto"/>
              <w:ind w:left="120" w:leftChars="50" w:right="120" w:rightChars="50"/>
              <w:jc w:val="both"/>
              <w:rPr>
                <w:rFonts w:hint="eastAsia" w:eastAsia="方正宋三简体"/>
                <w:b/>
                <w:bCs/>
                <w:color w:val="auto"/>
                <w:sz w:val="21"/>
                <w:szCs w:val="21"/>
                <w:highlight w:val="none"/>
              </w:rPr>
            </w:pPr>
            <w:r>
              <w:rPr>
                <w:rFonts w:hint="eastAsia" w:ascii="宋体" w:hAnsi="宋体" w:cs="宋体"/>
                <w:color w:val="auto"/>
                <w:sz w:val="21"/>
                <w:szCs w:val="21"/>
              </w:rPr>
              <w:t>注：信用等级的确定原则遵循投标人须知前附表10.2款的规定。</w:t>
            </w:r>
          </w:p>
          <w:p>
            <w:pPr>
              <w:spacing w:line="360" w:lineRule="auto"/>
              <w:ind w:left="120" w:leftChars="50" w:right="120" w:rightChars="50"/>
              <w:jc w:val="both"/>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履约情况（5分）</w:t>
            </w:r>
          </w:p>
          <w:p>
            <w:pPr>
              <w:spacing w:line="360" w:lineRule="auto"/>
              <w:ind w:firstLine="0" w:firstLineChars="0"/>
              <w:rPr>
                <w:rFonts w:hint="eastAsia"/>
                <w:color w:val="auto"/>
                <w:sz w:val="21"/>
                <w:szCs w:val="21"/>
                <w:highlight w:val="none"/>
                <w:lang w:val="en-US"/>
              </w:rPr>
            </w:pPr>
            <w:r>
              <w:rPr>
                <w:rFonts w:hint="eastAsia"/>
                <w:color w:val="auto"/>
                <w:sz w:val="21"/>
                <w:szCs w:val="21"/>
                <w:highlight w:val="none"/>
                <w:lang w:val="en-US"/>
              </w:rPr>
              <w:t>若没出现下述情形得满分；</w:t>
            </w:r>
          </w:p>
          <w:p>
            <w:pPr>
              <w:spacing w:line="360" w:lineRule="auto"/>
              <w:ind w:firstLine="0" w:firstLineChars="0"/>
              <w:rPr>
                <w:rFonts w:hint="eastAsia"/>
                <w:color w:val="auto"/>
                <w:sz w:val="21"/>
                <w:szCs w:val="21"/>
                <w:highlight w:val="none"/>
                <w:lang w:val="en-US"/>
              </w:rPr>
            </w:pPr>
            <w:r>
              <w:rPr>
                <w:rFonts w:hint="eastAsia"/>
                <w:color w:val="auto"/>
                <w:sz w:val="21"/>
                <w:szCs w:val="21"/>
                <w:highlight w:val="none"/>
                <w:lang w:val="en-US"/>
              </w:rPr>
              <w:t>投标文件递交截止日前1年内，投标人因公路工程</w:t>
            </w:r>
            <w:r>
              <w:rPr>
                <w:rFonts w:hint="eastAsia"/>
                <w:color w:val="auto"/>
                <w:sz w:val="21"/>
                <w:szCs w:val="21"/>
                <w:highlight w:val="none"/>
              </w:rPr>
              <w:t>（含附属设施）</w:t>
            </w:r>
            <w:r>
              <w:rPr>
                <w:rFonts w:hint="eastAsia"/>
                <w:color w:val="auto"/>
                <w:sz w:val="21"/>
                <w:szCs w:val="21"/>
                <w:highlight w:val="none"/>
                <w:lang w:val="en-US"/>
              </w:rPr>
              <w:t>质量、安全、履约或招标投标问题等原因被：</w:t>
            </w:r>
          </w:p>
          <w:p>
            <w:pPr>
              <w:spacing w:line="360" w:lineRule="auto"/>
              <w:ind w:firstLine="210" w:firstLineChars="100"/>
              <w:rPr>
                <w:rFonts w:hint="eastAsia"/>
                <w:color w:val="auto"/>
                <w:sz w:val="21"/>
                <w:szCs w:val="21"/>
                <w:highlight w:val="none"/>
              </w:rPr>
            </w:pPr>
            <w:r>
              <w:rPr>
                <w:rFonts w:hint="eastAsia"/>
                <w:color w:val="auto"/>
                <w:sz w:val="21"/>
                <w:szCs w:val="21"/>
                <w:highlight w:val="none"/>
              </w:rPr>
              <w:t>（1）交通运输部行政处罚的，扣5分/次。</w:t>
            </w:r>
          </w:p>
          <w:p>
            <w:pPr>
              <w:spacing w:line="360" w:lineRule="auto"/>
              <w:ind w:firstLine="210" w:firstLineChars="100"/>
              <w:rPr>
                <w:rFonts w:ascii="宋体" w:hAnsi="宋体"/>
                <w:color w:val="auto"/>
                <w:kern w:val="0"/>
                <w:sz w:val="21"/>
                <w:szCs w:val="21"/>
                <w:highlight w:val="none"/>
              </w:rPr>
            </w:pPr>
            <w:r>
              <w:rPr>
                <w:rFonts w:hint="eastAsia"/>
                <w:color w:val="auto"/>
                <w:sz w:val="21"/>
                <w:szCs w:val="21"/>
                <w:highlight w:val="none"/>
              </w:rPr>
              <w:t xml:space="preserve">（2）广东省交通运输厅行政处罚的，扣3分/次。      </w:t>
            </w:r>
          </w:p>
          <w:p>
            <w:pPr>
              <w:spacing w:line="360" w:lineRule="auto"/>
              <w:ind w:firstLine="210" w:firstLineChars="100"/>
              <w:rPr>
                <w:rFonts w:ascii="宋体" w:hAnsi="宋体"/>
                <w:color w:val="auto"/>
                <w:kern w:val="0"/>
                <w:sz w:val="21"/>
                <w:szCs w:val="21"/>
                <w:highlight w:val="none"/>
              </w:rPr>
            </w:pPr>
            <w:r>
              <w:rPr>
                <w:rFonts w:hint="eastAsia"/>
                <w:color w:val="auto"/>
                <w:sz w:val="21"/>
                <w:szCs w:val="21"/>
                <w:highlight w:val="none"/>
              </w:rPr>
              <w:t>（3）广东省交通运输厅正式约谈的，扣0.1分/次。</w:t>
            </w:r>
          </w:p>
          <w:p>
            <w:pPr>
              <w:spacing w:line="360" w:lineRule="auto"/>
              <w:ind w:firstLine="0" w:firstLineChars="0"/>
              <w:rPr>
                <w:color w:val="auto"/>
                <w:sz w:val="21"/>
                <w:szCs w:val="21"/>
                <w:highlight w:val="none"/>
              </w:rPr>
            </w:pPr>
            <w:r>
              <w:rPr>
                <w:rFonts w:hint="eastAsia"/>
                <w:color w:val="auto"/>
                <w:sz w:val="21"/>
                <w:szCs w:val="21"/>
                <w:highlight w:val="none"/>
              </w:rPr>
              <w:t>同一事项同时被多个部门行政处罚或正式约谈只按最高的扣分计算1次</w:t>
            </w:r>
            <w:bookmarkStart w:id="2" w:name="OLE_LINK4"/>
            <w:r>
              <w:rPr>
                <w:rFonts w:hint="eastAsia"/>
                <w:color w:val="auto"/>
                <w:sz w:val="21"/>
                <w:szCs w:val="21"/>
                <w:highlight w:val="none"/>
              </w:rPr>
              <w:t>[</w:t>
            </w:r>
            <w:bookmarkEnd w:id="2"/>
            <w:r>
              <w:rPr>
                <w:rFonts w:hint="eastAsia"/>
                <w:color w:val="auto"/>
                <w:sz w:val="21"/>
                <w:szCs w:val="21"/>
                <w:highlight w:val="none"/>
              </w:rPr>
              <w:t>正式约谈是指从业单位的企业法人因建设项目质量、安全、履约或招标投标等问题，被上述单位约谈的情形。行政处罚要以上述单位正式发文为依据，以正式发文时间为准</w:t>
            </w:r>
            <w:r>
              <w:rPr>
                <w:rFonts w:hint="eastAsia" w:ascii="宋体" w:hAnsi="宋体" w:eastAsia="宋体" w:cs="宋体"/>
                <w:color w:val="auto"/>
                <w:sz w:val="21"/>
                <w:szCs w:val="21"/>
                <w:highlight w:val="none"/>
              </w:rPr>
              <w:t>:</w:t>
            </w:r>
            <w:r>
              <w:rPr>
                <w:rFonts w:hint="eastAsia"/>
                <w:color w:val="auto"/>
                <w:sz w:val="21"/>
                <w:szCs w:val="21"/>
                <w:highlight w:val="none"/>
              </w:rPr>
              <w:t>正式约谈要以上述单位的书面通知和约谈会议纪要为依据，时间以约谈会议纪要发文时间为准。]。如果扣完本项分值，可以从总分中扣。以联合体形式投标的，若各联合体成员任何一方或均存在上述情形的，对联合体各成员进行累计扣分。</w:t>
            </w:r>
          </w:p>
        </w:tc>
      </w:tr>
    </w:tbl>
    <w:p>
      <w:pPr>
        <w:spacing w:line="360" w:lineRule="auto"/>
        <w:rPr>
          <w:color w:val="auto"/>
          <w:highlight w:val="none"/>
        </w:rPr>
        <w:sectPr>
          <w:footnotePr>
            <w:numFmt w:val="decimalEnclosedCircleChinese"/>
            <w:numRestart w:val="eachPage"/>
          </w:footnotePr>
          <w:type w:val="continuous"/>
          <w:pgSz w:w="11850" w:h="16783"/>
          <w:pgMar w:top="1440" w:right="1800" w:bottom="1440" w:left="1800" w:header="850" w:footer="850" w:gutter="0"/>
          <w:pgBorders>
            <w:top w:val="none" w:sz="0" w:space="0"/>
            <w:left w:val="none" w:sz="0" w:space="0"/>
            <w:bottom w:val="none" w:sz="0" w:space="0"/>
            <w:right w:val="none" w:sz="0" w:space="0"/>
          </w:pgBorders>
          <w:pgNumType w:fmt="decimal"/>
          <w:cols w:space="720" w:num="1"/>
          <w:docGrid w:linePitch="326" w:charSpace="0"/>
        </w:sectPr>
      </w:pPr>
    </w:p>
    <w:p>
      <w:pPr>
        <w:spacing w:line="360" w:lineRule="auto"/>
        <w:rPr>
          <w:color w:val="auto"/>
          <w:sz w:val="21"/>
          <w:szCs w:val="21"/>
          <w:highlight w:val="none"/>
        </w:rPr>
        <w:sectPr>
          <w:footnotePr>
            <w:numFmt w:val="decimalEnclosedCircleChinese"/>
            <w:numRestart w:val="eachPage"/>
          </w:footnotePr>
          <w:type w:val="continuous"/>
          <w:pgSz w:w="11850" w:h="16783"/>
          <w:pgMar w:top="1200" w:right="1200" w:bottom="1200" w:left="1300"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4"/>
        <w:tblW w:w="846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73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blHeader/>
          <w:jc w:val="center"/>
        </w:trPr>
        <w:tc>
          <w:tcPr>
            <w:tcW w:w="1102" w:type="dxa"/>
            <w:vAlign w:val="center"/>
          </w:tcPr>
          <w:p>
            <w:pPr>
              <w:spacing w:line="360" w:lineRule="auto"/>
              <w:ind w:left="-120" w:leftChars="-50"/>
              <w:jc w:val="center"/>
              <w:rPr>
                <w:rFonts w:ascii="宋体"/>
                <w:b/>
                <w:bCs/>
                <w:color w:val="auto"/>
                <w:sz w:val="21"/>
                <w:szCs w:val="21"/>
                <w:highlight w:val="none"/>
              </w:rPr>
            </w:pPr>
            <w:r>
              <w:rPr>
                <w:rFonts w:hint="eastAsia" w:ascii="宋体"/>
                <w:b/>
                <w:color w:val="auto"/>
                <w:sz w:val="21"/>
                <w:szCs w:val="21"/>
                <w:highlight w:val="none"/>
              </w:rPr>
              <w:t>条款号</w:t>
            </w:r>
          </w:p>
        </w:tc>
        <w:tc>
          <w:tcPr>
            <w:tcW w:w="7364" w:type="dxa"/>
            <w:vAlign w:val="center"/>
          </w:tcPr>
          <w:p>
            <w:pPr>
              <w:spacing w:line="360" w:lineRule="auto"/>
              <w:ind w:left="-120" w:leftChars="-50"/>
              <w:jc w:val="center"/>
              <w:rPr>
                <w:rFonts w:ascii="宋体"/>
                <w:b/>
                <w:bCs/>
                <w:color w:val="auto"/>
                <w:sz w:val="21"/>
                <w:szCs w:val="21"/>
                <w:highlight w:val="none"/>
              </w:rPr>
            </w:pPr>
            <w:r>
              <w:rPr>
                <w:rFonts w:hint="eastAsia" w:ascii="宋体"/>
                <w:b/>
                <w:color w:val="auto"/>
                <w:sz w:val="21"/>
                <w:szCs w:val="21"/>
                <w:highlight w:val="none"/>
              </w:rPr>
              <w:t>补充或修改的内容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2" w:type="dxa"/>
            <w:vAlign w:val="center"/>
          </w:tcPr>
          <w:tbl>
            <w:tblPr>
              <w:tblStyle w:val="4"/>
              <w:tblpPr w:leftFromText="180" w:rightFromText="180" w:vertAnchor="page" w:horzAnchor="page" w:tblpX="-68" w:tblpY="-5912"/>
              <w:tblOverlap w:val="never"/>
              <w:tblW w:w="8507" w:type="dxa"/>
              <w:tblInd w:w="0" w:type="dxa"/>
              <w:tblBorders>
                <w:top w:val="single" w:color="auto" w:sz="12" w:space="0"/>
                <w:left w:val="single" w:color="auto" w:sz="12" w:space="0"/>
                <w:bottom w:val="none" w:color="auto" w:sz="0"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507"/>
            </w:tblGrid>
            <w:tr>
              <w:tblPrEx>
                <w:tblBorders>
                  <w:top w:val="single" w:color="auto" w:sz="12" w:space="0"/>
                  <w:left w:val="single" w:color="auto" w:sz="12" w:space="0"/>
                  <w:bottom w:val="none" w:color="auto" w:sz="0"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507" w:type="dxa"/>
                  <w:vAlign w:val="center"/>
                </w:tcPr>
                <w:p>
                  <w:pPr>
                    <w:spacing w:line="360" w:lineRule="auto"/>
                    <w:ind w:left="-120" w:leftChars="-50"/>
                    <w:jc w:val="center"/>
                    <w:rPr>
                      <w:rFonts w:ascii="宋体"/>
                      <w:b/>
                      <w:color w:val="auto"/>
                      <w:sz w:val="21"/>
                      <w:szCs w:val="21"/>
                      <w:highlight w:val="none"/>
                    </w:rPr>
                  </w:pPr>
                  <w:r>
                    <w:rPr>
                      <w:rFonts w:hint="eastAsia" w:ascii="宋体"/>
                      <w:b/>
                      <w:color w:val="auto"/>
                      <w:sz w:val="21"/>
                      <w:szCs w:val="21"/>
                      <w:highlight w:val="none"/>
                    </w:rPr>
                    <w:t>需要补充的其他内容</w:t>
                  </w:r>
                </w:p>
              </w:tc>
            </w:tr>
          </w:tbl>
          <w:p>
            <w:pPr>
              <w:spacing w:line="360" w:lineRule="auto"/>
              <w:ind w:left="-120" w:leftChars="-50"/>
              <w:jc w:val="center"/>
              <w:rPr>
                <w:rFonts w:cs="宋体"/>
                <w:color w:val="auto"/>
                <w:sz w:val="21"/>
                <w:szCs w:val="21"/>
                <w:highlight w:val="none"/>
              </w:rPr>
            </w:pPr>
            <w:r>
              <w:rPr>
                <w:rFonts w:hint="eastAsia" w:cs="宋体"/>
                <w:color w:val="auto"/>
                <w:sz w:val="21"/>
                <w:szCs w:val="21"/>
                <w:highlight w:val="none"/>
              </w:rPr>
              <w:t>1</w:t>
            </w:r>
          </w:p>
        </w:tc>
        <w:tc>
          <w:tcPr>
            <w:tcW w:w="7364" w:type="dxa"/>
            <w:vAlign w:val="center"/>
          </w:tcPr>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将评标办法原文第1 条“评标方法”改为“评标方法、组织及工作程序”，原文内容修改如下：</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1.评标方法、组织及工作程序</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1.1评标方法</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本次评标采用双信封的综合评分法。评标委员会对满足招标文件实质性要求的投标文件，按照本章第 2.2 款规定的评分标准进行打分，并按得分由高到低顺序推荐中标候选人，但投标报价低于其成本的除外。综合评分相等时，评标委员会应按照评标办法前附表规定的优先次序推荐中标候选人或确定中标人。</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1.2评标组织</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1.2.1协助工作组</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招标人可在评标工作开始前成立协助工作组，选派熟悉招标工作、政治素质高的人员组成，协助评标委员会工作。协助工作组人员的具体数量由招标人视评标工作量确定。</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招标人可以协助评标委员会开展下列工作并提供相关信息：</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（1）根据招标文件，编制评标使用的相应表格；</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（2）对投标报价进行算术性校核（如采用固化工程量清单，本步骤省略）；</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（3）以评标标准和方法为依据，列出投标文件相对于招标文件的所有偏差，并进行归类汇总；</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招标人不得对投标文件作出任何评价，不得故意遗漏或者片面摘录，不得在评标委员会对所有偏差定性之前透露存有偏差的投标人名称。</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1.2.2评标委员会</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评标委员会由招标人按国家、广东省等的有关规定依法组建。评标委员会的主要工作内容包括：</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（1）评标委员会开始评标工作之前，首先听取招标人、协助工作组关于工程情况和辅助工作的说明，并认真研读招标文件，获取评标所需的重要信息和数据；</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（2）对协助工作组提供的评标工作用表和评标内容进行核查；</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（3）按照以下 1.3款程序进行各项评审工作。</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1.3评审工作程序</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（一）第一信封（商务及技术文件）：</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l、初步评审：包括形式评审与响应性评审、资格评审；</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2、详细评审（评审打分）：评标委员会首先对通过初步评审的投标文件第一个信封（商务及技术文件）进行详细评审，对投标人的施工组织设计、主要人员、其他因素等分别评审打分。</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（二）第二信封（报价文件）：</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1、初步评审：</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（1）只有投标文件第一个信封通过详细评审的投标人才能继续参加第二信封报价文件的形式评审与响应性评审；</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（2）报价算术性修正（如采用固化工程量清单，本步骤省略）；2、详细评审：计算评标基准价、评标价得分及综合得分；</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（三）投标文件相关信息的核查。</w:t>
            </w:r>
          </w:p>
          <w:p>
            <w:pPr>
              <w:spacing w:line="360" w:lineRule="auto"/>
              <w:ind w:firstLine="240" w:firstLineChars="100"/>
              <w:rPr>
                <w:rFonts w:hint="eastAsia" w:ascii="宋体" w:hAnsi="宋体"/>
                <w:color w:val="auto"/>
                <w:kern w:val="0"/>
                <w:sz w:val="21"/>
                <w:szCs w:val="21"/>
                <w:highlight w:val="none"/>
              </w:rPr>
            </w:pPr>
            <w:r>
              <w:rPr>
                <w:rFonts w:hint="eastAsia" w:hAnsi="宋体"/>
                <w:color w:val="auto"/>
                <w:kern w:val="0"/>
                <w:highlight w:val="none"/>
              </w:rPr>
              <w:t xml:space="preserve"> </w:t>
            </w:r>
            <w:r>
              <w:rPr>
                <w:rFonts w:hint="eastAsia" w:ascii="宋体" w:hAnsi="宋体"/>
                <w:color w:val="auto"/>
                <w:kern w:val="0"/>
                <w:sz w:val="21"/>
                <w:szCs w:val="21"/>
                <w:highlight w:val="none"/>
              </w:rPr>
              <w:t>(四)投标文件的澄清和说明(如有)</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（五）综合评分，提出评标意见。</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（六）根据《中华人民共和国招标投标法实施条例》第三十九条、第四十条、第四十一条的有关规定，对在评标过程中发现的投标人与投标人之间、投标人与招标人之间存在的串通投标的情形进行评审和认定。</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（七）按评标办法规定推荐中标候选人，编写评标报告。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2" w:type="dxa"/>
            <w:vAlign w:val="center"/>
          </w:tcPr>
          <w:p>
            <w:pPr>
              <w:spacing w:line="360" w:lineRule="auto"/>
              <w:ind w:left="-120" w:leftChars="-50"/>
              <w:jc w:val="center"/>
              <w:rPr>
                <w:rFonts w:cs="宋体"/>
                <w:color w:val="auto"/>
                <w:sz w:val="21"/>
                <w:szCs w:val="21"/>
                <w:highlight w:val="none"/>
              </w:rPr>
            </w:pPr>
            <w:r>
              <w:rPr>
                <w:rFonts w:hint="eastAsia" w:cs="宋体"/>
                <w:color w:val="auto"/>
                <w:sz w:val="21"/>
                <w:szCs w:val="21"/>
                <w:highlight w:val="none"/>
              </w:rPr>
              <w:t>3.2.3</w:t>
            </w:r>
          </w:p>
        </w:tc>
        <w:tc>
          <w:tcPr>
            <w:tcW w:w="7364" w:type="dxa"/>
            <w:vAlign w:val="center"/>
          </w:tcPr>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将评标办法范本原文第 3.2.3项细化如下：</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投标人的商务和技术得分=A+B+D。</w:t>
            </w:r>
          </w:p>
          <w:p>
            <w:pPr>
              <w:spacing w:line="360" w:lineRule="auto"/>
              <w:ind w:firstLine="378" w:firstLineChars="180"/>
              <w:rPr>
                <w:rFonts w:hint="eastAsia" w:ascii="宋体" w:hAnsi="宋体"/>
                <w:color w:val="auto"/>
                <w:kern w:val="0"/>
                <w:sz w:val="21"/>
                <w:szCs w:val="21"/>
                <w:highlight w:val="none"/>
              </w:rPr>
            </w:pPr>
            <w:r>
              <w:rPr>
                <w:rFonts w:hint="eastAsia" w:ascii="宋体" w:hAnsi="宋体"/>
                <w:color w:val="auto"/>
                <w:kern w:val="0"/>
                <w:sz w:val="21"/>
                <w:szCs w:val="21"/>
                <w:highlight w:val="none"/>
              </w:rPr>
              <w:t>除评标价、技术能力、履约信誉得分外，投标文件各评分因素细分项得分均不应低于其权重分的60%，评分低于权重分值60%的，评标委员会成员应当在评标报告中作出说明。</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计算投标人技术得分时：首先在评委技术评分中，采用取消同一评委对同一标段各投标人评分总分的差值最大的1名评委评分分值（若有2名或以上评委技术评分总分差值最大值相等时，则取消其中1名评委的所有评分，具体办法如下），再对各评分因素细分项中取消一个最高、一个最低分后计算其算术平均值的和为投标人的最终技术得分，平均值计算保留小数点后三位，小数点后第四位“四舍五入”。</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取消其中1名评委所有评分的办法（依次按照以下流程）：（1）对比上述出现技术评分总分差值最大值相等的评委的次分差值（次分差值＝某一评委技术评分总分的最高分－该评委技术评分总分的次低分），取消次分差值最大的评委所有评分；（2）如次分差值仍相同，则按随机抽取的方式选定取消1名评委评分。</w:t>
            </w:r>
          </w:p>
          <w:p>
            <w:pPr>
              <w:spacing w:line="360" w:lineRule="auto"/>
              <w:ind w:firstLine="420" w:firstLineChars="200"/>
              <w:rPr>
                <w:rFonts w:hint="eastAsia" w:ascii="宋体" w:hAnsi="宋体"/>
                <w:color w:val="auto"/>
                <w:kern w:val="0"/>
                <w:sz w:val="21"/>
                <w:szCs w:val="21"/>
                <w:highlight w:val="none"/>
              </w:rPr>
            </w:pPr>
            <w:r>
              <w:rPr>
                <w:rFonts w:hint="eastAsia" w:ascii="宋体" w:hAnsi="宋体" w:cs="宋体"/>
                <w:color w:val="auto"/>
                <w:sz w:val="21"/>
                <w:szCs w:val="21"/>
                <w:highlight w:val="none"/>
              </w:rPr>
              <w:t>示例:同一评委对5名投标人技术评分总分分别为:6.65（最高分)、5.88、5.11、4.90（次低分）、4.55（最低分），则其最大差值为2.1、次大差值为6.65-4.90=1.75）。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2" w:type="dxa"/>
            <w:vAlign w:val="center"/>
          </w:tcPr>
          <w:p>
            <w:pPr>
              <w:spacing w:line="360" w:lineRule="auto"/>
              <w:ind w:left="-120" w:leftChars="-50"/>
              <w:jc w:val="center"/>
              <w:rPr>
                <w:rFonts w:cs="宋体"/>
                <w:color w:val="auto"/>
                <w:sz w:val="21"/>
                <w:szCs w:val="21"/>
                <w:highlight w:val="none"/>
              </w:rPr>
            </w:pPr>
            <w:r>
              <w:rPr>
                <w:rFonts w:hint="eastAsia" w:cs="宋体"/>
                <w:color w:val="auto"/>
                <w:sz w:val="21"/>
                <w:szCs w:val="21"/>
                <w:highlight w:val="none"/>
              </w:rPr>
              <w:t>3.5.2</w:t>
            </w:r>
          </w:p>
        </w:tc>
        <w:tc>
          <w:tcPr>
            <w:tcW w:w="7364" w:type="dxa"/>
            <w:vAlign w:val="center"/>
          </w:tcPr>
          <w:p>
            <w:pPr>
              <w:adjustRightInd w:val="0"/>
              <w:spacing w:line="360" w:lineRule="auto"/>
              <w:ind w:left="120" w:leftChars="50" w:right="120" w:rightChars="50"/>
              <w:textAlignment w:val="baseline"/>
              <w:rPr>
                <w:rFonts w:hint="eastAsia" w:ascii="宋体" w:hAnsi="宋体"/>
                <w:color w:val="auto"/>
                <w:sz w:val="21"/>
                <w:szCs w:val="21"/>
                <w:highlight w:val="none"/>
              </w:rPr>
            </w:pPr>
            <w:r>
              <w:rPr>
                <w:rFonts w:ascii="宋体" w:hAnsi="宋体"/>
                <w:color w:val="auto"/>
                <w:sz w:val="21"/>
                <w:szCs w:val="21"/>
                <w:highlight w:val="none"/>
              </w:rPr>
              <w:t>将评标办法原文第</w:t>
            </w:r>
            <w:r>
              <w:rPr>
                <w:rFonts w:hint="eastAsia" w:ascii="宋体" w:hAnsi="宋体"/>
                <w:color w:val="auto"/>
                <w:sz w:val="21"/>
                <w:szCs w:val="21"/>
                <w:highlight w:val="none"/>
              </w:rPr>
              <w:t>3.5.2项细化</w:t>
            </w:r>
            <w:r>
              <w:rPr>
                <w:rFonts w:ascii="宋体" w:hAnsi="宋体"/>
                <w:color w:val="auto"/>
                <w:sz w:val="21"/>
                <w:szCs w:val="21"/>
                <w:highlight w:val="none"/>
              </w:rPr>
              <w:t>如下：</w:t>
            </w:r>
          </w:p>
          <w:p>
            <w:pPr>
              <w:spacing w:line="360" w:lineRule="auto"/>
              <w:rPr>
                <w:rFonts w:hint="eastAsia" w:ascii="宋体" w:hAnsi="宋体" w:cs="宋体"/>
                <w:color w:val="auto"/>
                <w:sz w:val="21"/>
                <w:szCs w:val="21"/>
                <w:highlight w:val="none"/>
              </w:rPr>
            </w:pPr>
            <w:r>
              <w:rPr>
                <w:rFonts w:hint="eastAsia" w:ascii="宋体" w:hAnsi="宋体"/>
                <w:color w:val="auto"/>
                <w:sz w:val="21"/>
                <w:szCs w:val="21"/>
                <w:highlight w:val="none"/>
              </w:rPr>
              <w:t>投标人综合得分=投标人的商务和技术得分+C。（计算保留小数点后四位，小数点后第五位“</w:t>
            </w:r>
            <w:r>
              <w:rPr>
                <w:rFonts w:ascii="宋体" w:hAnsi="宋体"/>
                <w:color w:val="auto"/>
                <w:sz w:val="21"/>
                <w:szCs w:val="21"/>
                <w:highlight w:val="none"/>
              </w:rPr>
              <w:t>四舍五入</w:t>
            </w:r>
            <w:r>
              <w:rPr>
                <w:rFonts w:hint="eastAsia" w:ascii="宋体" w:hAnsi="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2" w:type="dxa"/>
            <w:vAlign w:val="center"/>
          </w:tcPr>
          <w:p>
            <w:pPr>
              <w:spacing w:line="360" w:lineRule="auto"/>
              <w:ind w:left="-120" w:leftChars="-50"/>
              <w:jc w:val="center"/>
              <w:rPr>
                <w:rFonts w:ascii="宋体"/>
                <w:color w:val="auto"/>
                <w:sz w:val="21"/>
                <w:szCs w:val="21"/>
                <w:highlight w:val="none"/>
              </w:rPr>
            </w:pPr>
            <w:r>
              <w:rPr>
                <w:rFonts w:hint="eastAsia" w:cs="宋体"/>
                <w:color w:val="auto"/>
                <w:sz w:val="21"/>
                <w:szCs w:val="21"/>
                <w:highlight w:val="none"/>
              </w:rPr>
              <w:t>3.6</w:t>
            </w:r>
          </w:p>
        </w:tc>
        <w:tc>
          <w:tcPr>
            <w:tcW w:w="7364" w:type="dxa"/>
            <w:vAlign w:val="center"/>
          </w:tcPr>
          <w:p>
            <w:pPr>
              <w:spacing w:line="360" w:lineRule="auto"/>
              <w:ind w:firstLine="210" w:firstLineChars="100"/>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删除评标办法正文3.6.1项内容。</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3.6.2项（2）目末增加以下条款：</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g.当一家以上投标人评标价相同时，若各投标人工程量清单细目单价也相同，视为串标（一个标段仅一工作细目报价的除外）。</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h.广东省实施《中华人民共和国招标投标法》办法第十六条规定的情形。</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增加3.6.3项：</w:t>
            </w:r>
          </w:p>
          <w:p>
            <w:pPr>
              <w:spacing w:line="360" w:lineRule="auto"/>
              <w:ind w:firstLine="210" w:firstLineChars="100"/>
              <w:rPr>
                <w:rFonts w:hint="eastAsia" w:ascii="宋体" w:hAnsi="宋体"/>
                <w:color w:val="auto"/>
                <w:kern w:val="0"/>
                <w:sz w:val="21"/>
                <w:szCs w:val="21"/>
                <w:highlight w:val="none"/>
              </w:rPr>
            </w:pPr>
            <w:r>
              <w:rPr>
                <w:rFonts w:hint="eastAsia" w:ascii="宋体" w:hAnsi="宋体"/>
                <w:color w:val="auto"/>
                <w:kern w:val="0"/>
                <w:sz w:val="21"/>
                <w:szCs w:val="21"/>
                <w:highlight w:val="none"/>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2" w:type="dxa"/>
            <w:vAlign w:val="center"/>
          </w:tcPr>
          <w:p>
            <w:pPr>
              <w:spacing w:line="360" w:lineRule="auto"/>
              <w:ind w:left="-120" w:leftChars="-50"/>
              <w:jc w:val="center"/>
              <w:rPr>
                <w:rFonts w:hint="eastAsia" w:cs="宋体"/>
                <w:color w:val="auto"/>
                <w:sz w:val="21"/>
                <w:szCs w:val="21"/>
                <w:highlight w:val="none"/>
              </w:rPr>
            </w:pPr>
            <w:r>
              <w:rPr>
                <w:rFonts w:hint="eastAsia" w:cs="宋体"/>
                <w:color w:val="auto"/>
                <w:sz w:val="21"/>
                <w:szCs w:val="21"/>
                <w:highlight w:val="none"/>
              </w:rPr>
              <w:t>3.9</w:t>
            </w:r>
          </w:p>
        </w:tc>
        <w:tc>
          <w:tcPr>
            <w:tcW w:w="7364" w:type="dxa"/>
            <w:vAlign w:val="center"/>
          </w:tcPr>
          <w:p>
            <w:pPr>
              <w:spacing w:line="360" w:lineRule="auto"/>
              <w:rPr>
                <w:rFonts w:hint="eastAsia"/>
                <w:color w:val="auto"/>
                <w:sz w:val="21"/>
                <w:szCs w:val="21"/>
                <w:highlight w:val="none"/>
              </w:rPr>
            </w:pPr>
            <w:r>
              <w:rPr>
                <w:rFonts w:hint="eastAsia"/>
                <w:color w:val="auto"/>
                <w:sz w:val="21"/>
                <w:szCs w:val="21"/>
                <w:highlight w:val="none"/>
              </w:rPr>
              <w:t>增加 3.9.3-3.9.7项：</w:t>
            </w:r>
          </w:p>
          <w:p>
            <w:pPr>
              <w:spacing w:line="360" w:lineRule="auto"/>
              <w:ind w:firstLine="420" w:firstLineChars="200"/>
              <w:rPr>
                <w:rFonts w:hint="eastAsia" w:ascii="宋体" w:hAnsi="宋体" w:cs="宋体"/>
                <w:color w:val="auto"/>
                <w:sz w:val="21"/>
                <w:szCs w:val="21"/>
                <w:highlight w:val="none"/>
              </w:rPr>
            </w:pPr>
            <w:r>
              <w:rPr>
                <w:rFonts w:hint="eastAsia"/>
                <w:color w:val="auto"/>
                <w:sz w:val="21"/>
                <w:szCs w:val="21"/>
                <w:highlight w:val="none"/>
              </w:rPr>
              <w:t xml:space="preserve">3.9.3 </w:t>
            </w:r>
            <w:r>
              <w:rPr>
                <w:rFonts w:hint="eastAsia" w:ascii="宋体" w:hAnsi="宋体" w:cs="宋体"/>
                <w:color w:val="auto"/>
                <w:sz w:val="21"/>
                <w:szCs w:val="21"/>
                <w:highlight w:val="none"/>
              </w:rPr>
              <w:t>推荐中标候选人方式：</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（一）按各合同段最高投标限价高低顺序依次选定中标候选人，如果投标人在任一标段被推荐为第一中标候选人，该投标人自动失去在本次招标中其他标段的中标候选人资格；</w:t>
            </w:r>
          </w:p>
          <w:p>
            <w:pPr>
              <w:spacing w:line="360" w:lineRule="auto"/>
              <w:ind w:firstLine="420" w:firstLineChars="200"/>
              <w:rPr>
                <w:rFonts w:hint="eastAsia"/>
                <w:color w:val="auto"/>
                <w:sz w:val="21"/>
                <w:szCs w:val="21"/>
                <w:highlight w:val="none"/>
              </w:rPr>
            </w:pPr>
            <w:r>
              <w:rPr>
                <w:rFonts w:hint="eastAsia" w:ascii="宋体" w:hAnsi="宋体" w:cs="宋体"/>
                <w:color w:val="auto"/>
                <w:sz w:val="21"/>
                <w:szCs w:val="21"/>
                <w:highlight w:val="none"/>
              </w:rPr>
              <w:t>（二）如果出现同一投标人在多个合同段都排名第一，将确定该投标人为最高投标限价较高的合同段的第一中标候选人，同时失去在其他合同段的中标候选人资格，其他合同段的综合排名名次高者自动上升为中标候选人，如此类推。</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3.9.4 通过第一信封商务及技术文件评审的投标人少于 3 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pPr>
              <w:spacing w:line="360" w:lineRule="auto"/>
              <w:rPr>
                <w:rFonts w:hint="eastAsia"/>
                <w:color w:val="auto"/>
                <w:sz w:val="21"/>
                <w:szCs w:val="21"/>
                <w:highlight w:val="none"/>
              </w:rPr>
            </w:pPr>
            <w:r>
              <w:rPr>
                <w:rFonts w:hint="eastAsia"/>
                <w:color w:val="auto"/>
                <w:sz w:val="21"/>
                <w:szCs w:val="21"/>
                <w:highlight w:val="none"/>
              </w:rPr>
              <w:t>3.9.5 通过第一信封商务及技术文件评审的投标人在 3 个及以上的，招标人应当按照招标文件规定的程序进行第二信封报价文件开标；在对报价文件进行评审后，有效投标不足 3 个的，评标委员会可以否决全部投标。未否决全部投标的，评标委员会应当在评标报告中阐明理由并推荐中标候选人。</w:t>
            </w:r>
          </w:p>
          <w:p>
            <w:pPr>
              <w:spacing w:line="360" w:lineRule="auto"/>
              <w:rPr>
                <w:rFonts w:hint="eastAsia"/>
                <w:color w:val="auto"/>
                <w:sz w:val="21"/>
                <w:szCs w:val="21"/>
                <w:highlight w:val="none"/>
              </w:rPr>
            </w:pPr>
            <w:r>
              <w:rPr>
                <w:rFonts w:hint="eastAsia"/>
                <w:color w:val="auto"/>
                <w:sz w:val="21"/>
                <w:szCs w:val="21"/>
                <w:highlight w:val="none"/>
              </w:rPr>
              <w:t>3.9.6 如果发生无法确定推荐中标候选人的其它意外情况，评标委员会可建议招标人重新招标。</w:t>
            </w:r>
          </w:p>
          <w:p>
            <w:pPr>
              <w:spacing w:line="360" w:lineRule="auto"/>
              <w:rPr>
                <w:rFonts w:hint="eastAsia"/>
                <w:color w:val="auto"/>
                <w:sz w:val="21"/>
                <w:szCs w:val="21"/>
                <w:highlight w:val="none"/>
              </w:rPr>
            </w:pPr>
            <w:r>
              <w:rPr>
                <w:rFonts w:hint="eastAsia"/>
                <w:color w:val="auto"/>
                <w:sz w:val="21"/>
                <w:szCs w:val="21"/>
                <w:highlight w:val="none"/>
              </w:rPr>
              <w:t>3.9.7 本招标文件规定的否决投标条款包含在以下条款：</w:t>
            </w:r>
          </w:p>
          <w:p>
            <w:pPr>
              <w:spacing w:line="360" w:lineRule="auto"/>
              <w:rPr>
                <w:rFonts w:hint="eastAsia"/>
                <w:color w:val="auto"/>
                <w:sz w:val="21"/>
                <w:szCs w:val="21"/>
                <w:highlight w:val="none"/>
              </w:rPr>
            </w:pPr>
            <w:r>
              <w:rPr>
                <w:rFonts w:hint="eastAsia"/>
                <w:color w:val="auto"/>
                <w:sz w:val="21"/>
                <w:szCs w:val="21"/>
                <w:highlight w:val="none"/>
              </w:rPr>
              <w:t>（1）招标公告第3点 投标人资格要求；</w:t>
            </w:r>
          </w:p>
          <w:p>
            <w:pPr>
              <w:spacing w:line="360" w:lineRule="auto"/>
              <w:rPr>
                <w:rFonts w:hint="eastAsia"/>
                <w:color w:val="auto"/>
                <w:sz w:val="21"/>
                <w:szCs w:val="21"/>
                <w:highlight w:val="none"/>
              </w:rPr>
            </w:pPr>
            <w:r>
              <w:rPr>
                <w:rFonts w:hint="eastAsia"/>
                <w:color w:val="auto"/>
                <w:sz w:val="21"/>
                <w:szCs w:val="21"/>
                <w:highlight w:val="none"/>
              </w:rPr>
              <w:t>（2）投标人须知1.4.3项、1.4.4项、1.11.1项、1.12.2项、3.4.2项、3.5.11项、3.6.1项；</w:t>
            </w:r>
          </w:p>
          <w:p>
            <w:pPr>
              <w:spacing w:line="360" w:lineRule="auto"/>
              <w:rPr>
                <w:rFonts w:hint="eastAsia" w:ascii="宋体" w:hAnsi="宋体"/>
                <w:color w:val="auto"/>
                <w:sz w:val="21"/>
                <w:szCs w:val="21"/>
                <w:highlight w:val="none"/>
              </w:rPr>
            </w:pPr>
            <w:r>
              <w:rPr>
                <w:rFonts w:hint="eastAsia"/>
                <w:color w:val="auto"/>
                <w:sz w:val="21"/>
                <w:szCs w:val="21"/>
                <w:highlight w:val="none"/>
              </w:rPr>
              <w:t>（3）本评标办法否决条款。</w:t>
            </w:r>
          </w:p>
        </w:tc>
      </w:tr>
    </w:tbl>
    <w:p>
      <w:pPr>
        <w:spacing w:line="360" w:lineRule="auto"/>
        <w:rPr>
          <w:color w:val="auto"/>
          <w:highlight w:val="none"/>
        </w:rPr>
      </w:pPr>
    </w:p>
    <w:p>
      <w:pPr>
        <w:pStyle w:val="2"/>
        <w:rPr>
          <w:color w:val="auto"/>
          <w:highlight w:val="none"/>
        </w:rPr>
      </w:pPr>
    </w:p>
    <w:p>
      <w:r>
        <w:rPr>
          <w:rFonts w:ascii="宋体" w:hAnsi="宋体" w:eastAsia="宋体" w:cs="宋体"/>
          <w:b/>
          <w:bCs/>
          <w:i w:val="0"/>
          <w:color w:val="auto"/>
          <w:sz w:val="22"/>
          <w:szCs w:val="22"/>
          <w:highlight w:val="none"/>
        </w:rPr>
        <w:t>第三章 评标办法正文详见</w:t>
      </w:r>
      <w:r>
        <w:rPr>
          <w:rFonts w:ascii="宋体" w:hAnsi="宋体" w:eastAsia="宋体" w:cs="宋体"/>
          <w:b/>
          <w:bCs/>
          <w:i w:val="0"/>
          <w:color w:val="auto"/>
          <w:sz w:val="24"/>
          <w:szCs w:val="24"/>
          <w:highlight w:val="none"/>
        </w:rPr>
        <w:t>交通运输部《公路工程标准施工招标文件（2018年版）》</w:t>
      </w:r>
      <w:r>
        <w:rPr>
          <w:rFonts w:ascii="宋体" w:hAnsi="宋体" w:eastAsia="宋体" w:cs="宋体"/>
          <w:b/>
          <w:bCs/>
          <w:color w:val="auto"/>
          <w:sz w:val="24"/>
          <w:szCs w:val="24"/>
          <w:highlight w:val="none"/>
        </w:rPr>
        <w:t xml:space="preserve"> </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书宋简体">
    <w:altName w:val="宋体"/>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书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Comic Sans MS">
    <w:panose1 w:val="030F0702030302020204"/>
    <w:charset w:val="00"/>
    <w:family w:val="script"/>
    <w:pitch w:val="default"/>
    <w:sig w:usb0="00000687" w:usb1="00000013" w:usb2="00000000" w:usb3="00000000" w:csb0="2000009F" w:csb1="00000000"/>
  </w:font>
  <w:font w:name="华文细黑">
    <w:panose1 w:val="02010600040101010101"/>
    <w:charset w:val="86"/>
    <w:family w:val="auto"/>
    <w:pitch w:val="default"/>
    <w:sig w:usb0="00000287" w:usb1="080F0000" w:usb2="00000000" w:usb3="00000000" w:csb0="0004009F" w:csb1="DFD70000"/>
  </w:font>
  <w:font w:name="方正宋三简体">
    <w:altName w:val="宋体"/>
    <w:panose1 w:val="03000509000000000000"/>
    <w:charset w:val="86"/>
    <w:family w:val="script"/>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长城新魏碑体">
    <w:altName w:val="宋体"/>
    <w:panose1 w:val="0201060900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9682F"/>
    <w:rsid w:val="0BA9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4"/>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next w:val="1"/>
    <w:uiPriority w:val="0"/>
    <w:pPr>
      <w:spacing w:after="120" w:afterLines="0" w:afterAutospacing="0"/>
      <w:ind w:left="420" w:leftChars="200"/>
    </w:pPr>
    <w:rPr>
      <w:b/>
      <w:kern w:val="0"/>
      <w:sz w:val="28"/>
      <w:szCs w:val="20"/>
    </w:rPr>
  </w:style>
  <w:style w:type="paragraph" w:customStyle="1" w:styleId="5">
    <w:name w:val="前附表"/>
    <w:basedOn w:val="6"/>
    <w:uiPriority w:val="0"/>
    <w:pPr>
      <w:widowControl w:val="0"/>
      <w:spacing w:before="156" w:beforeLines="50" w:after="156" w:afterLines="50"/>
      <w:outlineLvl w:val="1"/>
    </w:pPr>
    <w:rPr>
      <w:rFonts w:cs="Times New Roman"/>
      <w:kern w:val="44"/>
      <w:sz w:val="32"/>
      <w:szCs w:val="32"/>
    </w:rPr>
  </w:style>
  <w:style w:type="paragraph" w:customStyle="1" w:styleId="6">
    <w:name w:val="章节内大标题"/>
    <w:uiPriority w:val="0"/>
    <w:pPr>
      <w:spacing w:line="440" w:lineRule="exact"/>
      <w:jc w:val="center"/>
      <w:outlineLvl w:val="0"/>
    </w:pPr>
    <w:rPr>
      <w:rFonts w:ascii="宋体" w:hAnsi="宋体" w:eastAsia="黑体" w:cs="宋体"/>
      <w:b/>
      <w:bCs/>
      <w:kern w:val="2"/>
      <w:sz w:val="28"/>
      <w:szCs w:val="22"/>
      <w:lang w:val="en-US" w:eastAsia="zh-CN" w:bidi="ar-SA"/>
    </w:rPr>
  </w:style>
  <w:style w:type="character" w:customStyle="1" w:styleId="7">
    <w:name w:val="正文文本 (2) + 10 pt37"/>
    <w:qFormat/>
    <w:uiPriority w:val="99"/>
    <w:rPr>
      <w:rFonts w:ascii="MingLiU" w:eastAsia="MingLiU" w:cs="MingLiU"/>
      <w:spacing w:val="0"/>
      <w:sz w:val="20"/>
      <w:szCs w:val="20"/>
      <w:u w:val="none"/>
    </w:rPr>
  </w:style>
  <w:style w:type="paragraph" w:customStyle="1" w:styleId="8">
    <w:name w:val="正文文本 (5)1"/>
    <w:basedOn w:val="1"/>
    <w:link w:val="9"/>
    <w:qFormat/>
    <w:uiPriority w:val="99"/>
    <w:pPr>
      <w:shd w:val="clear" w:color="auto" w:fill="FFFFFF"/>
      <w:spacing w:before="5100" w:line="240" w:lineRule="atLeast"/>
    </w:pPr>
    <w:rPr>
      <w:rFonts w:ascii="MingLiU" w:eastAsia="MingLiU" w:cs="Times New Roman"/>
      <w:color w:val="auto"/>
      <w:sz w:val="20"/>
      <w:szCs w:val="20"/>
    </w:rPr>
  </w:style>
  <w:style w:type="character" w:customStyle="1" w:styleId="9">
    <w:name w:val="正文文本 (5)_"/>
    <w:link w:val="8"/>
    <w:qFormat/>
    <w:locked/>
    <w:uiPriority w:val="99"/>
    <w:rPr>
      <w:rFonts w:ascii="MingLiU" w:eastAsia="MingLiU" w:cs="Times New Roman"/>
      <w:color w:val="auto"/>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2025-08-26T02:31:00Z</dcterms:created>
  <dc:creator>王磊</dc:creator>
  <cp:lastModifiedBy>王磊</cp:lastModifiedBy>
  <dcterms:modified xsi:type="dcterms:W3CDTF">2025-08-26T02:32:09Z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