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9E514">
      <w:pPr>
        <w:wordWrap w:val="0"/>
        <w:spacing w:line="360" w:lineRule="auto"/>
        <w:jc w:val="center"/>
        <w:rPr>
          <w:rFonts w:ascii="宋体" w:hAnsi="宋体" w:eastAsia="宋体" w:cs="宋体"/>
          <w:b/>
          <w:color w:val="auto"/>
          <w:sz w:val="48"/>
          <w:szCs w:val="48"/>
          <w:highlight w:val="none"/>
          <w:lang w:bidi="ar"/>
        </w:rPr>
      </w:pPr>
    </w:p>
    <w:p w14:paraId="3E1EB6F5">
      <w:pPr>
        <w:wordWrap w:val="0"/>
        <w:spacing w:line="360" w:lineRule="auto"/>
        <w:jc w:val="center"/>
        <w:rPr>
          <w:rFonts w:hint="eastAsia" w:ascii="宋体" w:hAnsi="宋体" w:eastAsia="宋体" w:cs="宋体"/>
          <w:b/>
          <w:color w:val="auto"/>
          <w:sz w:val="48"/>
          <w:szCs w:val="48"/>
          <w:highlight w:val="none"/>
          <w:lang w:eastAsia="zh-CN" w:bidi="ar"/>
        </w:rPr>
      </w:pPr>
      <w:r>
        <w:rPr>
          <w:rFonts w:hint="eastAsia" w:ascii="宋体" w:hAnsi="宋体" w:eastAsia="宋体" w:cs="宋体"/>
          <w:b/>
          <w:color w:val="auto"/>
          <w:sz w:val="48"/>
          <w:szCs w:val="48"/>
          <w:highlight w:val="none"/>
          <w:lang w:eastAsia="zh-CN" w:bidi="ar"/>
        </w:rPr>
        <w:t>赤坭镇岭西大道二期建设项目</w:t>
      </w:r>
    </w:p>
    <w:p w14:paraId="06F5DC54">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lang w:eastAsia="zh-CN" w:bidi="ar"/>
        </w:rPr>
        <w:t>勘察设计</w:t>
      </w:r>
    </w:p>
    <w:p w14:paraId="21122E80">
      <w:pPr>
        <w:wordWrap w:val="0"/>
        <w:spacing w:line="360" w:lineRule="auto"/>
        <w:rPr>
          <w:rFonts w:ascii="宋体" w:hAnsi="宋体" w:eastAsia="宋体" w:cs="宋体"/>
          <w:b/>
          <w:color w:val="auto"/>
          <w:spacing w:val="40"/>
          <w:sz w:val="44"/>
          <w:szCs w:val="44"/>
          <w:highlight w:val="none"/>
        </w:rPr>
      </w:pPr>
    </w:p>
    <w:p w14:paraId="518EAFE1">
      <w:pPr>
        <w:wordWrap w:val="0"/>
        <w:spacing w:line="360" w:lineRule="auto"/>
        <w:jc w:val="left"/>
        <w:rPr>
          <w:rFonts w:ascii="宋体" w:hAnsi="宋体" w:eastAsia="宋体" w:cs="宋体"/>
          <w:color w:val="auto"/>
          <w:sz w:val="36"/>
          <w:szCs w:val="36"/>
          <w:highlight w:val="none"/>
          <w:u w:val="single"/>
          <w:lang w:bidi="ar"/>
        </w:rPr>
      </w:pPr>
    </w:p>
    <w:p w14:paraId="69FE1A3C">
      <w:pPr>
        <w:wordWrap w:val="0"/>
        <w:spacing w:line="360" w:lineRule="auto"/>
        <w:jc w:val="left"/>
        <w:rPr>
          <w:rFonts w:ascii="宋体" w:hAnsi="宋体" w:eastAsia="宋体" w:cs="宋体"/>
          <w:color w:val="auto"/>
          <w:sz w:val="36"/>
          <w:szCs w:val="36"/>
          <w:highlight w:val="none"/>
          <w:u w:val="single"/>
          <w:lang w:bidi="ar"/>
        </w:rPr>
      </w:pPr>
    </w:p>
    <w:p w14:paraId="54416549">
      <w:pPr>
        <w:wordWrap w:val="0"/>
        <w:spacing w:line="360" w:lineRule="auto"/>
        <w:jc w:val="left"/>
        <w:rPr>
          <w:rFonts w:ascii="宋体" w:hAnsi="宋体" w:eastAsia="宋体" w:cs="宋体"/>
          <w:color w:val="auto"/>
          <w:sz w:val="36"/>
          <w:szCs w:val="36"/>
          <w:highlight w:val="none"/>
          <w:u w:val="single"/>
          <w:lang w:bidi="ar"/>
        </w:rPr>
      </w:pPr>
    </w:p>
    <w:p w14:paraId="6BD7742A">
      <w:pPr>
        <w:wordWrap w:val="0"/>
        <w:spacing w:line="360" w:lineRule="auto"/>
        <w:jc w:val="left"/>
        <w:rPr>
          <w:rFonts w:ascii="宋体" w:hAnsi="宋体" w:eastAsia="宋体" w:cs="宋体"/>
          <w:color w:val="auto"/>
          <w:sz w:val="36"/>
          <w:szCs w:val="36"/>
          <w:highlight w:val="none"/>
          <w:u w:val="single"/>
        </w:rPr>
      </w:pPr>
    </w:p>
    <w:p w14:paraId="43905682">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14:paraId="13539EC2">
      <w:pPr>
        <w:wordWrap w:val="0"/>
        <w:spacing w:line="360" w:lineRule="auto"/>
        <w:rPr>
          <w:rFonts w:ascii="宋体" w:hAnsi="宋体" w:eastAsia="宋体" w:cs="宋体"/>
          <w:color w:val="auto"/>
          <w:sz w:val="32"/>
          <w:szCs w:val="32"/>
          <w:highlight w:val="none"/>
        </w:rPr>
      </w:pPr>
    </w:p>
    <w:p w14:paraId="09FE30AD">
      <w:pPr>
        <w:wordWrap w:val="0"/>
        <w:spacing w:line="360" w:lineRule="auto"/>
        <w:rPr>
          <w:rFonts w:ascii="宋体" w:hAnsi="宋体" w:eastAsia="宋体" w:cs="宋体"/>
          <w:color w:val="auto"/>
          <w:sz w:val="52"/>
          <w:szCs w:val="52"/>
          <w:highlight w:val="none"/>
        </w:rPr>
      </w:pPr>
    </w:p>
    <w:p w14:paraId="779E1929">
      <w:pPr>
        <w:wordWrap w:val="0"/>
        <w:spacing w:line="360" w:lineRule="auto"/>
        <w:rPr>
          <w:rFonts w:ascii="宋体" w:hAnsi="宋体" w:eastAsia="宋体" w:cs="宋体"/>
          <w:color w:val="auto"/>
          <w:sz w:val="52"/>
          <w:szCs w:val="52"/>
          <w:highlight w:val="none"/>
          <w:lang w:bidi="ar"/>
        </w:rPr>
      </w:pPr>
    </w:p>
    <w:p w14:paraId="07384291">
      <w:pPr>
        <w:wordWrap w:val="0"/>
        <w:spacing w:line="360" w:lineRule="auto"/>
        <w:rPr>
          <w:rFonts w:ascii="宋体" w:hAnsi="宋体" w:eastAsia="宋体" w:cs="宋体"/>
          <w:color w:val="auto"/>
          <w:sz w:val="52"/>
          <w:szCs w:val="52"/>
          <w:highlight w:val="none"/>
          <w:lang w:bidi="ar"/>
        </w:rPr>
      </w:pPr>
    </w:p>
    <w:p w14:paraId="145E7425">
      <w:pPr>
        <w:wordWrap w:val="0"/>
        <w:spacing w:line="360" w:lineRule="auto"/>
        <w:rPr>
          <w:rFonts w:ascii="宋体" w:hAnsi="宋体" w:eastAsia="宋体" w:cs="宋体"/>
          <w:color w:val="auto"/>
          <w:sz w:val="52"/>
          <w:szCs w:val="52"/>
          <w:highlight w:val="none"/>
          <w:lang w:bidi="ar"/>
        </w:rPr>
      </w:pPr>
    </w:p>
    <w:p w14:paraId="069A5D27">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kern w:val="2"/>
          <w:sz w:val="32"/>
          <w:szCs w:val="32"/>
          <w:highlight w:val="none"/>
          <w:u w:val="single"/>
          <w:shd w:val="clear"/>
          <w:lang w:bidi="ar"/>
        </w:rPr>
        <w:t>广州市花都区</w:t>
      </w:r>
      <w:r>
        <w:rPr>
          <w:rFonts w:hint="eastAsia" w:ascii="宋体" w:hAnsi="宋体" w:eastAsia="宋体" w:cs="宋体"/>
          <w:color w:val="auto"/>
          <w:kern w:val="2"/>
          <w:sz w:val="32"/>
          <w:szCs w:val="32"/>
          <w:highlight w:val="none"/>
          <w:u w:val="single"/>
          <w:shd w:val="clear"/>
          <w:lang w:eastAsia="zh-CN" w:bidi="ar"/>
        </w:rPr>
        <w:t>赤坭</w:t>
      </w:r>
      <w:r>
        <w:rPr>
          <w:rFonts w:hint="eastAsia" w:ascii="宋体" w:hAnsi="宋体" w:eastAsia="宋体" w:cs="宋体"/>
          <w:color w:val="auto"/>
          <w:kern w:val="2"/>
          <w:sz w:val="32"/>
          <w:szCs w:val="32"/>
          <w:highlight w:val="none"/>
          <w:u w:val="single"/>
          <w:shd w:val="clear"/>
          <w:lang w:bidi="ar"/>
        </w:rPr>
        <w:t>镇人民政府</w:t>
      </w:r>
    </w:p>
    <w:p w14:paraId="6AF44D00">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kern w:val="2"/>
          <w:sz w:val="32"/>
          <w:szCs w:val="32"/>
          <w:highlight w:val="none"/>
          <w:u w:val="single"/>
          <w:shd w:val="clear"/>
          <w:lang w:bidi="ar"/>
        </w:rPr>
        <w:t>广州</w:t>
      </w:r>
      <w:r>
        <w:rPr>
          <w:rFonts w:hint="eastAsia" w:ascii="宋体" w:hAnsi="宋体" w:eastAsia="宋体" w:cs="宋体"/>
          <w:color w:val="auto"/>
          <w:kern w:val="2"/>
          <w:sz w:val="32"/>
          <w:szCs w:val="32"/>
          <w:highlight w:val="none"/>
          <w:u w:val="single"/>
          <w:shd w:val="clear"/>
          <w:lang w:eastAsia="zh-CN" w:bidi="ar"/>
        </w:rPr>
        <w:t>弘泽建设管理有限公司</w:t>
      </w:r>
    </w:p>
    <w:p w14:paraId="393ADCCE">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u w:val="single"/>
          <w:lang w:val="en-US" w:eastAsia="zh-CN" w:bidi="ar"/>
        </w:rPr>
        <w:t>8</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月</w:t>
      </w:r>
    </w:p>
    <w:p w14:paraId="0255EDA3">
      <w:pPr>
        <w:wordWrap w:val="0"/>
        <w:spacing w:line="360" w:lineRule="auto"/>
        <w:rPr>
          <w:rFonts w:ascii="Calibri" w:hAnsi="Calibri" w:eastAsia="宋体" w:cs="Times New Roman"/>
          <w:b/>
          <w:color w:val="auto"/>
          <w:sz w:val="36"/>
          <w:szCs w:val="36"/>
          <w:highlight w:val="none"/>
        </w:rPr>
        <w:sectPr>
          <w:footerReference r:id="rId3" w:type="default"/>
          <w:type w:val="continuous"/>
          <w:pgSz w:w="11905" w:h="16838"/>
          <w:pgMar w:top="1440" w:right="1800" w:bottom="1440" w:left="1800" w:header="720" w:footer="720" w:gutter="0"/>
          <w:pgNumType w:start="0"/>
          <w:cols w:space="425" w:num="1"/>
          <w:titlePg/>
          <w:docGrid w:type="lines" w:linePitch="312" w:charSpace="0"/>
        </w:sectPr>
      </w:pPr>
    </w:p>
    <w:p w14:paraId="0DECAC8E">
      <w:pPr>
        <w:widowControl/>
        <w:wordWrap w:val="0"/>
        <w:jc w:val="left"/>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rPr>
        <w:br w:type="page"/>
      </w:r>
    </w:p>
    <w:p w14:paraId="4BA46D8C">
      <w:pPr>
        <w:wordWrap w:val="0"/>
        <w:spacing w:after="120"/>
        <w:ind w:firstLine="200" w:firstLineChars="100"/>
        <w:rPr>
          <w:rFonts w:ascii="Times New Roman" w:hAnsi="Times New Roman" w:eastAsia="宋体" w:cs="Times New Roman"/>
          <w:color w:val="auto"/>
          <w:kern w:val="0"/>
          <w:sz w:val="20"/>
          <w:szCs w:val="20"/>
          <w:highlight w:val="none"/>
        </w:rPr>
      </w:pPr>
    </w:p>
    <w:p w14:paraId="7E0B62E8">
      <w:pPr>
        <w:keepNext/>
        <w:keepLines/>
        <w:widowControl/>
        <w:wordWrap w:val="0"/>
        <w:spacing w:before="480" w:line="276"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目 录</w:t>
      </w:r>
    </w:p>
    <w:p w14:paraId="15DE5053">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rFonts w:hint="eastAsia" w:ascii="宋体" w:hAnsi="宋体" w:cs="宋体"/>
          <w:bCs w:val="0"/>
          <w:caps w:val="0"/>
          <w:color w:val="auto"/>
          <w:sz w:val="24"/>
          <w:szCs w:val="24"/>
          <w:highlight w:val="none"/>
        </w:rPr>
        <w:fldChar w:fldCharType="begin"/>
      </w:r>
      <w:r>
        <w:rPr>
          <w:rFonts w:hint="eastAsia" w:ascii="宋体" w:hAnsi="宋体" w:cs="宋体"/>
          <w:bCs w:val="0"/>
          <w:caps w:val="0"/>
          <w:color w:val="auto"/>
          <w:sz w:val="24"/>
          <w:szCs w:val="24"/>
          <w:highlight w:val="none"/>
        </w:rPr>
        <w:instrText xml:space="preserve"> TOC \o "1-3" \h \z \u </w:instrText>
      </w:r>
      <w:r>
        <w:rPr>
          <w:rFonts w:hint="eastAsia" w:ascii="宋体" w:hAnsi="宋体" w:cs="宋体"/>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"_Toc193357935" </w:instrText>
      </w:r>
      <w:r>
        <w:rPr>
          <w:color w:val="auto"/>
          <w:highlight w:val="none"/>
        </w:rPr>
        <w:fldChar w:fldCharType="separate"/>
      </w:r>
      <w:r>
        <w:rPr>
          <w:rStyle w:val="52"/>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_Toc193357935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CBC4551">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"_Toc193357936" </w:instrText>
      </w:r>
      <w:r>
        <w:rPr>
          <w:color w:val="auto"/>
          <w:highlight w:val="none"/>
        </w:rPr>
        <w:fldChar w:fldCharType="separate"/>
      </w:r>
      <w:r>
        <w:rPr>
          <w:rStyle w:val="52"/>
          <w:color w:val="auto"/>
          <w:highlight w:val="none"/>
          <w:lang w:bidi="ar"/>
        </w:rPr>
        <w:t>第一章  招标公告</w:t>
      </w:r>
      <w:r>
        <w:rPr>
          <w:color w:val="auto"/>
          <w:highlight w:val="none"/>
        </w:rPr>
        <w:tab/>
      </w:r>
      <w:r>
        <w:rPr>
          <w:color w:val="auto"/>
          <w:highlight w:val="none"/>
        </w:rPr>
        <w:fldChar w:fldCharType="begin"/>
      </w:r>
      <w:r>
        <w:rPr>
          <w:color w:val="auto"/>
          <w:highlight w:val="none"/>
        </w:rPr>
        <w:instrText xml:space="preserve"> PAGEREF _Toc193357936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DBBDAA4">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"_Toc193357937" </w:instrText>
      </w:r>
      <w:r>
        <w:rPr>
          <w:color w:val="auto"/>
          <w:highlight w:val="none"/>
        </w:rPr>
        <w:fldChar w:fldCharType="separate"/>
      </w:r>
      <w:r>
        <w:rPr>
          <w:rStyle w:val="52"/>
          <w:color w:val="auto"/>
          <w:highlight w:val="none"/>
          <w:lang w:bidi="ar"/>
        </w:rPr>
        <w:t>第二章  投标人须知</w:t>
      </w:r>
      <w:r>
        <w:rPr>
          <w:color w:val="auto"/>
          <w:highlight w:val="none"/>
        </w:rPr>
        <w:tab/>
      </w:r>
      <w:r>
        <w:rPr>
          <w:color w:val="auto"/>
          <w:highlight w:val="none"/>
        </w:rPr>
        <w:fldChar w:fldCharType="begin"/>
      </w:r>
      <w:r>
        <w:rPr>
          <w:color w:val="auto"/>
          <w:highlight w:val="none"/>
        </w:rPr>
        <w:instrText xml:space="preserve"> PAGEREF _Toc193357937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ABF917C">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"_Toc193358002" </w:instrText>
      </w:r>
      <w:r>
        <w:rPr>
          <w:color w:val="auto"/>
          <w:highlight w:val="none"/>
        </w:rPr>
        <w:fldChar w:fldCharType="separate"/>
      </w:r>
      <w:r>
        <w:rPr>
          <w:rStyle w:val="52"/>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_Toc193358002 \h </w:instrText>
      </w:r>
      <w:r>
        <w:rPr>
          <w:color w:val="auto"/>
          <w:highlight w:val="none"/>
        </w:rPr>
        <w:fldChar w:fldCharType="separate"/>
      </w:r>
      <w:r>
        <w:rPr>
          <w:color w:val="auto"/>
          <w:highlight w:val="none"/>
        </w:rPr>
        <w:t>3</w:t>
      </w:r>
      <w:r>
        <w:rPr>
          <w:rFonts w:hint="eastAsia"/>
          <w:color w:val="auto"/>
          <w:highlight w:val="none"/>
          <w:lang w:val="en-US" w:eastAsia="zh-CN"/>
        </w:rPr>
        <w:t>7</w:t>
      </w:r>
      <w:r>
        <w:rPr>
          <w:color w:val="auto"/>
          <w:highlight w:val="none"/>
        </w:rPr>
        <w:fldChar w:fldCharType="end"/>
      </w:r>
      <w:r>
        <w:rPr>
          <w:color w:val="auto"/>
          <w:highlight w:val="none"/>
        </w:rPr>
        <w:fldChar w:fldCharType="end"/>
      </w:r>
      <w:bookmarkStart w:id="272" w:name="_GoBack"/>
      <w:bookmarkEnd w:id="272"/>
    </w:p>
    <w:p w14:paraId="423CF599">
      <w:pPr>
        <w:pStyle w:val="32"/>
        <w:tabs>
          <w:tab w:val="right" w:leader="dot" w:pos="8289"/>
        </w:tabs>
        <w:wordWrap w:val="0"/>
        <w:rPr>
          <w:rFonts w:hint="eastAsia"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"_Toc193358019" </w:instrText>
      </w:r>
      <w:r>
        <w:rPr>
          <w:color w:val="auto"/>
          <w:highlight w:val="none"/>
        </w:rPr>
        <w:fldChar w:fldCharType="separate"/>
      </w:r>
      <w:r>
        <w:rPr>
          <w:rStyle w:val="52"/>
          <w:color w:val="auto"/>
          <w:highlight w:val="none"/>
        </w:rPr>
        <w:t>第四章  合同条款及格式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6</w:t>
      </w:r>
    </w:p>
    <w:p w14:paraId="37A6C739">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"_Toc193358020" </w:instrText>
      </w:r>
      <w:r>
        <w:rPr>
          <w:color w:val="auto"/>
          <w:highlight w:val="none"/>
        </w:rPr>
        <w:fldChar w:fldCharType="separate"/>
      </w:r>
      <w:r>
        <w:rPr>
          <w:rStyle w:val="52"/>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_Toc193358020 \h </w:instrText>
      </w:r>
      <w:r>
        <w:rPr>
          <w:color w:val="auto"/>
          <w:highlight w:val="none"/>
        </w:rPr>
        <w:fldChar w:fldCharType="separate"/>
      </w:r>
      <w:r>
        <w:rPr>
          <w:color w:val="auto"/>
          <w:highlight w:val="none"/>
        </w:rPr>
        <w:t>5</w:t>
      </w:r>
      <w:r>
        <w:rPr>
          <w:rFonts w:hint="eastAsia"/>
          <w:color w:val="auto"/>
          <w:highlight w:val="none"/>
          <w:lang w:val="en-US" w:eastAsia="zh-CN"/>
        </w:rPr>
        <w:t>7</w:t>
      </w:r>
      <w:r>
        <w:rPr>
          <w:color w:val="auto"/>
          <w:highlight w:val="none"/>
        </w:rPr>
        <w:fldChar w:fldCharType="end"/>
      </w:r>
      <w:r>
        <w:rPr>
          <w:color w:val="auto"/>
          <w:highlight w:val="none"/>
        </w:rPr>
        <w:fldChar w:fldCharType="end"/>
      </w:r>
    </w:p>
    <w:p w14:paraId="1435AAFA">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"_Toc193358021" </w:instrText>
      </w:r>
      <w:r>
        <w:rPr>
          <w:color w:val="auto"/>
          <w:highlight w:val="none"/>
        </w:rPr>
        <w:fldChar w:fldCharType="separate"/>
      </w:r>
      <w:r>
        <w:rPr>
          <w:rStyle w:val="52"/>
          <w:color w:val="auto"/>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_Toc193358021 \h </w:instrText>
      </w:r>
      <w:r>
        <w:rPr>
          <w:color w:val="auto"/>
          <w:highlight w:val="none"/>
        </w:rPr>
        <w:fldChar w:fldCharType="separate"/>
      </w:r>
      <w:r>
        <w:rPr>
          <w:color w:val="auto"/>
          <w:highlight w:val="none"/>
        </w:rPr>
        <w:t>5</w:t>
      </w:r>
      <w:r>
        <w:rPr>
          <w:rFonts w:hint="eastAsia"/>
          <w:color w:val="auto"/>
          <w:highlight w:val="none"/>
          <w:lang w:val="en-US" w:eastAsia="zh-CN"/>
        </w:rPr>
        <w:t>7</w:t>
      </w:r>
      <w:r>
        <w:rPr>
          <w:color w:val="auto"/>
          <w:highlight w:val="none"/>
        </w:rPr>
        <w:fldChar w:fldCharType="end"/>
      </w:r>
      <w:r>
        <w:rPr>
          <w:color w:val="auto"/>
          <w:highlight w:val="none"/>
        </w:rPr>
        <w:fldChar w:fldCharType="end"/>
      </w:r>
    </w:p>
    <w:p w14:paraId="69ED076B">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"_Toc193358022" </w:instrText>
      </w:r>
      <w:r>
        <w:rPr>
          <w:color w:val="auto"/>
          <w:highlight w:val="none"/>
        </w:rPr>
        <w:fldChar w:fldCharType="separate"/>
      </w:r>
      <w:r>
        <w:rPr>
          <w:rStyle w:val="52"/>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_Toc193358022 \h </w:instrText>
      </w:r>
      <w:r>
        <w:rPr>
          <w:color w:val="auto"/>
          <w:highlight w:val="none"/>
        </w:rPr>
        <w:fldChar w:fldCharType="separate"/>
      </w:r>
      <w:r>
        <w:rPr>
          <w:color w:val="auto"/>
          <w:highlight w:val="none"/>
        </w:rPr>
        <w:t>6</w:t>
      </w:r>
      <w:r>
        <w:rPr>
          <w:rFonts w:hint="eastAsia"/>
          <w:color w:val="auto"/>
          <w:highlight w:val="none"/>
          <w:lang w:val="en-US" w:eastAsia="zh-CN"/>
        </w:rPr>
        <w:t>8</w:t>
      </w:r>
      <w:r>
        <w:rPr>
          <w:color w:val="auto"/>
          <w:highlight w:val="none"/>
        </w:rPr>
        <w:fldChar w:fldCharType="end"/>
      </w:r>
      <w:r>
        <w:rPr>
          <w:color w:val="auto"/>
          <w:highlight w:val="none"/>
        </w:rPr>
        <w:fldChar w:fldCharType="end"/>
      </w:r>
    </w:p>
    <w:p w14:paraId="45428277">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"_Toc193358023" </w:instrText>
      </w:r>
      <w:r>
        <w:rPr>
          <w:color w:val="auto"/>
          <w:highlight w:val="none"/>
        </w:rPr>
        <w:fldChar w:fldCharType="separate"/>
      </w:r>
      <w:r>
        <w:rPr>
          <w:rStyle w:val="52"/>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_Toc193358023 \h </w:instrText>
      </w:r>
      <w:r>
        <w:rPr>
          <w:color w:val="auto"/>
          <w:highlight w:val="none"/>
        </w:rPr>
        <w:fldChar w:fldCharType="separate"/>
      </w:r>
      <w:r>
        <w:rPr>
          <w:color w:val="auto"/>
          <w:highlight w:val="none"/>
        </w:rPr>
        <w:t>6</w:t>
      </w:r>
      <w:r>
        <w:rPr>
          <w:rFonts w:hint="eastAsia"/>
          <w:color w:val="auto"/>
          <w:highlight w:val="none"/>
          <w:lang w:val="en-US" w:eastAsia="zh-CN"/>
        </w:rPr>
        <w:t>8</w:t>
      </w:r>
      <w:r>
        <w:rPr>
          <w:color w:val="auto"/>
          <w:highlight w:val="none"/>
        </w:rPr>
        <w:fldChar w:fldCharType="end"/>
      </w:r>
      <w:r>
        <w:rPr>
          <w:color w:val="auto"/>
          <w:highlight w:val="none"/>
        </w:rPr>
        <w:fldChar w:fldCharType="end"/>
      </w:r>
    </w:p>
    <w:p w14:paraId="2393ECF8">
      <w:pPr>
        <w:wordWrap w:val="0"/>
        <w:spacing w:line="360" w:lineRule="auto"/>
        <w:rPr>
          <w:rFonts w:ascii="宋体" w:hAnsi="宋体" w:eastAsia="宋体" w:cs="宋体"/>
          <w:color w:val="auto"/>
          <w:kern w:val="0"/>
          <w:szCs w:val="21"/>
          <w:highlight w:val="none"/>
        </w:rPr>
      </w:pPr>
      <w:r>
        <w:rPr>
          <w:rFonts w:hint="eastAsia" w:ascii="宋体" w:hAnsi="宋体" w:eastAsia="宋体" w:cs="宋体"/>
          <w:bCs/>
          <w:color w:val="auto"/>
          <w:sz w:val="24"/>
          <w:szCs w:val="24"/>
          <w:highlight w:val="none"/>
          <w:lang w:val="zh-CN"/>
        </w:rPr>
        <w:fldChar w:fldCharType="end"/>
      </w:r>
    </w:p>
    <w:p w14:paraId="7CF6A27C">
      <w:pPr>
        <w:wordWrap w:val="0"/>
        <w:autoSpaceDE w:val="0"/>
        <w:autoSpaceDN w:val="0"/>
        <w:spacing w:line="2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14:paraId="1CC45853">
      <w:pPr>
        <w:pStyle w:val="3"/>
        <w:rPr>
          <w:color w:val="auto"/>
          <w:highlight w:val="none"/>
        </w:rPr>
      </w:pPr>
      <w:bookmarkStart w:id="0" w:name="_Toc111186720"/>
      <w:bookmarkStart w:id="1" w:name="_Toc193357935"/>
      <w:r>
        <w:rPr>
          <w:rFonts w:hint="eastAsia"/>
          <w:color w:val="auto"/>
          <w:highlight w:val="none"/>
        </w:rPr>
        <w:t>第一卷</w:t>
      </w:r>
      <w:bookmarkEnd w:id="0"/>
      <w:bookmarkEnd w:id="1"/>
    </w:p>
    <w:p w14:paraId="6FD984AC">
      <w:pPr>
        <w:widowControl/>
        <w:wordWrap w:val="0"/>
        <w:jc w:val="left"/>
        <w:rPr>
          <w:rFonts w:ascii="宋体" w:hAnsi="宋体" w:eastAsia="宋体" w:cs="宋体"/>
          <w:color w:val="auto"/>
          <w:spacing w:val="2"/>
          <w:kern w:val="0"/>
          <w:sz w:val="44"/>
          <w:szCs w:val="44"/>
          <w:highlight w:val="none"/>
        </w:rPr>
        <w:sectPr>
          <w:footerReference r:id="rId4" w:type="default"/>
          <w:type w:val="continuous"/>
          <w:pgSz w:w="11905" w:h="16838"/>
          <w:pgMar w:top="1440" w:right="1803" w:bottom="1440" w:left="1803" w:header="720" w:footer="720" w:gutter="0"/>
          <w:pgNumType w:start="0"/>
          <w:cols w:space="720" w:num="1"/>
          <w:titlePg/>
          <w:docGrid w:linePitch="286" w:charSpace="0"/>
        </w:sectPr>
      </w:pPr>
    </w:p>
    <w:p w14:paraId="62CA7373">
      <w:pPr>
        <w:pStyle w:val="3"/>
        <w:rPr>
          <w:color w:val="auto"/>
          <w:highlight w:val="none"/>
          <w:lang w:bidi="ar"/>
        </w:rPr>
      </w:pPr>
      <w:bookmarkStart w:id="2" w:name="_Toc193357936"/>
      <w:bookmarkStart w:id="3" w:name="_Toc111186721"/>
      <w:r>
        <w:rPr>
          <w:rFonts w:hint="eastAsia"/>
          <w:color w:val="auto"/>
          <w:highlight w:val="none"/>
          <w:lang w:bidi="ar"/>
        </w:rPr>
        <w:t>第一章  招标公告</w:t>
      </w:r>
      <w:bookmarkEnd w:id="2"/>
      <w:bookmarkEnd w:id="3"/>
    </w:p>
    <w:p w14:paraId="0BBBF3B3">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4480C33D">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14:paraId="1038B11B">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0B3E7924">
      <w:pPr>
        <w:pStyle w:val="3"/>
        <w:rPr>
          <w:color w:val="auto"/>
          <w:highlight w:val="none"/>
          <w:lang w:bidi="ar"/>
        </w:rPr>
      </w:pPr>
      <w:bookmarkStart w:id="4" w:name="_Toc193357937"/>
      <w:bookmarkStart w:id="5" w:name="_Toc111186722"/>
      <w:r>
        <w:rPr>
          <w:rFonts w:hint="eastAsia"/>
          <w:color w:val="auto"/>
          <w:highlight w:val="none"/>
          <w:lang w:bidi="ar"/>
        </w:rPr>
        <w:t>第二章  投标人须知</w:t>
      </w:r>
      <w:bookmarkEnd w:id="4"/>
      <w:bookmarkEnd w:id="5"/>
    </w:p>
    <w:p w14:paraId="76BA1B56">
      <w:pPr>
        <w:pStyle w:val="4"/>
        <w:wordWrap w:val="0"/>
        <w:rPr>
          <w:color w:val="auto"/>
          <w:highlight w:val="none"/>
          <w:lang w:bidi="ar"/>
        </w:rPr>
      </w:pPr>
      <w:bookmarkStart w:id="6" w:name="_Toc193357938"/>
      <w:bookmarkStart w:id="7" w:name="_Toc26350"/>
      <w:bookmarkStart w:id="8" w:name="_Toc111186723"/>
      <w:r>
        <w:rPr>
          <w:rFonts w:hint="eastAsia"/>
          <w:color w:val="auto"/>
          <w:highlight w:val="none"/>
          <w:lang w:bidi="ar"/>
        </w:rPr>
        <w:t>投标人须知前附表</w:t>
      </w:r>
      <w:bookmarkEnd w:id="6"/>
      <w:bookmarkEnd w:id="7"/>
      <w:bookmarkEnd w:id="8"/>
    </w:p>
    <w:tbl>
      <w:tblPr>
        <w:tblStyle w:val="45"/>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07"/>
        <w:gridCol w:w="5925"/>
      </w:tblGrid>
      <w:tr w14:paraId="5295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14:paraId="5CB7BA76">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6" w:type="pct"/>
            <w:vAlign w:val="center"/>
          </w:tcPr>
          <w:p w14:paraId="0F792367">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4" w:type="pct"/>
            <w:vAlign w:val="center"/>
          </w:tcPr>
          <w:p w14:paraId="354FD46D">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5E3B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E2B80A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066" w:type="pct"/>
            <w:vAlign w:val="center"/>
          </w:tcPr>
          <w:p w14:paraId="25F386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4" w:type="pct"/>
            <w:vAlign w:val="center"/>
          </w:tcPr>
          <w:p w14:paraId="0A72EBB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广州市花都区</w:t>
            </w:r>
            <w:r>
              <w:rPr>
                <w:rFonts w:hint="eastAsia" w:ascii="宋体" w:hAnsi="宋体" w:eastAsia="宋体" w:cs="宋体"/>
                <w:color w:val="auto"/>
                <w:szCs w:val="21"/>
                <w:highlight w:val="none"/>
                <w:u w:val="single"/>
                <w:lang w:eastAsia="zh-CN"/>
              </w:rPr>
              <w:t>赤坭</w:t>
            </w:r>
            <w:r>
              <w:rPr>
                <w:rFonts w:hint="eastAsia" w:ascii="宋体" w:hAnsi="宋体" w:eastAsia="宋体" w:cs="宋体"/>
                <w:color w:val="auto"/>
                <w:szCs w:val="21"/>
                <w:highlight w:val="none"/>
                <w:u w:val="single"/>
              </w:rPr>
              <w:t>镇人民政府</w:t>
            </w:r>
          </w:p>
          <w:p w14:paraId="75C9C5D6">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广州市花都区</w:t>
            </w:r>
            <w:r>
              <w:rPr>
                <w:rFonts w:hint="eastAsia" w:ascii="宋体" w:hAnsi="宋体" w:eastAsia="宋体" w:cs="宋体"/>
                <w:color w:val="auto"/>
                <w:szCs w:val="21"/>
                <w:highlight w:val="none"/>
                <w:u w:val="single"/>
                <w:lang w:val="en-US" w:eastAsia="zh-CN"/>
              </w:rPr>
              <w:t>赤坭镇广源路8号</w:t>
            </w:r>
          </w:p>
          <w:p w14:paraId="58B7945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何</w:t>
            </w:r>
            <w:r>
              <w:rPr>
                <w:rFonts w:hint="eastAsia" w:ascii="宋体" w:hAnsi="宋体" w:eastAsia="宋体" w:cs="宋体"/>
                <w:color w:val="auto"/>
                <w:szCs w:val="21"/>
                <w:highlight w:val="none"/>
                <w:u w:val="single"/>
              </w:rPr>
              <w:t>工</w:t>
            </w:r>
          </w:p>
          <w:p w14:paraId="15C268CF">
            <w:p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020-86841842</w:t>
            </w:r>
          </w:p>
        </w:tc>
      </w:tr>
      <w:tr w14:paraId="534E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B6562C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066" w:type="pct"/>
            <w:vAlign w:val="center"/>
          </w:tcPr>
          <w:p w14:paraId="6B8BA75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4" w:type="pct"/>
            <w:vAlign w:val="center"/>
          </w:tcPr>
          <w:p w14:paraId="679E9049">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广州弘泽建设管理有限公司</w:t>
            </w:r>
          </w:p>
          <w:p w14:paraId="491233D5">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广州市花都区迎宾大道51号公益商务小区4栋101房</w:t>
            </w:r>
          </w:p>
          <w:p w14:paraId="5A5B611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严</w:t>
            </w:r>
            <w:r>
              <w:rPr>
                <w:rFonts w:hint="eastAsia" w:ascii="宋体" w:hAnsi="宋体" w:eastAsia="宋体" w:cs="宋体"/>
                <w:color w:val="auto"/>
                <w:szCs w:val="21"/>
                <w:highlight w:val="none"/>
                <w:u w:val="single"/>
              </w:rPr>
              <w:t>工</w:t>
            </w:r>
          </w:p>
          <w:p w14:paraId="7EA9CDEE">
            <w:p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w:t>
            </w:r>
            <w:r>
              <w:rPr>
                <w:rFonts w:hint="eastAsia" w:ascii="宋体" w:hAnsi="宋体" w:eastAsia="宋体" w:cs="宋体"/>
                <w:color w:val="auto"/>
                <w:szCs w:val="21"/>
                <w:highlight w:val="none"/>
                <w:u w:val="single"/>
                <w:lang w:val="en-US" w:eastAsia="zh-CN"/>
              </w:rPr>
              <w:t>36997068</w:t>
            </w:r>
          </w:p>
        </w:tc>
      </w:tr>
      <w:tr w14:paraId="0966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7D4E14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066" w:type="pct"/>
            <w:vAlign w:val="center"/>
          </w:tcPr>
          <w:p w14:paraId="3CD2C85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4" w:type="pct"/>
            <w:vAlign w:val="center"/>
          </w:tcPr>
          <w:p w14:paraId="7D5D8FE4">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赤坭镇岭西大道二期建设项目勘察设计</w:t>
            </w:r>
          </w:p>
        </w:tc>
      </w:tr>
      <w:tr w14:paraId="2F09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E94FF7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066" w:type="pct"/>
            <w:vAlign w:val="center"/>
          </w:tcPr>
          <w:p w14:paraId="2519C56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4" w:type="pct"/>
            <w:vAlign w:val="center"/>
          </w:tcPr>
          <w:p w14:paraId="68B6272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4713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660E0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066" w:type="pct"/>
            <w:vAlign w:val="center"/>
          </w:tcPr>
          <w:p w14:paraId="6E344A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4" w:type="pct"/>
            <w:vAlign w:val="center"/>
          </w:tcPr>
          <w:p w14:paraId="671260A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65ED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F96E76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w:t>
            </w:r>
          </w:p>
        </w:tc>
        <w:tc>
          <w:tcPr>
            <w:tcW w:w="1066" w:type="pct"/>
            <w:vAlign w:val="center"/>
          </w:tcPr>
          <w:p w14:paraId="3B38767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4" w:type="pct"/>
            <w:vAlign w:val="center"/>
          </w:tcPr>
          <w:p w14:paraId="0026A75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1589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504C42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066" w:type="pct"/>
            <w:vAlign w:val="center"/>
          </w:tcPr>
          <w:p w14:paraId="52E5472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4" w:type="pct"/>
            <w:vAlign w:val="center"/>
          </w:tcPr>
          <w:p w14:paraId="40E7BEA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AC11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A5085A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066" w:type="pct"/>
            <w:vAlign w:val="center"/>
          </w:tcPr>
          <w:p w14:paraId="5E24AE4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4" w:type="pct"/>
            <w:vAlign w:val="center"/>
          </w:tcPr>
          <w:p w14:paraId="403E229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1815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D0B64B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066" w:type="pct"/>
            <w:vAlign w:val="center"/>
          </w:tcPr>
          <w:p w14:paraId="4924C53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4" w:type="pct"/>
            <w:vAlign w:val="center"/>
          </w:tcPr>
          <w:p w14:paraId="22AE699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1C9F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223080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066" w:type="pct"/>
            <w:vAlign w:val="center"/>
          </w:tcPr>
          <w:p w14:paraId="14F82C9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4" w:type="pct"/>
            <w:vAlign w:val="center"/>
          </w:tcPr>
          <w:p w14:paraId="0FD294B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0C1F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02F1AB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066" w:type="pct"/>
            <w:vAlign w:val="center"/>
          </w:tcPr>
          <w:p w14:paraId="6A1FB5F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4" w:type="pct"/>
            <w:vAlign w:val="center"/>
          </w:tcPr>
          <w:p w14:paraId="5D94B16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1、勘察质量标准：符合国家、省、市及行业现行相关规定、规范、标准和本项目勘察设计要求。</w:t>
            </w:r>
          </w:p>
          <w:p w14:paraId="2C65984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2、设计质量标准：符合国家、省、市及行业现行相关规定、规范、标准和本项目设计任务要求。</w:t>
            </w:r>
          </w:p>
          <w:p w14:paraId="508EAA1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注：具体以合同约定为准。</w:t>
            </w:r>
          </w:p>
        </w:tc>
      </w:tr>
      <w:tr w14:paraId="59F4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D69AB8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066" w:type="pct"/>
            <w:vAlign w:val="center"/>
          </w:tcPr>
          <w:p w14:paraId="79E593A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4" w:type="pct"/>
            <w:vAlign w:val="center"/>
          </w:tcPr>
          <w:p w14:paraId="0BB92CB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5FB76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B86E5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066" w:type="pct"/>
            <w:vAlign w:val="center"/>
          </w:tcPr>
          <w:p w14:paraId="756D3E7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4" w:type="pct"/>
            <w:vAlign w:val="center"/>
          </w:tcPr>
          <w:p w14:paraId="7B03478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47DC0B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19D9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A039F5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066" w:type="pct"/>
            <w:vAlign w:val="center"/>
          </w:tcPr>
          <w:p w14:paraId="18048B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4" w:type="pct"/>
            <w:vAlign w:val="center"/>
          </w:tcPr>
          <w:p w14:paraId="0161A3E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CFC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E5A226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066" w:type="pct"/>
            <w:vAlign w:val="center"/>
          </w:tcPr>
          <w:p w14:paraId="72E78FB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4" w:type="pct"/>
            <w:vAlign w:val="center"/>
          </w:tcPr>
          <w:p w14:paraId="3880649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■不组织，投标人自行考察。</w:t>
            </w:r>
          </w:p>
          <w:p w14:paraId="30A01F9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14:paraId="09E9C8A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68C3FA8C">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416FB01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（3）由招标人提供的资料和数据，只是为了使投标人能够利用招标人现有的资料。招标人对投标人由此而作出的推论、解释和结论概不负责。</w:t>
            </w:r>
          </w:p>
          <w:p w14:paraId="74C2428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（4）不论投标结果如何，投标人应承担其投标文件编制与递交所涉及的一切费用，发包人对上述费用不负任何责任。</w:t>
            </w:r>
          </w:p>
          <w:p w14:paraId="5B7F4AC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w:t>
            </w:r>
          </w:p>
          <w:p w14:paraId="3D637E9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w:t>
            </w:r>
          </w:p>
        </w:tc>
      </w:tr>
      <w:tr w14:paraId="5824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74A3BC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066" w:type="pct"/>
            <w:vAlign w:val="center"/>
          </w:tcPr>
          <w:p w14:paraId="25E5337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4" w:type="pct"/>
            <w:vAlign w:val="center"/>
          </w:tcPr>
          <w:p w14:paraId="64F3353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614D5D8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w:t>
            </w:r>
          </w:p>
          <w:p w14:paraId="700A59D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w:t>
            </w:r>
          </w:p>
        </w:tc>
      </w:tr>
      <w:tr w14:paraId="4BC0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06F1C47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w:t>
            </w:r>
          </w:p>
        </w:tc>
        <w:tc>
          <w:tcPr>
            <w:tcW w:w="1066" w:type="pct"/>
            <w:vMerge w:val="restart"/>
            <w:vAlign w:val="center"/>
          </w:tcPr>
          <w:p w14:paraId="040B506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4" w:type="pct"/>
            <w:vAlign w:val="center"/>
          </w:tcPr>
          <w:p w14:paraId="4117DE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bidi="ar"/>
              </w:rPr>
              <w:t xml:space="preserve"> / （本项目不召开投标预备会）。</w:t>
            </w:r>
          </w:p>
        </w:tc>
      </w:tr>
      <w:tr w14:paraId="30FE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378CD2CA">
            <w:pPr>
              <w:widowControl/>
              <w:wordWrap w:val="0"/>
              <w:spacing w:line="276" w:lineRule="auto"/>
              <w:jc w:val="center"/>
              <w:rPr>
                <w:rFonts w:ascii="宋体" w:hAnsi="宋体" w:eastAsia="宋体" w:cs="宋体"/>
                <w:color w:val="auto"/>
                <w:kern w:val="0"/>
                <w:szCs w:val="21"/>
                <w:highlight w:val="none"/>
              </w:rPr>
            </w:pPr>
          </w:p>
        </w:tc>
        <w:tc>
          <w:tcPr>
            <w:tcW w:w="1066" w:type="pct"/>
            <w:vMerge w:val="continue"/>
            <w:vAlign w:val="center"/>
          </w:tcPr>
          <w:p w14:paraId="307F5DC2">
            <w:pPr>
              <w:wordWrap w:val="0"/>
              <w:spacing w:line="276" w:lineRule="auto"/>
              <w:jc w:val="center"/>
              <w:rPr>
                <w:rFonts w:ascii="宋体" w:hAnsi="宋体" w:eastAsia="宋体" w:cs="宋体"/>
                <w:color w:val="auto"/>
                <w:szCs w:val="21"/>
                <w:highlight w:val="none"/>
              </w:rPr>
            </w:pPr>
          </w:p>
        </w:tc>
        <w:tc>
          <w:tcPr>
            <w:tcW w:w="3494" w:type="pct"/>
            <w:vAlign w:val="center"/>
          </w:tcPr>
          <w:p w14:paraId="213CB52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lang w:bidi="ar"/>
              </w:rPr>
              <w:t xml:space="preserve"> / （本项目不召开投标预备会）。</w:t>
            </w:r>
          </w:p>
        </w:tc>
      </w:tr>
      <w:tr w14:paraId="74F8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03DE2B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w:t>
            </w:r>
          </w:p>
        </w:tc>
        <w:tc>
          <w:tcPr>
            <w:tcW w:w="1066" w:type="pct"/>
            <w:vAlign w:val="center"/>
          </w:tcPr>
          <w:p w14:paraId="212E6DC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4" w:type="pct"/>
            <w:vAlign w:val="center"/>
          </w:tcPr>
          <w:p w14:paraId="0D363E1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  （不召开投标预备会，此为投标预备会的答疑澄清）。</w:t>
            </w:r>
          </w:p>
        </w:tc>
      </w:tr>
      <w:tr w14:paraId="049C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6FE0CD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7"/>
                <w:kern w:val="0"/>
                <w:szCs w:val="21"/>
                <w:highlight w:val="none"/>
              </w:rPr>
              <w:t>1</w:t>
            </w:r>
            <w:r>
              <w:rPr>
                <w:rFonts w:hint="eastAsia" w:ascii="宋体" w:hAnsi="宋体" w:eastAsia="宋体" w:cs="宋体"/>
                <w:color w:val="auto"/>
                <w:kern w:val="0"/>
                <w:szCs w:val="21"/>
                <w:highlight w:val="none"/>
              </w:rPr>
              <w:t>1.1</w:t>
            </w:r>
          </w:p>
        </w:tc>
        <w:tc>
          <w:tcPr>
            <w:tcW w:w="1066" w:type="pct"/>
            <w:vAlign w:val="center"/>
          </w:tcPr>
          <w:p w14:paraId="5B3FB24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4" w:type="pct"/>
            <w:vAlign w:val="center"/>
          </w:tcPr>
          <w:p w14:paraId="7C61E74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56F2788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按有关规定。</w:t>
            </w:r>
          </w:p>
          <w:p w14:paraId="56680AA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p>
          <w:p w14:paraId="2A634F0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14:paraId="354D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EFFF1B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w:t>
            </w:r>
          </w:p>
        </w:tc>
        <w:tc>
          <w:tcPr>
            <w:tcW w:w="1066" w:type="pct"/>
            <w:vAlign w:val="center"/>
          </w:tcPr>
          <w:p w14:paraId="0BE9EA2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4" w:type="pct"/>
            <w:vAlign w:val="center"/>
          </w:tcPr>
          <w:p w14:paraId="27C7C13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618F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BA12EB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066" w:type="pct"/>
            <w:vAlign w:val="center"/>
          </w:tcPr>
          <w:p w14:paraId="21893EA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4" w:type="pct"/>
            <w:vAlign w:val="center"/>
          </w:tcPr>
          <w:p w14:paraId="29364EC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37949F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14:paraId="7F1847F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14:paraId="3AC5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61B48B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66" w:type="pct"/>
            <w:vAlign w:val="center"/>
          </w:tcPr>
          <w:p w14:paraId="1FC185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4" w:type="pct"/>
            <w:vAlign w:val="center"/>
          </w:tcPr>
          <w:p w14:paraId="5E2489C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31D5D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D3EA17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66" w:type="pct"/>
            <w:vAlign w:val="center"/>
          </w:tcPr>
          <w:p w14:paraId="76C4A3E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4" w:type="pct"/>
            <w:vAlign w:val="center"/>
          </w:tcPr>
          <w:p w14:paraId="205BF39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年   月   日   时前。</w:t>
            </w:r>
          </w:p>
          <w:p w14:paraId="252EE82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14:paraId="70D18B3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14:paraId="39771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14:paraId="57EE5A3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66" w:type="pct"/>
            <w:vAlign w:val="center"/>
          </w:tcPr>
          <w:p w14:paraId="6E08B1D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4" w:type="pct"/>
            <w:vAlign w:val="center"/>
          </w:tcPr>
          <w:p w14:paraId="5E9C9E7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 15 天前。</w:t>
            </w:r>
          </w:p>
        </w:tc>
      </w:tr>
      <w:tr w14:paraId="21F9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ECF340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066" w:type="pct"/>
            <w:vAlign w:val="center"/>
          </w:tcPr>
          <w:p w14:paraId="6E0C073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4" w:type="pct"/>
            <w:vAlign w:val="center"/>
          </w:tcPr>
          <w:p w14:paraId="5E7DFA5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投标人认为有必要提供的其他资料，格式自定。</w:t>
            </w:r>
          </w:p>
        </w:tc>
      </w:tr>
      <w:tr w14:paraId="712E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DA26DE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066" w:type="pct"/>
            <w:vAlign w:val="center"/>
          </w:tcPr>
          <w:p w14:paraId="5B5FD06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4" w:type="pct"/>
            <w:vAlign w:val="center"/>
          </w:tcPr>
          <w:p w14:paraId="05CBA96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投标人的报价为含税报价。</w:t>
            </w:r>
          </w:p>
        </w:tc>
      </w:tr>
      <w:tr w14:paraId="2E5A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ED5EFF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066" w:type="pct"/>
            <w:vAlign w:val="center"/>
          </w:tcPr>
          <w:p w14:paraId="60635D3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4" w:type="pct"/>
            <w:vAlign w:val="center"/>
          </w:tcPr>
          <w:p w14:paraId="5EFD328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1、勘察费报价：投标人自行报价。勘察费报价为投标人完成本工程所需的所有勘察工作，包括但不限于岩土勘察、物探等的实物工作收费、进出场费、技术工作收费等全部成本、利润、税金以及风险等。</w:t>
            </w:r>
          </w:p>
          <w:p w14:paraId="3288031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2、设计费报价：投标人自行报价。设计费报价为投标人完成本工程所有专业方案设计、初步设计等工作及履行合同的成本、利润、税金及风险等。</w:t>
            </w:r>
          </w:p>
          <w:p w14:paraId="26EB5CF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3、勘察设计费的结算方式按合同约定执行。</w:t>
            </w:r>
          </w:p>
        </w:tc>
      </w:tr>
      <w:tr w14:paraId="73C6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85B043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066" w:type="pct"/>
            <w:vAlign w:val="center"/>
          </w:tcPr>
          <w:p w14:paraId="06BD3AC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4" w:type="pct"/>
            <w:vAlign w:val="center"/>
          </w:tcPr>
          <w:p w14:paraId="248394E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66F3D10F">
            <w:pPr>
              <w:wordWrap w:val="0"/>
              <w:spacing w:line="276" w:lineRule="auto"/>
              <w:rPr>
                <w:rFonts w:ascii="宋体" w:hAnsi="宋体" w:eastAsia="宋体" w:cs="宋体"/>
                <w:color w:val="auto"/>
                <w:sz w:val="21"/>
                <w:szCs w:val="21"/>
                <w:highlight w:val="none"/>
                <w:u w:val="single"/>
              </w:rPr>
            </w:pPr>
            <w:r>
              <w:rPr>
                <w:rFonts w:hint="eastAsia" w:ascii="宋体" w:hAnsi="宋体" w:eastAsia="宋体" w:cs="宋体"/>
                <w:color w:val="auto"/>
                <w:szCs w:val="21"/>
                <w:highlight w:val="none"/>
              </w:rPr>
              <w:t>■有，</w:t>
            </w:r>
            <w:r>
              <w:rPr>
                <w:rFonts w:ascii="宋体" w:hAnsi="宋体" w:eastAsia="宋体" w:cs="Times New Roman"/>
                <w:color w:val="auto"/>
                <w:kern w:val="0"/>
                <w:sz w:val="21"/>
                <w:szCs w:val="21"/>
                <w:highlight w:val="none"/>
              </w:rPr>
              <w:t>最高投标限价：</w:t>
            </w:r>
            <w:r>
              <w:rPr>
                <w:rFonts w:hint="eastAsia" w:ascii="宋体" w:hAnsi="宋体" w:eastAsia="宋体" w:cs="Times New Roman"/>
                <w:b/>
                <w:bCs/>
                <w:color w:val="auto"/>
                <w:kern w:val="0"/>
                <w:sz w:val="21"/>
                <w:szCs w:val="21"/>
                <w:highlight w:val="none"/>
                <w:u w:val="single"/>
                <w:lang w:val="en-US" w:eastAsia="zh-CN"/>
              </w:rPr>
              <w:t>483.6443</w:t>
            </w:r>
            <w:r>
              <w:rPr>
                <w:rFonts w:hint="eastAsia" w:ascii="宋体" w:hAnsi="宋体" w:eastAsia="宋体" w:cs="Times New Roman"/>
                <w:b/>
                <w:bCs/>
                <w:color w:val="auto"/>
                <w:kern w:val="0"/>
                <w:sz w:val="21"/>
                <w:szCs w:val="21"/>
                <w:highlight w:val="none"/>
              </w:rPr>
              <w:t>万元</w:t>
            </w:r>
            <w:r>
              <w:rPr>
                <w:rFonts w:hint="eastAsia" w:ascii="宋体" w:hAnsi="宋体" w:eastAsia="宋体" w:cs="Times New Roman"/>
                <w:color w:val="auto"/>
                <w:kern w:val="0"/>
                <w:sz w:val="21"/>
                <w:szCs w:val="21"/>
                <w:highlight w:val="none"/>
              </w:rPr>
              <w:t>，其中：勘察费最高投标限价：</w:t>
            </w:r>
            <w:r>
              <w:rPr>
                <w:rFonts w:hint="eastAsia" w:ascii="宋体" w:hAnsi="宋体" w:eastAsia="宋体" w:cs="Times New Roman"/>
                <w:b/>
                <w:bCs/>
                <w:color w:val="auto"/>
                <w:kern w:val="0"/>
                <w:sz w:val="21"/>
                <w:szCs w:val="21"/>
                <w:highlight w:val="none"/>
                <w:u w:val="single"/>
                <w:lang w:val="en-US" w:eastAsia="zh-CN"/>
              </w:rPr>
              <w:t>114.96</w:t>
            </w:r>
            <w:r>
              <w:rPr>
                <w:rFonts w:hint="eastAsia" w:ascii="宋体" w:hAnsi="宋体" w:eastAsia="宋体" w:cs="Times New Roman"/>
                <w:b/>
                <w:bCs/>
                <w:color w:val="auto"/>
                <w:kern w:val="0"/>
                <w:sz w:val="21"/>
                <w:szCs w:val="21"/>
                <w:highlight w:val="none"/>
              </w:rPr>
              <w:t>万元</w:t>
            </w:r>
            <w:r>
              <w:rPr>
                <w:rFonts w:hint="eastAsia" w:ascii="宋体" w:hAnsi="宋体" w:eastAsia="宋体" w:cs="Times New Roman"/>
                <w:color w:val="auto"/>
                <w:kern w:val="0"/>
                <w:sz w:val="21"/>
                <w:szCs w:val="21"/>
                <w:highlight w:val="none"/>
              </w:rPr>
              <w:t>，设计费最高投标限价：</w:t>
            </w:r>
            <w:r>
              <w:rPr>
                <w:rFonts w:hint="eastAsia" w:ascii="宋体" w:hAnsi="宋体" w:eastAsia="宋体" w:cs="Times New Roman"/>
                <w:b/>
                <w:bCs/>
                <w:color w:val="auto"/>
                <w:kern w:val="0"/>
                <w:sz w:val="21"/>
                <w:szCs w:val="21"/>
                <w:highlight w:val="none"/>
                <w:u w:val="single"/>
                <w:lang w:val="en-US" w:eastAsia="zh-CN"/>
              </w:rPr>
              <w:t>368.6843</w:t>
            </w:r>
            <w:r>
              <w:rPr>
                <w:rFonts w:hint="eastAsia" w:ascii="宋体" w:hAnsi="宋体" w:eastAsia="宋体" w:cs="Times New Roman"/>
                <w:b/>
                <w:bCs/>
                <w:color w:val="auto"/>
                <w:kern w:val="0"/>
                <w:sz w:val="21"/>
                <w:szCs w:val="21"/>
                <w:highlight w:val="none"/>
              </w:rPr>
              <w:t>万元</w:t>
            </w:r>
            <w:r>
              <w:rPr>
                <w:rFonts w:hint="eastAsia" w:ascii="宋体" w:hAnsi="宋体" w:eastAsia="宋体" w:cs="Times New Roman"/>
                <w:color w:val="auto"/>
                <w:kern w:val="0"/>
                <w:sz w:val="21"/>
                <w:szCs w:val="21"/>
                <w:highlight w:val="none"/>
              </w:rPr>
              <w:t>。</w:t>
            </w:r>
          </w:p>
          <w:p w14:paraId="32A80B4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p>
        </w:tc>
      </w:tr>
      <w:tr w14:paraId="2A97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09D5A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066" w:type="pct"/>
            <w:vAlign w:val="center"/>
          </w:tcPr>
          <w:p w14:paraId="1C5628A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4" w:type="pct"/>
            <w:vAlign w:val="center"/>
          </w:tcPr>
          <w:p w14:paraId="306194D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lang w:bidi="ar"/>
              </w:rPr>
              <w:t>所有报价均以人民币表示，以元为单位，保留小数点后两位小数，第三位小数四舍五入。</w:t>
            </w:r>
          </w:p>
        </w:tc>
      </w:tr>
      <w:tr w14:paraId="0719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380FD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066" w:type="pct"/>
            <w:vAlign w:val="center"/>
          </w:tcPr>
          <w:p w14:paraId="7FC3C95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4" w:type="pct"/>
            <w:vAlign w:val="center"/>
          </w:tcPr>
          <w:p w14:paraId="150F4D6C">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90</w:t>
            </w:r>
            <w:r>
              <w:rPr>
                <w:rFonts w:hint="eastAsia" w:ascii="宋体" w:hAnsi="宋体" w:eastAsia="宋体" w:cs="宋体"/>
                <w:color w:val="auto"/>
                <w:szCs w:val="21"/>
                <w:highlight w:val="none"/>
              </w:rPr>
              <w:t>日历天（从投标截止之日计起）</w:t>
            </w:r>
          </w:p>
        </w:tc>
      </w:tr>
      <w:tr w14:paraId="6620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5EC285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066" w:type="pct"/>
            <w:vAlign w:val="center"/>
          </w:tcPr>
          <w:p w14:paraId="4FD4761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4" w:type="pct"/>
            <w:vAlign w:val="center"/>
          </w:tcPr>
          <w:p w14:paraId="24C2F3B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60CCFD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w:t>
            </w:r>
          </w:p>
          <w:p w14:paraId="148EE19F">
            <w:pPr>
              <w:widowControl/>
              <w:wordWrap w:val="0"/>
              <w:topLinePunct/>
              <w:spacing w:after="120"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缴纳金额：</w:t>
            </w:r>
            <w:r>
              <w:rPr>
                <w:rFonts w:hint="eastAsia" w:ascii="宋体" w:hAnsi="宋体" w:eastAsia="宋体" w:cs="宋体"/>
                <w:color w:val="auto"/>
                <w:kern w:val="0"/>
                <w:szCs w:val="21"/>
                <w:highlight w:val="none"/>
                <w:u w:val="single"/>
                <w:lang w:val="zh-CN"/>
              </w:rPr>
              <w:t>/。</w:t>
            </w:r>
          </w:p>
          <w:p w14:paraId="48725B2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41F9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E9ABC4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066" w:type="pct"/>
            <w:vAlign w:val="center"/>
          </w:tcPr>
          <w:p w14:paraId="113716D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3494" w:type="pct"/>
            <w:vAlign w:val="center"/>
          </w:tcPr>
          <w:p w14:paraId="0973FE9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7B09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178C54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066" w:type="pct"/>
            <w:vAlign w:val="center"/>
          </w:tcPr>
          <w:p w14:paraId="3133EC4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4" w:type="pct"/>
            <w:vAlign w:val="center"/>
          </w:tcPr>
          <w:p w14:paraId="2FFC83A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0553CDC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14:paraId="5787E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62C741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w:t>
            </w:r>
          </w:p>
        </w:tc>
        <w:tc>
          <w:tcPr>
            <w:tcW w:w="1066" w:type="pct"/>
            <w:vAlign w:val="center"/>
          </w:tcPr>
          <w:p w14:paraId="126EBA8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3494" w:type="pct"/>
            <w:vAlign w:val="center"/>
          </w:tcPr>
          <w:p w14:paraId="3CF67F8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627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2E945B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w:t>
            </w:r>
          </w:p>
        </w:tc>
        <w:tc>
          <w:tcPr>
            <w:tcW w:w="1066" w:type="pct"/>
            <w:vAlign w:val="center"/>
          </w:tcPr>
          <w:p w14:paraId="1A24939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4" w:type="pct"/>
            <w:vAlign w:val="center"/>
          </w:tcPr>
          <w:p w14:paraId="083DCE7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7D12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E18BB4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066" w:type="pct"/>
            <w:vAlign w:val="center"/>
          </w:tcPr>
          <w:p w14:paraId="55D6947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4" w:type="pct"/>
            <w:vAlign w:val="center"/>
          </w:tcPr>
          <w:p w14:paraId="2409ECF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BD3F2B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4294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730BCD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066" w:type="pct"/>
            <w:vAlign w:val="center"/>
          </w:tcPr>
          <w:p w14:paraId="53CA3C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4" w:type="pct"/>
            <w:vAlign w:val="center"/>
          </w:tcPr>
          <w:p w14:paraId="1087BE1A">
            <w:pPr>
              <w:wordWrap w:val="0"/>
              <w:spacing w:line="276" w:lineRule="auto"/>
              <w:rPr>
                <w:rFonts w:ascii="宋体" w:hAnsi="宋体" w:eastAsia="宋体"/>
                <w:color w:val="auto"/>
                <w:szCs w:val="24"/>
                <w:highlight w:val="none"/>
                <w:u w:val="single"/>
              </w:rPr>
            </w:pPr>
            <w:r>
              <w:rPr>
                <w:rFonts w:ascii="宋体" w:hAnsi="宋体" w:eastAsia="宋体"/>
                <w:color w:val="auto"/>
                <w:szCs w:val="24"/>
                <w:highlight w:val="none"/>
                <w:u w:val="single"/>
              </w:rPr>
              <w:t>投标文件格式规定需个人签字的，应签字或签章后扫描上传</w:t>
            </w:r>
            <w:r>
              <w:rPr>
                <w:rFonts w:hint="eastAsia"/>
                <w:color w:val="auto"/>
                <w:szCs w:val="21"/>
                <w:highlight w:val="none"/>
                <w:u w:val="single"/>
              </w:rPr>
              <w:t>（</w:t>
            </w:r>
            <w:r>
              <w:rPr>
                <w:rFonts w:ascii="Calibri" w:hAnsi="Calibri" w:eastAsia="宋体" w:cs="Times New Roman"/>
                <w:color w:val="auto"/>
                <w:szCs w:val="24"/>
                <w:highlight w:val="none"/>
                <w:u w:val="single"/>
              </w:rPr>
              <w:t>可靠的电子签名与手写签名或者盖章具有同等的法律效力</w:t>
            </w:r>
            <w:r>
              <w:rPr>
                <w:rFonts w:hint="eastAsia"/>
                <w:color w:val="auto"/>
                <w:szCs w:val="21"/>
                <w:highlight w:val="none"/>
                <w:u w:val="single"/>
              </w:rPr>
              <w:t>）</w:t>
            </w:r>
            <w:r>
              <w:rPr>
                <w:rFonts w:ascii="宋体" w:hAnsi="宋体" w:eastAsia="宋体"/>
                <w:color w:val="auto"/>
                <w:szCs w:val="24"/>
                <w:highlight w:val="none"/>
                <w:u w:val="single"/>
              </w:rPr>
              <w:t>。投标文件格式规定盖单位公章的页面必须盖单位公章</w:t>
            </w:r>
            <w:r>
              <w:rPr>
                <w:rFonts w:hint="eastAsia" w:ascii="宋体" w:hAnsi="宋体" w:eastAsia="宋体"/>
                <w:color w:val="auto"/>
                <w:szCs w:val="24"/>
                <w:highlight w:val="none"/>
                <w:u w:val="single"/>
              </w:rPr>
              <w:t>或电子公章</w:t>
            </w:r>
            <w:r>
              <w:rPr>
                <w:rFonts w:ascii="宋体" w:hAnsi="宋体" w:eastAsia="宋体"/>
                <w:color w:val="auto"/>
                <w:szCs w:val="24"/>
                <w:highlight w:val="none"/>
                <w:u w:val="single"/>
              </w:rPr>
              <w:t>（公章与电子公章具有相同法律效力）</w:t>
            </w:r>
            <w:r>
              <w:rPr>
                <w:rFonts w:hint="eastAsia" w:ascii="宋体" w:hAnsi="宋体" w:eastAsia="宋体"/>
                <w:color w:val="auto"/>
                <w:szCs w:val="24"/>
                <w:highlight w:val="none"/>
                <w:u w:val="single"/>
              </w:rPr>
              <w:t>。</w:t>
            </w:r>
          </w:p>
        </w:tc>
      </w:tr>
      <w:tr w14:paraId="6EE9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5F279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066" w:type="pct"/>
            <w:vAlign w:val="center"/>
          </w:tcPr>
          <w:p w14:paraId="657E4D4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封套上应载明的信息（适用于提交备用光盘或U盘的情况）</w:t>
            </w:r>
          </w:p>
        </w:tc>
        <w:tc>
          <w:tcPr>
            <w:tcW w:w="3494" w:type="pct"/>
            <w:vAlign w:val="center"/>
          </w:tcPr>
          <w:p w14:paraId="396787F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如有提交投标文件光盘备用，封套上应注明如下信息：</w:t>
            </w:r>
          </w:p>
          <w:p w14:paraId="53D6F8A6">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刻录好的投标文件光盘分别密封在不透明的密封袋并作标记，其中：</w:t>
            </w:r>
          </w:p>
          <w:p w14:paraId="790DD8C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1.“商务文件（含资格审查文件）光盘”应在密封袋上写明（1）招标人名称；（2）“[项目名称] 商务文件（含资格审查文件）光盘”字样；（3）投标人名称；并在封口处加盖投标人单位公章；</w:t>
            </w:r>
          </w:p>
          <w:p w14:paraId="23437B9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2.“技术文件光盘”、“保密文件光盘”应仅在密封袋上写明“[项目名称][技术文件光盘或保密文件光盘]”字样，并不得盖章或加具其它可以识别投标人身份的标记。</w:t>
            </w:r>
          </w:p>
        </w:tc>
      </w:tr>
      <w:tr w14:paraId="0F88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5A9003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066" w:type="pct"/>
            <w:vAlign w:val="center"/>
          </w:tcPr>
          <w:p w14:paraId="0F7B0BC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4" w:type="pct"/>
            <w:vAlign w:val="center"/>
          </w:tcPr>
          <w:p w14:paraId="7E7FFFDF">
            <w:pPr>
              <w:wordWrap w:val="0"/>
              <w:spacing w:line="276" w:lineRule="auto"/>
              <w:rPr>
                <w:rFonts w:ascii="宋体" w:hAnsi="宋体" w:eastAsia="宋体" w:cs="宋体"/>
                <w:color w:val="auto"/>
                <w:szCs w:val="21"/>
                <w:highlight w:val="none"/>
              </w:rPr>
            </w:pPr>
            <w:r>
              <w:rPr>
                <w:rFonts w:ascii="宋体" w:hAnsi="Times New Roman" w:eastAsia="宋体"/>
                <w:color w:val="auto"/>
                <w:szCs w:val="24"/>
                <w:highlight w:val="none"/>
              </w:rPr>
              <w:t>投标截止时间：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分（北京时间），以广州交易集团有限公司（广州公共资源交易中心）网站发布信息为准。</w:t>
            </w:r>
          </w:p>
        </w:tc>
      </w:tr>
      <w:tr w14:paraId="4137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DCD780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066" w:type="pct"/>
            <w:vAlign w:val="center"/>
          </w:tcPr>
          <w:p w14:paraId="1E819C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4" w:type="pct"/>
            <w:vAlign w:val="center"/>
          </w:tcPr>
          <w:p w14:paraId="0CDA879A">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14:paraId="6B97D9E8">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w:t>
            </w:r>
          </w:p>
          <w:p w14:paraId="3B8F845B">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。(建议安排在投标文件截止时间前 15 分钟至投标文件截止时间）</w:t>
            </w:r>
          </w:p>
          <w:p w14:paraId="0BD5604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4.提交投标文件光盘备用</w:t>
            </w:r>
          </w:p>
          <w:p w14:paraId="13DAD5F1">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D4E2BBB">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5.补救方案</w:t>
            </w:r>
          </w:p>
          <w:p w14:paraId="4AF0931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A47408F">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14:paraId="6A845CB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（3）除发生上述情况外，开标评标均以投标人通过交易平台网上递交的电子投标文件为准。</w:t>
            </w:r>
          </w:p>
          <w:p w14:paraId="72E54C6A">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14:paraId="1E08588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7.上述时间及地点是否有改变，请密切留意补充公告或招标答疑纪要的相关信息。</w:t>
            </w:r>
          </w:p>
        </w:tc>
      </w:tr>
      <w:tr w14:paraId="62336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641B44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066" w:type="pct"/>
            <w:vAlign w:val="center"/>
          </w:tcPr>
          <w:p w14:paraId="31ADDFD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4" w:type="pct"/>
            <w:vAlign w:val="center"/>
          </w:tcPr>
          <w:p w14:paraId="2DBBB93B">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评标委员会构成：</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none"/>
                <w:lang w:bidi="ar"/>
              </w:rPr>
              <w:t>人</w:t>
            </w:r>
          </w:p>
          <w:p w14:paraId="24501E63">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其中招标人代表</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none"/>
                <w:lang w:bidi="ar"/>
              </w:rPr>
              <w:t>人，专家</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u w:val="none"/>
                <w:lang w:bidi="ar"/>
              </w:rPr>
              <w:t>人；</w:t>
            </w:r>
          </w:p>
          <w:p w14:paraId="4D53796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lang w:bidi="ar"/>
              </w:rPr>
              <w:t>评标专家确定方式：专家</w:t>
            </w:r>
            <w:r>
              <w:rPr>
                <w:rFonts w:hint="eastAsia" w:ascii="宋体" w:hAnsi="宋体" w:eastAsia="宋体" w:cs="宋体"/>
                <w:color w:val="auto"/>
                <w:szCs w:val="21"/>
                <w:highlight w:val="none"/>
                <w:u w:val="none"/>
                <w:lang w:val="en-US" w:eastAsia="zh-CN" w:bidi="ar"/>
              </w:rPr>
              <w:t>在广东省综合评标评审专家库中随机抽取。</w:t>
            </w:r>
          </w:p>
        </w:tc>
      </w:tr>
      <w:tr w14:paraId="6737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08ECBF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w:t>
            </w:r>
          </w:p>
        </w:tc>
        <w:tc>
          <w:tcPr>
            <w:tcW w:w="1066" w:type="pct"/>
            <w:vAlign w:val="center"/>
          </w:tcPr>
          <w:p w14:paraId="3133C46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定标委员会的组建</w:t>
            </w:r>
          </w:p>
        </w:tc>
        <w:tc>
          <w:tcPr>
            <w:tcW w:w="3494" w:type="pct"/>
            <w:vAlign w:val="center"/>
          </w:tcPr>
          <w:p w14:paraId="2A0399FC">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本项目不适用。</w:t>
            </w:r>
          </w:p>
        </w:tc>
      </w:tr>
      <w:tr w14:paraId="17A5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837AEF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066" w:type="pct"/>
            <w:vAlign w:val="center"/>
          </w:tcPr>
          <w:p w14:paraId="3B4060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4" w:type="pct"/>
            <w:vAlign w:val="center"/>
          </w:tcPr>
          <w:p w14:paraId="2FD4F41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推荐3名中标候选人</w:t>
            </w:r>
          </w:p>
        </w:tc>
      </w:tr>
      <w:tr w14:paraId="7ABD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5FD4EE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066" w:type="pct"/>
            <w:vAlign w:val="center"/>
          </w:tcPr>
          <w:p w14:paraId="71C9131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4" w:type="pct"/>
            <w:vAlign w:val="center"/>
          </w:tcPr>
          <w:p w14:paraId="49ED45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广州交易集团有限公司（广州公共资源交易中心）网、广东省招标投标监管网、中国招标投标公共服务平台</w:t>
            </w:r>
          </w:p>
          <w:p w14:paraId="2E90F12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日（不少于3日，最后一天应为工作日）</w:t>
            </w:r>
          </w:p>
          <w:p w14:paraId="097F7BD3">
            <w:pPr>
              <w:wordWrap w:val="0"/>
              <w:spacing w:line="276" w:lineRule="auto"/>
              <w:rPr>
                <w:rFonts w:ascii="宋体" w:hAnsi="宋体" w:eastAsia="宋体" w:cs="宋体"/>
                <w:color w:val="auto"/>
                <w:szCs w:val="21"/>
                <w:highlight w:val="none"/>
              </w:rPr>
            </w:pPr>
          </w:p>
        </w:tc>
      </w:tr>
      <w:tr w14:paraId="2E6D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404FA4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066" w:type="pct"/>
            <w:vAlign w:val="center"/>
          </w:tcPr>
          <w:p w14:paraId="2E01E66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4" w:type="pct"/>
            <w:vAlign w:val="center"/>
          </w:tcPr>
          <w:p w14:paraId="19F2011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14:paraId="7420EE93">
            <w:pPr>
              <w:wordWrap w:val="0"/>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■否</w:t>
            </w:r>
          </w:p>
        </w:tc>
      </w:tr>
      <w:tr w14:paraId="0085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96455E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066" w:type="pct"/>
            <w:vAlign w:val="center"/>
          </w:tcPr>
          <w:p w14:paraId="593FB55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4" w:type="pct"/>
            <w:vAlign w:val="center"/>
          </w:tcPr>
          <w:p w14:paraId="7C1C963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6FBB53A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□补偿，补偿标准： </w:t>
            </w:r>
          </w:p>
        </w:tc>
      </w:tr>
      <w:tr w14:paraId="3265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287FB6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066" w:type="pct"/>
            <w:vAlign w:val="center"/>
          </w:tcPr>
          <w:p w14:paraId="05C3758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4" w:type="pct"/>
            <w:vAlign w:val="center"/>
          </w:tcPr>
          <w:p w14:paraId="506F24F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0AE8933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宋体"/>
                <w:color w:val="auto"/>
                <w:szCs w:val="21"/>
                <w:highlight w:val="none"/>
                <w:u w:val="single"/>
              </w:rPr>
              <w:t>按合同约定。</w:t>
            </w:r>
          </w:p>
          <w:p w14:paraId="166DB33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hint="eastAsia" w:ascii="宋体" w:hAnsi="宋体" w:eastAsia="宋体" w:cs="宋体"/>
                <w:color w:val="auto"/>
                <w:szCs w:val="21"/>
                <w:highlight w:val="none"/>
                <w:u w:val="single"/>
                <w:lang w:val="en-US" w:eastAsia="zh-CN"/>
              </w:rPr>
              <w:t>合同暂定（含税）总价的10%</w:t>
            </w:r>
            <w:r>
              <w:rPr>
                <w:rFonts w:hint="eastAsia" w:ascii="宋体" w:hAnsi="宋体" w:eastAsia="宋体" w:cs="宋体"/>
                <w:color w:val="auto"/>
                <w:szCs w:val="21"/>
                <w:highlight w:val="none"/>
                <w:u w:val="single"/>
              </w:rPr>
              <w:t>。</w:t>
            </w:r>
          </w:p>
          <w:p w14:paraId="0E24BCA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6D0C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43BFFA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6" w:type="pct"/>
            <w:vAlign w:val="center"/>
          </w:tcPr>
          <w:p w14:paraId="3CCCC1C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4" w:type="pct"/>
            <w:vAlign w:val="center"/>
          </w:tcPr>
          <w:p w14:paraId="1633BE9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14:paraId="1630E6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757C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F2B5936">
            <w:pPr>
              <w:wordWrap w:val="0"/>
              <w:autoSpaceDE w:val="0"/>
              <w:autoSpaceDN w:val="0"/>
              <w:spacing w:line="276"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single"/>
                <w:lang w:val="en-US" w:eastAsia="zh-CN"/>
              </w:rPr>
              <w:t>11</w:t>
            </w:r>
          </w:p>
        </w:tc>
        <w:tc>
          <w:tcPr>
            <w:tcW w:w="4560" w:type="pct"/>
            <w:gridSpan w:val="2"/>
            <w:vAlign w:val="center"/>
          </w:tcPr>
          <w:p w14:paraId="696F7F8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0EB3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944ED1A">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.1</w:t>
            </w:r>
          </w:p>
        </w:tc>
        <w:tc>
          <w:tcPr>
            <w:tcW w:w="1066" w:type="pct"/>
            <w:vAlign w:val="center"/>
          </w:tcPr>
          <w:p w14:paraId="2448D54A">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4" w:type="pct"/>
            <w:vAlign w:val="center"/>
          </w:tcPr>
          <w:p w14:paraId="192B3F5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14:paraId="2B2AB79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14:paraId="20D0F4E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14:paraId="0B509A8A">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14:paraId="2E45585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14:paraId="355A713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14:paraId="69B56D7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14:paraId="70357A6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14:paraId="4EA6554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14:paraId="5E2363A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14:paraId="047F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9D58F24">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.2</w:t>
            </w:r>
          </w:p>
        </w:tc>
        <w:tc>
          <w:tcPr>
            <w:tcW w:w="1066" w:type="pct"/>
            <w:vAlign w:val="center"/>
          </w:tcPr>
          <w:p w14:paraId="00E12735">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招标失败的情形</w:t>
            </w:r>
          </w:p>
        </w:tc>
        <w:tc>
          <w:tcPr>
            <w:tcW w:w="3494" w:type="pct"/>
            <w:vAlign w:val="center"/>
          </w:tcPr>
          <w:p w14:paraId="58A9C88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参与投标的家数不足3家，或者评标时通过形式评审或资格评审或响应性评审的投标人家数不足3家时为招标失败。招标人分析招标失败原因，修正招标方案，按相关规定重新组织招标。</w:t>
            </w:r>
          </w:p>
        </w:tc>
      </w:tr>
      <w:tr w14:paraId="4B2A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AC3F603">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.3</w:t>
            </w:r>
          </w:p>
        </w:tc>
        <w:tc>
          <w:tcPr>
            <w:tcW w:w="1066" w:type="pct"/>
            <w:vAlign w:val="center"/>
          </w:tcPr>
          <w:p w14:paraId="5AC1C0A8">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4" w:type="pct"/>
            <w:vAlign w:val="center"/>
          </w:tcPr>
          <w:p w14:paraId="5608D8A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14:paraId="2C6B6C0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14:paraId="301C5D0D">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3、中标后，中标单位须提交与网上上传电子投标文件完全一致的纸质投标文件（一式四份，加盖公章）至招标人。</w:t>
            </w:r>
          </w:p>
        </w:tc>
      </w:tr>
      <w:tr w14:paraId="23E3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BC9C635">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rPr>
              <w:t>4</w:t>
            </w:r>
          </w:p>
        </w:tc>
        <w:tc>
          <w:tcPr>
            <w:tcW w:w="1066" w:type="pct"/>
            <w:vAlign w:val="center"/>
          </w:tcPr>
          <w:p w14:paraId="46C5C648">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4" w:type="pct"/>
            <w:vAlign w:val="center"/>
          </w:tcPr>
          <w:p w14:paraId="2C5488A1">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p w14:paraId="420A6579">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招标代理费：</w:t>
            </w:r>
            <w:r>
              <w:rPr>
                <w:rFonts w:hint="eastAsia" w:ascii="宋体" w:hAnsi="宋体" w:eastAsia="宋体" w:cs="宋体"/>
                <w:color w:val="auto"/>
                <w:kern w:val="0"/>
                <w:szCs w:val="21"/>
                <w:highlight w:val="none"/>
                <w:u w:val="single"/>
              </w:rPr>
              <w:t>由中标人支付，金额以招标人与招标代理机构签订的招标代理合同为准。</w:t>
            </w:r>
          </w:p>
        </w:tc>
      </w:tr>
      <w:tr w14:paraId="033A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10372EC">
            <w:pPr>
              <w:wordWrap w:val="0"/>
              <w:autoSpaceDE w:val="0"/>
              <w:autoSpaceDN w:val="0"/>
              <w:spacing w:line="276" w:lineRule="auto"/>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11.5</w:t>
            </w:r>
          </w:p>
        </w:tc>
        <w:tc>
          <w:tcPr>
            <w:tcW w:w="1066" w:type="pct"/>
            <w:vAlign w:val="center"/>
          </w:tcPr>
          <w:p w14:paraId="619E3177">
            <w:pPr>
              <w:wordWrap w:val="0"/>
              <w:spacing w:line="276"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投标报价评审优惠政策</w:t>
            </w:r>
          </w:p>
        </w:tc>
        <w:tc>
          <w:tcPr>
            <w:tcW w:w="3494" w:type="pct"/>
            <w:vAlign w:val="center"/>
          </w:tcPr>
          <w:p w14:paraId="584FACF2">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（1）根据《广东省政府采购促进中小企业发展实施细则(试行)》要求，对符合《政府采购促进中小企业发展管理办法》的投标人，给予相应的价格评审优惠。</w:t>
            </w:r>
          </w:p>
          <w:p w14:paraId="03AAA60C">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招标项目评标计算价格分时，对小微企业投标的，在采用原报价进行评分的基础上增加其价格得分的5%作为其价格分，对大中型企业与小微企业组成联合体的，在采用原报价进行评分的基础上增加其价格得分的2%作为其价格分，若原报价已满分，仍可突破满分上限继续享受加分优惠，以实际计算结果作为最终价格分。（分数出现小数点时，保留小数点后二位，第三位小数四舍五入）</w:t>
            </w:r>
          </w:p>
          <w:p w14:paraId="44B0BD93">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B65987A">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139765A0">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①中小微企业，是指在中华人民共和国境内依法设立，依据国务院批准的中小企业划分标准确定的中型企业、小型企业和微型企业，但与大企业的负责人为同一人，或者与大企业存在直接控股、管理关系的除外。</w:t>
            </w:r>
          </w:p>
          <w:p w14:paraId="7BA908F5">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682EEED">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rPr>
              <w:t>③根据财库〔2017〕141号《财政部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67F4C53C">
      <w:pPr>
        <w:wordWrap w:val="0"/>
        <w:ind w:left="420" w:leftChars="200"/>
        <w:rPr>
          <w:rFonts w:ascii="宋体" w:hAnsi="宋体" w:eastAsia="宋体" w:cs="宋体"/>
          <w:color w:val="auto"/>
          <w:szCs w:val="24"/>
          <w:highlight w:val="none"/>
        </w:rPr>
      </w:pPr>
    </w:p>
    <w:p w14:paraId="373FA306">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F5DE257">
      <w:pPr>
        <w:pStyle w:val="4"/>
        <w:rPr>
          <w:color w:val="auto"/>
          <w:highlight w:val="none"/>
        </w:rPr>
      </w:pPr>
      <w:r>
        <w:rPr>
          <w:color w:val="auto"/>
          <w:highlight w:val="none"/>
        </w:rPr>
        <w:t>投标须知修改表</w:t>
      </w:r>
    </w:p>
    <w:p w14:paraId="6FC0F02E">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1AB28B28">
      <w:pPr>
        <w:pageBreakBefore w:val="0"/>
        <w:widowControl w:val="0"/>
        <w:kinsoku/>
        <w:overflowPunct/>
        <w:topLinePunct w:val="0"/>
        <w:autoSpaceDE/>
        <w:autoSpaceDN/>
        <w:bidi w:val="0"/>
        <w:adjustRightInd/>
        <w:snapToGrid/>
        <w:spacing w:line="400" w:lineRule="exact"/>
        <w:ind w:firstLine="426" w:firstLineChars="177"/>
        <w:textAlignment w:val="auto"/>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10</w:t>
      </w:r>
      <w:r>
        <w:rPr>
          <w:rFonts w:ascii="宋体" w:hAnsi="宋体" w:eastAsia="宋体"/>
          <w:b/>
          <w:bCs/>
          <w:color w:val="auto"/>
          <w:sz w:val="24"/>
          <w:szCs w:val="24"/>
          <w:highlight w:val="none"/>
        </w:rPr>
        <w:t xml:space="preserve">         修改类型：</w:t>
      </w:r>
      <w:r>
        <w:rPr>
          <w:rFonts w:hint="eastAsia" w:ascii="宋体" w:hAnsi="宋体" w:eastAsia="宋体"/>
          <w:b/>
          <w:bCs/>
          <w:color w:val="auto"/>
          <w:sz w:val="24"/>
          <w:szCs w:val="24"/>
          <w:highlight w:val="none"/>
          <w:lang w:eastAsia="zh-CN"/>
        </w:rPr>
        <w:t>删除</w:t>
      </w:r>
    </w:p>
    <w:p w14:paraId="27D7267B">
      <w:pPr>
        <w:keepNext/>
        <w:keepLines/>
        <w:pageBreakBefore w:val="0"/>
        <w:widowControl w:val="0"/>
        <w:kinsoku/>
        <w:wordWrap w:val="0"/>
        <w:overflowPunct/>
        <w:topLinePunct w:val="0"/>
        <w:autoSpaceDE/>
        <w:autoSpaceDN/>
        <w:bidi w:val="0"/>
        <w:adjustRightInd/>
        <w:snapToGrid/>
        <w:spacing w:before="260" w:line="400" w:lineRule="exact"/>
        <w:textAlignment w:val="auto"/>
        <w:outlineLvl w:val="2"/>
        <w:rPr>
          <w:rFonts w:hint="eastAsia" w:ascii="宋体" w:hAnsi="宋体" w:eastAsia="宋体" w:cs="宋体"/>
          <w:color w:val="auto"/>
          <w:spacing w:val="-2"/>
          <w:kern w:val="0"/>
          <w:sz w:val="24"/>
          <w:szCs w:val="24"/>
          <w:highlight w:val="none"/>
          <w:lang w:val="zh-CN"/>
        </w:rPr>
      </w:pPr>
      <w:r>
        <w:rPr>
          <w:rFonts w:hint="eastAsia" w:ascii="宋体" w:hAnsi="宋体" w:eastAsia="宋体"/>
          <w:b/>
          <w:bCs/>
          <w:color w:val="auto"/>
          <w:sz w:val="24"/>
          <w:szCs w:val="24"/>
          <w:highlight w:val="none"/>
          <w:lang w:val="en-US" w:eastAsia="zh-CN"/>
        </w:rPr>
        <w:t xml:space="preserve">    原文：</w:t>
      </w:r>
      <w:r>
        <w:rPr>
          <w:rFonts w:hint="eastAsia" w:ascii="宋体" w:hAnsi="宋体" w:eastAsia="宋体" w:cs="宋体"/>
          <w:color w:val="auto"/>
          <w:spacing w:val="-2"/>
          <w:kern w:val="0"/>
          <w:sz w:val="24"/>
          <w:szCs w:val="24"/>
          <w:highlight w:val="none"/>
          <w:lang w:val="zh-CN"/>
        </w:rPr>
        <w:t>1.10 投标预备会</w:t>
      </w:r>
    </w:p>
    <w:p w14:paraId="12F33701">
      <w:pPr>
        <w:pageBreakBefore w:val="0"/>
        <w:widowControl w:val="0"/>
        <w:kinsoku/>
        <w:wordWrap w:val="0"/>
        <w:overflowPunct/>
        <w:topLinePunct w:val="0"/>
        <w:autoSpaceDE w:val="0"/>
        <w:autoSpaceDN w:val="0"/>
        <w:bidi w:val="0"/>
        <w:adjustRightInd/>
        <w:snapToGrid/>
        <w:spacing w:line="400" w:lineRule="exact"/>
        <w:ind w:firstLine="472" w:firstLineChars="200"/>
        <w:textAlignment w:val="auto"/>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1B9AE259">
      <w:pPr>
        <w:pageBreakBefore w:val="0"/>
        <w:widowControl w:val="0"/>
        <w:kinsoku/>
        <w:wordWrap w:val="0"/>
        <w:overflowPunct/>
        <w:topLinePunct w:val="0"/>
        <w:autoSpaceDE w:val="0"/>
        <w:autoSpaceDN w:val="0"/>
        <w:bidi w:val="0"/>
        <w:adjustRightInd/>
        <w:snapToGrid/>
        <w:spacing w:line="400" w:lineRule="exact"/>
        <w:ind w:firstLine="472" w:firstLineChars="200"/>
        <w:textAlignment w:val="auto"/>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1.10.2 投标人应按投标人须知前附表规定的时间和形式将提出的问题送达招标人，以便招标人在会议期间澄清。</w:t>
      </w:r>
    </w:p>
    <w:p w14:paraId="2731C199">
      <w:pPr>
        <w:pStyle w:val="44"/>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textAlignment w:val="auto"/>
        <w:rPr>
          <w:rFonts w:hint="default" w:ascii="宋体" w:hAnsi="宋体" w:eastAsia="宋体"/>
          <w:color w:val="auto"/>
          <w:sz w:val="24"/>
          <w:szCs w:val="24"/>
          <w:highlight w:val="none"/>
        </w:rPr>
      </w:pPr>
      <w:r>
        <w:rPr>
          <w:rFonts w:hint="eastAsia" w:ascii="宋体" w:hAnsi="宋体" w:eastAsia="宋体" w:cs="宋体"/>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5A9AAFE8">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400" w:lineRule="exact"/>
        <w:jc w:val="both"/>
        <w:textAlignment w:val="auto"/>
        <w:rPr>
          <w:rFonts w:hint="default" w:ascii="宋体" w:hAnsi="宋体" w:eastAsia="宋体"/>
          <w:color w:val="auto"/>
          <w:sz w:val="24"/>
          <w:szCs w:val="24"/>
          <w:highlight w:val="none"/>
        </w:rPr>
      </w:pPr>
    </w:p>
    <w:p w14:paraId="7C10B2CD">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default" w:ascii="宋体" w:hAnsi="宋体" w:eastAsia="宋体" w:cs="宋体"/>
          <w:b/>
          <w:bCs/>
          <w:color w:val="auto"/>
          <w:spacing w:val="-2"/>
          <w:kern w:val="0"/>
          <w:sz w:val="24"/>
          <w:szCs w:val="24"/>
          <w:highlight w:val="none"/>
          <w:lang w:val="en-US" w:eastAsia="zh-CN" w:bidi="ar-SA"/>
        </w:rPr>
        <w:t xml:space="preserve">3.1 </w:t>
      </w:r>
      <w:r>
        <w:rPr>
          <w:rFonts w:hint="eastAsia" w:ascii="宋体" w:hAnsi="宋体" w:eastAsia="宋体" w:cs="宋体"/>
          <w:b/>
          <w:bCs/>
          <w:color w:val="auto"/>
          <w:spacing w:val="-2"/>
          <w:kern w:val="0"/>
          <w:sz w:val="24"/>
          <w:szCs w:val="24"/>
          <w:highlight w:val="none"/>
          <w:lang w:val="en-US" w:eastAsia="zh-CN" w:bidi="ar-SA"/>
        </w:rPr>
        <w:t>投标文件的组成（适用于暗标形式）</w:t>
      </w:r>
      <w:r>
        <w:rPr>
          <w:rFonts w:hint="default" w:ascii="宋体" w:hAnsi="宋体" w:eastAsia="宋体"/>
          <w:b/>
          <w:bCs/>
          <w:color w:val="auto"/>
          <w:sz w:val="24"/>
          <w:szCs w:val="24"/>
          <w:highlight w:val="none"/>
        </w:rPr>
        <w:t xml:space="preserve">    修改类型：修改</w:t>
      </w:r>
    </w:p>
    <w:p w14:paraId="79CDD84D">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eastAsia" w:ascii="宋体" w:hAnsi="宋体" w:eastAsia="宋体" w:cs="宋体"/>
          <w:color w:val="auto"/>
          <w:spacing w:val="-2"/>
          <w:kern w:val="0"/>
          <w:sz w:val="24"/>
          <w:szCs w:val="24"/>
          <w:highlight w:val="none"/>
          <w:lang w:val="en-US" w:eastAsia="zh-CN" w:bidi="ar-SA"/>
        </w:rPr>
      </w:pPr>
      <w:r>
        <w:rPr>
          <w:rFonts w:hint="default" w:ascii="宋体" w:hAnsi="宋体" w:eastAsia="宋体"/>
          <w:b/>
          <w:bCs/>
          <w:color w:val="auto"/>
          <w:sz w:val="24"/>
          <w:szCs w:val="24"/>
          <w:highlight w:val="none"/>
        </w:rPr>
        <w:t>原文：</w:t>
      </w:r>
      <w:bookmarkStart w:id="9" w:name="_Toc25354"/>
      <w:r>
        <w:rPr>
          <w:rFonts w:hint="default" w:ascii="宋体" w:hAnsi="宋体" w:eastAsia="宋体" w:cs="宋体"/>
          <w:color w:val="auto"/>
          <w:spacing w:val="-2"/>
          <w:kern w:val="0"/>
          <w:sz w:val="24"/>
          <w:szCs w:val="24"/>
          <w:highlight w:val="none"/>
          <w:lang w:val="en-US" w:eastAsia="zh-CN" w:bidi="ar-SA"/>
        </w:rPr>
        <w:t xml:space="preserve">3.1 </w:t>
      </w:r>
      <w:r>
        <w:rPr>
          <w:rFonts w:hint="eastAsia" w:ascii="宋体" w:hAnsi="宋体" w:eastAsia="宋体" w:cs="宋体"/>
          <w:color w:val="auto"/>
          <w:spacing w:val="-2"/>
          <w:kern w:val="0"/>
          <w:sz w:val="24"/>
          <w:szCs w:val="24"/>
          <w:highlight w:val="none"/>
          <w:lang w:val="en-US" w:eastAsia="zh-CN" w:bidi="ar-SA"/>
        </w:rPr>
        <w:t>投标文件的组成（适用于暗标形式）</w:t>
      </w:r>
      <w:bookmarkEnd w:id="9"/>
    </w:p>
    <w:p w14:paraId="631CBA1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28B1609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43E91EB9">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71D86C6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554E42E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4B5BD6C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2D058DD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720C2C79">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2431EE6E">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0EF42E0E">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1B7C6D6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30289FA9">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0349408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041FE6B0">
      <w:pPr>
        <w:pStyle w:val="2"/>
        <w:rPr>
          <w:rFonts w:hint="default"/>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4AB3A129">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eastAsia" w:ascii="宋体" w:hAnsi="宋体" w:eastAsia="宋体" w:cs="宋体"/>
          <w:color w:val="auto"/>
          <w:spacing w:val="-2"/>
          <w:kern w:val="0"/>
          <w:sz w:val="24"/>
          <w:szCs w:val="24"/>
          <w:highlight w:val="none"/>
          <w:lang w:val="en-US" w:eastAsia="zh-CN" w:bidi="ar-SA"/>
        </w:rPr>
      </w:pPr>
      <w:r>
        <w:rPr>
          <w:rFonts w:hint="default" w:ascii="宋体" w:hAnsi="宋体" w:eastAsia="宋体"/>
          <w:b/>
          <w:bCs/>
          <w:color w:val="auto"/>
          <w:sz w:val="24"/>
          <w:szCs w:val="24"/>
          <w:highlight w:val="none"/>
        </w:rPr>
        <w:t>现文：</w:t>
      </w:r>
      <w:r>
        <w:rPr>
          <w:rFonts w:hint="default" w:ascii="宋体" w:hAnsi="宋体" w:eastAsia="宋体" w:cs="宋体"/>
          <w:color w:val="auto"/>
          <w:spacing w:val="-2"/>
          <w:kern w:val="0"/>
          <w:sz w:val="24"/>
          <w:szCs w:val="24"/>
          <w:highlight w:val="none"/>
          <w:lang w:val="en-US" w:eastAsia="zh-CN" w:bidi="ar-SA"/>
        </w:rPr>
        <w:t xml:space="preserve">3.1 </w:t>
      </w:r>
      <w:r>
        <w:rPr>
          <w:rFonts w:hint="eastAsia" w:ascii="宋体" w:hAnsi="宋体" w:eastAsia="宋体" w:cs="宋体"/>
          <w:color w:val="auto"/>
          <w:spacing w:val="-2"/>
          <w:kern w:val="0"/>
          <w:sz w:val="24"/>
          <w:szCs w:val="24"/>
          <w:highlight w:val="none"/>
          <w:lang w:val="en-US" w:eastAsia="zh-CN" w:bidi="ar-SA"/>
        </w:rPr>
        <w:t>投标文件的组成（适用于暗标形式）</w:t>
      </w:r>
    </w:p>
    <w:p w14:paraId="1BA0456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4071BA6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9693C9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3C1DF1DA">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43A3883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282860A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573B44C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14F456B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718F20D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2AC6CE1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2499B6E9">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3A2C4CF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6BB7545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2F31782A">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400" w:lineRule="exact"/>
        <w:ind w:firstLine="537" w:firstLineChars="22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53CCBC4D">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3.3.3</w:t>
      </w:r>
      <w:r>
        <w:rPr>
          <w:rFonts w:hint="default" w:ascii="宋体" w:hAnsi="宋体" w:eastAsia="宋体"/>
          <w:b/>
          <w:bCs/>
          <w:color w:val="auto"/>
          <w:sz w:val="24"/>
          <w:szCs w:val="24"/>
          <w:highlight w:val="none"/>
        </w:rPr>
        <w:t xml:space="preserve">             修改类型：修改</w:t>
      </w:r>
    </w:p>
    <w:p w14:paraId="2BBBD0B9">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896F428">
      <w:pPr>
        <w:pBdr>
          <w:bottom w:val="single" w:color="auto" w:sz="6" w:space="1"/>
        </w:pBd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w:t>
      </w:r>
      <w:r>
        <w:rPr>
          <w:rFonts w:hint="eastAsia" w:ascii="宋体" w:hAnsi="宋体" w:eastAsia="宋体" w:cs="宋体"/>
          <w:strike/>
          <w:dstrike w:val="0"/>
          <w:color w:val="auto"/>
          <w:kern w:val="0"/>
          <w:sz w:val="24"/>
          <w:szCs w:val="24"/>
          <w:highlight w:val="none"/>
        </w:rPr>
        <w:t>同意延长的，应相应延长其投标保证金的有效期，</w:t>
      </w:r>
      <w:r>
        <w:rPr>
          <w:rFonts w:hint="eastAsia" w:ascii="宋体" w:hAnsi="宋体" w:eastAsia="宋体" w:cs="宋体"/>
          <w:color w:val="auto"/>
          <w:kern w:val="0"/>
          <w:sz w:val="24"/>
          <w:szCs w:val="24"/>
          <w:highlight w:val="none"/>
        </w:rPr>
        <w:t>但不得要求或被允许修改其投标文件；投标人拒绝延长的，其投标失效，</w:t>
      </w:r>
      <w:r>
        <w:rPr>
          <w:rFonts w:hint="eastAsia" w:ascii="宋体" w:hAnsi="宋体" w:eastAsia="宋体" w:cs="宋体"/>
          <w:strike/>
          <w:dstrike w:val="0"/>
          <w:color w:val="auto"/>
          <w:kern w:val="0"/>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kern w:val="0"/>
          <w:sz w:val="24"/>
          <w:szCs w:val="24"/>
          <w:highlight w:val="none"/>
        </w:rPr>
        <w:t>。</w:t>
      </w:r>
    </w:p>
    <w:p w14:paraId="20062F11">
      <w:pPr>
        <w:pStyle w:val="2"/>
        <w:rPr>
          <w:rFonts w:hint="default"/>
        </w:rPr>
      </w:pPr>
    </w:p>
    <w:p w14:paraId="4577E971">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4</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eastAsia="zh-CN"/>
        </w:rPr>
        <w:t>1</w:t>
      </w:r>
      <w:r>
        <w:rPr>
          <w:rFonts w:hint="eastAsia" w:ascii="宋体" w:hAnsi="宋体" w:eastAsia="宋体"/>
          <w:b/>
          <w:bCs/>
          <w:color w:val="auto"/>
          <w:sz w:val="24"/>
          <w:szCs w:val="24"/>
          <w:highlight w:val="none"/>
          <w:lang w:val="en-US" w:eastAsia="zh-CN"/>
        </w:rPr>
        <w:t>至</w:t>
      </w:r>
      <w:r>
        <w:rPr>
          <w:rFonts w:hint="default"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3.4.6</w:t>
      </w:r>
      <w:r>
        <w:rPr>
          <w:rFonts w:hint="default" w:ascii="宋体" w:hAnsi="宋体" w:eastAsia="宋体"/>
          <w:b/>
          <w:bCs/>
          <w:color w:val="auto"/>
          <w:sz w:val="24"/>
          <w:szCs w:val="24"/>
          <w:highlight w:val="none"/>
        </w:rPr>
        <w:t xml:space="preserve">         修改类型：删除</w:t>
      </w:r>
    </w:p>
    <w:p w14:paraId="622186AB">
      <w:pPr>
        <w:wordWrap w:val="0"/>
        <w:autoSpaceDE w:val="0"/>
        <w:autoSpaceDN w:val="0"/>
        <w:spacing w:line="360" w:lineRule="auto"/>
        <w:ind w:firstLine="482" w:firstLineChars="200"/>
        <w:rPr>
          <w:rFonts w:ascii="宋体" w:hAnsi="宋体" w:eastAsia="宋体" w:cs="宋体"/>
          <w:color w:val="auto"/>
          <w:kern w:val="0"/>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7D55777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4D3478C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49C3E24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在提交投标文件截止时间后到招标文件规定的投标有效期终止之前，投标人不得撤销其投标文件，否则招标人可以不退还投标保证金。</w:t>
      </w:r>
    </w:p>
    <w:p w14:paraId="5C2EC1B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有下列情形之一的，投标保证金将不予退还：</w:t>
      </w:r>
    </w:p>
    <w:p w14:paraId="0C0C0B9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（1）投标人在提交投标文件截止时间后到招标文件规定的投标有效期终止之前撤销投标文件；</w:t>
      </w:r>
    </w:p>
    <w:p w14:paraId="088B366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617A047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（3）发生投标人须知前附表规定的其他可以不予退还投标保证金的情形。</w:t>
      </w:r>
    </w:p>
    <w:p w14:paraId="3F1DC2E9">
      <w:pPr>
        <w:pBdr>
          <w:bottom w:val="single" w:color="auto" w:sz="6" w:space="1"/>
        </w:pBdr>
        <w:spacing w:beforeLines="0" w:afterLines="0" w:line="480" w:lineRule="auto"/>
        <w:ind w:firstLine="537" w:firstLineChars="224"/>
        <w:jc w:val="both"/>
        <w:rPr>
          <w:rFonts w:hint="default" w:ascii="宋体" w:hAnsi="宋体" w:eastAsia="宋体"/>
          <w:color w:val="auto"/>
          <w:sz w:val="24"/>
          <w:szCs w:val="24"/>
          <w:highlight w:val="none"/>
        </w:rPr>
      </w:pPr>
      <w:r>
        <w:rPr>
          <w:rFonts w:hint="eastAsia" w:ascii="宋体" w:hAnsi="宋体" w:eastAsia="宋体" w:cs="宋体"/>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9882E96">
      <w:pPr>
        <w:pStyle w:val="44"/>
        <w:ind w:left="0" w:leftChars="0" w:firstLine="472" w:firstLineChars="200"/>
        <w:rPr>
          <w:rFonts w:hint="default" w:ascii="宋体" w:hAnsi="宋体" w:eastAsia="宋体" w:cs="宋体"/>
          <w:color w:val="auto"/>
          <w:spacing w:val="-2"/>
          <w:kern w:val="0"/>
          <w:sz w:val="24"/>
          <w:szCs w:val="24"/>
          <w:highlight w:val="none"/>
          <w:lang w:val="en-US" w:eastAsia="zh-CN"/>
        </w:rPr>
      </w:pPr>
    </w:p>
    <w:p w14:paraId="397FA57D">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14:paraId="1D0EE0F4">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79BA1694">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4B604E32">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452708A3">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3.5.4 投标人须知前附表规定接受联合体投标的，本章第3.5.1项至第3.5.3项规定的表格和资料应包括联合体各方相关情况。</w:t>
      </w:r>
    </w:p>
    <w:p w14:paraId="7E02D4A9">
      <w:pPr>
        <w:spacing w:line="360" w:lineRule="auto"/>
        <w:ind w:firstLine="426" w:firstLineChars="177"/>
        <w:rPr>
          <w:rFonts w:ascii="宋体" w:hAnsi="宋体" w:eastAsia="宋体"/>
          <w:strike/>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strike/>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6DC831B9">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5789AF32">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33177848">
      <w:pPr>
        <w:spacing w:line="360" w:lineRule="auto"/>
        <w:ind w:firstLine="424" w:firstLineChars="177"/>
        <w:rPr>
          <w:rFonts w:ascii="宋体" w:hAnsi="宋体" w:eastAsia="宋体"/>
          <w:b/>
          <w:bCs/>
          <w:strike/>
          <w:color w:val="auto"/>
          <w:sz w:val="24"/>
          <w:szCs w:val="24"/>
          <w:highlight w:val="none"/>
          <w:u w:val="single"/>
        </w:rPr>
      </w:pPr>
      <w:r>
        <w:rPr>
          <w:rFonts w:hint="eastAsia" w:ascii="宋体" w:hAnsi="宋体" w:eastAsia="宋体"/>
          <w:strike/>
          <w:color w:val="auto"/>
          <w:sz w:val="24"/>
          <w:szCs w:val="24"/>
          <w:highlight w:val="none"/>
        </w:rPr>
        <w:t>3.5.4 投标人须知前附表规定接受联合体投标的，本章第3.5.1项至第3.5.3项规定的表格和资料应包括联合体各方相关情况。</w:t>
      </w:r>
    </w:p>
    <w:p w14:paraId="4BF0FB24">
      <w:pPr>
        <w:pBdr>
          <w:bottom w:val="single" w:color="auto" w:sz="6" w:space="1"/>
        </w:pBdr>
        <w:spacing w:line="360" w:lineRule="auto"/>
        <w:ind w:firstLine="426" w:firstLineChars="177"/>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3.5.1 资格审查资料详见第六章“投标文件格式”。</w:t>
      </w:r>
    </w:p>
    <w:p w14:paraId="7A549ACF">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3.6</w:t>
      </w:r>
      <w:r>
        <w:rPr>
          <w:rFonts w:hint="default" w:ascii="宋体" w:hAnsi="宋体" w:eastAsia="宋体"/>
          <w:b/>
          <w:bCs/>
          <w:color w:val="auto"/>
          <w:sz w:val="24"/>
          <w:szCs w:val="24"/>
          <w:highlight w:val="none"/>
        </w:rPr>
        <w:t xml:space="preserve">             修改类型：删除</w:t>
      </w:r>
    </w:p>
    <w:p w14:paraId="550734F7">
      <w:pPr>
        <w:keepNext/>
        <w:keepLines/>
        <w:wordWrap w:val="0"/>
        <w:spacing w:before="260" w:line="416" w:lineRule="auto"/>
        <w:ind w:firstLine="482" w:firstLineChars="200"/>
        <w:outlineLvl w:val="2"/>
        <w:rPr>
          <w:rFonts w:hint="default" w:ascii="宋体" w:hAnsi="宋体" w:eastAsia="宋体"/>
          <w:color w:val="auto"/>
          <w:sz w:val="24"/>
          <w:szCs w:val="24"/>
          <w:highlight w:val="none"/>
          <w:lang w:val="zh-CN"/>
        </w:rPr>
      </w:pPr>
      <w:r>
        <w:rPr>
          <w:rFonts w:hint="default" w:ascii="宋体" w:hAnsi="宋体" w:eastAsia="宋体"/>
          <w:b/>
          <w:bCs/>
          <w:color w:val="auto"/>
          <w:sz w:val="24"/>
          <w:szCs w:val="24"/>
          <w:highlight w:val="none"/>
        </w:rPr>
        <w:t>原文：</w:t>
      </w:r>
      <w:r>
        <w:rPr>
          <w:rFonts w:hint="eastAsia" w:ascii="宋体" w:hAnsi="宋体" w:eastAsia="宋体"/>
          <w:color w:val="auto"/>
          <w:sz w:val="24"/>
          <w:szCs w:val="24"/>
          <w:highlight w:val="none"/>
          <w:lang w:val="zh-CN"/>
        </w:rPr>
        <w:t>3.6 备选投标方案</w:t>
      </w:r>
    </w:p>
    <w:p w14:paraId="2B68986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除投标人须知前附表规定允许外，投标人不得递交备选投标方案，否则其投标将被否决。</w:t>
      </w:r>
    </w:p>
    <w:p w14:paraId="13A696A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40E899D">
      <w:pPr>
        <w:pBdr>
          <w:bottom w:val="single" w:color="auto" w:sz="6" w:space="1"/>
        </w:pBdr>
        <w:spacing w:beforeLines="0" w:afterLines="0" w:line="480" w:lineRule="auto"/>
        <w:ind w:firstLine="537" w:firstLineChars="224"/>
        <w:jc w:val="both"/>
        <w:rPr>
          <w:rFonts w:hint="eastAsia" w:ascii="宋体" w:hAnsi="宋体" w:eastAsia="宋体"/>
          <w:color w:val="auto"/>
          <w:sz w:val="24"/>
          <w:szCs w:val="24"/>
          <w:highlight w:val="none"/>
          <w:lang w:eastAsia="zh-CN"/>
        </w:rPr>
      </w:pPr>
      <w:r>
        <w:rPr>
          <w:rFonts w:hint="eastAsia" w:ascii="宋体" w:hAnsi="宋体" w:eastAsia="宋体" w:cs="宋体"/>
          <w:color w:val="auto"/>
          <w:kern w:val="0"/>
          <w:sz w:val="24"/>
          <w:szCs w:val="24"/>
          <w:highlight w:val="none"/>
        </w:rPr>
        <w:t>3.6.3 投标人提供两个或两个以上投标报价，或者在投标文件中提供一个报价，但同时提供两个或两个以上勘察设计方案的，视为提供备选方案</w:t>
      </w:r>
      <w:r>
        <w:rPr>
          <w:rFonts w:hint="eastAsia" w:ascii="宋体" w:hAnsi="宋体" w:eastAsia="宋体" w:cs="宋体"/>
          <w:color w:val="auto"/>
          <w:kern w:val="0"/>
          <w:sz w:val="24"/>
          <w:szCs w:val="24"/>
          <w:highlight w:val="none"/>
          <w:lang w:eastAsia="zh-CN"/>
        </w:rPr>
        <w:t>。</w:t>
      </w:r>
    </w:p>
    <w:p w14:paraId="75FF1A2F">
      <w:pPr>
        <w:pStyle w:val="2"/>
      </w:pPr>
    </w:p>
    <w:p w14:paraId="5973DAEE">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cs="Times New Roman"/>
          <w:b/>
          <w:bCs/>
          <w:color w:val="auto"/>
          <w:sz w:val="24"/>
          <w:szCs w:val="24"/>
          <w:highlight w:val="none"/>
          <w:lang w:val="en-US" w:eastAsia="zh-CN" w:bidi="ar-SA"/>
        </w:rPr>
        <w:t>4.3.1</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修改类型：修改</w:t>
      </w:r>
    </w:p>
    <w:p w14:paraId="4CAC8245">
      <w:pPr>
        <w:spacing w:before="68" w:line="352" w:lineRule="auto"/>
        <w:ind w:firstLine="482" w:firstLineChars="200"/>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 但应以书面形式通知招标人。</w:t>
      </w:r>
    </w:p>
    <w:p w14:paraId="573ECD29">
      <w:pPr>
        <w:pBdr>
          <w:bottom w:val="single" w:color="auto" w:sz="6" w:space="1"/>
        </w:pBd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w:t>
      </w:r>
      <w:r>
        <w:rPr>
          <w:rFonts w:hint="eastAsia" w:ascii="宋体" w:hAnsi="宋体" w:eastAsia="宋体" w:cs="Times New Roman"/>
          <w:strike/>
          <w:dstrike w:val="0"/>
          <w:color w:val="auto"/>
          <w:sz w:val="24"/>
          <w:szCs w:val="24"/>
          <w:highlight w:val="none"/>
          <w:lang w:val="en-US" w:eastAsia="zh-CN" w:bidi="ar-SA"/>
        </w:rPr>
        <w:t>， 但应以书面形式通知招标人</w:t>
      </w:r>
      <w:r>
        <w:rPr>
          <w:rFonts w:hint="eastAsia" w:ascii="宋体" w:hAnsi="宋体" w:eastAsia="宋体" w:cs="Times New Roman"/>
          <w:color w:val="auto"/>
          <w:sz w:val="24"/>
          <w:szCs w:val="24"/>
          <w:highlight w:val="none"/>
          <w:lang w:val="en-US" w:eastAsia="zh-CN" w:bidi="ar-SA"/>
        </w:rPr>
        <w:t>。</w:t>
      </w:r>
    </w:p>
    <w:p w14:paraId="346DF33E">
      <w:pP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4.3.5</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修改类型：删除</w:t>
      </w:r>
    </w:p>
    <w:p w14:paraId="2E7D505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4.3.5 投标人撤回投标文件的，招标人自收到投标人书面撤回通知之日起 5 日内退还已收取的投标保证金</w:t>
      </w:r>
      <w:r>
        <w:rPr>
          <w:rFonts w:hint="eastAsia" w:ascii="宋体" w:hAnsi="宋体" w:cs="宋体"/>
          <w:color w:val="auto"/>
          <w:sz w:val="24"/>
          <w:szCs w:val="24"/>
          <w:highlight w:val="none"/>
        </w:rPr>
        <w:t>。</w:t>
      </w:r>
    </w:p>
    <w:p w14:paraId="160AA679">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olor w:val="auto"/>
          <w:sz w:val="24"/>
          <w:szCs w:val="24"/>
          <w:highlight w:val="none"/>
        </w:rPr>
      </w:pPr>
    </w:p>
    <w:p w14:paraId="12B355EC">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5.2.1</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修改类型：修改</w:t>
      </w:r>
    </w:p>
    <w:p w14:paraId="284670F4">
      <w:pPr>
        <w:spacing w:before="2" w:line="351" w:lineRule="auto"/>
        <w:ind w:left="18" w:right="60" w:firstLine="397" w:firstLineChars="0"/>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1916C9A7">
      <w:pPr>
        <w:pBdr>
          <w:bottom w:val="single" w:color="auto" w:sz="6" w:space="1"/>
        </w:pBd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Times New Roman"/>
          <w:strike/>
          <w:color w:val="auto"/>
          <w:sz w:val="24"/>
          <w:szCs w:val="24"/>
          <w:highlight w:val="none"/>
          <w:lang w:val="en-US" w:eastAsia="zh-CN" w:bidi="ar-SA"/>
        </w:rPr>
        <w:t>投标保证金的递交情况、</w:t>
      </w:r>
      <w:r>
        <w:rPr>
          <w:rFonts w:hint="eastAsia" w:ascii="宋体" w:hAnsi="宋体" w:eastAsia="宋体" w:cs="Times New Roman"/>
          <w:color w:val="auto"/>
          <w:sz w:val="24"/>
          <w:szCs w:val="24"/>
          <w:highlight w:val="none"/>
          <w:lang w:val="en-US" w:eastAsia="zh-CN" w:bidi="ar-SA"/>
        </w:rPr>
        <w:t>投标报价、项目负责人及其他内容。未在规定时间内解密的投标文件不参与开标、评标。</w:t>
      </w:r>
    </w:p>
    <w:p w14:paraId="142BFDD9">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 xml:space="preserve">条款号：6.1.4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修改类型：增加</w:t>
      </w:r>
    </w:p>
    <w:p w14:paraId="32EBC0B6">
      <w:pPr>
        <w:pBdr>
          <w:bottom w:val="single" w:color="auto" w:sz="6" w:space="1"/>
        </w:pBd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现文：6.1.4 评标委员会在开始评标前，应了解评标专家的职责及守则，认真阅读附件《评标委员会成员声明》的内容并签名，签名后方可进行评标。</w:t>
      </w:r>
    </w:p>
    <w:p w14:paraId="514905B3">
      <w:pPr>
        <w:spacing w:line="360" w:lineRule="auto"/>
        <w:ind w:firstLine="540" w:firstLineChars="224"/>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条款号：7.5.1             修改类型：修改</w:t>
      </w:r>
    </w:p>
    <w:p w14:paraId="31EC5AFD">
      <w:pPr>
        <w:spacing w:line="360" w:lineRule="auto"/>
        <w:ind w:firstLine="540" w:firstLineChars="224"/>
        <w:rPr>
          <w:rFonts w:hint="default"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7.5.1 在法规规定的时间内，招标人向中标人发出中标通知书。在广东省招标投标监管网和广州交易集团有限公司（广州公共资源交易中心）网站发布中标信息，视同将中标结果通知未中标的投标人</w:t>
      </w:r>
      <w:r>
        <w:rPr>
          <w:rFonts w:hint="default" w:ascii="宋体" w:hAnsi="宋体" w:eastAsia="宋体" w:cs="Times New Roman"/>
          <w:color w:val="auto"/>
          <w:sz w:val="24"/>
          <w:szCs w:val="24"/>
          <w:highlight w:val="none"/>
          <w:lang w:val="en-US" w:eastAsia="zh-CN" w:bidi="ar-SA"/>
        </w:rPr>
        <w:t>。</w:t>
      </w:r>
    </w:p>
    <w:p w14:paraId="07DC2F03">
      <w:pPr>
        <w:pBdr>
          <w:bottom w:val="single" w:color="auto" w:sz="6" w:space="1"/>
        </w:pBd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7.5.1 在法规规定的时间内，</w:t>
      </w:r>
      <w:r>
        <w:rPr>
          <w:rFonts w:hint="eastAsia" w:ascii="宋体" w:hAnsi="宋体" w:eastAsia="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在广东省招标投标监管网和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网站发布中标信息，视同将中标结果通知未中标的投标人。</w:t>
      </w:r>
    </w:p>
    <w:p w14:paraId="73C36638">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7.7.2</w:t>
      </w:r>
      <w:r>
        <w:rPr>
          <w:rFonts w:hint="default" w:ascii="宋体" w:hAnsi="宋体" w:eastAsia="宋体"/>
          <w:b/>
          <w:bCs/>
          <w:color w:val="auto"/>
          <w:sz w:val="24"/>
          <w:szCs w:val="24"/>
          <w:highlight w:val="none"/>
        </w:rPr>
        <w:t xml:space="preserve">             修改类型：修改</w:t>
      </w:r>
    </w:p>
    <w:p w14:paraId="54464641">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firstLineChars="224"/>
        <w:jc w:val="both"/>
        <w:textAlignment w:val="auto"/>
        <w:rPr>
          <w:rFonts w:hint="default"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7.7.2 中标人不能按本章第 7.7.1 项要求提交履约保证金的，视为放弃中标，其投标保证金不予退还，给招标人造成的损失超过投标保证金数额的，中标人还应当对超过部分予以赔偿。</w:t>
      </w:r>
    </w:p>
    <w:p w14:paraId="22F1CCDD">
      <w:pPr>
        <w:pBdr>
          <w:bottom w:val="single" w:color="auto" w:sz="6" w:space="1"/>
        </w:pBdr>
        <w:spacing w:beforeLines="0" w:afterLines="0" w:line="480" w:lineRule="auto"/>
        <w:ind w:firstLine="540" w:firstLineChars="224"/>
        <w:jc w:val="both"/>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7.7.2 中标人不能按本章第 7.7.1 项要求提交履约保证金的，视为放弃中标</w:t>
      </w:r>
      <w:r>
        <w:rPr>
          <w:rFonts w:hint="eastAsia" w:ascii="宋体" w:hAnsi="宋体" w:eastAsia="宋体" w:cs="Times New Roman"/>
          <w:strike/>
          <w:dstrike w:val="0"/>
          <w:color w:val="auto"/>
          <w:sz w:val="24"/>
          <w:szCs w:val="24"/>
          <w:highlight w:val="none"/>
          <w:lang w:val="en-US" w:eastAsia="zh-CN" w:bidi="ar-SA"/>
        </w:rPr>
        <w:t>，其投标保证金不予退还，给招标人造成的损失超过投标保证金数额的，中标人还应当对超过部分予以赔偿</w:t>
      </w:r>
      <w:r>
        <w:rPr>
          <w:rFonts w:hint="eastAsia" w:ascii="宋体" w:hAnsi="宋体" w:eastAsia="宋体" w:cs="Times New Roman"/>
          <w:color w:val="auto"/>
          <w:sz w:val="24"/>
          <w:szCs w:val="24"/>
          <w:highlight w:val="none"/>
          <w:lang w:val="en-US" w:eastAsia="zh-CN" w:bidi="ar-SA"/>
        </w:rPr>
        <w:t>。</w:t>
      </w:r>
    </w:p>
    <w:p w14:paraId="4DA692C7">
      <w:pPr>
        <w:spacing w:beforeLines="0" w:afterLines="0" w:line="480" w:lineRule="auto"/>
        <w:ind w:firstLine="540" w:firstLineChars="224"/>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7.8.1至7.8.2</w:t>
      </w:r>
      <w:r>
        <w:rPr>
          <w:rFonts w:hint="default" w:ascii="宋体" w:hAnsi="宋体" w:eastAsia="宋体"/>
          <w:b/>
          <w:bCs/>
          <w:color w:val="auto"/>
          <w:sz w:val="24"/>
          <w:szCs w:val="24"/>
          <w:highlight w:val="none"/>
        </w:rPr>
        <w:t xml:space="preserve">             修改类型：修改</w:t>
      </w:r>
    </w:p>
    <w:p w14:paraId="3286E446">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firstLineChars="224"/>
        <w:jc w:val="both"/>
        <w:textAlignment w:val="auto"/>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7.8.1 招标人和中标人应当在中标通知书发出之日起 30 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536D93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eastAsia" w:ascii="宋体" w:hAnsi="宋体" w:eastAsia="宋体" w:cs="Times New Roman"/>
          <w:color w:val="auto"/>
          <w:kern w:val="2"/>
          <w:sz w:val="24"/>
          <w:szCs w:val="24"/>
          <w:highlight w:val="none"/>
          <w:lang w:val="en-US" w:eastAsia="zh-CN" w:bidi="ar-SA"/>
        </w:rPr>
        <w:t>7.8.2 发出中标通知书后，招标人无正当理由拒签合同，或者在签订合同时向中标人提出附加条件的，招标人向中标人退还投标保证金；给中标人造成损失的，还应当赔偿损失</w:t>
      </w:r>
      <w:r>
        <w:rPr>
          <w:rFonts w:hint="eastAsia" w:ascii="宋体" w:hAnsi="宋体" w:cs="Times New Roman"/>
          <w:color w:val="auto"/>
          <w:kern w:val="2"/>
          <w:sz w:val="24"/>
          <w:szCs w:val="24"/>
          <w:highlight w:val="none"/>
          <w:lang w:val="en-US" w:eastAsia="zh-CN" w:bidi="ar-SA"/>
        </w:rPr>
        <w:t>。</w:t>
      </w:r>
    </w:p>
    <w:p w14:paraId="0919F17C">
      <w:pPr>
        <w:pBdr>
          <w:bottom w:val="single" w:color="auto" w:sz="6" w:space="1"/>
        </w:pBdr>
        <w:spacing w:beforeLines="0" w:afterLines="0" w:line="480" w:lineRule="auto"/>
        <w:ind w:firstLine="540" w:firstLineChars="224"/>
        <w:jc w:val="both"/>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7.8.1 招标人和中标人应当在中标通知书发出之日起 30 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w:t>
      </w:r>
      <w:r>
        <w:rPr>
          <w:rFonts w:hint="eastAsia" w:ascii="宋体" w:hAnsi="宋体" w:eastAsia="宋体" w:cs="Times New Roman"/>
          <w:strike/>
          <w:dstrike w:val="0"/>
          <w:color w:val="auto"/>
          <w:sz w:val="24"/>
          <w:szCs w:val="24"/>
          <w:highlight w:val="none"/>
          <w:lang w:val="en-US" w:eastAsia="zh-CN" w:bidi="ar-SA"/>
        </w:rPr>
        <w:t>其投标保证金不予退还；给招标人造成的损失超过投标保证金数额的，中标人还应当对超过部分予以赔偿</w:t>
      </w:r>
      <w:r>
        <w:rPr>
          <w:rFonts w:hint="eastAsia" w:ascii="宋体" w:hAnsi="宋体" w:eastAsia="宋体" w:cs="Times New Roman"/>
          <w:color w:val="auto"/>
          <w:sz w:val="24"/>
          <w:szCs w:val="24"/>
          <w:highlight w:val="none"/>
          <w:lang w:val="en-US" w:eastAsia="zh-CN" w:bidi="ar-SA"/>
        </w:rPr>
        <w:t>。</w:t>
      </w:r>
    </w:p>
    <w:p w14:paraId="2E6E40DA">
      <w:pPr>
        <w:pBdr>
          <w:bottom w:val="single" w:color="auto" w:sz="6" w:space="1"/>
        </w:pBdr>
        <w:spacing w:beforeLines="0" w:afterLines="0" w:line="480" w:lineRule="auto"/>
        <w:ind w:firstLine="537" w:firstLineChars="224"/>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7.8.2 发出中标通知书后，招标人无正当理由拒签合同，或者在签订合同时向中标人提出附加条件的</w:t>
      </w:r>
      <w:r>
        <w:rPr>
          <w:rFonts w:hint="eastAsia" w:ascii="宋体" w:hAnsi="宋体" w:eastAsia="宋体" w:cs="Times New Roman"/>
          <w:strike/>
          <w:dstrike w:val="0"/>
          <w:color w:val="auto"/>
          <w:kern w:val="2"/>
          <w:sz w:val="24"/>
          <w:szCs w:val="24"/>
          <w:highlight w:val="none"/>
          <w:lang w:val="en-US" w:eastAsia="zh-CN" w:bidi="ar-SA"/>
        </w:rPr>
        <w:t>，招标人向中标人退还投标保证金</w:t>
      </w:r>
      <w:r>
        <w:rPr>
          <w:rFonts w:hint="eastAsia" w:ascii="宋体" w:hAnsi="宋体" w:eastAsia="宋体" w:cs="Times New Roman"/>
          <w:color w:val="auto"/>
          <w:kern w:val="2"/>
          <w:sz w:val="24"/>
          <w:szCs w:val="24"/>
          <w:highlight w:val="none"/>
          <w:lang w:val="en-US" w:eastAsia="zh-CN" w:bidi="ar-SA"/>
        </w:rPr>
        <w:t>；给中标人造成损失的，还应当赔偿损失。</w:t>
      </w:r>
    </w:p>
    <w:p w14:paraId="44E0D2E3">
      <w:pPr>
        <w:pStyle w:val="2"/>
        <w:rPr>
          <w:rFonts w:hint="default"/>
        </w:rPr>
      </w:pPr>
    </w:p>
    <w:p w14:paraId="32A5123B">
      <w:pPr>
        <w:pStyle w:val="2"/>
        <w:rPr>
          <w:rFonts w:hint="default"/>
        </w:rPr>
      </w:pPr>
    </w:p>
    <w:p w14:paraId="1C484E4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olor w:val="auto"/>
          <w:sz w:val="24"/>
          <w:szCs w:val="24"/>
          <w:highlight w:val="none"/>
        </w:rPr>
      </w:pPr>
    </w:p>
    <w:p w14:paraId="764B0AD6">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37EBB299">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14:paraId="42F3EFC2">
      <w:pPr>
        <w:wordWrap w:val="0"/>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341B6ED">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 w:name="_Toc111186724"/>
      <w:bookmarkStart w:id="11" w:name="_Toc193357939"/>
      <w:bookmarkStart w:id="12" w:name="_Toc3060"/>
      <w:r>
        <w:rPr>
          <w:rFonts w:hint="eastAsia" w:ascii="宋体" w:hAnsi="宋体" w:eastAsia="宋体" w:cs="宋体"/>
          <w:b/>
          <w:bCs/>
          <w:color w:val="auto"/>
          <w:kern w:val="0"/>
          <w:sz w:val="30"/>
          <w:szCs w:val="30"/>
          <w:highlight w:val="none"/>
          <w:lang w:val="zh-CN"/>
        </w:rPr>
        <w:t>1. 总则</w:t>
      </w:r>
      <w:bookmarkEnd w:id="10"/>
      <w:bookmarkEnd w:id="11"/>
      <w:bookmarkEnd w:id="12"/>
    </w:p>
    <w:p w14:paraId="2B136695">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3" w:name="_Toc111186725"/>
      <w:bookmarkStart w:id="14" w:name="_Toc7733"/>
      <w:bookmarkStart w:id="15" w:name="_Toc193357940"/>
      <w:r>
        <w:rPr>
          <w:rFonts w:hint="eastAsia" w:ascii="宋体" w:hAnsi="宋体" w:eastAsia="宋体" w:cs="宋体"/>
          <w:b/>
          <w:bCs/>
          <w:color w:val="auto"/>
          <w:spacing w:val="1"/>
          <w:sz w:val="28"/>
          <w:szCs w:val="32"/>
          <w:highlight w:val="none"/>
          <w:lang w:val="zh-CN"/>
        </w:rPr>
        <w:t>1.1 招标项目概况</w:t>
      </w:r>
      <w:bookmarkEnd w:id="13"/>
      <w:bookmarkEnd w:id="14"/>
      <w:bookmarkEnd w:id="15"/>
    </w:p>
    <w:p w14:paraId="22533CB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 根据《中华人民共和国招标投标法》、《中华人民共和国招标投标法实施条例》等有关法律、法规和规章的规定，本招标项目已具备招标条件，现对勘察设计进行招标。</w:t>
      </w:r>
    </w:p>
    <w:p w14:paraId="5F9F6B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 招标人：见投标人须知前附表。</w:t>
      </w:r>
    </w:p>
    <w:p w14:paraId="01E2CD6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1.1.3 招标代理机构：见投标人须知前附表。</w:t>
      </w:r>
    </w:p>
    <w:p w14:paraId="74ED7BC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1.1.4 招标项目名称：见投标人须知前附表。</w:t>
      </w:r>
    </w:p>
    <w:p w14:paraId="55B3031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1.1.5 项目建设地点：见投标人须知前附表。</w:t>
      </w:r>
    </w:p>
    <w:p w14:paraId="4F8BAE1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1.1.6 项目建设规模：见投标人须知前附表。</w:t>
      </w:r>
    </w:p>
    <w:p w14:paraId="40A1353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1.1.7 项目投资估算：见投标人须知前附表。</w:t>
      </w:r>
    </w:p>
    <w:p w14:paraId="0383395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C3BF84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 w:name="_Toc111186726"/>
      <w:bookmarkStart w:id="17" w:name="_Toc14504"/>
      <w:bookmarkStart w:id="18" w:name="_Toc193357941"/>
      <w:r>
        <w:rPr>
          <w:rFonts w:hint="eastAsia" w:ascii="宋体" w:hAnsi="宋体" w:eastAsia="宋体" w:cs="宋体"/>
          <w:b/>
          <w:bCs/>
          <w:color w:val="auto"/>
          <w:spacing w:val="1"/>
          <w:sz w:val="28"/>
          <w:szCs w:val="32"/>
          <w:highlight w:val="none"/>
          <w:lang w:val="zh-CN"/>
        </w:rPr>
        <w:t>1.2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6"/>
      <w:bookmarkEnd w:id="17"/>
      <w:bookmarkEnd w:id="18"/>
    </w:p>
    <w:p w14:paraId="03B099A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1.2.1 资金来源及比例：见投标人须知前附表。</w:t>
      </w:r>
    </w:p>
    <w:p w14:paraId="2904728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1.2.2 资金落实情况：见投标人须知前附表。</w:t>
      </w:r>
    </w:p>
    <w:p w14:paraId="2AAAF92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C25A2B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 w:name="_Toc193357942"/>
      <w:bookmarkStart w:id="20" w:name="_Toc13854"/>
      <w:bookmarkStart w:id="21" w:name="_Toc111186727"/>
      <w:r>
        <w:rPr>
          <w:rFonts w:hint="eastAsia" w:ascii="宋体" w:hAnsi="宋体" w:eastAsia="宋体" w:cs="宋体"/>
          <w:b/>
          <w:bCs/>
          <w:color w:val="auto"/>
          <w:spacing w:val="1"/>
          <w:sz w:val="28"/>
          <w:szCs w:val="32"/>
          <w:highlight w:val="none"/>
          <w:lang w:val="zh-CN"/>
        </w:rPr>
        <w:t>1.3</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、勘察设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19"/>
      <w:bookmarkEnd w:id="20"/>
      <w:bookmarkEnd w:id="21"/>
    </w:p>
    <w:p w14:paraId="4AE013E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1.3.1 招标范围：见投标人须知前附表。</w:t>
      </w:r>
    </w:p>
    <w:p w14:paraId="1167910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1.3.2 勘察设计服务期限：见投标人须知前附表。</w:t>
      </w:r>
    </w:p>
    <w:p w14:paraId="4D32AD4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1.3.3 质量标准：见投标人须知前附表。</w:t>
      </w:r>
    </w:p>
    <w:p w14:paraId="2C2E556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890589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2" w:name="_Toc193357943"/>
      <w:bookmarkStart w:id="23" w:name="_Toc22012"/>
      <w:bookmarkStart w:id="24" w:name="_Toc111186728"/>
      <w:r>
        <w:rPr>
          <w:rFonts w:hint="eastAsia" w:ascii="宋体" w:hAnsi="宋体" w:eastAsia="宋体" w:cs="宋体"/>
          <w:b/>
          <w:bCs/>
          <w:color w:val="auto"/>
          <w:spacing w:val="1"/>
          <w:sz w:val="28"/>
          <w:szCs w:val="32"/>
          <w:highlight w:val="none"/>
          <w:lang w:val="zh-CN"/>
        </w:rPr>
        <w:t>1.4</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2"/>
      <w:bookmarkEnd w:id="23"/>
      <w:bookmarkEnd w:id="24"/>
    </w:p>
    <w:p w14:paraId="3F2466A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1.4.1 投标人应具备承担本招标项目资质条件、能力和信誉：</w:t>
      </w:r>
    </w:p>
    <w:p w14:paraId="72825B7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（1）资质要求：见投标人须知前附表；</w:t>
      </w:r>
    </w:p>
    <w:p w14:paraId="0DFD00A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（2）业绩要求：见投标人须知前附表；</w:t>
      </w:r>
    </w:p>
    <w:p w14:paraId="3E0E3D7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（3）项目负责人的资格要求：应当具备工程设计类注册执业资格（如有），具体要求见投标人须知前附表；</w:t>
      </w:r>
    </w:p>
    <w:p w14:paraId="4358C65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（4）其他主要人员要求：见投标人须知前附表。</w:t>
      </w:r>
    </w:p>
    <w:p w14:paraId="3FBCBAD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（5）其他要求：见投标人须知前附表。</w:t>
      </w:r>
    </w:p>
    <w:p w14:paraId="465974E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需要提交的相关证明材料见本章第3.5款的规定。</w:t>
      </w:r>
    </w:p>
    <w:p w14:paraId="70E743E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1.4.2 投标人须知前附表规定接受联合体投标的，联合体除应符合本章第1.4.1项和投标人须知前附表的要求外，还应遵守以下规定：</w:t>
      </w:r>
    </w:p>
    <w:p w14:paraId="732490F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（1）联合体各方应按招标文件提供的格式签订联合体协议书，明确联合体牵头人和各方权利义务，并承诺就中标项目向招标人承担连带责任；</w:t>
      </w:r>
    </w:p>
    <w:p w14:paraId="5CD944F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（2）由同一专业的单位组成的联合体，按照资质等级较低的单位确定资质等级；</w:t>
      </w:r>
    </w:p>
    <w:p w14:paraId="58D1EC9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（3）联合体各方不得再以自己名义单独或参加其他联合体在本招标项目中投标，否则各相关投标均无效。</w:t>
      </w:r>
    </w:p>
    <w:p w14:paraId="65444E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1.4.3 投标人不得存在下列情形之一：</w:t>
      </w:r>
    </w:p>
    <w:p w14:paraId="087915C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（1）为招标人不具有独立法人资格的附属机构（单位）；</w:t>
      </w:r>
    </w:p>
    <w:p w14:paraId="28455AE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（2）与招标人存在利害关系且可能影响招标公正性；</w:t>
      </w:r>
    </w:p>
    <w:p w14:paraId="07BDCB3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（3）与本招标项目的其他投标人为同一个单位负责人；</w:t>
      </w:r>
    </w:p>
    <w:p w14:paraId="172A527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（4）与本招标项目的其他投标人存在控股、管理关系；</w:t>
      </w:r>
    </w:p>
    <w:p w14:paraId="4DA9F29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（5）为本招标项目的代建人或建设管理单位；</w:t>
      </w:r>
    </w:p>
    <w:p w14:paraId="0BCBC15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（6）为本招标项目的招标代理机构；</w:t>
      </w:r>
    </w:p>
    <w:p w14:paraId="22C56C4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（7）与本招标项目的代建人或招标代理机构同为一个法定代表人；</w:t>
      </w:r>
    </w:p>
    <w:p w14:paraId="0AD74CF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（8）与本招标项目的代建人或招标代理机构存在控股或参股关系；</w:t>
      </w:r>
    </w:p>
    <w:p w14:paraId="00B1490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C4C219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（10）被责令停产停业、暂扣或者吊销许可证、暂扣或者吊销执照（本项事实应当以根据《中华人民共和国行政处罚法》依法作出并已生效的行政处罚决定为认定依据）；</w:t>
      </w:r>
    </w:p>
    <w:p w14:paraId="7FB225C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（11）进入清算程序，或被宣告破产，或其他丧失履约能力的情形；</w:t>
      </w:r>
    </w:p>
    <w:p w14:paraId="705F386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48A3901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（13）法律法规或投标人须知前附表规定的其他情形。</w:t>
      </w:r>
    </w:p>
    <w:p w14:paraId="45DCA59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CC971C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 w:name="_Toc193357944"/>
      <w:bookmarkStart w:id="26" w:name="_Toc29074"/>
      <w:bookmarkStart w:id="27" w:name="_Toc111186729"/>
      <w:r>
        <w:rPr>
          <w:rFonts w:hint="eastAsia" w:ascii="宋体" w:hAnsi="宋体" w:eastAsia="宋体" w:cs="宋体"/>
          <w:b/>
          <w:bCs/>
          <w:color w:val="auto"/>
          <w:spacing w:val="1"/>
          <w:sz w:val="28"/>
          <w:szCs w:val="32"/>
          <w:highlight w:val="none"/>
          <w:lang w:val="zh-CN"/>
        </w:rPr>
        <w:t>1.5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25"/>
      <w:bookmarkEnd w:id="26"/>
      <w:bookmarkEnd w:id="27"/>
    </w:p>
    <w:p w14:paraId="171E32D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14:paraId="7C9206C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91AC68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8" w:name="_Toc111186730"/>
      <w:bookmarkStart w:id="29" w:name="_Toc8560"/>
      <w:bookmarkStart w:id="30" w:name="_Toc193357945"/>
      <w:r>
        <w:rPr>
          <w:rFonts w:hint="eastAsia" w:ascii="宋体" w:hAnsi="宋体" w:eastAsia="宋体" w:cs="宋体"/>
          <w:b/>
          <w:bCs/>
          <w:color w:val="auto"/>
          <w:spacing w:val="1"/>
          <w:sz w:val="28"/>
          <w:szCs w:val="32"/>
          <w:highlight w:val="none"/>
          <w:lang w:val="zh-CN"/>
        </w:rPr>
        <w:t>1.6</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28"/>
      <w:bookmarkEnd w:id="29"/>
      <w:bookmarkEnd w:id="30"/>
    </w:p>
    <w:p w14:paraId="633DFDF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14:paraId="5C456C1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E50630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1" w:name="_Toc193357946"/>
      <w:bookmarkStart w:id="32" w:name="_Toc111186731"/>
      <w:bookmarkStart w:id="33" w:name="_Toc28000"/>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1"/>
      <w:bookmarkEnd w:id="32"/>
      <w:bookmarkEnd w:id="33"/>
    </w:p>
    <w:p w14:paraId="1CF3F7F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14:paraId="567D3C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D874FC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4" w:name="_Toc111186732"/>
      <w:bookmarkStart w:id="35" w:name="_Toc193357947"/>
      <w:bookmarkStart w:id="36" w:name="_Toc3237"/>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34"/>
      <w:bookmarkEnd w:id="35"/>
      <w:bookmarkEnd w:id="36"/>
    </w:p>
    <w:p w14:paraId="6B0B2A4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14:paraId="2661C21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F60574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7" w:name="_Toc111186733"/>
      <w:bookmarkStart w:id="38" w:name="_Toc9357"/>
      <w:bookmarkStart w:id="39" w:name="_Toc193357948"/>
      <w:r>
        <w:rPr>
          <w:rFonts w:hint="eastAsia" w:ascii="宋体" w:hAnsi="宋体" w:eastAsia="宋体" w:cs="宋体"/>
          <w:b/>
          <w:bCs/>
          <w:color w:val="auto"/>
          <w:spacing w:val="1"/>
          <w:sz w:val="28"/>
          <w:szCs w:val="32"/>
          <w:highlight w:val="none"/>
          <w:lang w:val="zh-CN"/>
        </w:rPr>
        <w:t>1.9</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37"/>
      <w:bookmarkEnd w:id="38"/>
      <w:bookmarkEnd w:id="39"/>
    </w:p>
    <w:p w14:paraId="262FD3F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13E494C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1.9.2 投标人踏勘现场发生的费用自理。</w:t>
      </w:r>
    </w:p>
    <w:p w14:paraId="432CB0D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1.9.3 除招标人的原因外，投标人自行负责踏勘现场中所发生的人员伤亡和财产损失。</w:t>
      </w:r>
    </w:p>
    <w:p w14:paraId="65E2D5D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1.9.4 由于投标人没有对工程现场及周围环境进行踏勘，造成投标失误的，由投标人自行承担责任和损失。</w:t>
      </w:r>
    </w:p>
    <w:p w14:paraId="4A326DE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BAFE841">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40" w:name="_Toc111186734"/>
      <w:bookmarkStart w:id="41" w:name="_Toc16096"/>
      <w:bookmarkStart w:id="42" w:name="_Toc193357949"/>
      <w:r>
        <w:rPr>
          <w:rFonts w:hint="eastAsia" w:ascii="宋体" w:hAnsi="宋体" w:eastAsia="宋体" w:cs="宋体"/>
          <w:b/>
          <w:bCs/>
          <w:strike/>
          <w:dstrike w:val="0"/>
          <w:color w:val="auto"/>
          <w:spacing w:val="1"/>
          <w:sz w:val="28"/>
          <w:szCs w:val="32"/>
          <w:highlight w:val="none"/>
          <w:lang w:val="zh-CN"/>
        </w:rPr>
        <w:t>1</w:t>
      </w:r>
      <w:r>
        <w:rPr>
          <w:rFonts w:hint="eastAsia" w:ascii="宋体" w:hAnsi="宋体" w:eastAsia="宋体" w:cs="宋体"/>
          <w:b/>
          <w:bCs/>
          <w:strike/>
          <w:dstrike w:val="0"/>
          <w:color w:val="auto"/>
          <w:spacing w:val="-1"/>
          <w:sz w:val="28"/>
          <w:szCs w:val="32"/>
          <w:highlight w:val="none"/>
          <w:lang w:val="zh-CN"/>
        </w:rPr>
        <w:t>.1</w:t>
      </w:r>
      <w:r>
        <w:rPr>
          <w:rFonts w:hint="eastAsia" w:ascii="宋体" w:hAnsi="宋体" w:eastAsia="宋体" w:cs="宋体"/>
          <w:b/>
          <w:bCs/>
          <w:strike/>
          <w:dstrike w:val="0"/>
          <w:color w:val="auto"/>
          <w:spacing w:val="1"/>
          <w:sz w:val="28"/>
          <w:szCs w:val="32"/>
          <w:highlight w:val="none"/>
          <w:lang w:val="zh-CN"/>
        </w:rPr>
        <w:t>0</w:t>
      </w:r>
      <w:r>
        <w:rPr>
          <w:rFonts w:hint="eastAsia" w:ascii="宋体" w:hAnsi="宋体" w:eastAsia="宋体" w:cs="宋体"/>
          <w:b/>
          <w:bCs/>
          <w:strike/>
          <w:dstrike w:val="0"/>
          <w:color w:val="auto"/>
          <w:spacing w:val="-2"/>
          <w:sz w:val="28"/>
          <w:szCs w:val="32"/>
          <w:highlight w:val="none"/>
          <w:lang w:val="zh-CN"/>
        </w:rPr>
        <w:t xml:space="preserve"> </w:t>
      </w:r>
      <w:r>
        <w:rPr>
          <w:rFonts w:hint="eastAsia" w:ascii="宋体" w:hAnsi="宋体" w:eastAsia="宋体" w:cs="宋体"/>
          <w:b/>
          <w:bCs/>
          <w:strike/>
          <w:dstrike w:val="0"/>
          <w:color w:val="auto"/>
          <w:spacing w:val="1"/>
          <w:sz w:val="28"/>
          <w:szCs w:val="32"/>
          <w:highlight w:val="none"/>
          <w:lang w:val="zh-CN"/>
        </w:rPr>
        <w:t>投标预备会</w:t>
      </w:r>
      <w:bookmarkEnd w:id="40"/>
      <w:bookmarkEnd w:id="41"/>
      <w:bookmarkEnd w:id="42"/>
    </w:p>
    <w:p w14:paraId="0451BF9D">
      <w:pPr>
        <w:wordWrap w:val="0"/>
        <w:autoSpaceDE w:val="0"/>
        <w:autoSpaceDN w:val="0"/>
        <w:spacing w:line="360" w:lineRule="auto"/>
        <w:ind w:firstLine="472" w:firstLineChars="200"/>
        <w:rPr>
          <w:rFonts w:ascii="宋体" w:hAnsi="宋体" w:eastAsia="宋体" w:cs="宋体"/>
          <w:strike/>
          <w:dstrike w:val="0"/>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4F308EAD">
      <w:pPr>
        <w:wordWrap w:val="0"/>
        <w:autoSpaceDE w:val="0"/>
        <w:autoSpaceDN w:val="0"/>
        <w:spacing w:line="360" w:lineRule="auto"/>
        <w:ind w:firstLine="472" w:firstLineChars="200"/>
        <w:rPr>
          <w:rFonts w:ascii="宋体" w:hAnsi="宋体" w:eastAsia="宋体" w:cs="宋体"/>
          <w:strike/>
          <w:dstrike w:val="0"/>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1.10.2 投标人应按投标人须知前附表规定的时间和形式将提出的问题送达招标人，以便招标人在会议期间澄清。</w:t>
      </w:r>
    </w:p>
    <w:p w14:paraId="4AEB269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3A35744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FB9E14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3" w:name="_Toc193357950"/>
      <w:bookmarkStart w:id="44" w:name="_Toc111186735"/>
      <w:bookmarkStart w:id="45" w:name="_Toc16438"/>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2"/>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43"/>
      <w:bookmarkEnd w:id="44"/>
      <w:bookmarkEnd w:id="45"/>
    </w:p>
    <w:p w14:paraId="7D3872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168041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1.11.2 中标人不得向他人转让中标项目，接受分包的人不得再次分包。中标人应当就分包项目向招标人负责，接受分包的人就分包项目承担连带责任。</w:t>
      </w:r>
    </w:p>
    <w:p w14:paraId="5166BB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D2ADDB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6" w:name="_Toc193357951"/>
      <w:bookmarkStart w:id="47" w:name="_Toc10229"/>
      <w:bookmarkStart w:id="48" w:name="_Toc111186736"/>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2"/>
          <w:sz w:val="28"/>
          <w:szCs w:val="32"/>
          <w:highlight w:val="none"/>
          <w:lang w:val="zh-CN"/>
        </w:rPr>
        <w:t>1</w:t>
      </w:r>
      <w:r>
        <w:rPr>
          <w:rFonts w:hint="eastAsia" w:ascii="宋体" w:hAnsi="宋体" w:eastAsia="宋体" w:cs="宋体"/>
          <w:b/>
          <w:bCs/>
          <w:color w:val="auto"/>
          <w:spacing w:val="1"/>
          <w:sz w:val="28"/>
          <w:szCs w:val="32"/>
          <w:highlight w:val="none"/>
          <w:lang w:val="zh-CN"/>
        </w:rPr>
        <w:t>2</w:t>
      </w:r>
      <w:r>
        <w:rPr>
          <w:rFonts w:hint="eastAsia"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46"/>
      <w:bookmarkEnd w:id="47"/>
      <w:bookmarkEnd w:id="48"/>
    </w:p>
    <w:p w14:paraId="5518853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1.12.1 投标文件应当对招标文件的实质性要求和条件作出满足性或更有利于招标人的响应，否则，投标人的投标将被否决。实质性要求和条件见投标人须知前附表。</w:t>
      </w:r>
    </w:p>
    <w:p w14:paraId="28BB7D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14:paraId="74F457F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1.12.3 投标人须知前附表允许投标文件偏离招标文件某些要求的，偏差应当符合招标文件规定的偏差范围和幅度。</w:t>
      </w:r>
    </w:p>
    <w:p w14:paraId="5CDF422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BFA68AC">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49" w:name="_Toc111186737"/>
      <w:bookmarkStart w:id="50" w:name="_Toc22370"/>
      <w:bookmarkStart w:id="51" w:name="_Toc193357952"/>
      <w:r>
        <w:rPr>
          <w:rFonts w:hint="eastAsia" w:ascii="宋体" w:hAnsi="宋体" w:eastAsia="宋体" w:cs="宋体"/>
          <w:b/>
          <w:bCs/>
          <w:color w:val="auto"/>
          <w:kern w:val="0"/>
          <w:sz w:val="30"/>
          <w:szCs w:val="30"/>
          <w:highlight w:val="none"/>
          <w:lang w:val="zh-CN"/>
        </w:rPr>
        <w:t>2.</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49"/>
      <w:bookmarkEnd w:id="50"/>
      <w:bookmarkEnd w:id="51"/>
    </w:p>
    <w:p w14:paraId="508E94C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2" w:name="_Toc22346"/>
      <w:bookmarkStart w:id="53" w:name="_Toc111186738"/>
      <w:bookmarkStart w:id="54" w:name="_Toc193357953"/>
      <w:r>
        <w:rPr>
          <w:rFonts w:hint="eastAsia" w:ascii="宋体" w:hAnsi="宋体" w:eastAsia="宋体" w:cs="宋体"/>
          <w:b/>
          <w:bCs/>
          <w:color w:val="auto"/>
          <w:spacing w:val="1"/>
          <w:sz w:val="28"/>
          <w:szCs w:val="32"/>
          <w:highlight w:val="none"/>
          <w:lang w:val="zh-CN"/>
        </w:rPr>
        <w:t>2.1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52"/>
      <w:bookmarkEnd w:id="53"/>
      <w:bookmarkEnd w:id="54"/>
    </w:p>
    <w:p w14:paraId="08ED9D2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14:paraId="1EB2063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（1）招标公告；</w:t>
      </w:r>
    </w:p>
    <w:p w14:paraId="2EA4E57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（2）投标人须知；</w:t>
      </w:r>
    </w:p>
    <w:p w14:paraId="0703C14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（3）评标办法；</w:t>
      </w:r>
    </w:p>
    <w:p w14:paraId="361A795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（4）合同条款及格式；</w:t>
      </w:r>
    </w:p>
    <w:p w14:paraId="30AEC3F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（5）委托人要求；</w:t>
      </w:r>
    </w:p>
    <w:p w14:paraId="3B9FE89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（6）投标文件格式；</w:t>
      </w:r>
    </w:p>
    <w:p w14:paraId="00ABB6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（7）投标人须知前附表规定的其他资料。</w:t>
      </w:r>
    </w:p>
    <w:p w14:paraId="568E331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根据本章第1.10款、第2.2款和第2.3款对招标文件所作的澄清、修改，构成招标文件的组成部分。</w:t>
      </w:r>
    </w:p>
    <w:p w14:paraId="284C0A8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83C88F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5" w:name="_Toc111186739"/>
      <w:bookmarkStart w:id="56" w:name="_Toc9843"/>
      <w:bookmarkStart w:id="57" w:name="_Toc193357954"/>
      <w:r>
        <w:rPr>
          <w:rFonts w:hint="eastAsia" w:ascii="宋体" w:hAnsi="宋体" w:eastAsia="宋体" w:cs="宋体"/>
          <w:b/>
          <w:bCs/>
          <w:color w:val="auto"/>
          <w:spacing w:val="1"/>
          <w:sz w:val="28"/>
          <w:szCs w:val="32"/>
          <w:highlight w:val="none"/>
          <w:lang w:val="zh-CN"/>
        </w:rPr>
        <w:t>2.2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55"/>
      <w:bookmarkEnd w:id="56"/>
      <w:bookmarkEnd w:id="57"/>
      <w:r>
        <w:rPr>
          <w:rFonts w:hint="eastAsia" w:ascii="宋体" w:hAnsi="宋体" w:eastAsia="宋体" w:cs="宋体"/>
          <w:b/>
          <w:bCs/>
          <w:color w:val="auto"/>
          <w:spacing w:val="1"/>
          <w:sz w:val="28"/>
          <w:szCs w:val="32"/>
          <w:highlight w:val="none"/>
          <w:lang w:val="zh-CN"/>
        </w:rPr>
        <w:t>答疑</w:t>
      </w:r>
    </w:p>
    <w:p w14:paraId="3290C5C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14:paraId="76FFD62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2.2.2 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14:paraId="4FC884B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 招标答疑会会议纪要将在提交投标文件截止时间15日前在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5A9850C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2.2.4 招标答疑会会议纪要是招标文件的组成部分，对投标人起约束作用。若招标答疑会会议纪要与招标文件有矛盾时，以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6596D61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2.2.5 除非招标人认为确有必要答复，否则，招标人有权拒绝回复投标人在本章第2.2.1项规定的时间后的任何澄清要求。</w:t>
      </w:r>
    </w:p>
    <w:p w14:paraId="669FE67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F58CF87">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58" w:name="_Toc8197"/>
      <w:bookmarkStart w:id="59" w:name="_Toc111186740"/>
      <w:bookmarkStart w:id="60" w:name="_Toc193357955"/>
      <w:r>
        <w:rPr>
          <w:rFonts w:hint="eastAsia" w:ascii="宋体" w:hAnsi="宋体" w:eastAsia="宋体" w:cs="宋体"/>
          <w:b/>
          <w:bCs/>
          <w:color w:val="auto"/>
          <w:spacing w:val="1"/>
          <w:sz w:val="28"/>
          <w:szCs w:val="32"/>
          <w:highlight w:val="none"/>
          <w:lang w:val="zh-CN"/>
        </w:rPr>
        <w:t>2.3 招标文件的澄清与修改</w:t>
      </w:r>
      <w:bookmarkEnd w:id="58"/>
      <w:bookmarkEnd w:id="59"/>
      <w:bookmarkEnd w:id="60"/>
    </w:p>
    <w:p w14:paraId="7730747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2.3.1 招标文件发出后，在提交投标文件截止时间15日前，招标人可对招标文件进行必要的澄清或修改。</w:t>
      </w:r>
    </w:p>
    <w:p w14:paraId="18F1E4D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2.3.2 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14:paraId="12E592B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2.3.3 招标文件的澄清或修改是招标文件的组成部分，对投标人起约束作用。</w:t>
      </w:r>
    </w:p>
    <w:p w14:paraId="0C3ADC5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2.3.4 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14:paraId="79490DD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A574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073731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1" w:name="_Toc17179"/>
      <w:bookmarkStart w:id="62" w:name="_Toc111186741"/>
      <w:bookmarkStart w:id="63" w:name="_Toc193357956"/>
      <w:r>
        <w:rPr>
          <w:rFonts w:hint="eastAsia" w:ascii="宋体" w:hAnsi="宋体" w:eastAsia="宋体" w:cs="宋体"/>
          <w:b/>
          <w:bCs/>
          <w:color w:val="auto"/>
          <w:spacing w:val="1"/>
          <w:sz w:val="28"/>
          <w:szCs w:val="32"/>
          <w:highlight w:val="none"/>
          <w:lang w:val="zh-CN"/>
        </w:rPr>
        <w:t>2.4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61"/>
      <w:bookmarkEnd w:id="62"/>
      <w:bookmarkEnd w:id="63"/>
    </w:p>
    <w:p w14:paraId="08125D3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438E27F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FA04902">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64" w:name="_Toc111186742"/>
      <w:bookmarkStart w:id="65" w:name="_Toc193357957"/>
      <w:bookmarkStart w:id="66" w:name="_Toc7081"/>
      <w:r>
        <w:rPr>
          <w:rFonts w:hint="eastAsia" w:ascii="宋体" w:hAnsi="宋体" w:eastAsia="宋体" w:cs="宋体"/>
          <w:b/>
          <w:bCs/>
          <w:color w:val="auto"/>
          <w:kern w:val="0"/>
          <w:sz w:val="30"/>
          <w:szCs w:val="30"/>
          <w:highlight w:val="none"/>
          <w:lang w:val="zh-CN"/>
        </w:rPr>
        <w:t>3.</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64"/>
      <w:bookmarkEnd w:id="65"/>
      <w:bookmarkEnd w:id="66"/>
    </w:p>
    <w:p w14:paraId="031DAB7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7" w:name="_Toc14590"/>
      <w:bookmarkStart w:id="68" w:name="_Toc193357958"/>
      <w:bookmarkStart w:id="69" w:name="_Toc111186743"/>
      <w:r>
        <w:rPr>
          <w:rFonts w:hint="eastAsia" w:ascii="宋体" w:hAnsi="宋体" w:eastAsia="宋体" w:cs="宋体"/>
          <w:b/>
          <w:bCs/>
          <w:color w:val="auto"/>
          <w:spacing w:val="1"/>
          <w:sz w:val="28"/>
          <w:szCs w:val="32"/>
          <w:highlight w:val="none"/>
          <w:lang w:val="zh-CN"/>
        </w:rPr>
        <w:t>3.1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7"/>
      <w:bookmarkEnd w:id="68"/>
      <w:bookmarkEnd w:id="69"/>
      <w:r>
        <w:rPr>
          <w:rFonts w:hint="eastAsia" w:ascii="宋体" w:hAnsi="宋体" w:eastAsia="宋体" w:cs="宋体"/>
          <w:b/>
          <w:bCs/>
          <w:color w:val="auto"/>
          <w:spacing w:val="1"/>
          <w:sz w:val="28"/>
          <w:szCs w:val="32"/>
          <w:highlight w:val="none"/>
          <w:lang w:val="zh-CN"/>
        </w:rPr>
        <w:t>（适用于暗标形式）</w:t>
      </w:r>
    </w:p>
    <w:p w14:paraId="1D20C97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2A00C75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AED638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000FE79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7D356D7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05B4681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750ADC8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7782DC0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407F650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7252A7A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67F7D9F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2A728AAA">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073E67B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6D6AFFC5">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3CE3078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CA398B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0" w:name="_Toc111186744"/>
      <w:bookmarkStart w:id="71" w:name="_Toc193357959"/>
      <w:bookmarkStart w:id="72" w:name="_Toc26290"/>
      <w:r>
        <w:rPr>
          <w:rFonts w:hint="eastAsia" w:ascii="宋体" w:hAnsi="宋体" w:eastAsia="宋体" w:cs="宋体"/>
          <w:b/>
          <w:bCs/>
          <w:color w:val="auto"/>
          <w:spacing w:val="1"/>
          <w:sz w:val="28"/>
          <w:szCs w:val="32"/>
          <w:highlight w:val="none"/>
          <w:lang w:val="zh-CN"/>
        </w:rPr>
        <w:t>3.2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70"/>
      <w:bookmarkEnd w:id="71"/>
      <w:bookmarkEnd w:id="72"/>
    </w:p>
    <w:p w14:paraId="585B8D1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4B3F844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 投标人应充分了解该项目的总体情况以及影响投标报价的其他要素。</w:t>
      </w:r>
    </w:p>
    <w:p w14:paraId="5EC1FC4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3.2.3 本项目的报价方式见投标人须知前附表。投标人在投标截止时间前修改投标函中的投标报价总额，应同时修改投标文件“勘察设计费报价表”中的相应报价。此修改须符合本章第4.3款的有关要求。</w:t>
      </w:r>
    </w:p>
    <w:p w14:paraId="52F8B00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 招标人设有最高投标限价的，投标人的投标报价不得超过最高投标限价，最高投标限价在投标人须知前附表中载明。</w:t>
      </w:r>
    </w:p>
    <w:p w14:paraId="307CB238">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3.2.5 投标报价的其他要求见投标人须知前附表。</w:t>
      </w:r>
    </w:p>
    <w:p w14:paraId="3ACDD59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58844D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3" w:name="_Toc111186745"/>
      <w:bookmarkStart w:id="74" w:name="_Toc7276"/>
      <w:bookmarkStart w:id="75" w:name="_Toc193357960"/>
      <w:r>
        <w:rPr>
          <w:rFonts w:hint="eastAsia" w:ascii="宋体" w:hAnsi="宋体" w:eastAsia="宋体" w:cs="宋体"/>
          <w:b/>
          <w:bCs/>
          <w:color w:val="auto"/>
          <w:spacing w:val="1"/>
          <w:sz w:val="28"/>
          <w:szCs w:val="32"/>
          <w:highlight w:val="none"/>
          <w:lang w:val="zh-CN"/>
        </w:rPr>
        <w:t>3.3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73"/>
      <w:bookmarkEnd w:id="74"/>
      <w:bookmarkEnd w:id="75"/>
    </w:p>
    <w:p w14:paraId="63CFDD9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除投标人须知前附表另有规定外，投标有效期不少于90天。</w:t>
      </w:r>
    </w:p>
    <w:p w14:paraId="3875C14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在投标有效期内，投标人撤销投标文件的，应承担招标文件和法律规定的责任。</w:t>
      </w:r>
    </w:p>
    <w:p w14:paraId="1469229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w:t>
      </w:r>
      <w:r>
        <w:rPr>
          <w:rFonts w:hint="eastAsia" w:ascii="宋体" w:hAnsi="宋体" w:eastAsia="宋体" w:cs="宋体"/>
          <w:strike/>
          <w:dstrike w:val="0"/>
          <w:color w:val="auto"/>
          <w:kern w:val="0"/>
          <w:sz w:val="24"/>
          <w:szCs w:val="24"/>
          <w:highlight w:val="none"/>
        </w:rPr>
        <w:t>同意延长的，应相应延长其投标保证金的有效期，</w:t>
      </w:r>
      <w:r>
        <w:rPr>
          <w:rFonts w:hint="eastAsia" w:ascii="宋体" w:hAnsi="宋体" w:eastAsia="宋体" w:cs="宋体"/>
          <w:color w:val="auto"/>
          <w:kern w:val="0"/>
          <w:sz w:val="24"/>
          <w:szCs w:val="24"/>
          <w:highlight w:val="none"/>
        </w:rPr>
        <w:t>但不得要求或被允许修改其投标文件；投标人拒绝延长的，其投标失效，</w:t>
      </w:r>
      <w:r>
        <w:rPr>
          <w:rFonts w:hint="eastAsia" w:ascii="宋体" w:hAnsi="宋体" w:eastAsia="宋体" w:cs="宋体"/>
          <w:strike/>
          <w:dstrike w:val="0"/>
          <w:color w:val="auto"/>
          <w:kern w:val="0"/>
          <w:sz w:val="24"/>
          <w:szCs w:val="24"/>
          <w:highlight w:val="none"/>
        </w:rPr>
        <w:t>但投标人有权收回其投标保证金及以现金或者支票形式递交的投标保证金的银行同期存款利息。</w:t>
      </w:r>
    </w:p>
    <w:p w14:paraId="205F9BB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EE5BE89">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76" w:name="_Toc3821"/>
      <w:bookmarkStart w:id="77" w:name="_Toc193357961"/>
      <w:bookmarkStart w:id="78" w:name="_Toc111186746"/>
      <w:r>
        <w:rPr>
          <w:rFonts w:hint="eastAsia" w:ascii="宋体" w:hAnsi="宋体" w:eastAsia="宋体" w:cs="宋体"/>
          <w:b/>
          <w:bCs/>
          <w:strike/>
          <w:dstrike w:val="0"/>
          <w:color w:val="auto"/>
          <w:spacing w:val="1"/>
          <w:sz w:val="28"/>
          <w:szCs w:val="32"/>
          <w:highlight w:val="none"/>
          <w:lang w:val="zh-CN"/>
        </w:rPr>
        <w:t>3.4 投标保证金</w:t>
      </w:r>
      <w:bookmarkEnd w:id="76"/>
      <w:bookmarkEnd w:id="77"/>
      <w:bookmarkEnd w:id="78"/>
    </w:p>
    <w:p w14:paraId="03B0B51D">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2D20BA35">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5B943E39">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123E8AC">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3.4.4 在提交投标文件截止时间后到招标文件规定的投标有效期终止之前，投标人不得撤销其投标文件，否则招标人可以不退还投标保证金。</w:t>
      </w:r>
    </w:p>
    <w:p w14:paraId="39A1F1C4">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3.4.5 有下列情形之一的，投标保证金将不予退还：</w:t>
      </w:r>
    </w:p>
    <w:p w14:paraId="14C4B988">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（1）投标人在提交投标文件截止时间后到招标文件规定的投标有效期终止之前撤销投标文件；</w:t>
      </w:r>
    </w:p>
    <w:p w14:paraId="5A0E5B44">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73D016C4">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（3）发生投标人须知前附表规定的其他可以不予退还投标保证金的情形。</w:t>
      </w:r>
    </w:p>
    <w:p w14:paraId="6F66492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strike/>
          <w:dstrike w:val="0"/>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21090B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A99358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9" w:name="_Toc193357963"/>
      <w:bookmarkStart w:id="80" w:name="_Toc19411"/>
      <w:bookmarkStart w:id="81" w:name="_Toc111186747"/>
      <w:r>
        <w:rPr>
          <w:rFonts w:hint="eastAsia" w:ascii="宋体" w:hAnsi="宋体" w:eastAsia="宋体" w:cs="宋体"/>
          <w:b/>
          <w:bCs/>
          <w:color w:val="auto"/>
          <w:spacing w:val="1"/>
          <w:sz w:val="28"/>
          <w:szCs w:val="32"/>
          <w:highlight w:val="none"/>
          <w:lang w:val="zh-CN"/>
        </w:rPr>
        <w:t>3.5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r>
        <w:rPr>
          <w:rFonts w:hint="eastAsia" w:ascii="宋体" w:hAnsi="宋体" w:eastAsia="宋体" w:cs="宋体"/>
          <w:b/>
          <w:bCs/>
          <w:color w:val="auto"/>
          <w:spacing w:val="-3"/>
          <w:sz w:val="28"/>
          <w:szCs w:val="32"/>
          <w:highlight w:val="none"/>
          <w:lang w:val="zh-CN"/>
        </w:rPr>
        <w:t>（</w:t>
      </w:r>
      <w:r>
        <w:rPr>
          <w:rFonts w:hint="eastAsia" w:ascii="宋体" w:hAnsi="宋体" w:eastAsia="宋体" w:cs="宋体"/>
          <w:b/>
          <w:bCs/>
          <w:color w:val="auto"/>
          <w:spacing w:val="1"/>
          <w:sz w:val="28"/>
          <w:szCs w:val="32"/>
          <w:highlight w:val="none"/>
          <w:lang w:val="zh-CN"/>
        </w:rPr>
        <w:t>适用于</w:t>
      </w:r>
      <w:r>
        <w:rPr>
          <w:rFonts w:hint="eastAsia" w:ascii="宋体" w:hAnsi="宋体" w:eastAsia="宋体" w:cs="宋体"/>
          <w:b/>
          <w:bCs/>
          <w:color w:val="auto"/>
          <w:spacing w:val="-3"/>
          <w:sz w:val="28"/>
          <w:szCs w:val="32"/>
          <w:highlight w:val="none"/>
          <w:lang w:val="zh-CN"/>
        </w:rPr>
        <w:t>未</w:t>
      </w:r>
      <w:r>
        <w:rPr>
          <w:rFonts w:hint="eastAsia" w:ascii="宋体" w:hAnsi="宋体" w:eastAsia="宋体" w:cs="宋体"/>
          <w:b/>
          <w:bCs/>
          <w:color w:val="auto"/>
          <w:spacing w:val="1"/>
          <w:sz w:val="28"/>
          <w:szCs w:val="32"/>
          <w:highlight w:val="none"/>
          <w:lang w:val="zh-CN"/>
        </w:rPr>
        <w:t>进行</w:t>
      </w:r>
      <w:r>
        <w:rPr>
          <w:rFonts w:hint="eastAsia" w:ascii="宋体" w:hAnsi="宋体" w:eastAsia="宋体" w:cs="宋体"/>
          <w:b/>
          <w:bCs/>
          <w:color w:val="auto"/>
          <w:spacing w:val="-3"/>
          <w:sz w:val="28"/>
          <w:szCs w:val="32"/>
          <w:highlight w:val="none"/>
          <w:lang w:val="zh-CN"/>
        </w:rPr>
        <w:t>资格</w:t>
      </w:r>
      <w:r>
        <w:rPr>
          <w:rFonts w:hint="eastAsia" w:ascii="宋体" w:hAnsi="宋体" w:eastAsia="宋体" w:cs="宋体"/>
          <w:b/>
          <w:bCs/>
          <w:color w:val="auto"/>
          <w:spacing w:val="1"/>
          <w:sz w:val="28"/>
          <w:szCs w:val="32"/>
          <w:highlight w:val="none"/>
          <w:lang w:val="zh-CN"/>
        </w:rPr>
        <w:t>预审的）</w:t>
      </w:r>
      <w:bookmarkEnd w:id="79"/>
      <w:bookmarkEnd w:id="80"/>
      <w:bookmarkEnd w:id="81"/>
    </w:p>
    <w:p w14:paraId="0BCE8274">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除投标人须知前附表另有规定外，投标人应按招标公告投标人资格要求及下列规定提供资格审查资料，以证明其满足本章第1.4款规定的资质、业绩等要求。</w:t>
      </w:r>
    </w:p>
    <w:p w14:paraId="0C6F4821">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242EBF01">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306258DD">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6B5F70B3">
      <w:pPr>
        <w:wordWrap w:val="0"/>
        <w:spacing w:line="360" w:lineRule="auto"/>
        <w:ind w:firstLine="480" w:firstLineChars="200"/>
        <w:rPr>
          <w:rFonts w:ascii="宋体" w:hAnsi="宋体" w:eastAsia="宋体" w:cs="宋体"/>
          <w:strike/>
          <w:dstrike w:val="0"/>
          <w:color w:val="auto"/>
          <w:sz w:val="24"/>
          <w:szCs w:val="24"/>
          <w:highlight w:val="none"/>
          <w:u w:val="single"/>
        </w:rPr>
      </w:pPr>
      <w:r>
        <w:rPr>
          <w:rFonts w:hint="eastAsia" w:ascii="宋体" w:hAnsi="宋体" w:eastAsia="宋体" w:cs="宋体"/>
          <w:strike/>
          <w:dstrike w:val="0"/>
          <w:color w:val="auto"/>
          <w:kern w:val="0"/>
          <w:sz w:val="24"/>
          <w:szCs w:val="24"/>
          <w:highlight w:val="none"/>
        </w:rPr>
        <w:t>3.5.4 投标人须知前附表规定接受联合体投标的，本章第3.5.1项至第3.5.3项规定的表格和资料应包括联合体各方相关情况。</w:t>
      </w:r>
    </w:p>
    <w:p w14:paraId="47736A35">
      <w:pPr>
        <w:wordWrap w:val="0"/>
        <w:autoSpaceDE w:val="0"/>
        <w:autoSpaceDN w:val="0"/>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b/>
          <w:bCs/>
          <w:color w:val="auto"/>
          <w:sz w:val="24"/>
          <w:szCs w:val="24"/>
          <w:highlight w:val="none"/>
          <w:u w:val="single"/>
        </w:rPr>
        <w:t>3.5.1 资格审查资料详见第六章“投标文件格式”。</w:t>
      </w:r>
    </w:p>
    <w:p w14:paraId="31BE424E">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82" w:name="_Toc111186748"/>
      <w:bookmarkStart w:id="83" w:name="_Toc193357964"/>
      <w:bookmarkStart w:id="84" w:name="_Toc10646"/>
      <w:r>
        <w:rPr>
          <w:rFonts w:hint="eastAsia" w:ascii="宋体" w:hAnsi="宋体" w:eastAsia="宋体" w:cs="宋体"/>
          <w:b/>
          <w:bCs/>
          <w:strike/>
          <w:dstrike w:val="0"/>
          <w:color w:val="auto"/>
          <w:spacing w:val="1"/>
          <w:sz w:val="28"/>
          <w:szCs w:val="32"/>
          <w:highlight w:val="none"/>
          <w:lang w:val="zh-CN"/>
        </w:rPr>
        <w:t>3.6 备选投标方案</w:t>
      </w:r>
      <w:bookmarkEnd w:id="82"/>
      <w:bookmarkEnd w:id="83"/>
      <w:bookmarkEnd w:id="84"/>
    </w:p>
    <w:p w14:paraId="17DED06A">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3.6.1 除投标人须知前附表规定允许外，投标人不得递交备选投标方案，否则其投标将被否决。</w:t>
      </w:r>
    </w:p>
    <w:p w14:paraId="59EE3950">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AFA5F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strike/>
          <w:dstrike w:val="0"/>
          <w:color w:val="auto"/>
          <w:kern w:val="0"/>
          <w:sz w:val="24"/>
          <w:szCs w:val="24"/>
          <w:highlight w:val="none"/>
        </w:rPr>
        <w:t>3.6.3 投标人提供两个或两个以上投标报价，或者在投标文件中提供一个报价，但同时提供两个或两个以上勘察设计方案的，视为提供备选方案。</w:t>
      </w:r>
    </w:p>
    <w:p w14:paraId="023FA20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E37BB9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5" w:name="_Toc7643"/>
      <w:bookmarkStart w:id="86" w:name="_Toc111186749"/>
      <w:bookmarkStart w:id="87" w:name="_Toc193357965"/>
      <w:r>
        <w:rPr>
          <w:rFonts w:hint="eastAsia" w:ascii="宋体" w:hAnsi="宋体" w:eastAsia="宋体" w:cs="宋体"/>
          <w:b/>
          <w:bCs/>
          <w:color w:val="auto"/>
          <w:spacing w:val="1"/>
          <w:sz w:val="28"/>
          <w:szCs w:val="32"/>
          <w:highlight w:val="none"/>
          <w:lang w:val="zh-CN"/>
        </w:rPr>
        <w:t>3.7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85"/>
      <w:bookmarkEnd w:id="86"/>
      <w:bookmarkEnd w:id="87"/>
    </w:p>
    <w:p w14:paraId="4F326C8B">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5C7AEAB5">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投标文件应当对招标文件有关勘察设计服务期限、投标有效期、发包人要求、招标范围等实质性内容作出响应。</w:t>
      </w:r>
    </w:p>
    <w:p w14:paraId="1D361252">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0CAAFA9B">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3A9B1484">
      <w:pPr>
        <w:wordWrap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3.7.5 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14:paraId="6A6ED84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96D05B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88" w:name="_Toc30610"/>
      <w:bookmarkStart w:id="89" w:name="_Toc193357966"/>
      <w:bookmarkStart w:id="90" w:name="_Toc111186750"/>
      <w:r>
        <w:rPr>
          <w:rFonts w:hint="eastAsia" w:ascii="宋体" w:hAnsi="宋体" w:eastAsia="宋体" w:cs="宋体"/>
          <w:b/>
          <w:bCs/>
          <w:color w:val="auto"/>
          <w:spacing w:val="1"/>
          <w:kern w:val="0"/>
          <w:sz w:val="30"/>
          <w:szCs w:val="30"/>
          <w:highlight w:val="none"/>
          <w:lang w:val="zh-CN"/>
        </w:rPr>
        <w:t>4</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88"/>
      <w:bookmarkEnd w:id="89"/>
      <w:bookmarkEnd w:id="90"/>
    </w:p>
    <w:p w14:paraId="268063F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1" w:name="_Toc111186751"/>
      <w:bookmarkStart w:id="92" w:name="_Toc193357967"/>
      <w:bookmarkStart w:id="93" w:name="_Toc26954"/>
      <w:r>
        <w:rPr>
          <w:rFonts w:hint="eastAsia" w:ascii="宋体" w:hAnsi="宋体" w:eastAsia="宋体" w:cs="宋体"/>
          <w:b/>
          <w:bCs/>
          <w:color w:val="auto"/>
          <w:spacing w:val="1"/>
          <w:sz w:val="28"/>
          <w:szCs w:val="32"/>
          <w:highlight w:val="none"/>
          <w:lang w:val="zh-CN"/>
        </w:rPr>
        <w:t>4.1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91"/>
      <w:bookmarkEnd w:id="92"/>
      <w:bookmarkEnd w:id="93"/>
    </w:p>
    <w:p w14:paraId="242EA1B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投标人应当按照招标文件和电子招标投标交易平台的要求加密投标文件（不含备用光盘），具体要求见投标人须知前附表。</w:t>
      </w:r>
    </w:p>
    <w:p w14:paraId="2BFE440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（如有）投标文件备用光盘封套上应写明的内容见投标人须知前附表。</w:t>
      </w:r>
    </w:p>
    <w:p w14:paraId="473C4D4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未按本章第4.1.1项要求加密的投标文件，招标人将授权</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网站交易平台予以拒收。</w:t>
      </w:r>
    </w:p>
    <w:p w14:paraId="6F6D15E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6EDFD7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4" w:name="_Toc193357968"/>
      <w:bookmarkStart w:id="95" w:name="_Toc111186752"/>
      <w:bookmarkStart w:id="96" w:name="_Toc28727"/>
      <w:r>
        <w:rPr>
          <w:rFonts w:hint="eastAsia" w:ascii="宋体" w:hAnsi="宋体" w:eastAsia="宋体" w:cs="宋体"/>
          <w:b/>
          <w:bCs/>
          <w:color w:val="auto"/>
          <w:spacing w:val="1"/>
          <w:sz w:val="28"/>
          <w:szCs w:val="32"/>
          <w:highlight w:val="none"/>
          <w:lang w:val="zh-CN"/>
        </w:rPr>
        <w:t>4.2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94"/>
      <w:bookmarkEnd w:id="95"/>
      <w:bookmarkEnd w:id="96"/>
    </w:p>
    <w:p w14:paraId="463173D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 投标人应在投标人须知前附表规定的投标截止时间前</w:t>
      </w: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r>
        <w:rPr>
          <w:rFonts w:ascii="宋体" w:hAnsi="宋体" w:eastAsia="宋体" w:cs="宋体"/>
          <w:color w:val="auto"/>
          <w:kern w:val="0"/>
          <w:sz w:val="24"/>
          <w:szCs w:val="24"/>
          <w:highlight w:val="none"/>
        </w:rPr>
        <w:t>。</w:t>
      </w:r>
    </w:p>
    <w:p w14:paraId="7234D25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w:t>
      </w:r>
      <w:r>
        <w:rPr>
          <w:rFonts w:hint="eastAsia" w:ascii="宋体" w:hAnsi="宋体" w:eastAsia="宋体" w:cs="宋体"/>
          <w:color w:val="auto"/>
          <w:kern w:val="0"/>
          <w:sz w:val="24"/>
          <w:szCs w:val="24"/>
          <w:highlight w:val="none"/>
        </w:rPr>
        <w:t xml:space="preserve">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14:paraId="6F7572D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14:paraId="2F16F4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rPr>
        <w:t>4 投标截止前，招标人拒绝接收符合条件的投标文件，投标人可向招标监督机构投诉</w:t>
      </w:r>
      <w:r>
        <w:rPr>
          <w:rFonts w:ascii="宋体" w:hAnsi="宋体" w:eastAsia="宋体" w:cs="宋体"/>
          <w:color w:val="auto"/>
          <w:kern w:val="0"/>
          <w:sz w:val="24"/>
          <w:szCs w:val="24"/>
          <w:highlight w:val="none"/>
        </w:rPr>
        <w:t>。</w:t>
      </w:r>
    </w:p>
    <w:p w14:paraId="1EBFC42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DD4D6A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7" w:name="_Toc193357969"/>
      <w:bookmarkStart w:id="98" w:name="_Toc32035"/>
      <w:bookmarkStart w:id="99" w:name="_Toc111186753"/>
      <w:r>
        <w:rPr>
          <w:rFonts w:hint="eastAsia" w:ascii="宋体" w:hAnsi="宋体" w:eastAsia="宋体" w:cs="宋体"/>
          <w:b/>
          <w:bCs/>
          <w:color w:val="auto"/>
          <w:spacing w:val="1"/>
          <w:sz w:val="28"/>
          <w:szCs w:val="32"/>
          <w:highlight w:val="none"/>
          <w:lang w:val="zh-CN"/>
        </w:rPr>
        <w:t>4.3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97"/>
      <w:bookmarkEnd w:id="98"/>
      <w:bookmarkEnd w:id="99"/>
    </w:p>
    <w:p w14:paraId="6591DFB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w:t>
      </w:r>
      <w:r>
        <w:rPr>
          <w:rFonts w:hint="eastAsia" w:ascii="宋体" w:hAnsi="宋体" w:eastAsia="宋体" w:cs="宋体"/>
          <w:strike/>
          <w:dstrike w:val="0"/>
          <w:color w:val="auto"/>
          <w:sz w:val="24"/>
          <w:szCs w:val="24"/>
          <w:highlight w:val="none"/>
        </w:rPr>
        <w:t>但应以书面形式通知招标人</w:t>
      </w:r>
      <w:r>
        <w:rPr>
          <w:rFonts w:hint="eastAsia" w:ascii="宋体" w:hAnsi="宋体" w:eastAsia="宋体" w:cs="宋体"/>
          <w:color w:val="auto"/>
          <w:sz w:val="24"/>
          <w:szCs w:val="24"/>
          <w:highlight w:val="none"/>
        </w:rPr>
        <w:t>。</w:t>
      </w:r>
    </w:p>
    <w:p w14:paraId="283F915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投标人修改或撤回已递交投标文件，需在交易平台发出修改或撤回通知，并按要求加盖电子印章。电子招标投标交易平台收到通知后，即时向投标人发出确认回执通知。</w:t>
      </w:r>
    </w:p>
    <w:p w14:paraId="29B8BDF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 修改后再次递交的，按第4.2项的规定执行。</w:t>
      </w:r>
    </w:p>
    <w:p w14:paraId="2F5C2EA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4.3.4 在投标截止时间之后，投标人不得补充、修改和更换投标文件。</w:t>
      </w:r>
    </w:p>
    <w:p w14:paraId="51D6C90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4.3.5 投标人撤回投标文件的，招标人自收到投标人书面撤回通知之日起5日内退还已收取的投标保证金。</w:t>
      </w:r>
    </w:p>
    <w:p w14:paraId="37EB3EC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6D43055">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0" w:name="_Toc111186754"/>
      <w:bookmarkStart w:id="101" w:name="_Toc193357970"/>
      <w:bookmarkStart w:id="102" w:name="_Toc3959"/>
      <w:r>
        <w:rPr>
          <w:rFonts w:hint="eastAsia" w:ascii="宋体" w:hAnsi="宋体" w:eastAsia="宋体" w:cs="宋体"/>
          <w:b/>
          <w:bCs/>
          <w:color w:val="auto"/>
          <w:spacing w:val="1"/>
          <w:kern w:val="0"/>
          <w:sz w:val="30"/>
          <w:szCs w:val="30"/>
          <w:highlight w:val="none"/>
          <w:lang w:val="zh-CN"/>
        </w:rPr>
        <w:t>5</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100"/>
      <w:bookmarkEnd w:id="101"/>
      <w:bookmarkEnd w:id="102"/>
    </w:p>
    <w:p w14:paraId="49E8B99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3" w:name="_Toc193357972"/>
      <w:bookmarkStart w:id="104" w:name="_Toc25072089"/>
      <w:bookmarkStart w:id="105" w:name="_Toc111186756"/>
      <w:bookmarkStart w:id="106" w:name="_Toc27261"/>
      <w:r>
        <w:rPr>
          <w:rFonts w:hint="eastAsia" w:ascii="宋体" w:hAnsi="宋体" w:eastAsia="宋体" w:cs="宋体"/>
          <w:b/>
          <w:bCs/>
          <w:color w:val="auto"/>
          <w:spacing w:val="1"/>
          <w:sz w:val="28"/>
          <w:szCs w:val="32"/>
          <w:highlight w:val="none"/>
          <w:lang w:val="zh-CN"/>
        </w:rPr>
        <w:t>5.1 开标时间和地点</w:t>
      </w:r>
      <w:bookmarkEnd w:id="103"/>
      <w:bookmarkEnd w:id="104"/>
      <w:bookmarkEnd w:id="105"/>
      <w:bookmarkEnd w:id="106"/>
    </w:p>
    <w:p w14:paraId="415CB1B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招标人按投标须知前附表规定的时间和地点公开开标。截标后，开标开始时间因故推迟的，相关评标信息仍以原定的开标开始时间的信息为准。</w:t>
      </w:r>
    </w:p>
    <w:p w14:paraId="002510B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8FF89D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E58920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7" w:name="_Toc20443"/>
      <w:bookmarkStart w:id="108" w:name="_Toc111186757"/>
      <w:bookmarkStart w:id="109" w:name="_Toc193357973"/>
      <w:r>
        <w:rPr>
          <w:rFonts w:hint="eastAsia" w:ascii="宋体" w:hAnsi="宋体" w:eastAsia="宋体" w:cs="宋体"/>
          <w:b/>
          <w:bCs/>
          <w:color w:val="auto"/>
          <w:spacing w:val="1"/>
          <w:sz w:val="28"/>
          <w:szCs w:val="32"/>
          <w:highlight w:val="none"/>
          <w:lang w:val="zh-CN"/>
        </w:rPr>
        <w:t>5.2 开标程序</w:t>
      </w:r>
      <w:bookmarkEnd w:id="107"/>
      <w:bookmarkEnd w:id="108"/>
      <w:bookmarkEnd w:id="109"/>
    </w:p>
    <w:p w14:paraId="6F61096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dstrike w:val="0"/>
          <w:color w:val="auto"/>
          <w:kern w:val="0"/>
          <w:sz w:val="24"/>
          <w:szCs w:val="24"/>
          <w:highlight w:val="none"/>
        </w:rPr>
        <w:t>投标保证金的递交情况</w:t>
      </w:r>
      <w:r>
        <w:rPr>
          <w:rFonts w:hint="eastAsia" w:ascii="宋体" w:hAnsi="宋体" w:eastAsia="宋体" w:cs="宋体"/>
          <w:color w:val="auto"/>
          <w:kern w:val="0"/>
          <w:sz w:val="24"/>
          <w:szCs w:val="24"/>
          <w:highlight w:val="none"/>
        </w:rPr>
        <w:t>、投标报价、项目负责人及其他内容。未在规定时间内解密的投标文件不参与开标、评标。</w:t>
      </w:r>
    </w:p>
    <w:p w14:paraId="78B1CC4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按开标记录表规定的内容进行唱标。</w:t>
      </w:r>
    </w:p>
    <w:p w14:paraId="57F63A9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投标人代表、招标人代表等有关人员在开标记录上签字确认；若有关人员不签字的，不影响开标程序。</w:t>
      </w:r>
    </w:p>
    <w:p w14:paraId="1C33D19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开标结束。</w:t>
      </w:r>
    </w:p>
    <w:p w14:paraId="0AFC299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FEC0C1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开标时，两个（含两个）以上的投标人加密打包投标文件的硬件特征码（含MAC地址、硬盘序列号、CPU名称、主板等）一致的，由评标委员会否决其投标。</w:t>
      </w:r>
    </w:p>
    <w:p w14:paraId="4D9838A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3C1388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0" w:name="_Toc193357974"/>
      <w:bookmarkStart w:id="111" w:name="_Toc111186758"/>
      <w:bookmarkStart w:id="112" w:name="_Toc26094"/>
      <w:r>
        <w:rPr>
          <w:rFonts w:hint="eastAsia" w:ascii="宋体" w:hAnsi="宋体" w:eastAsia="宋体" w:cs="宋体"/>
          <w:b/>
          <w:bCs/>
          <w:color w:val="auto"/>
          <w:spacing w:val="1"/>
          <w:sz w:val="28"/>
          <w:szCs w:val="32"/>
          <w:highlight w:val="none"/>
          <w:lang w:val="zh-CN"/>
        </w:rPr>
        <w:t>5.3 开标异议</w:t>
      </w:r>
      <w:bookmarkEnd w:id="110"/>
      <w:bookmarkEnd w:id="111"/>
      <w:bookmarkEnd w:id="112"/>
    </w:p>
    <w:p w14:paraId="77175BD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1 参加现场开标的投标人对开标结果有异议的，应当在开标现场提出，该投标人代表须同时出示本人身份证原件，招标人应当当场作出答复，并制作记录。未答复的，开标程序不得结束。</w:t>
      </w:r>
    </w:p>
    <w:p w14:paraId="562B2EA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2 参加在线开标的投标人对开标结果有异议的，应当在唱标结束后的规定时间内使用单位数字证书登录</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2DF5B17E">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5.3.3 投标人未参加开标或在规定的时间内未提出异议的，视为对开标无异议。</w:t>
      </w:r>
    </w:p>
    <w:p w14:paraId="45A6EA5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F78F4F5">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3" w:name="_Toc111186759"/>
      <w:bookmarkStart w:id="114" w:name="_Toc27043"/>
      <w:bookmarkStart w:id="115" w:name="_Toc193357975"/>
      <w:r>
        <w:rPr>
          <w:rFonts w:hint="eastAsia" w:ascii="宋体" w:hAnsi="宋体" w:eastAsia="宋体" w:cs="宋体"/>
          <w:b/>
          <w:bCs/>
          <w:color w:val="auto"/>
          <w:spacing w:val="1"/>
          <w:kern w:val="0"/>
          <w:sz w:val="30"/>
          <w:szCs w:val="30"/>
          <w:highlight w:val="none"/>
          <w:lang w:val="zh-CN"/>
        </w:rPr>
        <w:t>6</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13"/>
      <w:bookmarkEnd w:id="114"/>
      <w:bookmarkEnd w:id="115"/>
    </w:p>
    <w:p w14:paraId="4E5A1D5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6" w:name="_Toc874"/>
      <w:bookmarkStart w:id="117" w:name="_Toc111186760"/>
      <w:bookmarkStart w:id="118" w:name="_Toc193357976"/>
      <w:r>
        <w:rPr>
          <w:rFonts w:hint="eastAsia" w:ascii="宋体" w:hAnsi="宋体" w:eastAsia="宋体" w:cs="宋体"/>
          <w:b/>
          <w:bCs/>
          <w:color w:val="auto"/>
          <w:spacing w:val="1"/>
          <w:sz w:val="28"/>
          <w:szCs w:val="32"/>
          <w:highlight w:val="none"/>
          <w:lang w:val="zh-CN"/>
        </w:rPr>
        <w:t>6.1 评标委员会</w:t>
      </w:r>
      <w:bookmarkEnd w:id="116"/>
      <w:bookmarkEnd w:id="117"/>
      <w:bookmarkEnd w:id="118"/>
    </w:p>
    <w:p w14:paraId="3393E3F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6.1.1 评标由招标人依法组建的评标委员会负责。</w:t>
      </w:r>
      <w:r>
        <w:rPr>
          <w:rFonts w:hint="eastAsia" w:ascii="宋体" w:hAnsi="宋体" w:eastAsia="宋体" w:cs="宋体"/>
          <w:color w:val="auto"/>
          <w:kern w:val="0"/>
          <w:sz w:val="24"/>
          <w:szCs w:val="24"/>
          <w:highlight w:val="none"/>
        </w:rPr>
        <w:t>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中抽取或按远程异地评标专家抽取相关规定组建</w:t>
      </w:r>
      <w:r>
        <w:rPr>
          <w:rFonts w:ascii="宋体" w:hAnsi="宋体" w:eastAsia="宋体" w:cs="宋体"/>
          <w:color w:val="auto"/>
          <w:kern w:val="0"/>
          <w:sz w:val="24"/>
          <w:szCs w:val="24"/>
          <w:highlight w:val="none"/>
        </w:rPr>
        <w:t>。评标委员会成员人数以及技术、经济等方面专家的确定方式见投标人须知前附表。</w:t>
      </w:r>
    </w:p>
    <w:p w14:paraId="4B9E8D5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14:paraId="1CA05AE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14:paraId="4ECC412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14:paraId="0CEBA0C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招标人或投标人的工作人员、退休或离职未满3年的人员；</w:t>
      </w:r>
    </w:p>
    <w:p w14:paraId="46849E1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)与投标人有经济利益关系，可能影响对投标公正评审的；</w:t>
      </w:r>
    </w:p>
    <w:p w14:paraId="68B15BA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)曾因在招标、评标以及其他与招标投标有关活动中从事违法行为而受过行政处罚或刑事处罚的；</w:t>
      </w:r>
    </w:p>
    <w:p w14:paraId="7715EF3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)与投标人有其他利害关系。</w:t>
      </w:r>
    </w:p>
    <w:p w14:paraId="4581471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B9003C3">
      <w:pPr>
        <w:wordWrap w:val="0"/>
        <w:autoSpaceDE w:val="0"/>
        <w:autoSpaceDN w:val="0"/>
        <w:spacing w:line="360" w:lineRule="auto"/>
        <w:ind w:firstLine="482" w:firstLineChars="200"/>
        <w:rPr>
          <w:rFonts w:hint="eastAsia" w:ascii="宋体" w:hAnsi="宋体" w:eastAsia="宋体" w:cs="宋体"/>
          <w:color w:val="auto"/>
          <w:kern w:val="0"/>
          <w:sz w:val="24"/>
          <w:szCs w:val="24"/>
          <w:highlight w:val="none"/>
          <w:lang w:eastAsia="zh-CN"/>
        </w:rPr>
      </w:pPr>
      <w:r>
        <w:rPr>
          <w:rFonts w:hint="default" w:ascii="宋体" w:hAnsi="宋体" w:eastAsia="宋体"/>
          <w:b/>
          <w:bCs/>
          <w:color w:val="auto"/>
          <w:sz w:val="24"/>
          <w:szCs w:val="24"/>
          <w:highlight w:val="none"/>
        </w:rPr>
        <w:t>6.1.4 评标委员会在开始评标前，应了解评标专家的职责及守则，认真阅读附件《评标委员会成员声明》的内容并签名，签名后方可进行评标</w:t>
      </w:r>
      <w:r>
        <w:rPr>
          <w:rFonts w:hint="eastAsia" w:ascii="宋体" w:hAnsi="宋体" w:eastAsia="宋体"/>
          <w:b/>
          <w:bCs/>
          <w:color w:val="auto"/>
          <w:sz w:val="24"/>
          <w:szCs w:val="24"/>
          <w:highlight w:val="none"/>
          <w:lang w:eastAsia="zh-CN"/>
        </w:rPr>
        <w:t>。</w:t>
      </w:r>
    </w:p>
    <w:p w14:paraId="2EED063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9" w:name="_Toc111186761"/>
      <w:bookmarkStart w:id="120" w:name="_Toc193357977"/>
      <w:bookmarkStart w:id="121" w:name="_Toc9043"/>
      <w:r>
        <w:rPr>
          <w:rFonts w:hint="eastAsia" w:ascii="宋体" w:hAnsi="宋体" w:eastAsia="宋体" w:cs="宋体"/>
          <w:b/>
          <w:bCs/>
          <w:color w:val="auto"/>
          <w:spacing w:val="1"/>
          <w:sz w:val="28"/>
          <w:szCs w:val="32"/>
          <w:highlight w:val="none"/>
          <w:lang w:val="zh-CN"/>
        </w:rPr>
        <w:t>6.2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19"/>
      <w:bookmarkEnd w:id="120"/>
      <w:bookmarkEnd w:id="121"/>
    </w:p>
    <w:p w14:paraId="5615270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0488163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3C8CC1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2" w:name="_Toc10255"/>
      <w:bookmarkStart w:id="123" w:name="_Toc111186762"/>
      <w:bookmarkStart w:id="124" w:name="_Toc193357978"/>
      <w:r>
        <w:rPr>
          <w:rFonts w:hint="eastAsia" w:ascii="宋体" w:hAnsi="宋体" w:eastAsia="宋体" w:cs="宋体"/>
          <w:b/>
          <w:bCs/>
          <w:color w:val="auto"/>
          <w:spacing w:val="1"/>
          <w:sz w:val="28"/>
          <w:szCs w:val="32"/>
          <w:highlight w:val="none"/>
          <w:lang w:val="zh-CN"/>
        </w:rPr>
        <w:t>6.3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22"/>
      <w:bookmarkEnd w:id="123"/>
      <w:bookmarkEnd w:id="124"/>
    </w:p>
    <w:p w14:paraId="3DEE9A7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36D9B47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14:paraId="58EE30FF">
      <w:pPr>
        <w:wordWrap w:val="0"/>
        <w:spacing w:line="360" w:lineRule="auto"/>
        <w:ind w:firstLine="480" w:firstLineChars="200"/>
        <w:rPr>
          <w:rFonts w:ascii="宋体" w:hAnsi="宋体" w:eastAsia="宋体" w:cs="宋体"/>
          <w:color w:val="auto"/>
          <w:sz w:val="24"/>
          <w:szCs w:val="24"/>
          <w:highlight w:val="none"/>
        </w:rPr>
      </w:pPr>
    </w:p>
    <w:p w14:paraId="44DA7DB4">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5" w:name="_Toc10209"/>
      <w:bookmarkStart w:id="126" w:name="_Toc193357979"/>
      <w:bookmarkStart w:id="127" w:name="_Toc111186763"/>
      <w:r>
        <w:rPr>
          <w:rFonts w:hint="eastAsia" w:ascii="宋体" w:hAnsi="宋体" w:eastAsia="宋体" w:cs="宋体"/>
          <w:b/>
          <w:bCs/>
          <w:color w:val="auto"/>
          <w:spacing w:val="1"/>
          <w:kern w:val="0"/>
          <w:sz w:val="30"/>
          <w:szCs w:val="30"/>
          <w:highlight w:val="none"/>
          <w:lang w:val="zh-CN"/>
        </w:rPr>
        <w:t>7</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25"/>
      <w:bookmarkEnd w:id="126"/>
      <w:bookmarkEnd w:id="127"/>
    </w:p>
    <w:p w14:paraId="0D153EC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8" w:name="_Toc111186764"/>
      <w:bookmarkStart w:id="129" w:name="_Toc3077"/>
      <w:bookmarkStart w:id="130" w:name="_Toc193357980"/>
      <w:r>
        <w:rPr>
          <w:rFonts w:hint="eastAsia" w:ascii="宋体" w:hAnsi="宋体" w:eastAsia="宋体" w:cs="宋体"/>
          <w:b/>
          <w:bCs/>
          <w:color w:val="auto"/>
          <w:spacing w:val="1"/>
          <w:sz w:val="28"/>
          <w:szCs w:val="32"/>
          <w:highlight w:val="none"/>
          <w:lang w:val="zh-CN"/>
        </w:rPr>
        <w:t>7.1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28"/>
      <w:bookmarkEnd w:id="129"/>
      <w:bookmarkEnd w:id="130"/>
    </w:p>
    <w:p w14:paraId="1818B48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招标人在收到评标报告之日起3日内，按照投标人须知前附表规定的公示媒介和期限公示中标候选人，公示期不得少于3天，最后一天应为工作日。</w:t>
      </w:r>
    </w:p>
    <w:p w14:paraId="06D2F61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031630B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0557767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76927A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1" w:name="_Toc19391"/>
      <w:bookmarkStart w:id="132" w:name="_Toc193357981"/>
      <w:bookmarkStart w:id="133" w:name="_Toc111186765"/>
      <w:r>
        <w:rPr>
          <w:rFonts w:hint="eastAsia" w:ascii="宋体" w:hAnsi="宋体" w:eastAsia="宋体" w:cs="宋体"/>
          <w:b/>
          <w:bCs/>
          <w:color w:val="auto"/>
          <w:spacing w:val="1"/>
          <w:sz w:val="28"/>
          <w:szCs w:val="32"/>
          <w:highlight w:val="none"/>
          <w:lang w:val="zh-CN"/>
        </w:rPr>
        <w:t>7.2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31"/>
      <w:bookmarkEnd w:id="132"/>
      <w:bookmarkEnd w:id="133"/>
    </w:p>
    <w:p w14:paraId="6822E96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投标人或者其他利害关系人对评标结果有异议的，应当在中标候选人公示期间通过电子交易系统提出。招标人将在收到异议之日起3日内在电子交易系统作出答复；作出答复前，将暂停招标投标活动。</w:t>
      </w:r>
    </w:p>
    <w:p w14:paraId="1E610AC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BE68E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4" w:name="_Toc17235"/>
      <w:bookmarkStart w:id="135" w:name="_Toc111186766"/>
      <w:bookmarkStart w:id="136" w:name="_Toc193357982"/>
      <w:r>
        <w:rPr>
          <w:rFonts w:hint="eastAsia" w:ascii="宋体" w:hAnsi="宋体" w:eastAsia="宋体" w:cs="宋体"/>
          <w:b/>
          <w:bCs/>
          <w:color w:val="auto"/>
          <w:spacing w:val="1"/>
          <w:sz w:val="28"/>
          <w:szCs w:val="32"/>
          <w:highlight w:val="none"/>
          <w:lang w:val="zh-CN"/>
        </w:rPr>
        <w:t>7.3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34"/>
      <w:bookmarkEnd w:id="135"/>
      <w:bookmarkEnd w:id="136"/>
    </w:p>
    <w:p w14:paraId="26F44AD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4E7EB4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038EB9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7" w:name="_Toc193357983"/>
      <w:bookmarkStart w:id="138" w:name="_Toc111186767"/>
      <w:bookmarkStart w:id="139" w:name="_Toc1732"/>
      <w:r>
        <w:rPr>
          <w:rFonts w:hint="eastAsia" w:ascii="宋体" w:hAnsi="宋体" w:eastAsia="宋体" w:cs="宋体"/>
          <w:b/>
          <w:bCs/>
          <w:color w:val="auto"/>
          <w:spacing w:val="1"/>
          <w:sz w:val="28"/>
          <w:szCs w:val="32"/>
          <w:highlight w:val="none"/>
          <w:lang w:val="zh-CN"/>
        </w:rPr>
        <w:t>7.4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37"/>
      <w:bookmarkEnd w:id="138"/>
      <w:bookmarkEnd w:id="139"/>
    </w:p>
    <w:p w14:paraId="32B2C49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14:paraId="0F2BB7C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B373E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0" w:name="_Toc4759"/>
      <w:bookmarkStart w:id="141" w:name="_Toc193357984"/>
      <w:bookmarkStart w:id="142" w:name="_Toc111186768"/>
      <w:r>
        <w:rPr>
          <w:rFonts w:hint="eastAsia" w:ascii="宋体" w:hAnsi="宋体" w:eastAsia="宋体" w:cs="宋体"/>
          <w:b/>
          <w:bCs/>
          <w:color w:val="auto"/>
          <w:spacing w:val="1"/>
          <w:sz w:val="28"/>
          <w:szCs w:val="32"/>
          <w:highlight w:val="none"/>
          <w:lang w:val="zh-CN"/>
        </w:rPr>
        <w:t>7.5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40"/>
      <w:bookmarkEnd w:id="141"/>
      <w:bookmarkEnd w:id="142"/>
    </w:p>
    <w:p w14:paraId="54BE6D2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在法规规定的时间内，</w:t>
      </w:r>
      <w:r>
        <w:rPr>
          <w:rFonts w:hint="eastAsia" w:ascii="宋体" w:hAnsi="宋体" w:eastAsia="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p>
    <w:p w14:paraId="6C0168F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政府投资项目，中标通知书发出前，中标人应未被纳入失信惩戒名单，否则招标人将取消其中标资格。失信联合惩戒名单以“信用广州”网站公布的为准。</w:t>
      </w:r>
    </w:p>
    <w:p w14:paraId="2C3648B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D24832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3" w:name="_Toc11927"/>
      <w:bookmarkStart w:id="144" w:name="_Toc111186769"/>
      <w:bookmarkStart w:id="145" w:name="_Toc193357985"/>
      <w:r>
        <w:rPr>
          <w:rFonts w:hint="eastAsia" w:ascii="宋体" w:hAnsi="宋体" w:eastAsia="宋体" w:cs="宋体"/>
          <w:b/>
          <w:bCs/>
          <w:color w:val="auto"/>
          <w:spacing w:val="1"/>
          <w:sz w:val="28"/>
          <w:szCs w:val="32"/>
          <w:highlight w:val="none"/>
          <w:lang w:val="zh-CN"/>
        </w:rPr>
        <w:t>7.6</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43"/>
      <w:bookmarkEnd w:id="144"/>
      <w:bookmarkEnd w:id="145"/>
    </w:p>
    <w:p w14:paraId="4CC93F1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招标人对符合招标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定的未中标人的技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进行补偿的，招标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按</w:t>
      </w:r>
      <w:r>
        <w:rPr>
          <w:rFonts w:hint="eastAsia" w:ascii="宋体" w:hAnsi="宋体" w:eastAsia="宋体" w:cs="宋体"/>
          <w:color w:val="auto"/>
          <w:kern w:val="0"/>
          <w:sz w:val="24"/>
          <w:szCs w:val="24"/>
          <w:highlight w:val="none"/>
        </w:rPr>
        <w:t>投标人须知前附表规定的标准</w:t>
      </w:r>
      <w:r>
        <w:rPr>
          <w:rFonts w:hint="eastAsia" w:ascii="宋体" w:hAnsi="宋体" w:eastAsia="宋体" w:cs="宋体"/>
          <w:color w:val="auto"/>
          <w:spacing w:val="-2"/>
          <w:kern w:val="0"/>
          <w:sz w:val="24"/>
          <w:szCs w:val="24"/>
          <w:highlight w:val="none"/>
        </w:rPr>
        <w:t>给</w:t>
      </w:r>
      <w:r>
        <w:rPr>
          <w:rFonts w:hint="eastAsia" w:ascii="宋体" w:hAnsi="宋体" w:eastAsia="宋体" w:cs="宋体"/>
          <w:color w:val="auto"/>
          <w:kern w:val="0"/>
          <w:sz w:val="24"/>
          <w:szCs w:val="24"/>
          <w:highlight w:val="none"/>
        </w:rPr>
        <w:t>予经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补偿，未中标人</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件中声明放弃技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济补偿费</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除</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于</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通</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书</w:t>
      </w:r>
      <w:r>
        <w:rPr>
          <w:rFonts w:hint="eastAsia" w:ascii="宋体" w:hAnsi="宋体" w:eastAsia="宋体" w:cs="宋体"/>
          <w:color w:val="auto"/>
          <w:spacing w:val="-2"/>
          <w:kern w:val="0"/>
          <w:sz w:val="24"/>
          <w:szCs w:val="24"/>
          <w:highlight w:val="none"/>
        </w:rPr>
        <w:t>发</w:t>
      </w:r>
      <w:r>
        <w:rPr>
          <w:rFonts w:hint="eastAsia" w:ascii="宋体" w:hAnsi="宋体" w:eastAsia="宋体" w:cs="宋体"/>
          <w:color w:val="auto"/>
          <w:kern w:val="0"/>
          <w:sz w:val="24"/>
          <w:szCs w:val="24"/>
          <w:highlight w:val="none"/>
        </w:rPr>
        <w:t>出后</w:t>
      </w: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spacing w:val="-2"/>
          <w:kern w:val="0"/>
          <w:sz w:val="24"/>
          <w:szCs w:val="24"/>
          <w:highlight w:val="none"/>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向</w:t>
      </w:r>
      <w:r>
        <w:rPr>
          <w:rFonts w:hint="eastAsia" w:ascii="宋体" w:hAnsi="宋体" w:eastAsia="宋体" w:cs="宋体"/>
          <w:color w:val="auto"/>
          <w:kern w:val="0"/>
          <w:sz w:val="24"/>
          <w:szCs w:val="24"/>
          <w:highlight w:val="none"/>
        </w:rPr>
        <w:t>未</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人支</w:t>
      </w:r>
      <w:r>
        <w:rPr>
          <w:rFonts w:hint="eastAsia" w:ascii="宋体" w:hAnsi="宋体" w:eastAsia="宋体" w:cs="宋体"/>
          <w:color w:val="auto"/>
          <w:kern w:val="0"/>
          <w:sz w:val="24"/>
          <w:szCs w:val="24"/>
          <w:highlight w:val="none"/>
        </w:rPr>
        <w:t>付技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w:t>
      </w:r>
      <w:r>
        <w:rPr>
          <w:rFonts w:hint="eastAsia" w:ascii="宋体" w:hAnsi="宋体" w:eastAsia="宋体" w:cs="宋体"/>
          <w:color w:val="auto"/>
          <w:spacing w:val="-2"/>
          <w:kern w:val="0"/>
          <w:sz w:val="24"/>
          <w:szCs w:val="24"/>
          <w:highlight w:val="none"/>
        </w:rPr>
        <w:t>偿</w:t>
      </w:r>
      <w:r>
        <w:rPr>
          <w:rFonts w:hint="eastAsia" w:ascii="宋体" w:hAnsi="宋体" w:eastAsia="宋体" w:cs="宋体"/>
          <w:color w:val="auto"/>
          <w:kern w:val="0"/>
          <w:sz w:val="24"/>
          <w:szCs w:val="24"/>
          <w:highlight w:val="none"/>
        </w:rPr>
        <w:t>费。</w:t>
      </w:r>
    </w:p>
    <w:p w14:paraId="5F857AB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EC0BA6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6" w:name="_Toc193357986"/>
      <w:bookmarkStart w:id="147" w:name="_Toc111186770"/>
      <w:bookmarkStart w:id="148" w:name="_Toc5726"/>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46"/>
      <w:bookmarkEnd w:id="147"/>
      <w:bookmarkEnd w:id="148"/>
    </w:p>
    <w:p w14:paraId="6B284B0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DC27F1D">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7.7.2 中标人不能按本章第7.7.1项要求提交履约保证金的，视为放弃中标，</w:t>
      </w:r>
      <w:r>
        <w:rPr>
          <w:rFonts w:hint="eastAsia" w:ascii="宋体" w:hAnsi="宋体" w:eastAsia="宋体" w:cs="宋体"/>
          <w:strike/>
          <w:dstrike w:val="0"/>
          <w:color w:val="auto"/>
          <w:kern w:val="0"/>
          <w:sz w:val="24"/>
          <w:szCs w:val="24"/>
          <w:highlight w:val="none"/>
        </w:rPr>
        <w:t>其投标保证金不予退还，给招标人造成的损失超过投标保证金数额的，中标人还应当对超过部分予以赔偿</w:t>
      </w:r>
      <w:r>
        <w:rPr>
          <w:rFonts w:hint="eastAsia" w:ascii="宋体" w:hAnsi="宋体" w:eastAsia="宋体" w:cs="宋体"/>
          <w:color w:val="auto"/>
          <w:kern w:val="0"/>
          <w:sz w:val="24"/>
          <w:szCs w:val="24"/>
          <w:highlight w:val="none"/>
        </w:rPr>
        <w:t>。</w:t>
      </w:r>
    </w:p>
    <w:p w14:paraId="69934C9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2EEC4A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9" w:name="_Toc111186771"/>
      <w:bookmarkStart w:id="150" w:name="_Toc193357987"/>
      <w:bookmarkStart w:id="151" w:name="_Toc32040"/>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49"/>
      <w:bookmarkEnd w:id="150"/>
      <w:bookmarkEnd w:id="151"/>
    </w:p>
    <w:p w14:paraId="692942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招标人和中标人应当在中标通知书发出之日起30日内，根据招标文件和中标人的投标文件订立书面合同，并通过电子交易系统与中标人在线签订合同，并在广东省招标投标监管网和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网站公示合同主要信息。中标人无正当理由拒签合同，在签订合同时向招标人提出附加条件，或者不按照招标文件要求提交履约保证金的，招标人有权取消其中标资格，</w:t>
      </w:r>
      <w:r>
        <w:rPr>
          <w:rFonts w:hint="eastAsia" w:ascii="宋体" w:hAnsi="宋体" w:eastAsia="宋体" w:cs="宋体"/>
          <w:strike/>
          <w:dstrike w:val="0"/>
          <w:color w:val="auto"/>
          <w:kern w:val="0"/>
          <w:sz w:val="24"/>
          <w:szCs w:val="24"/>
          <w:highlight w:val="none"/>
        </w:rPr>
        <w:t>其投标保证金不予退还；给招标人造成的损失超过投标保证金数额的，中标人还应当对超过部分予以赔偿</w:t>
      </w:r>
      <w:r>
        <w:rPr>
          <w:rFonts w:hint="eastAsia" w:ascii="宋体" w:hAnsi="宋体" w:eastAsia="宋体" w:cs="宋体"/>
          <w:color w:val="auto"/>
          <w:kern w:val="0"/>
          <w:sz w:val="24"/>
          <w:szCs w:val="24"/>
          <w:highlight w:val="none"/>
        </w:rPr>
        <w:t>。</w:t>
      </w:r>
    </w:p>
    <w:p w14:paraId="6EE307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发出中标通知书后，招标人无正当理由拒签合同，或者在签订合同时向中标人提出附加条件的，</w:t>
      </w:r>
      <w:r>
        <w:rPr>
          <w:rFonts w:hint="eastAsia" w:ascii="宋体" w:hAnsi="宋体" w:eastAsia="宋体" w:cs="宋体"/>
          <w:strike/>
          <w:dstrike w:val="0"/>
          <w:color w:val="auto"/>
          <w:kern w:val="0"/>
          <w:sz w:val="24"/>
          <w:szCs w:val="24"/>
          <w:highlight w:val="none"/>
        </w:rPr>
        <w:t>招标人向中标人退还投标保证金</w:t>
      </w:r>
      <w:r>
        <w:rPr>
          <w:rFonts w:hint="eastAsia" w:ascii="宋体" w:hAnsi="宋体" w:eastAsia="宋体" w:cs="宋体"/>
          <w:color w:val="auto"/>
          <w:kern w:val="0"/>
          <w:sz w:val="24"/>
          <w:szCs w:val="24"/>
          <w:highlight w:val="none"/>
        </w:rPr>
        <w:t>；给中标人造成损失的，还应当赔偿损失。</w:t>
      </w:r>
    </w:p>
    <w:p w14:paraId="6D7433E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联合体中标的，联合体各方应当共同与招标人签订合同，就中标项目向招标人承担连带责任。</w:t>
      </w:r>
    </w:p>
    <w:p w14:paraId="1DF7EAD4">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AF88CA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52" w:name="_Toc193357988"/>
      <w:bookmarkStart w:id="153" w:name="_Toc111186772"/>
      <w:bookmarkStart w:id="154" w:name="_Toc14874"/>
      <w:r>
        <w:rPr>
          <w:rFonts w:hint="eastAsia" w:ascii="宋体" w:hAnsi="宋体" w:eastAsia="宋体" w:cs="宋体"/>
          <w:b/>
          <w:bCs/>
          <w:color w:val="auto"/>
          <w:spacing w:val="1"/>
          <w:kern w:val="0"/>
          <w:sz w:val="30"/>
          <w:szCs w:val="30"/>
          <w:highlight w:val="none"/>
          <w:lang w:val="zh-CN"/>
        </w:rPr>
        <w:t>8</w:t>
      </w:r>
      <w:r>
        <w:rPr>
          <w:rFonts w:hint="eastAsia"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152"/>
      <w:bookmarkEnd w:id="153"/>
      <w:bookmarkEnd w:id="154"/>
    </w:p>
    <w:p w14:paraId="3C37A62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5" w:name="_Toc111186773"/>
      <w:bookmarkStart w:id="156" w:name="_Toc193357989"/>
      <w:bookmarkStart w:id="157" w:name="_Toc3133"/>
      <w:r>
        <w:rPr>
          <w:rFonts w:hint="eastAsia" w:ascii="宋体" w:hAnsi="宋体" w:eastAsia="宋体" w:cs="宋体"/>
          <w:b/>
          <w:bCs/>
          <w:color w:val="auto"/>
          <w:spacing w:val="1"/>
          <w:sz w:val="28"/>
          <w:szCs w:val="32"/>
          <w:highlight w:val="none"/>
          <w:lang w:val="zh-CN"/>
        </w:rPr>
        <w:t>8.1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5"/>
      <w:bookmarkEnd w:id="156"/>
      <w:bookmarkEnd w:id="157"/>
    </w:p>
    <w:p w14:paraId="3DEDD9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招标人不得泄露招标投标活动中应当保密的情况和资料，不得与招标代理、投标人串通损害国家利益、社会公共利益或者他人合法权益。</w:t>
      </w:r>
    </w:p>
    <w:p w14:paraId="68B7E12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14498D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8" w:name="_Toc9243"/>
      <w:bookmarkStart w:id="159" w:name="_Toc193357990"/>
      <w:bookmarkStart w:id="160" w:name="_Toc111186774"/>
      <w:r>
        <w:rPr>
          <w:rFonts w:hint="eastAsia" w:ascii="宋体" w:hAnsi="宋体" w:eastAsia="宋体" w:cs="宋体"/>
          <w:b/>
          <w:bCs/>
          <w:color w:val="auto"/>
          <w:spacing w:val="1"/>
          <w:sz w:val="28"/>
          <w:szCs w:val="32"/>
          <w:highlight w:val="none"/>
          <w:lang w:val="zh-CN"/>
        </w:rPr>
        <w:t>8.2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8"/>
      <w:bookmarkEnd w:id="159"/>
      <w:bookmarkEnd w:id="160"/>
    </w:p>
    <w:p w14:paraId="6FA9230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14:paraId="46B103E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FF0933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1" w:name="_Toc30238"/>
      <w:bookmarkStart w:id="162" w:name="_Toc111186775"/>
      <w:bookmarkStart w:id="163" w:name="_Toc193357991"/>
      <w:r>
        <w:rPr>
          <w:rFonts w:hint="eastAsia" w:ascii="宋体" w:hAnsi="宋体" w:eastAsia="宋体" w:cs="宋体"/>
          <w:b/>
          <w:bCs/>
          <w:color w:val="auto"/>
          <w:spacing w:val="1"/>
          <w:sz w:val="28"/>
          <w:szCs w:val="32"/>
          <w:highlight w:val="none"/>
          <w:lang w:val="zh-CN"/>
        </w:rPr>
        <w:t>8.3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1"/>
      <w:bookmarkEnd w:id="162"/>
      <w:bookmarkEnd w:id="163"/>
    </w:p>
    <w:p w14:paraId="5624A92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5779963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4" w:name="_Toc193357992"/>
      <w:bookmarkStart w:id="165" w:name="_Toc9711"/>
      <w:bookmarkStart w:id="166" w:name="_Toc111186776"/>
      <w:r>
        <w:rPr>
          <w:rFonts w:hint="eastAsia" w:ascii="宋体" w:hAnsi="宋体" w:eastAsia="宋体" w:cs="宋体"/>
          <w:b/>
          <w:bCs/>
          <w:color w:val="auto"/>
          <w:spacing w:val="1"/>
          <w:sz w:val="28"/>
          <w:szCs w:val="32"/>
          <w:highlight w:val="none"/>
          <w:lang w:val="zh-CN"/>
        </w:rPr>
        <w:t>8.4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164"/>
      <w:bookmarkEnd w:id="165"/>
      <w:bookmarkEnd w:id="166"/>
    </w:p>
    <w:p w14:paraId="615A0D6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1F904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6C0B23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7" w:name="_Toc193357993"/>
      <w:bookmarkStart w:id="168" w:name="_Toc111186777"/>
      <w:bookmarkStart w:id="169" w:name="_Toc3297"/>
      <w:r>
        <w:rPr>
          <w:rFonts w:hint="eastAsia" w:ascii="宋体" w:hAnsi="宋体" w:eastAsia="宋体" w:cs="宋体"/>
          <w:b/>
          <w:bCs/>
          <w:color w:val="auto"/>
          <w:spacing w:val="1"/>
          <w:sz w:val="28"/>
          <w:szCs w:val="32"/>
          <w:highlight w:val="none"/>
          <w:lang w:val="zh-CN"/>
        </w:rPr>
        <w:t>8.5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167"/>
      <w:bookmarkEnd w:id="168"/>
      <w:bookmarkEnd w:id="169"/>
    </w:p>
    <w:p w14:paraId="0F9DBC8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5D86497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03BD3E5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E0D367F">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0" w:name="_Toc32014"/>
      <w:bookmarkStart w:id="171" w:name="_Toc193357994"/>
      <w:bookmarkStart w:id="172" w:name="_Toc111186778"/>
      <w:r>
        <w:rPr>
          <w:rFonts w:hint="eastAsia" w:ascii="宋体" w:hAnsi="宋体" w:eastAsia="宋体" w:cs="宋体"/>
          <w:b/>
          <w:bCs/>
          <w:color w:val="auto"/>
          <w:spacing w:val="1"/>
          <w:kern w:val="0"/>
          <w:sz w:val="30"/>
          <w:szCs w:val="30"/>
          <w:highlight w:val="none"/>
          <w:lang w:val="zh-CN"/>
        </w:rPr>
        <w:t>9</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170"/>
      <w:bookmarkEnd w:id="171"/>
      <w:bookmarkEnd w:id="172"/>
    </w:p>
    <w:p w14:paraId="2BF0640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403A3BB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51250F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3" w:name="_Toc25836"/>
      <w:bookmarkStart w:id="174" w:name="_Toc111186779"/>
      <w:bookmarkStart w:id="175" w:name="_Toc193357995"/>
      <w:r>
        <w:rPr>
          <w:rFonts w:hint="eastAsia" w:ascii="宋体" w:hAnsi="宋体" w:eastAsia="宋体" w:cs="宋体"/>
          <w:b/>
          <w:bCs/>
          <w:color w:val="auto"/>
          <w:spacing w:val="1"/>
          <w:kern w:val="0"/>
          <w:sz w:val="30"/>
          <w:szCs w:val="30"/>
          <w:highlight w:val="none"/>
          <w:lang w:val="zh-CN"/>
        </w:rPr>
        <w:t>10</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bookmarkEnd w:id="173"/>
      <w:bookmarkEnd w:id="174"/>
      <w:bookmarkEnd w:id="175"/>
      <w:r>
        <w:rPr>
          <w:rFonts w:hint="eastAsia" w:ascii="宋体" w:hAnsi="宋体" w:eastAsia="宋体" w:cs="宋体"/>
          <w:b/>
          <w:bCs/>
          <w:color w:val="auto"/>
          <w:kern w:val="0"/>
          <w:sz w:val="30"/>
          <w:szCs w:val="30"/>
          <w:highlight w:val="none"/>
          <w:lang w:val="zh-CN"/>
        </w:rPr>
        <w:t>重新招标情形</w:t>
      </w:r>
    </w:p>
    <w:p w14:paraId="2D62413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14:paraId="2D6D364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（一）资格审查合格的投标人不足三个的；</w:t>
      </w:r>
    </w:p>
    <w:p w14:paraId="51C8CE7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14:paraId="1FA652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14:paraId="4AC4321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14:paraId="63C229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p>
    <w:p w14:paraId="7AB82FD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（六）符合法律法规需重新招标的其他情形。</w:t>
      </w:r>
    </w:p>
    <w:p w14:paraId="6E83AAB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3EE0FB0">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11</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p>
    <w:p w14:paraId="54770BC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14:paraId="0710932B">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bookmarkStart w:id="176" w:name="_Toc5282"/>
      <w:bookmarkStart w:id="177" w:name="_Toc193357997"/>
      <w:bookmarkStart w:id="178" w:name="_Toc111186781"/>
    </w:p>
    <w:bookmarkEnd w:id="176"/>
    <w:bookmarkEnd w:id="177"/>
    <w:bookmarkEnd w:id="178"/>
    <w:p w14:paraId="355F4419">
      <w:pPr>
        <w:pStyle w:val="3"/>
        <w:rPr>
          <w:color w:val="auto"/>
          <w:highlight w:val="none"/>
        </w:rPr>
      </w:pPr>
      <w:bookmarkStart w:id="179" w:name="_Toc111186786"/>
      <w:bookmarkStart w:id="180" w:name="_Toc193358002"/>
      <w:r>
        <w:rPr>
          <w:rFonts w:hint="eastAsia"/>
          <w:color w:val="auto"/>
          <w:highlight w:val="none"/>
        </w:rPr>
        <w:t>第三章  评标办法（综合评估法）</w:t>
      </w:r>
      <w:bookmarkEnd w:id="179"/>
      <w:bookmarkEnd w:id="180"/>
    </w:p>
    <w:p w14:paraId="6CF62AF8">
      <w:pPr>
        <w:pStyle w:val="4"/>
        <w:wordWrap w:val="0"/>
        <w:rPr>
          <w:color w:val="auto"/>
          <w:highlight w:val="none"/>
        </w:rPr>
      </w:pPr>
      <w:bookmarkStart w:id="181" w:name="_Toc32538"/>
      <w:bookmarkStart w:id="182" w:name="_Toc193358003"/>
      <w:bookmarkStart w:id="183" w:name="_Toc111186787"/>
      <w:r>
        <w:rPr>
          <w:rFonts w:hint="eastAsia"/>
          <w:color w:val="auto"/>
          <w:highlight w:val="none"/>
        </w:rPr>
        <w:t>（适用于技术文件为暗标形式）</w:t>
      </w:r>
    </w:p>
    <w:p w14:paraId="22C43F49">
      <w:pPr>
        <w:pStyle w:val="4"/>
        <w:wordWrap w:val="0"/>
        <w:rPr>
          <w:color w:val="auto"/>
          <w:highlight w:val="none"/>
        </w:rPr>
      </w:pPr>
      <w:r>
        <w:rPr>
          <w:rFonts w:hint="eastAsia"/>
          <w:color w:val="auto"/>
          <w:highlight w:val="none"/>
        </w:rPr>
        <w:t>评标办法前附表</w:t>
      </w:r>
      <w:bookmarkEnd w:id="181"/>
      <w:bookmarkEnd w:id="182"/>
      <w:bookmarkEnd w:id="183"/>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792"/>
        <w:gridCol w:w="1531"/>
        <w:gridCol w:w="5570"/>
      </w:tblGrid>
      <w:tr w14:paraId="7AB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5DBCA2F1">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78" w:type="pct"/>
            <w:vAlign w:val="center"/>
          </w:tcPr>
          <w:p w14:paraId="28C3E612">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3193" w:type="pct"/>
            <w:vAlign w:val="center"/>
          </w:tcPr>
          <w:p w14:paraId="7E5E174D">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481C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Align w:val="center"/>
          </w:tcPr>
          <w:p w14:paraId="7148EA9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4" w:type="pct"/>
            <w:vAlign w:val="center"/>
          </w:tcPr>
          <w:p w14:paraId="155C8F2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878" w:type="pct"/>
            <w:vAlign w:val="center"/>
          </w:tcPr>
          <w:p w14:paraId="1AEBAA9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193" w:type="pct"/>
            <w:vAlign w:val="center"/>
          </w:tcPr>
          <w:p w14:paraId="3AB836D9">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综合评分（即总得分）相等时中标候选人顺序：</w:t>
            </w:r>
            <w:r>
              <w:rPr>
                <w:rFonts w:hint="eastAsia" w:ascii="宋体" w:hAnsi="宋体" w:eastAsia="宋体" w:cs="宋体"/>
                <w:color w:val="auto"/>
                <w:szCs w:val="21"/>
                <w:highlight w:val="none"/>
                <w:u w:val="single"/>
              </w:rPr>
              <w:t>以技术文件得分高的排前；技术文件得分也相同的，以商务文件得分高的排前；若商务文件得分仍相同的，以投标报价较低的排前；如仍存在相同情况，则对具有相同情况的投标人，由评标委员会采用记名投票方式，确定投标人最终名次的排序。</w:t>
            </w:r>
          </w:p>
        </w:tc>
      </w:tr>
      <w:tr w14:paraId="170A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1B6F402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454" w:type="pct"/>
            <w:vMerge w:val="restart"/>
            <w:vAlign w:val="center"/>
          </w:tcPr>
          <w:p w14:paraId="15FCBE8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878" w:type="pct"/>
            <w:vAlign w:val="center"/>
          </w:tcPr>
          <w:p w14:paraId="1C26413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193" w:type="pct"/>
            <w:vAlign w:val="center"/>
          </w:tcPr>
          <w:p w14:paraId="02A1DF9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14:paraId="23F3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00D2B9D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F300323">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FF518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193" w:type="pct"/>
            <w:vAlign w:val="center"/>
          </w:tcPr>
          <w:p w14:paraId="58BE9F5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14:paraId="3697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1535C84">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4610E6D4">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17439A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3193" w:type="pct"/>
            <w:vAlign w:val="center"/>
          </w:tcPr>
          <w:p w14:paraId="32D5291E">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有法定代表人或其委托代理人签字和加盖单位章。由法定代表人签字的，应附法定代表人身份证明；由代理人签字的，应附法定代表人身份证明及授权委托书，身份证明或授权委托书参考第六章“投标文件格式”的规定。</w:t>
            </w:r>
          </w:p>
        </w:tc>
      </w:tr>
      <w:tr w14:paraId="57BB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4B27499C">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D3FB6E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058452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193" w:type="pct"/>
            <w:vAlign w:val="center"/>
          </w:tcPr>
          <w:p w14:paraId="6561104D">
            <w:pPr>
              <w:wordWrap w:val="0"/>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14:paraId="3C88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470C9E3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4A1E670A">
            <w:pPr>
              <w:widowControl/>
              <w:wordWrap w:val="0"/>
              <w:spacing w:line="276" w:lineRule="auto"/>
              <w:jc w:val="left"/>
              <w:rPr>
                <w:rFonts w:ascii="宋体" w:hAnsi="宋体" w:eastAsia="宋体" w:cs="宋体"/>
                <w:color w:val="auto"/>
                <w:szCs w:val="21"/>
                <w:highlight w:val="none"/>
              </w:rPr>
            </w:pPr>
          </w:p>
        </w:tc>
        <w:tc>
          <w:tcPr>
            <w:tcW w:w="878" w:type="pct"/>
            <w:vAlign w:val="center"/>
          </w:tcPr>
          <w:p w14:paraId="0B63DA4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3193" w:type="pct"/>
            <w:vAlign w:val="center"/>
          </w:tcPr>
          <w:p w14:paraId="10B9A200">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14:paraId="0312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C18C4F8">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D4934DC">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C7DC2C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3193" w:type="pct"/>
            <w:vAlign w:val="center"/>
          </w:tcPr>
          <w:p w14:paraId="3FA6F502">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14:paraId="7AF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6C39A3B0">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7A498A1A">
            <w:pPr>
              <w:widowControl/>
              <w:wordWrap w:val="0"/>
              <w:spacing w:line="276" w:lineRule="auto"/>
              <w:jc w:val="left"/>
              <w:rPr>
                <w:rFonts w:ascii="宋体" w:hAnsi="宋体" w:eastAsia="宋体" w:cs="宋体"/>
                <w:color w:val="auto"/>
                <w:szCs w:val="21"/>
                <w:highlight w:val="none"/>
              </w:rPr>
            </w:pPr>
          </w:p>
        </w:tc>
        <w:tc>
          <w:tcPr>
            <w:tcW w:w="878" w:type="pct"/>
            <w:vAlign w:val="center"/>
          </w:tcPr>
          <w:p w14:paraId="7243FF4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投标人硬件特征码</w:t>
            </w:r>
          </w:p>
        </w:tc>
        <w:tc>
          <w:tcPr>
            <w:tcW w:w="3193" w:type="pct"/>
            <w:vAlign w:val="center"/>
          </w:tcPr>
          <w:p w14:paraId="35A44B8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投标人与其他投标人加密打包投标文件硬件特征码不一致，以</w:t>
            </w:r>
            <w:r>
              <w:rPr>
                <w:rFonts w:hint="eastAsia" w:ascii="宋体" w:hAnsi="宋体" w:eastAsia="宋体" w:cs="宋体"/>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交易平台开标系统的检索信息为准。</w:t>
            </w:r>
          </w:p>
        </w:tc>
      </w:tr>
      <w:tr w14:paraId="141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4A3344E5">
            <w:pPr>
              <w:widowControl/>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454" w:type="pct"/>
            <w:vMerge w:val="restart"/>
            <w:vAlign w:val="center"/>
          </w:tcPr>
          <w:p w14:paraId="2BE6D823">
            <w:pPr>
              <w:widowControl/>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878" w:type="pct"/>
            <w:vAlign w:val="center"/>
          </w:tcPr>
          <w:p w14:paraId="51FE937A">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营业执照和组织机构代码证</w:t>
            </w:r>
          </w:p>
        </w:tc>
        <w:tc>
          <w:tcPr>
            <w:tcW w:w="3193" w:type="pct"/>
            <w:vAlign w:val="center"/>
          </w:tcPr>
          <w:p w14:paraId="2E6C8437">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16D1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EBF3649">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892440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0E4841D2">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3193" w:type="pct"/>
            <w:vAlign w:val="center"/>
          </w:tcPr>
          <w:p w14:paraId="0511CC24">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3EB1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C67D73A">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76B8A3F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2476F0AE">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业绩要求</w:t>
            </w:r>
          </w:p>
        </w:tc>
        <w:tc>
          <w:tcPr>
            <w:tcW w:w="3193" w:type="pct"/>
            <w:vAlign w:val="center"/>
          </w:tcPr>
          <w:p w14:paraId="01FC14A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u w:val="single"/>
                <w:lang w:bidi="ar"/>
              </w:rPr>
              <w:t>/。</w:t>
            </w:r>
          </w:p>
        </w:tc>
      </w:tr>
      <w:tr w14:paraId="1B5F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0C03334A">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71D35A92">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4469830">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3193" w:type="pct"/>
            <w:vAlign w:val="center"/>
          </w:tcPr>
          <w:p w14:paraId="33493ABC">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6D49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2AA3A31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2B44CDF">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9F5E499">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其他要求</w:t>
            </w:r>
          </w:p>
        </w:tc>
        <w:tc>
          <w:tcPr>
            <w:tcW w:w="3193" w:type="pct"/>
            <w:vAlign w:val="center"/>
          </w:tcPr>
          <w:p w14:paraId="294F9667">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2114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895AE28">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14704B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7C8C6BDE">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3193" w:type="pct"/>
            <w:vAlign w:val="center"/>
          </w:tcPr>
          <w:p w14:paraId="321314DE">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符合第二章“投标人须知”第1.4.2项规定</w:t>
            </w:r>
          </w:p>
        </w:tc>
      </w:tr>
      <w:tr w14:paraId="7C1B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43A4AF44">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FE4A0C4">
            <w:pPr>
              <w:widowControl/>
              <w:wordWrap w:val="0"/>
              <w:spacing w:line="276" w:lineRule="auto"/>
              <w:jc w:val="left"/>
              <w:rPr>
                <w:rFonts w:ascii="宋体" w:hAnsi="宋体" w:eastAsia="宋体" w:cs="宋体"/>
                <w:color w:val="auto"/>
                <w:szCs w:val="21"/>
                <w:highlight w:val="none"/>
              </w:rPr>
            </w:pPr>
          </w:p>
        </w:tc>
        <w:tc>
          <w:tcPr>
            <w:tcW w:w="878" w:type="pct"/>
            <w:vAlign w:val="center"/>
          </w:tcPr>
          <w:p w14:paraId="20F8499C">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不存在禁止投标的情形</w:t>
            </w:r>
          </w:p>
        </w:tc>
        <w:tc>
          <w:tcPr>
            <w:tcW w:w="3193" w:type="pct"/>
            <w:vAlign w:val="center"/>
          </w:tcPr>
          <w:p w14:paraId="702CA74E">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不存在第二章“投标人须知”第1.4.3项规定的任何一种情形（按投标人提供的《投标人声明》内容进行评审）</w:t>
            </w:r>
          </w:p>
        </w:tc>
      </w:tr>
      <w:tr w14:paraId="2FC7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1998D0E">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AC51CDD">
            <w:pPr>
              <w:widowControl/>
              <w:wordWrap w:val="0"/>
              <w:spacing w:line="276" w:lineRule="auto"/>
              <w:jc w:val="left"/>
              <w:rPr>
                <w:rFonts w:ascii="宋体" w:hAnsi="宋体" w:eastAsia="宋体" w:cs="宋体"/>
                <w:color w:val="auto"/>
                <w:szCs w:val="21"/>
                <w:highlight w:val="none"/>
              </w:rPr>
            </w:pPr>
          </w:p>
        </w:tc>
        <w:tc>
          <w:tcPr>
            <w:tcW w:w="878" w:type="pct"/>
            <w:vAlign w:val="center"/>
          </w:tcPr>
          <w:p w14:paraId="26F12EC4">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投标人未被列入拖欠农民工工资失信联合惩戒对象名单</w:t>
            </w:r>
          </w:p>
        </w:tc>
        <w:tc>
          <w:tcPr>
            <w:tcW w:w="3193" w:type="pct"/>
            <w:vAlign w:val="center"/>
          </w:tcPr>
          <w:p w14:paraId="0D9BDF03">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1544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22F9CAC7">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3E50032">
            <w:pPr>
              <w:widowControl/>
              <w:wordWrap w:val="0"/>
              <w:spacing w:line="276" w:lineRule="auto"/>
              <w:jc w:val="left"/>
              <w:rPr>
                <w:rFonts w:ascii="宋体" w:hAnsi="宋体" w:eastAsia="宋体" w:cs="宋体"/>
                <w:color w:val="auto"/>
                <w:szCs w:val="21"/>
                <w:highlight w:val="none"/>
              </w:rPr>
            </w:pPr>
          </w:p>
        </w:tc>
        <w:tc>
          <w:tcPr>
            <w:tcW w:w="878" w:type="pct"/>
            <w:vAlign w:val="center"/>
          </w:tcPr>
          <w:p w14:paraId="63455814">
            <w:pPr>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政府投资项目，在投标截止时间前，投标人未被列入“失信被执行人”名单</w:t>
            </w:r>
          </w:p>
        </w:tc>
        <w:tc>
          <w:tcPr>
            <w:tcW w:w="3193" w:type="pct"/>
            <w:vAlign w:val="center"/>
          </w:tcPr>
          <w:p w14:paraId="7650CFE7">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669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0B680BF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2.1.3（1）</w:t>
            </w:r>
          </w:p>
        </w:tc>
        <w:tc>
          <w:tcPr>
            <w:tcW w:w="454" w:type="pct"/>
            <w:vMerge w:val="restart"/>
            <w:vAlign w:val="center"/>
          </w:tcPr>
          <w:p w14:paraId="31A025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878" w:type="pct"/>
            <w:vAlign w:val="center"/>
          </w:tcPr>
          <w:p w14:paraId="67D0409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3193" w:type="pct"/>
            <w:vAlign w:val="center"/>
          </w:tcPr>
          <w:p w14:paraId="3B4BD0E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14:paraId="2C40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F6A60AA">
            <w:pPr>
              <w:wordWrap w:val="0"/>
              <w:spacing w:line="276" w:lineRule="auto"/>
              <w:jc w:val="center"/>
              <w:rPr>
                <w:rFonts w:ascii="宋体" w:hAnsi="宋体" w:eastAsia="宋体" w:cs="宋体"/>
                <w:color w:val="auto"/>
                <w:szCs w:val="21"/>
                <w:highlight w:val="none"/>
              </w:rPr>
            </w:pPr>
          </w:p>
        </w:tc>
        <w:tc>
          <w:tcPr>
            <w:tcW w:w="454" w:type="pct"/>
            <w:vMerge w:val="continue"/>
            <w:vAlign w:val="center"/>
          </w:tcPr>
          <w:p w14:paraId="6F0B31F2">
            <w:pPr>
              <w:wordWrap w:val="0"/>
              <w:spacing w:line="276" w:lineRule="auto"/>
              <w:jc w:val="center"/>
              <w:rPr>
                <w:rFonts w:ascii="宋体" w:hAnsi="宋体" w:eastAsia="宋体" w:cs="宋体"/>
                <w:color w:val="auto"/>
                <w:szCs w:val="21"/>
                <w:highlight w:val="none"/>
              </w:rPr>
            </w:pPr>
          </w:p>
        </w:tc>
        <w:tc>
          <w:tcPr>
            <w:tcW w:w="878" w:type="pct"/>
            <w:vAlign w:val="center"/>
          </w:tcPr>
          <w:p w14:paraId="1B88091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193" w:type="pct"/>
            <w:vAlign w:val="center"/>
          </w:tcPr>
          <w:p w14:paraId="4CD1EB6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16D4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0097B7D">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6D355B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48BDEC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3193" w:type="pct"/>
            <w:vAlign w:val="center"/>
          </w:tcPr>
          <w:p w14:paraId="44EEC3A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1F92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3A8CBEC">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DA4097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090B969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193" w:type="pct"/>
            <w:vAlign w:val="center"/>
          </w:tcPr>
          <w:p w14:paraId="1C9BC99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46D1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48E612E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D6FE2E3">
            <w:pPr>
              <w:widowControl/>
              <w:wordWrap w:val="0"/>
              <w:spacing w:line="276" w:lineRule="auto"/>
              <w:jc w:val="left"/>
              <w:rPr>
                <w:rFonts w:ascii="宋体" w:hAnsi="宋体" w:eastAsia="宋体" w:cs="宋体"/>
                <w:color w:val="auto"/>
                <w:szCs w:val="21"/>
                <w:highlight w:val="none"/>
              </w:rPr>
            </w:pPr>
          </w:p>
        </w:tc>
        <w:tc>
          <w:tcPr>
            <w:tcW w:w="878" w:type="pct"/>
            <w:vAlign w:val="center"/>
          </w:tcPr>
          <w:p w14:paraId="085FF66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193" w:type="pct"/>
            <w:vAlign w:val="center"/>
          </w:tcPr>
          <w:p w14:paraId="647DBD3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50E4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A3BC95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02A7AA5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753E3A4B">
            <w:pPr>
              <w:wordWrap w:val="0"/>
              <w:spacing w:line="276" w:lineRule="auto"/>
              <w:jc w:val="cente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投标保证金</w:t>
            </w:r>
          </w:p>
        </w:tc>
        <w:tc>
          <w:tcPr>
            <w:tcW w:w="3193" w:type="pct"/>
            <w:vAlign w:val="center"/>
          </w:tcPr>
          <w:p w14:paraId="6F4F5106">
            <w:pPr>
              <w:wordWrap w:val="0"/>
              <w:spacing w:line="276" w:lineRule="auto"/>
              <w:rPr>
                <w:rFonts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符合第二章“投标人须知”第3.4.1项规定</w:t>
            </w:r>
          </w:p>
        </w:tc>
      </w:tr>
      <w:tr w14:paraId="5477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7E0300D">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EA0602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99594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3193" w:type="pct"/>
            <w:vAlign w:val="center"/>
          </w:tcPr>
          <w:p w14:paraId="1A76A3D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14:paraId="3C6B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04D256D5">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459E9D2">
            <w:pPr>
              <w:widowControl/>
              <w:wordWrap w:val="0"/>
              <w:spacing w:line="276" w:lineRule="auto"/>
              <w:jc w:val="left"/>
              <w:rPr>
                <w:rFonts w:ascii="宋体" w:hAnsi="宋体" w:eastAsia="宋体" w:cs="宋体"/>
                <w:color w:val="auto"/>
                <w:szCs w:val="21"/>
                <w:highlight w:val="none"/>
              </w:rPr>
            </w:pPr>
          </w:p>
        </w:tc>
        <w:tc>
          <w:tcPr>
            <w:tcW w:w="4072" w:type="pct"/>
            <w:gridSpan w:val="2"/>
            <w:vAlign w:val="center"/>
          </w:tcPr>
          <w:p w14:paraId="586BD8D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商务文件响应性评审标准中“投标内容”、“勘察设计服务期限”、“质量标准”、“投标有效期”，以投标人在投标书中的承诺为准。</w:t>
            </w:r>
          </w:p>
        </w:tc>
      </w:tr>
      <w:tr w14:paraId="1AD8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73" w:type="pct"/>
            <w:vMerge w:val="restart"/>
            <w:vAlign w:val="center"/>
          </w:tcPr>
          <w:p w14:paraId="778CD6F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2.1.3（2）</w:t>
            </w:r>
          </w:p>
        </w:tc>
        <w:tc>
          <w:tcPr>
            <w:tcW w:w="454" w:type="pct"/>
            <w:vMerge w:val="restart"/>
            <w:vAlign w:val="center"/>
          </w:tcPr>
          <w:p w14:paraId="711F455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技术文件初步评审标准</w:t>
            </w:r>
          </w:p>
        </w:tc>
        <w:tc>
          <w:tcPr>
            <w:tcW w:w="878" w:type="pct"/>
            <w:vAlign w:val="center"/>
          </w:tcPr>
          <w:p w14:paraId="57B37690">
            <w:pPr>
              <w:spacing w:line="276"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3193" w:type="pct"/>
            <w:vAlign w:val="center"/>
          </w:tcPr>
          <w:p w14:paraId="75A5C233">
            <w:pPr>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14:paraId="3581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3" w:type="pct"/>
            <w:vMerge w:val="continue"/>
            <w:vAlign w:val="center"/>
          </w:tcPr>
          <w:p w14:paraId="7A919BEF">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F182712">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C9FB22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3193" w:type="pct"/>
            <w:vAlign w:val="center"/>
          </w:tcPr>
          <w:p w14:paraId="7763394C">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4C94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3" w:type="pct"/>
            <w:vMerge w:val="continue"/>
            <w:vAlign w:val="center"/>
          </w:tcPr>
          <w:p w14:paraId="47906C95">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0AA260AE">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263B0C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3193" w:type="pct"/>
            <w:vAlign w:val="center"/>
          </w:tcPr>
          <w:p w14:paraId="15828E27">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2E56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73" w:type="pct"/>
            <w:vMerge w:val="continue"/>
            <w:vAlign w:val="center"/>
          </w:tcPr>
          <w:p w14:paraId="50EFBBD2">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80555BC">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FB6DD1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3193" w:type="pct"/>
            <w:vAlign w:val="center"/>
          </w:tcPr>
          <w:p w14:paraId="454CCCB7">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386E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262615C7">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78" w:type="pct"/>
            <w:vAlign w:val="center"/>
          </w:tcPr>
          <w:p w14:paraId="1E1E48A4">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3193" w:type="pct"/>
            <w:vAlign w:val="center"/>
          </w:tcPr>
          <w:p w14:paraId="0AD56AC9">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2CD5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7E2A811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878" w:type="pct"/>
            <w:vAlign w:val="center"/>
          </w:tcPr>
          <w:p w14:paraId="3FA77B5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3193" w:type="pct"/>
            <w:vAlign w:val="center"/>
          </w:tcPr>
          <w:p w14:paraId="0D44072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商务文件部分A：</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分（权重30%）</w:t>
            </w:r>
          </w:p>
          <w:p w14:paraId="05D3E1B4">
            <w:pPr>
              <w:wordWrap w:val="0"/>
              <w:spacing w:line="276"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技术文件</w:t>
            </w:r>
            <w:r>
              <w:rPr>
                <w:rFonts w:hint="eastAsia" w:ascii="宋体" w:hAnsi="宋体" w:eastAsia="宋体" w:cs="宋体"/>
                <w:color w:val="auto"/>
                <w:szCs w:val="21"/>
                <w:highlight w:val="none"/>
              </w:rPr>
              <w:t>部分B：</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分（权重60%）</w:t>
            </w:r>
          </w:p>
          <w:p w14:paraId="2C866B2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投标报价C：</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分（权重10%）</w:t>
            </w:r>
          </w:p>
          <w:p w14:paraId="554784F9">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其他评分因素（信用评价得分）D：</w:t>
            </w:r>
            <w:r>
              <w:rPr>
                <w:rFonts w:hint="eastAsia" w:ascii="宋体" w:hAnsi="宋体" w:eastAsia="宋体" w:cs="Times New Roman"/>
                <w:bCs/>
                <w:color w:val="auto"/>
                <w:szCs w:val="21"/>
                <w:highlight w:val="none"/>
                <w:u w:val="single"/>
              </w:rPr>
              <w:t>/</w:t>
            </w:r>
          </w:p>
          <w:p w14:paraId="3BC9191F">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=A×30%+B×60%+C×10%。</w:t>
            </w:r>
          </w:p>
        </w:tc>
      </w:tr>
      <w:tr w14:paraId="4FAE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198E106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878" w:type="pct"/>
            <w:vAlign w:val="center"/>
          </w:tcPr>
          <w:p w14:paraId="7A175C3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193" w:type="pct"/>
            <w:vAlign w:val="center"/>
          </w:tcPr>
          <w:p w14:paraId="6D3970E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当位于最高投标限价的[90%，100%]的有效投标人大于或等于5名时，去掉该区间内一个最高价和一个最低价，取该区间内余下投标价的算数平均值作为评标基准价。当位于最高投标限价的[90%，100%]的有效投标人小于5名时，取所有该区间内的有效投标价的算术平均值作为评标基准价；若无报价位于该区间内，则以最高投标限价的90%作为评标基准价。（有效投标人为通过本章第2.1款初步评审的投标人）</w:t>
            </w:r>
          </w:p>
        </w:tc>
      </w:tr>
      <w:tr w14:paraId="0100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74AFBA4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878" w:type="pct"/>
            <w:vAlign w:val="center"/>
          </w:tcPr>
          <w:p w14:paraId="1489355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ED1246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3193" w:type="pct"/>
            <w:vAlign w:val="center"/>
          </w:tcPr>
          <w:p w14:paraId="68CC4F09">
            <w:pPr>
              <w:wordWrap w:val="0"/>
              <w:spacing w:line="276" w:lineRule="auto"/>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投标报价偏差率=（投标报价-评标基准价）/评标基准价×100%。</w:t>
            </w:r>
          </w:p>
        </w:tc>
      </w:tr>
      <w:tr w14:paraId="52F3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1CF2960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878" w:type="pct"/>
            <w:vAlign w:val="center"/>
          </w:tcPr>
          <w:p w14:paraId="2172D35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商务文件评分标准</w:t>
            </w:r>
          </w:p>
        </w:tc>
        <w:tc>
          <w:tcPr>
            <w:tcW w:w="3193" w:type="pct"/>
            <w:vAlign w:val="center"/>
          </w:tcPr>
          <w:p w14:paraId="4D23013E">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详见附件一</w:t>
            </w:r>
          </w:p>
        </w:tc>
      </w:tr>
      <w:tr w14:paraId="532F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64503BF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878" w:type="pct"/>
            <w:vAlign w:val="center"/>
          </w:tcPr>
          <w:p w14:paraId="751A496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技术文件评分标准</w:t>
            </w:r>
          </w:p>
        </w:tc>
        <w:tc>
          <w:tcPr>
            <w:tcW w:w="3193" w:type="pct"/>
            <w:vAlign w:val="center"/>
          </w:tcPr>
          <w:p w14:paraId="0C7DDA5E">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详见附件二</w:t>
            </w:r>
          </w:p>
        </w:tc>
      </w:tr>
      <w:tr w14:paraId="74D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4F9CD69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878" w:type="pct"/>
            <w:vAlign w:val="center"/>
          </w:tcPr>
          <w:p w14:paraId="4EE10EE2">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3193" w:type="pct"/>
            <w:vAlign w:val="center"/>
          </w:tcPr>
          <w:p w14:paraId="2B04DE8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以评标基准价作为计算各有效投标人报价得分的基础，当投标报价等于评标基准价时得100分，投标报价与评标基准价之差，每上偏1%扣0.</w:t>
            </w:r>
            <w:r>
              <w:rPr>
                <w:rFonts w:ascii="宋体" w:hAnsi="宋体" w:eastAsia="宋体" w:cs="宋体"/>
                <w:color w:val="auto"/>
                <w:szCs w:val="21"/>
                <w:highlight w:val="none"/>
                <w:u w:val="single"/>
              </w:rPr>
              <w:t>5</w:t>
            </w:r>
            <w:r>
              <w:rPr>
                <w:rFonts w:hint="eastAsia" w:ascii="宋体" w:hAnsi="宋体" w:eastAsia="宋体" w:cs="宋体"/>
                <w:color w:val="auto"/>
                <w:szCs w:val="21"/>
                <w:highlight w:val="none"/>
                <w:u w:val="single"/>
              </w:rPr>
              <w:t>分，下偏1%扣0.</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u w:val="single"/>
              </w:rPr>
              <w:t>分，扣至</w:t>
            </w:r>
            <w:r>
              <w:rPr>
                <w:rFonts w:ascii="宋体" w:hAnsi="宋体" w:eastAsia="宋体" w:cs="宋体"/>
                <w:color w:val="auto"/>
                <w:szCs w:val="21"/>
                <w:highlight w:val="none"/>
                <w:u w:val="single"/>
              </w:rPr>
              <w:t>0分为止。</w:t>
            </w:r>
          </w:p>
          <w:p w14:paraId="4FED8188">
            <w:pPr>
              <w:pStyle w:val="44"/>
              <w:ind w:left="0" w:leftChars="0" w:firstLine="0" w:firstLineChars="0"/>
            </w:pPr>
            <w:r>
              <w:rPr>
                <w:rFonts w:hint="eastAsia" w:ascii="宋体" w:hAnsi="宋体" w:eastAsia="宋体" w:cs="宋体"/>
                <w:color w:val="auto"/>
                <w:kern w:val="2"/>
                <w:sz w:val="21"/>
                <w:szCs w:val="21"/>
                <w:highlight w:val="none"/>
                <w:lang w:val="en-US" w:eastAsia="zh-CN" w:bidi="ar-SA"/>
              </w:rPr>
              <w:t>注：根据第二章“投标人须知前附表”第11.5项规定实施投标报价评审优惠政策，对符合《政府采购促进中小企业发展管理办法》的小微企业投标人，给予相应的价格评审优惠。</w:t>
            </w:r>
          </w:p>
        </w:tc>
      </w:tr>
    </w:tbl>
    <w:p w14:paraId="373D95EF">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1248F59F">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14:paraId="359C13BE">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14:paraId="3FAE2F39">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商务文件评分表</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06"/>
        <w:gridCol w:w="660"/>
        <w:gridCol w:w="11685"/>
      </w:tblGrid>
      <w:tr w14:paraId="2312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31" w:type="pct"/>
            <w:vMerge w:val="restart"/>
            <w:vAlign w:val="center"/>
          </w:tcPr>
          <w:p w14:paraId="2F8EE759">
            <w:pPr>
              <w:wordWrap w:val="0"/>
              <w:spacing w:line="276" w:lineRule="auto"/>
              <w:ind w:left="-2" w:leftChars="-1"/>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392" w:type="pct"/>
            <w:vMerge w:val="restart"/>
            <w:vAlign w:val="center"/>
          </w:tcPr>
          <w:p w14:paraId="3C8266BB">
            <w:pPr>
              <w:wordWrap w:val="0"/>
              <w:spacing w:line="276" w:lineRule="auto"/>
              <w:ind w:left="-2" w:leftChars="-1"/>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234" w:type="pct"/>
            <w:vMerge w:val="restart"/>
            <w:vAlign w:val="center"/>
          </w:tcPr>
          <w:p w14:paraId="35611603">
            <w:pPr>
              <w:wordWrap w:val="0"/>
              <w:spacing w:line="276" w:lineRule="auto"/>
              <w:ind w:left="-2" w:leftChars="-1"/>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分数</w:t>
            </w:r>
          </w:p>
        </w:tc>
        <w:tc>
          <w:tcPr>
            <w:tcW w:w="4141" w:type="pct"/>
            <w:vMerge w:val="restart"/>
            <w:vAlign w:val="center"/>
          </w:tcPr>
          <w:p w14:paraId="2F606D70">
            <w:pPr>
              <w:wordWrap w:val="0"/>
              <w:spacing w:line="276"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 分 说 明</w:t>
            </w:r>
          </w:p>
        </w:tc>
      </w:tr>
      <w:tr w14:paraId="716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31" w:type="pct"/>
            <w:vMerge w:val="continue"/>
            <w:vAlign w:val="center"/>
          </w:tcPr>
          <w:p w14:paraId="6404E319">
            <w:pPr>
              <w:wordWrap w:val="0"/>
              <w:spacing w:line="276" w:lineRule="auto"/>
              <w:jc w:val="center"/>
              <w:rPr>
                <w:rFonts w:ascii="宋体" w:hAnsi="宋体" w:eastAsia="宋体" w:cs="Times New Roman"/>
                <w:color w:val="auto"/>
                <w:szCs w:val="21"/>
                <w:highlight w:val="none"/>
              </w:rPr>
            </w:pPr>
          </w:p>
        </w:tc>
        <w:tc>
          <w:tcPr>
            <w:tcW w:w="392" w:type="pct"/>
            <w:vMerge w:val="continue"/>
            <w:vAlign w:val="center"/>
          </w:tcPr>
          <w:p w14:paraId="68B94725">
            <w:pPr>
              <w:wordWrap w:val="0"/>
              <w:spacing w:line="276" w:lineRule="auto"/>
              <w:jc w:val="center"/>
              <w:rPr>
                <w:rFonts w:ascii="宋体" w:hAnsi="宋体" w:eastAsia="宋体" w:cs="Times New Roman"/>
                <w:color w:val="auto"/>
                <w:szCs w:val="21"/>
                <w:highlight w:val="none"/>
              </w:rPr>
            </w:pPr>
          </w:p>
        </w:tc>
        <w:tc>
          <w:tcPr>
            <w:tcW w:w="234" w:type="pct"/>
            <w:vMerge w:val="continue"/>
            <w:vAlign w:val="center"/>
          </w:tcPr>
          <w:p w14:paraId="44E9BDAE">
            <w:pPr>
              <w:wordWrap w:val="0"/>
              <w:spacing w:line="276" w:lineRule="auto"/>
              <w:jc w:val="center"/>
              <w:rPr>
                <w:rFonts w:ascii="宋体" w:hAnsi="宋体" w:eastAsia="宋体" w:cs="Times New Roman"/>
                <w:color w:val="auto"/>
                <w:szCs w:val="21"/>
                <w:highlight w:val="none"/>
              </w:rPr>
            </w:pPr>
          </w:p>
        </w:tc>
        <w:tc>
          <w:tcPr>
            <w:tcW w:w="4141" w:type="pct"/>
            <w:vMerge w:val="continue"/>
            <w:vAlign w:val="center"/>
          </w:tcPr>
          <w:p w14:paraId="1F26C4F8">
            <w:pPr>
              <w:wordWrap w:val="0"/>
              <w:spacing w:line="276" w:lineRule="auto"/>
              <w:jc w:val="center"/>
              <w:rPr>
                <w:rFonts w:ascii="宋体" w:hAnsi="宋体" w:eastAsia="宋体" w:cs="Times New Roman"/>
                <w:color w:val="auto"/>
                <w:szCs w:val="21"/>
                <w:highlight w:val="none"/>
              </w:rPr>
            </w:pPr>
          </w:p>
        </w:tc>
      </w:tr>
      <w:tr w14:paraId="06BF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Align w:val="center"/>
          </w:tcPr>
          <w:p w14:paraId="3FE2ED0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 w:type="pct"/>
            <w:vAlign w:val="center"/>
          </w:tcPr>
          <w:p w14:paraId="45F3DBF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企业类似业绩</w:t>
            </w:r>
          </w:p>
        </w:tc>
        <w:tc>
          <w:tcPr>
            <w:tcW w:w="234" w:type="pct"/>
            <w:vAlign w:val="center"/>
          </w:tcPr>
          <w:p w14:paraId="5CA59CA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5</w:t>
            </w:r>
          </w:p>
        </w:tc>
        <w:tc>
          <w:tcPr>
            <w:tcW w:w="4141" w:type="pct"/>
            <w:vAlign w:val="center"/>
          </w:tcPr>
          <w:p w14:paraId="7FD792F9">
            <w:pPr>
              <w:spacing w:line="276" w:lineRule="auto"/>
              <w:ind w:right="31" w:rightChars="15"/>
              <w:rPr>
                <w:rFonts w:ascii="宋体" w:hAnsi="宋体" w:eastAsia="宋体" w:cs="Times New Roman"/>
                <w:color w:val="auto"/>
                <w:szCs w:val="21"/>
                <w:lang w:val="zh-CN"/>
              </w:rPr>
            </w:pPr>
            <w:r>
              <w:rPr>
                <w:rFonts w:hint="eastAsia" w:ascii="宋体" w:hAnsi="宋体" w:eastAsia="宋体" w:cs="宋体"/>
                <w:color w:val="auto"/>
                <w:szCs w:val="21"/>
              </w:rPr>
              <w:t>（</w:t>
            </w:r>
            <w:r>
              <w:rPr>
                <w:rFonts w:ascii="宋体" w:hAnsi="宋体" w:eastAsia="宋体" w:cs="宋体"/>
                <w:color w:val="auto"/>
                <w:szCs w:val="21"/>
              </w:rPr>
              <w:t>1）2020</w:t>
            </w:r>
            <w:r>
              <w:rPr>
                <w:rFonts w:hint="eastAsia" w:ascii="宋体" w:hAnsi="宋体" w:eastAsia="宋体" w:cs="宋体"/>
                <w:color w:val="auto"/>
                <w:szCs w:val="21"/>
              </w:rPr>
              <w:t>年</w:t>
            </w:r>
            <w:r>
              <w:rPr>
                <w:rFonts w:ascii="宋体" w:hAnsi="宋体" w:eastAsia="宋体" w:cs="宋体"/>
                <w:color w:val="auto"/>
                <w:szCs w:val="21"/>
              </w:rPr>
              <w:t>1月1日至今，</w:t>
            </w:r>
            <w:r>
              <w:rPr>
                <w:rFonts w:ascii="宋体" w:hAnsi="宋体" w:eastAsia="宋体" w:cs="Times New Roman"/>
                <w:color w:val="auto"/>
                <w:szCs w:val="21"/>
              </w:rPr>
              <w:t>投标人</w:t>
            </w:r>
            <w:r>
              <w:rPr>
                <w:rFonts w:ascii="宋体" w:hAnsi="宋体" w:eastAsia="宋体" w:cs="Times New Roman"/>
                <w:color w:val="auto"/>
                <w:szCs w:val="21"/>
                <w:u w:val="single"/>
                <w:lang w:val="zh-CN"/>
              </w:rPr>
              <w:t>（若为联合体，指联合体中承担</w:t>
            </w:r>
            <w:r>
              <w:rPr>
                <w:rFonts w:ascii="宋体" w:hAnsi="宋体" w:eastAsia="宋体" w:cs="Times New Roman"/>
                <w:color w:val="auto"/>
                <w:szCs w:val="21"/>
                <w:u w:val="single"/>
              </w:rPr>
              <w:t>勘察</w:t>
            </w:r>
            <w:r>
              <w:rPr>
                <w:rFonts w:ascii="宋体" w:hAnsi="宋体" w:eastAsia="宋体" w:cs="Times New Roman"/>
                <w:color w:val="auto"/>
                <w:szCs w:val="21"/>
                <w:u w:val="single"/>
                <w:lang w:val="zh-CN"/>
              </w:rPr>
              <w:t>任务的一方）</w:t>
            </w:r>
            <w:r>
              <w:rPr>
                <w:rFonts w:hint="eastAsia" w:ascii="宋体" w:hAnsi="宋体" w:eastAsia="宋体" w:cs="Times New Roman"/>
                <w:color w:val="auto"/>
                <w:szCs w:val="21"/>
                <w:lang w:val="zh-CN"/>
              </w:rPr>
              <w:t>完成过</w:t>
            </w:r>
            <w:r>
              <w:rPr>
                <w:rFonts w:ascii="宋体" w:hAnsi="宋体" w:eastAsia="宋体" w:cs="Times New Roman"/>
                <w:color w:val="auto"/>
                <w:szCs w:val="21"/>
                <w:lang w:val="zh-CN"/>
              </w:rPr>
              <w:t>市政公用工程勘察业绩（</w:t>
            </w:r>
            <w:r>
              <w:rPr>
                <w:rFonts w:ascii="宋体" w:hAnsi="宋体" w:eastAsia="宋体" w:cs="Times New Roman"/>
                <w:color w:val="auto"/>
                <w:szCs w:val="21"/>
              </w:rPr>
              <w:t>建安工程费1</w:t>
            </w:r>
            <w:r>
              <w:rPr>
                <w:rFonts w:ascii="宋体" w:hAnsi="宋体" w:eastAsia="宋体" w:cs="Times New Roman"/>
                <w:color w:val="auto"/>
                <w:szCs w:val="21"/>
                <w:lang w:val="zh-CN"/>
              </w:rPr>
              <w:t>亿元（含）以上）：每项得</w:t>
            </w:r>
            <w:r>
              <w:rPr>
                <w:rFonts w:ascii="宋体" w:hAnsi="宋体" w:eastAsia="宋体" w:cs="Times New Roman"/>
                <w:color w:val="auto"/>
                <w:szCs w:val="21"/>
              </w:rPr>
              <w:t>2.5</w:t>
            </w:r>
            <w:r>
              <w:rPr>
                <w:rFonts w:ascii="宋体" w:hAnsi="宋体" w:eastAsia="宋体" w:cs="Times New Roman"/>
                <w:color w:val="auto"/>
                <w:szCs w:val="21"/>
                <w:lang w:val="zh-CN"/>
              </w:rPr>
              <w:t>分，本小项最多得</w:t>
            </w:r>
            <w:r>
              <w:rPr>
                <w:rFonts w:ascii="宋体" w:hAnsi="宋体" w:eastAsia="宋体" w:cs="Times New Roman"/>
                <w:color w:val="auto"/>
                <w:szCs w:val="21"/>
              </w:rPr>
              <w:t>5</w:t>
            </w:r>
            <w:r>
              <w:rPr>
                <w:rFonts w:ascii="宋体" w:hAnsi="宋体" w:eastAsia="宋体" w:cs="Times New Roman"/>
                <w:color w:val="auto"/>
                <w:szCs w:val="21"/>
                <w:lang w:val="zh-CN"/>
              </w:rPr>
              <w:t>分。</w:t>
            </w:r>
          </w:p>
          <w:p w14:paraId="4A578F2F">
            <w:pPr>
              <w:spacing w:line="276" w:lineRule="auto"/>
              <w:ind w:right="31" w:rightChars="15"/>
              <w:rPr>
                <w:rFonts w:ascii="宋体" w:hAnsi="宋体" w:eastAsia="宋体" w:cs="Times New Roman"/>
                <w:szCs w:val="21"/>
                <w:lang w:val="zh-CN"/>
              </w:rPr>
            </w:pPr>
            <w:r>
              <w:rPr>
                <w:rFonts w:hint="eastAsia" w:ascii="宋体" w:hAnsi="宋体" w:eastAsia="宋体" w:cs="宋体"/>
                <w:szCs w:val="21"/>
              </w:rPr>
              <w:t>（2）20</w:t>
            </w:r>
            <w:r>
              <w:rPr>
                <w:rFonts w:ascii="宋体" w:hAnsi="宋体" w:eastAsia="宋体" w:cs="宋体"/>
                <w:szCs w:val="21"/>
              </w:rPr>
              <w:t>20</w:t>
            </w:r>
            <w:r>
              <w:rPr>
                <w:rFonts w:hint="eastAsia" w:ascii="宋体" w:hAnsi="宋体" w:eastAsia="宋体" w:cs="宋体"/>
                <w:szCs w:val="21"/>
              </w:rPr>
              <w:t>年1月1日至今，</w:t>
            </w:r>
            <w:r>
              <w:rPr>
                <w:rFonts w:ascii="宋体" w:hAnsi="宋体" w:eastAsia="宋体" w:cs="Times New Roman"/>
                <w:szCs w:val="21"/>
              </w:rPr>
              <w:t>投标人</w:t>
            </w:r>
            <w:r>
              <w:rPr>
                <w:rFonts w:ascii="宋体" w:hAnsi="宋体" w:eastAsia="宋体" w:cs="Times New Roman"/>
                <w:szCs w:val="21"/>
                <w:u w:val="single"/>
                <w:lang w:val="zh-CN"/>
              </w:rPr>
              <w:t>（若为联合体，指联合体</w:t>
            </w:r>
            <w:r>
              <w:rPr>
                <w:rFonts w:hint="eastAsia" w:ascii="宋体" w:hAnsi="宋体" w:eastAsia="宋体" w:cs="Times New Roman"/>
                <w:szCs w:val="21"/>
                <w:u w:val="single"/>
                <w:lang w:val="zh-CN"/>
              </w:rPr>
              <w:t>主办方</w:t>
            </w:r>
            <w:r>
              <w:rPr>
                <w:rFonts w:ascii="宋体" w:hAnsi="宋体" w:eastAsia="宋体" w:cs="Times New Roman"/>
                <w:szCs w:val="21"/>
                <w:u w:val="single"/>
                <w:lang w:val="zh-CN"/>
              </w:rPr>
              <w:t>）</w:t>
            </w:r>
            <w:r>
              <w:rPr>
                <w:rFonts w:hint="eastAsia" w:ascii="宋体" w:hAnsi="宋体" w:eastAsia="宋体" w:cs="Times New Roman"/>
                <w:szCs w:val="21"/>
                <w:lang w:val="zh-CN"/>
              </w:rPr>
              <w:t>完成过类似市政公用工程</w:t>
            </w:r>
            <w:r>
              <w:rPr>
                <w:rFonts w:ascii="宋体" w:hAnsi="宋体" w:eastAsia="宋体" w:cs="Times New Roman"/>
                <w:szCs w:val="21"/>
                <w:lang w:val="zh-CN"/>
              </w:rPr>
              <w:t>设计业绩（</w:t>
            </w:r>
            <w:r>
              <w:rPr>
                <w:rFonts w:ascii="宋体" w:hAnsi="宋体" w:eastAsia="宋体" w:cs="Times New Roman"/>
                <w:szCs w:val="21"/>
              </w:rPr>
              <w:t>建安工程费1</w:t>
            </w:r>
            <w:r>
              <w:rPr>
                <w:rFonts w:ascii="宋体" w:hAnsi="宋体" w:eastAsia="宋体" w:cs="Times New Roman"/>
                <w:szCs w:val="21"/>
                <w:lang w:val="zh-CN"/>
              </w:rPr>
              <w:t>亿元（含）以上）：每项得</w:t>
            </w:r>
            <w:r>
              <w:rPr>
                <w:rFonts w:ascii="宋体" w:hAnsi="宋体" w:eastAsia="宋体" w:cs="Times New Roman"/>
                <w:szCs w:val="21"/>
              </w:rPr>
              <w:t>4</w:t>
            </w:r>
            <w:r>
              <w:rPr>
                <w:rFonts w:ascii="宋体" w:hAnsi="宋体" w:eastAsia="宋体" w:cs="Times New Roman"/>
                <w:szCs w:val="21"/>
                <w:lang w:val="zh-CN"/>
              </w:rPr>
              <w:t>分，本小项最多得</w:t>
            </w:r>
            <w:r>
              <w:rPr>
                <w:rFonts w:ascii="宋体" w:hAnsi="宋体" w:eastAsia="宋体" w:cs="Times New Roman"/>
                <w:szCs w:val="21"/>
              </w:rPr>
              <w:t>20</w:t>
            </w:r>
            <w:r>
              <w:rPr>
                <w:rFonts w:ascii="宋体" w:hAnsi="宋体" w:eastAsia="宋体" w:cs="Times New Roman"/>
                <w:szCs w:val="21"/>
                <w:lang w:val="zh-CN"/>
              </w:rPr>
              <w:t>分。</w:t>
            </w:r>
          </w:p>
          <w:p w14:paraId="50151697">
            <w:pPr>
              <w:spacing w:line="276" w:lineRule="auto"/>
              <w:ind w:right="31" w:rightChars="15"/>
              <w:rPr>
                <w:rFonts w:ascii="宋体" w:hAnsi="宋体" w:eastAsia="宋体" w:cs="Times New Roman"/>
                <w:color w:val="auto"/>
                <w:szCs w:val="21"/>
                <w:highlight w:val="none"/>
                <w:u w:val="single"/>
              </w:rPr>
            </w:pPr>
            <w:r>
              <w:rPr>
                <w:rFonts w:hint="eastAsia" w:ascii="宋体" w:hAnsi="宋体" w:eastAsia="宋体" w:cs="Times New Roman"/>
                <w:b/>
                <w:color w:val="auto"/>
                <w:szCs w:val="21"/>
                <w:u w:val="single"/>
              </w:rPr>
              <w:t>注：</w:t>
            </w:r>
            <w:r>
              <w:rPr>
                <w:rFonts w:hint="eastAsia" w:ascii="宋体" w:hAnsi="宋体" w:eastAsia="宋体" w:cs="Times New Roman"/>
                <w:color w:val="auto"/>
                <w:szCs w:val="21"/>
                <w:u w:val="single"/>
              </w:rPr>
              <w:t>须同时提供中标通知书（如为免招标项目无须提供中标通知书，但须提供相应的免招标证明文件）、勘察或设计合同关键页（不含补充合同）、初步设计批复证明（或初步设计评审意见）或施工图审查合格证明文件扫描件。业绩金额或规模以合同（不含补充合同）或《项目建议书批文》或《可行性研究报告批文》或《初步设计批文》或《企业投资项目备案证》或者业主出具的证明材料为准。业绩时间以合同为准。</w:t>
            </w:r>
          </w:p>
        </w:tc>
      </w:tr>
      <w:tr w14:paraId="0E62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Align w:val="center"/>
          </w:tcPr>
          <w:p w14:paraId="07AA11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 w:type="pct"/>
            <w:vAlign w:val="center"/>
          </w:tcPr>
          <w:p w14:paraId="28B853C4">
            <w:pPr>
              <w:wordWrap w:val="0"/>
              <w:spacing w:line="276" w:lineRule="auto"/>
              <w:jc w:val="center"/>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企业业绩获奖</w:t>
            </w:r>
          </w:p>
        </w:tc>
        <w:tc>
          <w:tcPr>
            <w:tcW w:w="234" w:type="pct"/>
            <w:vAlign w:val="center"/>
          </w:tcPr>
          <w:p w14:paraId="75AFF6FD">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5</w:t>
            </w:r>
          </w:p>
        </w:tc>
        <w:tc>
          <w:tcPr>
            <w:tcW w:w="4141" w:type="pct"/>
            <w:vAlign w:val="center"/>
          </w:tcPr>
          <w:p w14:paraId="7652D070">
            <w:pPr>
              <w:spacing w:line="276" w:lineRule="auto"/>
              <w:ind w:right="31" w:rightChars="15"/>
              <w:rPr>
                <w:rFonts w:ascii="宋体" w:hAnsi="宋体" w:eastAsia="宋体" w:cs="Times New Roman"/>
                <w:color w:val="auto"/>
                <w:szCs w:val="21"/>
              </w:rPr>
            </w:pPr>
            <w:r>
              <w:rPr>
                <w:rFonts w:hint="eastAsia" w:ascii="宋体" w:hAnsi="宋体" w:eastAsia="宋体" w:cs="宋体"/>
                <w:color w:val="auto"/>
                <w:szCs w:val="21"/>
              </w:rPr>
              <w:t>（</w:t>
            </w:r>
            <w:r>
              <w:rPr>
                <w:rFonts w:ascii="宋体" w:hAnsi="宋体" w:eastAsia="宋体" w:cs="宋体"/>
                <w:color w:val="auto"/>
                <w:szCs w:val="21"/>
              </w:rPr>
              <w:t>1）2020</w:t>
            </w:r>
            <w:r>
              <w:rPr>
                <w:rFonts w:hint="eastAsia" w:ascii="宋体" w:hAnsi="宋体" w:eastAsia="宋体" w:cs="宋体"/>
                <w:color w:val="auto"/>
                <w:szCs w:val="21"/>
              </w:rPr>
              <w:t>年</w:t>
            </w:r>
            <w:r>
              <w:rPr>
                <w:rFonts w:ascii="宋体" w:hAnsi="宋体" w:eastAsia="宋体" w:cs="宋体"/>
                <w:color w:val="auto"/>
                <w:szCs w:val="21"/>
              </w:rPr>
              <w:t>1月1日至今，</w:t>
            </w:r>
            <w:r>
              <w:rPr>
                <w:rFonts w:ascii="宋体" w:hAnsi="宋体" w:eastAsia="宋体" w:cs="Times New Roman"/>
                <w:color w:val="auto"/>
                <w:szCs w:val="21"/>
              </w:rPr>
              <w:t>投标人</w:t>
            </w:r>
            <w:r>
              <w:rPr>
                <w:rFonts w:ascii="宋体" w:hAnsi="宋体" w:eastAsia="宋体" w:cs="Times New Roman"/>
                <w:color w:val="auto"/>
                <w:szCs w:val="21"/>
                <w:u w:val="single"/>
                <w:lang w:val="zh-CN"/>
              </w:rPr>
              <w:t>（若为联合体，指联合体中承担</w:t>
            </w:r>
            <w:r>
              <w:rPr>
                <w:rFonts w:ascii="宋体" w:hAnsi="宋体" w:eastAsia="宋体" w:cs="Times New Roman"/>
                <w:color w:val="auto"/>
                <w:szCs w:val="21"/>
                <w:u w:val="single"/>
              </w:rPr>
              <w:t>勘察</w:t>
            </w:r>
            <w:r>
              <w:rPr>
                <w:rFonts w:ascii="宋体" w:hAnsi="宋体" w:eastAsia="宋体" w:cs="Times New Roman"/>
                <w:color w:val="auto"/>
                <w:szCs w:val="21"/>
                <w:u w:val="single"/>
                <w:lang w:val="zh-CN"/>
              </w:rPr>
              <w:t>任务的一方）</w:t>
            </w:r>
            <w:r>
              <w:rPr>
                <w:rFonts w:hint="eastAsia" w:ascii="宋体" w:hAnsi="宋体" w:eastAsia="宋体" w:cs="Times New Roman"/>
                <w:color w:val="auto"/>
                <w:szCs w:val="21"/>
                <w:u w:val="single"/>
                <w:lang w:val="zh-CN"/>
              </w:rPr>
              <w:t>市政公用</w:t>
            </w:r>
            <w:r>
              <w:rPr>
                <w:rFonts w:ascii="宋体" w:hAnsi="宋体" w:eastAsia="宋体" w:cs="Times New Roman"/>
                <w:color w:val="auto"/>
                <w:szCs w:val="21"/>
              </w:rPr>
              <w:t>工程勘察业绩获得</w:t>
            </w:r>
            <w:r>
              <w:rPr>
                <w:rFonts w:hint="eastAsia" w:ascii="宋体" w:hAnsi="宋体" w:eastAsia="宋体" w:cs="Times New Roman"/>
                <w:color w:val="auto"/>
                <w:szCs w:val="21"/>
              </w:rPr>
              <w:t>过勘察类奖项：</w:t>
            </w:r>
            <w:r>
              <w:rPr>
                <w:rFonts w:ascii="宋体" w:hAnsi="宋体" w:eastAsia="宋体" w:cs="Times New Roman"/>
                <w:color w:val="auto"/>
                <w:szCs w:val="21"/>
              </w:rPr>
              <w:t>国家级奖项，每项得2分；获得省级奖项，每项得1分；获得市级（含副省级）奖项，每项得0.5分；</w:t>
            </w:r>
            <w:r>
              <w:rPr>
                <w:rFonts w:hint="eastAsia" w:ascii="宋体" w:hAnsi="宋体" w:eastAsia="宋体" w:cs="Times New Roman"/>
                <w:color w:val="auto"/>
                <w:szCs w:val="21"/>
              </w:rPr>
              <w:t>本小项</w:t>
            </w:r>
            <w:r>
              <w:rPr>
                <w:rFonts w:ascii="宋体" w:hAnsi="宋体" w:eastAsia="宋体" w:cs="Times New Roman"/>
                <w:color w:val="auto"/>
                <w:szCs w:val="21"/>
              </w:rPr>
              <w:t>最多得5分。</w:t>
            </w:r>
          </w:p>
          <w:p w14:paraId="75427E4A">
            <w:pPr>
              <w:spacing w:line="276" w:lineRule="auto"/>
              <w:rPr>
                <w:rFonts w:ascii="宋体" w:hAnsi="宋体" w:eastAsia="宋体" w:cs="Times New Roman"/>
                <w:color w:val="auto"/>
                <w:szCs w:val="21"/>
              </w:rPr>
            </w:pPr>
            <w:r>
              <w:rPr>
                <w:rFonts w:hint="eastAsia" w:ascii="宋体" w:hAnsi="宋体" w:eastAsia="宋体" w:cs="宋体"/>
                <w:color w:val="auto"/>
                <w:szCs w:val="21"/>
              </w:rPr>
              <w:t>（2）20</w:t>
            </w:r>
            <w:r>
              <w:rPr>
                <w:rFonts w:ascii="宋体" w:hAnsi="宋体" w:eastAsia="宋体" w:cs="宋体"/>
                <w:color w:val="auto"/>
                <w:szCs w:val="21"/>
              </w:rPr>
              <w:t>20</w:t>
            </w:r>
            <w:r>
              <w:rPr>
                <w:rFonts w:hint="eastAsia" w:ascii="宋体" w:hAnsi="宋体" w:eastAsia="宋体" w:cs="宋体"/>
                <w:color w:val="auto"/>
                <w:szCs w:val="21"/>
              </w:rPr>
              <w:t>年1月1日至今，</w:t>
            </w:r>
            <w:r>
              <w:rPr>
                <w:rFonts w:ascii="宋体" w:hAnsi="宋体" w:eastAsia="宋体" w:cs="Times New Roman"/>
                <w:color w:val="auto"/>
                <w:szCs w:val="21"/>
              </w:rPr>
              <w:t>投标人</w:t>
            </w:r>
            <w:r>
              <w:rPr>
                <w:rFonts w:ascii="宋体" w:hAnsi="宋体" w:eastAsia="宋体" w:cs="Times New Roman"/>
                <w:color w:val="auto"/>
                <w:szCs w:val="21"/>
                <w:u w:val="single"/>
                <w:lang w:val="zh-CN"/>
              </w:rPr>
              <w:t>（若为联合体，指联合体</w:t>
            </w:r>
            <w:r>
              <w:rPr>
                <w:rFonts w:hint="eastAsia" w:ascii="宋体" w:hAnsi="宋体" w:eastAsia="宋体" w:cs="Times New Roman"/>
                <w:color w:val="auto"/>
                <w:szCs w:val="21"/>
                <w:u w:val="single"/>
                <w:lang w:val="zh-CN"/>
              </w:rPr>
              <w:t>主办方</w:t>
            </w:r>
            <w:r>
              <w:rPr>
                <w:rFonts w:ascii="宋体" w:hAnsi="宋体" w:eastAsia="宋体" w:cs="Times New Roman"/>
                <w:color w:val="auto"/>
                <w:szCs w:val="21"/>
                <w:u w:val="single"/>
                <w:lang w:val="zh-CN"/>
              </w:rPr>
              <w:t>）</w:t>
            </w:r>
            <w:r>
              <w:rPr>
                <w:rFonts w:hint="eastAsia" w:ascii="宋体" w:hAnsi="宋体" w:eastAsia="宋体" w:cs="Times New Roman"/>
                <w:color w:val="auto"/>
                <w:szCs w:val="21"/>
              </w:rPr>
              <w:t>市政公用</w:t>
            </w:r>
            <w:r>
              <w:rPr>
                <w:rFonts w:ascii="宋体" w:hAnsi="宋体" w:eastAsia="宋体" w:cs="Times New Roman"/>
                <w:color w:val="auto"/>
                <w:szCs w:val="21"/>
              </w:rPr>
              <w:t>工程设计业绩获得</w:t>
            </w:r>
            <w:r>
              <w:rPr>
                <w:rFonts w:hint="eastAsia" w:ascii="宋体" w:hAnsi="宋体" w:eastAsia="宋体" w:cs="Times New Roman"/>
                <w:color w:val="auto"/>
                <w:szCs w:val="21"/>
              </w:rPr>
              <w:t>过设计类奖项：</w:t>
            </w:r>
            <w:r>
              <w:rPr>
                <w:rFonts w:ascii="宋体" w:hAnsi="宋体" w:eastAsia="宋体" w:cs="Times New Roman"/>
                <w:color w:val="auto"/>
                <w:szCs w:val="21"/>
              </w:rPr>
              <w:t>国家级奖项，每项得2分；获得省级奖项，每项得1分；获得市级（含副省级）奖项，每项得0.5分；</w:t>
            </w:r>
            <w:r>
              <w:rPr>
                <w:rFonts w:hint="eastAsia" w:ascii="宋体" w:hAnsi="宋体" w:eastAsia="宋体" w:cs="Times New Roman"/>
                <w:color w:val="auto"/>
                <w:szCs w:val="21"/>
              </w:rPr>
              <w:t>本小项</w:t>
            </w:r>
            <w:r>
              <w:rPr>
                <w:rFonts w:ascii="宋体" w:hAnsi="宋体" w:eastAsia="宋体" w:cs="Times New Roman"/>
                <w:color w:val="auto"/>
                <w:szCs w:val="21"/>
              </w:rPr>
              <w:t>最多得</w:t>
            </w:r>
            <w:r>
              <w:rPr>
                <w:rFonts w:hint="eastAsia" w:ascii="宋体" w:hAnsi="宋体" w:eastAsia="宋体" w:cs="Times New Roman"/>
                <w:color w:val="auto"/>
                <w:szCs w:val="21"/>
              </w:rPr>
              <w:t>20</w:t>
            </w:r>
            <w:r>
              <w:rPr>
                <w:rFonts w:ascii="宋体" w:hAnsi="宋体" w:eastAsia="宋体" w:cs="Times New Roman"/>
                <w:color w:val="auto"/>
                <w:szCs w:val="21"/>
              </w:rPr>
              <w:t>分。</w:t>
            </w:r>
          </w:p>
          <w:p w14:paraId="76F76BA5">
            <w:pPr>
              <w:widowControl w:val="0"/>
              <w:spacing w:line="276" w:lineRule="auto"/>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
                <w:color w:val="auto"/>
                <w:szCs w:val="21"/>
                <w:u w:val="single"/>
              </w:rPr>
              <w:t>注：</w:t>
            </w:r>
            <w:r>
              <w:rPr>
                <w:rFonts w:hint="eastAsia" w:ascii="宋体" w:hAnsi="宋体" w:eastAsia="宋体" w:cs="Times New Roman"/>
                <w:color w:val="auto"/>
                <w:szCs w:val="21"/>
                <w:u w:val="single"/>
              </w:rPr>
              <w:t>须提供获奖证书或证明文件作为证明材料。若发证机构为协会的，须提供该协会在“全国社会组织信用信息公示平台（试运行</w:t>
            </w:r>
            <w:r>
              <w:rPr>
                <w:rFonts w:ascii="宋体" w:hAnsi="宋体" w:eastAsia="宋体" w:cs="Times New Roman"/>
                <w:color w:val="auto"/>
                <w:szCs w:val="21"/>
                <w:u w:val="single"/>
              </w:rPr>
              <w:t>)”网站（https://xxgs.chinanpo.mca.gov.cn/gsxt/newList）查询结果的网页打印页。</w:t>
            </w:r>
            <w:r>
              <w:rPr>
                <w:rFonts w:hint="eastAsia" w:ascii="宋体" w:hAnsi="宋体" w:eastAsia="宋体" w:cs="Times New Roman"/>
                <w:color w:val="auto"/>
                <w:szCs w:val="21"/>
                <w:u w:val="single"/>
              </w:rPr>
              <w:t>时间以获奖证书或证明文件颁发的时间为准，奖项级别以颁发单位的区域级别为准。同一工程获不同等级奖项，只按最高级别计算一次得分。</w:t>
            </w:r>
          </w:p>
        </w:tc>
      </w:tr>
      <w:tr w14:paraId="63E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Merge w:val="restart"/>
            <w:vAlign w:val="center"/>
          </w:tcPr>
          <w:p w14:paraId="17321F4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392" w:type="pct"/>
            <w:vMerge w:val="restart"/>
            <w:vAlign w:val="center"/>
          </w:tcPr>
          <w:p w14:paraId="458ED348">
            <w:pPr>
              <w:wordWrap w:val="0"/>
              <w:spacing w:line="276" w:lineRule="auto"/>
              <w:jc w:val="center"/>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人员配备及技术水平</w:t>
            </w:r>
          </w:p>
        </w:tc>
        <w:tc>
          <w:tcPr>
            <w:tcW w:w="234" w:type="pct"/>
            <w:vMerge w:val="restart"/>
            <w:vAlign w:val="center"/>
          </w:tcPr>
          <w:p w14:paraId="34EBE224">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0</w:t>
            </w:r>
          </w:p>
        </w:tc>
        <w:tc>
          <w:tcPr>
            <w:tcW w:w="4141" w:type="pct"/>
            <w:vAlign w:val="center"/>
          </w:tcPr>
          <w:p w14:paraId="73C2F404">
            <w:pPr>
              <w:widowControl/>
              <w:autoSpaceDE w:val="0"/>
              <w:autoSpaceDN w:val="0"/>
              <w:adjustRightInd w:val="0"/>
              <w:spacing w:line="276" w:lineRule="auto"/>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项目负责人设计经历及业务能力：</w:t>
            </w:r>
          </w:p>
          <w:p w14:paraId="186D335C">
            <w:pPr>
              <w:widowControl/>
              <w:autoSpaceDE w:val="0"/>
              <w:autoSpaceDN w:val="0"/>
              <w:adjustRightInd w:val="0"/>
              <w:spacing w:line="276" w:lineRule="auto"/>
              <w:rPr>
                <w:rFonts w:ascii="宋体" w:hAnsi="宋体" w:eastAsia="宋体" w:cs="Times New Roman"/>
                <w:szCs w:val="21"/>
                <w:lang w:val="zh-CN"/>
              </w:rPr>
            </w:pPr>
            <w:r>
              <w:rPr>
                <w:rFonts w:ascii="宋体" w:hAnsi="宋体" w:eastAsia="宋体" w:cs="Times New Roman"/>
                <w:szCs w:val="21"/>
              </w:rPr>
              <w:t>（1）</w:t>
            </w:r>
            <w:r>
              <w:rPr>
                <w:rFonts w:hint="eastAsia" w:ascii="宋体" w:hAnsi="宋体" w:eastAsia="宋体" w:cs="Times New Roman"/>
                <w:szCs w:val="21"/>
              </w:rPr>
              <w:t>具有市政道路相关专业高级技术职称</w:t>
            </w:r>
            <w:r>
              <w:rPr>
                <w:rFonts w:ascii="宋体" w:hAnsi="宋体" w:eastAsia="宋体" w:cs="Times New Roman"/>
                <w:szCs w:val="21"/>
              </w:rPr>
              <w:t>的，得</w:t>
            </w:r>
            <w:r>
              <w:rPr>
                <w:rFonts w:hint="eastAsia" w:ascii="宋体" w:hAnsi="宋体" w:eastAsia="宋体" w:cs="Times New Roman"/>
                <w:szCs w:val="21"/>
              </w:rPr>
              <w:t>3</w:t>
            </w:r>
            <w:r>
              <w:rPr>
                <w:rFonts w:ascii="宋体" w:hAnsi="宋体" w:eastAsia="宋体" w:cs="Times New Roman"/>
                <w:szCs w:val="21"/>
              </w:rPr>
              <w:t>分</w:t>
            </w:r>
            <w:r>
              <w:rPr>
                <w:rFonts w:hint="eastAsia" w:ascii="宋体" w:hAnsi="宋体" w:eastAsia="宋体" w:cs="Times New Roman"/>
                <w:szCs w:val="21"/>
              </w:rPr>
              <w:t>；</w:t>
            </w:r>
            <w:r>
              <w:rPr>
                <w:rFonts w:ascii="宋体" w:hAnsi="宋体" w:eastAsia="宋体" w:cs="Times New Roman"/>
                <w:szCs w:val="21"/>
                <w:lang w:val="zh-CN"/>
              </w:rPr>
              <w:t>具备</w:t>
            </w:r>
            <w:r>
              <w:rPr>
                <w:rFonts w:hint="eastAsia" w:ascii="宋体" w:hAnsi="宋体" w:eastAsia="宋体" w:cs="Times New Roman"/>
                <w:szCs w:val="21"/>
              </w:rPr>
              <w:t>注册土木工程师（道路工程）执业资格的，</w:t>
            </w:r>
            <w:r>
              <w:rPr>
                <w:rFonts w:ascii="宋体" w:hAnsi="宋体" w:eastAsia="宋体" w:cs="Times New Roman"/>
                <w:szCs w:val="21"/>
                <w:lang w:val="zh-CN"/>
              </w:rPr>
              <w:t>得</w:t>
            </w:r>
            <w:r>
              <w:rPr>
                <w:rFonts w:hint="eastAsia" w:ascii="宋体" w:hAnsi="宋体" w:eastAsia="宋体" w:cs="Times New Roman"/>
                <w:szCs w:val="21"/>
              </w:rPr>
              <w:t>3</w:t>
            </w:r>
            <w:r>
              <w:rPr>
                <w:rFonts w:ascii="宋体" w:hAnsi="宋体" w:eastAsia="宋体" w:cs="Times New Roman"/>
                <w:szCs w:val="21"/>
                <w:lang w:val="zh-CN"/>
              </w:rPr>
              <w:t>分。</w:t>
            </w:r>
            <w:r>
              <w:rPr>
                <w:rFonts w:hint="eastAsia" w:ascii="宋体" w:hAnsi="宋体" w:eastAsia="宋体" w:cs="Times New Roman"/>
                <w:szCs w:val="21"/>
                <w:lang w:val="zh-CN"/>
              </w:rPr>
              <w:t>本</w:t>
            </w:r>
            <w:r>
              <w:rPr>
                <w:rFonts w:ascii="宋体" w:hAnsi="宋体" w:eastAsia="宋体" w:cs="Times New Roman"/>
                <w:szCs w:val="21"/>
              </w:rPr>
              <w:t>小项最高得</w:t>
            </w:r>
            <w:r>
              <w:rPr>
                <w:rFonts w:hint="eastAsia" w:ascii="宋体" w:hAnsi="宋体" w:eastAsia="宋体" w:cs="Times New Roman"/>
                <w:szCs w:val="21"/>
              </w:rPr>
              <w:t>6</w:t>
            </w:r>
            <w:r>
              <w:rPr>
                <w:rFonts w:ascii="宋体" w:hAnsi="宋体" w:eastAsia="宋体" w:cs="Times New Roman"/>
                <w:szCs w:val="21"/>
              </w:rPr>
              <w:t>分。</w:t>
            </w:r>
          </w:p>
          <w:p w14:paraId="4DCC8CA3">
            <w:pPr>
              <w:widowControl/>
              <w:autoSpaceDE w:val="0"/>
              <w:autoSpaceDN w:val="0"/>
              <w:adjustRightInd w:val="0"/>
              <w:spacing w:line="276" w:lineRule="auto"/>
            </w:pPr>
            <w:r>
              <w:rPr>
                <w:rFonts w:ascii="宋体" w:hAnsi="宋体" w:eastAsia="宋体" w:cs="Times New Roman"/>
                <w:szCs w:val="21"/>
              </w:rPr>
              <w:t>（2）</w:t>
            </w:r>
            <w:r>
              <w:rPr>
                <w:rFonts w:hint="eastAsia" w:ascii="宋体" w:hAnsi="宋体" w:eastAsia="宋体" w:cs="宋体"/>
                <w:szCs w:val="21"/>
              </w:rPr>
              <w:t>20</w:t>
            </w:r>
            <w:r>
              <w:rPr>
                <w:rFonts w:ascii="宋体" w:hAnsi="宋体" w:eastAsia="宋体" w:cs="宋体"/>
                <w:szCs w:val="21"/>
              </w:rPr>
              <w:t>20</w:t>
            </w:r>
            <w:r>
              <w:rPr>
                <w:rFonts w:hint="eastAsia" w:ascii="宋体" w:hAnsi="宋体" w:eastAsia="宋体" w:cs="宋体"/>
                <w:szCs w:val="21"/>
              </w:rPr>
              <w:t>年1月1日至今，</w:t>
            </w:r>
            <w:r>
              <w:rPr>
                <w:rFonts w:ascii="宋体" w:hAnsi="宋体" w:eastAsia="宋体" w:cs="Times New Roman"/>
                <w:szCs w:val="21"/>
              </w:rPr>
              <w:t>项目负责人</w:t>
            </w:r>
            <w:r>
              <w:rPr>
                <w:rFonts w:hint="eastAsia" w:ascii="宋体" w:hAnsi="宋体" w:eastAsia="宋体" w:cs="Times New Roman"/>
                <w:szCs w:val="21"/>
              </w:rPr>
              <w:t>获得市政公用</w:t>
            </w:r>
            <w:r>
              <w:rPr>
                <w:rFonts w:ascii="宋体" w:hAnsi="宋体" w:eastAsia="宋体" w:cs="Times New Roman"/>
                <w:szCs w:val="21"/>
              </w:rPr>
              <w:t>工程</w:t>
            </w:r>
            <w:r>
              <w:rPr>
                <w:rFonts w:hint="eastAsia" w:ascii="宋体" w:hAnsi="宋体" w:eastAsia="宋体" w:cs="Times New Roman"/>
                <w:szCs w:val="21"/>
              </w:rPr>
              <w:t>设计类奖，国家级奖项每项得2分，省级奖项每项得1分，</w:t>
            </w:r>
            <w:r>
              <w:rPr>
                <w:rFonts w:ascii="宋体" w:hAnsi="宋体" w:eastAsia="宋体" w:cs="Times New Roman"/>
                <w:szCs w:val="21"/>
              </w:rPr>
              <w:t>市</w:t>
            </w:r>
            <w:r>
              <w:rPr>
                <w:rFonts w:hint="eastAsia" w:ascii="宋体" w:hAnsi="宋体" w:eastAsia="宋体" w:cs="Times New Roman"/>
                <w:szCs w:val="21"/>
              </w:rPr>
              <w:t>级奖项</w:t>
            </w:r>
            <w:r>
              <w:rPr>
                <w:rFonts w:ascii="宋体" w:hAnsi="宋体" w:eastAsia="宋体" w:cs="Times New Roman"/>
                <w:szCs w:val="21"/>
              </w:rPr>
              <w:t>每项得</w:t>
            </w:r>
            <w:r>
              <w:rPr>
                <w:rFonts w:hint="eastAsia" w:ascii="宋体" w:hAnsi="宋体" w:eastAsia="宋体" w:cs="Times New Roman"/>
                <w:szCs w:val="21"/>
              </w:rPr>
              <w:t>0.5</w:t>
            </w:r>
            <w:r>
              <w:rPr>
                <w:rFonts w:ascii="宋体" w:hAnsi="宋体" w:eastAsia="宋体" w:cs="Times New Roman"/>
                <w:szCs w:val="21"/>
              </w:rPr>
              <w:t>分</w:t>
            </w:r>
            <w:r>
              <w:rPr>
                <w:rFonts w:hint="eastAsia" w:ascii="宋体" w:hAnsi="宋体" w:eastAsia="宋体" w:cs="Times New Roman"/>
                <w:szCs w:val="21"/>
              </w:rPr>
              <w:t>，</w:t>
            </w:r>
            <w:r>
              <w:rPr>
                <w:rFonts w:ascii="宋体" w:hAnsi="宋体" w:eastAsia="宋体" w:cs="Times New Roman"/>
                <w:szCs w:val="21"/>
              </w:rPr>
              <w:t>本小项最高得</w:t>
            </w:r>
            <w:r>
              <w:rPr>
                <w:rFonts w:hint="eastAsia" w:ascii="宋体" w:hAnsi="宋体" w:eastAsia="宋体" w:cs="Times New Roman"/>
                <w:szCs w:val="21"/>
              </w:rPr>
              <w:t>5</w:t>
            </w:r>
            <w:r>
              <w:rPr>
                <w:rFonts w:ascii="宋体" w:hAnsi="宋体" w:eastAsia="宋体" w:cs="Times New Roman"/>
                <w:szCs w:val="21"/>
              </w:rPr>
              <w:t>分。</w:t>
            </w:r>
          </w:p>
          <w:p w14:paraId="7D573824">
            <w:pPr>
              <w:pStyle w:val="2"/>
              <w:ind w:firstLine="0" w:firstLineChars="0"/>
            </w:pPr>
            <w:r>
              <w:rPr>
                <w:rFonts w:hint="eastAsia"/>
              </w:rPr>
              <w:t>（3）</w:t>
            </w:r>
            <w:r>
              <w:rPr>
                <w:rFonts w:hint="eastAsia" w:ascii="宋体" w:hAnsi="宋体" w:cs="宋体"/>
                <w:szCs w:val="21"/>
              </w:rPr>
              <w:t>20</w:t>
            </w:r>
            <w:r>
              <w:rPr>
                <w:rFonts w:ascii="宋体" w:hAnsi="宋体" w:cs="宋体"/>
                <w:szCs w:val="21"/>
              </w:rPr>
              <w:t>20</w:t>
            </w:r>
            <w:r>
              <w:rPr>
                <w:rFonts w:hint="eastAsia" w:ascii="宋体" w:hAnsi="宋体" w:cs="宋体"/>
                <w:szCs w:val="21"/>
              </w:rPr>
              <w:t>年1月1日至今，作为</w:t>
            </w:r>
            <w:r>
              <w:rPr>
                <w:rFonts w:ascii="宋体" w:hAnsi="宋体"/>
                <w:szCs w:val="21"/>
              </w:rPr>
              <w:t>项目负责人</w:t>
            </w:r>
            <w:r>
              <w:rPr>
                <w:rFonts w:hint="eastAsia" w:ascii="宋体" w:hAnsi="宋体"/>
                <w:szCs w:val="21"/>
              </w:rPr>
              <w:t>或设计负责人主持过类似市政公用</w:t>
            </w:r>
            <w:r>
              <w:rPr>
                <w:rFonts w:ascii="宋体" w:hAnsi="宋体"/>
                <w:szCs w:val="21"/>
              </w:rPr>
              <w:t>工程</w:t>
            </w:r>
            <w:r>
              <w:rPr>
                <w:rFonts w:hint="eastAsia" w:ascii="宋体" w:hAnsi="宋体"/>
                <w:szCs w:val="21"/>
              </w:rPr>
              <w:t>设计</w:t>
            </w:r>
            <w:r>
              <w:rPr>
                <w:rFonts w:hint="eastAsia" w:ascii="宋体" w:hAnsi="宋体"/>
                <w:szCs w:val="21"/>
                <w:lang w:eastAsia="zh-CN"/>
              </w:rPr>
              <w:t>业绩</w:t>
            </w:r>
            <w:r>
              <w:rPr>
                <w:rFonts w:hint="eastAsia" w:ascii="宋体" w:hAnsi="宋体"/>
                <w:szCs w:val="21"/>
              </w:rPr>
              <w:t>，每项2分，最多得4分；</w:t>
            </w:r>
          </w:p>
          <w:p w14:paraId="6C0DE7C5">
            <w:pPr>
              <w:widowControl/>
              <w:autoSpaceDE w:val="0"/>
              <w:autoSpaceDN w:val="0"/>
              <w:adjustRightInd w:val="0"/>
              <w:spacing w:line="276" w:lineRule="auto"/>
              <w:rPr>
                <w:rFonts w:ascii="宋体" w:hAnsi="宋体" w:eastAsia="宋体" w:cs="Times New Roman"/>
                <w:szCs w:val="21"/>
              </w:rPr>
            </w:pPr>
            <w:r>
              <w:rPr>
                <w:rFonts w:ascii="宋体" w:hAnsi="宋体" w:eastAsia="宋体" w:cs="Times New Roman"/>
                <w:szCs w:val="21"/>
              </w:rPr>
              <w:t>以上</w:t>
            </w:r>
            <w:r>
              <w:rPr>
                <w:rFonts w:ascii="宋体" w:hAnsi="宋体" w:eastAsia="宋体" w:cs="Times New Roman"/>
                <w:szCs w:val="21"/>
                <w:lang w:val="zh-CN"/>
              </w:rPr>
              <w:t>各项</w:t>
            </w:r>
            <w:r>
              <w:rPr>
                <w:rFonts w:ascii="宋体" w:hAnsi="宋体" w:eastAsia="宋体" w:cs="Times New Roman"/>
                <w:szCs w:val="21"/>
              </w:rPr>
              <w:t>合计最多得 15分。</w:t>
            </w:r>
          </w:p>
          <w:p w14:paraId="5DB81BE4">
            <w:pPr>
              <w:widowControl/>
              <w:autoSpaceDE w:val="0"/>
              <w:autoSpaceDN w:val="0"/>
              <w:adjustRightInd w:val="0"/>
              <w:spacing w:line="276" w:lineRule="auto"/>
              <w:rPr>
                <w:rFonts w:ascii="宋体" w:hAnsi="宋体" w:eastAsia="宋体" w:cs="Times New Roman"/>
                <w:color w:val="auto"/>
                <w:szCs w:val="21"/>
                <w:highlight w:val="none"/>
                <w:u w:val="single"/>
              </w:rPr>
            </w:pPr>
            <w:r>
              <w:rPr>
                <w:rFonts w:hint="eastAsia" w:ascii="宋体" w:hAnsi="宋体" w:eastAsia="宋体" w:cs="Times New Roman"/>
                <w:b/>
                <w:szCs w:val="21"/>
                <w:u w:val="single"/>
              </w:rPr>
              <w:t>注：</w:t>
            </w:r>
            <w:r>
              <w:rPr>
                <w:rFonts w:hint="eastAsia" w:ascii="宋体" w:hAnsi="宋体" w:eastAsia="宋体" w:cs="Times New Roman"/>
                <w:szCs w:val="21"/>
                <w:u w:val="single"/>
              </w:rPr>
              <w:t>须提供人员相关证书、获奖证明、类似项目设计</w:t>
            </w:r>
            <w:r>
              <w:rPr>
                <w:rFonts w:hint="eastAsia" w:ascii="宋体" w:hAnsi="宋体" w:eastAsia="宋体" w:cs="Times New Roman"/>
                <w:szCs w:val="21"/>
                <w:u w:val="single"/>
                <w:lang w:eastAsia="zh-CN"/>
              </w:rPr>
              <w:t>业绩</w:t>
            </w:r>
            <w:r>
              <w:rPr>
                <w:rFonts w:hint="eastAsia" w:ascii="宋体" w:hAnsi="宋体" w:eastAsia="宋体" w:cs="Times New Roman"/>
                <w:szCs w:val="21"/>
                <w:u w:val="single"/>
              </w:rPr>
              <w:t>证明扫描件、社保证明（本项目投标截止日前三个月内任意一个月）；技术职称按最高等级计算，不重复记分；获奖证明需提供获奖证书；类似市政公用工程设计</w:t>
            </w:r>
            <w:r>
              <w:rPr>
                <w:rFonts w:hint="eastAsia" w:ascii="宋体" w:hAnsi="宋体" w:eastAsia="宋体" w:cs="Times New Roman"/>
                <w:szCs w:val="21"/>
                <w:u w:val="single"/>
                <w:lang w:eastAsia="zh-CN"/>
              </w:rPr>
              <w:t>业绩</w:t>
            </w:r>
            <w:r>
              <w:rPr>
                <w:rFonts w:hint="eastAsia" w:ascii="宋体" w:hAnsi="宋体" w:eastAsia="宋体" w:cs="Times New Roman"/>
                <w:szCs w:val="21"/>
                <w:u w:val="single"/>
              </w:rPr>
              <w:t>需提供中标通知或合同并能体现人名，否则不得分。</w:t>
            </w:r>
          </w:p>
        </w:tc>
      </w:tr>
      <w:tr w14:paraId="2064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Merge w:val="continue"/>
            <w:vAlign w:val="center"/>
          </w:tcPr>
          <w:p w14:paraId="41C3F9B9">
            <w:pPr>
              <w:wordWrap w:val="0"/>
              <w:spacing w:line="276" w:lineRule="auto"/>
              <w:jc w:val="center"/>
              <w:rPr>
                <w:rFonts w:ascii="宋体" w:hAnsi="宋体" w:eastAsia="宋体" w:cs="宋体"/>
                <w:color w:val="auto"/>
                <w:szCs w:val="21"/>
                <w:highlight w:val="none"/>
              </w:rPr>
            </w:pPr>
          </w:p>
        </w:tc>
        <w:tc>
          <w:tcPr>
            <w:tcW w:w="392" w:type="pct"/>
            <w:vMerge w:val="continue"/>
            <w:vAlign w:val="center"/>
          </w:tcPr>
          <w:p w14:paraId="0747235F">
            <w:pPr>
              <w:wordWrap w:val="0"/>
              <w:spacing w:line="276" w:lineRule="auto"/>
              <w:jc w:val="center"/>
              <w:rPr>
                <w:rFonts w:ascii="宋体" w:hAnsi="宋体" w:eastAsia="宋体" w:cs="Times New Roman"/>
                <w:color w:val="auto"/>
                <w:szCs w:val="21"/>
                <w:highlight w:val="none"/>
                <w:lang w:val="zh-CN"/>
              </w:rPr>
            </w:pPr>
          </w:p>
        </w:tc>
        <w:tc>
          <w:tcPr>
            <w:tcW w:w="234" w:type="pct"/>
            <w:vMerge w:val="continue"/>
            <w:vAlign w:val="center"/>
          </w:tcPr>
          <w:p w14:paraId="32DFF559">
            <w:pPr>
              <w:wordWrap w:val="0"/>
              <w:spacing w:line="276" w:lineRule="auto"/>
              <w:jc w:val="center"/>
              <w:rPr>
                <w:rFonts w:ascii="宋体" w:hAnsi="宋体" w:eastAsia="宋体" w:cs="Times New Roman"/>
                <w:color w:val="auto"/>
                <w:szCs w:val="21"/>
                <w:highlight w:val="none"/>
              </w:rPr>
            </w:pPr>
          </w:p>
        </w:tc>
        <w:tc>
          <w:tcPr>
            <w:tcW w:w="4141" w:type="pct"/>
            <w:vAlign w:val="center"/>
          </w:tcPr>
          <w:p w14:paraId="09FDF46E">
            <w:pPr>
              <w:spacing w:line="276" w:lineRule="auto"/>
              <w:ind w:right="31" w:rightChars="15"/>
              <w:rPr>
                <w:rFonts w:ascii="宋体" w:hAnsi="宋体" w:eastAsia="宋体" w:cs="Times New Roman"/>
                <w:b/>
                <w:szCs w:val="21"/>
                <w:lang w:val="zh-CN"/>
              </w:rPr>
            </w:pPr>
            <w:r>
              <w:rPr>
                <w:rFonts w:ascii="宋体" w:hAnsi="宋体" w:eastAsia="宋体" w:cs="Times New Roman"/>
                <w:b/>
                <w:szCs w:val="21"/>
                <w:lang w:val="zh-CN"/>
              </w:rPr>
              <w:t>各专业负责人设计经历及业务能力：</w:t>
            </w:r>
          </w:p>
          <w:p w14:paraId="69F930A3">
            <w:pPr>
              <w:spacing w:line="276" w:lineRule="auto"/>
              <w:ind w:right="31" w:rightChars="15"/>
              <w:rPr>
                <w:rFonts w:ascii="宋体" w:hAnsi="宋体" w:eastAsia="宋体" w:cs="Times New Roman"/>
                <w:szCs w:val="21"/>
              </w:rPr>
            </w:pPr>
            <w:r>
              <w:rPr>
                <w:rFonts w:ascii="宋体" w:hAnsi="宋体" w:eastAsia="宋体" w:cs="Times New Roman"/>
                <w:szCs w:val="21"/>
                <w:lang w:val="zh-CN"/>
              </w:rPr>
              <w:t>（1）</w:t>
            </w:r>
            <w:r>
              <w:rPr>
                <w:rFonts w:hint="eastAsia" w:ascii="宋体" w:hAnsi="宋体" w:eastAsia="宋体" w:cs="Times New Roman"/>
                <w:szCs w:val="21"/>
              </w:rPr>
              <w:t>各专业负责人</w:t>
            </w:r>
            <w:r>
              <w:rPr>
                <w:rFonts w:hint="eastAsia" w:ascii="宋体" w:hAnsi="宋体" w:eastAsia="宋体" w:cs="Times New Roman"/>
                <w:szCs w:val="21"/>
                <w:lang w:val="zh-CN"/>
              </w:rPr>
              <w:t>（道路、</w:t>
            </w:r>
            <w:r>
              <w:rPr>
                <w:rFonts w:hint="eastAsia" w:ascii="宋体" w:hAnsi="宋体" w:eastAsia="宋体" w:cs="Times New Roman"/>
                <w:szCs w:val="21"/>
              </w:rPr>
              <w:t>桥梁</w:t>
            </w:r>
            <w:r>
              <w:rPr>
                <w:rFonts w:hint="eastAsia" w:ascii="宋体" w:hAnsi="宋体" w:eastAsia="宋体" w:cs="Times New Roman"/>
                <w:szCs w:val="21"/>
                <w:lang w:val="zh-CN"/>
              </w:rPr>
              <w:t>、给排水、交通、</w:t>
            </w:r>
            <w:r>
              <w:rPr>
                <w:rFonts w:hint="eastAsia" w:ascii="宋体" w:hAnsi="宋体" w:eastAsia="宋体" w:cs="Times New Roman"/>
                <w:szCs w:val="21"/>
              </w:rPr>
              <w:t>绿化、</w:t>
            </w:r>
            <w:r>
              <w:rPr>
                <w:rFonts w:hint="eastAsia" w:ascii="宋体" w:hAnsi="宋体" w:eastAsia="宋体" w:cs="Times New Roman"/>
                <w:szCs w:val="21"/>
                <w:lang w:val="zh-CN"/>
              </w:rPr>
              <w:t>电气、造价、勘察等专业）每</w:t>
            </w:r>
            <w:r>
              <w:rPr>
                <w:rFonts w:ascii="宋体" w:hAnsi="宋体" w:eastAsia="宋体" w:cs="Times New Roman"/>
                <w:szCs w:val="21"/>
                <w:lang w:val="zh-CN"/>
              </w:rPr>
              <w:t>1名具备本专业相关专业高级</w:t>
            </w:r>
            <w:r>
              <w:rPr>
                <w:rFonts w:hint="eastAsia" w:ascii="宋体" w:hAnsi="宋体" w:eastAsia="宋体" w:cs="Times New Roman"/>
                <w:szCs w:val="21"/>
                <w:lang w:val="zh-CN"/>
              </w:rPr>
              <w:t>（</w:t>
            </w:r>
            <w:r>
              <w:rPr>
                <w:rFonts w:ascii="宋体" w:hAnsi="宋体" w:eastAsia="宋体" w:cs="Times New Roman"/>
                <w:szCs w:val="21"/>
                <w:lang w:val="zh-CN"/>
              </w:rPr>
              <w:t>或以上</w:t>
            </w:r>
            <w:r>
              <w:rPr>
                <w:rFonts w:hint="eastAsia" w:ascii="宋体" w:hAnsi="宋体" w:eastAsia="宋体" w:cs="Times New Roman"/>
                <w:szCs w:val="21"/>
                <w:lang w:val="zh-CN"/>
              </w:rPr>
              <w:t>）</w:t>
            </w:r>
            <w:r>
              <w:rPr>
                <w:rFonts w:ascii="宋体" w:hAnsi="宋体" w:eastAsia="宋体" w:cs="Times New Roman"/>
                <w:szCs w:val="21"/>
                <w:lang w:val="zh-CN"/>
              </w:rPr>
              <w:t>技术职称的人员，得</w:t>
            </w:r>
            <w:r>
              <w:rPr>
                <w:rFonts w:hint="eastAsia" w:ascii="宋体" w:hAnsi="宋体" w:eastAsia="宋体" w:cs="Times New Roman"/>
                <w:szCs w:val="21"/>
              </w:rPr>
              <w:t>0.5</w:t>
            </w:r>
            <w:r>
              <w:rPr>
                <w:rFonts w:ascii="宋体" w:hAnsi="宋体" w:eastAsia="宋体" w:cs="Times New Roman"/>
                <w:szCs w:val="21"/>
                <w:lang w:val="zh-CN"/>
              </w:rPr>
              <w:t>分，最高得</w:t>
            </w:r>
            <w:r>
              <w:rPr>
                <w:rFonts w:hint="eastAsia" w:ascii="宋体" w:hAnsi="宋体" w:eastAsia="宋体" w:cs="Times New Roman"/>
                <w:szCs w:val="21"/>
              </w:rPr>
              <w:t>4</w:t>
            </w:r>
            <w:r>
              <w:rPr>
                <w:rFonts w:ascii="宋体" w:hAnsi="宋体" w:eastAsia="宋体" w:cs="Times New Roman"/>
                <w:szCs w:val="21"/>
                <w:lang w:val="zh-CN"/>
              </w:rPr>
              <w:t>分</w:t>
            </w:r>
            <w:r>
              <w:rPr>
                <w:rFonts w:hint="eastAsia" w:ascii="宋体" w:hAnsi="宋体" w:eastAsia="宋体" w:cs="Times New Roman"/>
                <w:szCs w:val="21"/>
              </w:rPr>
              <w:t>；各专业负责人中每1名具备</w:t>
            </w:r>
            <w:r>
              <w:rPr>
                <w:rFonts w:ascii="宋体" w:hAnsi="宋体" w:eastAsia="宋体" w:cs="Times New Roman"/>
                <w:szCs w:val="21"/>
              </w:rPr>
              <w:t>注册执业资格</w:t>
            </w:r>
            <w:r>
              <w:rPr>
                <w:rFonts w:hint="eastAsia" w:ascii="宋体" w:hAnsi="宋体" w:eastAsia="宋体" w:cs="Times New Roman"/>
                <w:szCs w:val="21"/>
              </w:rPr>
              <w:t>的人员，得</w:t>
            </w:r>
            <w:r>
              <w:rPr>
                <w:rFonts w:ascii="宋体" w:hAnsi="宋体" w:eastAsia="宋体" w:cs="Times New Roman"/>
                <w:szCs w:val="21"/>
              </w:rPr>
              <w:t>0.5</w:t>
            </w:r>
            <w:r>
              <w:rPr>
                <w:rFonts w:hint="eastAsia" w:ascii="宋体" w:hAnsi="宋体" w:eastAsia="宋体" w:cs="Times New Roman"/>
                <w:szCs w:val="21"/>
              </w:rPr>
              <w:t>分，</w:t>
            </w:r>
            <w:r>
              <w:rPr>
                <w:rFonts w:ascii="宋体" w:hAnsi="宋体" w:eastAsia="宋体" w:cs="Times New Roman"/>
                <w:szCs w:val="21"/>
              </w:rPr>
              <w:t>最高得</w:t>
            </w:r>
            <w:r>
              <w:rPr>
                <w:rFonts w:hint="eastAsia" w:ascii="宋体" w:hAnsi="宋体" w:eastAsia="宋体" w:cs="Times New Roman"/>
                <w:szCs w:val="21"/>
              </w:rPr>
              <w:t>3</w:t>
            </w:r>
            <w:r>
              <w:rPr>
                <w:rFonts w:ascii="宋体" w:hAnsi="宋体" w:eastAsia="宋体" w:cs="Times New Roman"/>
                <w:szCs w:val="21"/>
              </w:rPr>
              <w:t>分。</w:t>
            </w:r>
            <w:r>
              <w:rPr>
                <w:rFonts w:ascii="宋体" w:hAnsi="宋体" w:eastAsia="宋体" w:cs="Times New Roman"/>
                <w:szCs w:val="21"/>
                <w:lang w:val="zh-CN"/>
              </w:rPr>
              <w:t>本小项最高得</w:t>
            </w:r>
            <w:r>
              <w:rPr>
                <w:rFonts w:hint="eastAsia" w:ascii="宋体" w:hAnsi="宋体" w:eastAsia="宋体" w:cs="Times New Roman"/>
                <w:szCs w:val="21"/>
              </w:rPr>
              <w:t>7</w:t>
            </w:r>
            <w:r>
              <w:rPr>
                <w:rFonts w:ascii="宋体" w:hAnsi="宋体" w:eastAsia="宋体" w:cs="Times New Roman"/>
                <w:szCs w:val="21"/>
                <w:lang w:val="zh-CN"/>
              </w:rPr>
              <w:t>分</w:t>
            </w:r>
            <w:r>
              <w:rPr>
                <w:rFonts w:hint="eastAsia" w:ascii="宋体" w:hAnsi="宋体" w:eastAsia="宋体" w:cs="Times New Roman"/>
                <w:szCs w:val="21"/>
                <w:lang w:val="zh-CN"/>
              </w:rPr>
              <w:t>。</w:t>
            </w:r>
          </w:p>
          <w:p w14:paraId="0300A765">
            <w:pPr>
              <w:widowControl/>
              <w:autoSpaceDE w:val="0"/>
              <w:autoSpaceDN w:val="0"/>
              <w:adjustRightInd w:val="0"/>
              <w:spacing w:line="276" w:lineRule="auto"/>
              <w:rPr>
                <w:rFonts w:ascii="宋体" w:hAnsi="宋体" w:eastAsia="宋体" w:cs="Times New Roman"/>
                <w:szCs w:val="21"/>
              </w:rPr>
            </w:pPr>
            <w:r>
              <w:rPr>
                <w:rFonts w:ascii="宋体" w:hAnsi="宋体" w:eastAsia="宋体" w:cs="Times New Roman"/>
                <w:szCs w:val="21"/>
                <w:lang w:val="zh-CN"/>
              </w:rPr>
              <w:t>（</w:t>
            </w:r>
            <w:r>
              <w:rPr>
                <w:rFonts w:ascii="宋体" w:hAnsi="宋体" w:eastAsia="宋体" w:cs="Times New Roman"/>
                <w:szCs w:val="21"/>
              </w:rPr>
              <w:t>2</w:t>
            </w:r>
            <w:r>
              <w:rPr>
                <w:rFonts w:ascii="宋体" w:hAnsi="宋体" w:eastAsia="宋体" w:cs="Times New Roman"/>
                <w:szCs w:val="21"/>
                <w:lang w:val="zh-CN"/>
              </w:rPr>
              <w:t>）</w:t>
            </w:r>
            <w:r>
              <w:rPr>
                <w:rFonts w:hint="eastAsia" w:ascii="宋体" w:hAnsi="宋体" w:eastAsia="宋体" w:cs="Times New Roman"/>
                <w:szCs w:val="21"/>
                <w:lang w:val="zh-CN"/>
              </w:rPr>
              <w:t>以上</w:t>
            </w:r>
            <w:r>
              <w:rPr>
                <w:rFonts w:ascii="宋体" w:hAnsi="宋体" w:eastAsia="宋体" w:cs="Times New Roman"/>
                <w:szCs w:val="21"/>
                <w:lang w:val="zh-CN"/>
              </w:rPr>
              <w:t>专业负责人</w:t>
            </w:r>
            <w:r>
              <w:rPr>
                <w:rFonts w:ascii="宋体" w:hAnsi="宋体" w:eastAsia="宋体" w:cs="Times New Roman"/>
                <w:szCs w:val="21"/>
              </w:rPr>
              <w:t>参与设计的</w:t>
            </w:r>
            <w:r>
              <w:rPr>
                <w:rFonts w:hint="eastAsia" w:ascii="宋体" w:hAnsi="宋体" w:eastAsia="宋体" w:cs="Times New Roman"/>
                <w:szCs w:val="21"/>
                <w:lang w:val="zh-CN"/>
              </w:rPr>
              <w:t>市政公用工程</w:t>
            </w:r>
            <w:r>
              <w:rPr>
                <w:rFonts w:ascii="宋体" w:hAnsi="宋体" w:eastAsia="宋体" w:cs="Times New Roman"/>
                <w:szCs w:val="21"/>
                <w:lang w:val="zh-CN"/>
              </w:rPr>
              <w:t>获</w:t>
            </w:r>
            <w:r>
              <w:rPr>
                <w:rFonts w:hint="eastAsia" w:ascii="宋体" w:hAnsi="宋体" w:eastAsia="宋体" w:cs="Times New Roman"/>
                <w:szCs w:val="21"/>
                <w:lang w:val="zh-CN"/>
              </w:rPr>
              <w:t>得过</w:t>
            </w:r>
            <w:r>
              <w:rPr>
                <w:rFonts w:ascii="宋体" w:hAnsi="宋体" w:eastAsia="宋体" w:cs="Times New Roman"/>
                <w:szCs w:val="21"/>
              </w:rPr>
              <w:t>市</w:t>
            </w:r>
            <w:r>
              <w:rPr>
                <w:rFonts w:hint="eastAsia" w:ascii="宋体" w:hAnsi="宋体" w:eastAsia="宋体" w:cs="Times New Roman"/>
                <w:szCs w:val="21"/>
              </w:rPr>
              <w:t>级或以上设计类奖项</w:t>
            </w:r>
            <w:r>
              <w:rPr>
                <w:rFonts w:ascii="宋体" w:hAnsi="宋体" w:eastAsia="宋体" w:cs="Times New Roman"/>
                <w:szCs w:val="21"/>
              </w:rPr>
              <w:t>，</w:t>
            </w:r>
            <w:r>
              <w:rPr>
                <w:rFonts w:hint="eastAsia" w:ascii="宋体" w:hAnsi="宋体" w:eastAsia="宋体" w:cs="Times New Roman"/>
                <w:szCs w:val="21"/>
              </w:rPr>
              <w:t>每项</w:t>
            </w:r>
            <w:r>
              <w:rPr>
                <w:rFonts w:ascii="宋体" w:hAnsi="宋体" w:eastAsia="宋体" w:cs="Times New Roman"/>
                <w:szCs w:val="21"/>
              </w:rPr>
              <w:t>得</w:t>
            </w:r>
            <w:r>
              <w:rPr>
                <w:rFonts w:hint="eastAsia" w:ascii="宋体" w:hAnsi="宋体" w:eastAsia="宋体" w:cs="Times New Roman"/>
                <w:szCs w:val="21"/>
              </w:rPr>
              <w:t>0.5</w:t>
            </w:r>
            <w:r>
              <w:rPr>
                <w:rFonts w:ascii="宋体" w:hAnsi="宋体" w:eastAsia="宋体" w:cs="Times New Roman"/>
                <w:szCs w:val="21"/>
              </w:rPr>
              <w:t>分，本小项最高得</w:t>
            </w:r>
            <w:r>
              <w:rPr>
                <w:rFonts w:hint="eastAsia" w:ascii="宋体" w:hAnsi="宋体" w:eastAsia="宋体" w:cs="Times New Roman"/>
                <w:szCs w:val="21"/>
              </w:rPr>
              <w:t>4</w:t>
            </w:r>
            <w:r>
              <w:rPr>
                <w:rFonts w:ascii="宋体" w:hAnsi="宋体" w:eastAsia="宋体" w:cs="Times New Roman"/>
                <w:szCs w:val="21"/>
              </w:rPr>
              <w:t>分。</w:t>
            </w:r>
          </w:p>
          <w:p w14:paraId="524247D8">
            <w:pPr>
              <w:pStyle w:val="2"/>
              <w:ind w:firstLine="0" w:firstLineChars="0"/>
            </w:pPr>
            <w:r>
              <w:rPr>
                <w:rFonts w:hint="eastAsia" w:ascii="宋体" w:hAnsi="宋体"/>
                <w:szCs w:val="21"/>
              </w:rPr>
              <w:t>（3）</w:t>
            </w:r>
            <w:r>
              <w:rPr>
                <w:rFonts w:hint="eastAsia" w:ascii="宋体" w:hAnsi="宋体"/>
                <w:szCs w:val="21"/>
                <w:lang w:val="zh-CN"/>
              </w:rPr>
              <w:t>以上</w:t>
            </w:r>
            <w:r>
              <w:rPr>
                <w:rFonts w:ascii="宋体" w:hAnsi="宋体"/>
                <w:szCs w:val="21"/>
                <w:lang w:val="zh-CN"/>
              </w:rPr>
              <w:t>专业负责人</w:t>
            </w:r>
            <w:r>
              <w:rPr>
                <w:rFonts w:hint="eastAsia" w:ascii="宋体" w:hAnsi="宋体"/>
                <w:szCs w:val="21"/>
              </w:rPr>
              <w:t>有类似市政公用</w:t>
            </w:r>
            <w:r>
              <w:rPr>
                <w:rFonts w:ascii="宋体" w:hAnsi="宋体"/>
                <w:szCs w:val="21"/>
              </w:rPr>
              <w:t>工程</w:t>
            </w:r>
            <w:r>
              <w:rPr>
                <w:rFonts w:hint="eastAsia" w:ascii="宋体" w:hAnsi="宋体"/>
                <w:szCs w:val="21"/>
              </w:rPr>
              <w:t>设计</w:t>
            </w:r>
            <w:r>
              <w:rPr>
                <w:rFonts w:hint="eastAsia" w:ascii="宋体" w:hAnsi="宋体"/>
                <w:szCs w:val="21"/>
                <w:lang w:eastAsia="zh-CN"/>
              </w:rPr>
              <w:t>业绩</w:t>
            </w:r>
            <w:r>
              <w:rPr>
                <w:rFonts w:hint="eastAsia" w:ascii="宋体" w:hAnsi="宋体"/>
                <w:szCs w:val="21"/>
              </w:rPr>
              <w:t>的，每人得1分，本小项最高得4分。</w:t>
            </w:r>
          </w:p>
          <w:p w14:paraId="78D1DF4F">
            <w:pPr>
              <w:spacing w:line="276" w:lineRule="auto"/>
              <w:rPr>
                <w:rFonts w:ascii="宋体" w:hAnsi="宋体" w:eastAsia="宋体" w:cs="Times New Roman"/>
                <w:szCs w:val="21"/>
                <w:lang w:val="zh-CN"/>
              </w:rPr>
            </w:pPr>
            <w:r>
              <w:rPr>
                <w:rFonts w:ascii="宋体" w:hAnsi="宋体" w:eastAsia="宋体" w:cs="Times New Roman"/>
                <w:szCs w:val="21"/>
                <w:lang w:val="zh-CN"/>
              </w:rPr>
              <w:t>以上各项合计最多得15分。</w:t>
            </w:r>
          </w:p>
          <w:p w14:paraId="749714F4">
            <w:pPr>
              <w:widowControl w:val="0"/>
              <w:spacing w:line="276" w:lineRule="auto"/>
              <w:jc w:val="both"/>
              <w:rPr>
                <w:rFonts w:ascii="宋体" w:hAnsi="宋体" w:eastAsia="宋体" w:cs="Times New Roman"/>
                <w:color w:val="auto"/>
                <w:kern w:val="2"/>
                <w:sz w:val="21"/>
                <w:szCs w:val="21"/>
                <w:highlight w:val="none"/>
                <w:lang w:val="zh-CN" w:eastAsia="zh-CN" w:bidi="ar-SA"/>
              </w:rPr>
            </w:pPr>
            <w:r>
              <w:rPr>
                <w:rFonts w:hint="eastAsia" w:ascii="宋体" w:hAnsi="宋体" w:eastAsia="宋体" w:cs="Times New Roman"/>
                <w:b/>
                <w:szCs w:val="21"/>
                <w:u w:val="single"/>
                <w:lang w:val="zh-CN"/>
              </w:rPr>
              <w:t>注：</w:t>
            </w:r>
            <w:r>
              <w:rPr>
                <w:rFonts w:hint="eastAsia" w:ascii="宋体" w:hAnsi="宋体" w:eastAsia="宋体" w:cs="Times New Roman"/>
                <w:szCs w:val="21"/>
                <w:u w:val="single"/>
                <w:lang w:val="zh-CN"/>
              </w:rPr>
              <w:t>须提供人员相关证书、获奖证明、类似项目设计业绩、社保证明（本项目投标截止日前三个月内任意一个月）扫描件。项目负责人及各专业负责人不能兼任。</w:t>
            </w:r>
            <w:r>
              <w:rPr>
                <w:rFonts w:hint="eastAsia" w:ascii="宋体" w:hAnsi="宋体" w:eastAsia="宋体" w:cs="Times New Roman"/>
                <w:szCs w:val="21"/>
                <w:u w:val="single"/>
              </w:rPr>
              <w:t>技术职称按最高等级计算，不重复记分；获奖证明需提供获奖证书；类似市政公用工程设计</w:t>
            </w:r>
            <w:r>
              <w:rPr>
                <w:rFonts w:hint="eastAsia" w:ascii="宋体" w:hAnsi="宋体" w:eastAsia="宋体" w:cs="Times New Roman"/>
                <w:szCs w:val="21"/>
                <w:u w:val="single"/>
                <w:lang w:eastAsia="zh-CN"/>
              </w:rPr>
              <w:t>业绩</w:t>
            </w:r>
            <w:r>
              <w:rPr>
                <w:rFonts w:hint="eastAsia" w:ascii="宋体" w:hAnsi="宋体" w:eastAsia="宋体" w:cs="Times New Roman"/>
                <w:szCs w:val="21"/>
                <w:u w:val="single"/>
              </w:rPr>
              <w:t>需提供中标通知或合同并能体现人名，否则不得分。</w:t>
            </w:r>
          </w:p>
        </w:tc>
      </w:tr>
      <w:tr w14:paraId="6B1A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Merge w:val="restart"/>
            <w:vAlign w:val="center"/>
          </w:tcPr>
          <w:p w14:paraId="5525DE3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392" w:type="pct"/>
            <w:vMerge w:val="restart"/>
            <w:vAlign w:val="center"/>
          </w:tcPr>
          <w:p w14:paraId="14B8EFB7">
            <w:pPr>
              <w:wordWrap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投标人资信</w:t>
            </w:r>
          </w:p>
        </w:tc>
        <w:tc>
          <w:tcPr>
            <w:tcW w:w="234" w:type="pct"/>
            <w:vMerge w:val="restart"/>
            <w:vAlign w:val="center"/>
          </w:tcPr>
          <w:p w14:paraId="1E2EEBD9">
            <w:pPr>
              <w:wordWrap w:val="0"/>
              <w:topLinePunct/>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20</w:t>
            </w:r>
          </w:p>
        </w:tc>
        <w:tc>
          <w:tcPr>
            <w:tcW w:w="11685" w:type="dxa"/>
            <w:vAlign w:val="center"/>
          </w:tcPr>
          <w:p w14:paraId="563181A7">
            <w:pPr>
              <w:wordWrap w:val="0"/>
              <w:spacing w:line="276" w:lineRule="auto"/>
              <w:rPr>
                <w:rFonts w:ascii="宋体" w:hAnsi="宋体" w:eastAsia="宋体" w:cs="宋体"/>
                <w:b/>
                <w:szCs w:val="21"/>
              </w:rPr>
            </w:pPr>
            <w:r>
              <w:rPr>
                <w:rFonts w:hint="eastAsia" w:ascii="宋体" w:hAnsi="宋体" w:eastAsia="宋体" w:cs="宋体"/>
                <w:b/>
                <w:szCs w:val="21"/>
              </w:rPr>
              <w:t>科技创新成果：</w:t>
            </w:r>
          </w:p>
          <w:p w14:paraId="41AA46CB">
            <w:pPr>
              <w:wordWrap w:val="0"/>
              <w:spacing w:line="276" w:lineRule="auto"/>
              <w:rPr>
                <w:rFonts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（若为联合体，指联合体主办方）</w:t>
            </w:r>
            <w:r>
              <w:rPr>
                <w:rFonts w:hint="eastAsia" w:ascii="宋体" w:hAnsi="宋体" w:eastAsia="宋体" w:cs="宋体"/>
                <w:szCs w:val="21"/>
              </w:rPr>
              <w:t>自</w:t>
            </w:r>
            <w:r>
              <w:rPr>
                <w:rFonts w:ascii="宋体" w:hAnsi="宋体" w:eastAsia="宋体" w:cs="宋体"/>
                <w:szCs w:val="21"/>
              </w:rPr>
              <w:t>2020年1月1日至今，获得过市政类科学技术类奖项：国家级的得</w:t>
            </w:r>
            <w:r>
              <w:rPr>
                <w:rFonts w:hint="eastAsia" w:ascii="宋体" w:hAnsi="宋体" w:eastAsia="宋体" w:cs="宋体"/>
                <w:szCs w:val="21"/>
              </w:rPr>
              <w:t>2</w:t>
            </w:r>
            <w:r>
              <w:rPr>
                <w:rFonts w:ascii="宋体" w:hAnsi="宋体" w:eastAsia="宋体" w:cs="宋体"/>
                <w:szCs w:val="21"/>
              </w:rPr>
              <w:t>分，省级的得</w:t>
            </w:r>
            <w:r>
              <w:rPr>
                <w:rFonts w:hint="eastAsia" w:ascii="宋体" w:hAnsi="宋体" w:eastAsia="宋体" w:cs="宋体"/>
                <w:szCs w:val="21"/>
              </w:rPr>
              <w:t>1</w:t>
            </w:r>
            <w:r>
              <w:rPr>
                <w:rFonts w:ascii="宋体" w:hAnsi="宋体" w:eastAsia="宋体" w:cs="宋体"/>
                <w:szCs w:val="21"/>
              </w:rPr>
              <w:t>分，市级（含副省级）奖项的得</w:t>
            </w:r>
            <w:r>
              <w:rPr>
                <w:rFonts w:hint="eastAsia" w:ascii="宋体" w:hAnsi="宋体" w:eastAsia="宋体" w:cs="宋体"/>
                <w:szCs w:val="21"/>
              </w:rPr>
              <w:t>0.5</w:t>
            </w:r>
            <w:r>
              <w:rPr>
                <w:rFonts w:ascii="宋体" w:hAnsi="宋体" w:eastAsia="宋体" w:cs="宋体"/>
                <w:szCs w:val="21"/>
              </w:rPr>
              <w:t>分，本小项最高得</w:t>
            </w:r>
            <w:r>
              <w:rPr>
                <w:rFonts w:hint="eastAsia" w:ascii="宋体" w:hAnsi="宋体" w:eastAsia="宋体" w:cs="宋体"/>
                <w:szCs w:val="21"/>
              </w:rPr>
              <w:t>14</w:t>
            </w:r>
            <w:r>
              <w:rPr>
                <w:rFonts w:ascii="宋体" w:hAnsi="宋体" w:eastAsia="宋体" w:cs="宋体"/>
                <w:szCs w:val="21"/>
              </w:rPr>
              <w:t>分。</w:t>
            </w:r>
          </w:p>
          <w:p w14:paraId="27134889">
            <w:pPr>
              <w:wordWrap w:val="0"/>
              <w:spacing w:line="276" w:lineRule="auto"/>
              <w:rPr>
                <w:rFonts w:ascii="宋体" w:hAnsi="宋体" w:eastAsia="宋体" w:cs="宋体"/>
                <w:color w:val="auto"/>
                <w:szCs w:val="21"/>
                <w:highlight w:val="none"/>
                <w:u w:val="single"/>
              </w:rPr>
            </w:pPr>
            <w:r>
              <w:rPr>
                <w:rFonts w:hint="eastAsia" w:ascii="宋体" w:hAnsi="宋体" w:eastAsia="宋体" w:cs="宋体"/>
                <w:b/>
                <w:szCs w:val="21"/>
                <w:u w:val="single"/>
              </w:rPr>
              <w:t>注：</w:t>
            </w:r>
            <w:r>
              <w:rPr>
                <w:rFonts w:hint="eastAsia" w:ascii="宋体" w:hAnsi="宋体" w:eastAsia="宋体" w:cs="宋体"/>
                <w:szCs w:val="21"/>
                <w:u w:val="single"/>
              </w:rPr>
              <w:t>须提供政府机构颁发的获奖证书。时间以获奖证书颁发的时间为准，只计算市政类科学技术类奖项。同一技术获奖，只按最高级别计算一次得分。</w:t>
            </w:r>
          </w:p>
        </w:tc>
      </w:tr>
      <w:tr w14:paraId="27A8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 w:type="pct"/>
            <w:vMerge w:val="continue"/>
            <w:vAlign w:val="center"/>
          </w:tcPr>
          <w:p w14:paraId="43BF6A23">
            <w:pPr>
              <w:wordWrap w:val="0"/>
              <w:spacing w:line="276" w:lineRule="auto"/>
              <w:rPr>
                <w:rFonts w:ascii="宋体" w:hAnsi="宋体" w:eastAsia="宋体" w:cs="Times New Roman"/>
                <w:color w:val="auto"/>
                <w:szCs w:val="21"/>
                <w:highlight w:val="none"/>
              </w:rPr>
            </w:pPr>
          </w:p>
        </w:tc>
        <w:tc>
          <w:tcPr>
            <w:tcW w:w="392" w:type="pct"/>
            <w:vMerge w:val="continue"/>
            <w:vAlign w:val="center"/>
          </w:tcPr>
          <w:p w14:paraId="09841598">
            <w:pPr>
              <w:wordWrap w:val="0"/>
              <w:spacing w:line="276" w:lineRule="auto"/>
              <w:rPr>
                <w:rFonts w:ascii="宋体" w:hAnsi="宋体" w:eastAsia="宋体" w:cs="Times New Roman"/>
                <w:color w:val="auto"/>
                <w:szCs w:val="21"/>
                <w:highlight w:val="none"/>
              </w:rPr>
            </w:pPr>
          </w:p>
        </w:tc>
        <w:tc>
          <w:tcPr>
            <w:tcW w:w="234" w:type="pct"/>
            <w:vMerge w:val="continue"/>
            <w:vAlign w:val="center"/>
          </w:tcPr>
          <w:p w14:paraId="1267110F">
            <w:pPr>
              <w:wordWrap w:val="0"/>
              <w:spacing w:line="276" w:lineRule="auto"/>
              <w:rPr>
                <w:rFonts w:ascii="宋体" w:hAnsi="宋体" w:eastAsia="宋体" w:cs="Times New Roman"/>
                <w:color w:val="auto"/>
                <w:szCs w:val="21"/>
                <w:highlight w:val="none"/>
              </w:rPr>
            </w:pPr>
          </w:p>
        </w:tc>
        <w:tc>
          <w:tcPr>
            <w:tcW w:w="11685" w:type="dxa"/>
            <w:vAlign w:val="center"/>
          </w:tcPr>
          <w:p w14:paraId="46470DF9">
            <w:pPr>
              <w:wordWrap w:val="0"/>
              <w:spacing w:line="276" w:lineRule="auto"/>
              <w:rPr>
                <w:rFonts w:ascii="宋体" w:hAnsi="宋体" w:eastAsia="宋体" w:cs="宋体"/>
                <w:b/>
                <w:szCs w:val="21"/>
              </w:rPr>
            </w:pPr>
            <w:r>
              <w:rPr>
                <w:rFonts w:hint="eastAsia" w:ascii="宋体" w:hAnsi="宋体" w:eastAsia="宋体" w:cs="宋体"/>
                <w:b/>
                <w:szCs w:val="21"/>
              </w:rPr>
              <w:t>信誉：</w:t>
            </w:r>
          </w:p>
          <w:p w14:paraId="38631173">
            <w:pPr>
              <w:wordWrap w:val="0"/>
              <w:spacing w:line="276" w:lineRule="auto"/>
              <w:rPr>
                <w:rFonts w:ascii="宋体" w:hAnsi="宋体" w:eastAsia="宋体" w:cs="宋体"/>
                <w:szCs w:val="21"/>
              </w:rPr>
            </w:pPr>
            <w:r>
              <w:rPr>
                <w:rFonts w:hint="eastAsia" w:ascii="宋体" w:hAnsi="宋体" w:eastAsia="宋体" w:cs="宋体"/>
                <w:szCs w:val="21"/>
              </w:rPr>
              <w:t>1.投标人</w:t>
            </w:r>
            <w:r>
              <w:rPr>
                <w:rFonts w:hint="eastAsia" w:ascii="宋体" w:hAnsi="宋体" w:eastAsia="宋体" w:cs="宋体"/>
                <w:szCs w:val="21"/>
                <w:u w:val="single"/>
              </w:rPr>
              <w:t>（若为联合体，指联合体主办方）</w:t>
            </w:r>
            <w:r>
              <w:rPr>
                <w:rFonts w:hint="eastAsia" w:ascii="宋体" w:hAnsi="宋体" w:eastAsia="宋体" w:cs="宋体"/>
                <w:szCs w:val="21"/>
              </w:rPr>
              <w:t>获得过市级或以上市政行业协会颁发的信用等级评价证书或诚信评价证书：获评AA</w:t>
            </w:r>
            <w:r>
              <w:rPr>
                <w:rFonts w:ascii="宋体" w:hAnsi="宋体" w:eastAsia="宋体" w:cs="宋体"/>
                <w:szCs w:val="21"/>
              </w:rPr>
              <w:t>A级或以上的，得</w:t>
            </w:r>
            <w:r>
              <w:rPr>
                <w:rFonts w:hint="eastAsia" w:ascii="宋体" w:hAnsi="宋体" w:eastAsia="宋体" w:cs="宋体"/>
                <w:szCs w:val="21"/>
              </w:rPr>
              <w:t>3</w:t>
            </w:r>
            <w:r>
              <w:rPr>
                <w:rFonts w:ascii="宋体" w:hAnsi="宋体" w:eastAsia="宋体" w:cs="宋体"/>
                <w:szCs w:val="21"/>
              </w:rPr>
              <w:t>分；获评</w:t>
            </w:r>
            <w:r>
              <w:rPr>
                <w:rFonts w:hint="eastAsia" w:ascii="宋体" w:hAnsi="宋体" w:eastAsia="宋体" w:cs="宋体"/>
                <w:szCs w:val="21"/>
              </w:rPr>
              <w:t>A</w:t>
            </w:r>
            <w:r>
              <w:rPr>
                <w:rFonts w:ascii="宋体" w:hAnsi="宋体" w:eastAsia="宋体" w:cs="宋体"/>
                <w:szCs w:val="21"/>
              </w:rPr>
              <w:t>A的，得</w:t>
            </w:r>
            <w:r>
              <w:rPr>
                <w:rFonts w:hint="eastAsia" w:ascii="宋体" w:hAnsi="宋体" w:eastAsia="宋体" w:cs="宋体"/>
                <w:szCs w:val="21"/>
              </w:rPr>
              <w:t>2</w:t>
            </w:r>
            <w:r>
              <w:rPr>
                <w:rFonts w:ascii="宋体" w:hAnsi="宋体" w:eastAsia="宋体" w:cs="宋体"/>
                <w:szCs w:val="21"/>
              </w:rPr>
              <w:t>分；获评A的，得</w:t>
            </w:r>
            <w:r>
              <w:rPr>
                <w:rFonts w:hint="eastAsia" w:ascii="宋体" w:hAnsi="宋体" w:eastAsia="宋体" w:cs="宋体"/>
                <w:szCs w:val="21"/>
              </w:rPr>
              <w:t>1</w:t>
            </w:r>
            <w:r>
              <w:rPr>
                <w:rFonts w:ascii="宋体" w:hAnsi="宋体" w:eastAsia="宋体" w:cs="宋体"/>
                <w:szCs w:val="21"/>
              </w:rPr>
              <w:t>分；本小项最高得</w:t>
            </w:r>
            <w:r>
              <w:rPr>
                <w:rFonts w:hint="eastAsia" w:ascii="宋体" w:hAnsi="宋体" w:eastAsia="宋体" w:cs="宋体"/>
                <w:szCs w:val="21"/>
              </w:rPr>
              <w:t>3</w:t>
            </w:r>
            <w:r>
              <w:rPr>
                <w:rFonts w:ascii="宋体" w:hAnsi="宋体" w:eastAsia="宋体" w:cs="宋体"/>
                <w:szCs w:val="21"/>
              </w:rPr>
              <w:t>分。</w:t>
            </w:r>
          </w:p>
          <w:p w14:paraId="152DC970">
            <w:pPr>
              <w:wordWrap w:val="0"/>
              <w:spacing w:line="276" w:lineRule="auto"/>
              <w:rPr>
                <w:rFonts w:ascii="宋体" w:hAnsi="宋体" w:eastAsia="宋体" w:cs="宋体"/>
                <w:szCs w:val="21"/>
                <w:u w:val="single"/>
              </w:rPr>
            </w:pPr>
            <w:r>
              <w:rPr>
                <w:rFonts w:hint="eastAsia" w:ascii="宋体" w:hAnsi="宋体" w:eastAsia="宋体" w:cs="宋体"/>
                <w:b/>
                <w:szCs w:val="21"/>
                <w:u w:val="single"/>
              </w:rPr>
              <w:t>注：</w:t>
            </w:r>
            <w:r>
              <w:rPr>
                <w:rFonts w:hint="eastAsia" w:ascii="宋体" w:hAnsi="宋体" w:eastAsia="宋体" w:cs="宋体"/>
                <w:szCs w:val="21"/>
                <w:u w:val="single"/>
              </w:rPr>
              <w:t>须提供有效期内的证书及证书颁发协会在中国社会组织政务服务平台</w:t>
            </w:r>
            <w:r>
              <w:rPr>
                <w:rFonts w:ascii="宋体" w:hAnsi="宋体" w:eastAsia="宋体" w:cs="宋体"/>
                <w:szCs w:val="21"/>
                <w:u w:val="single"/>
              </w:rPr>
              <w:t>(网址:https://chinanpo.mca.gov.cn/)“全国社会组织信用信息公示平台”栏查询结果截图，查询结果“状态”栏必须为“正常”。企业获评等级级别判定以评价证书颁发协会相关评价办法为准，须提供评价证书颁发协会官方网站发布评价办法的网页链接或评价办法官方红头文件扫描件。只按最高级别计算一次得分。</w:t>
            </w:r>
          </w:p>
          <w:p w14:paraId="52F87361">
            <w:pPr>
              <w:wordWrap w:val="0"/>
              <w:spacing w:line="276" w:lineRule="auto"/>
              <w:rPr>
                <w:rFonts w:ascii="宋体" w:hAnsi="宋体" w:eastAsia="宋体" w:cs="宋体"/>
                <w:szCs w:val="21"/>
                <w:u w:val="single"/>
              </w:rPr>
            </w:pPr>
            <w:r>
              <w:rPr>
                <w:rFonts w:hint="eastAsia" w:ascii="宋体" w:hAnsi="宋体" w:eastAsia="宋体" w:cs="宋体"/>
                <w:szCs w:val="21"/>
                <w:u w:val="single"/>
              </w:rPr>
              <w:t>2.</w:t>
            </w:r>
            <w:r>
              <w:rPr>
                <w:rFonts w:hint="eastAsia" w:ascii="宋体" w:hAnsi="宋体" w:eastAsia="宋体" w:cs="宋体"/>
                <w:szCs w:val="21"/>
              </w:rPr>
              <w:t>投标人</w:t>
            </w:r>
            <w:r>
              <w:rPr>
                <w:rFonts w:hint="eastAsia" w:ascii="宋体" w:hAnsi="宋体" w:eastAsia="宋体" w:cs="宋体"/>
                <w:szCs w:val="21"/>
                <w:u w:val="single"/>
              </w:rPr>
              <w:t>（若为联合体，指联合体主办方）同时具有有效的职业健康安全管理体系认证、环境管理体系认证、质量管理体系认证，得3分，具有其中2项，得2分，具有其中1项，得1分。本项最高得3分。</w:t>
            </w:r>
          </w:p>
          <w:p w14:paraId="73ECAE4D">
            <w:pPr>
              <w:wordWrap w:val="0"/>
              <w:spacing w:line="276" w:lineRule="auto"/>
              <w:rPr>
                <w:rFonts w:ascii="宋体" w:hAnsi="宋体" w:eastAsia="宋体" w:cs="宋体"/>
                <w:color w:val="auto"/>
                <w:szCs w:val="21"/>
                <w:highlight w:val="none"/>
                <w:u w:val="single"/>
              </w:rPr>
            </w:pPr>
            <w:r>
              <w:rPr>
                <w:rFonts w:hint="eastAsia" w:ascii="宋体" w:hAnsi="宋体" w:eastAsia="宋体" w:cs="宋体"/>
                <w:szCs w:val="21"/>
                <w:u w:val="single"/>
              </w:rPr>
              <w:t>注：须同时提供以下两项证明材料方能得分：①有效的相关证书复印件；②从本项目招标公告发布之日起，相关证书在中国国家认证认可监督管理委员会官网（http://www.cnca.gov.cn/）上查证到显示“有效”状态的网页截图。证明材料须加盖投标人公章。</w:t>
            </w:r>
          </w:p>
        </w:tc>
      </w:tr>
      <w:tr w14:paraId="796C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pct"/>
            <w:gridSpan w:val="2"/>
            <w:vAlign w:val="center"/>
          </w:tcPr>
          <w:p w14:paraId="70CF2FC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34" w:type="pct"/>
            <w:vAlign w:val="center"/>
          </w:tcPr>
          <w:p w14:paraId="00448A9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4141" w:type="pct"/>
            <w:vAlign w:val="center"/>
          </w:tcPr>
          <w:p w14:paraId="19A3082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42A9D028">
      <w:pPr>
        <w:wordWrap w:val="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注：本表按百分制评分，所有评委分数汇总后的算术平均值为投标人的得分。分数出现小数点，保留小数点后两位小数，第三位小数四舍五入。</w:t>
      </w:r>
    </w:p>
    <w:p w14:paraId="6630AC44">
      <w:pPr>
        <w:wordWrap w:val="0"/>
        <w:ind w:firstLine="420" w:firstLineChars="200"/>
        <w:rPr>
          <w:rFonts w:ascii="宋体" w:hAnsi="宋体" w:eastAsia="宋体" w:cs="宋体"/>
          <w:color w:val="auto"/>
          <w:szCs w:val="21"/>
          <w:highlight w:val="none"/>
        </w:rPr>
        <w:sectPr>
          <w:pgSz w:w="16838" w:h="11905" w:orient="landscape"/>
          <w:pgMar w:top="1281" w:right="1474" w:bottom="1701" w:left="1474" w:header="720" w:footer="720" w:gutter="0"/>
          <w:cols w:space="720" w:num="1"/>
        </w:sectPr>
      </w:pPr>
    </w:p>
    <w:p w14:paraId="1E0DC7FE">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14:paraId="11BE1EC9">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技术文件评分表</w:t>
      </w:r>
    </w:p>
    <w:tbl>
      <w:tblPr>
        <w:tblStyle w:val="4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6"/>
        <w:gridCol w:w="1828"/>
        <w:gridCol w:w="948"/>
        <w:gridCol w:w="10208"/>
      </w:tblGrid>
      <w:tr w14:paraId="659F5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bottom w:val="single" w:color="auto" w:sz="6" w:space="0"/>
              <w:right w:val="single" w:color="auto" w:sz="6" w:space="0"/>
            </w:tcBorders>
            <w:vAlign w:val="center"/>
          </w:tcPr>
          <w:p w14:paraId="1D3CE6B0">
            <w:pPr>
              <w:topLinePunct/>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序号</w:t>
            </w:r>
          </w:p>
        </w:tc>
        <w:tc>
          <w:tcPr>
            <w:tcW w:w="647" w:type="pct"/>
            <w:tcBorders>
              <w:top w:val="single" w:color="auto" w:sz="6" w:space="0"/>
              <w:left w:val="single" w:color="auto" w:sz="6" w:space="0"/>
              <w:bottom w:val="single" w:color="auto" w:sz="6" w:space="0"/>
              <w:right w:val="single" w:color="auto" w:sz="6" w:space="0"/>
            </w:tcBorders>
            <w:vAlign w:val="center"/>
          </w:tcPr>
          <w:p w14:paraId="26D25084">
            <w:pPr>
              <w:wordWrap w:val="0"/>
              <w:topLinePunct/>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项目</w:t>
            </w:r>
          </w:p>
        </w:tc>
        <w:tc>
          <w:tcPr>
            <w:tcW w:w="336" w:type="pct"/>
            <w:tcBorders>
              <w:top w:val="single" w:color="auto" w:sz="6" w:space="0"/>
              <w:left w:val="single" w:color="auto" w:sz="6" w:space="0"/>
              <w:bottom w:val="single" w:color="auto" w:sz="6" w:space="0"/>
              <w:right w:val="single" w:color="auto" w:sz="6" w:space="0"/>
            </w:tcBorders>
            <w:vAlign w:val="center"/>
          </w:tcPr>
          <w:p w14:paraId="15F9B0FB">
            <w:pPr>
              <w:wordWrap w:val="0"/>
              <w:topLinePunct/>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分值</w:t>
            </w:r>
          </w:p>
        </w:tc>
        <w:tc>
          <w:tcPr>
            <w:tcW w:w="3619" w:type="pct"/>
            <w:tcBorders>
              <w:top w:val="single" w:color="auto" w:sz="6" w:space="0"/>
              <w:left w:val="single" w:color="auto" w:sz="6" w:space="0"/>
              <w:bottom w:val="single" w:color="auto" w:sz="6" w:space="0"/>
              <w:right w:val="single" w:color="auto" w:sz="6" w:space="0"/>
            </w:tcBorders>
            <w:vAlign w:val="center"/>
          </w:tcPr>
          <w:p w14:paraId="691E4E9A">
            <w:pPr>
              <w:wordWrap w:val="0"/>
              <w:topLinePunct/>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内</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容</w:t>
            </w:r>
          </w:p>
        </w:tc>
      </w:tr>
      <w:tr w14:paraId="6D8C3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bottom w:val="single" w:color="auto" w:sz="6" w:space="0"/>
              <w:right w:val="single" w:color="auto" w:sz="6" w:space="0"/>
            </w:tcBorders>
            <w:vAlign w:val="center"/>
          </w:tcPr>
          <w:p w14:paraId="5491BAB4">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一</w:t>
            </w:r>
          </w:p>
        </w:tc>
        <w:tc>
          <w:tcPr>
            <w:tcW w:w="1828" w:type="dxa"/>
            <w:tcBorders>
              <w:top w:val="single" w:color="auto" w:sz="6" w:space="0"/>
              <w:left w:val="single" w:color="auto" w:sz="6" w:space="0"/>
              <w:bottom w:val="single" w:color="auto" w:sz="6" w:space="0"/>
              <w:right w:val="single" w:color="auto" w:sz="6" w:space="0"/>
            </w:tcBorders>
            <w:shd w:val="clear" w:color="auto" w:fill="auto"/>
            <w:vAlign w:val="center"/>
          </w:tcPr>
          <w:p w14:paraId="611628A5">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项目</w:t>
            </w:r>
            <w:r>
              <w:rPr>
                <w:rFonts w:ascii="宋体" w:hAnsi="宋体" w:eastAsia="宋体" w:cs="Times New Roman"/>
                <w:szCs w:val="21"/>
              </w:rPr>
              <w:t>的理解和把握</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14:paraId="056A24B7">
            <w:pPr>
              <w:wordWrap w:val="0"/>
              <w:spacing w:line="276" w:lineRule="auto"/>
              <w:jc w:val="center"/>
              <w:rPr>
                <w:rFonts w:ascii="宋体" w:hAnsi="宋体" w:eastAsia="宋体" w:cs="Times New Roman"/>
                <w:color w:val="auto"/>
                <w:szCs w:val="21"/>
                <w:highlight w:val="none"/>
              </w:rPr>
            </w:pPr>
            <w:r>
              <w:rPr>
                <w:rFonts w:ascii="宋体" w:hAnsi="宋体" w:eastAsia="宋体" w:cs="Times New Roman"/>
                <w:szCs w:val="21"/>
              </w:rPr>
              <w:t>15</w:t>
            </w:r>
          </w:p>
        </w:tc>
        <w:tc>
          <w:tcPr>
            <w:tcW w:w="10208" w:type="dxa"/>
            <w:tcBorders>
              <w:top w:val="single" w:color="auto" w:sz="6" w:space="0"/>
              <w:left w:val="single" w:color="auto" w:sz="6" w:space="0"/>
              <w:bottom w:val="single" w:color="auto" w:sz="6" w:space="0"/>
              <w:right w:val="single" w:color="auto" w:sz="6" w:space="0"/>
            </w:tcBorders>
            <w:shd w:val="clear" w:color="auto" w:fill="auto"/>
            <w:vAlign w:val="center"/>
          </w:tcPr>
          <w:p w14:paraId="78363C5C">
            <w:pPr>
              <w:wordWrap w:val="0"/>
              <w:spacing w:line="276" w:lineRule="auto"/>
              <w:jc w:val="left"/>
              <w:rPr>
                <w:rFonts w:ascii="宋体" w:hAnsi="宋体" w:eastAsia="宋体" w:cs="Times New Roman"/>
                <w:color w:val="auto"/>
                <w:szCs w:val="21"/>
                <w:highlight w:val="none"/>
                <w:u w:val="single"/>
              </w:rPr>
            </w:pPr>
            <w:r>
              <w:rPr>
                <w:rFonts w:hint="eastAsia" w:ascii="宋体" w:hAnsi="宋体" w:eastAsia="宋体" w:cs="宋体"/>
                <w:b/>
                <w:bCs/>
                <w:kern w:val="1"/>
                <w:szCs w:val="21"/>
              </w:rPr>
              <w:t>整个设计内容符合招标文件要求，</w:t>
            </w:r>
            <w:r>
              <w:rPr>
                <w:rFonts w:hint="eastAsia" w:ascii="宋体" w:hAnsi="宋体" w:eastAsia="宋体" w:cs="宋体"/>
                <w:b/>
                <w:bCs/>
                <w:szCs w:val="21"/>
              </w:rPr>
              <w:t>文件包含相关总说明和附图的得</w:t>
            </w:r>
            <w:r>
              <w:rPr>
                <w:rFonts w:ascii="宋体" w:hAnsi="宋体" w:eastAsia="宋体" w:cs="宋体"/>
                <w:b/>
                <w:bCs/>
                <w:szCs w:val="21"/>
              </w:rPr>
              <w:t>10</w:t>
            </w:r>
            <w:r>
              <w:rPr>
                <w:rFonts w:hint="eastAsia" w:ascii="宋体" w:hAnsi="宋体" w:eastAsia="宋体" w:cs="宋体"/>
                <w:b/>
                <w:bCs/>
                <w:szCs w:val="21"/>
              </w:rPr>
              <w:t>分；</w:t>
            </w:r>
            <w:r>
              <w:rPr>
                <w:rFonts w:hint="eastAsia" w:ascii="宋体" w:hAnsi="宋体" w:eastAsia="宋体" w:cs="宋体"/>
                <w:kern w:val="1"/>
                <w:szCs w:val="21"/>
              </w:rPr>
              <w:t>其中专业齐全，内容全面，建设规模与技术标准把握准确，设计总说明书文字表达清楚、思路清晰、重点和难点突出；</w:t>
            </w:r>
            <w:r>
              <w:rPr>
                <w:rFonts w:hint="eastAsia" w:ascii="宋体" w:hAnsi="宋体" w:eastAsia="宋体" w:cs="宋体"/>
                <w:b/>
                <w:kern w:val="1"/>
                <w:szCs w:val="21"/>
                <w:u w:val="single"/>
              </w:rPr>
              <w:t>优得</w:t>
            </w:r>
            <w:r>
              <w:rPr>
                <w:rFonts w:ascii="宋体" w:hAnsi="宋体" w:eastAsia="宋体" w:cs="宋体"/>
                <w:b/>
                <w:kern w:val="1"/>
                <w:szCs w:val="21"/>
                <w:u w:val="single"/>
              </w:rPr>
              <w:t>5</w:t>
            </w:r>
            <w:r>
              <w:rPr>
                <w:rFonts w:hint="eastAsia" w:ascii="宋体" w:hAnsi="宋体" w:eastAsia="宋体" w:cs="宋体"/>
                <w:b/>
                <w:kern w:val="1"/>
                <w:szCs w:val="21"/>
                <w:u w:val="single"/>
              </w:rPr>
              <w:t>分，良得</w:t>
            </w:r>
            <w:r>
              <w:rPr>
                <w:rFonts w:ascii="宋体" w:hAnsi="宋体" w:eastAsia="宋体" w:cs="宋体"/>
                <w:b/>
                <w:kern w:val="1"/>
                <w:szCs w:val="21"/>
                <w:u w:val="single"/>
              </w:rPr>
              <w:t>4</w:t>
            </w:r>
            <w:r>
              <w:rPr>
                <w:rFonts w:hint="eastAsia" w:ascii="宋体" w:hAnsi="宋体" w:eastAsia="宋体" w:cs="宋体"/>
                <w:b/>
                <w:kern w:val="1"/>
                <w:szCs w:val="21"/>
                <w:u w:val="single"/>
              </w:rPr>
              <w:t>分，中得</w:t>
            </w:r>
            <w:r>
              <w:rPr>
                <w:rFonts w:ascii="宋体" w:hAnsi="宋体" w:eastAsia="宋体" w:cs="宋体"/>
                <w:b/>
                <w:kern w:val="1"/>
                <w:szCs w:val="21"/>
                <w:u w:val="single"/>
              </w:rPr>
              <w:t>3</w:t>
            </w:r>
            <w:r>
              <w:rPr>
                <w:rFonts w:hint="eastAsia" w:ascii="宋体" w:hAnsi="宋体" w:eastAsia="宋体" w:cs="宋体"/>
                <w:b/>
                <w:kern w:val="1"/>
                <w:szCs w:val="21"/>
                <w:u w:val="single"/>
              </w:rPr>
              <w:t>分，无体现则不得分。</w:t>
            </w:r>
          </w:p>
        </w:tc>
      </w:tr>
      <w:tr w14:paraId="72074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bottom w:val="single" w:color="auto" w:sz="6" w:space="0"/>
              <w:right w:val="single" w:color="auto" w:sz="6" w:space="0"/>
            </w:tcBorders>
            <w:vAlign w:val="center"/>
          </w:tcPr>
          <w:p w14:paraId="58B264F7">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828" w:type="dxa"/>
            <w:tcBorders>
              <w:top w:val="single" w:color="auto" w:sz="6" w:space="0"/>
              <w:left w:val="single" w:color="auto" w:sz="6" w:space="0"/>
              <w:bottom w:val="single" w:color="auto" w:sz="6" w:space="0"/>
              <w:right w:val="single" w:color="auto" w:sz="6" w:space="0"/>
            </w:tcBorders>
            <w:shd w:val="clear" w:color="auto" w:fill="auto"/>
            <w:vAlign w:val="center"/>
          </w:tcPr>
          <w:p w14:paraId="0BB24FEB">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现状调研和分析</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14:paraId="21B51121">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20</w:t>
            </w:r>
          </w:p>
        </w:tc>
        <w:tc>
          <w:tcPr>
            <w:tcW w:w="10208" w:type="dxa"/>
            <w:tcBorders>
              <w:top w:val="single" w:color="auto" w:sz="6" w:space="0"/>
              <w:left w:val="single" w:color="auto" w:sz="6" w:space="0"/>
              <w:bottom w:val="single" w:color="auto" w:sz="6" w:space="0"/>
              <w:right w:val="single" w:color="auto" w:sz="6" w:space="0"/>
            </w:tcBorders>
            <w:shd w:val="clear" w:color="auto" w:fill="auto"/>
            <w:vAlign w:val="center"/>
          </w:tcPr>
          <w:p w14:paraId="4B5A9076">
            <w:pPr>
              <w:spacing w:line="276" w:lineRule="auto"/>
              <w:rPr>
                <w:rFonts w:ascii="宋体" w:hAnsi="宋体" w:eastAsia="宋体" w:cs="宋体"/>
                <w:color w:val="auto"/>
                <w:kern w:val="1"/>
                <w:szCs w:val="21"/>
                <w:highlight w:val="none"/>
              </w:rPr>
            </w:pPr>
            <w:r>
              <w:rPr>
                <w:rFonts w:hint="eastAsia" w:ascii="宋体" w:hAnsi="宋体" w:eastAsia="宋体" w:cs="宋体"/>
                <w:b/>
                <w:bCs/>
                <w:szCs w:val="21"/>
              </w:rPr>
              <w:t>有对现状及规划用地情况、现状交通条件、现状地形地貌、水文情况进行调查的得1</w:t>
            </w:r>
            <w:r>
              <w:rPr>
                <w:rFonts w:ascii="宋体" w:hAnsi="宋体" w:eastAsia="宋体" w:cs="宋体"/>
                <w:b/>
                <w:bCs/>
                <w:szCs w:val="21"/>
              </w:rPr>
              <w:t>5</w:t>
            </w:r>
            <w:r>
              <w:rPr>
                <w:rFonts w:hint="eastAsia" w:ascii="宋体" w:hAnsi="宋体" w:eastAsia="宋体" w:cs="宋体"/>
                <w:b/>
                <w:bCs/>
                <w:szCs w:val="21"/>
              </w:rPr>
              <w:t>分；</w:t>
            </w:r>
            <w:r>
              <w:rPr>
                <w:rFonts w:hint="eastAsia" w:ascii="宋体" w:hAnsi="宋体" w:eastAsia="宋体" w:cs="宋体"/>
                <w:szCs w:val="21"/>
              </w:rPr>
              <w:t>其中对现状及规划用地情况、现状交通条件、现状地形地貌、水文情况调查比较充分，对现状构建筑物、场地竖向情况调查充分、准确，对周边在建拟建道路情况、现状及规划管线情况充分掌握，资料详实可靠；</w:t>
            </w:r>
            <w:r>
              <w:rPr>
                <w:rFonts w:hint="eastAsia" w:ascii="宋体" w:hAnsi="宋体" w:eastAsia="宋体" w:cs="宋体"/>
                <w:b/>
                <w:bCs/>
                <w:szCs w:val="21"/>
                <w:u w:val="single"/>
              </w:rPr>
              <w:t>优得5分，良得</w:t>
            </w:r>
            <w:r>
              <w:rPr>
                <w:rFonts w:ascii="宋体" w:hAnsi="宋体" w:eastAsia="宋体" w:cs="宋体"/>
                <w:b/>
                <w:bCs/>
                <w:szCs w:val="21"/>
                <w:u w:val="single"/>
              </w:rPr>
              <w:t>4</w:t>
            </w:r>
            <w:r>
              <w:rPr>
                <w:rFonts w:hint="eastAsia" w:ascii="宋体" w:hAnsi="宋体" w:eastAsia="宋体" w:cs="宋体"/>
                <w:b/>
                <w:bCs/>
                <w:szCs w:val="21"/>
                <w:u w:val="single"/>
              </w:rPr>
              <w:t>分，中得</w:t>
            </w:r>
            <w:r>
              <w:rPr>
                <w:rFonts w:ascii="宋体" w:hAnsi="宋体" w:eastAsia="宋体" w:cs="宋体"/>
                <w:b/>
                <w:bCs/>
                <w:szCs w:val="21"/>
                <w:u w:val="single"/>
              </w:rPr>
              <w:t>3</w:t>
            </w:r>
            <w:r>
              <w:rPr>
                <w:rFonts w:hint="eastAsia" w:ascii="宋体" w:hAnsi="宋体" w:eastAsia="宋体" w:cs="宋体"/>
                <w:b/>
                <w:bCs/>
                <w:szCs w:val="21"/>
                <w:u w:val="single"/>
              </w:rPr>
              <w:t>分，</w:t>
            </w:r>
            <w:r>
              <w:rPr>
                <w:rFonts w:hint="eastAsia" w:ascii="宋体" w:hAnsi="宋体" w:eastAsia="宋体" w:cs="宋体"/>
                <w:b/>
                <w:bCs/>
                <w:kern w:val="1"/>
                <w:szCs w:val="21"/>
                <w:u w:val="single"/>
              </w:rPr>
              <w:t>无体现则不得分。</w:t>
            </w:r>
          </w:p>
        </w:tc>
      </w:tr>
      <w:tr w14:paraId="1555B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vMerge w:val="restart"/>
            <w:tcBorders>
              <w:top w:val="single" w:color="auto" w:sz="6" w:space="0"/>
              <w:left w:val="single" w:color="auto" w:sz="6" w:space="0"/>
              <w:right w:val="single" w:color="auto" w:sz="6" w:space="0"/>
            </w:tcBorders>
            <w:vAlign w:val="center"/>
          </w:tcPr>
          <w:p w14:paraId="00194FFB">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1828" w:type="dxa"/>
            <w:vMerge w:val="restart"/>
            <w:tcBorders>
              <w:top w:val="single" w:color="auto" w:sz="6" w:space="0"/>
              <w:left w:val="single" w:color="auto" w:sz="6" w:space="0"/>
              <w:right w:val="single" w:color="auto" w:sz="6" w:space="0"/>
            </w:tcBorders>
            <w:shd w:val="clear" w:color="auto" w:fill="auto"/>
            <w:vAlign w:val="center"/>
          </w:tcPr>
          <w:p w14:paraId="3B8C0BD1">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设计方案</w:t>
            </w:r>
          </w:p>
        </w:tc>
        <w:tc>
          <w:tcPr>
            <w:tcW w:w="948" w:type="dxa"/>
            <w:vMerge w:val="restart"/>
            <w:tcBorders>
              <w:top w:val="single" w:color="auto" w:sz="6" w:space="0"/>
              <w:left w:val="single" w:color="auto" w:sz="6" w:space="0"/>
              <w:right w:val="single" w:color="auto" w:sz="6" w:space="0"/>
            </w:tcBorders>
            <w:shd w:val="clear" w:color="auto" w:fill="auto"/>
            <w:vAlign w:val="center"/>
          </w:tcPr>
          <w:p w14:paraId="5499E7D4">
            <w:pPr>
              <w:wordWrap w:val="0"/>
              <w:spacing w:line="276" w:lineRule="auto"/>
              <w:jc w:val="center"/>
              <w:rPr>
                <w:rFonts w:ascii="宋体" w:hAnsi="宋体" w:eastAsia="宋体" w:cs="Times New Roman"/>
                <w:color w:val="auto"/>
                <w:szCs w:val="21"/>
                <w:highlight w:val="none"/>
              </w:rPr>
            </w:pPr>
            <w:r>
              <w:rPr>
                <w:rFonts w:ascii="宋体" w:hAnsi="宋体" w:eastAsia="宋体" w:cs="Times New Roman"/>
                <w:szCs w:val="21"/>
              </w:rPr>
              <w:t>40</w:t>
            </w:r>
          </w:p>
        </w:tc>
        <w:tc>
          <w:tcPr>
            <w:tcW w:w="10208" w:type="dxa"/>
            <w:tcBorders>
              <w:top w:val="single" w:color="auto" w:sz="6" w:space="0"/>
              <w:left w:val="single" w:color="auto" w:sz="6" w:space="0"/>
              <w:bottom w:val="single" w:color="auto" w:sz="4" w:space="0"/>
              <w:right w:val="single" w:color="auto" w:sz="6" w:space="0"/>
            </w:tcBorders>
            <w:shd w:val="clear" w:color="auto" w:fill="auto"/>
            <w:vAlign w:val="center"/>
          </w:tcPr>
          <w:p w14:paraId="4885EDE9">
            <w:pPr>
              <w:wordWrap w:val="0"/>
              <w:spacing w:line="276" w:lineRule="auto"/>
              <w:jc w:val="left"/>
              <w:rPr>
                <w:rFonts w:ascii="宋体" w:hAnsi="宋体" w:eastAsia="宋体" w:cs="Times New Roman"/>
                <w:color w:val="auto"/>
                <w:szCs w:val="21"/>
                <w:highlight w:val="none"/>
                <w:u w:val="single"/>
              </w:rPr>
            </w:pPr>
            <w:r>
              <w:rPr>
                <w:rFonts w:hint="eastAsia" w:ascii="宋体" w:hAnsi="宋体" w:eastAsia="宋体" w:cs="宋体"/>
                <w:b/>
                <w:bCs/>
                <w:szCs w:val="21"/>
              </w:rPr>
              <w:t>主体工程方案设计完整，总体设计方案合理，有契合总体设计方案的路基路面设计、交通组织设计及相关必要的设计元素的得</w:t>
            </w:r>
            <w:r>
              <w:rPr>
                <w:rFonts w:ascii="宋体" w:hAnsi="宋体" w:eastAsia="宋体" w:cs="宋体"/>
                <w:b/>
                <w:bCs/>
                <w:szCs w:val="21"/>
              </w:rPr>
              <w:t>15</w:t>
            </w:r>
            <w:r>
              <w:rPr>
                <w:rFonts w:hint="eastAsia" w:ascii="宋体" w:hAnsi="宋体" w:eastAsia="宋体" w:cs="宋体"/>
                <w:b/>
                <w:bCs/>
                <w:szCs w:val="21"/>
              </w:rPr>
              <w:t>分；</w:t>
            </w:r>
            <w:r>
              <w:rPr>
                <w:rFonts w:hint="eastAsia" w:ascii="宋体" w:hAnsi="宋体" w:eastAsia="宋体" w:cs="宋体"/>
                <w:szCs w:val="21"/>
              </w:rPr>
              <w:t>其中方案设计思路清晰、依据充分、科学合理，交通组织方案与交通需求契合、合理，路基路面设计与现状条件契合，且安全、经济、详实；</w:t>
            </w:r>
            <w:r>
              <w:rPr>
                <w:rFonts w:hint="eastAsia" w:ascii="宋体" w:hAnsi="宋体" w:eastAsia="宋体" w:cs="宋体"/>
                <w:b/>
                <w:kern w:val="1"/>
                <w:szCs w:val="21"/>
                <w:u w:val="single"/>
              </w:rPr>
              <w:t>优得</w:t>
            </w:r>
            <w:r>
              <w:rPr>
                <w:rFonts w:ascii="宋体" w:hAnsi="宋体" w:eastAsia="宋体" w:cs="宋体"/>
                <w:b/>
                <w:kern w:val="1"/>
                <w:szCs w:val="21"/>
                <w:u w:val="single"/>
              </w:rPr>
              <w:t>5</w:t>
            </w:r>
            <w:r>
              <w:rPr>
                <w:rFonts w:hint="eastAsia" w:ascii="宋体" w:hAnsi="宋体" w:eastAsia="宋体" w:cs="宋体"/>
                <w:b/>
                <w:kern w:val="1"/>
                <w:szCs w:val="21"/>
                <w:u w:val="single"/>
              </w:rPr>
              <w:t>分，良得</w:t>
            </w:r>
            <w:r>
              <w:rPr>
                <w:rFonts w:ascii="宋体" w:hAnsi="宋体" w:eastAsia="宋体" w:cs="宋体"/>
                <w:b/>
                <w:kern w:val="1"/>
                <w:szCs w:val="21"/>
                <w:u w:val="single"/>
              </w:rPr>
              <w:t>4</w:t>
            </w:r>
            <w:r>
              <w:rPr>
                <w:rFonts w:hint="eastAsia" w:ascii="宋体" w:hAnsi="宋体" w:eastAsia="宋体" w:cs="宋体"/>
                <w:b/>
                <w:kern w:val="1"/>
                <w:szCs w:val="21"/>
                <w:u w:val="single"/>
              </w:rPr>
              <w:t>分，中得</w:t>
            </w:r>
            <w:r>
              <w:rPr>
                <w:rFonts w:ascii="宋体" w:hAnsi="宋体" w:eastAsia="宋体" w:cs="宋体"/>
                <w:b/>
                <w:kern w:val="1"/>
                <w:szCs w:val="21"/>
                <w:u w:val="single"/>
              </w:rPr>
              <w:t>3</w:t>
            </w:r>
            <w:r>
              <w:rPr>
                <w:rFonts w:hint="eastAsia" w:ascii="宋体" w:hAnsi="宋体" w:eastAsia="宋体" w:cs="宋体"/>
                <w:b/>
                <w:kern w:val="1"/>
                <w:szCs w:val="21"/>
                <w:u w:val="single"/>
              </w:rPr>
              <w:t>分，无体现则不得分。</w:t>
            </w:r>
          </w:p>
        </w:tc>
      </w:tr>
      <w:tr w14:paraId="2DD4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vMerge w:val="continue"/>
            <w:tcBorders>
              <w:left w:val="single" w:color="auto" w:sz="6" w:space="0"/>
              <w:bottom w:val="single" w:color="auto" w:sz="6" w:space="0"/>
              <w:right w:val="single" w:color="auto" w:sz="6" w:space="0"/>
            </w:tcBorders>
            <w:vAlign w:val="center"/>
          </w:tcPr>
          <w:p w14:paraId="29015B94">
            <w:pPr>
              <w:wordWrap w:val="0"/>
              <w:topLinePunct/>
              <w:spacing w:line="276" w:lineRule="auto"/>
              <w:jc w:val="center"/>
              <w:rPr>
                <w:rFonts w:ascii="宋体" w:hAnsi="宋体" w:eastAsia="宋体" w:cs="宋体"/>
                <w:color w:val="auto"/>
                <w:szCs w:val="21"/>
                <w:highlight w:val="none"/>
              </w:rPr>
            </w:pPr>
          </w:p>
        </w:tc>
        <w:tc>
          <w:tcPr>
            <w:tcW w:w="1828" w:type="dxa"/>
            <w:vMerge w:val="continue"/>
            <w:tcBorders>
              <w:left w:val="single" w:color="auto" w:sz="6" w:space="0"/>
              <w:bottom w:val="single" w:color="auto" w:sz="6" w:space="0"/>
              <w:right w:val="single" w:color="auto" w:sz="6" w:space="0"/>
            </w:tcBorders>
            <w:shd w:val="clear" w:color="auto" w:fill="auto"/>
            <w:vAlign w:val="center"/>
          </w:tcPr>
          <w:p w14:paraId="5272AA30">
            <w:pPr>
              <w:wordWrap w:val="0"/>
              <w:spacing w:line="276" w:lineRule="auto"/>
              <w:jc w:val="center"/>
              <w:rPr>
                <w:rFonts w:ascii="宋体" w:hAnsi="宋体" w:eastAsia="宋体" w:cs="Times New Roman"/>
                <w:color w:val="auto"/>
                <w:szCs w:val="21"/>
                <w:highlight w:val="none"/>
              </w:rPr>
            </w:pPr>
          </w:p>
        </w:tc>
        <w:tc>
          <w:tcPr>
            <w:tcW w:w="948" w:type="dxa"/>
            <w:vMerge w:val="continue"/>
            <w:tcBorders>
              <w:left w:val="single" w:color="auto" w:sz="6" w:space="0"/>
              <w:bottom w:val="single" w:color="auto" w:sz="6" w:space="0"/>
              <w:right w:val="single" w:color="auto" w:sz="6" w:space="0"/>
            </w:tcBorders>
            <w:shd w:val="clear" w:color="auto" w:fill="auto"/>
            <w:vAlign w:val="center"/>
          </w:tcPr>
          <w:p w14:paraId="6D640DC4">
            <w:pPr>
              <w:wordWrap w:val="0"/>
              <w:spacing w:line="276" w:lineRule="auto"/>
              <w:jc w:val="center"/>
              <w:rPr>
                <w:rFonts w:ascii="宋体" w:hAnsi="宋体" w:eastAsia="宋体" w:cs="Times New Roman"/>
                <w:color w:val="auto"/>
                <w:szCs w:val="21"/>
                <w:highlight w:val="none"/>
              </w:rPr>
            </w:pPr>
          </w:p>
        </w:tc>
        <w:tc>
          <w:tcPr>
            <w:tcW w:w="10208" w:type="dxa"/>
            <w:tcBorders>
              <w:top w:val="single" w:color="auto" w:sz="4" w:space="0"/>
              <w:left w:val="single" w:color="auto" w:sz="6" w:space="0"/>
              <w:bottom w:val="single" w:color="auto" w:sz="6" w:space="0"/>
              <w:right w:val="single" w:color="auto" w:sz="6" w:space="0"/>
            </w:tcBorders>
            <w:shd w:val="clear" w:color="auto" w:fill="auto"/>
            <w:vAlign w:val="center"/>
          </w:tcPr>
          <w:p w14:paraId="7C0066D3">
            <w:pPr>
              <w:wordWrap w:val="0"/>
              <w:spacing w:line="276" w:lineRule="auto"/>
              <w:jc w:val="left"/>
              <w:rPr>
                <w:rFonts w:ascii="宋体" w:hAnsi="宋体" w:eastAsia="宋体" w:cs="宋体"/>
                <w:color w:val="auto"/>
                <w:szCs w:val="21"/>
                <w:highlight w:val="none"/>
              </w:rPr>
            </w:pPr>
            <w:r>
              <w:rPr>
                <w:rFonts w:hint="eastAsia" w:ascii="宋体" w:hAnsi="宋体" w:eastAsia="宋体"/>
                <w:b/>
                <w:bCs/>
                <w:szCs w:val="21"/>
                <w:lang w:val="zh-CN"/>
              </w:rPr>
              <w:t>给水排水照明电力等工程方案完整，有</w:t>
            </w:r>
            <w:r>
              <w:rPr>
                <w:rFonts w:hint="eastAsia" w:ascii="宋体" w:hAnsi="宋体" w:eastAsia="宋体"/>
                <w:b/>
                <w:bCs/>
                <w:szCs w:val="21"/>
              </w:rPr>
              <w:t>综合管线布置系统的得1</w:t>
            </w:r>
            <w:r>
              <w:rPr>
                <w:rFonts w:ascii="宋体" w:hAnsi="宋体" w:eastAsia="宋体"/>
                <w:b/>
                <w:bCs/>
                <w:szCs w:val="21"/>
              </w:rPr>
              <w:t>5</w:t>
            </w:r>
            <w:r>
              <w:rPr>
                <w:rFonts w:hint="eastAsia" w:ascii="宋体" w:hAnsi="宋体" w:eastAsia="宋体"/>
                <w:b/>
                <w:bCs/>
                <w:szCs w:val="21"/>
              </w:rPr>
              <w:t>分；</w:t>
            </w:r>
            <w:r>
              <w:rPr>
                <w:rFonts w:hint="eastAsia" w:ascii="宋体" w:hAnsi="宋体" w:eastAsia="宋体"/>
                <w:szCs w:val="21"/>
              </w:rPr>
              <w:t>其中管线设计方案</w:t>
            </w:r>
            <w:r>
              <w:rPr>
                <w:rFonts w:hint="eastAsia" w:ascii="宋体" w:hAnsi="宋体" w:eastAsia="宋体" w:cs="宋体"/>
                <w:szCs w:val="21"/>
              </w:rPr>
              <w:t>近远期结合得当，满足近期及远期的使用需求</w:t>
            </w:r>
            <w:r>
              <w:rPr>
                <w:rFonts w:hint="eastAsia" w:ascii="宋体" w:hAnsi="宋体" w:eastAsia="宋体" w:cs="宋体"/>
                <w:szCs w:val="21"/>
                <w:lang w:val="zh-CN"/>
              </w:rPr>
              <w:t>；</w:t>
            </w:r>
            <w:r>
              <w:rPr>
                <w:rFonts w:hint="eastAsia" w:ascii="宋体" w:hAnsi="宋体" w:eastAsia="宋体" w:cs="宋体"/>
                <w:szCs w:val="21"/>
              </w:rPr>
              <w:t>重力流管线系统总体布局充分利用地形，尽量采用自流，尽量缩短管线长度，减小主干管管径，能充分考虑其可实施性和可操作性；</w:t>
            </w:r>
            <w:r>
              <w:rPr>
                <w:rFonts w:hint="eastAsia" w:ascii="宋体" w:hAnsi="宋体" w:eastAsia="宋体" w:cs="宋体"/>
                <w:b/>
                <w:kern w:val="1"/>
                <w:szCs w:val="21"/>
                <w:u w:val="single"/>
              </w:rPr>
              <w:t>优得</w:t>
            </w:r>
            <w:r>
              <w:rPr>
                <w:rFonts w:ascii="宋体" w:hAnsi="宋体" w:eastAsia="宋体" w:cs="宋体"/>
                <w:b/>
                <w:kern w:val="1"/>
                <w:szCs w:val="21"/>
                <w:u w:val="single"/>
              </w:rPr>
              <w:t>5</w:t>
            </w:r>
            <w:r>
              <w:rPr>
                <w:rFonts w:hint="eastAsia" w:ascii="宋体" w:hAnsi="宋体" w:eastAsia="宋体" w:cs="宋体"/>
                <w:b/>
                <w:kern w:val="1"/>
                <w:szCs w:val="21"/>
                <w:u w:val="single"/>
              </w:rPr>
              <w:t>分，良得</w:t>
            </w:r>
            <w:r>
              <w:rPr>
                <w:rFonts w:ascii="宋体" w:hAnsi="宋体" w:eastAsia="宋体" w:cs="宋体"/>
                <w:b/>
                <w:kern w:val="1"/>
                <w:szCs w:val="21"/>
                <w:u w:val="single"/>
              </w:rPr>
              <w:t>4</w:t>
            </w:r>
            <w:r>
              <w:rPr>
                <w:rFonts w:hint="eastAsia" w:ascii="宋体" w:hAnsi="宋体" w:eastAsia="宋体" w:cs="宋体"/>
                <w:b/>
                <w:kern w:val="1"/>
                <w:szCs w:val="21"/>
                <w:u w:val="single"/>
              </w:rPr>
              <w:t>分，中得</w:t>
            </w:r>
            <w:r>
              <w:rPr>
                <w:rFonts w:ascii="宋体" w:hAnsi="宋体" w:eastAsia="宋体" w:cs="宋体"/>
                <w:b/>
                <w:kern w:val="1"/>
                <w:szCs w:val="21"/>
                <w:u w:val="single"/>
              </w:rPr>
              <w:t>3</w:t>
            </w:r>
            <w:r>
              <w:rPr>
                <w:rFonts w:hint="eastAsia" w:ascii="宋体" w:hAnsi="宋体" w:eastAsia="宋体" w:cs="宋体"/>
                <w:b/>
                <w:kern w:val="1"/>
                <w:szCs w:val="21"/>
                <w:u w:val="single"/>
              </w:rPr>
              <w:t>分，无体现则不得分。</w:t>
            </w:r>
          </w:p>
        </w:tc>
      </w:tr>
      <w:tr w14:paraId="1FBBD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bottom w:val="single" w:color="auto" w:sz="6" w:space="0"/>
              <w:right w:val="single" w:color="auto" w:sz="6" w:space="0"/>
            </w:tcBorders>
            <w:vAlign w:val="center"/>
          </w:tcPr>
          <w:p w14:paraId="61C6A8B3">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1828" w:type="dxa"/>
            <w:tcBorders>
              <w:top w:val="single" w:color="auto" w:sz="6" w:space="0"/>
              <w:left w:val="single" w:color="auto" w:sz="6" w:space="0"/>
              <w:bottom w:val="single" w:color="auto" w:sz="6" w:space="0"/>
              <w:right w:val="single" w:color="auto" w:sz="6" w:space="0"/>
            </w:tcBorders>
            <w:shd w:val="clear" w:color="auto" w:fill="auto"/>
            <w:vAlign w:val="center"/>
          </w:tcPr>
          <w:p w14:paraId="406A4A59">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项目重难点分析</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14:paraId="67586CB1">
            <w:pPr>
              <w:wordWrap w:val="0"/>
              <w:spacing w:line="276" w:lineRule="auto"/>
              <w:jc w:val="center"/>
              <w:rPr>
                <w:rFonts w:ascii="宋体" w:hAnsi="宋体" w:eastAsia="宋体" w:cs="Times New Roman"/>
                <w:color w:val="auto"/>
                <w:szCs w:val="21"/>
                <w:highlight w:val="none"/>
              </w:rPr>
            </w:pPr>
            <w:r>
              <w:rPr>
                <w:rFonts w:ascii="宋体" w:hAnsi="宋体" w:eastAsia="宋体" w:cs="Times New Roman"/>
                <w:szCs w:val="21"/>
              </w:rPr>
              <w:t>10</w:t>
            </w:r>
          </w:p>
        </w:tc>
        <w:tc>
          <w:tcPr>
            <w:tcW w:w="10208" w:type="dxa"/>
            <w:tcBorders>
              <w:top w:val="single" w:color="auto" w:sz="6" w:space="0"/>
              <w:left w:val="single" w:color="auto" w:sz="6" w:space="0"/>
              <w:bottom w:val="single" w:color="auto" w:sz="6" w:space="0"/>
              <w:right w:val="single" w:color="auto" w:sz="6" w:space="0"/>
            </w:tcBorders>
            <w:shd w:val="clear" w:color="auto" w:fill="auto"/>
            <w:vAlign w:val="center"/>
          </w:tcPr>
          <w:p w14:paraId="00DDEE2F">
            <w:pPr>
              <w:wordWrap w:val="0"/>
              <w:topLinePunct/>
              <w:spacing w:line="276" w:lineRule="auto"/>
              <w:rPr>
                <w:rFonts w:ascii="宋体" w:hAnsi="宋体" w:eastAsia="宋体" w:cs="宋体"/>
                <w:szCs w:val="21"/>
                <w:lang w:val="zh-CN"/>
              </w:rPr>
            </w:pPr>
            <w:r>
              <w:rPr>
                <w:rFonts w:hint="eastAsia" w:ascii="宋体" w:hAnsi="宋体" w:eastAsia="宋体" w:cs="宋体"/>
                <w:szCs w:val="21"/>
                <w:lang w:val="zh-CN"/>
              </w:rPr>
              <w:t>项目功能定位清晰明确；对本项目工程建设的重点、难点分析透彻；对项目范围内重要节点可能存在的问题分析透彻，并提出有针对性、合理的、可行的解决措施。</w:t>
            </w:r>
          </w:p>
          <w:p w14:paraId="41E31E96">
            <w:pPr>
              <w:spacing w:line="276" w:lineRule="auto"/>
              <w:rPr>
                <w:rFonts w:ascii="宋体" w:hAnsi="宋体" w:eastAsia="宋体" w:cs="宋体"/>
                <w:color w:val="auto"/>
                <w:szCs w:val="21"/>
                <w:highlight w:val="none"/>
                <w:lang w:val="zh-CN"/>
              </w:rPr>
            </w:pPr>
            <w:r>
              <w:rPr>
                <w:rFonts w:hint="eastAsia" w:ascii="宋体" w:hAnsi="宋体" w:eastAsia="宋体" w:cs="宋体"/>
                <w:b/>
                <w:szCs w:val="21"/>
                <w:u w:val="single"/>
                <w:lang w:val="zh-CN"/>
              </w:rPr>
              <w:t>优得10分，良得</w:t>
            </w:r>
            <w:r>
              <w:rPr>
                <w:rFonts w:ascii="宋体" w:hAnsi="宋体" w:eastAsia="宋体" w:cs="宋体"/>
                <w:b/>
                <w:szCs w:val="21"/>
                <w:u w:val="single"/>
                <w:lang w:val="zh-CN"/>
              </w:rPr>
              <w:t>9</w:t>
            </w:r>
            <w:r>
              <w:rPr>
                <w:rFonts w:hint="eastAsia" w:ascii="宋体" w:hAnsi="宋体" w:eastAsia="宋体" w:cs="宋体"/>
                <w:b/>
                <w:szCs w:val="21"/>
                <w:u w:val="single"/>
                <w:lang w:val="zh-CN"/>
              </w:rPr>
              <w:t>分，中得</w:t>
            </w:r>
            <w:r>
              <w:rPr>
                <w:rFonts w:ascii="宋体" w:hAnsi="宋体" w:eastAsia="宋体" w:cs="宋体"/>
                <w:b/>
                <w:szCs w:val="21"/>
                <w:u w:val="single"/>
                <w:lang w:val="zh-CN"/>
              </w:rPr>
              <w:t>8</w:t>
            </w:r>
            <w:r>
              <w:rPr>
                <w:rFonts w:hint="eastAsia" w:ascii="宋体" w:hAnsi="宋体" w:eastAsia="宋体" w:cs="宋体"/>
                <w:b/>
                <w:szCs w:val="21"/>
                <w:u w:val="single"/>
                <w:lang w:val="zh-CN"/>
              </w:rPr>
              <w:t>分，</w:t>
            </w:r>
            <w:r>
              <w:rPr>
                <w:rFonts w:hint="eastAsia" w:ascii="宋体" w:hAnsi="宋体" w:eastAsia="宋体" w:cs="宋体"/>
                <w:b/>
                <w:bCs/>
                <w:kern w:val="1"/>
                <w:szCs w:val="21"/>
                <w:u w:val="single"/>
              </w:rPr>
              <w:t>无体现则不得分</w:t>
            </w:r>
            <w:r>
              <w:rPr>
                <w:rFonts w:hint="eastAsia" w:ascii="宋体" w:hAnsi="宋体" w:eastAsia="宋体" w:cs="宋体"/>
                <w:b/>
                <w:szCs w:val="21"/>
                <w:u w:val="single"/>
                <w:lang w:val="zh-CN"/>
              </w:rPr>
              <w:t>。</w:t>
            </w:r>
          </w:p>
        </w:tc>
      </w:tr>
      <w:tr w14:paraId="7C248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bottom w:val="single" w:color="auto" w:sz="6" w:space="0"/>
              <w:right w:val="single" w:color="auto" w:sz="6" w:space="0"/>
            </w:tcBorders>
            <w:vAlign w:val="center"/>
          </w:tcPr>
          <w:p w14:paraId="5351EE80">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1828" w:type="dxa"/>
            <w:tcBorders>
              <w:top w:val="single" w:color="auto" w:sz="6" w:space="0"/>
              <w:left w:val="single" w:color="auto" w:sz="6" w:space="0"/>
              <w:bottom w:val="single" w:color="auto" w:sz="6" w:space="0"/>
              <w:right w:val="single" w:color="auto" w:sz="6" w:space="0"/>
            </w:tcBorders>
            <w:shd w:val="clear" w:color="auto" w:fill="auto"/>
            <w:vAlign w:val="center"/>
          </w:tcPr>
          <w:p w14:paraId="1BC76AE5">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勘察方案</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14:paraId="166369BC">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5</w:t>
            </w:r>
          </w:p>
        </w:tc>
        <w:tc>
          <w:tcPr>
            <w:tcW w:w="10208" w:type="dxa"/>
            <w:tcBorders>
              <w:top w:val="single" w:color="auto" w:sz="6" w:space="0"/>
              <w:left w:val="single" w:color="auto" w:sz="6" w:space="0"/>
              <w:bottom w:val="single" w:color="auto" w:sz="6" w:space="0"/>
              <w:right w:val="single" w:color="auto" w:sz="6" w:space="0"/>
            </w:tcBorders>
            <w:shd w:val="clear" w:color="auto" w:fill="auto"/>
            <w:vAlign w:val="center"/>
          </w:tcPr>
          <w:p w14:paraId="0AE3FE0B">
            <w:pPr>
              <w:wordWrap w:val="0"/>
              <w:topLinePunct/>
              <w:spacing w:line="276" w:lineRule="auto"/>
              <w:rPr>
                <w:rFonts w:ascii="宋体" w:hAnsi="宋体" w:eastAsia="宋体" w:cs="宋体"/>
                <w:szCs w:val="21"/>
                <w:lang w:val="zh-CN"/>
              </w:rPr>
            </w:pPr>
            <w:r>
              <w:rPr>
                <w:rFonts w:hint="eastAsia" w:ascii="宋体" w:hAnsi="宋体" w:eastAsia="宋体" w:cs="宋体"/>
                <w:szCs w:val="21"/>
                <w:lang w:val="zh-CN"/>
              </w:rPr>
              <w:t>勘察方案，主要比较各投标人勘察方案的合理性、本次勘察的重点、难点及建议。</w:t>
            </w:r>
          </w:p>
          <w:p w14:paraId="28F475D7">
            <w:pPr>
              <w:wordWrap w:val="0"/>
              <w:topLinePunct/>
              <w:spacing w:line="276" w:lineRule="auto"/>
              <w:rPr>
                <w:rFonts w:ascii="宋体" w:hAnsi="宋体" w:eastAsia="宋体" w:cs="宋体"/>
                <w:color w:val="auto"/>
                <w:szCs w:val="21"/>
                <w:highlight w:val="none"/>
                <w:lang w:val="zh-CN"/>
              </w:rPr>
            </w:pPr>
            <w:r>
              <w:rPr>
                <w:rFonts w:hint="eastAsia" w:ascii="宋体" w:hAnsi="宋体" w:eastAsia="宋体" w:cs="宋体"/>
                <w:b/>
                <w:bCs/>
                <w:szCs w:val="21"/>
                <w:u w:val="single"/>
              </w:rPr>
              <w:t>优得5分，良得</w:t>
            </w:r>
            <w:r>
              <w:rPr>
                <w:rFonts w:ascii="宋体" w:hAnsi="宋体" w:eastAsia="宋体" w:cs="宋体"/>
                <w:b/>
                <w:bCs/>
                <w:szCs w:val="21"/>
                <w:u w:val="single"/>
              </w:rPr>
              <w:t>4</w:t>
            </w:r>
            <w:r>
              <w:rPr>
                <w:rFonts w:hint="eastAsia" w:ascii="宋体" w:hAnsi="宋体" w:eastAsia="宋体" w:cs="宋体"/>
                <w:b/>
                <w:bCs/>
                <w:szCs w:val="21"/>
                <w:u w:val="single"/>
              </w:rPr>
              <w:t>分，</w:t>
            </w:r>
            <w:r>
              <w:rPr>
                <w:rFonts w:hint="eastAsia" w:ascii="宋体" w:hAnsi="宋体" w:eastAsia="宋体" w:cs="宋体"/>
                <w:b/>
                <w:szCs w:val="21"/>
                <w:u w:val="single"/>
              </w:rPr>
              <w:t>中得</w:t>
            </w:r>
            <w:r>
              <w:rPr>
                <w:rFonts w:ascii="宋体" w:hAnsi="宋体" w:eastAsia="宋体" w:cs="宋体"/>
                <w:b/>
                <w:bCs/>
                <w:szCs w:val="21"/>
                <w:u w:val="single"/>
              </w:rPr>
              <w:t>3</w:t>
            </w:r>
            <w:r>
              <w:rPr>
                <w:rFonts w:hint="eastAsia" w:ascii="宋体" w:hAnsi="宋体" w:eastAsia="宋体" w:cs="宋体"/>
                <w:b/>
                <w:bCs/>
                <w:szCs w:val="21"/>
                <w:u w:val="single"/>
              </w:rPr>
              <w:t>分，无体现则不得分。</w:t>
            </w:r>
          </w:p>
        </w:tc>
      </w:tr>
      <w:tr w14:paraId="1672A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96" w:type="pct"/>
            <w:tcBorders>
              <w:top w:val="single" w:color="auto" w:sz="6" w:space="0"/>
              <w:left w:val="single" w:color="auto" w:sz="6" w:space="0"/>
              <w:right w:val="single" w:color="auto" w:sz="6" w:space="0"/>
            </w:tcBorders>
            <w:vAlign w:val="center"/>
          </w:tcPr>
          <w:p w14:paraId="34F4E65B">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六</w:t>
            </w:r>
          </w:p>
        </w:tc>
        <w:tc>
          <w:tcPr>
            <w:tcW w:w="1828" w:type="dxa"/>
            <w:tcBorders>
              <w:top w:val="single" w:color="auto" w:sz="6" w:space="0"/>
              <w:left w:val="single" w:color="auto" w:sz="6" w:space="0"/>
              <w:right w:val="single" w:color="auto" w:sz="6" w:space="0"/>
            </w:tcBorders>
            <w:vAlign w:val="center"/>
          </w:tcPr>
          <w:p w14:paraId="7463C03E">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Times New Roman"/>
                <w:szCs w:val="21"/>
              </w:rPr>
              <w:t>工程投资估算</w:t>
            </w:r>
          </w:p>
        </w:tc>
        <w:tc>
          <w:tcPr>
            <w:tcW w:w="948" w:type="dxa"/>
            <w:tcBorders>
              <w:top w:val="single" w:color="auto" w:sz="6" w:space="0"/>
              <w:left w:val="single" w:color="auto" w:sz="6" w:space="0"/>
              <w:right w:val="single" w:color="auto" w:sz="6" w:space="0"/>
            </w:tcBorders>
            <w:shd w:val="clear" w:color="auto" w:fill="auto"/>
            <w:vAlign w:val="center"/>
          </w:tcPr>
          <w:p w14:paraId="022DA76D">
            <w:pPr>
              <w:wordWrap w:val="0"/>
              <w:spacing w:line="276" w:lineRule="auto"/>
              <w:jc w:val="center"/>
              <w:rPr>
                <w:rFonts w:ascii="宋体" w:hAnsi="宋体" w:eastAsia="宋体" w:cs="Times New Roman"/>
                <w:color w:val="auto"/>
                <w:szCs w:val="21"/>
                <w:highlight w:val="none"/>
              </w:rPr>
            </w:pPr>
            <w:r>
              <w:rPr>
                <w:rFonts w:hint="eastAsia" w:ascii="宋体" w:hAnsi="宋体" w:eastAsia="宋体" w:cs="Times New Roman"/>
                <w:szCs w:val="21"/>
              </w:rPr>
              <w:t>1</w:t>
            </w:r>
            <w:r>
              <w:rPr>
                <w:rFonts w:ascii="宋体" w:hAnsi="宋体" w:eastAsia="宋体" w:cs="Times New Roman"/>
                <w:szCs w:val="21"/>
              </w:rPr>
              <w:t>0</w:t>
            </w:r>
          </w:p>
        </w:tc>
        <w:tc>
          <w:tcPr>
            <w:tcW w:w="10208" w:type="dxa"/>
            <w:tcBorders>
              <w:top w:val="single" w:color="auto" w:sz="6" w:space="0"/>
              <w:left w:val="single" w:color="auto" w:sz="6" w:space="0"/>
              <w:right w:val="single" w:color="auto" w:sz="6" w:space="0"/>
            </w:tcBorders>
            <w:shd w:val="clear" w:color="auto" w:fill="auto"/>
            <w:vAlign w:val="center"/>
          </w:tcPr>
          <w:p w14:paraId="36387E9A">
            <w:pPr>
              <w:spacing w:line="276" w:lineRule="auto"/>
              <w:rPr>
                <w:rFonts w:ascii="宋体" w:hAnsi="宋体" w:eastAsia="宋体" w:cs="宋体"/>
                <w:szCs w:val="21"/>
                <w:lang w:val="zh-CN"/>
              </w:rPr>
            </w:pPr>
            <w:r>
              <w:rPr>
                <w:rFonts w:hint="eastAsia" w:ascii="宋体" w:hAnsi="宋体" w:eastAsia="宋体" w:cs="宋体"/>
                <w:szCs w:val="21"/>
                <w:lang w:val="zh-CN"/>
              </w:rPr>
              <w:t>工程投资</w:t>
            </w:r>
            <w:r>
              <w:rPr>
                <w:rFonts w:hint="eastAsia" w:ascii="宋体" w:hAnsi="宋体" w:eastAsia="宋体" w:cs="宋体"/>
                <w:szCs w:val="21"/>
              </w:rPr>
              <w:t>估算</w:t>
            </w:r>
            <w:r>
              <w:rPr>
                <w:rFonts w:hint="eastAsia" w:ascii="宋体" w:hAnsi="宋体" w:eastAsia="宋体" w:cs="宋体"/>
                <w:szCs w:val="21"/>
                <w:lang w:val="zh-CN"/>
              </w:rPr>
              <w:t>合理，节约工程投资的措施及理由合理、科学、可行。</w:t>
            </w:r>
            <w:r>
              <w:rPr>
                <w:rFonts w:hint="eastAsia" w:ascii="宋体" w:hAnsi="宋体" w:eastAsia="宋体" w:cs="宋体"/>
                <w:b/>
                <w:szCs w:val="21"/>
                <w:u w:val="single"/>
                <w:lang w:val="zh-CN"/>
              </w:rPr>
              <w:t>（注：投资估算中不能体现相应的投标报价）</w:t>
            </w:r>
          </w:p>
          <w:p w14:paraId="2C613DBF">
            <w:pPr>
              <w:spacing w:line="276" w:lineRule="auto"/>
              <w:rPr>
                <w:rFonts w:ascii="宋体" w:hAnsi="宋体" w:eastAsia="宋体" w:cs="宋体"/>
                <w:color w:val="auto"/>
                <w:kern w:val="1"/>
                <w:szCs w:val="21"/>
                <w:highlight w:val="none"/>
              </w:rPr>
            </w:pPr>
            <w:r>
              <w:rPr>
                <w:rFonts w:hint="eastAsia" w:ascii="宋体" w:hAnsi="宋体" w:eastAsia="宋体" w:cs="宋体"/>
                <w:b/>
                <w:szCs w:val="21"/>
                <w:u w:val="single"/>
                <w:lang w:val="zh-CN"/>
              </w:rPr>
              <w:t>优得</w:t>
            </w:r>
            <w:r>
              <w:rPr>
                <w:rFonts w:ascii="宋体" w:hAnsi="宋体" w:eastAsia="宋体" w:cs="宋体"/>
                <w:b/>
                <w:szCs w:val="21"/>
                <w:u w:val="single"/>
                <w:lang w:val="zh-CN"/>
              </w:rPr>
              <w:t>10</w:t>
            </w:r>
            <w:r>
              <w:rPr>
                <w:rFonts w:hint="eastAsia" w:ascii="宋体" w:hAnsi="宋体" w:eastAsia="宋体" w:cs="宋体"/>
                <w:b/>
                <w:szCs w:val="21"/>
                <w:u w:val="single"/>
                <w:lang w:val="zh-CN"/>
              </w:rPr>
              <w:t>分，良得</w:t>
            </w:r>
            <w:r>
              <w:rPr>
                <w:rFonts w:ascii="宋体" w:hAnsi="宋体" w:eastAsia="宋体" w:cs="宋体"/>
                <w:b/>
                <w:szCs w:val="21"/>
                <w:u w:val="single"/>
              </w:rPr>
              <w:t>9</w:t>
            </w:r>
            <w:r>
              <w:rPr>
                <w:rFonts w:hint="eastAsia" w:ascii="宋体" w:hAnsi="宋体" w:eastAsia="宋体" w:cs="宋体"/>
                <w:b/>
                <w:szCs w:val="21"/>
                <w:u w:val="single"/>
                <w:lang w:val="zh-CN"/>
              </w:rPr>
              <w:t>分，中得</w:t>
            </w:r>
            <w:r>
              <w:rPr>
                <w:rFonts w:ascii="宋体" w:hAnsi="宋体" w:eastAsia="宋体" w:cs="宋体"/>
                <w:b/>
                <w:szCs w:val="21"/>
                <w:u w:val="single"/>
              </w:rPr>
              <w:t>8</w:t>
            </w:r>
            <w:r>
              <w:rPr>
                <w:rFonts w:hint="eastAsia" w:ascii="宋体" w:hAnsi="宋体" w:eastAsia="宋体" w:cs="宋体"/>
                <w:b/>
                <w:szCs w:val="21"/>
                <w:u w:val="single"/>
                <w:lang w:val="zh-CN"/>
              </w:rPr>
              <w:t>分，</w:t>
            </w:r>
            <w:r>
              <w:rPr>
                <w:rFonts w:hint="eastAsia" w:ascii="宋体" w:hAnsi="宋体" w:eastAsia="宋体" w:cs="宋体"/>
                <w:b/>
                <w:bCs/>
                <w:kern w:val="1"/>
                <w:szCs w:val="21"/>
                <w:u w:val="single"/>
              </w:rPr>
              <w:t>无体现则不得分</w:t>
            </w:r>
            <w:r>
              <w:rPr>
                <w:rFonts w:hint="eastAsia" w:ascii="宋体" w:hAnsi="宋体" w:eastAsia="宋体" w:cs="宋体"/>
                <w:b/>
                <w:szCs w:val="21"/>
                <w:u w:val="single"/>
                <w:lang w:val="zh-CN"/>
              </w:rPr>
              <w:t>。</w:t>
            </w:r>
          </w:p>
        </w:tc>
      </w:tr>
      <w:tr w14:paraId="444D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44" w:type="pct"/>
            <w:gridSpan w:val="2"/>
            <w:tcBorders>
              <w:top w:val="single" w:color="auto" w:sz="6" w:space="0"/>
              <w:left w:val="single" w:color="auto" w:sz="6" w:space="0"/>
              <w:bottom w:val="single" w:color="auto" w:sz="6" w:space="0"/>
              <w:right w:val="single" w:color="auto" w:sz="6" w:space="0"/>
            </w:tcBorders>
            <w:vAlign w:val="center"/>
          </w:tcPr>
          <w:p w14:paraId="0EA5BB9F">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336" w:type="pct"/>
            <w:tcBorders>
              <w:top w:val="single" w:color="auto" w:sz="6" w:space="0"/>
              <w:left w:val="single" w:color="auto" w:sz="6" w:space="0"/>
              <w:bottom w:val="single" w:color="auto" w:sz="6" w:space="0"/>
              <w:right w:val="single" w:color="auto" w:sz="6" w:space="0"/>
            </w:tcBorders>
            <w:vAlign w:val="center"/>
          </w:tcPr>
          <w:p w14:paraId="0639D60E">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3619" w:type="pct"/>
            <w:tcBorders>
              <w:top w:val="single" w:color="auto" w:sz="6" w:space="0"/>
              <w:left w:val="single" w:color="auto" w:sz="6" w:space="0"/>
              <w:bottom w:val="single" w:color="auto" w:sz="6" w:space="0"/>
              <w:right w:val="single" w:color="auto" w:sz="6" w:space="0"/>
            </w:tcBorders>
            <w:vAlign w:val="center"/>
          </w:tcPr>
          <w:p w14:paraId="63592787">
            <w:pPr>
              <w:wordWrap w:val="0"/>
              <w:topLinePunct/>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145DFE5B">
      <w:pPr>
        <w:widowControl/>
        <w:wordWrap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注：本表按百分制评分，所有评委分数汇总后的算术平均值为投标人的得分。分数出现小数点，保留小数点后两位小数，第三位小数四舍五入。</w:t>
      </w:r>
    </w:p>
    <w:p w14:paraId="6BAF0724">
      <w:pPr>
        <w:widowControl/>
        <w:jc w:val="left"/>
        <w:rPr>
          <w:rFonts w:hint="eastAsia" w:ascii="宋体" w:hAnsi="宋体" w:eastAsia="宋体" w:cs="宋体"/>
          <w:color w:val="auto"/>
          <w:szCs w:val="24"/>
          <w:highlight w:val="none"/>
        </w:rPr>
        <w:sectPr>
          <w:pgSz w:w="16838" w:h="11905" w:orient="landscape"/>
          <w:pgMar w:top="1501" w:right="1474" w:bottom="1364" w:left="1474" w:header="720" w:footer="720" w:gutter="0"/>
          <w:cols w:space="0" w:num="1"/>
          <w:rtlGutter w:val="0"/>
          <w:docGrid w:linePitch="0" w:charSpace="0"/>
        </w:sectPr>
      </w:pPr>
    </w:p>
    <w:p w14:paraId="6A88B6E6">
      <w:pPr>
        <w:widowControl/>
        <w:jc w:val="left"/>
        <w:rPr>
          <w:rFonts w:ascii="宋体" w:hAnsi="宋体" w:eastAsia="宋体" w:cs="宋体"/>
          <w:color w:val="auto"/>
          <w:szCs w:val="24"/>
          <w:highlight w:val="none"/>
        </w:rPr>
      </w:pPr>
    </w:p>
    <w:p w14:paraId="19DD96BC">
      <w:pPr>
        <w:pStyle w:val="4"/>
        <w:rPr>
          <w:color w:val="auto"/>
          <w:sz w:val="32"/>
          <w:szCs w:val="24"/>
          <w:highlight w:val="none"/>
        </w:rPr>
      </w:pPr>
      <w:bookmarkStart w:id="184" w:name="_Toc26447"/>
      <w:r>
        <w:rPr>
          <w:rFonts w:hint="eastAsia"/>
          <w:color w:val="auto"/>
          <w:highlight w:val="none"/>
        </w:rPr>
        <w:t>评标办法</w:t>
      </w:r>
      <w:r>
        <w:rPr>
          <w:color w:val="auto"/>
          <w:highlight w:val="none"/>
        </w:rPr>
        <w:t>修改表</w:t>
      </w:r>
      <w:bookmarkEnd w:id="184"/>
    </w:p>
    <w:p w14:paraId="64EC6377">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w:t>
      </w:r>
      <w:r>
        <w:rPr>
          <w:rFonts w:hint="eastAsia" w:ascii="宋体" w:hAnsi="宋体"/>
          <w:b/>
          <w:color w:val="auto"/>
          <w:sz w:val="24"/>
          <w:szCs w:val="24"/>
          <w:highlight w:val="none"/>
        </w:rPr>
        <w:t>评标办法</w:t>
      </w:r>
      <w:r>
        <w:rPr>
          <w:rFonts w:ascii="宋体" w:hAnsi="宋体"/>
          <w:b/>
          <w:color w:val="auto"/>
          <w:sz w:val="24"/>
          <w:szCs w:val="24"/>
          <w:highlight w:val="none"/>
        </w:rPr>
        <w:t>条款，与该条款不同之处，均在本表中列明，并以现文为准，原文不再有效。</w:t>
      </w:r>
      <w:r>
        <w:rPr>
          <w:rFonts w:hint="eastAsia" w:ascii="宋体" w:hAnsi="宋体"/>
          <w:bCs/>
          <w:color w:val="auto"/>
          <w:sz w:val="24"/>
          <w:szCs w:val="24"/>
          <w:highlight w:val="none"/>
        </w:rPr>
        <w:t>（注：招标人按《评标办法修改表》修改的内容对应修改通用条款，属于删除的采用“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61FC0A32">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w:t>
      </w:r>
      <w:r>
        <w:rPr>
          <w:rFonts w:ascii="宋体" w:hAnsi="宋体" w:eastAsia="宋体"/>
          <w:b/>
          <w:bCs/>
          <w:color w:val="auto"/>
          <w:sz w:val="24"/>
          <w:szCs w:val="24"/>
          <w:highlight w:val="none"/>
        </w:rPr>
        <w:t xml:space="preserve">           修改类型：修改</w:t>
      </w:r>
    </w:p>
    <w:p w14:paraId="5FBE6BC2">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 评标程序</w:t>
      </w:r>
    </w:p>
    <w:p w14:paraId="2738E4CB">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评标活动按以下六个步骤进行：</w:t>
      </w:r>
    </w:p>
    <w:p w14:paraId="4CAE082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（1）商务文件初步评审（含商务文件形式评审、商务文件响应性评审）及资格评审；</w:t>
      </w:r>
    </w:p>
    <w:p w14:paraId="4B7A9F4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3A3E012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77BDEC48">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4C1E872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4A34E7D2">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（6）汇总投标人总得分；</w:t>
      </w:r>
    </w:p>
    <w:p w14:paraId="1D201C5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（7）推荐中标候选人，提交评标报告。</w:t>
      </w:r>
    </w:p>
    <w:p w14:paraId="76AF1BA5">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 评标程序</w:t>
      </w:r>
    </w:p>
    <w:p w14:paraId="36C46DD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w:t>
      </w:r>
      <w:r>
        <w:rPr>
          <w:rFonts w:hint="eastAsia" w:ascii="宋体" w:hAnsi="宋体" w:eastAsia="宋体"/>
          <w:strike/>
          <w:color w:val="auto"/>
          <w:sz w:val="24"/>
          <w:szCs w:val="24"/>
          <w:highlight w:val="none"/>
        </w:rPr>
        <w:t>六个</w:t>
      </w:r>
      <w:r>
        <w:rPr>
          <w:rFonts w:hint="eastAsia" w:ascii="宋体" w:hAnsi="宋体" w:eastAsia="宋体"/>
          <w:color w:val="auto"/>
          <w:sz w:val="24"/>
          <w:szCs w:val="24"/>
          <w:highlight w:val="none"/>
        </w:rPr>
        <w:t>步骤进行：</w:t>
      </w:r>
    </w:p>
    <w:p w14:paraId="28B7D14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2EE3DB98">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766C3167">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2FB03ECB">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1765CDB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70B6F9EF">
      <w:pPr>
        <w:wordWrap w:val="0"/>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14:paraId="3790878B">
      <w:pP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73BFBB7A">
      <w:pPr>
        <w:pBdr>
          <w:bottom w:val="single" w:color="auto" w:sz="6" w:space="1"/>
        </w:pBd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p w14:paraId="12D7DBE1">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 xml:space="preserve">          修改类型：修改</w:t>
      </w:r>
    </w:p>
    <w:p w14:paraId="7E1AF9C3">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3.1 商务文件初步评审及资格评审</w:t>
      </w:r>
    </w:p>
    <w:p w14:paraId="21B3C209">
      <w:pPr>
        <w:pBdr>
          <w:bottom w:val="single" w:color="auto" w:sz="6" w:space="1"/>
        </w:pBd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3.1 </w:t>
      </w:r>
      <w:r>
        <w:rPr>
          <w:rFonts w:hint="eastAsia" w:ascii="宋体" w:hAnsi="宋体" w:eastAsia="宋体"/>
          <w:b/>
          <w:bCs/>
          <w:color w:val="auto"/>
          <w:sz w:val="24"/>
          <w:szCs w:val="24"/>
          <w:highlight w:val="none"/>
          <w:u w:val="single"/>
        </w:rPr>
        <w:t>商务文件形式评审、资格评审、商务文件响应性评审</w:t>
      </w:r>
    </w:p>
    <w:p w14:paraId="1AF392B5">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3.1.1</w:t>
      </w:r>
      <w:r>
        <w:rPr>
          <w:rFonts w:ascii="宋体" w:hAnsi="宋体" w:eastAsia="宋体"/>
          <w:b/>
          <w:bCs/>
          <w:color w:val="auto"/>
          <w:sz w:val="24"/>
          <w:szCs w:val="24"/>
          <w:highlight w:val="none"/>
        </w:rPr>
        <w:t xml:space="preserve">        修改类型：修改</w:t>
      </w:r>
    </w:p>
    <w:p w14:paraId="0D4FEC4B">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4E28B81C">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7D9AB051">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hint="eastAsia" w:ascii="宋体" w:hAnsi="宋体" w:eastAsia="宋体"/>
          <w:b/>
          <w:bCs/>
          <w:color w:val="auto"/>
          <w:sz w:val="24"/>
          <w:szCs w:val="24"/>
          <w:highlight w:val="none"/>
          <w:lang w:val="en-US" w:eastAsia="zh-CN"/>
        </w:rPr>
        <w:t>3</w:t>
      </w:r>
      <w:r>
        <w:rPr>
          <w:rFonts w:ascii="宋体" w:hAnsi="宋体" w:eastAsia="宋体"/>
          <w:b/>
          <w:bCs/>
          <w:color w:val="auto"/>
          <w:sz w:val="24"/>
          <w:szCs w:val="24"/>
          <w:highlight w:val="none"/>
        </w:rPr>
        <w:t xml:space="preserve">        修改类型：修改</w:t>
      </w:r>
    </w:p>
    <w:p w14:paraId="7CD029A1">
      <w:pP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022CE901">
      <w:pP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746AB9B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F14D861">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20B5D2EC">
      <w:pPr>
        <w:numPr>
          <w:ilvl w:val="0"/>
          <w:numId w:val="1"/>
        </w:numPr>
        <w:pBdr>
          <w:bottom w:val="single" w:color="auto" w:sz="6" w:space="1"/>
        </w:pBdr>
        <w:wordWrap w:val="0"/>
        <w:spacing w:line="360" w:lineRule="auto"/>
        <w:ind w:firstLine="424" w:firstLineChars="17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u w:val="none"/>
        </w:rPr>
        <w:t>投标文件中的大写金额与小写金额不一致的，以大写金额为准</w:t>
      </w:r>
      <w:r>
        <w:rPr>
          <w:rFonts w:hint="eastAsia" w:ascii="宋体" w:hAnsi="宋体" w:eastAsia="宋体" w:cs="宋体"/>
          <w:strike/>
          <w:color w:val="auto"/>
          <w:sz w:val="24"/>
          <w:szCs w:val="24"/>
          <w:highlight w:val="none"/>
        </w:rPr>
        <w:t>；</w:t>
      </w:r>
    </w:p>
    <w:p w14:paraId="72883007">
      <w:pPr>
        <w:numPr>
          <w:ilvl w:val="-1"/>
          <w:numId w:val="0"/>
        </w:numPr>
        <w:pBdr>
          <w:bottom w:val="single" w:color="auto" w:sz="6" w:space="1"/>
        </w:pBd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902ADBA">
      <w:pPr>
        <w:pBdr>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14:paraId="50B2F420">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p w14:paraId="34210825">
      <w:pPr>
        <w:pStyle w:val="2"/>
      </w:pPr>
    </w:p>
    <w:p w14:paraId="62533DA3">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3.2.2</w:t>
      </w:r>
      <w:r>
        <w:rPr>
          <w:rFonts w:ascii="宋体" w:hAnsi="宋体" w:eastAsia="宋体"/>
          <w:b/>
          <w:bCs/>
          <w:color w:val="auto"/>
          <w:sz w:val="24"/>
          <w:szCs w:val="24"/>
          <w:highlight w:val="none"/>
        </w:rPr>
        <w:t xml:space="preserve">        修改类型：修改</w:t>
      </w:r>
    </w:p>
    <w:p w14:paraId="2E708DCD">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2EFCC76B">
      <w:pP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7914F805">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条款号：3.4.2        修改类型：修改</w:t>
      </w:r>
    </w:p>
    <w:p w14:paraId="347BD27A">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7A0B3D6F">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368E582D">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3.6</w:t>
      </w:r>
      <w:r>
        <w:rPr>
          <w:rFonts w:ascii="宋体" w:hAnsi="宋体" w:eastAsia="宋体"/>
          <w:b/>
          <w:bCs/>
          <w:color w:val="auto"/>
          <w:sz w:val="24"/>
          <w:szCs w:val="24"/>
          <w:highlight w:val="none"/>
        </w:rPr>
        <w:t xml:space="preserve">        修改类型：修改</w:t>
      </w:r>
    </w:p>
    <w:p w14:paraId="0DD98BB2">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3.6 汇总投标人总得分</w:t>
      </w:r>
    </w:p>
    <w:p w14:paraId="7213277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14:paraId="63DEAB6B">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14:paraId="70630CF2">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14:paraId="22F4A16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（3）按本章第2.2.4（3）目规定的评审因素和分值对投标报价计算出得分C；</w:t>
      </w:r>
    </w:p>
    <w:p w14:paraId="77174FAB">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（4）按本章第2.2.4（4）目规定的评审因素和分值对其他部分计算出得分D。</w:t>
      </w:r>
    </w:p>
    <w:p w14:paraId="037345B1">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14:paraId="3AD71FA2">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投标人得分=A+B+C+D。</w:t>
      </w:r>
    </w:p>
    <w:p w14:paraId="7499C959">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3.6 </w:t>
      </w:r>
      <w:r>
        <w:rPr>
          <w:rFonts w:hint="eastAsia" w:ascii="宋体" w:hAnsi="宋体" w:eastAsia="宋体"/>
          <w:b/>
          <w:bCs/>
          <w:strike/>
          <w:dstrike w:val="0"/>
          <w:color w:val="auto"/>
          <w:sz w:val="24"/>
          <w:szCs w:val="24"/>
          <w:highlight w:val="none"/>
        </w:rPr>
        <w:t>汇总投标人总得分</w:t>
      </w:r>
      <w:r>
        <w:rPr>
          <w:rFonts w:hint="eastAsia" w:ascii="宋体" w:hAnsi="宋体" w:eastAsia="宋体" w:cs="宋体"/>
          <w:b/>
          <w:bCs/>
          <w:strike w:val="0"/>
          <w:color w:val="auto"/>
          <w:spacing w:val="1"/>
          <w:sz w:val="24"/>
          <w:szCs w:val="24"/>
          <w:highlight w:val="none"/>
          <w:u w:val="single"/>
        </w:rPr>
        <w:t>报价评审及</w:t>
      </w:r>
      <w:r>
        <w:rPr>
          <w:rFonts w:hint="eastAsia" w:ascii="宋体" w:hAnsi="宋体" w:eastAsia="宋体"/>
          <w:b/>
          <w:bCs/>
          <w:color w:val="auto"/>
          <w:sz w:val="24"/>
          <w:szCs w:val="24"/>
          <w:highlight w:val="none"/>
        </w:rPr>
        <w:t>汇总投标人总得分</w:t>
      </w:r>
    </w:p>
    <w:p w14:paraId="6063ED1E">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val="0"/>
          <w:dstrike w:val="0"/>
          <w:color w:val="auto"/>
          <w:sz w:val="24"/>
          <w:szCs w:val="24"/>
          <w:highlight w:val="none"/>
        </w:rPr>
        <w:t xml:space="preserve">3.6.1 </w:t>
      </w:r>
      <w:r>
        <w:rPr>
          <w:rFonts w:hint="eastAsia" w:ascii="宋体" w:hAnsi="宋体" w:eastAsia="宋体"/>
          <w:strike/>
          <w:dstrike w:val="0"/>
          <w:color w:val="auto"/>
          <w:sz w:val="24"/>
          <w:szCs w:val="24"/>
          <w:highlight w:val="none"/>
        </w:rPr>
        <w:t>评标委员会按本章第2.2款规定的量化因素和分值进行打分，并计算出综合得分。</w:t>
      </w:r>
    </w:p>
    <w:p w14:paraId="595220F2">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（1）按本章第2.2.4（1）目规定的评审因素和分值对商务文件部分计算出得分A；</w:t>
      </w:r>
    </w:p>
    <w:p w14:paraId="20B4C9E3">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（2）按本章第2.2.4（2）目规定的评审因素和分值对技术文件部分计算出得分B；</w:t>
      </w:r>
    </w:p>
    <w:p w14:paraId="2B57B0A0">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（3）按本章第2.2.4（3）目规定的评审因素和分值对投标报价计算出得分C；</w:t>
      </w:r>
    </w:p>
    <w:p w14:paraId="767D73C0">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（4）按本章第2.2.4（4）目规定的评审因素和分值对其他部分计算出得分D。</w:t>
      </w:r>
    </w:p>
    <w:p w14:paraId="5B913D7D">
      <w:pPr>
        <w:wordWrap w:val="0"/>
        <w:spacing w:line="360" w:lineRule="auto"/>
        <w:ind w:firstLine="426" w:firstLineChars="177"/>
        <w:rPr>
          <w:rFonts w:hint="eastAsia" w:ascii="宋体" w:hAnsi="宋体" w:eastAsia="宋体"/>
          <w:color w:val="auto"/>
          <w:sz w:val="24"/>
          <w:szCs w:val="24"/>
          <w:highlight w:val="none"/>
          <w:lang w:eastAsia="zh-CN"/>
        </w:rPr>
      </w:pP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r>
        <w:rPr>
          <w:rFonts w:hint="eastAsia" w:ascii="宋体" w:hAnsi="宋体" w:eastAsia="宋体"/>
          <w:b/>
          <w:bCs/>
          <w:color w:val="auto"/>
          <w:sz w:val="24"/>
          <w:szCs w:val="24"/>
          <w:highlight w:val="none"/>
          <w:u w:val="single"/>
          <w:lang w:eastAsia="zh-CN"/>
        </w:rPr>
        <w:t>。</w:t>
      </w:r>
    </w:p>
    <w:p w14:paraId="2C00A4C2">
      <w:pPr>
        <w:wordWrap w:val="0"/>
        <w:spacing w:line="360" w:lineRule="auto"/>
        <w:ind w:firstLine="424" w:firstLineChars="177"/>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3.6.2 </w:t>
      </w:r>
      <w:r>
        <w:rPr>
          <w:rFonts w:hint="eastAsia" w:ascii="宋体" w:hAnsi="宋体" w:eastAsia="宋体"/>
          <w:strike/>
          <w:dstrike w:val="0"/>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r>
        <w:rPr>
          <w:rFonts w:hint="eastAsia" w:ascii="宋体" w:hAnsi="宋体" w:eastAsia="宋体"/>
          <w:b/>
          <w:bCs/>
          <w:color w:val="auto"/>
          <w:sz w:val="24"/>
          <w:szCs w:val="24"/>
          <w:highlight w:val="none"/>
          <w:u w:val="single"/>
          <w:lang w:eastAsia="zh-CN"/>
        </w:rPr>
        <w:t>。</w:t>
      </w:r>
    </w:p>
    <w:p w14:paraId="54B8A12E">
      <w:pPr>
        <w:pBdr>
          <w:bottom w:val="single" w:color="auto" w:sz="6" w:space="1"/>
        </w:pBd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3.6.3 投标人得分=A+B+C+D</w:t>
      </w:r>
      <w:r>
        <w:rPr>
          <w:rFonts w:hint="eastAsia" w:ascii="宋体" w:hAnsi="宋体" w:eastAsia="宋体" w:cs="宋体"/>
          <w:b/>
          <w:bCs/>
          <w:strike/>
          <w:dstrike w:val="0"/>
          <w:color w:val="auto"/>
          <w:sz w:val="24"/>
          <w:szCs w:val="24"/>
          <w:highlight w:val="none"/>
          <w:u w:val="none"/>
        </w:rPr>
        <w:t>。</w:t>
      </w:r>
    </w:p>
    <w:p w14:paraId="253B0696">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20E2C921">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14:paraId="62A6D79E">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pgSz w:w="11905" w:h="16838"/>
          <w:pgMar w:top="1474" w:right="1701" w:bottom="1474" w:left="1701" w:header="720" w:footer="720" w:gutter="0"/>
          <w:cols w:space="720" w:num="1"/>
        </w:sectPr>
      </w:pPr>
    </w:p>
    <w:p w14:paraId="463B2BBF">
      <w:pPr>
        <w:keepNext/>
        <w:keepLines/>
        <w:wordWrap w:val="0"/>
        <w:spacing w:line="360" w:lineRule="auto"/>
        <w:jc w:val="left"/>
        <w:outlineLvl w:val="1"/>
        <w:rPr>
          <w:rFonts w:ascii="宋体" w:hAnsi="宋体" w:eastAsia="宋体" w:cs="宋体"/>
          <w:b/>
          <w:bCs/>
          <w:color w:val="auto"/>
          <w:kern w:val="0"/>
          <w:sz w:val="30"/>
          <w:szCs w:val="30"/>
          <w:highlight w:val="none"/>
          <w:lang w:val="zh-CN"/>
        </w:rPr>
      </w:pPr>
      <w:bookmarkStart w:id="185" w:name="_Toc193358004"/>
      <w:bookmarkStart w:id="186" w:name="_Toc111186788"/>
      <w:bookmarkStart w:id="187" w:name="_Toc2009"/>
      <w:r>
        <w:rPr>
          <w:rFonts w:hint="eastAsia" w:ascii="宋体" w:hAnsi="宋体" w:eastAsia="宋体" w:cs="宋体"/>
          <w:b/>
          <w:bCs/>
          <w:color w:val="auto"/>
          <w:kern w:val="0"/>
          <w:sz w:val="30"/>
          <w:szCs w:val="30"/>
          <w:highlight w:val="none"/>
          <w:lang w:val="zh-CN"/>
        </w:rPr>
        <w:t>1. 评标方法</w:t>
      </w:r>
      <w:bookmarkEnd w:id="185"/>
      <w:bookmarkEnd w:id="186"/>
      <w:bookmarkEnd w:id="187"/>
    </w:p>
    <w:p w14:paraId="670A25B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0B55A378">
      <w:pPr>
        <w:wordWrap w:val="0"/>
        <w:spacing w:line="360" w:lineRule="auto"/>
        <w:ind w:firstLine="480" w:firstLineChars="200"/>
        <w:rPr>
          <w:rFonts w:ascii="宋体" w:hAnsi="宋体" w:eastAsia="宋体" w:cs="宋体"/>
          <w:color w:val="auto"/>
          <w:sz w:val="24"/>
          <w:szCs w:val="24"/>
          <w:highlight w:val="none"/>
        </w:rPr>
      </w:pPr>
    </w:p>
    <w:p w14:paraId="6F6CD8BB">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88" w:name="_Toc16715"/>
      <w:bookmarkStart w:id="189" w:name="_Toc193358005"/>
      <w:bookmarkStart w:id="190" w:name="_Toc111186789"/>
      <w:r>
        <w:rPr>
          <w:rFonts w:hint="eastAsia" w:ascii="宋体" w:hAnsi="宋体" w:eastAsia="宋体" w:cs="宋体"/>
          <w:b/>
          <w:bCs/>
          <w:color w:val="auto"/>
          <w:spacing w:val="1"/>
          <w:kern w:val="0"/>
          <w:sz w:val="30"/>
          <w:szCs w:val="30"/>
          <w:highlight w:val="none"/>
          <w:lang w:val="zh-CN"/>
        </w:rPr>
        <w:t>2. 评审标准</w:t>
      </w:r>
      <w:bookmarkEnd w:id="188"/>
      <w:bookmarkEnd w:id="189"/>
      <w:bookmarkEnd w:id="190"/>
    </w:p>
    <w:p w14:paraId="3DC3693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1" w:name="_Toc193358006"/>
      <w:r>
        <w:rPr>
          <w:rFonts w:hint="eastAsia" w:ascii="宋体" w:hAnsi="宋体" w:eastAsia="宋体" w:cs="宋体"/>
          <w:b/>
          <w:bCs/>
          <w:color w:val="auto"/>
          <w:spacing w:val="1"/>
          <w:sz w:val="28"/>
          <w:szCs w:val="32"/>
          <w:highlight w:val="none"/>
          <w:lang w:val="zh-CN"/>
        </w:rPr>
        <w:t>2.1 初步评审标准</w:t>
      </w:r>
      <w:bookmarkEnd w:id="191"/>
    </w:p>
    <w:p w14:paraId="19CEFC8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商务文件形式评审标准：见评标办法前附表。</w:t>
      </w:r>
    </w:p>
    <w:p w14:paraId="34BB39F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0DAB679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2.1.3（1）商务文件响应性评审标准：见评标办法前附表。</w:t>
      </w:r>
    </w:p>
    <w:p w14:paraId="1943A65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2.1.3（2）技术文件初步评审标准：见评标办法前附表。</w:t>
      </w:r>
    </w:p>
    <w:p w14:paraId="53508482">
      <w:pPr>
        <w:wordWrap w:val="0"/>
        <w:spacing w:line="360" w:lineRule="auto"/>
        <w:ind w:firstLine="480" w:firstLineChars="200"/>
        <w:rPr>
          <w:rFonts w:ascii="宋体" w:hAnsi="宋体" w:eastAsia="宋体" w:cs="宋体"/>
          <w:color w:val="auto"/>
          <w:sz w:val="24"/>
          <w:szCs w:val="24"/>
          <w:highlight w:val="none"/>
        </w:rPr>
      </w:pPr>
    </w:p>
    <w:p w14:paraId="52F85E9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2" w:name="_Toc193358007"/>
      <w:r>
        <w:rPr>
          <w:rFonts w:hint="eastAsia" w:ascii="宋体" w:hAnsi="宋体" w:eastAsia="宋体" w:cs="宋体"/>
          <w:b/>
          <w:bCs/>
          <w:color w:val="auto"/>
          <w:spacing w:val="1"/>
          <w:sz w:val="28"/>
          <w:szCs w:val="32"/>
          <w:highlight w:val="none"/>
          <w:lang w:val="zh-CN"/>
        </w:rPr>
        <w:t>2.2 分值构成与评分标准</w:t>
      </w:r>
      <w:bookmarkEnd w:id="192"/>
    </w:p>
    <w:p w14:paraId="1FF4080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6FE505D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（1）商务文件部分：见评标办法前附表；</w:t>
      </w:r>
    </w:p>
    <w:p w14:paraId="401D779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（2）技术文件部分：见评标办法前附表；</w:t>
      </w:r>
    </w:p>
    <w:p w14:paraId="4581090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0245694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14:paraId="3BE59B8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728D04E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270207D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13F432C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1A4DBEF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33A2B63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（1）商务文件评分标准：见评标办法前附表；</w:t>
      </w:r>
    </w:p>
    <w:p w14:paraId="0434F1D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（2）技术文件评分标准：见评标办法前附表；</w:t>
      </w:r>
    </w:p>
    <w:p w14:paraId="7E2F604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25B4CB6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14:paraId="23EC2362">
      <w:pPr>
        <w:wordWrap w:val="0"/>
        <w:spacing w:line="360" w:lineRule="auto"/>
        <w:ind w:firstLine="480" w:firstLineChars="200"/>
        <w:rPr>
          <w:rFonts w:ascii="宋体" w:hAnsi="宋体" w:eastAsia="宋体" w:cs="宋体"/>
          <w:strike/>
          <w:color w:val="auto"/>
          <w:sz w:val="24"/>
          <w:szCs w:val="24"/>
          <w:highlight w:val="none"/>
        </w:rPr>
      </w:pPr>
    </w:p>
    <w:p w14:paraId="35162ED5">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93" w:name="_Toc111186790"/>
      <w:bookmarkStart w:id="194" w:name="_Toc24342"/>
      <w:bookmarkStart w:id="195" w:name="_Toc193358008"/>
      <w:r>
        <w:rPr>
          <w:rFonts w:hint="eastAsia" w:ascii="宋体" w:hAnsi="宋体" w:eastAsia="宋体" w:cs="宋体"/>
          <w:b/>
          <w:bCs/>
          <w:color w:val="auto"/>
          <w:spacing w:val="1"/>
          <w:kern w:val="0"/>
          <w:sz w:val="30"/>
          <w:szCs w:val="30"/>
          <w:highlight w:val="none"/>
          <w:lang w:val="zh-CN"/>
        </w:rPr>
        <w:t>3. 评标程序</w:t>
      </w:r>
      <w:bookmarkEnd w:id="193"/>
      <w:bookmarkEnd w:id="194"/>
      <w:bookmarkEnd w:id="195"/>
    </w:p>
    <w:p w14:paraId="6E7A5F2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评标活动按以下</w:t>
      </w:r>
      <w:r>
        <w:rPr>
          <w:rFonts w:hint="eastAsia" w:ascii="宋体" w:hAnsi="宋体" w:eastAsia="宋体" w:cs="宋体"/>
          <w:strike/>
          <w:dstrike w:val="0"/>
          <w:color w:val="auto"/>
          <w:sz w:val="24"/>
          <w:szCs w:val="24"/>
          <w:highlight w:val="none"/>
        </w:rPr>
        <w:t>六个</w:t>
      </w:r>
      <w:r>
        <w:rPr>
          <w:rFonts w:hint="eastAsia" w:ascii="宋体" w:hAnsi="宋体" w:eastAsia="宋体" w:cs="宋体"/>
          <w:color w:val="auto"/>
          <w:sz w:val="24"/>
          <w:szCs w:val="24"/>
          <w:highlight w:val="none"/>
        </w:rPr>
        <w:t>步骤进行：</w:t>
      </w:r>
    </w:p>
    <w:p w14:paraId="52E23B4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3699047E">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（2）商务文件详细评审；</w:t>
      </w:r>
    </w:p>
    <w:p w14:paraId="3E5C122C">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（3）技术文件初步评审；</w:t>
      </w:r>
    </w:p>
    <w:p w14:paraId="08003EE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（4）技术文件详细评审；</w:t>
      </w:r>
    </w:p>
    <w:p w14:paraId="01EB4409">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（5）揭晓技术文件评审结果；</w:t>
      </w:r>
    </w:p>
    <w:p w14:paraId="23D2BD9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14:paraId="28CEA20A">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541C118F">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r>
        <w:rPr>
          <w:rFonts w:hint="eastAsia" w:ascii="宋体" w:hAnsi="宋体" w:eastAsia="宋体" w:cs="宋体"/>
          <w:color w:val="auto"/>
          <w:sz w:val="24"/>
          <w:szCs w:val="24"/>
          <w:highlight w:val="none"/>
        </w:rPr>
        <w:t>。</w:t>
      </w:r>
    </w:p>
    <w:p w14:paraId="53DA7D8E">
      <w:pPr>
        <w:wordWrap w:val="0"/>
        <w:spacing w:line="360" w:lineRule="auto"/>
        <w:ind w:firstLine="480" w:firstLineChars="200"/>
        <w:rPr>
          <w:rFonts w:ascii="宋体" w:hAnsi="宋体" w:eastAsia="宋体" w:cs="宋体"/>
          <w:color w:val="auto"/>
          <w:sz w:val="24"/>
          <w:szCs w:val="24"/>
          <w:highlight w:val="none"/>
        </w:rPr>
      </w:pPr>
      <w:bookmarkStart w:id="196" w:name="_Toc6080"/>
      <w:bookmarkStart w:id="197" w:name="_Toc111186791"/>
    </w:p>
    <w:p w14:paraId="000F8BE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8" w:name="_Toc193358010"/>
      <w:r>
        <w:rPr>
          <w:rFonts w:hint="eastAsia" w:ascii="宋体" w:hAnsi="宋体" w:eastAsia="宋体" w:cs="宋体"/>
          <w:b/>
          <w:bCs/>
          <w:color w:val="auto"/>
          <w:spacing w:val="1"/>
          <w:sz w:val="28"/>
          <w:szCs w:val="32"/>
          <w:highlight w:val="none"/>
          <w:lang w:val="zh-CN"/>
        </w:rPr>
        <w:t xml:space="preserve">3.1 </w:t>
      </w:r>
      <w:bookmarkEnd w:id="198"/>
      <w:r>
        <w:rPr>
          <w:rFonts w:hint="eastAsia" w:ascii="宋体" w:hAnsi="宋体" w:eastAsia="宋体" w:cs="宋体"/>
          <w:b/>
          <w:bCs/>
          <w:strike/>
          <w:color w:val="auto"/>
          <w:spacing w:val="1"/>
          <w:sz w:val="28"/>
          <w:szCs w:val="32"/>
          <w:highlight w:val="none"/>
          <w:lang w:val="zh-CN"/>
        </w:rPr>
        <w:t>商务文件初步评审及资格评审</w:t>
      </w:r>
      <w:r>
        <w:rPr>
          <w:rFonts w:hint="eastAsia" w:ascii="宋体" w:hAnsi="宋体" w:eastAsia="宋体" w:cs="宋体"/>
          <w:b/>
          <w:bCs/>
          <w:color w:val="auto"/>
          <w:spacing w:val="1"/>
          <w:sz w:val="28"/>
          <w:szCs w:val="32"/>
          <w:highlight w:val="none"/>
          <w:u w:val="single"/>
          <w:lang w:val="zh-CN"/>
        </w:rPr>
        <w:t>商务文件形式评审、资格评审、商务文件响应性评审</w:t>
      </w:r>
    </w:p>
    <w:p w14:paraId="1A723C9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2B8A413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3.1.1.1 商务文件形式评审：</w:t>
      </w:r>
    </w:p>
    <w:p w14:paraId="71F3EFA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评标委员会根据评标办法前附表中规定的评审因素和评审标准，对投标人的商务文件进行形式评审。通过商务文件形式评审的投标文件方可参加下一阶段评审程序。</w:t>
      </w:r>
    </w:p>
    <w:p w14:paraId="363EE23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3.1.1.2 资格评审：</w:t>
      </w:r>
    </w:p>
    <w:p w14:paraId="2579498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39056E1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3.1.1.3 商务文件响应性评审：</w:t>
      </w:r>
    </w:p>
    <w:p w14:paraId="205D6A3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3AC044C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7D1B51B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1C1BE2D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74DAB6B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w:t>
      </w:r>
    </w:p>
    <w:p w14:paraId="05A0451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（4）评标办法规定的其他应当否决其投标的情形。</w:t>
      </w:r>
    </w:p>
    <w:p w14:paraId="7086C58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7D551E97">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（1）投标文件中的大写金额与小写金额不一致的，以大写金额为准；</w:t>
      </w:r>
    </w:p>
    <w:p w14:paraId="4583709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r>
        <w:rPr>
          <w:rFonts w:hint="eastAsia" w:ascii="宋体" w:hAnsi="宋体" w:eastAsia="宋体" w:cs="宋体"/>
          <w:color w:val="auto"/>
          <w:sz w:val="24"/>
          <w:szCs w:val="24"/>
          <w:highlight w:val="none"/>
        </w:rPr>
        <w:t>。</w:t>
      </w:r>
    </w:p>
    <w:p w14:paraId="22AE479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r>
        <w:rPr>
          <w:rFonts w:hint="eastAsia" w:ascii="宋体" w:hAnsi="宋体" w:cs="宋体"/>
          <w:b/>
          <w:bCs/>
          <w:color w:val="auto"/>
          <w:sz w:val="24"/>
          <w:szCs w:val="24"/>
          <w:highlight w:val="none"/>
          <w:u w:val="single"/>
          <w:lang w:eastAsia="zh-CN"/>
        </w:rPr>
        <w:t>；</w:t>
      </w:r>
    </w:p>
    <w:p w14:paraId="61EA72A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lang w:eastAsia="zh-CN"/>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p w14:paraId="455D3027">
      <w:pPr>
        <w:pStyle w:val="2"/>
      </w:pPr>
    </w:p>
    <w:p w14:paraId="5E82C2F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597F735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有效投标不足三个的，评标委员会应当对投标是否明显缺乏竞争和是否需要否决全部投标进行充分论证，并在评标报告中记载论证过程和结果。</w:t>
      </w:r>
    </w:p>
    <w:p w14:paraId="0A3A069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3.1.6 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6F1BFE8F">
      <w:pPr>
        <w:wordWrap w:val="0"/>
        <w:spacing w:line="360" w:lineRule="auto"/>
        <w:ind w:firstLine="480" w:firstLineChars="200"/>
        <w:rPr>
          <w:rFonts w:ascii="宋体" w:hAnsi="宋体" w:eastAsia="宋体" w:cs="宋体"/>
          <w:color w:val="auto"/>
          <w:sz w:val="24"/>
          <w:szCs w:val="24"/>
          <w:highlight w:val="none"/>
        </w:rPr>
      </w:pPr>
    </w:p>
    <w:p w14:paraId="2001B22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9" w:name="_Toc193358011"/>
      <w:r>
        <w:rPr>
          <w:rFonts w:hint="eastAsia" w:ascii="宋体" w:hAnsi="宋体" w:eastAsia="宋体" w:cs="宋体"/>
          <w:b/>
          <w:bCs/>
          <w:color w:val="auto"/>
          <w:spacing w:val="1"/>
          <w:sz w:val="28"/>
          <w:szCs w:val="32"/>
          <w:highlight w:val="none"/>
          <w:lang w:val="zh-CN"/>
        </w:rPr>
        <w:t xml:space="preserve">3.2 </w:t>
      </w:r>
      <w:bookmarkEnd w:id="199"/>
      <w:r>
        <w:rPr>
          <w:rFonts w:hint="eastAsia" w:ascii="宋体" w:hAnsi="宋体" w:eastAsia="宋体" w:cs="宋体"/>
          <w:b/>
          <w:bCs/>
          <w:color w:val="auto"/>
          <w:spacing w:val="1"/>
          <w:sz w:val="28"/>
          <w:szCs w:val="32"/>
          <w:highlight w:val="none"/>
          <w:lang w:val="zh-CN"/>
        </w:rPr>
        <w:t>商务文件详细评审</w:t>
      </w:r>
    </w:p>
    <w:p w14:paraId="2A5C688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评标委员会按本章第2.2款规定的量化因素和分值进行打分，并计算出综合得分。</w:t>
      </w:r>
    </w:p>
    <w:p w14:paraId="43D79F7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420CC30A">
      <w:pPr>
        <w:wordWrap w:val="0"/>
        <w:spacing w:line="360" w:lineRule="auto"/>
        <w:ind w:firstLine="480" w:firstLineChars="200"/>
        <w:rPr>
          <w:rFonts w:ascii="宋体" w:hAnsi="宋体" w:eastAsia="宋体" w:cs="宋体"/>
          <w:color w:val="auto"/>
          <w:sz w:val="24"/>
          <w:szCs w:val="24"/>
          <w:highlight w:val="none"/>
          <w:u w:val="single"/>
        </w:rPr>
      </w:pPr>
    </w:p>
    <w:p w14:paraId="7EA31C5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0" w:name="_Toc193358012"/>
      <w:r>
        <w:rPr>
          <w:rFonts w:hint="eastAsia" w:ascii="宋体" w:hAnsi="宋体" w:eastAsia="宋体" w:cs="宋体"/>
          <w:b/>
          <w:bCs/>
          <w:color w:val="auto"/>
          <w:spacing w:val="1"/>
          <w:sz w:val="28"/>
          <w:szCs w:val="32"/>
          <w:highlight w:val="none"/>
        </w:rPr>
        <w:t>3.3</w:t>
      </w:r>
      <w:r>
        <w:rPr>
          <w:rFonts w:ascii="宋体" w:hAnsi="宋体" w:eastAsia="宋体" w:cs="宋体"/>
          <w:b/>
          <w:bCs/>
          <w:color w:val="auto"/>
          <w:spacing w:val="1"/>
          <w:sz w:val="28"/>
          <w:szCs w:val="32"/>
          <w:highlight w:val="none"/>
        </w:rPr>
        <w:t xml:space="preserve"> </w:t>
      </w:r>
      <w:bookmarkEnd w:id="200"/>
      <w:r>
        <w:rPr>
          <w:rFonts w:hint="eastAsia" w:ascii="宋体" w:hAnsi="宋体" w:eastAsia="宋体" w:cs="宋体"/>
          <w:b/>
          <w:bCs/>
          <w:color w:val="auto"/>
          <w:spacing w:val="1"/>
          <w:sz w:val="28"/>
          <w:szCs w:val="32"/>
          <w:highlight w:val="none"/>
          <w:lang w:val="zh-CN"/>
        </w:rPr>
        <w:t>技术文件初步评审</w:t>
      </w:r>
    </w:p>
    <w:p w14:paraId="492451B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评标委员会依据本章第2.1.3（2）款规定的标准对投标文件进行技术文件初步评审。有一项不符合评审标准的，评标委员会应当否决其投标，未能通过技术文件初步评审的投标文件不能参加下一阶段评审程序。</w:t>
      </w:r>
    </w:p>
    <w:p w14:paraId="11602F5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评标时若遇不可抗力发生（如：网络瘫痪、服务器损坏、交易系统故障短期无法恢复等因素），由评标委员会开启现场递交的全部备用投标文件光盘，并按备用光盘内容进行评审。</w:t>
      </w:r>
    </w:p>
    <w:p w14:paraId="5282266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14:paraId="6608AC5D">
      <w:pPr>
        <w:wordWrap w:val="0"/>
        <w:spacing w:line="360" w:lineRule="auto"/>
        <w:ind w:firstLine="480" w:firstLineChars="200"/>
        <w:rPr>
          <w:rFonts w:ascii="宋体" w:hAnsi="宋体" w:eastAsia="宋体" w:cs="宋体"/>
          <w:color w:val="auto"/>
          <w:sz w:val="24"/>
          <w:szCs w:val="24"/>
          <w:highlight w:val="none"/>
          <w:u w:val="single"/>
        </w:rPr>
      </w:pPr>
    </w:p>
    <w:p w14:paraId="75C94F49">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1" w:name="_Toc193358013"/>
      <w:r>
        <w:rPr>
          <w:rFonts w:hint="eastAsia" w:ascii="宋体" w:hAnsi="宋体" w:eastAsia="宋体" w:cs="宋体"/>
          <w:b/>
          <w:bCs/>
          <w:color w:val="auto"/>
          <w:spacing w:val="1"/>
          <w:sz w:val="28"/>
          <w:szCs w:val="32"/>
          <w:highlight w:val="none"/>
        </w:rPr>
        <w:t xml:space="preserve">3.4 </w:t>
      </w:r>
      <w:bookmarkEnd w:id="201"/>
      <w:r>
        <w:rPr>
          <w:rFonts w:hint="eastAsia" w:ascii="宋体" w:hAnsi="宋体" w:eastAsia="宋体" w:cs="宋体"/>
          <w:b/>
          <w:bCs/>
          <w:color w:val="auto"/>
          <w:spacing w:val="1"/>
          <w:sz w:val="28"/>
          <w:szCs w:val="32"/>
          <w:highlight w:val="none"/>
        </w:rPr>
        <w:t>技术文件详细评审</w:t>
      </w:r>
    </w:p>
    <w:p w14:paraId="75DF1B9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评标委员会按本章第2.2款规定的量化因素和分值进行打分，并计算出综合得分。</w:t>
      </w:r>
    </w:p>
    <w:p w14:paraId="0D1EB37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dstrike w:val="0"/>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6DD7E1C0">
      <w:pPr>
        <w:wordWrap w:val="0"/>
        <w:spacing w:line="360" w:lineRule="auto"/>
        <w:ind w:firstLine="480" w:firstLineChars="200"/>
        <w:rPr>
          <w:rFonts w:ascii="宋体" w:hAnsi="宋体" w:eastAsia="宋体" w:cs="宋体"/>
          <w:color w:val="auto"/>
          <w:sz w:val="24"/>
          <w:szCs w:val="24"/>
          <w:highlight w:val="none"/>
          <w:u w:val="single"/>
        </w:rPr>
      </w:pPr>
    </w:p>
    <w:p w14:paraId="0DFC76D1">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2" w:name="_Toc193358014"/>
      <w:r>
        <w:rPr>
          <w:rFonts w:hint="eastAsia" w:ascii="宋体" w:hAnsi="宋体" w:eastAsia="宋体" w:cs="宋体"/>
          <w:b/>
          <w:bCs/>
          <w:color w:val="auto"/>
          <w:spacing w:val="1"/>
          <w:sz w:val="28"/>
          <w:szCs w:val="32"/>
          <w:highlight w:val="none"/>
        </w:rPr>
        <w:t xml:space="preserve">3.5 </w:t>
      </w:r>
      <w:bookmarkEnd w:id="202"/>
      <w:r>
        <w:rPr>
          <w:rFonts w:hint="eastAsia" w:ascii="宋体" w:hAnsi="宋体" w:eastAsia="宋体" w:cs="宋体"/>
          <w:b/>
          <w:bCs/>
          <w:color w:val="auto"/>
          <w:spacing w:val="1"/>
          <w:sz w:val="28"/>
          <w:szCs w:val="32"/>
          <w:highlight w:val="none"/>
        </w:rPr>
        <w:t>揭晓技术文件评审结果</w:t>
      </w:r>
    </w:p>
    <w:p w14:paraId="2966F15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由评标委员会在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电子交易系统揭晓，系统自动形成暗标编码表显示各投标单位对应的编码，并由评标委员会确认投标人技术文件的评审得分。</w:t>
      </w:r>
    </w:p>
    <w:p w14:paraId="6D456008">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3" w:name="_Toc193358015"/>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6</w:t>
      </w:r>
      <w:r>
        <w:rPr>
          <w:rFonts w:hint="eastAsia" w:ascii="宋体" w:hAnsi="宋体" w:eastAsia="宋体" w:cs="宋体"/>
          <w:b/>
          <w:bCs/>
          <w:color w:val="auto"/>
          <w:spacing w:val="1"/>
          <w:sz w:val="28"/>
          <w:szCs w:val="32"/>
          <w:highlight w:val="none"/>
        </w:rPr>
        <w:t xml:space="preserve"> </w:t>
      </w:r>
      <w:bookmarkEnd w:id="203"/>
      <w:r>
        <w:rPr>
          <w:rFonts w:hint="eastAsia" w:ascii="宋体" w:hAnsi="宋体" w:eastAsia="宋体" w:cs="宋体"/>
          <w:b/>
          <w:bCs/>
          <w:strike/>
          <w:dstrike w:val="0"/>
          <w:color w:val="auto"/>
          <w:spacing w:val="1"/>
          <w:sz w:val="28"/>
          <w:szCs w:val="32"/>
          <w:highlight w:val="none"/>
        </w:rPr>
        <w:t>汇总投标人总得分</w:t>
      </w:r>
      <w:r>
        <w:rPr>
          <w:rFonts w:hint="eastAsia" w:ascii="宋体" w:hAnsi="宋体" w:eastAsia="宋体" w:cs="宋体"/>
          <w:b/>
          <w:bCs/>
          <w:color w:val="auto"/>
          <w:spacing w:val="1"/>
          <w:sz w:val="28"/>
          <w:szCs w:val="32"/>
          <w:highlight w:val="none"/>
          <w:u w:val="single"/>
        </w:rPr>
        <w:t>报价评审及</w:t>
      </w:r>
      <w:r>
        <w:rPr>
          <w:rFonts w:hint="eastAsia" w:ascii="宋体" w:hAnsi="宋体" w:eastAsia="宋体" w:cs="宋体"/>
          <w:b/>
          <w:bCs/>
          <w:color w:val="auto"/>
          <w:spacing w:val="1"/>
          <w:sz w:val="28"/>
          <w:szCs w:val="32"/>
          <w:highlight w:val="none"/>
        </w:rPr>
        <w:t>汇总投标人总得分</w:t>
      </w:r>
    </w:p>
    <w:p w14:paraId="11DD391A">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strike/>
          <w:dstrike w:val="0"/>
          <w:color w:val="auto"/>
          <w:sz w:val="24"/>
          <w:szCs w:val="24"/>
          <w:highlight w:val="none"/>
        </w:rPr>
        <w:t>评标委员会按本章第2.2款规定的量化因素和分值进行打分，并计算出综合得分。</w:t>
      </w:r>
    </w:p>
    <w:p w14:paraId="6EE463CC">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（1）按本章第2.2.4（1）目规定的评审因素和分值对商务文件部分计算出得分A；</w:t>
      </w:r>
    </w:p>
    <w:p w14:paraId="4AD582A5">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（2）按本章第2.2.4（2）目规定的评审因素和分值对技术文件部分计算出得分B；</w:t>
      </w:r>
    </w:p>
    <w:p w14:paraId="7C01BF64">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（3）按本章第2.2.4（3）目规定的评审因素和分值对投标报价计算出得分C；</w:t>
      </w:r>
    </w:p>
    <w:p w14:paraId="6A185C28">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（4）按本章第2.2.4（4）目规定的评审因素和分值对其他部分计算出得分D。</w:t>
      </w:r>
    </w:p>
    <w:p w14:paraId="410199CC">
      <w:pPr>
        <w:wordWrap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r>
        <w:rPr>
          <w:rFonts w:hint="eastAsia" w:ascii="宋体" w:hAnsi="宋体" w:eastAsia="宋体"/>
          <w:b/>
          <w:bCs/>
          <w:color w:val="auto"/>
          <w:sz w:val="24"/>
          <w:szCs w:val="24"/>
          <w:highlight w:val="none"/>
          <w:u w:val="single"/>
          <w:lang w:eastAsia="zh-CN"/>
        </w:rPr>
        <w:t>。</w:t>
      </w:r>
    </w:p>
    <w:p w14:paraId="43945C0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strike/>
          <w:dstrike w:val="0"/>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r>
        <w:rPr>
          <w:rFonts w:hint="eastAsia" w:ascii="宋体" w:hAnsi="宋体" w:eastAsia="宋体"/>
          <w:b/>
          <w:bCs/>
          <w:color w:val="auto"/>
          <w:sz w:val="24"/>
          <w:szCs w:val="24"/>
          <w:highlight w:val="none"/>
          <w:u w:val="single"/>
          <w:lang w:eastAsia="zh-CN"/>
        </w:rPr>
        <w:t>。</w:t>
      </w:r>
    </w:p>
    <w:p w14:paraId="19821369">
      <w:pPr>
        <w:wordWrap w:val="0"/>
        <w:spacing w:line="360" w:lineRule="auto"/>
        <w:ind w:firstLine="480" w:firstLineChars="200"/>
        <w:rPr>
          <w:rFonts w:ascii="宋体" w:hAnsi="宋体" w:eastAsia="宋体" w:cs="宋体"/>
          <w:strike/>
          <w:dstrike w:val="0"/>
          <w:color w:val="auto"/>
          <w:sz w:val="24"/>
          <w:szCs w:val="24"/>
          <w:highlight w:val="none"/>
          <w:u w:val="single"/>
        </w:rPr>
      </w:pPr>
      <w:r>
        <w:rPr>
          <w:rFonts w:hint="eastAsia" w:ascii="宋体" w:hAnsi="宋体" w:eastAsia="宋体" w:cs="宋体"/>
          <w:strike/>
          <w:dstrike w:val="0"/>
          <w:color w:val="auto"/>
          <w:sz w:val="24"/>
          <w:szCs w:val="24"/>
          <w:highlight w:val="none"/>
        </w:rPr>
        <w:t>3.6.3 投标人得分=A+B+C+D。</w:t>
      </w:r>
    </w:p>
    <w:p w14:paraId="2E2F6A67">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4" w:name="_Toc193358016"/>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7</w:t>
      </w:r>
      <w:r>
        <w:rPr>
          <w:rFonts w:hint="eastAsia" w:ascii="宋体" w:hAnsi="宋体" w:eastAsia="宋体" w:cs="宋体"/>
          <w:b/>
          <w:bCs/>
          <w:color w:val="auto"/>
          <w:spacing w:val="1"/>
          <w:sz w:val="28"/>
          <w:szCs w:val="32"/>
          <w:highlight w:val="none"/>
        </w:rPr>
        <w:t xml:space="preserve"> </w:t>
      </w:r>
      <w:bookmarkEnd w:id="204"/>
      <w:r>
        <w:rPr>
          <w:rFonts w:hint="eastAsia" w:ascii="宋体" w:hAnsi="宋体" w:eastAsia="宋体" w:cs="宋体"/>
          <w:b/>
          <w:bCs/>
          <w:color w:val="auto"/>
          <w:spacing w:val="1"/>
          <w:sz w:val="28"/>
          <w:szCs w:val="32"/>
          <w:highlight w:val="none"/>
        </w:rPr>
        <w:t>投标文件的澄清</w:t>
      </w:r>
    </w:p>
    <w:p w14:paraId="4A0D9CF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074B9AA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 澄清、说明或补正不得超出投标文件的范围且不得改变投标文件实质性内容，并构成投标文件的组成部分。</w:t>
      </w:r>
    </w:p>
    <w:p w14:paraId="7A78DA3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评标委员会对投标人提交的澄清、说明或补正有疑问的，可以要求投标人进一步澄清、说明或补正，直到满足评标委员会的要求。</w:t>
      </w:r>
    </w:p>
    <w:p w14:paraId="6C11C14A">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3125DA">
      <w:pPr>
        <w:wordWrap w:val="0"/>
        <w:spacing w:line="360" w:lineRule="auto"/>
        <w:ind w:firstLine="480" w:firstLineChars="200"/>
        <w:rPr>
          <w:rFonts w:ascii="宋体" w:hAnsi="宋体" w:eastAsia="宋体" w:cs="宋体"/>
          <w:color w:val="auto"/>
          <w:sz w:val="24"/>
          <w:szCs w:val="24"/>
          <w:highlight w:val="none"/>
        </w:rPr>
      </w:pPr>
    </w:p>
    <w:p w14:paraId="5C202CD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5" w:name="_Toc193358018"/>
      <w:r>
        <w:rPr>
          <w:rFonts w:hint="eastAsia" w:ascii="宋体" w:hAnsi="宋体" w:eastAsia="宋体" w:cs="宋体"/>
          <w:b/>
          <w:bCs/>
          <w:color w:val="auto"/>
          <w:spacing w:val="1"/>
          <w:sz w:val="28"/>
          <w:szCs w:val="32"/>
          <w:highlight w:val="none"/>
          <w:lang w:val="zh-CN"/>
        </w:rPr>
        <w:t>3.</w:t>
      </w:r>
      <w:r>
        <w:rPr>
          <w:rFonts w:hint="eastAsia" w:ascii="宋体" w:hAnsi="宋体" w:eastAsia="宋体" w:cs="宋体"/>
          <w:b/>
          <w:bCs/>
          <w:color w:val="auto"/>
          <w:spacing w:val="1"/>
          <w:sz w:val="28"/>
          <w:szCs w:val="32"/>
          <w:highlight w:val="none"/>
        </w:rPr>
        <w:t>8</w:t>
      </w:r>
      <w:r>
        <w:rPr>
          <w:rFonts w:hint="eastAsia" w:ascii="宋体" w:hAnsi="宋体" w:eastAsia="宋体" w:cs="宋体"/>
          <w:b/>
          <w:bCs/>
          <w:color w:val="auto"/>
          <w:spacing w:val="1"/>
          <w:sz w:val="28"/>
          <w:szCs w:val="32"/>
          <w:highlight w:val="none"/>
          <w:lang w:val="zh-CN"/>
        </w:rPr>
        <w:t xml:space="preserve"> 评标结果</w:t>
      </w:r>
      <w:bookmarkEnd w:id="205"/>
    </w:p>
    <w:p w14:paraId="670461A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3.8.1 除第二章“投标人须知”前附表授权直接确定中标人外，评标委员会按照得分由高到低的顺序推荐中标候选人，并标明排序。</w:t>
      </w:r>
    </w:p>
    <w:p w14:paraId="2E24146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评标委员会完成评标后，应当向招标人提交书面评标报告和中标候选人名单。</w:t>
      </w:r>
    </w:p>
    <w:p w14:paraId="7B4F148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3.8.3 如采用评标定标分离方法的，按相关规定执行。</w:t>
      </w:r>
    </w:p>
    <w:bookmarkEnd w:id="196"/>
    <w:bookmarkEnd w:id="197"/>
    <w:p w14:paraId="23D3F868">
      <w:pPr>
        <w:widowControl/>
        <w:wordWrap w:val="0"/>
        <w:jc w:val="left"/>
        <w:rPr>
          <w:rFonts w:ascii="宋体" w:hAnsi="宋体" w:eastAsia="宋体" w:cs="宋体"/>
          <w:b/>
          <w:bCs/>
          <w:color w:val="auto"/>
          <w:kern w:val="0"/>
          <w:sz w:val="24"/>
          <w:szCs w:val="24"/>
          <w:highlight w:val="none"/>
          <w:lang w:val="zh-CN"/>
        </w:rPr>
      </w:pPr>
      <w:r>
        <w:rPr>
          <w:rFonts w:ascii="宋体" w:hAnsi="宋体" w:eastAsia="宋体" w:cs="宋体"/>
          <w:b/>
          <w:bCs/>
          <w:color w:val="auto"/>
          <w:kern w:val="0"/>
          <w:sz w:val="24"/>
          <w:szCs w:val="24"/>
          <w:highlight w:val="none"/>
          <w:lang w:val="zh-CN"/>
        </w:rPr>
        <w:br w:type="page"/>
      </w:r>
    </w:p>
    <w:p w14:paraId="02AC5C42">
      <w:pPr>
        <w:keepNext/>
        <w:keepLines/>
        <w:wordWrap w:val="0"/>
        <w:spacing w:line="360" w:lineRule="auto"/>
        <w:ind w:firstLine="482" w:firstLineChars="200"/>
        <w:jc w:val="center"/>
        <w:outlineLvl w:val="1"/>
        <w:rPr>
          <w:rFonts w:ascii="宋体" w:hAnsi="宋体" w:eastAsia="宋体" w:cs="宋体"/>
          <w:b/>
          <w:bCs/>
          <w:color w:val="auto"/>
          <w:kern w:val="0"/>
          <w:sz w:val="24"/>
          <w:szCs w:val="24"/>
          <w:highlight w:val="none"/>
          <w:lang w:val="zh-CN"/>
        </w:rPr>
        <w:sectPr>
          <w:type w:val="continuous"/>
          <w:pgSz w:w="11905" w:h="16838"/>
          <w:pgMar w:top="1474" w:right="1701" w:bottom="1474" w:left="1701" w:header="720" w:footer="720" w:gutter="0"/>
          <w:cols w:space="720" w:num="1"/>
        </w:sectPr>
      </w:pPr>
    </w:p>
    <w:p w14:paraId="5198D18A">
      <w:pPr>
        <w:pStyle w:val="3"/>
        <w:rPr>
          <w:color w:val="auto"/>
          <w:highlight w:val="none"/>
        </w:rPr>
      </w:pPr>
      <w:bookmarkStart w:id="206" w:name="_Toc111186799"/>
      <w:bookmarkStart w:id="207" w:name="_Toc193358019"/>
      <w:r>
        <w:rPr>
          <w:rFonts w:hint="eastAsia"/>
          <w:color w:val="auto"/>
          <w:highlight w:val="none"/>
        </w:rPr>
        <w:t>第四章  合同条款及格式</w:t>
      </w:r>
      <w:bookmarkEnd w:id="206"/>
      <w:bookmarkEnd w:id="207"/>
    </w:p>
    <w:p w14:paraId="6EAB87B4">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4581E5CC">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4A27E0A9">
      <w:pPr>
        <w:wordWrap w:val="0"/>
        <w:autoSpaceDE w:val="0"/>
        <w:autoSpaceDN w:val="0"/>
        <w:spacing w:line="200" w:lineRule="exact"/>
        <w:jc w:val="left"/>
        <w:rPr>
          <w:rFonts w:ascii="宋体" w:hAnsi="宋体" w:eastAsia="宋体" w:cs="宋体"/>
          <w:color w:val="auto"/>
          <w:kern w:val="0"/>
          <w:sz w:val="20"/>
          <w:szCs w:val="20"/>
          <w:highlight w:val="none"/>
        </w:rPr>
        <w:sectPr>
          <w:type w:val="continuous"/>
          <w:pgSz w:w="11905" w:h="16838"/>
          <w:pgMar w:top="1474" w:right="1701" w:bottom="1474" w:left="1701" w:header="720" w:footer="720" w:gutter="0"/>
          <w:cols w:space="720" w:num="1"/>
          <w:docGrid w:linePitch="286" w:charSpace="0"/>
        </w:sectPr>
      </w:pPr>
    </w:p>
    <w:p w14:paraId="40AA5F28">
      <w:pPr>
        <w:pStyle w:val="3"/>
        <w:rPr>
          <w:color w:val="auto"/>
          <w:highlight w:val="none"/>
        </w:rPr>
      </w:pPr>
      <w:bookmarkStart w:id="208" w:name="_Toc111186800"/>
      <w:bookmarkStart w:id="209" w:name="_Toc193358020"/>
      <w:bookmarkStart w:id="210" w:name="_Toc82786981"/>
      <w:r>
        <w:rPr>
          <w:rFonts w:hint="eastAsia"/>
          <w:color w:val="auto"/>
          <w:highlight w:val="none"/>
        </w:rPr>
        <w:t>第二卷</w:t>
      </w:r>
      <w:bookmarkEnd w:id="208"/>
      <w:bookmarkEnd w:id="209"/>
      <w:bookmarkEnd w:id="210"/>
    </w:p>
    <w:p w14:paraId="2AA2E206">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cols w:space="720" w:num="1"/>
        </w:sectPr>
      </w:pPr>
    </w:p>
    <w:p w14:paraId="2A197223">
      <w:pPr>
        <w:pStyle w:val="3"/>
        <w:rPr>
          <w:color w:val="auto"/>
          <w:highlight w:val="none"/>
        </w:rPr>
      </w:pPr>
      <w:bookmarkStart w:id="211" w:name="_Toc193358021"/>
      <w:r>
        <w:rPr>
          <w:rFonts w:hint="eastAsia"/>
          <w:color w:val="auto"/>
          <w:highlight w:val="none"/>
        </w:rPr>
        <w:t xml:space="preserve">第五章 </w:t>
      </w:r>
      <w:r>
        <w:rPr>
          <w:color w:val="auto"/>
          <w:highlight w:val="none"/>
        </w:rPr>
        <w:t xml:space="preserve"> </w:t>
      </w:r>
      <w:r>
        <w:rPr>
          <w:rFonts w:hint="eastAsia"/>
          <w:color w:val="auto"/>
          <w:highlight w:val="none"/>
        </w:rPr>
        <w:t>发包人要求</w:t>
      </w:r>
      <w:bookmarkEnd w:id="211"/>
    </w:p>
    <w:p w14:paraId="2047AA02">
      <w:pPr>
        <w:adjustRightInd w:val="0"/>
        <w:spacing w:line="360" w:lineRule="auto"/>
        <w:ind w:firstLine="620" w:firstLineChars="193"/>
        <w:jc w:val="center"/>
        <w:rPr>
          <w:rFonts w:hint="eastAsia" w:ascii="宋体" w:hAnsi="宋体" w:eastAsia="宋体" w:cs="宋体"/>
          <w:b/>
          <w:sz w:val="24"/>
          <w:szCs w:val="24"/>
        </w:rPr>
      </w:pPr>
      <w:r>
        <w:rPr>
          <w:rFonts w:hint="eastAsia" w:ascii="宋体" w:hAnsi="宋体" w:eastAsia="宋体" w:cs="Times New Roman"/>
          <w:b/>
          <w:sz w:val="32"/>
          <w:szCs w:val="24"/>
        </w:rPr>
        <w:t>基础资料和勘察设计任务书</w:t>
      </w:r>
    </w:p>
    <w:p w14:paraId="7851CA5E">
      <w:pPr>
        <w:jc w:val="center"/>
        <w:rPr>
          <w:rFonts w:hint="eastAsia" w:ascii="宋体" w:hAnsi="宋体" w:eastAsia="宋体" w:cs="宋体"/>
          <w:sz w:val="24"/>
          <w:szCs w:val="24"/>
          <w:u w:val="single"/>
        </w:rPr>
      </w:pPr>
    </w:p>
    <w:p w14:paraId="74CD6877">
      <w:pPr>
        <w:adjustRightInd w:val="0"/>
        <w:spacing w:line="360" w:lineRule="auto"/>
        <w:rPr>
          <w:rFonts w:ascii="宋体" w:hAnsi="Times New Roman" w:eastAsia="宋体" w:cs="宋体"/>
          <w:b/>
          <w:sz w:val="28"/>
          <w:szCs w:val="28"/>
        </w:rPr>
      </w:pPr>
      <w:r>
        <w:rPr>
          <w:rFonts w:hint="eastAsia" w:ascii="宋体" w:hAnsi="宋体" w:eastAsia="宋体" w:cs="宋体"/>
          <w:b/>
          <w:sz w:val="28"/>
          <w:szCs w:val="28"/>
        </w:rPr>
        <w:t>一、项目概况</w:t>
      </w:r>
    </w:p>
    <w:p w14:paraId="072D81DD">
      <w:pPr>
        <w:adjustRightInd w:val="0"/>
        <w:spacing w:line="360" w:lineRule="auto"/>
        <w:ind w:firstLine="482" w:firstLineChars="200"/>
        <w:rPr>
          <w:rFonts w:ascii="宋体" w:hAnsi="Times New Roman" w:eastAsia="宋体" w:cs="宋体"/>
          <w:b/>
          <w:sz w:val="24"/>
          <w:szCs w:val="24"/>
        </w:rPr>
      </w:pPr>
      <w:bookmarkStart w:id="212" w:name="_Toc148063039"/>
      <w:bookmarkStart w:id="213" w:name="_Toc148082737"/>
      <w:r>
        <w:rPr>
          <w:rFonts w:hint="eastAsia" w:ascii="宋体" w:hAnsi="宋体" w:eastAsia="宋体" w:cs="宋体"/>
          <w:b/>
          <w:sz w:val="24"/>
          <w:szCs w:val="24"/>
        </w:rPr>
        <w:t>（一）项目名称</w:t>
      </w:r>
      <w:bookmarkEnd w:id="212"/>
      <w:bookmarkEnd w:id="213"/>
    </w:p>
    <w:p w14:paraId="77DBACA9">
      <w:pPr>
        <w:adjustRightInd w:val="0"/>
        <w:spacing w:line="360" w:lineRule="auto"/>
        <w:ind w:firstLine="480" w:firstLineChars="200"/>
        <w:rPr>
          <w:rFonts w:hint="eastAsia" w:ascii="宋体" w:hAnsi="宋体" w:eastAsia="宋体" w:cs="宋体"/>
          <w:sz w:val="24"/>
          <w:szCs w:val="24"/>
        </w:rPr>
      </w:pPr>
      <w:bookmarkStart w:id="214" w:name="_Toc148063040"/>
      <w:bookmarkStart w:id="215" w:name="_Toc148082738"/>
      <w:r>
        <w:rPr>
          <w:rFonts w:hint="eastAsia" w:ascii="宋体" w:hAnsi="宋体" w:eastAsia="宋体" w:cs="宋体"/>
          <w:sz w:val="24"/>
          <w:szCs w:val="24"/>
        </w:rPr>
        <w:t>项目名称：</w:t>
      </w:r>
      <w:bookmarkEnd w:id="214"/>
      <w:bookmarkEnd w:id="215"/>
      <w:bookmarkStart w:id="216" w:name="_Toc148082739"/>
      <w:bookmarkStart w:id="217" w:name="_Toc148063041"/>
      <w:r>
        <w:rPr>
          <w:rFonts w:hint="eastAsia" w:ascii="宋体" w:hAnsi="宋体" w:eastAsia="宋体" w:cs="宋体"/>
          <w:sz w:val="24"/>
          <w:szCs w:val="24"/>
        </w:rPr>
        <w:t>赤坭镇岭西大道二期建设项目勘察设计</w:t>
      </w:r>
    </w:p>
    <w:p w14:paraId="417BC422">
      <w:pPr>
        <w:adjustRightInd w:val="0"/>
        <w:spacing w:line="360" w:lineRule="auto"/>
        <w:ind w:firstLine="482" w:firstLineChars="200"/>
        <w:rPr>
          <w:rFonts w:ascii="宋体" w:hAnsi="Times New Roman" w:eastAsia="宋体" w:cs="宋体"/>
          <w:b/>
          <w:sz w:val="24"/>
          <w:szCs w:val="24"/>
        </w:rPr>
      </w:pPr>
      <w:r>
        <w:rPr>
          <w:rFonts w:hint="eastAsia" w:ascii="宋体" w:hAnsi="宋体" w:eastAsia="宋体" w:cs="宋体"/>
          <w:b/>
          <w:sz w:val="24"/>
          <w:szCs w:val="24"/>
        </w:rPr>
        <w:t>（二）项目建设地点</w:t>
      </w:r>
      <w:bookmarkEnd w:id="216"/>
      <w:bookmarkEnd w:id="217"/>
    </w:p>
    <w:p w14:paraId="44202631">
      <w:pPr>
        <w:adjustRightIn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本工程位于广州花都区，大体呈南北走向，南起岭西大道一期，北至新赤公路。</w:t>
      </w:r>
      <w:bookmarkStart w:id="218" w:name="_Toc148063043"/>
      <w:bookmarkStart w:id="219" w:name="_Toc148082741"/>
      <w:r>
        <w:rPr>
          <w:rFonts w:hint="eastAsia" w:ascii="宋体" w:hAnsi="宋体" w:eastAsia="宋体" w:cs="宋体"/>
          <w:b/>
          <w:sz w:val="24"/>
          <w:szCs w:val="24"/>
        </w:rPr>
        <w:t xml:space="preserve">  </w:t>
      </w:r>
    </w:p>
    <w:p w14:paraId="2065F77A">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二、工程设计</w:t>
      </w:r>
    </w:p>
    <w:p w14:paraId="02D3B65A">
      <w:pPr>
        <w:adjustRightInd w:val="0"/>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sz w:val="24"/>
          <w:szCs w:val="24"/>
        </w:rPr>
        <w:t>（一）、设计范围</w:t>
      </w:r>
      <w:bookmarkEnd w:id="218"/>
      <w:bookmarkEnd w:id="219"/>
    </w:p>
    <w:p w14:paraId="0F07428F">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（1）设计范围包含：</w:t>
      </w:r>
    </w:p>
    <w:p w14:paraId="249133B5">
      <w:pPr>
        <w:adjustRightIn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本项目</w:t>
      </w:r>
      <w:r>
        <w:rPr>
          <w:rFonts w:hint="eastAsia" w:ascii="宋体" w:hAnsi="宋体" w:eastAsia="宋体" w:cs="宋体"/>
          <w:sz w:val="24"/>
          <w:szCs w:val="24"/>
        </w:rPr>
        <w:t>南起岭西大道一期，北至新赤公路</w:t>
      </w:r>
      <w:r>
        <w:rPr>
          <w:rFonts w:hint="eastAsia" w:ascii="宋体" w:hAnsi="宋体" w:eastAsia="宋体" w:cs="宋体"/>
          <w:sz w:val="24"/>
          <w:szCs w:val="24"/>
          <w:u w:val="single"/>
        </w:rPr>
        <w:t>，项目全长约0.95千米，城市主干路，规划红线宽度60米，结合区域交通量需求和已建成岭西路一期路段，近期实施宽度30米，双向4车道，近期设计车速40千米/小时，预留远期提升至50千米/小时条件。主要建设内容包括：道路工程、桥涵工程、给排水工程（污水管：离心球墨铸铁管DN500，雨水管II级钢筋混凝土管d600~d800，排水管最大管径800mm；给水管：球墨铸铁管DN300，最大管径为300mm）、交通工程、绿化工程、照明工程、电气工程等专业。</w:t>
      </w:r>
    </w:p>
    <w:p w14:paraId="7179635E">
      <w:pPr>
        <w:adjustRightIn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Times New Roman"/>
          <w:kern w:val="0"/>
          <w:sz w:val="24"/>
          <w:szCs w:val="24"/>
        </w:rPr>
        <w:t>设计专业内容：</w:t>
      </w:r>
      <w:r>
        <w:rPr>
          <w:rFonts w:hint="eastAsia" w:ascii="宋体" w:hAnsi="宋体" w:eastAsia="宋体" w:cs="Times New Roman"/>
          <w:kern w:val="0"/>
          <w:sz w:val="24"/>
          <w:szCs w:val="24"/>
          <w:u w:val="single"/>
        </w:rPr>
        <w:t>■城市道路工程、■桥梁工程、□城市隧道工程、■排水工程、■给水工程、■照明工程、■交通工程、□城镇燃气工程、□热力工程、■绿化工程、■管线综合工程、□城市轨道交通工程、■电气工程、■海绵城市工程、■树木保护专章、■其他附属工程。</w:t>
      </w:r>
    </w:p>
    <w:p w14:paraId="58E60B54">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设计内容包括但不限于方案深化设计、初步设计、施工图设计、编制工程概算、编制工程预算、现场服务等。</w:t>
      </w:r>
    </w:p>
    <w:p w14:paraId="0C4D6ADD">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（2）工程设计设计界面以下达计划、立项批复、设计合同为原则（另有说明或纳入其它工程的除外）。</w:t>
      </w:r>
    </w:p>
    <w:p w14:paraId="11094F7E">
      <w:pPr>
        <w:adjustRightInd w:val="0"/>
        <w:spacing w:line="360" w:lineRule="auto"/>
        <w:ind w:firstLine="482" w:firstLineChars="200"/>
        <w:rPr>
          <w:rFonts w:ascii="宋体" w:hAnsi="Times New Roman" w:eastAsia="宋体" w:cs="宋体"/>
          <w:b/>
          <w:sz w:val="24"/>
          <w:szCs w:val="24"/>
        </w:rPr>
      </w:pPr>
      <w:bookmarkStart w:id="220" w:name="_Toc148063044"/>
      <w:bookmarkStart w:id="221" w:name="_Toc148082742"/>
      <w:r>
        <w:rPr>
          <w:rFonts w:hint="eastAsia" w:ascii="宋体" w:hAnsi="宋体" w:eastAsia="宋体" w:cs="宋体"/>
          <w:b/>
          <w:sz w:val="24"/>
          <w:szCs w:val="24"/>
        </w:rPr>
        <w:t>（二）、设计目标</w:t>
      </w:r>
      <w:bookmarkEnd w:id="220"/>
      <w:bookmarkEnd w:id="221"/>
      <w:r>
        <w:rPr>
          <w:rFonts w:hint="eastAsia" w:ascii="宋体" w:hAnsi="宋体" w:eastAsia="宋体" w:cs="宋体"/>
          <w:b/>
          <w:sz w:val="24"/>
          <w:szCs w:val="24"/>
        </w:rPr>
        <w:t xml:space="preserve"> </w:t>
      </w:r>
    </w:p>
    <w:p w14:paraId="2D3B58E2">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整体设计方案应满足国家和省、市有关建设方针、政策、规范、规程，充分解读上层国土空间规划、控规、产业等相关规划，理解规划理念和要求，协调城市道路、退缩空间、景观等多方面因素，保证实施效果，落实规划目标。</w:t>
      </w:r>
    </w:p>
    <w:p w14:paraId="58CDB436">
      <w:pPr>
        <w:adjustRightInd w:val="0"/>
        <w:spacing w:line="360" w:lineRule="auto"/>
        <w:ind w:firstLine="480" w:firstLineChars="200"/>
        <w:rPr>
          <w:rFonts w:hint="eastAsia" w:ascii="宋体" w:hAnsi="宋体" w:eastAsia="宋体" w:cs="宋体"/>
          <w:sz w:val="24"/>
          <w:szCs w:val="24"/>
        </w:rPr>
      </w:pPr>
      <w:r>
        <w:rPr>
          <w:rFonts w:hint="eastAsia" w:ascii="Times New Roman" w:hAnsi="Times New Roman" w:eastAsia="宋体" w:cs="宋体"/>
          <w:sz w:val="24"/>
          <w:szCs w:val="24"/>
        </w:rPr>
        <w:t>具体设计</w:t>
      </w:r>
      <w:r>
        <w:rPr>
          <w:rFonts w:hint="eastAsia" w:ascii="宋体" w:hAnsi="宋体" w:eastAsia="宋体" w:cs="宋体"/>
          <w:sz w:val="24"/>
          <w:szCs w:val="24"/>
        </w:rPr>
        <w:t>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14:paraId="66875AD9">
      <w:pPr>
        <w:adjustRightInd w:val="0"/>
        <w:spacing w:line="360" w:lineRule="auto"/>
        <w:ind w:firstLine="482" w:firstLineChars="200"/>
        <w:rPr>
          <w:rFonts w:ascii="Times New Roman" w:hAnsi="Times New Roman" w:eastAsia="宋体" w:cs="宋体"/>
          <w:sz w:val="24"/>
          <w:szCs w:val="24"/>
        </w:rPr>
      </w:pPr>
      <w:r>
        <w:rPr>
          <w:rFonts w:hint="eastAsia" w:ascii="Times New Roman" w:hAnsi="Times New Roman" w:eastAsia="宋体" w:cs="宋体"/>
          <w:b/>
          <w:bCs/>
          <w:sz w:val="24"/>
          <w:szCs w:val="24"/>
        </w:rPr>
        <w:t>本工程实行限额设计。</w:t>
      </w:r>
      <w:r>
        <w:rPr>
          <w:rFonts w:hint="eastAsia" w:ascii="Times New Roman" w:hAnsi="Times New Roman" w:eastAsia="宋体" w:cs="宋体"/>
          <w:sz w:val="24"/>
          <w:szCs w:val="24"/>
        </w:rPr>
        <w:t>初步设计的建设内容和建设标准原则上不得超过可行性研究报告批复的范围，初步设计概算原则上不得超过经批准的可行性研究报告总投资，施工图预算（价格清单）原则上不得超过经行政主管部门批复的初步设计概算中的工程费用，当施工图与初步设计图发生较大变化时，导致施工图预算超出概算中的工程费用，经发包人同意后方可启用预备费并列入施工图预算中。</w:t>
      </w:r>
    </w:p>
    <w:p w14:paraId="71B531DD">
      <w:pPr>
        <w:adjustRightInd w:val="0"/>
        <w:spacing w:line="360" w:lineRule="auto"/>
        <w:ind w:firstLine="482" w:firstLineChars="200"/>
        <w:rPr>
          <w:rFonts w:ascii="宋体" w:hAnsi="Times New Roman" w:eastAsia="宋体" w:cs="宋体"/>
          <w:b/>
          <w:sz w:val="24"/>
          <w:szCs w:val="24"/>
        </w:rPr>
      </w:pPr>
      <w:bookmarkStart w:id="222" w:name="_Toc148082743"/>
      <w:bookmarkStart w:id="223" w:name="_Toc148063045"/>
      <w:r>
        <w:rPr>
          <w:rFonts w:hint="eastAsia" w:ascii="宋体" w:hAnsi="宋体" w:eastAsia="宋体" w:cs="宋体"/>
          <w:b/>
          <w:sz w:val="24"/>
          <w:szCs w:val="24"/>
        </w:rPr>
        <w:t>（三）、总体要求</w:t>
      </w:r>
      <w:bookmarkEnd w:id="222"/>
      <w:bookmarkEnd w:id="223"/>
    </w:p>
    <w:p w14:paraId="4F46CEDD">
      <w:pPr>
        <w:adjustRightInd w:val="0"/>
        <w:spacing w:line="360" w:lineRule="auto"/>
        <w:ind w:firstLine="482" w:firstLineChars="200"/>
        <w:rPr>
          <w:rFonts w:ascii="宋体" w:hAnsi="Times New Roman" w:eastAsia="宋体" w:cs="宋体"/>
          <w:b/>
          <w:sz w:val="24"/>
          <w:szCs w:val="24"/>
        </w:rPr>
      </w:pPr>
      <w:bookmarkStart w:id="224" w:name="_Toc148063046"/>
      <w:bookmarkStart w:id="225" w:name="_Toc148082744"/>
      <w:r>
        <w:rPr>
          <w:rFonts w:hint="eastAsia" w:ascii="宋体" w:hAnsi="宋体" w:eastAsia="宋体" w:cs="宋体"/>
          <w:b/>
          <w:sz w:val="24"/>
          <w:szCs w:val="24"/>
        </w:rPr>
        <w:t>1.设计规范</w:t>
      </w:r>
      <w:bookmarkEnd w:id="224"/>
      <w:bookmarkEnd w:id="225"/>
    </w:p>
    <w:p w14:paraId="6A7ADD8F">
      <w:pPr>
        <w:adjustRightInd w:val="0"/>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（1）设计必须符合国家、省、市相关技术规范、标准。须考虑花都区市政工程特色，相关元素（如排水、交通设施等）须按照有关文件要求执行，包括但不限于本任务书提及的规范、标准。</w:t>
      </w:r>
    </w:p>
    <w:p w14:paraId="069298A9">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（2）设计成果深度必须符合住房城乡建设部编制的《市政公用工程设计文件编制深度规定（2013版）》要求。</w:t>
      </w:r>
    </w:p>
    <w:p w14:paraId="40F7397A">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（3）设计必须符合广州市人民政府印发的《广州市房屋建筑和市政基础设施工程质量管理办法》（市人民政府第129号令）。</w:t>
      </w:r>
    </w:p>
    <w:p w14:paraId="6764CBFE">
      <w:pPr>
        <w:adjustRightInd w:val="0"/>
        <w:spacing w:line="360" w:lineRule="auto"/>
        <w:ind w:firstLine="482" w:firstLineChars="200"/>
        <w:rPr>
          <w:rFonts w:ascii="宋体" w:hAnsi="Times New Roman" w:eastAsia="宋体" w:cs="宋体"/>
          <w:b/>
          <w:sz w:val="24"/>
          <w:szCs w:val="24"/>
        </w:rPr>
      </w:pPr>
      <w:bookmarkStart w:id="226" w:name="_Toc148082745"/>
      <w:bookmarkStart w:id="227" w:name="_Toc148063047"/>
      <w:r>
        <w:rPr>
          <w:rFonts w:hint="eastAsia" w:ascii="宋体" w:hAnsi="宋体" w:eastAsia="宋体" w:cs="宋体"/>
          <w:b/>
          <w:sz w:val="24"/>
          <w:szCs w:val="24"/>
        </w:rPr>
        <w:t>2.设计管理要求</w:t>
      </w:r>
      <w:bookmarkEnd w:id="226"/>
      <w:bookmarkEnd w:id="227"/>
    </w:p>
    <w:p w14:paraId="20F2C4D7">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清单台账需报发包人备案。</w:t>
      </w:r>
    </w:p>
    <w:p w14:paraId="1C761F5C">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（2）设计管理工作须严格遵循发包人制定的相关管理办法，包括《建设工程图纸管理办法》、《工程变更管理办法》、《市政工程项目建设期后评价管理办法》等。</w:t>
      </w:r>
    </w:p>
    <w:p w14:paraId="7A9DC92F">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14:paraId="123C1C31">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（4）鼓励在设计过程中使用新技术、新工艺、新材料。需开展科研课题研究的项目，应在设计方案阶段提出申请，经发包人同意后开展。</w:t>
      </w:r>
    </w:p>
    <w:p w14:paraId="2712510E">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（5）在勘察设计招标范围外，因设计需要开展的其它检测、监测、测量等工作，需及时向发包人提出书面申请，同意后由发包人组织开展。</w:t>
      </w:r>
    </w:p>
    <w:p w14:paraId="04BC43FB">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（6）项目负责人应对设计全过程进行质量与进度控制以及各专业协调，与发包人保持顺畅沟通。</w:t>
      </w:r>
    </w:p>
    <w:p w14:paraId="4588A902">
      <w:pPr>
        <w:adjustRightInd w:val="0"/>
        <w:spacing w:line="360" w:lineRule="auto"/>
        <w:ind w:firstLine="482" w:firstLineChars="200"/>
        <w:rPr>
          <w:rFonts w:ascii="宋体" w:hAnsi="Times New Roman" w:eastAsia="宋体" w:cs="宋体"/>
          <w:b/>
          <w:sz w:val="24"/>
          <w:szCs w:val="24"/>
        </w:rPr>
      </w:pPr>
      <w:bookmarkStart w:id="228" w:name="_Toc148063048"/>
      <w:bookmarkStart w:id="229" w:name="_Toc148082746"/>
      <w:r>
        <w:rPr>
          <w:rFonts w:hint="eastAsia" w:ascii="宋体" w:hAnsi="宋体" w:eastAsia="宋体" w:cs="宋体"/>
          <w:b/>
          <w:sz w:val="24"/>
          <w:szCs w:val="24"/>
        </w:rPr>
        <w:t>3.方案</w:t>
      </w:r>
      <w:bookmarkEnd w:id="228"/>
      <w:bookmarkEnd w:id="229"/>
      <w:r>
        <w:rPr>
          <w:rFonts w:hint="eastAsia" w:ascii="宋体" w:hAnsi="宋体" w:eastAsia="宋体" w:cs="宋体"/>
          <w:b/>
          <w:sz w:val="24"/>
          <w:szCs w:val="24"/>
        </w:rPr>
        <w:t>深化</w:t>
      </w:r>
    </w:p>
    <w:p w14:paraId="26C88DBE">
      <w:pPr>
        <w:adjustRightInd w:val="0"/>
        <w:spacing w:line="360" w:lineRule="auto"/>
        <w:ind w:firstLine="480" w:firstLineChars="200"/>
        <w:rPr>
          <w:rFonts w:hint="eastAsia" w:ascii="宋体" w:hAnsi="宋体" w:eastAsia="宋体" w:cs="宋体"/>
          <w:sz w:val="24"/>
          <w:szCs w:val="24"/>
        </w:rPr>
      </w:pPr>
      <w:bookmarkStart w:id="230" w:name="_Toc148082747"/>
      <w:bookmarkStart w:id="231" w:name="_Toc148063049"/>
      <w:r>
        <w:rPr>
          <w:rFonts w:hint="eastAsia" w:ascii="宋体" w:hAnsi="宋体" w:eastAsia="宋体" w:cs="宋体"/>
          <w:sz w:val="24"/>
          <w:szCs w:val="24"/>
        </w:rPr>
        <w:t>方案深化设计阶段主要在工可研究基础上，结合专家评审意见、相关部门征询意见对方案进行深化和优化，为下阶段初步设计尽快稳定推进打下基础。</w:t>
      </w:r>
    </w:p>
    <w:p w14:paraId="76F26798">
      <w:pPr>
        <w:adjustRightInd w:val="0"/>
        <w:spacing w:line="360" w:lineRule="auto"/>
        <w:ind w:firstLine="482" w:firstLineChars="200"/>
        <w:rPr>
          <w:rFonts w:ascii="宋体" w:hAnsi="Times New Roman" w:eastAsia="宋体" w:cs="宋体"/>
          <w:b/>
          <w:sz w:val="24"/>
          <w:szCs w:val="24"/>
        </w:rPr>
      </w:pPr>
      <w:r>
        <w:rPr>
          <w:rFonts w:hint="eastAsia" w:ascii="宋体" w:hAnsi="宋体" w:eastAsia="宋体" w:cs="宋体"/>
          <w:b/>
          <w:sz w:val="24"/>
          <w:szCs w:val="24"/>
        </w:rPr>
        <w:t>4.初步设计</w:t>
      </w:r>
      <w:bookmarkEnd w:id="230"/>
      <w:bookmarkEnd w:id="231"/>
    </w:p>
    <w:p w14:paraId="4C7D2D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（1）初步设计阶段应吸纳发包人同步开展的其它前期成果，包括相关管线迁改、环境影响评价等成果，落实与设计有关的工作要求。</w:t>
      </w:r>
    </w:p>
    <w:p w14:paraId="79495376">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（2）初步设计图纸内容应包括施工阶段采取相关施工措施等所需的图纸。</w:t>
      </w:r>
    </w:p>
    <w:p w14:paraId="0D13BC86">
      <w:pPr>
        <w:widowControl/>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（3）初步设计初步成果需征询相关部门的意见。</w:t>
      </w:r>
    </w:p>
    <w:p w14:paraId="49340E76">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（4）设计单位应将该阶段专业审查意见、设计征询意见、评审意见以及逐条落实情况列入初步设计图纸说明。</w:t>
      </w:r>
    </w:p>
    <w:p w14:paraId="6D1B9E08">
      <w:pPr>
        <w:adjustRightInd w:val="0"/>
        <w:spacing w:line="360" w:lineRule="auto"/>
        <w:ind w:firstLine="482" w:firstLineChars="200"/>
        <w:rPr>
          <w:rFonts w:ascii="宋体" w:hAnsi="Times New Roman" w:eastAsia="宋体" w:cs="宋体"/>
          <w:b/>
          <w:sz w:val="24"/>
          <w:szCs w:val="24"/>
        </w:rPr>
      </w:pPr>
      <w:bookmarkStart w:id="232" w:name="_Toc148063050"/>
      <w:bookmarkStart w:id="233" w:name="_Toc148082748"/>
      <w:r>
        <w:rPr>
          <w:rFonts w:hint="eastAsia" w:ascii="宋体" w:hAnsi="宋体" w:eastAsia="宋体" w:cs="宋体"/>
          <w:b/>
          <w:sz w:val="24"/>
          <w:szCs w:val="24"/>
        </w:rPr>
        <w:t>5.施工图设计</w:t>
      </w:r>
      <w:bookmarkEnd w:id="232"/>
      <w:bookmarkEnd w:id="233"/>
    </w:p>
    <w:p w14:paraId="578A7897">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（1）应严格根据批复的初步设计开展施工图设计，如有不同意见或需进行优化设计的，需书面向发包人申请。</w:t>
      </w:r>
    </w:p>
    <w:p w14:paraId="764111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（2）设计图纸需准确、不漏项，应有细部设计图纸。</w:t>
      </w:r>
    </w:p>
    <w:p w14:paraId="3937CB2F">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（3）施工图设计应包括施工阶段采取相关施工措施等所需的详细图纸。</w:t>
      </w:r>
    </w:p>
    <w:p w14:paraId="2C7A8B0A">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（4）设计单位内部应严格执行专业间会签制度。</w:t>
      </w:r>
    </w:p>
    <w:p w14:paraId="7434C4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（5）工程量清单应准确，并满足预算编制及招标要求。</w:t>
      </w:r>
    </w:p>
    <w:p w14:paraId="2767ADE7">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（6）设计单位完成施工图后报施工图审查单位开展施工图审查，根据审查意见进行修改完善，并配合办理施工图审查备案。</w:t>
      </w:r>
    </w:p>
    <w:p w14:paraId="4F873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（7）设计单位应将该阶段专业审查意见、设计征询意见、评审意见、施工图审查意见以及逐条落实情况列入施工图纸说明。</w:t>
      </w:r>
    </w:p>
    <w:p w14:paraId="1212D81B">
      <w:pPr>
        <w:adjustRightInd w:val="0"/>
        <w:spacing w:line="360" w:lineRule="auto"/>
        <w:ind w:firstLine="482" w:firstLineChars="200"/>
        <w:rPr>
          <w:rFonts w:ascii="宋体" w:hAnsi="Times New Roman" w:eastAsia="宋体" w:cs="宋体"/>
          <w:b/>
          <w:sz w:val="24"/>
          <w:szCs w:val="24"/>
        </w:rPr>
      </w:pPr>
      <w:bookmarkStart w:id="234" w:name="_Toc148063051"/>
      <w:bookmarkStart w:id="235" w:name="_Toc148082749"/>
      <w:r>
        <w:rPr>
          <w:rFonts w:hint="eastAsia" w:ascii="宋体" w:hAnsi="宋体" w:eastAsia="宋体" w:cs="宋体"/>
          <w:b/>
          <w:sz w:val="24"/>
          <w:szCs w:val="24"/>
        </w:rPr>
        <w:t>6.设计变更</w:t>
      </w:r>
      <w:bookmarkEnd w:id="234"/>
      <w:bookmarkEnd w:id="235"/>
    </w:p>
    <w:p w14:paraId="77F93196">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工程变更需遵循发包人《工程变更管理办法》。</w:t>
      </w:r>
    </w:p>
    <w:p w14:paraId="2DF04706">
      <w:pPr>
        <w:adjustRightInd w:val="0"/>
        <w:spacing w:line="360" w:lineRule="auto"/>
        <w:ind w:firstLine="482" w:firstLineChars="200"/>
        <w:rPr>
          <w:rFonts w:ascii="宋体" w:hAnsi="Times New Roman" w:eastAsia="宋体" w:cs="宋体"/>
          <w:b/>
          <w:sz w:val="24"/>
          <w:szCs w:val="24"/>
        </w:rPr>
      </w:pPr>
      <w:bookmarkStart w:id="236" w:name="_Toc148082750"/>
      <w:bookmarkStart w:id="237" w:name="_Toc148063052"/>
      <w:r>
        <w:rPr>
          <w:rFonts w:hint="eastAsia" w:ascii="宋体" w:hAnsi="宋体" w:eastAsia="宋体" w:cs="宋体"/>
          <w:b/>
          <w:sz w:val="24"/>
          <w:szCs w:val="24"/>
        </w:rPr>
        <w:t>（四）、专业工程设计任务要求</w:t>
      </w:r>
      <w:bookmarkEnd w:id="236"/>
      <w:bookmarkEnd w:id="237"/>
    </w:p>
    <w:p w14:paraId="75E16AA6">
      <w:pPr>
        <w:adjustRightInd w:val="0"/>
        <w:spacing w:line="360" w:lineRule="auto"/>
        <w:ind w:firstLine="482" w:firstLineChars="200"/>
        <w:rPr>
          <w:rFonts w:hint="eastAsia" w:ascii="宋体" w:hAnsi="宋体" w:eastAsia="宋体" w:cs="宋体"/>
          <w:b/>
          <w:sz w:val="24"/>
          <w:szCs w:val="24"/>
        </w:rPr>
      </w:pPr>
      <w:bookmarkStart w:id="238" w:name="_Toc148063054"/>
      <w:bookmarkStart w:id="239" w:name="_Toc148082752"/>
      <w:r>
        <w:rPr>
          <w:rFonts w:hint="eastAsia" w:ascii="宋体" w:hAnsi="宋体" w:eastAsia="宋体" w:cs="宋体"/>
          <w:b/>
          <w:sz w:val="24"/>
          <w:szCs w:val="24"/>
        </w:rPr>
        <w:t>1.总体设计要求</w:t>
      </w:r>
    </w:p>
    <w:p w14:paraId="63C548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（1）以广州市总体规划、市政专项规划等为指导，确定工程合理建设规模、建设时序、建设标准，并应考虑社会发展趋势，进行适度超前的设计，体现与时俱进的功能标准。</w:t>
      </w:r>
    </w:p>
    <w:p w14:paraId="2275B4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（2）结合区域发展规划、路网规划、防洪排涝规划、现状构建筑物及现状河道、河涌等自然条件，合理设计道路平纵面线位及横断面布置形式； </w:t>
      </w:r>
    </w:p>
    <w:p w14:paraId="188E42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（3）道路标高设计在满足规划标高的基础上与地形结合，减少填挖方量，节省投资；</w:t>
      </w:r>
    </w:p>
    <w:p w14:paraId="24A735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（4）结合各路段交通服务特性，合理布置各类市政管线；</w:t>
      </w:r>
    </w:p>
    <w:p w14:paraId="3DAF0D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（5）根据道路区域规划路网合理组织交叉口设计，充分考虑沿线需要布置的交通附属设施，完善道路的整体风貌景观；</w:t>
      </w:r>
    </w:p>
    <w:p w14:paraId="7FA417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（6）注重环境保护和景观设计，使道路线形、桥涵、交叉和沿线设施等与自然景观相协调，出地面附属设施造型要追求优美的结构形式和高质量的环境景观；</w:t>
      </w:r>
    </w:p>
    <w:p w14:paraId="552FD6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（7）紧紧围绕“以人为本”的设计理念，组织合理的交通系统，处理好机动车、非机动车、行人的相互关系，适应新城市中心环境建设的需求。</w:t>
      </w:r>
    </w:p>
    <w:p w14:paraId="27522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（8）要重点处理好与现状及改造河涌之间的相互影响和预留问题，理清相互关系，提出合理的节点实施方案；</w:t>
      </w:r>
    </w:p>
    <w:p w14:paraId="14FD3A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（9）每个阶段的主要技术方案、关键节点设计方案等均要在技术、经济投资、实施性、运营管理、工期等方面作综合比选分析。</w:t>
      </w:r>
    </w:p>
    <w:p w14:paraId="51B37B9C">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2.道路及交通工程设计要求</w:t>
      </w:r>
    </w:p>
    <w:p w14:paraId="6D99FA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道路总体设计：道路线位原则上与规划保持一致，局部调整位置应进行分析比较，并经规划部门的同意方可实施，横断面原则不突破规划红线。通过平面、竖向相协调，保证内外部交通设施（包括周边的快速路、内部的过境通道）能在平面线形、立面线形、垂直和横向空间上满足车辆的安全、快速运行，协调好与区外道路之间的连接关系。</w:t>
      </w:r>
    </w:p>
    <w:p w14:paraId="4726D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（2）交通组织系统设计：根据片区交通流量预测及路网结构进行设计，使交通保持畅通、便捷。</w:t>
      </w:r>
    </w:p>
    <w:p w14:paraId="38B2A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（3）道路结构设计：根据交通特性，在确保质量的提前下，尽量经济。</w:t>
      </w:r>
    </w:p>
    <w:p w14:paraId="39AB80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（4）道路标识设计：指引清晰，与广州市风格一致。</w:t>
      </w:r>
    </w:p>
    <w:p w14:paraId="03735B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（5）交通设施：在满足交通功能的前提下，力求精简，多杆合一。</w:t>
      </w:r>
    </w:p>
    <w:p w14:paraId="7B8C75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（6）室外照明宜采用LED、太阳能等节能灯，室内应采用LED等节能灯。</w:t>
      </w:r>
    </w:p>
    <w:p w14:paraId="56820029">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3.排水工程设计要求</w:t>
      </w:r>
    </w:p>
    <w:p w14:paraId="544D00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根据可行性研究报告相关内容、水务局意见以及项目业主、使用单位、建设单位的要求。一般应包括以下内容：</w:t>
      </w:r>
    </w:p>
    <w:p w14:paraId="2925C0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市政排水系统：在规划的基础上，根据片区地块功能进行容量计算，遵守“雨、污分流”体制，并兼顾近期、远期过渡衔接。</w:t>
      </w:r>
    </w:p>
    <w:p w14:paraId="2850EF6C">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4.其它附属工程设计要求</w:t>
      </w:r>
    </w:p>
    <w:p w14:paraId="43FDDA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相关附属工程应按设计规范及省、市地区有关规定，符合城市道路管养部门、规划部门、相关权属部门等的要求。</w:t>
      </w:r>
    </w:p>
    <w:bookmarkEnd w:id="238"/>
    <w:bookmarkEnd w:id="239"/>
    <w:p w14:paraId="7CC57883">
      <w:pPr>
        <w:adjustRightInd w:val="0"/>
        <w:spacing w:line="360" w:lineRule="auto"/>
        <w:ind w:firstLine="482" w:firstLineChars="200"/>
        <w:rPr>
          <w:rFonts w:hint="eastAsia" w:ascii="宋体" w:hAnsi="宋体" w:eastAsia="宋体" w:cs="宋体"/>
          <w:b/>
          <w:sz w:val="24"/>
          <w:szCs w:val="24"/>
        </w:rPr>
      </w:pPr>
      <w:bookmarkStart w:id="240" w:name="_Toc148063055"/>
      <w:bookmarkStart w:id="241" w:name="_Toc148082753"/>
      <w:r>
        <w:rPr>
          <w:rFonts w:hint="eastAsia" w:ascii="宋体" w:hAnsi="宋体" w:eastAsia="宋体" w:cs="宋体"/>
          <w:b/>
          <w:sz w:val="24"/>
          <w:szCs w:val="24"/>
        </w:rPr>
        <w:t>（五）、成果时间进度要求</w:t>
      </w:r>
    </w:p>
    <w:p w14:paraId="3EAD2A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设计成果文件提交的时间及份数详见合同条款。</w:t>
      </w:r>
    </w:p>
    <w:p w14:paraId="1441AD15">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图纸提交份数可根据实际需要进行调整，乙方无偿提供。</w:t>
      </w:r>
    </w:p>
    <w:p w14:paraId="3699C06B">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（六）、设计配合</w:t>
      </w:r>
      <w:bookmarkEnd w:id="240"/>
      <w:bookmarkEnd w:id="241"/>
      <w:r>
        <w:rPr>
          <w:rFonts w:hint="eastAsia" w:ascii="宋体" w:hAnsi="宋体" w:eastAsia="宋体" w:cs="宋体"/>
          <w:b/>
          <w:sz w:val="24"/>
          <w:szCs w:val="24"/>
        </w:rPr>
        <w:t>要求</w:t>
      </w:r>
    </w:p>
    <w:p w14:paraId="43778EC8">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1.技术配合工作</w:t>
      </w:r>
    </w:p>
    <w:p w14:paraId="5CAD5430">
      <w:pPr>
        <w:spacing w:line="360" w:lineRule="auto"/>
        <w:ind w:firstLine="480" w:firstLineChars="200"/>
        <w:rPr>
          <w:rFonts w:hint="eastAsia" w:ascii="仿宋_GB2312" w:hAnsi="宋体" w:eastAsia="仿宋_GB2312" w:cs="Times New Roman"/>
          <w:sz w:val="24"/>
          <w:szCs w:val="24"/>
        </w:rPr>
      </w:pPr>
      <w:r>
        <w:rPr>
          <w:rFonts w:hint="eastAsia" w:ascii="宋体" w:hAnsi="宋体" w:eastAsia="宋体" w:cs="宋体"/>
          <w:sz w:val="24"/>
          <w:szCs w:val="24"/>
        </w:rPr>
        <w:t>设计单位需完成业主的如施工等相关招标配合，负责施工期间设计理念的贯彻、现场技术支持，参与施工图会审交底，现场施工问题的协调、现场工程变更、工程验收等相关工作，以及征拆及管线方面的技术配合工作。为保证本项目与各地块及周边道路的良好顺接，设计单位需配合业主做好本项目设计与各地块及周边道路、河涌改造、管线的对接工作。</w:t>
      </w:r>
    </w:p>
    <w:p w14:paraId="0083A4DC">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2.报建配合工作</w:t>
      </w:r>
    </w:p>
    <w:p w14:paraId="555843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完成本项目过程中的相关报建配合、协调(包括各专项审批、设计方案审查等的所有规划、技术、管线、专项等各类报审报建配合服务、协调工作及审核服务工作)等工作。</w:t>
      </w:r>
    </w:p>
    <w:p w14:paraId="36179722">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具体以招标文件、设计施工总承包合同及有关资料为准。</w:t>
      </w:r>
    </w:p>
    <w:p w14:paraId="420DC5D9">
      <w:pPr>
        <w:adjustRightInd w:val="0"/>
        <w:spacing w:line="360" w:lineRule="auto"/>
        <w:rPr>
          <w:rFonts w:hint="eastAsia" w:ascii="宋体" w:hAnsi="宋体" w:eastAsia="宋体" w:cs="宋体"/>
          <w:b/>
          <w:sz w:val="24"/>
          <w:szCs w:val="24"/>
        </w:rPr>
      </w:pPr>
    </w:p>
    <w:p w14:paraId="256BEF26">
      <w:pPr>
        <w:adjustRightInd w:val="0"/>
        <w:spacing w:line="360" w:lineRule="auto"/>
        <w:rPr>
          <w:rFonts w:hint="eastAsia" w:ascii="宋体" w:hAnsi="宋体" w:eastAsia="宋体" w:cs="宋体"/>
          <w:b/>
          <w:sz w:val="28"/>
          <w:szCs w:val="28"/>
        </w:rPr>
      </w:pPr>
      <w:r>
        <w:rPr>
          <w:rFonts w:hint="eastAsia" w:ascii="宋体" w:hAnsi="宋体" w:eastAsia="宋体" w:cs="宋体"/>
          <w:b/>
          <w:sz w:val="28"/>
          <w:szCs w:val="28"/>
        </w:rPr>
        <w:t>三、工程勘察</w:t>
      </w:r>
    </w:p>
    <w:p w14:paraId="38C24C10">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（一）、勘察范围及内容</w:t>
      </w:r>
    </w:p>
    <w:p w14:paraId="10ECD1B0">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勘察范围包括拟建赤坭镇岭西大道二期建设项目规划红线范围内的全部勘察工作。</w:t>
      </w:r>
    </w:p>
    <w:p w14:paraId="6835188A">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勘察内容包括但不限于负责项目的勘察工作【岩土工程勘察（含各阶段的超前钻）、工程测量（修测、涉及总长度20公里以下综合地下管线测量）、工程物探（含管线探测）旧路（旧桥）检测等。】。按相应的勘察要求执行本次地质勘察，包工、包料、包安全、包水电，包通过建设等主管部们组织的勘察报告审查，包配合规划设计、初步设计、施工图设计、施工现场的交底跟踪技术服务及其他相关的技术支持和服务。</w:t>
      </w:r>
    </w:p>
    <w:p w14:paraId="57FB4A89">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（二）、勘察技术要求 </w:t>
      </w:r>
    </w:p>
    <w:p w14:paraId="5E6752E4">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1.工程测量要求</w:t>
      </w:r>
    </w:p>
    <w:p w14:paraId="3CE3EEF6">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（1）控制点要求：按相关规范（含高程，结合实际情况）、本地坐标高程系执行，平差后的精度符合规范要求，可作为地形图测量使用。</w:t>
      </w:r>
    </w:p>
    <w:p w14:paraId="0F53300F">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14:paraId="05675704">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14:paraId="6881E45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等。</w:t>
      </w:r>
    </w:p>
    <w:p w14:paraId="5A216D57">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14:paraId="4F6C81F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（6）新建道路需报建范围测量以及道路工程规划放验线测量、管线放验线测量等，由建设单位另行委托市城规院实施，不在本次勘察招标范围内。</w:t>
      </w:r>
    </w:p>
    <w:p w14:paraId="10C3A985">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3.工程物探要求</w:t>
      </w:r>
    </w:p>
    <w:p w14:paraId="3D4B084B">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或沟体埋设）、电缆根数、沟体断面结构型式、通信排管布置形式及孔数、权属单位、通信线缆数量；测量工程范围内所有检查井（含各类电信井）的位置、形式（圆形、方形或其它）、尺寸、结构形式、井底标高、井盖标高，检查井内各条接入管管径、标高、走向（排水井内接入管需标明水流方向）。所有检查井按不同性质分类、编号；测量沿线给水、雨水、污水管线接点位置、管径及高程（排水管内底、给水管顶）。物探完成后编制《管线探测报告》，报告需加盖CMA章，并报相关部门备案。</w:t>
      </w:r>
    </w:p>
    <w:p w14:paraId="0289E8D6">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4.岩土工程勘察要求</w:t>
      </w:r>
    </w:p>
    <w:p w14:paraId="7FB60712">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（1）总体要求</w:t>
      </w:r>
    </w:p>
    <w:p w14:paraId="053A39A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①查明拟建场地的地层结构及其均匀性，分布规律，各岩土层的物理力学性质指标及其承载力特征值；</w:t>
      </w:r>
    </w:p>
    <w:p w14:paraId="25C171E3">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②查明不良地质作用的类型、性质、分布，提供防治措施所需的资料和建议，并评价其对工程的危害程度；</w:t>
      </w:r>
    </w:p>
    <w:p w14:paraId="093AE53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③查明地下水理藏条件、类型、水位变化幅度及规律、补给排泄条件，查明地表水情况，并评价其腐蚀性，分析评价其对工程的不利影响；</w:t>
      </w:r>
    </w:p>
    <w:p w14:paraId="33790B7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④提供场地土类型及场地类别，并对饱和砂土及粉土进行液化判别。</w:t>
      </w:r>
    </w:p>
    <w:p w14:paraId="45BA61F9">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⑤对场地的工程地质条件及地基的稳定性作出评价；</w:t>
      </w:r>
    </w:p>
    <w:p w14:paraId="1A4D63B4">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⑥对可供采用的基础设计方案进行论证分析，提供与设计要求相对应的地基承载力及变形计算参数，并对设计与施工应注意的问题提出建议；</w:t>
      </w:r>
    </w:p>
    <w:p w14:paraId="25F6A67E">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⑦结合拟建道路工程、边坡挡墙工程和桥涵工程等工程特点和要求进行相应的岩土工程分析评价。</w:t>
      </w:r>
    </w:p>
    <w:p w14:paraId="025DE8C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（2）道路工程</w:t>
      </w:r>
    </w:p>
    <w:p w14:paraId="67B8965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道路钻孔布置按《市政工程勘察规范》（CJJ 56-2012、DBJT15-255-2023）等有关规定执行，间距约50～100m。采取土试样和进行原位测试的勘探孔数量不应小于勘探孔总数的1/2；控制性钻孔的数量比例不应少于勘探孔总数的1/3。</w:t>
      </w:r>
    </w:p>
    <w:p w14:paraId="2F6CD609">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般路基勘探孔深度宜达到原地面以下不小于5m，在挖方地段宜达到路面设计标高以下4m；当分布有填土、软土和可液化土层等特殊性岩上时，勘探孔应适当加深；在勘探深度内遇基岩时，应有勘探孔钻入基岩一定深度，查明基岩风化特征。</w:t>
      </w:r>
    </w:p>
    <w:p w14:paraId="7D5BF1DB">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当线路通过含有有机质的垃圾、疏松的杂填土、未经沉实的近期填土、软土和可液化土层（饱和砂土、粉土层）的地段时，勘探孔应钻穿软土层，至持力层以下至少5m，软土薄及埋藏浅的地段孔深一般20～25m。</w:t>
      </w:r>
    </w:p>
    <w:p w14:paraId="4B5A4F8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（3）边坡和挡墙工程</w:t>
      </w:r>
    </w:p>
    <w:p w14:paraId="62AAAAC3">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边坡和挡墙勘探线应以垂直边坡（挡墙）走向或者平行主滑方向布置为主， 在拟设置支挡结构的位置应布置平行和垂直的勘探线。成图比例尺应大于或等于 1:500，剖面的纵横比例应相同。每条勘探线钻孔应不少于两个。钻孔布置间距一般约30～40米，并按规范要求布置钻孔并设置横断面。</w:t>
      </w:r>
    </w:p>
    <w:p w14:paraId="4865F32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边坡勘探点分为一般性勘探点和控制性勘探点。控制性勘探点宜占勘探点总数的1/5～1/3，地质环境条件简单、大型的边坡工程取1/5， 地质环境条件复杂、 小型的边坡工程取1/3，并应满足统计分析要求。</w:t>
      </w:r>
    </w:p>
    <w:p w14:paraId="0A2ED44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边坡和挡墙钻孔深度应超过最下层潜在滑动面，进入稳定层不少于2～5m。初步按控制性钻孔钻入中风化岩不小于 5m，一般性钻孔钻入中风化岩不小于3m； 若中风化岩埋深较深时，控制性钻孔钻入强风化岩不小于10m，一般性钻孔钻入强风化岩不小于5m。具体根据工程实际条件和设计要求确定。</w:t>
      </w:r>
    </w:p>
    <w:p w14:paraId="419158FE">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（4）桥涵工程</w:t>
      </w:r>
    </w:p>
    <w:p w14:paraId="000FD587">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桥涵工程勘探点的布置应符合下列要求：</w:t>
      </w:r>
    </w:p>
    <w:p w14:paraId="7A7F59EE">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①对特大桥的主桥，每个墩台勘探点不应少于2个；对其他桥梁，宜逐墩台布置勘探点，岩土条件复杂程度等级为三级时可隔墩台布点；</w:t>
      </w:r>
    </w:p>
    <w:p w14:paraId="02AA0104">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②对人行天桥主桥可逐墩台布点，梯道可隔墩台布点，梯脚部位应布置勘探点；</w:t>
      </w:r>
    </w:p>
    <w:p w14:paraId="4EF5B9D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③城市涵洞和人行地下通道的勘探点间距宜为20m～35m，单个涵洞、人行地下通道的勘探点不应少于 2个，当场地或岩土条件复杂程度为一级时应适当增加勘探点；</w:t>
      </w:r>
    </w:p>
    <w:p w14:paraId="43E645B8">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④相邻勘探点揭示的地层变化较大、影响基础设计和施工方案的选择时，应适当增加勘探点数量。</w:t>
      </w:r>
    </w:p>
    <w:p w14:paraId="740D769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桥涵工程勘探点深度控制应符合下列要求：</w:t>
      </w:r>
    </w:p>
    <w:p w14:paraId="438A6088">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①当拟采用天然地基时，勘探孔深度应能控制地基主要受力层；一般性勘探孔应达到基底下 (0.5～1.0)倍的基础宽度且不应小于 5m；控制性勘探孔的深度应超过地基变形计算深度；对覆盖层较薄的岩质地基，勘探孔深度应达到可能的持力层（或埋置深度）以下3m～5m；</w:t>
      </w:r>
    </w:p>
    <w:p w14:paraId="2EA622B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当拟采用桩基时，控制性勘探孔应穿透桃端平面以下压缩层厚度；一般性勘探孔深度宜达到预计的桩端以下（3～5）倍桩径，且不应小于3m，对于大直径桩不应小于5m；嵌岩桩的控制性勘探孔应深人预计嵌岩面以下（3～5）倍桩径、一般性探孔应深入预计嵌岩面以下（3～5）倍桩径，并应穿过溶洞、破碎带，达到稳定地层；</w:t>
      </w:r>
    </w:p>
    <w:p w14:paraId="368F84A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③当采用沉并基础时，勘探孔深度应根据沉井刃脚埋深和地质条件确定，宜达到沉井刃脚以下（0.5～1.0）倍沉井直径(宽度)，并不应小于5m。</w:t>
      </w:r>
    </w:p>
    <w:p w14:paraId="3ADFD168">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④若场地内存在岩溶，应逐桩钻孔勘探，并可结合孔中物探方法对钻孔周边持力层厚度及溶洞发育情况进行勘察。 </w:t>
      </w:r>
    </w:p>
    <w:p w14:paraId="3771501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桥涵工程控制性勘探孔数不应少于探孔总数的 1/3；采取土试样和进行原位测试的勘探孔数量不应少于勘探孔总数的 1/2。</w:t>
      </w:r>
    </w:p>
    <w:p w14:paraId="111B0709">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（5）测试、室内试验</w:t>
      </w:r>
    </w:p>
    <w:p w14:paraId="54E994F9">
      <w:pPr>
        <w:autoSpaceDE w:val="0"/>
        <w:autoSpaceDN w:val="0"/>
        <w:adjustRightInd w:val="0"/>
        <w:spacing w:line="360" w:lineRule="auto"/>
        <w:ind w:firstLine="480" w:firstLineChars="200"/>
        <w:rPr>
          <w:rFonts w:hint="eastAsia" w:ascii="宋体" w:hAnsi="宋体" w:eastAsia="宋体" w:cs="宋体"/>
          <w:kern w:val="0"/>
          <w:sz w:val="24"/>
          <w:szCs w:val="24"/>
        </w:rPr>
      </w:pPr>
      <w:bookmarkStart w:id="242" w:name="_Toc252203624"/>
      <w:bookmarkStart w:id="243" w:name="_Toc142668247"/>
      <w:bookmarkStart w:id="244" w:name="_Toc142877331"/>
      <w:bookmarkStart w:id="245" w:name="_Toc252203549"/>
      <w:r>
        <w:rPr>
          <w:rFonts w:hint="eastAsia" w:ascii="宋体" w:hAnsi="宋体" w:eastAsia="宋体" w:cs="宋体"/>
          <w:kern w:val="0"/>
          <w:sz w:val="24"/>
          <w:szCs w:val="24"/>
        </w:rPr>
        <w:t>对土样进行野外鉴别并选取代表性样品进行常规物理、水理及化学性质试验和必要的物理力学性能指标试验，钻孔须作原位测试。</w:t>
      </w:r>
      <w:bookmarkEnd w:id="242"/>
      <w:bookmarkEnd w:id="243"/>
      <w:bookmarkEnd w:id="244"/>
      <w:bookmarkEnd w:id="245"/>
    </w:p>
    <w:p w14:paraId="2004F0D9">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标贯试验：技术孔取样后进行标贯试验，鉴别孔应进行标贯试验。保证每层土样不应少于6个，同一土层厚度大于5.0m时，视具体情况可分别在上、中、下部位进行标贯试验。</w:t>
      </w:r>
    </w:p>
    <w:p w14:paraId="789866E2">
      <w:pPr>
        <w:autoSpaceDE w:val="0"/>
        <w:autoSpaceDN w:val="0"/>
        <w:adjustRightInd w:val="0"/>
        <w:spacing w:line="360" w:lineRule="auto"/>
        <w:ind w:firstLine="480" w:firstLineChars="200"/>
        <w:rPr>
          <w:rFonts w:hint="eastAsia" w:ascii="宋体" w:hAnsi="宋体" w:eastAsia="宋体" w:cs="宋体"/>
          <w:kern w:val="0"/>
          <w:sz w:val="24"/>
          <w:szCs w:val="24"/>
        </w:rPr>
      </w:pPr>
      <w:bookmarkStart w:id="246" w:name="_Toc142877334"/>
      <w:bookmarkStart w:id="247" w:name="_Toc252203551"/>
      <w:bookmarkStart w:id="248" w:name="_Toc252203626"/>
      <w:bookmarkStart w:id="249" w:name="_Toc142668250"/>
      <w:r>
        <w:rPr>
          <w:rFonts w:hint="eastAsia" w:ascii="宋体" w:hAnsi="宋体" w:eastAsia="宋体" w:cs="宋体"/>
          <w:kern w:val="0"/>
          <w:sz w:val="24"/>
          <w:szCs w:val="24"/>
        </w:rPr>
        <w:t>室内试验</w:t>
      </w:r>
      <w:bookmarkEnd w:id="246"/>
      <w:bookmarkEnd w:id="247"/>
      <w:bookmarkEnd w:id="248"/>
      <w:bookmarkEnd w:id="249"/>
      <w:r>
        <w:rPr>
          <w:rFonts w:hint="eastAsia" w:ascii="宋体" w:hAnsi="宋体" w:eastAsia="宋体" w:cs="宋体"/>
          <w:kern w:val="0"/>
          <w:sz w:val="24"/>
          <w:szCs w:val="24"/>
        </w:rPr>
        <w:t>：</w:t>
      </w:r>
    </w:p>
    <w:p w14:paraId="09AFD2D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①土样: 粘土、粉土、软土、全风化、残积土等，均需取样试验。土样试验的重点是软土与软～流塑状的粘土、粉土。上述软弱土层严格按软土规范连续取土样做试验。</w:t>
      </w:r>
    </w:p>
    <w:p w14:paraId="3937EA0E">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试验项目：一般粘性土：天然含水量、天然密度、比重、天然孔隙比、液限、塑限、塑性指数、液性指数、压缩系数、压缩模量、直接快剪、固结快剪、自由膨胀率。粉土（亚砂土）加作颗粒分析，</w:t>
      </w:r>
    </w:p>
    <w:p w14:paraId="311AE92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软土：天然含水量、天然密度、天然孔隙比、液限、塑限、塑性指数、液性指数、压缩系数、压缩模量、渗透系数、固结系数、直接快剪、固结快剪、有机质含量。除提供以上试验项目指标外，还应提供前期固结应力、压缩指数、十字板。</w:t>
      </w:r>
    </w:p>
    <w:p w14:paraId="706FAE12">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②砂样：砂土颗粒分析，特征粒径（d</w:t>
      </w:r>
      <w:r>
        <w:rPr>
          <w:rFonts w:hint="eastAsia" w:ascii="宋体" w:hAnsi="宋体" w:eastAsia="宋体" w:cs="宋体"/>
          <w:kern w:val="0"/>
          <w:sz w:val="24"/>
          <w:szCs w:val="24"/>
          <w:vertAlign w:val="subscript"/>
        </w:rPr>
        <w:t>60</w:t>
      </w:r>
      <w:r>
        <w:rPr>
          <w:rFonts w:hint="eastAsia" w:ascii="宋体" w:hAnsi="宋体" w:eastAsia="宋体" w:cs="宋体"/>
          <w:kern w:val="0"/>
          <w:sz w:val="24"/>
          <w:szCs w:val="24"/>
        </w:rPr>
        <w:t>、d</w:t>
      </w:r>
      <w:r>
        <w:rPr>
          <w:rFonts w:hint="eastAsia" w:ascii="宋体" w:hAnsi="宋体" w:eastAsia="宋体" w:cs="宋体"/>
          <w:kern w:val="0"/>
          <w:sz w:val="24"/>
          <w:szCs w:val="24"/>
          <w:vertAlign w:val="subscript"/>
        </w:rPr>
        <w:t>50</w:t>
      </w:r>
      <w:r>
        <w:rPr>
          <w:rFonts w:hint="eastAsia" w:ascii="宋体" w:hAnsi="宋体" w:eastAsia="宋体" w:cs="宋体"/>
          <w:kern w:val="0"/>
          <w:sz w:val="24"/>
          <w:szCs w:val="24"/>
        </w:rPr>
        <w:t>、d</w:t>
      </w:r>
      <w:r>
        <w:rPr>
          <w:rFonts w:hint="eastAsia" w:ascii="宋体" w:hAnsi="宋体" w:eastAsia="宋体" w:cs="宋体"/>
          <w:kern w:val="0"/>
          <w:sz w:val="24"/>
          <w:szCs w:val="24"/>
          <w:vertAlign w:val="subscript"/>
        </w:rPr>
        <w:t>30</w:t>
      </w:r>
      <w:r>
        <w:rPr>
          <w:rFonts w:hint="eastAsia" w:ascii="宋体" w:hAnsi="宋体" w:eastAsia="宋体" w:cs="宋体"/>
          <w:kern w:val="0"/>
          <w:sz w:val="24"/>
          <w:szCs w:val="24"/>
        </w:rPr>
        <w:t>、d</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）、不均系数、曲率系数及土名。</w:t>
      </w:r>
    </w:p>
    <w:p w14:paraId="0775E32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③水样：分段取地表水、地下水样做常规水质分析，判定其腐蚀性。</w:t>
      </w:r>
    </w:p>
    <w:p w14:paraId="5096FC6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④岩样：岩石进行天然和饱和单轴抗压强度试验，提供岩石天然和饱和单轴抗压强度标准值等。</w:t>
      </w:r>
    </w:p>
    <w:p w14:paraId="4B5D8A41">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（三）、勘察成果要求</w:t>
      </w:r>
    </w:p>
    <w:p w14:paraId="5E8DB81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勘察报告应满足现行相关规范、规程、标准等的要求，满足项目设计及施工的要求。</w:t>
      </w:r>
    </w:p>
    <w:p w14:paraId="7DDCAB23">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1.岩土工程勘察报告</w:t>
      </w:r>
    </w:p>
    <w:p w14:paraId="159E5AE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（1）文字部分：简述工程概况、勘察方法、场地岩土工程地质条件及其分析与评价、岩土技术参数、地基基础和边坡挡墙（基坑）支护设计方案建议以及设计施工中应注意的问题等；</w:t>
      </w:r>
    </w:p>
    <w:p w14:paraId="7712D74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（2）图表部分：钻孔平面位置图、工程地质剖面图、钻孔柱状图、岩土试验成果表、岩芯照片等；</w:t>
      </w:r>
    </w:p>
    <w:p w14:paraId="28DA1DA2">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（3）以上资料的数据光盘。</w:t>
      </w:r>
    </w:p>
    <w:p w14:paraId="52AF8B1E">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2.地形测量报告</w:t>
      </w:r>
    </w:p>
    <w:p w14:paraId="3378F1B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（1）地形测量报告书；</w:t>
      </w:r>
    </w:p>
    <w:p w14:paraId="41DEB27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（2）控制点坐标表；</w:t>
      </w:r>
    </w:p>
    <w:p w14:paraId="1771015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（3）地形图；</w:t>
      </w:r>
    </w:p>
    <w:p w14:paraId="654CD0A6">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（4）以上资料的数据光盘。</w:t>
      </w:r>
    </w:p>
    <w:p w14:paraId="4EED680A">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3.物探成果报告</w:t>
      </w:r>
    </w:p>
    <w:p w14:paraId="04BD2B84">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（1）管线探测报告；</w:t>
      </w:r>
    </w:p>
    <w:p w14:paraId="683B1F4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（2）附表管线成果表；</w:t>
      </w:r>
    </w:p>
    <w:p w14:paraId="3F2C973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（3）附图综合管线图；</w:t>
      </w:r>
    </w:p>
    <w:p w14:paraId="2CB26623">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（4）以上资料的数据光盘。</w:t>
      </w:r>
    </w:p>
    <w:p w14:paraId="53050CED">
      <w:pPr>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（四）、工期要求</w:t>
      </w:r>
    </w:p>
    <w:p w14:paraId="03CDD37E">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按发包人要求和合同约定执行，满足工程进度要求。</w:t>
      </w:r>
    </w:p>
    <w:p w14:paraId="4BF4631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outlineLvl w:val="9"/>
        <w:rPr>
          <w:rFonts w:hint="eastAsia" w:ascii="宋体" w:hAnsi="宋体" w:eastAsia="宋体" w:cs="宋体"/>
          <w:b/>
          <w:color w:val="FF0000"/>
          <w:sz w:val="24"/>
          <w:szCs w:val="24"/>
          <w:highlight w:val="none"/>
          <w:lang w:eastAsia="zh-CN"/>
        </w:rPr>
      </w:pPr>
      <w:r>
        <w:rPr>
          <w:rFonts w:hint="eastAsia" w:ascii="宋体" w:hAnsi="宋体" w:eastAsia="宋体" w:cs="宋体"/>
          <w:b/>
          <w:sz w:val="24"/>
          <w:szCs w:val="24"/>
        </w:rPr>
        <w:t>以上勘察任务要求具体以招标文件、勘察设计合同、设计要求及相关资料为准</w:t>
      </w:r>
      <w:r>
        <w:rPr>
          <w:rFonts w:hint="eastAsia" w:ascii="宋体" w:hAnsi="宋体" w:eastAsia="宋体" w:cs="宋体"/>
          <w:b/>
          <w:color w:val="auto"/>
          <w:sz w:val="24"/>
          <w:szCs w:val="24"/>
          <w:highlight w:val="none"/>
        </w:rPr>
        <w:t>。</w:t>
      </w:r>
    </w:p>
    <w:p w14:paraId="2BC33D05">
      <w:pPr>
        <w:wordWrap w:val="0"/>
        <w:spacing w:line="360" w:lineRule="auto"/>
        <w:jc w:val="center"/>
        <w:rPr>
          <w:rFonts w:ascii="宋体" w:hAnsi="宋体" w:eastAsia="宋体" w:cs="宋体"/>
          <w:bCs/>
          <w:color w:val="FF0000"/>
          <w:sz w:val="24"/>
          <w:szCs w:val="24"/>
          <w:highlight w:val="none"/>
          <w:u w:val="single"/>
        </w:rPr>
      </w:pPr>
    </w:p>
    <w:p w14:paraId="01E87B9D">
      <w:pPr>
        <w:wordWrap w:val="0"/>
        <w:rPr>
          <w:rFonts w:ascii="宋体" w:hAnsi="宋体" w:eastAsia="宋体" w:cs="宋体"/>
          <w:b/>
          <w:bCs/>
          <w:color w:val="FF0000"/>
          <w:sz w:val="30"/>
          <w:szCs w:val="30"/>
          <w:highlight w:val="none"/>
        </w:rPr>
      </w:pPr>
    </w:p>
    <w:p w14:paraId="4EDAD67B">
      <w:pPr>
        <w:wordWrap w:val="0"/>
        <w:rPr>
          <w:rFonts w:ascii="宋体" w:hAnsi="宋体" w:eastAsia="宋体" w:cs="宋体"/>
          <w:color w:val="auto"/>
          <w:szCs w:val="24"/>
          <w:highlight w:val="none"/>
        </w:rPr>
      </w:pPr>
      <w:bookmarkStart w:id="250" w:name="_Toc82786986"/>
      <w:bookmarkStart w:id="251" w:name="_Toc111186802"/>
      <w:r>
        <w:rPr>
          <w:rFonts w:hint="eastAsia" w:ascii="宋体" w:hAnsi="宋体" w:eastAsia="宋体" w:cs="宋体"/>
          <w:color w:val="auto"/>
          <w:szCs w:val="24"/>
          <w:highlight w:val="none"/>
        </w:rPr>
        <w:br w:type="page"/>
      </w:r>
    </w:p>
    <w:p w14:paraId="3C62F91D">
      <w:pPr>
        <w:pStyle w:val="3"/>
        <w:rPr>
          <w:color w:val="auto"/>
          <w:highlight w:val="none"/>
        </w:rPr>
      </w:pPr>
      <w:bookmarkStart w:id="252" w:name="_Toc193358022"/>
      <w:r>
        <w:rPr>
          <w:rFonts w:hint="eastAsia"/>
          <w:color w:val="auto"/>
          <w:highlight w:val="none"/>
        </w:rPr>
        <w:t>第三卷</w:t>
      </w:r>
      <w:bookmarkEnd w:id="250"/>
      <w:bookmarkEnd w:id="251"/>
      <w:bookmarkEnd w:id="252"/>
    </w:p>
    <w:p w14:paraId="42FA4990">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42C8CFA7">
      <w:pPr>
        <w:pStyle w:val="3"/>
        <w:rPr>
          <w:color w:val="auto"/>
          <w:highlight w:val="none"/>
        </w:rPr>
        <w:sectPr>
          <w:type w:val="continuous"/>
          <w:pgSz w:w="11905" w:h="16838"/>
          <w:pgMar w:top="1474" w:right="1701" w:bottom="1474" w:left="1701" w:header="720" w:footer="720" w:gutter="0"/>
          <w:cols w:space="720" w:num="1"/>
        </w:sectPr>
      </w:pPr>
      <w:bookmarkStart w:id="253" w:name="_Toc193358023"/>
      <w:bookmarkStart w:id="254" w:name="_Toc111186803"/>
      <w:r>
        <w:rPr>
          <w:rFonts w:hint="eastAsia"/>
          <w:color w:val="auto"/>
          <w:highlight w:val="none"/>
        </w:rPr>
        <w:t>第六章  投标文件格式</w:t>
      </w:r>
      <w:bookmarkEnd w:id="253"/>
      <w:bookmarkEnd w:id="254"/>
    </w:p>
    <w:p w14:paraId="79BBF45A">
      <w:pPr>
        <w:pStyle w:val="5"/>
        <w:wordWrap w:val="0"/>
        <w:rPr>
          <w:color w:val="auto"/>
          <w:highlight w:val="none"/>
        </w:rPr>
      </w:pPr>
      <w:bookmarkStart w:id="255" w:name="_Toc111186804"/>
      <w:bookmarkStart w:id="256" w:name="_Toc193358024"/>
      <w:bookmarkStart w:id="257" w:name="_Toc18166"/>
      <w:r>
        <w:rPr>
          <w:rFonts w:hint="eastAsia"/>
          <w:color w:val="auto"/>
          <w:highlight w:val="none"/>
        </w:rPr>
        <w:t>1.</w:t>
      </w:r>
      <w:bookmarkEnd w:id="255"/>
      <w:bookmarkEnd w:id="256"/>
      <w:bookmarkEnd w:id="257"/>
      <w:r>
        <w:rPr>
          <w:rFonts w:hint="eastAsia"/>
          <w:color w:val="auto"/>
          <w:highlight w:val="none"/>
        </w:rPr>
        <w:t xml:space="preserve"> 商务文件（含资格审查文件）包括以下资料：</w:t>
      </w:r>
    </w:p>
    <w:p w14:paraId="05D9815C">
      <w:pPr>
        <w:wordWrap w:val="0"/>
        <w:rPr>
          <w:rFonts w:ascii="宋体" w:hAnsi="宋体" w:eastAsia="宋体" w:cs="宋体"/>
          <w:color w:val="auto"/>
          <w:szCs w:val="24"/>
          <w:highlight w:val="none"/>
        </w:rPr>
        <w:sectPr>
          <w:type w:val="continuous"/>
          <w:pgSz w:w="11905" w:h="16838"/>
          <w:pgMar w:top="1474" w:right="1701" w:bottom="1474" w:left="1701" w:header="720" w:footer="720" w:gutter="0"/>
          <w:cols w:space="720" w:num="1"/>
        </w:sectPr>
      </w:pPr>
    </w:p>
    <w:p w14:paraId="61BDFEC0">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50E2F77F">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2E3DA49F">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0DE1274E">
      <w:pPr>
        <w:wordWrap w:val="0"/>
        <w:autoSpaceDE w:val="0"/>
        <w:autoSpaceDN w:val="0"/>
        <w:spacing w:line="360" w:lineRule="auto"/>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11AD9004">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4A7A912A">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5B1FDC70">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76085963">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14:paraId="315B104B">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cols w:space="720" w:num="1"/>
        </w:sectPr>
      </w:pPr>
    </w:p>
    <w:p w14:paraId="3D1AF77A">
      <w:pPr>
        <w:pStyle w:val="6"/>
        <w:wordWrap w:val="0"/>
        <w:rPr>
          <w:color w:val="auto"/>
          <w:highlight w:val="none"/>
        </w:rPr>
      </w:pPr>
      <w:bookmarkStart w:id="258" w:name="_Toc111186813"/>
      <w:bookmarkStart w:id="259" w:name="_Toc20296"/>
      <w:bookmarkStart w:id="260" w:name="_Toc111186812"/>
      <w:bookmarkStart w:id="261" w:name="_Toc16936"/>
      <w:r>
        <w:rPr>
          <w:rFonts w:hint="eastAsia"/>
          <w:color w:val="auto"/>
          <w:highlight w:val="none"/>
        </w:rPr>
        <w:t>一</w:t>
      </w:r>
      <w:bookmarkEnd w:id="258"/>
      <w:bookmarkEnd w:id="259"/>
      <w:r>
        <w:rPr>
          <w:rFonts w:hint="eastAsia"/>
          <w:color w:val="auto"/>
          <w:highlight w:val="none"/>
        </w:rPr>
        <w:t>、投标函及投标函附录</w:t>
      </w:r>
    </w:p>
    <w:p w14:paraId="3DEFD6D8">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14:paraId="29D86AC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06AF326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）的投标总报价，按合同约定完成勘察设计工作。我方项目负责人是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2C3C0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14:paraId="5E06D5D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474787E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1E34A19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14:paraId="642842C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（4）投标人声明</w:t>
      </w:r>
    </w:p>
    <w:p w14:paraId="779677C0">
      <w:pPr>
        <w:wordWrap w:val="0"/>
        <w:spacing w:line="360" w:lineRule="auto"/>
        <w:ind w:firstLine="566" w:firstLineChars="236"/>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（5）投标保证金(如有)；</w:t>
      </w:r>
    </w:p>
    <w:p w14:paraId="627CE81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（6）勘察设计费报价表；</w:t>
      </w:r>
    </w:p>
    <w:p w14:paraId="6CE00D5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6A6BFC9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（8）商务文件（资信业绩）；</w:t>
      </w:r>
    </w:p>
    <w:p w14:paraId="4BC7471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（9）技术文件（勘察设计方案）；</w:t>
      </w:r>
    </w:p>
    <w:p w14:paraId="36FF035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（10）投标文件光盘（备用）。注：投标人也可不提交投标文件光盘（备用）</w:t>
      </w:r>
    </w:p>
    <w:p w14:paraId="3F7EB9D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7BAC6BC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20B0C3F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14:paraId="385A6D3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（1）在收到中标通知书后，在法律法规规定的期限内与你方签订合同；</w:t>
      </w:r>
    </w:p>
    <w:p w14:paraId="001D91D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09705599">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（3）按照招标文件要求提交履约保证金；</w:t>
      </w:r>
    </w:p>
    <w:p w14:paraId="3590916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06279EF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14:paraId="791A414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14:paraId="7F4731C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694DC28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14:paraId="672DE05B">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8.如果我方中标，我方将提供规定的履约担保，将在合同规定的日期开工，并在竣工时间内，按照上述文件完成项目。</w:t>
      </w:r>
    </w:p>
    <w:p w14:paraId="6604FF4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9.除非制定正式合同协议书并生效，本投标书以及你方中标通知书，应构成你我双方间具有约束力的合同。</w:t>
      </w:r>
    </w:p>
    <w:p w14:paraId="68C299D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0C95A74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11.（其他补充说明）。</w:t>
      </w:r>
    </w:p>
    <w:p w14:paraId="3BC353FE">
      <w:pPr>
        <w:wordWrap w:val="0"/>
        <w:spacing w:line="360" w:lineRule="auto"/>
        <w:rPr>
          <w:rFonts w:ascii="宋体" w:hAnsi="宋体" w:eastAsia="宋体" w:cs="宋体"/>
          <w:color w:val="auto"/>
          <w:sz w:val="24"/>
          <w:szCs w:val="24"/>
          <w:highlight w:val="none"/>
        </w:rPr>
      </w:pPr>
    </w:p>
    <w:p w14:paraId="4F7A019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DF0CCFE">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6EFE41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 xml:space="preserve">                          </w:t>
      </w:r>
    </w:p>
    <w:p w14:paraId="2B372F83">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05A5DE77">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01D03B9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59F61CE8">
      <w:pPr>
        <w:wordWrap w:val="0"/>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3685C070">
      <w:pPr>
        <w:wordWrap w:val="0"/>
        <w:spacing w:line="360" w:lineRule="auto"/>
        <w:ind w:right="120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14:paraId="44344B00">
      <w:pPr>
        <w:wordWrap w:val="0"/>
        <w:jc w:val="center"/>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14:paraId="252E0F53">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785"/>
        <w:gridCol w:w="2698"/>
        <w:gridCol w:w="1798"/>
      </w:tblGrid>
      <w:tr w14:paraId="0E3A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vAlign w:val="center"/>
          </w:tcPr>
          <w:p w14:paraId="730EB233">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vAlign w:val="center"/>
          </w:tcPr>
          <w:p w14:paraId="15D74092">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vAlign w:val="center"/>
          </w:tcPr>
          <w:p w14:paraId="7DD4E632">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vAlign w:val="center"/>
          </w:tcPr>
          <w:p w14:paraId="6B8FFF1A">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667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48831D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36" w:type="pct"/>
            <w:vAlign w:val="center"/>
          </w:tcPr>
          <w:p w14:paraId="27ED2933">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14:paraId="50525B93">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p>
        </w:tc>
        <w:tc>
          <w:tcPr>
            <w:tcW w:w="1056" w:type="pct"/>
            <w:vAlign w:val="center"/>
          </w:tcPr>
          <w:p w14:paraId="028FEC46">
            <w:pPr>
              <w:wordWrap w:val="0"/>
              <w:spacing w:line="276" w:lineRule="auto"/>
              <w:jc w:val="center"/>
              <w:rPr>
                <w:rFonts w:ascii="宋体" w:hAnsi="宋体" w:eastAsia="宋体" w:cs="宋体"/>
                <w:color w:val="auto"/>
                <w:szCs w:val="21"/>
                <w:highlight w:val="none"/>
              </w:rPr>
            </w:pPr>
          </w:p>
        </w:tc>
      </w:tr>
      <w:tr w14:paraId="16B2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0A62B5C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36" w:type="pct"/>
            <w:vAlign w:val="center"/>
          </w:tcPr>
          <w:p w14:paraId="07E3DC4D">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14:paraId="4B871D03">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1970C7EC">
            <w:pPr>
              <w:wordWrap w:val="0"/>
              <w:spacing w:line="276" w:lineRule="auto"/>
              <w:jc w:val="center"/>
              <w:rPr>
                <w:rFonts w:ascii="宋体" w:hAnsi="宋体" w:eastAsia="宋体" w:cs="宋体"/>
                <w:color w:val="auto"/>
                <w:szCs w:val="21"/>
                <w:highlight w:val="none"/>
              </w:rPr>
            </w:pPr>
          </w:p>
        </w:tc>
      </w:tr>
      <w:tr w14:paraId="1082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3CE4075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36" w:type="pct"/>
            <w:vAlign w:val="center"/>
          </w:tcPr>
          <w:p w14:paraId="12FAD912">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14:paraId="3C66450E">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3A7408CC">
            <w:pPr>
              <w:wordWrap w:val="0"/>
              <w:spacing w:line="276" w:lineRule="auto"/>
              <w:jc w:val="center"/>
              <w:rPr>
                <w:rFonts w:ascii="宋体" w:hAnsi="宋体" w:eastAsia="宋体" w:cs="宋体"/>
                <w:color w:val="auto"/>
                <w:szCs w:val="21"/>
                <w:highlight w:val="none"/>
              </w:rPr>
            </w:pPr>
          </w:p>
        </w:tc>
      </w:tr>
      <w:tr w14:paraId="3904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0857DD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6" w:type="pct"/>
            <w:vAlign w:val="center"/>
          </w:tcPr>
          <w:p w14:paraId="4C39D469">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14:paraId="61968D3E">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67B58034">
            <w:pPr>
              <w:wordWrap w:val="0"/>
              <w:spacing w:line="276" w:lineRule="auto"/>
              <w:jc w:val="center"/>
              <w:rPr>
                <w:rFonts w:ascii="宋体" w:hAnsi="宋体" w:eastAsia="宋体" w:cs="宋体"/>
                <w:color w:val="auto"/>
                <w:szCs w:val="21"/>
                <w:highlight w:val="none"/>
              </w:rPr>
            </w:pPr>
          </w:p>
        </w:tc>
      </w:tr>
      <w:tr w14:paraId="44AD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7071DB0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36" w:type="pct"/>
            <w:vAlign w:val="center"/>
          </w:tcPr>
          <w:p w14:paraId="5AED64B4">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14:paraId="603D2548">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4CC1778">
            <w:pPr>
              <w:wordWrap w:val="0"/>
              <w:spacing w:line="276" w:lineRule="auto"/>
              <w:jc w:val="center"/>
              <w:rPr>
                <w:rFonts w:ascii="宋体" w:hAnsi="宋体" w:eastAsia="宋体" w:cs="宋体"/>
                <w:color w:val="auto"/>
                <w:szCs w:val="21"/>
                <w:highlight w:val="none"/>
              </w:rPr>
            </w:pPr>
          </w:p>
        </w:tc>
      </w:tr>
      <w:tr w14:paraId="0EF8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41E5F27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36" w:type="pct"/>
            <w:vAlign w:val="center"/>
          </w:tcPr>
          <w:p w14:paraId="2D943346">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vAlign w:val="center"/>
          </w:tcPr>
          <w:p w14:paraId="297FCF0F">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73748FE">
            <w:pPr>
              <w:wordWrap w:val="0"/>
              <w:spacing w:line="276" w:lineRule="auto"/>
              <w:jc w:val="center"/>
              <w:rPr>
                <w:rFonts w:ascii="宋体" w:hAnsi="宋体" w:eastAsia="宋体" w:cs="宋体"/>
                <w:color w:val="auto"/>
                <w:szCs w:val="21"/>
                <w:highlight w:val="none"/>
              </w:rPr>
            </w:pPr>
          </w:p>
        </w:tc>
      </w:tr>
    </w:tbl>
    <w:p w14:paraId="5CADE1C9">
      <w:pPr>
        <w:pBdr>
          <w:top w:val="single" w:color="auto" w:sz="4" w:space="1"/>
        </w:pBdr>
        <w:wordWrap w:val="0"/>
        <w:spacing w:line="360" w:lineRule="auto"/>
        <w:rPr>
          <w:rFonts w:ascii="宋体" w:hAnsi="宋体" w:eastAsia="宋体" w:cs="宋体"/>
          <w:bCs/>
          <w:color w:val="auto"/>
          <w:sz w:val="24"/>
          <w:szCs w:val="24"/>
          <w:highlight w:val="none"/>
        </w:rPr>
      </w:pPr>
    </w:p>
    <w:p w14:paraId="15BBC020">
      <w:pPr>
        <w:pBdr>
          <w:top w:val="single" w:color="auto" w:sz="4" w:space="1"/>
        </w:pBdr>
        <w:wordWrap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pacing w:val="-2"/>
          <w:sz w:val="24"/>
          <w:szCs w:val="24"/>
          <w:highlight w:val="none"/>
        </w:rPr>
        <w:t>人：</w:t>
      </w:r>
      <w:r>
        <w:rPr>
          <w:rFonts w:hint="eastAsia" w:ascii="宋体" w:hAnsi="宋体" w:eastAsia="宋体" w:cs="宋体"/>
          <w:bCs/>
          <w:color w:val="auto"/>
          <w:spacing w:val="-2"/>
          <w:sz w:val="24"/>
          <w:szCs w:val="24"/>
          <w:highlight w:val="none"/>
          <w:u w:val="single"/>
        </w:rPr>
        <w:t xml:space="preserve">    </w:t>
      </w:r>
      <w:r>
        <w:rPr>
          <w:rFonts w:hint="eastAsia" w:ascii="宋体" w:hAnsi="宋体" w:eastAsia="宋体" w:cs="宋体"/>
          <w:bCs/>
          <w:color w:val="auto"/>
          <w:spacing w:val="-1"/>
          <w:sz w:val="24"/>
          <w:szCs w:val="24"/>
          <w:highlight w:val="none"/>
        </w:rPr>
        <w:t>（盖章）</w:t>
      </w:r>
    </w:p>
    <w:p w14:paraId="5EC658E0">
      <w:pPr>
        <w:wordWrap w:val="0"/>
        <w:spacing w:line="360" w:lineRule="auto"/>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7A4C6DA0">
      <w:pPr>
        <w:wordWrap w:val="0"/>
        <w:spacing w:line="360" w:lineRule="auto"/>
        <w:ind w:firstLine="240" w:firstLineChars="100"/>
        <w:rPr>
          <w:rFonts w:ascii="宋体" w:hAnsi="宋体" w:eastAsia="宋体" w:cs="宋体"/>
          <w:color w:val="auto"/>
          <w:sz w:val="24"/>
          <w:szCs w:val="24"/>
          <w:highlight w:val="none"/>
        </w:rPr>
      </w:pPr>
    </w:p>
    <w:p w14:paraId="611694AD">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5DCA923C">
      <w:pPr>
        <w:pStyle w:val="6"/>
        <w:wordWrap w:val="0"/>
        <w:rPr>
          <w:color w:val="auto"/>
          <w:highlight w:val="none"/>
        </w:rPr>
      </w:pPr>
      <w:r>
        <w:rPr>
          <w:rFonts w:hint="eastAsia"/>
          <w:color w:val="auto"/>
          <w:highlight w:val="none"/>
        </w:rPr>
        <w:br w:type="page"/>
      </w:r>
      <w:r>
        <w:rPr>
          <w:rFonts w:hint="eastAsia"/>
          <w:color w:val="auto"/>
          <w:highlight w:val="none"/>
        </w:rPr>
        <w:t>二、法定代表人身份证明及授权委托书</w:t>
      </w:r>
      <w:bookmarkEnd w:id="260"/>
      <w:bookmarkEnd w:id="261"/>
    </w:p>
    <w:p w14:paraId="3F58EA41">
      <w:pPr>
        <w:wordWrap w:val="0"/>
        <w:jc w:val="center"/>
        <w:rPr>
          <w:rFonts w:ascii="宋体" w:hAnsi="宋体" w:eastAsia="宋体" w:cs="宋体"/>
          <w:b/>
          <w:color w:val="auto"/>
          <w:sz w:val="28"/>
          <w:szCs w:val="28"/>
          <w:highlight w:val="none"/>
        </w:rPr>
      </w:pPr>
      <w:bookmarkStart w:id="262" w:name="_Toc82786997"/>
      <w:bookmarkStart w:id="263" w:name="_Toc35513540"/>
      <w:r>
        <w:rPr>
          <w:rFonts w:hint="eastAsia" w:ascii="宋体" w:hAnsi="宋体" w:eastAsia="宋体" w:cs="宋体"/>
          <w:b/>
          <w:color w:val="auto"/>
          <w:sz w:val="28"/>
          <w:szCs w:val="28"/>
          <w:highlight w:val="none"/>
        </w:rPr>
        <w:t>法定代表人身份证明</w:t>
      </w:r>
      <w:bookmarkEnd w:id="262"/>
      <w:bookmarkEnd w:id="263"/>
    </w:p>
    <w:p w14:paraId="511F8D03">
      <w:pPr>
        <w:wordWrap w:val="0"/>
        <w:spacing w:line="360" w:lineRule="auto"/>
        <w:ind w:firstLine="480"/>
        <w:rPr>
          <w:rFonts w:ascii="宋体" w:hAnsi="宋体" w:eastAsia="宋体" w:cs="宋体"/>
          <w:color w:val="auto"/>
          <w:sz w:val="24"/>
          <w:szCs w:val="24"/>
          <w:highlight w:val="none"/>
        </w:rPr>
      </w:pPr>
    </w:p>
    <w:p w14:paraId="42719E4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1BD2031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62CDD934">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0E129B27">
      <w:pPr>
        <w:wordWrap w:val="0"/>
        <w:spacing w:line="360" w:lineRule="auto"/>
        <w:ind w:firstLine="480"/>
        <w:rPr>
          <w:rFonts w:ascii="宋体" w:hAnsi="宋体" w:eastAsia="宋体" w:cs="宋体"/>
          <w:color w:val="auto"/>
          <w:sz w:val="24"/>
          <w:szCs w:val="24"/>
          <w:highlight w:val="none"/>
        </w:rPr>
      </w:pPr>
    </w:p>
    <w:p w14:paraId="7AD6D2E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E66AAF0">
      <w:pPr>
        <w:wordWrap w:val="0"/>
        <w:spacing w:line="360" w:lineRule="auto"/>
        <w:ind w:firstLine="480"/>
        <w:rPr>
          <w:rFonts w:ascii="宋体" w:hAnsi="宋体" w:eastAsia="宋体" w:cs="宋体"/>
          <w:color w:val="auto"/>
          <w:sz w:val="24"/>
          <w:szCs w:val="24"/>
          <w:highlight w:val="none"/>
        </w:rPr>
      </w:pPr>
    </w:p>
    <w:p w14:paraId="63B86EC2">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p>
    <w:p w14:paraId="357E03CF">
      <w:pPr>
        <w:wordWrap w:val="0"/>
        <w:spacing w:line="360" w:lineRule="auto"/>
        <w:ind w:firstLine="480"/>
        <w:rPr>
          <w:rFonts w:ascii="宋体" w:hAnsi="宋体" w:eastAsia="宋体" w:cs="宋体"/>
          <w:color w:val="auto"/>
          <w:sz w:val="24"/>
          <w:szCs w:val="24"/>
          <w:highlight w:val="none"/>
        </w:rPr>
      </w:pPr>
    </w:p>
    <w:p w14:paraId="4222F099">
      <w:pPr>
        <w:wordWrap w:val="0"/>
        <w:spacing w:line="360" w:lineRule="auto"/>
        <w:ind w:firstLine="480"/>
        <w:rPr>
          <w:rFonts w:ascii="宋体" w:hAnsi="宋体" w:eastAsia="宋体" w:cs="宋体"/>
          <w:color w:val="auto"/>
          <w:sz w:val="24"/>
          <w:szCs w:val="24"/>
          <w:highlight w:val="none"/>
        </w:rPr>
      </w:pPr>
    </w:p>
    <w:p w14:paraId="5174F9D1">
      <w:pPr>
        <w:wordWrap w:val="0"/>
        <w:spacing w:line="360" w:lineRule="auto"/>
        <w:ind w:firstLine="480"/>
        <w:rPr>
          <w:rFonts w:ascii="宋体" w:hAnsi="宋体" w:eastAsia="宋体" w:cs="宋体"/>
          <w:color w:val="auto"/>
          <w:sz w:val="24"/>
          <w:szCs w:val="24"/>
          <w:highlight w:val="none"/>
        </w:rPr>
      </w:pPr>
    </w:p>
    <w:p w14:paraId="0FA0B7C5">
      <w:pPr>
        <w:wordWrap w:val="0"/>
        <w:spacing w:line="360" w:lineRule="auto"/>
        <w:ind w:firstLine="480"/>
        <w:rPr>
          <w:rFonts w:ascii="宋体" w:hAnsi="宋体" w:eastAsia="宋体" w:cs="宋体"/>
          <w:color w:val="auto"/>
          <w:sz w:val="24"/>
          <w:szCs w:val="24"/>
          <w:highlight w:val="none"/>
        </w:rPr>
      </w:pPr>
    </w:p>
    <w:p w14:paraId="23B6C92D">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bookmarkStart w:id="264" w:name="page82"/>
      <w:bookmarkEnd w:id="264"/>
      <w:r>
        <w:rPr>
          <w:rFonts w:hint="eastAsia" w:ascii="宋体" w:hAnsi="宋体" w:eastAsia="宋体" w:cs="宋体"/>
          <w:color w:val="auto"/>
          <w:sz w:val="24"/>
          <w:szCs w:val="24"/>
          <w:highlight w:val="none"/>
        </w:rPr>
        <w:t>（</w:t>
      </w:r>
      <w:bookmarkStart w:id="265" w:name="_Toc14709396"/>
      <w:r>
        <w:rPr>
          <w:rFonts w:hint="eastAsia" w:ascii="宋体" w:hAnsi="宋体" w:eastAsia="宋体" w:cs="宋体"/>
          <w:color w:val="auto"/>
          <w:sz w:val="24"/>
          <w:szCs w:val="24"/>
          <w:highlight w:val="none"/>
        </w:rPr>
        <w:t>盖单位章）</w:t>
      </w:r>
    </w:p>
    <w:bookmarkEnd w:id="265"/>
    <w:p w14:paraId="36507733">
      <w:pPr>
        <w:wordWrap w:val="0"/>
        <w:spacing w:line="360" w:lineRule="auto"/>
        <w:ind w:firstLine="5280" w:firstLineChars="2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7F9ADAD">
      <w:pPr>
        <w:wordWrap w:val="0"/>
        <w:spacing w:line="360" w:lineRule="auto"/>
        <w:ind w:firstLine="480"/>
        <w:rPr>
          <w:rFonts w:ascii="宋体" w:hAnsi="宋体" w:eastAsia="宋体" w:cs="宋体"/>
          <w:color w:val="auto"/>
          <w:sz w:val="24"/>
          <w:szCs w:val="24"/>
          <w:highlight w:val="none"/>
        </w:rPr>
      </w:pPr>
    </w:p>
    <w:p w14:paraId="5088B0FF">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66" w:name="_Toc35513541"/>
    </w:p>
    <w:p w14:paraId="26FAF6BD">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32"/>
          <w:szCs w:val="24"/>
          <w:highlight w:val="none"/>
        </w:rPr>
        <w:br w:type="page"/>
      </w:r>
      <w:bookmarkStart w:id="267" w:name="_Toc82786998"/>
      <w:r>
        <w:rPr>
          <w:rFonts w:hint="eastAsia" w:ascii="宋体" w:hAnsi="宋体" w:eastAsia="宋体" w:cs="宋体"/>
          <w:b/>
          <w:color w:val="auto"/>
          <w:sz w:val="28"/>
          <w:szCs w:val="28"/>
          <w:highlight w:val="none"/>
        </w:rPr>
        <w:t>授权委托书</w:t>
      </w:r>
      <w:bookmarkEnd w:id="266"/>
      <w:bookmarkEnd w:id="267"/>
    </w:p>
    <w:p w14:paraId="04D86ACF">
      <w:pPr>
        <w:wordWrap w:val="0"/>
        <w:spacing w:line="360" w:lineRule="auto"/>
        <w:ind w:firstLine="480"/>
        <w:rPr>
          <w:rFonts w:ascii="宋体" w:hAnsi="宋体" w:eastAsia="宋体" w:cs="宋体"/>
          <w:color w:val="auto"/>
          <w:sz w:val="24"/>
          <w:szCs w:val="24"/>
          <w:highlight w:val="none"/>
        </w:rPr>
      </w:pPr>
    </w:p>
    <w:p w14:paraId="7D8638E0">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14:paraId="2140D3A0">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036A7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118C3DA">
      <w:pPr>
        <w:wordWrap w:val="0"/>
        <w:spacing w:line="360" w:lineRule="auto"/>
        <w:ind w:firstLine="480"/>
        <w:rPr>
          <w:rFonts w:ascii="宋体" w:hAnsi="宋体" w:eastAsia="宋体" w:cs="宋体"/>
          <w:color w:val="auto"/>
          <w:sz w:val="24"/>
          <w:szCs w:val="24"/>
          <w:highlight w:val="none"/>
        </w:rPr>
      </w:pPr>
    </w:p>
    <w:p w14:paraId="3E1E73DD">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w:t>
      </w:r>
    </w:p>
    <w:p w14:paraId="314FADD1">
      <w:pPr>
        <w:wordWrap w:val="0"/>
        <w:spacing w:line="360" w:lineRule="auto"/>
        <w:ind w:firstLine="480"/>
        <w:rPr>
          <w:rFonts w:ascii="宋体" w:hAnsi="宋体" w:eastAsia="宋体" w:cs="宋体"/>
          <w:color w:val="auto"/>
          <w:sz w:val="24"/>
          <w:szCs w:val="24"/>
          <w:highlight w:val="none"/>
        </w:rPr>
      </w:pPr>
    </w:p>
    <w:p w14:paraId="58CBFE2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注：本授权委托书需由投标人加盖单位公章并由其法定代表人和委托代理人签字。</w:t>
      </w:r>
    </w:p>
    <w:p w14:paraId="24E2B042">
      <w:pPr>
        <w:wordWrap w:val="0"/>
        <w:spacing w:line="360" w:lineRule="auto"/>
        <w:ind w:firstLine="480"/>
        <w:rPr>
          <w:rFonts w:ascii="宋体" w:hAnsi="宋体" w:eastAsia="宋体" w:cs="宋体"/>
          <w:color w:val="auto"/>
          <w:sz w:val="24"/>
          <w:szCs w:val="24"/>
          <w:highlight w:val="none"/>
        </w:rPr>
      </w:pPr>
    </w:p>
    <w:p w14:paraId="27909863">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132E195">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05063E">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03CD4EC5">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65391A9">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F080623">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E075C2">
      <w:pPr>
        <w:wordWrap w:val="0"/>
        <w:spacing w:line="360" w:lineRule="auto"/>
        <w:ind w:firstLine="480"/>
        <w:rPr>
          <w:rFonts w:ascii="宋体" w:hAnsi="宋体" w:eastAsia="宋体" w:cs="宋体"/>
          <w:color w:val="auto"/>
          <w:sz w:val="24"/>
          <w:szCs w:val="24"/>
          <w:highlight w:val="none"/>
        </w:rPr>
      </w:pPr>
    </w:p>
    <w:p w14:paraId="4B1275D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14:paraId="776CFB71">
      <w:pPr>
        <w:pStyle w:val="6"/>
        <w:wordWrap w:val="0"/>
        <w:rPr>
          <w:color w:val="auto"/>
          <w:highlight w:val="none"/>
        </w:rPr>
      </w:pPr>
      <w:r>
        <w:rPr>
          <w:rFonts w:hint="eastAsia"/>
          <w:color w:val="auto"/>
          <w:highlight w:val="none"/>
        </w:rPr>
        <w:br w:type="page"/>
      </w:r>
      <w:bookmarkStart w:id="268" w:name="_Toc17883"/>
      <w:bookmarkStart w:id="269" w:name="_Toc111186814"/>
    </w:p>
    <w:p w14:paraId="2AF716B0">
      <w:pPr>
        <w:pStyle w:val="6"/>
        <w:wordWrap w:val="0"/>
        <w:rPr>
          <w:color w:val="auto"/>
          <w:highlight w:val="none"/>
        </w:rPr>
      </w:pPr>
      <w:r>
        <w:rPr>
          <w:rFonts w:hint="eastAsia"/>
          <w:color w:val="auto"/>
          <w:highlight w:val="none"/>
        </w:rPr>
        <w:t>三</w:t>
      </w:r>
      <w:bookmarkEnd w:id="268"/>
      <w:bookmarkEnd w:id="269"/>
      <w:r>
        <w:rPr>
          <w:rFonts w:hint="eastAsia"/>
          <w:color w:val="auto"/>
          <w:highlight w:val="none"/>
        </w:rPr>
        <w:t>、联合体协议书</w:t>
      </w:r>
    </w:p>
    <w:p w14:paraId="08C98C08">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14:paraId="38A1789A">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（参考格式）</w:t>
      </w:r>
    </w:p>
    <w:p w14:paraId="259C6EB5">
      <w:pPr>
        <w:wordWrap w:val="0"/>
        <w:spacing w:line="360" w:lineRule="auto"/>
        <w:jc w:val="center"/>
        <w:rPr>
          <w:rFonts w:ascii="宋体" w:hAnsi="宋体" w:eastAsia="宋体" w:cs="宋体"/>
          <w:color w:val="auto"/>
          <w:sz w:val="24"/>
          <w:szCs w:val="24"/>
          <w:highlight w:val="none"/>
        </w:rPr>
      </w:pPr>
    </w:p>
    <w:p w14:paraId="7D4FE985">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BE965D">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14:paraId="139B6227">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4B112917">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C6236A9">
      <w:pPr>
        <w:wordWrap w:val="0"/>
        <w:spacing w:line="360" w:lineRule="auto"/>
        <w:rPr>
          <w:rFonts w:ascii="宋体" w:hAnsi="宋体" w:eastAsia="宋体" w:cs="宋体"/>
          <w:color w:val="auto"/>
          <w:sz w:val="24"/>
          <w:szCs w:val="24"/>
          <w:highlight w:val="none"/>
          <w:lang w:val="zh-CN"/>
        </w:rPr>
      </w:pPr>
    </w:p>
    <w:p w14:paraId="0ED7F366">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hint="eastAsia" w:ascii="宋体" w:hAnsi="宋体" w:eastAsia="宋体" w:cs="宋体"/>
          <w:color w:val="auto"/>
          <w:sz w:val="24"/>
          <w:szCs w:val="24"/>
          <w:highlight w:val="none"/>
          <w:u w:val="single"/>
          <w:lang w:val="zh-CN"/>
        </w:rPr>
        <w:t xml:space="preserve">                                         </w:t>
      </w:r>
    </w:p>
    <w:p w14:paraId="0DA1493A">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7F83003F">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5FAD6A58">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1AD59CBF">
      <w:pPr>
        <w:wordWrap w:val="0"/>
        <w:spacing w:line="360" w:lineRule="auto"/>
        <w:rPr>
          <w:rFonts w:ascii="宋体" w:hAnsi="宋体" w:eastAsia="宋体" w:cs="宋体"/>
          <w:color w:val="auto"/>
          <w:sz w:val="24"/>
          <w:szCs w:val="24"/>
          <w:highlight w:val="none"/>
          <w:lang w:val="zh-CN"/>
        </w:rPr>
      </w:pPr>
    </w:p>
    <w:p w14:paraId="0FEAF8A6">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hint="eastAsia" w:ascii="宋体" w:hAnsi="宋体" w:eastAsia="宋体" w:cs="宋体"/>
          <w:color w:val="auto"/>
          <w:sz w:val="24"/>
          <w:szCs w:val="24"/>
          <w:highlight w:val="none"/>
          <w:u w:val="single"/>
          <w:lang w:val="zh-CN"/>
        </w:rPr>
        <w:t xml:space="preserve">                                         </w:t>
      </w:r>
    </w:p>
    <w:p w14:paraId="4451A0B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0A8E7C79">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1749DD17">
      <w:pPr>
        <w:wordWrap w:val="0"/>
        <w:spacing w:line="360" w:lineRule="auto"/>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07B3788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14:paraId="0B22825F">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14:paraId="3445A39B">
      <w:pPr>
        <w:pStyle w:val="6"/>
        <w:wordWrap w:val="0"/>
        <w:rPr>
          <w:color w:val="auto"/>
          <w:highlight w:val="none"/>
          <w:u w:val="single"/>
        </w:rPr>
      </w:pPr>
      <w:r>
        <w:rPr>
          <w:rFonts w:hint="eastAsia"/>
          <w:color w:val="auto"/>
          <w:highlight w:val="none"/>
        </w:rPr>
        <w:br w:type="page"/>
      </w:r>
      <w:bookmarkStart w:id="270" w:name="_Toc111186815"/>
      <w:bookmarkStart w:id="271" w:name="_Toc23229"/>
    </w:p>
    <w:p w14:paraId="6EA251E3">
      <w:pPr>
        <w:pStyle w:val="6"/>
        <w:wordWrap w:val="0"/>
        <w:rPr>
          <w:color w:val="auto"/>
          <w:highlight w:val="none"/>
        </w:rPr>
      </w:pPr>
      <w:r>
        <w:rPr>
          <w:rFonts w:hint="eastAsia"/>
          <w:color w:val="auto"/>
          <w:highlight w:val="none"/>
        </w:rPr>
        <w:t>四、投标保证金</w:t>
      </w:r>
    </w:p>
    <w:p w14:paraId="642C76D6">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14:paraId="18D7D5DF">
      <w:pPr>
        <w:widowControl/>
        <w:jc w:val="left"/>
        <w:rPr>
          <w:rFonts w:ascii="宋体" w:hAnsi="宋体" w:eastAsia="宋体" w:cs="Times New Roman"/>
          <w:b/>
          <w:color w:val="auto"/>
          <w:kern w:val="0"/>
          <w:sz w:val="24"/>
          <w:szCs w:val="24"/>
          <w:highlight w:val="none"/>
          <w:lang w:val="zh-CN"/>
        </w:rPr>
      </w:pPr>
      <w:r>
        <w:rPr>
          <w:rFonts w:hint="eastAsia"/>
          <w:color w:val="auto"/>
          <w:highlight w:val="none"/>
        </w:rPr>
        <w:br w:type="page"/>
      </w:r>
    </w:p>
    <w:p w14:paraId="2B349598">
      <w:pPr>
        <w:pStyle w:val="6"/>
        <w:wordWrap w:val="0"/>
        <w:rPr>
          <w:color w:val="auto"/>
          <w:highlight w:val="none"/>
        </w:rPr>
      </w:pPr>
      <w:r>
        <w:rPr>
          <w:rFonts w:hint="eastAsia"/>
          <w:color w:val="auto"/>
          <w:highlight w:val="none"/>
        </w:rPr>
        <w:t>五、勘察设计费报价表</w:t>
      </w:r>
    </w:p>
    <w:p w14:paraId="1B5BA9EF">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勘察设计费报价表</w:t>
      </w:r>
    </w:p>
    <w:p w14:paraId="2692F4C4">
      <w:pPr>
        <w:wordWrap w:val="0"/>
        <w:jc w:val="center"/>
        <w:rPr>
          <w:rFonts w:ascii="宋体" w:hAnsi="宋体" w:eastAsia="宋体" w:cs="宋体"/>
          <w:b/>
          <w:color w:val="auto"/>
          <w:sz w:val="32"/>
          <w:szCs w:val="24"/>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96"/>
        <w:gridCol w:w="1031"/>
        <w:gridCol w:w="2107"/>
        <w:gridCol w:w="4023"/>
      </w:tblGrid>
      <w:tr w14:paraId="74B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0" w:type="pct"/>
            <w:vAlign w:val="center"/>
          </w:tcPr>
          <w:p w14:paraId="6EC4CCDB">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14" w:type="pct"/>
            <w:vAlign w:val="center"/>
          </w:tcPr>
          <w:p w14:paraId="0EF3DC9B">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591" w:type="pct"/>
            <w:vAlign w:val="center"/>
          </w:tcPr>
          <w:p w14:paraId="3C62E147">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下浮率</w:t>
            </w:r>
          </w:p>
        </w:tc>
        <w:tc>
          <w:tcPr>
            <w:tcW w:w="1208" w:type="pct"/>
            <w:vAlign w:val="center"/>
          </w:tcPr>
          <w:p w14:paraId="386938C2">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c>
          <w:tcPr>
            <w:tcW w:w="2307" w:type="pct"/>
            <w:vAlign w:val="center"/>
          </w:tcPr>
          <w:p w14:paraId="37B34DC2">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579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80" w:type="pct"/>
            <w:vAlign w:val="center"/>
          </w:tcPr>
          <w:p w14:paraId="3F1C1BB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514" w:type="pct"/>
            <w:vAlign w:val="center"/>
          </w:tcPr>
          <w:p w14:paraId="345F52C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勘察费</w:t>
            </w:r>
          </w:p>
        </w:tc>
        <w:tc>
          <w:tcPr>
            <w:tcW w:w="591" w:type="pct"/>
            <w:vAlign w:val="center"/>
          </w:tcPr>
          <w:p w14:paraId="47F88C31">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14:paraId="2527081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656E67D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=【1-（勘察费投标报价/勘察费最高投标限价）】*100%</w:t>
            </w:r>
          </w:p>
        </w:tc>
      </w:tr>
      <w:tr w14:paraId="4E49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0" w:type="pct"/>
            <w:vAlign w:val="center"/>
          </w:tcPr>
          <w:p w14:paraId="0CB570C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514" w:type="pct"/>
            <w:vAlign w:val="center"/>
          </w:tcPr>
          <w:p w14:paraId="27B52C4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设计费</w:t>
            </w:r>
          </w:p>
        </w:tc>
        <w:tc>
          <w:tcPr>
            <w:tcW w:w="591" w:type="pct"/>
            <w:vAlign w:val="center"/>
          </w:tcPr>
          <w:p w14:paraId="6C70AEC1">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14:paraId="39ED11D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56D1EB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=【1-（设计费投标报价/设计费最高投标限价）】*100%</w:t>
            </w:r>
          </w:p>
        </w:tc>
      </w:tr>
      <w:tr w14:paraId="6317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4" w:type="pct"/>
            <w:gridSpan w:val="2"/>
            <w:vAlign w:val="center"/>
          </w:tcPr>
          <w:p w14:paraId="6812AC7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591" w:type="pct"/>
            <w:vAlign w:val="center"/>
          </w:tcPr>
          <w:p w14:paraId="2F6F24D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08" w:type="pct"/>
            <w:vAlign w:val="center"/>
          </w:tcPr>
          <w:p w14:paraId="55E58DF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投标总报价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62835314">
            <w:pPr>
              <w:wordWrap w:val="0"/>
              <w:spacing w:line="276"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投标总报价=勘察费投标报价+设计费投标报价</w:t>
            </w:r>
          </w:p>
        </w:tc>
      </w:tr>
    </w:tbl>
    <w:p w14:paraId="0984E2C5">
      <w:pPr>
        <w:wordWrap w:val="0"/>
        <w:spacing w:line="360" w:lineRule="auto"/>
        <w:rPr>
          <w:rFonts w:ascii="宋体" w:hAnsi="宋体" w:eastAsia="宋体"/>
          <w:color w:val="auto"/>
          <w:sz w:val="24"/>
          <w:szCs w:val="24"/>
          <w:highlight w:val="none"/>
        </w:rPr>
      </w:pPr>
    </w:p>
    <w:p w14:paraId="49FC5B6F">
      <w:pPr>
        <w:wordWrap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 xml:space="preserve">    </w:t>
      </w:r>
      <w:r>
        <w:rPr>
          <w:rFonts w:hint="eastAsia" w:ascii="宋体" w:hAnsi="宋体" w:eastAsia="宋体"/>
          <w:color w:val="auto"/>
          <w:spacing w:val="-1"/>
          <w:sz w:val="24"/>
          <w:szCs w:val="24"/>
          <w:highlight w:val="none"/>
        </w:rPr>
        <w:t>（盖章）</w:t>
      </w:r>
    </w:p>
    <w:p w14:paraId="714C902E">
      <w:pPr>
        <w:wordWrap w:val="0"/>
        <w:spacing w:line="360" w:lineRule="auto"/>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21443344">
      <w:pPr>
        <w:wordWrap w:val="0"/>
        <w:spacing w:line="360" w:lineRule="auto"/>
        <w:rPr>
          <w:rFonts w:ascii="宋体" w:hAnsi="宋体" w:eastAsia="宋体" w:cs="宋体"/>
          <w:b/>
          <w:bCs/>
          <w:color w:val="auto"/>
          <w:sz w:val="24"/>
          <w:szCs w:val="24"/>
          <w:highlight w:val="none"/>
          <w:u w:val="single"/>
        </w:rPr>
      </w:pPr>
    </w:p>
    <w:p w14:paraId="506F8999">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61FEA0E0">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bookmarkEnd w:id="270"/>
    <w:bookmarkEnd w:id="271"/>
    <w:p w14:paraId="006E999B">
      <w:pPr>
        <w:pStyle w:val="6"/>
        <w:wordWrap w:val="0"/>
        <w:rPr>
          <w:color w:val="auto"/>
          <w:highlight w:val="none"/>
        </w:rPr>
      </w:pPr>
      <w:r>
        <w:rPr>
          <w:rFonts w:hint="eastAsia"/>
          <w:color w:val="auto"/>
          <w:highlight w:val="none"/>
        </w:rPr>
        <w:t>六、</w:t>
      </w:r>
      <w:r>
        <w:rPr>
          <w:rFonts w:hint="eastAsia" w:cs="宋体"/>
          <w:color w:val="auto"/>
          <w:highlight w:val="none"/>
        </w:rPr>
        <w:t>资格审查资料</w:t>
      </w:r>
    </w:p>
    <w:p w14:paraId="025E4686">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（1）营业执照或事业单位登记机构核发的事业单位法人证书、资质证书；</w:t>
      </w:r>
    </w:p>
    <w:p w14:paraId="50069A79">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14:paraId="03363005">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s="宋体"/>
          <w:bCs/>
          <w:color w:val="auto"/>
          <w:sz w:val="24"/>
          <w:szCs w:val="24"/>
          <w:highlight w:val="none"/>
        </w:rPr>
        <w:t>投标人声明、廉洁承诺书。</w:t>
      </w:r>
    </w:p>
    <w:p w14:paraId="45927FB6">
      <w:pPr>
        <w:widowControl/>
        <w:spacing w:line="360" w:lineRule="auto"/>
        <w:jc w:val="left"/>
        <w:rPr>
          <w:rFonts w:ascii="宋体" w:hAnsi="宋体" w:eastAsia="宋体" w:cs="宋体"/>
          <w:bCs/>
          <w:color w:val="auto"/>
          <w:sz w:val="24"/>
          <w:szCs w:val="24"/>
          <w:highlight w:val="none"/>
        </w:rPr>
      </w:pPr>
    </w:p>
    <w:p w14:paraId="743D571C">
      <w:pPr>
        <w:widowControl/>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A4837EB">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14:paraId="2F960432">
      <w:pPr>
        <w:wordWrap w:val="0"/>
        <w:spacing w:line="360" w:lineRule="auto"/>
        <w:ind w:firstLine="629"/>
        <w:rPr>
          <w:rFonts w:ascii="宋体" w:hAnsi="宋体" w:eastAsia="宋体" w:cs="宋体"/>
          <w:color w:val="auto"/>
          <w:kern w:val="0"/>
          <w:sz w:val="24"/>
          <w:szCs w:val="24"/>
          <w:highlight w:val="none"/>
        </w:rPr>
      </w:pPr>
    </w:p>
    <w:p w14:paraId="292BB321">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广州市花都区住房和城乡建设局</w:t>
      </w:r>
      <w:r>
        <w:rPr>
          <w:rFonts w:hint="eastAsia" w:ascii="宋体" w:hAnsi="宋体" w:eastAsia="宋体" w:cs="宋体"/>
          <w:color w:val="auto"/>
          <w:kern w:val="0"/>
          <w:sz w:val="24"/>
          <w:szCs w:val="24"/>
          <w:highlight w:val="none"/>
        </w:rPr>
        <w:t>、本招标项目招标人及招标监管机构：</w:t>
      </w:r>
    </w:p>
    <w:p w14:paraId="1240207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14:paraId="41297CD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6FA66219">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14:paraId="5D0E42C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三、本公司不存在招标文件第二章投标人须知第1.4.3项所规定的任何一种情形。具体如下：</w:t>
      </w:r>
    </w:p>
    <w:p w14:paraId="0725BE11">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14:paraId="4DF954D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14:paraId="71396F15">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14:paraId="43677FC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14:paraId="749EA905">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14:paraId="05C724F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14:paraId="43E122C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14:paraId="2EFFA4A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14:paraId="205C604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12E653D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14:paraId="292A5278">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14:paraId="57AA7B6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424C953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14:paraId="0F04B89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 。</w:t>
      </w:r>
    </w:p>
    <w:p w14:paraId="432B5F3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14:paraId="71F178D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六、与本公司单位负责人为同一人或者与本公司存在控股、管理关系的其他单位包括：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14:paraId="57B55CC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14:paraId="63B4BFD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14:paraId="28317A5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14:paraId="465F5B5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533F7C35">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458CDD29">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480D5AEA">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33CCA49A">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CD36FCD">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14:paraId="6674ECBA">
      <w:pPr>
        <w:wordWrap w:val="0"/>
        <w:spacing w:line="360" w:lineRule="auto"/>
        <w:ind w:firstLine="629"/>
        <w:rPr>
          <w:rFonts w:ascii="宋体" w:hAnsi="宋体" w:eastAsia="宋体" w:cs="宋体"/>
          <w:color w:val="auto"/>
          <w:kern w:val="0"/>
          <w:sz w:val="24"/>
          <w:szCs w:val="24"/>
          <w:highlight w:val="none"/>
        </w:rPr>
      </w:pPr>
    </w:p>
    <w:p w14:paraId="7194727B">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66F8C973">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715528DA">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14:paraId="6B0D187F">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14:paraId="7071B027">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14:paraId="547FB749">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四、不以任何名义向参与招标、评标工作的有关人员提供高消费宴请及娱乐活动和赠送回扣、红包、礼金、购物卡、有价证券、贵重物品和好处费、感谢费等； </w:t>
      </w:r>
    </w:p>
    <w:p w14:paraId="42A753BF">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14:paraId="28449344">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14:paraId="69D2591D">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14:paraId="45B19D54">
      <w:pPr>
        <w:wordWrap w:val="0"/>
        <w:spacing w:line="360" w:lineRule="auto"/>
        <w:jc w:val="left"/>
        <w:rPr>
          <w:rFonts w:ascii="宋体" w:hAnsi="宋体" w:eastAsia="宋体" w:cs="宋体"/>
          <w:color w:val="auto"/>
          <w:kern w:val="0"/>
          <w:sz w:val="24"/>
          <w:szCs w:val="24"/>
          <w:highlight w:val="none"/>
        </w:rPr>
      </w:pPr>
    </w:p>
    <w:p w14:paraId="49ED79A7">
      <w:pPr>
        <w:wordWrap w:val="0"/>
        <w:spacing w:line="360" w:lineRule="auto"/>
        <w:jc w:val="left"/>
        <w:rPr>
          <w:rFonts w:ascii="宋体" w:hAnsi="宋体" w:eastAsia="宋体" w:cs="宋体"/>
          <w:color w:val="auto"/>
          <w:kern w:val="0"/>
          <w:sz w:val="24"/>
          <w:szCs w:val="24"/>
          <w:highlight w:val="none"/>
        </w:rPr>
      </w:pPr>
    </w:p>
    <w:p w14:paraId="2BFD22CD">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292CDFA7">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3B0798BA">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4365A7DD">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426F05">
      <w:pPr>
        <w:pStyle w:val="6"/>
        <w:wordWrap w:val="0"/>
        <w:rPr>
          <w:rFonts w:cs="宋体"/>
          <w:color w:val="auto"/>
          <w:highlight w:val="none"/>
        </w:rPr>
      </w:pPr>
      <w:r>
        <w:rPr>
          <w:rFonts w:hint="eastAsia"/>
          <w:color w:val="auto"/>
          <w:highlight w:val="none"/>
        </w:rPr>
        <w:t>七、投标人须知前附表规定的其他资料</w:t>
      </w:r>
    </w:p>
    <w:p w14:paraId="65E30450">
      <w:pPr>
        <w:wordWrap w:val="0"/>
        <w:spacing w:line="360" w:lineRule="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投标人认为有必要提供的其他资料，格式自定。</w:t>
      </w:r>
    </w:p>
    <w:p w14:paraId="2CB2B4DB">
      <w:pPr>
        <w:pStyle w:val="6"/>
        <w:wordWrap w:val="0"/>
        <w:rPr>
          <w:rFonts w:cs="宋体"/>
          <w:color w:val="auto"/>
          <w:highlight w:val="none"/>
        </w:rPr>
      </w:pPr>
      <w:r>
        <w:rPr>
          <w:rFonts w:hint="eastAsia"/>
          <w:color w:val="auto"/>
          <w:highlight w:val="none"/>
        </w:rPr>
        <w:br w:type="page"/>
      </w:r>
    </w:p>
    <w:p w14:paraId="0505FED1">
      <w:pPr>
        <w:pStyle w:val="5"/>
        <w:wordWrap w:val="0"/>
        <w:rPr>
          <w:color w:val="auto"/>
          <w:highlight w:val="none"/>
        </w:rPr>
      </w:pPr>
      <w:r>
        <w:rPr>
          <w:rFonts w:hint="eastAsia"/>
          <w:color w:val="auto"/>
          <w:highlight w:val="none"/>
        </w:rPr>
        <w:t>2. 技术文件（勘察设计方案）编制</w:t>
      </w:r>
    </w:p>
    <w:p w14:paraId="794E6107">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2.1技术文件（勘察设计方案）暗标，由下列资料组成：（总页码不超过</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00页</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rPr>
        <w:t>目录</w:t>
      </w:r>
      <w:r>
        <w:rPr>
          <w:rFonts w:ascii="宋体" w:hAnsi="宋体" w:eastAsia="宋体" w:cs="宋体"/>
          <w:color w:val="auto"/>
          <w:sz w:val="24"/>
          <w:szCs w:val="24"/>
        </w:rPr>
        <w:t>编排</w:t>
      </w:r>
      <w:r>
        <w:rPr>
          <w:rFonts w:hint="eastAsia" w:ascii="宋体" w:hAnsi="宋体" w:eastAsia="宋体" w:cs="宋体"/>
          <w:color w:val="auto"/>
          <w:sz w:val="24"/>
          <w:szCs w:val="24"/>
        </w:rPr>
        <w:t>投标</w:t>
      </w:r>
      <w:r>
        <w:rPr>
          <w:rFonts w:ascii="宋体" w:hAnsi="宋体" w:eastAsia="宋体" w:cs="宋体"/>
          <w:color w:val="auto"/>
          <w:sz w:val="24"/>
          <w:szCs w:val="24"/>
        </w:rPr>
        <w:t>人</w:t>
      </w:r>
      <w:r>
        <w:rPr>
          <w:rFonts w:hint="eastAsia" w:ascii="宋体" w:hAnsi="宋体" w:eastAsia="宋体" w:cs="宋体"/>
          <w:color w:val="auto"/>
          <w:sz w:val="24"/>
          <w:szCs w:val="24"/>
        </w:rPr>
        <w:t>可自</w:t>
      </w:r>
      <w:r>
        <w:rPr>
          <w:rFonts w:ascii="宋体" w:hAnsi="宋体" w:eastAsia="宋体" w:cs="宋体"/>
          <w:color w:val="auto"/>
          <w:sz w:val="24"/>
          <w:szCs w:val="24"/>
        </w:rPr>
        <w:t>行修改，但至少</w:t>
      </w:r>
      <w:r>
        <w:rPr>
          <w:rFonts w:hint="eastAsia" w:ascii="宋体" w:hAnsi="宋体" w:eastAsia="宋体" w:cs="宋体"/>
          <w:color w:val="auto"/>
          <w:sz w:val="24"/>
          <w:szCs w:val="24"/>
        </w:rPr>
        <w:t>包含</w:t>
      </w:r>
      <w:r>
        <w:rPr>
          <w:rFonts w:ascii="宋体" w:hAnsi="宋体" w:eastAsia="宋体" w:cs="宋体"/>
          <w:color w:val="auto"/>
          <w:sz w:val="24"/>
          <w:szCs w:val="24"/>
        </w:rPr>
        <w:t>以下内容</w:t>
      </w:r>
      <w:r>
        <w:rPr>
          <w:rFonts w:hint="eastAsia" w:ascii="宋体" w:hAnsi="宋体" w:eastAsia="宋体" w:cs="宋体"/>
          <w:b/>
          <w:color w:val="auto"/>
          <w:sz w:val="24"/>
          <w:szCs w:val="24"/>
        </w:rPr>
        <w:t>）</w:t>
      </w:r>
    </w:p>
    <w:p w14:paraId="4EED41CD">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（1）设计方案文本文件：</w:t>
      </w:r>
    </w:p>
    <w:p w14:paraId="7F0243D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 首页</w:t>
      </w:r>
      <w:r>
        <w:rPr>
          <w:rFonts w:hint="eastAsia" w:ascii="宋体" w:hAnsi="宋体" w:eastAsia="宋体" w:cs="宋体"/>
          <w:color w:val="auto"/>
          <w:sz w:val="24"/>
          <w:szCs w:val="24"/>
        </w:rPr>
        <w:t>（</w:t>
      </w:r>
      <w:r>
        <w:rPr>
          <w:rFonts w:ascii="宋体" w:hAnsi="宋体" w:eastAsia="宋体" w:cs="宋体"/>
          <w:color w:val="auto"/>
          <w:sz w:val="24"/>
          <w:szCs w:val="24"/>
        </w:rPr>
        <w:t>封面）</w:t>
      </w:r>
      <w:r>
        <w:rPr>
          <w:rFonts w:hint="eastAsia" w:ascii="宋体" w:hAnsi="宋体" w:eastAsia="宋体" w:cs="宋体"/>
          <w:color w:val="auto"/>
          <w:sz w:val="24"/>
          <w:szCs w:val="24"/>
          <w:highlight w:val="none"/>
        </w:rPr>
        <w:t xml:space="preserve">：写明项目名称、设计作品主题（不宜超过20个字）、编制年月； </w:t>
      </w:r>
    </w:p>
    <w:p w14:paraId="14F17E4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目录。</w:t>
      </w:r>
    </w:p>
    <w:p w14:paraId="0F8718B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设计说明书（含本项目的难点、建议和工程创新）。</w:t>
      </w:r>
    </w:p>
    <w:p w14:paraId="4CCC7FB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(d) </w:t>
      </w:r>
      <w:r>
        <w:rPr>
          <w:rFonts w:hint="eastAsia" w:ascii="宋体" w:hAnsi="宋体" w:eastAsia="宋体" w:cs="宋体"/>
          <w:color w:val="auto"/>
          <w:sz w:val="24"/>
          <w:szCs w:val="24"/>
        </w:rPr>
        <w:t>设计图纸。</w:t>
      </w:r>
    </w:p>
    <w:p w14:paraId="5C4CA21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《工期计划表》（方案修改、初步设计、施工图设计的总工时和工期）。</w:t>
      </w:r>
    </w:p>
    <w:p w14:paraId="02F41E7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投标人认为有必要提供的其他资料。</w:t>
      </w:r>
    </w:p>
    <w:p w14:paraId="6A405161">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勘察方案文本文件</w:t>
      </w:r>
      <w:r>
        <w:rPr>
          <w:rFonts w:hint="eastAsia" w:ascii="宋体" w:hAnsi="宋体" w:eastAsia="宋体" w:cs="宋体"/>
          <w:b/>
          <w:color w:val="auto"/>
          <w:sz w:val="24"/>
          <w:szCs w:val="24"/>
          <w:highlight w:val="none"/>
        </w:rPr>
        <w:t>：</w:t>
      </w:r>
    </w:p>
    <w:p w14:paraId="407ED3E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 针对项目场地及工程性质采用的勘察方案及建议，本次勘察的重点、难点及建议。</w:t>
      </w:r>
    </w:p>
    <w:p w14:paraId="5C94115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勘察工作流程和相应的工期进度计划。</w:t>
      </w:r>
    </w:p>
    <w:p w14:paraId="376A414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勘察报告综合评价深度，勘察成果文件内容目录。</w:t>
      </w:r>
    </w:p>
    <w:p w14:paraId="0257E2C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投标人掌握的勘察工作有关的法律法规、标准、规范一览表。</w:t>
      </w:r>
    </w:p>
    <w:p w14:paraId="00A3511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需要建设单位配合的事项。</w:t>
      </w:r>
    </w:p>
    <w:p w14:paraId="146AE20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投标人参与施工验槽，解决工程设计和施工中与勘察工作有关问题的服务承诺、响应时间。</w:t>
      </w:r>
    </w:p>
    <w:p w14:paraId="16018C5B">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保密要求</w:t>
      </w:r>
    </w:p>
    <w:p w14:paraId="2BEB82CF">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r>
        <w:rPr>
          <w:rFonts w:hint="eastAsia" w:ascii="宋体" w:hAnsi="宋体" w:eastAsia="宋体" w:cs="宋体"/>
          <w:b/>
          <w:color w:val="auto"/>
          <w:sz w:val="24"/>
          <w:szCs w:val="24"/>
          <w:highlight w:val="none"/>
        </w:rPr>
        <w:t>不得显示投标报价信息</w:t>
      </w:r>
      <w:r>
        <w:rPr>
          <w:rFonts w:hint="eastAsia" w:ascii="宋体" w:hAnsi="宋体" w:eastAsia="宋体" w:cs="宋体"/>
          <w:color w:val="auto"/>
          <w:sz w:val="24"/>
          <w:szCs w:val="24"/>
          <w:highlight w:val="none"/>
        </w:rPr>
        <w:t>。</w:t>
      </w:r>
    </w:p>
    <w:p w14:paraId="7F5E882B">
      <w:pPr>
        <w:wordWrap w:val="0"/>
        <w:rPr>
          <w:color w:val="auto"/>
          <w:highlight w:val="none"/>
        </w:rPr>
      </w:pPr>
    </w:p>
    <w:sectPr>
      <w:footerReference r:id="rId5" w:type="default"/>
      <w:footerReference r:id="rId6" w:type="even"/>
      <w:pgSz w:w="11905" w:h="16838"/>
      <w:pgMar w:top="1474" w:right="1701" w:bottom="147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210166"/>
      <w:docPartObj>
        <w:docPartGallery w:val="autotext"/>
      </w:docPartObj>
    </w:sdtPr>
    <w:sdtContent>
      <w:p w14:paraId="4C46849C">
        <w:pPr>
          <w:pStyle w:val="30"/>
          <w:jc w:val="center"/>
        </w:pPr>
        <w:r>
          <w:fldChar w:fldCharType="begin"/>
        </w:r>
        <w:r>
          <w:instrText xml:space="preserve">PAGE   \* MERGEFORMAT</w:instrText>
        </w:r>
        <w:r>
          <w:fldChar w:fldCharType="separate"/>
        </w:r>
        <w:r>
          <w:rPr>
            <w:lang w:val="zh-CN"/>
          </w:rPr>
          <w:t>1</w:t>
        </w:r>
        <w:r>
          <w:fldChar w:fldCharType="end"/>
        </w:r>
      </w:p>
    </w:sdtContent>
  </w:sdt>
  <w:p w14:paraId="485A35A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1457">
    <w:pPr>
      <w:pStyle w:val="30"/>
      <w:jc w:val="center"/>
    </w:pPr>
    <w:r>
      <w:fldChar w:fldCharType="begin"/>
    </w:r>
    <w:r>
      <w:instrText xml:space="preserve"> PAGE   \* MERGEFORMAT </w:instrText>
    </w:r>
    <w:r>
      <w:fldChar w:fldCharType="separate"/>
    </w:r>
    <w:r>
      <w:rPr>
        <w:lang w:val="zh-CN"/>
      </w:rPr>
      <w:t>44</w:t>
    </w:r>
    <w:r>
      <w:fldChar w:fldCharType="end"/>
    </w:r>
  </w:p>
  <w:p w14:paraId="67913F6B">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14:paraId="1904D39C">
        <w:pPr>
          <w:pStyle w:val="30"/>
          <w:jc w:val="center"/>
        </w:pPr>
        <w:r>
          <w:fldChar w:fldCharType="begin"/>
        </w:r>
        <w:r>
          <w:instrText xml:space="preserve">PAGE   \* MERGEFORMAT</w:instrText>
        </w:r>
        <w:r>
          <w:fldChar w:fldCharType="separate"/>
        </w:r>
        <w:r>
          <w:rPr>
            <w:lang w:val="zh-CN"/>
          </w:rPr>
          <w:t>45</w:t>
        </w:r>
        <w:r>
          <w:fldChar w:fldCharType="end"/>
        </w:r>
      </w:p>
    </w:sdtContent>
  </w:sdt>
  <w:p w14:paraId="6936B3C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0C65">
    <w:pPr>
      <w:pStyle w:val="30"/>
      <w:framePr w:wrap="around" w:vAnchor="text" w:hAnchor="margin" w:xAlign="center" w:y="1"/>
      <w:rPr>
        <w:rStyle w:val="49"/>
      </w:rPr>
    </w:pPr>
    <w:r>
      <w:fldChar w:fldCharType="begin"/>
    </w:r>
    <w:r>
      <w:rPr>
        <w:rStyle w:val="49"/>
      </w:rPr>
      <w:instrText xml:space="preserve">PAGE  </w:instrText>
    </w:r>
    <w:r>
      <w:fldChar w:fldCharType="end"/>
    </w:r>
  </w:p>
  <w:p w14:paraId="3D2E51B6">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1E480"/>
    <w:multiLevelType w:val="singleLevel"/>
    <w:tmpl w:val="A701E4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237017"/>
    <w:rsid w:val="000179C6"/>
    <w:rsid w:val="00033F07"/>
    <w:rsid w:val="0003797C"/>
    <w:rsid w:val="00065327"/>
    <w:rsid w:val="000723FD"/>
    <w:rsid w:val="0009472D"/>
    <w:rsid w:val="000B3F7A"/>
    <w:rsid w:val="000D3491"/>
    <w:rsid w:val="000E3E93"/>
    <w:rsid w:val="000E3F61"/>
    <w:rsid w:val="000E4830"/>
    <w:rsid w:val="000F777B"/>
    <w:rsid w:val="00111695"/>
    <w:rsid w:val="001133F7"/>
    <w:rsid w:val="00117D81"/>
    <w:rsid w:val="00125CC6"/>
    <w:rsid w:val="00136C66"/>
    <w:rsid w:val="00144AF1"/>
    <w:rsid w:val="00150776"/>
    <w:rsid w:val="0015125E"/>
    <w:rsid w:val="00151A27"/>
    <w:rsid w:val="00165682"/>
    <w:rsid w:val="00173865"/>
    <w:rsid w:val="00173CF7"/>
    <w:rsid w:val="00181DEC"/>
    <w:rsid w:val="00192AF9"/>
    <w:rsid w:val="00194AD4"/>
    <w:rsid w:val="001950BF"/>
    <w:rsid w:val="0019544D"/>
    <w:rsid w:val="001A0D43"/>
    <w:rsid w:val="001B068D"/>
    <w:rsid w:val="001B6471"/>
    <w:rsid w:val="001C245A"/>
    <w:rsid w:val="001C2CA6"/>
    <w:rsid w:val="001E5C63"/>
    <w:rsid w:val="001E5FCA"/>
    <w:rsid w:val="001F6132"/>
    <w:rsid w:val="00202FBA"/>
    <w:rsid w:val="002155F9"/>
    <w:rsid w:val="00220ED3"/>
    <w:rsid w:val="00222217"/>
    <w:rsid w:val="00224046"/>
    <w:rsid w:val="00232C1B"/>
    <w:rsid w:val="00237017"/>
    <w:rsid w:val="00240083"/>
    <w:rsid w:val="00244564"/>
    <w:rsid w:val="002507A7"/>
    <w:rsid w:val="002605C9"/>
    <w:rsid w:val="002610AA"/>
    <w:rsid w:val="00263AEA"/>
    <w:rsid w:val="0028421B"/>
    <w:rsid w:val="002B2FBE"/>
    <w:rsid w:val="002C555B"/>
    <w:rsid w:val="002F1C20"/>
    <w:rsid w:val="002F34C1"/>
    <w:rsid w:val="00306782"/>
    <w:rsid w:val="003141EC"/>
    <w:rsid w:val="00317808"/>
    <w:rsid w:val="003217D3"/>
    <w:rsid w:val="00322D37"/>
    <w:rsid w:val="0032790E"/>
    <w:rsid w:val="00331AE1"/>
    <w:rsid w:val="003476D9"/>
    <w:rsid w:val="003578AF"/>
    <w:rsid w:val="00357EEF"/>
    <w:rsid w:val="00362F4F"/>
    <w:rsid w:val="00363A04"/>
    <w:rsid w:val="00372A70"/>
    <w:rsid w:val="0037316F"/>
    <w:rsid w:val="003739FC"/>
    <w:rsid w:val="00375D70"/>
    <w:rsid w:val="00377872"/>
    <w:rsid w:val="00380B83"/>
    <w:rsid w:val="003906DC"/>
    <w:rsid w:val="00393CDC"/>
    <w:rsid w:val="003A03A3"/>
    <w:rsid w:val="003B0260"/>
    <w:rsid w:val="003B6D0C"/>
    <w:rsid w:val="003C543B"/>
    <w:rsid w:val="003D1752"/>
    <w:rsid w:val="003D33BC"/>
    <w:rsid w:val="003F3DDC"/>
    <w:rsid w:val="003F702A"/>
    <w:rsid w:val="004026ED"/>
    <w:rsid w:val="00416A5A"/>
    <w:rsid w:val="00420F62"/>
    <w:rsid w:val="00421F68"/>
    <w:rsid w:val="0042261D"/>
    <w:rsid w:val="00430F9E"/>
    <w:rsid w:val="004339A3"/>
    <w:rsid w:val="004549E3"/>
    <w:rsid w:val="00455814"/>
    <w:rsid w:val="004741C6"/>
    <w:rsid w:val="004765E6"/>
    <w:rsid w:val="00491344"/>
    <w:rsid w:val="004A2D6A"/>
    <w:rsid w:val="004A40C2"/>
    <w:rsid w:val="004A428F"/>
    <w:rsid w:val="004A45B4"/>
    <w:rsid w:val="004B3655"/>
    <w:rsid w:val="004B4FAE"/>
    <w:rsid w:val="004C3DF6"/>
    <w:rsid w:val="004D3BC4"/>
    <w:rsid w:val="004E167F"/>
    <w:rsid w:val="004E3382"/>
    <w:rsid w:val="004E4967"/>
    <w:rsid w:val="004F5E90"/>
    <w:rsid w:val="004F6AB2"/>
    <w:rsid w:val="00510996"/>
    <w:rsid w:val="005137AC"/>
    <w:rsid w:val="005310CF"/>
    <w:rsid w:val="00544656"/>
    <w:rsid w:val="00547C26"/>
    <w:rsid w:val="00547D15"/>
    <w:rsid w:val="00557AD7"/>
    <w:rsid w:val="005600C0"/>
    <w:rsid w:val="005817EE"/>
    <w:rsid w:val="00587C9A"/>
    <w:rsid w:val="00590D2E"/>
    <w:rsid w:val="005969A5"/>
    <w:rsid w:val="00597D19"/>
    <w:rsid w:val="005A1186"/>
    <w:rsid w:val="005A3666"/>
    <w:rsid w:val="005B48EF"/>
    <w:rsid w:val="005D3FA6"/>
    <w:rsid w:val="005D5FB7"/>
    <w:rsid w:val="005E0B4F"/>
    <w:rsid w:val="005E50CE"/>
    <w:rsid w:val="005E58CF"/>
    <w:rsid w:val="005F247C"/>
    <w:rsid w:val="005F4280"/>
    <w:rsid w:val="00601528"/>
    <w:rsid w:val="006071A5"/>
    <w:rsid w:val="0061085A"/>
    <w:rsid w:val="00617F31"/>
    <w:rsid w:val="0062205C"/>
    <w:rsid w:val="006255D7"/>
    <w:rsid w:val="00634E70"/>
    <w:rsid w:val="00644CDC"/>
    <w:rsid w:val="006626A3"/>
    <w:rsid w:val="00663D15"/>
    <w:rsid w:val="00673877"/>
    <w:rsid w:val="00682A9F"/>
    <w:rsid w:val="00684BA3"/>
    <w:rsid w:val="006864E5"/>
    <w:rsid w:val="006870A2"/>
    <w:rsid w:val="0068713D"/>
    <w:rsid w:val="00694C28"/>
    <w:rsid w:val="006A0291"/>
    <w:rsid w:val="006A0935"/>
    <w:rsid w:val="006C5CF8"/>
    <w:rsid w:val="006C5D28"/>
    <w:rsid w:val="006C6AF0"/>
    <w:rsid w:val="006D0A15"/>
    <w:rsid w:val="006D27BE"/>
    <w:rsid w:val="006E749F"/>
    <w:rsid w:val="007065FB"/>
    <w:rsid w:val="00716D38"/>
    <w:rsid w:val="0072138A"/>
    <w:rsid w:val="00746064"/>
    <w:rsid w:val="0076314A"/>
    <w:rsid w:val="007669D8"/>
    <w:rsid w:val="00770D94"/>
    <w:rsid w:val="0078062C"/>
    <w:rsid w:val="00787542"/>
    <w:rsid w:val="007911A5"/>
    <w:rsid w:val="0079675A"/>
    <w:rsid w:val="007A562A"/>
    <w:rsid w:val="007A72B1"/>
    <w:rsid w:val="007B22AF"/>
    <w:rsid w:val="007B32F7"/>
    <w:rsid w:val="007B77EB"/>
    <w:rsid w:val="007C2EFE"/>
    <w:rsid w:val="007C3A39"/>
    <w:rsid w:val="007C7DF1"/>
    <w:rsid w:val="007D399A"/>
    <w:rsid w:val="007E308A"/>
    <w:rsid w:val="007E7B1B"/>
    <w:rsid w:val="007F2D90"/>
    <w:rsid w:val="00805D7F"/>
    <w:rsid w:val="008102E0"/>
    <w:rsid w:val="00810609"/>
    <w:rsid w:val="00811613"/>
    <w:rsid w:val="008219DE"/>
    <w:rsid w:val="008248F5"/>
    <w:rsid w:val="00831A33"/>
    <w:rsid w:val="00831B1A"/>
    <w:rsid w:val="0083550A"/>
    <w:rsid w:val="00837D56"/>
    <w:rsid w:val="00852281"/>
    <w:rsid w:val="0088305A"/>
    <w:rsid w:val="008B340E"/>
    <w:rsid w:val="008B4A25"/>
    <w:rsid w:val="008B4C9B"/>
    <w:rsid w:val="008C7BCD"/>
    <w:rsid w:val="008D3190"/>
    <w:rsid w:val="008F40AC"/>
    <w:rsid w:val="008F5BC7"/>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5B09"/>
    <w:rsid w:val="009979FD"/>
    <w:rsid w:val="009B5946"/>
    <w:rsid w:val="009B64F5"/>
    <w:rsid w:val="009C30E8"/>
    <w:rsid w:val="009C5AC5"/>
    <w:rsid w:val="009D2D2F"/>
    <w:rsid w:val="00A105A5"/>
    <w:rsid w:val="00A13532"/>
    <w:rsid w:val="00A26EBD"/>
    <w:rsid w:val="00A3621E"/>
    <w:rsid w:val="00A45D31"/>
    <w:rsid w:val="00A461F0"/>
    <w:rsid w:val="00A63E1B"/>
    <w:rsid w:val="00A66FDB"/>
    <w:rsid w:val="00A73C47"/>
    <w:rsid w:val="00A752F6"/>
    <w:rsid w:val="00A81AC4"/>
    <w:rsid w:val="00A947D3"/>
    <w:rsid w:val="00A956B2"/>
    <w:rsid w:val="00A964FE"/>
    <w:rsid w:val="00A97CF9"/>
    <w:rsid w:val="00AA1E93"/>
    <w:rsid w:val="00AA72C4"/>
    <w:rsid w:val="00AB4E0C"/>
    <w:rsid w:val="00AD67A9"/>
    <w:rsid w:val="00AE57CA"/>
    <w:rsid w:val="00B141EE"/>
    <w:rsid w:val="00B2042F"/>
    <w:rsid w:val="00B41C87"/>
    <w:rsid w:val="00B46DA9"/>
    <w:rsid w:val="00B63632"/>
    <w:rsid w:val="00B72A5C"/>
    <w:rsid w:val="00B82D9C"/>
    <w:rsid w:val="00B8387F"/>
    <w:rsid w:val="00B86BEF"/>
    <w:rsid w:val="00B95C84"/>
    <w:rsid w:val="00BA21DC"/>
    <w:rsid w:val="00BA2A31"/>
    <w:rsid w:val="00BA2BBE"/>
    <w:rsid w:val="00BA35C2"/>
    <w:rsid w:val="00BE1068"/>
    <w:rsid w:val="00BF477D"/>
    <w:rsid w:val="00BF62B1"/>
    <w:rsid w:val="00C078A6"/>
    <w:rsid w:val="00C15C17"/>
    <w:rsid w:val="00C1700E"/>
    <w:rsid w:val="00C53534"/>
    <w:rsid w:val="00C623A3"/>
    <w:rsid w:val="00C7352B"/>
    <w:rsid w:val="00C73B12"/>
    <w:rsid w:val="00C82445"/>
    <w:rsid w:val="00C84F8B"/>
    <w:rsid w:val="00CA5AC4"/>
    <w:rsid w:val="00CB1724"/>
    <w:rsid w:val="00CB1B6A"/>
    <w:rsid w:val="00CB3E72"/>
    <w:rsid w:val="00CB7485"/>
    <w:rsid w:val="00CC1634"/>
    <w:rsid w:val="00CF76B9"/>
    <w:rsid w:val="00D07AF2"/>
    <w:rsid w:val="00D111FE"/>
    <w:rsid w:val="00D13D82"/>
    <w:rsid w:val="00D27AED"/>
    <w:rsid w:val="00D731B9"/>
    <w:rsid w:val="00D77D70"/>
    <w:rsid w:val="00D82277"/>
    <w:rsid w:val="00D8355E"/>
    <w:rsid w:val="00DA0AC1"/>
    <w:rsid w:val="00DB118E"/>
    <w:rsid w:val="00DB4051"/>
    <w:rsid w:val="00DB49A9"/>
    <w:rsid w:val="00DC15E9"/>
    <w:rsid w:val="00DC52D0"/>
    <w:rsid w:val="00DC6556"/>
    <w:rsid w:val="00DD0F1E"/>
    <w:rsid w:val="00DE0151"/>
    <w:rsid w:val="00DE4712"/>
    <w:rsid w:val="00DE6C93"/>
    <w:rsid w:val="00DF249B"/>
    <w:rsid w:val="00E02C60"/>
    <w:rsid w:val="00E16421"/>
    <w:rsid w:val="00E41BA1"/>
    <w:rsid w:val="00E56EEB"/>
    <w:rsid w:val="00E64D9C"/>
    <w:rsid w:val="00E94537"/>
    <w:rsid w:val="00EA2124"/>
    <w:rsid w:val="00EA5A13"/>
    <w:rsid w:val="00EA6AE2"/>
    <w:rsid w:val="00EB7358"/>
    <w:rsid w:val="00ED28E5"/>
    <w:rsid w:val="00ED7EEA"/>
    <w:rsid w:val="00EE22C4"/>
    <w:rsid w:val="00EF4C70"/>
    <w:rsid w:val="00F067AF"/>
    <w:rsid w:val="00F27633"/>
    <w:rsid w:val="00F5006D"/>
    <w:rsid w:val="00F52892"/>
    <w:rsid w:val="00F6097F"/>
    <w:rsid w:val="00F6138F"/>
    <w:rsid w:val="00F616E7"/>
    <w:rsid w:val="00F630D0"/>
    <w:rsid w:val="00F65C01"/>
    <w:rsid w:val="00F72222"/>
    <w:rsid w:val="00F7313A"/>
    <w:rsid w:val="00F750FF"/>
    <w:rsid w:val="00F76B60"/>
    <w:rsid w:val="00F8369D"/>
    <w:rsid w:val="00FB1615"/>
    <w:rsid w:val="00FB78FA"/>
    <w:rsid w:val="00FC546C"/>
    <w:rsid w:val="00FD72CC"/>
    <w:rsid w:val="00FE0890"/>
    <w:rsid w:val="00FE4FAE"/>
    <w:rsid w:val="00FF54C4"/>
    <w:rsid w:val="00FF7286"/>
    <w:rsid w:val="06A04737"/>
    <w:rsid w:val="09CE0977"/>
    <w:rsid w:val="0A2D3298"/>
    <w:rsid w:val="0A57065C"/>
    <w:rsid w:val="0C3B44AD"/>
    <w:rsid w:val="12E05526"/>
    <w:rsid w:val="16BA2E55"/>
    <w:rsid w:val="19395846"/>
    <w:rsid w:val="26F50D72"/>
    <w:rsid w:val="2CF9349E"/>
    <w:rsid w:val="2F511653"/>
    <w:rsid w:val="2FD02D07"/>
    <w:rsid w:val="33E34843"/>
    <w:rsid w:val="34E07908"/>
    <w:rsid w:val="357A605E"/>
    <w:rsid w:val="38064F3D"/>
    <w:rsid w:val="38CA061C"/>
    <w:rsid w:val="3CA14780"/>
    <w:rsid w:val="3D751210"/>
    <w:rsid w:val="3E7A4080"/>
    <w:rsid w:val="40322C70"/>
    <w:rsid w:val="415D2E9B"/>
    <w:rsid w:val="46BB1E6D"/>
    <w:rsid w:val="4B17505B"/>
    <w:rsid w:val="4B68053E"/>
    <w:rsid w:val="4C4F261E"/>
    <w:rsid w:val="4C996E6C"/>
    <w:rsid w:val="4DCB5BD5"/>
    <w:rsid w:val="4E481A1B"/>
    <w:rsid w:val="4F090E51"/>
    <w:rsid w:val="54386CC8"/>
    <w:rsid w:val="55687E4F"/>
    <w:rsid w:val="5AA95985"/>
    <w:rsid w:val="5AC404C6"/>
    <w:rsid w:val="5E5D6EF9"/>
    <w:rsid w:val="5F461374"/>
    <w:rsid w:val="606210C5"/>
    <w:rsid w:val="67746717"/>
    <w:rsid w:val="6796339F"/>
    <w:rsid w:val="692F5DAE"/>
    <w:rsid w:val="69866B2D"/>
    <w:rsid w:val="730369D4"/>
    <w:rsid w:val="736827E7"/>
    <w:rsid w:val="78802C16"/>
    <w:rsid w:val="792702FB"/>
    <w:rsid w:val="7E0230E5"/>
    <w:rsid w:val="7F83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4">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5">
    <w:name w:val="heading 3"/>
    <w:basedOn w:val="1"/>
    <w:next w:val="1"/>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6">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7">
    <w:name w:val="heading 5"/>
    <w:basedOn w:val="6"/>
    <w:next w:val="2"/>
    <w:link w:val="63"/>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2"/>
    <w:link w:val="6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2"/>
    <w:link w:val="66"/>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2"/>
    <w:link w:val="67"/>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87"/>
    <w:unhideWhenUsed/>
    <w:qFormat/>
    <w:uiPriority w:val="0"/>
    <w:pPr>
      <w:ind w:firstLine="420" w:firstLineChars="200"/>
    </w:pPr>
    <w:rPr>
      <w:rFonts w:ascii="Times New Roman" w:hAnsi="Times New Roman" w:eastAsia="宋体" w:cs="Times New Roman"/>
      <w:szCs w:val="24"/>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0"/>
    <w:rPr>
      <w:rFonts w:ascii="宋体" w:hAnsi="Times New Roman" w:eastAsia="宋体" w:cs="Times New Roman"/>
      <w:kern w:val="0"/>
      <w:sz w:val="18"/>
      <w:szCs w:val="18"/>
      <w:lang w:val="zh-CN"/>
    </w:rPr>
  </w:style>
  <w:style w:type="paragraph" w:styleId="16">
    <w:name w:val="annotation text"/>
    <w:basedOn w:val="1"/>
    <w:link w:val="70"/>
    <w:qFormat/>
    <w:uiPriority w:val="0"/>
    <w:pPr>
      <w:jc w:val="left"/>
    </w:pPr>
    <w:rPr>
      <w:rFonts w:ascii="Times New Roman" w:hAnsi="Times New Roman" w:eastAsia="宋体" w:cs="Times New Roman"/>
      <w:szCs w:val="24"/>
      <w:lang w:val="zh-CN"/>
    </w:rPr>
  </w:style>
  <w:style w:type="paragraph" w:styleId="17">
    <w:name w:val="Salutation"/>
    <w:basedOn w:val="1"/>
    <w:next w:val="1"/>
    <w:link w:val="71"/>
    <w:qFormat/>
    <w:uiPriority w:val="0"/>
    <w:rPr>
      <w:rFonts w:ascii="Calibri" w:hAnsi="Calibri" w:eastAsia="宋体" w:cs="Times New Roman"/>
      <w:kern w:val="0"/>
      <w:sz w:val="32"/>
      <w:szCs w:val="24"/>
    </w:rPr>
  </w:style>
  <w:style w:type="paragraph" w:styleId="18">
    <w:name w:val="Body Text 3"/>
    <w:basedOn w:val="1"/>
    <w:link w:val="72"/>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next w:val="1"/>
    <w:link w:val="73"/>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index 4"/>
    <w:basedOn w:val="1"/>
    <w:next w:val="1"/>
    <w:unhideWhenUsed/>
    <w:qFormat/>
    <w:uiPriority w:val="99"/>
    <w:pPr>
      <w:ind w:left="600" w:leftChars="600"/>
    </w:pPr>
    <w:rPr>
      <w:rFonts w:ascii="Times New Roman" w:hAnsi="Times New Roman" w:eastAsia="宋体" w:cs="Times New Roman"/>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75"/>
    <w:qFormat/>
    <w:uiPriority w:val="0"/>
    <w:rPr>
      <w:rFonts w:ascii="宋体" w:hAnsi="Courier New" w:eastAsia="宋体" w:cs="Times New Roman"/>
      <w:szCs w:val="20"/>
      <w:lang w:val="zh-CN"/>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76"/>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qFormat/>
    <w:uiPriority w:val="0"/>
    <w:rPr>
      <w:rFonts w:ascii="Times New Roman" w:hAnsi="Times New Roman" w:eastAsia="宋体" w:cs="Times New Roman"/>
      <w:sz w:val="18"/>
      <w:szCs w:val="18"/>
      <w:lang w:val="zh-CN"/>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sz w:val="20"/>
      <w:szCs w:val="20"/>
    </w:rPr>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toc 6"/>
    <w:basedOn w:val="1"/>
    <w:next w:val="1"/>
    <w:qFormat/>
    <w:uiPriority w:val="39"/>
    <w:pPr>
      <w:ind w:left="1050"/>
      <w:jc w:val="left"/>
    </w:pPr>
    <w:rPr>
      <w:rFonts w:ascii="Calibri" w:hAnsi="Calibri" w:eastAsia="宋体" w:cs="Calibri"/>
      <w:sz w:val="18"/>
      <w:szCs w:val="18"/>
    </w:rPr>
  </w:style>
  <w:style w:type="paragraph" w:styleId="35">
    <w:name w:val="Body Text Indent 3"/>
    <w:basedOn w:val="1"/>
    <w:link w:val="79"/>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unhideWhenUsed/>
    <w:qFormat/>
    <w:uiPriority w:val="39"/>
    <w:pPr>
      <w:ind w:left="420" w:leftChars="200"/>
    </w:pPr>
    <w:rPr>
      <w:rFonts w:ascii="Times New Roman" w:hAnsi="Times New Roman" w:eastAsia="宋体" w:cs="Times New Roman"/>
      <w:szCs w:val="24"/>
    </w:rPr>
  </w:style>
  <w:style w:type="paragraph" w:styleId="37">
    <w:name w:val="toc 9"/>
    <w:basedOn w:val="1"/>
    <w:next w:val="1"/>
    <w:qFormat/>
    <w:uiPriority w:val="39"/>
    <w:pPr>
      <w:ind w:left="1680"/>
      <w:jc w:val="left"/>
    </w:pPr>
    <w:rPr>
      <w:rFonts w:ascii="Calibri" w:hAnsi="Calibri" w:eastAsia="宋体" w:cs="Calibri"/>
      <w:sz w:val="18"/>
      <w:szCs w:val="18"/>
    </w:rPr>
  </w:style>
  <w:style w:type="paragraph" w:styleId="38">
    <w:name w:val="Body Text 2"/>
    <w:basedOn w:val="1"/>
    <w:link w:val="80"/>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link w:val="82"/>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qFormat/>
    <w:uiPriority w:val="0"/>
    <w:rPr>
      <w:b/>
      <w:bCs/>
    </w:rPr>
  </w:style>
  <w:style w:type="paragraph" w:styleId="43">
    <w:name w:val="Body Text First Indent"/>
    <w:basedOn w:val="19"/>
    <w:link w:val="84"/>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1"/>
    <w:link w:val="85"/>
    <w:qFormat/>
    <w:uiPriority w:val="0"/>
    <w:pPr>
      <w:spacing w:after="120"/>
      <w:ind w:left="420" w:leftChars="200" w:firstLine="420"/>
    </w:pPr>
    <w:rPr>
      <w:rFonts w:ascii="Times New Roman"/>
      <w:kern w:val="0"/>
      <w:sz w:val="20"/>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semiHidden/>
    <w:unhideWhenUsed/>
    <w:qFormat/>
    <w:uiPriority w:val="99"/>
    <w:rPr>
      <w:i/>
      <w:iCs/>
    </w:rPr>
  </w:style>
  <w:style w:type="character" w:styleId="52">
    <w:name w:val="Hyperlink"/>
    <w:qFormat/>
    <w:uiPriority w:val="99"/>
    <w:rPr>
      <w:color w:val="0000FF"/>
      <w:u w:val="single"/>
    </w:rPr>
  </w:style>
  <w:style w:type="character" w:styleId="53">
    <w:name w:val="HTML Code"/>
    <w:basedOn w:val="47"/>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qFormat/>
    <w:uiPriority w:val="0"/>
    <w:rPr>
      <w:sz w:val="21"/>
      <w:szCs w:val="21"/>
    </w:rPr>
  </w:style>
  <w:style w:type="character" w:styleId="55">
    <w:name w:val="HTML Keyboard"/>
    <w:basedOn w:val="47"/>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qFormat/>
    <w:uiPriority w:val="0"/>
    <w:rPr>
      <w:sz w:val="18"/>
      <w:szCs w:val="18"/>
    </w:rPr>
  </w:style>
  <w:style w:type="character" w:customStyle="1" w:styleId="58">
    <w:name w:val="页脚 字符"/>
    <w:basedOn w:val="47"/>
    <w:link w:val="30"/>
    <w:qFormat/>
    <w:uiPriority w:val="99"/>
    <w:rPr>
      <w:sz w:val="18"/>
      <w:szCs w:val="18"/>
    </w:rPr>
  </w:style>
  <w:style w:type="character" w:customStyle="1" w:styleId="59">
    <w:name w:val="标题 1 字符"/>
    <w:basedOn w:val="47"/>
    <w:link w:val="3"/>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4"/>
    <w:qFormat/>
    <w:uiPriority w:val="0"/>
    <w:rPr>
      <w:rFonts w:ascii="Cambria" w:hAnsi="Cambria" w:eastAsia="宋体" w:cs="Times New Roman"/>
      <w:b/>
      <w:bCs/>
      <w:kern w:val="0"/>
      <w:sz w:val="30"/>
      <w:szCs w:val="30"/>
      <w:lang w:val="zh-CN"/>
    </w:rPr>
  </w:style>
  <w:style w:type="paragraph" w:customStyle="1" w:styleId="61">
    <w:name w:val="标题 31"/>
    <w:basedOn w:val="1"/>
    <w:next w:val="2"/>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6"/>
    <w:qFormat/>
    <w:uiPriority w:val="0"/>
    <w:rPr>
      <w:rFonts w:ascii="宋体" w:hAnsi="宋体" w:eastAsia="宋体" w:cs="Times New Roman"/>
      <w:b/>
      <w:kern w:val="0"/>
      <w:sz w:val="24"/>
      <w:szCs w:val="24"/>
      <w:lang w:val="zh-CN"/>
    </w:rPr>
  </w:style>
  <w:style w:type="character" w:customStyle="1" w:styleId="63">
    <w:name w:val="标题 5 字符"/>
    <w:basedOn w:val="47"/>
    <w:link w:val="7"/>
    <w:qFormat/>
    <w:uiPriority w:val="0"/>
    <w:rPr>
      <w:rFonts w:ascii="Arial" w:hAnsi="Arial" w:eastAsia="宋体" w:cs="Times New Roman"/>
      <w:sz w:val="24"/>
      <w:szCs w:val="24"/>
    </w:rPr>
  </w:style>
  <w:style w:type="character" w:customStyle="1" w:styleId="64">
    <w:name w:val="标题 6 字符"/>
    <w:basedOn w:val="47"/>
    <w:link w:val="8"/>
    <w:qFormat/>
    <w:uiPriority w:val="0"/>
    <w:rPr>
      <w:rFonts w:ascii="Arial" w:hAnsi="Arial" w:eastAsia="黑体" w:cs="Times New Roman"/>
      <w:b/>
      <w:bCs/>
      <w:sz w:val="24"/>
      <w:szCs w:val="24"/>
    </w:rPr>
  </w:style>
  <w:style w:type="character" w:customStyle="1" w:styleId="65">
    <w:name w:val="标题 7 字符"/>
    <w:basedOn w:val="47"/>
    <w:link w:val="9"/>
    <w:qFormat/>
    <w:uiPriority w:val="0"/>
    <w:rPr>
      <w:rFonts w:ascii="Times New Roman" w:hAnsi="Times New Roman" w:eastAsia="宋体" w:cs="Times New Roman"/>
      <w:b/>
      <w:sz w:val="24"/>
      <w:szCs w:val="20"/>
    </w:rPr>
  </w:style>
  <w:style w:type="character" w:customStyle="1" w:styleId="66">
    <w:name w:val="标题 8 字符"/>
    <w:basedOn w:val="47"/>
    <w:link w:val="10"/>
    <w:qFormat/>
    <w:uiPriority w:val="0"/>
    <w:rPr>
      <w:rFonts w:ascii="Arial" w:hAnsi="Arial" w:eastAsia="黑体" w:cs="Times New Roman"/>
      <w:sz w:val="24"/>
      <w:szCs w:val="20"/>
    </w:rPr>
  </w:style>
  <w:style w:type="character" w:customStyle="1" w:styleId="67">
    <w:name w:val="标题 9 字符"/>
    <w:basedOn w:val="47"/>
    <w:link w:val="11"/>
    <w:qFormat/>
    <w:uiPriority w:val="0"/>
    <w:rPr>
      <w:rFonts w:ascii="Arial" w:hAnsi="Arial" w:eastAsia="黑体" w:cs="Times New Roman"/>
      <w:szCs w:val="20"/>
    </w:rPr>
  </w:style>
  <w:style w:type="character" w:customStyle="1" w:styleId="68">
    <w:name w:val="标题 3 字符"/>
    <w:basedOn w:val="47"/>
    <w:link w:val="5"/>
    <w:qFormat/>
    <w:uiPriority w:val="0"/>
    <w:rPr>
      <w:rFonts w:ascii="宋体" w:hAnsi="宋体" w:eastAsia="宋体"/>
      <w:b/>
      <w:bCs/>
      <w:spacing w:val="1"/>
      <w:sz w:val="28"/>
      <w:szCs w:val="32"/>
      <w:lang w:val="zh-CN"/>
    </w:rPr>
  </w:style>
  <w:style w:type="character" w:customStyle="1" w:styleId="69">
    <w:name w:val="文档结构图 字符"/>
    <w:basedOn w:val="47"/>
    <w:link w:val="15"/>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qFormat/>
    <w:uiPriority w:val="0"/>
    <w:rPr>
      <w:rFonts w:ascii="Times New Roman" w:hAnsi="Times New Roman" w:eastAsia="宋体" w:cs="Times New Roman"/>
      <w:szCs w:val="24"/>
      <w:lang w:val="zh-CN"/>
    </w:rPr>
  </w:style>
  <w:style w:type="character" w:customStyle="1" w:styleId="71">
    <w:name w:val="称呼 字符"/>
    <w:basedOn w:val="47"/>
    <w:link w:val="17"/>
    <w:qFormat/>
    <w:uiPriority w:val="0"/>
    <w:rPr>
      <w:rFonts w:ascii="Calibri" w:hAnsi="Calibri" w:eastAsia="宋体" w:cs="Times New Roman"/>
      <w:kern w:val="0"/>
      <w:sz w:val="32"/>
      <w:szCs w:val="24"/>
    </w:rPr>
  </w:style>
  <w:style w:type="character" w:customStyle="1" w:styleId="72">
    <w:name w:val="正文文本 3 字符"/>
    <w:basedOn w:val="47"/>
    <w:link w:val="18"/>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qFormat/>
    <w:uiPriority w:val="99"/>
    <w:rPr>
      <w:rFonts w:ascii="Times New Roman" w:hAnsi="Times New Roman" w:eastAsia="宋体" w:cs="Times New Roman"/>
      <w:b/>
      <w:bCs/>
      <w:szCs w:val="24"/>
    </w:rPr>
  </w:style>
  <w:style w:type="character" w:customStyle="1" w:styleId="74">
    <w:name w:val="正文文本缩进 字符"/>
    <w:basedOn w:val="47"/>
    <w:link w:val="20"/>
    <w:qFormat/>
    <w:uiPriority w:val="0"/>
    <w:rPr>
      <w:rFonts w:ascii="宋体" w:hAnsi="Times New Roman" w:eastAsia="宋体" w:cs="Times New Roman"/>
      <w:sz w:val="30"/>
      <w:szCs w:val="20"/>
      <w:lang w:val="zh-CN"/>
    </w:rPr>
  </w:style>
  <w:style w:type="character" w:customStyle="1" w:styleId="75">
    <w:name w:val="纯文本 字符"/>
    <w:basedOn w:val="47"/>
    <w:link w:val="25"/>
    <w:qFormat/>
    <w:uiPriority w:val="0"/>
    <w:rPr>
      <w:rFonts w:ascii="宋体" w:hAnsi="Courier New" w:eastAsia="宋体" w:cs="Times New Roman"/>
      <w:szCs w:val="20"/>
      <w:lang w:val="zh-CN"/>
    </w:rPr>
  </w:style>
  <w:style w:type="character" w:customStyle="1" w:styleId="76">
    <w:name w:val="日期 字符"/>
    <w:basedOn w:val="47"/>
    <w:link w:val="27"/>
    <w:qFormat/>
    <w:uiPriority w:val="0"/>
    <w:rPr>
      <w:rFonts w:ascii="Calibri" w:hAnsi="Calibri" w:eastAsia="宋体" w:cs="Times New Roman"/>
      <w:kern w:val="0"/>
      <w:sz w:val="20"/>
      <w:szCs w:val="24"/>
    </w:rPr>
  </w:style>
  <w:style w:type="character" w:customStyle="1" w:styleId="77">
    <w:name w:val="正文文本缩进 2 字符"/>
    <w:basedOn w:val="47"/>
    <w:link w:val="28"/>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qFormat/>
    <w:uiPriority w:val="0"/>
    <w:rPr>
      <w:rFonts w:ascii="Calibri" w:hAnsi="Calibri" w:eastAsia="宋体" w:cs="Times New Roman"/>
      <w:kern w:val="0"/>
      <w:sz w:val="16"/>
      <w:szCs w:val="20"/>
    </w:rPr>
  </w:style>
  <w:style w:type="character" w:customStyle="1" w:styleId="80">
    <w:name w:val="正文文本 2 字符"/>
    <w:basedOn w:val="47"/>
    <w:link w:val="38"/>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qFormat/>
    <w:uiPriority w:val="0"/>
    <w:rPr>
      <w:rFonts w:ascii="Calibri" w:hAnsi="Calibri" w:eastAsia="宋体" w:cs="Times New Roman"/>
      <w:kern w:val="0"/>
      <w:sz w:val="20"/>
      <w:szCs w:val="21"/>
    </w:rPr>
  </w:style>
  <w:style w:type="character" w:customStyle="1" w:styleId="82">
    <w:name w:val="标题 字符"/>
    <w:basedOn w:val="47"/>
    <w:link w:val="41"/>
    <w:qFormat/>
    <w:uiPriority w:val="0"/>
    <w:rPr>
      <w:rFonts w:ascii="Arial" w:hAnsi="Arial" w:eastAsia="宋体" w:cs="Times New Roman"/>
      <w:b/>
      <w:bCs/>
      <w:kern w:val="0"/>
      <w:sz w:val="32"/>
      <w:szCs w:val="32"/>
      <w:lang w:val="zh-CN"/>
    </w:rPr>
  </w:style>
  <w:style w:type="character" w:customStyle="1" w:styleId="83">
    <w:name w:val="批注主题 字符"/>
    <w:basedOn w:val="70"/>
    <w:link w:val="42"/>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semiHidden/>
    <w:unhideWhenUsed/>
    <w:qFormat/>
    <w:uiPriority w:val="99"/>
    <w:rPr>
      <w:color w:val="800080"/>
      <w:u w:val="single"/>
    </w:rPr>
  </w:style>
  <w:style w:type="character" w:customStyle="1" w:styleId="87">
    <w:name w:val="正文缩进 字符"/>
    <w:link w:val="2"/>
    <w:qFormat/>
    <w:uiPriority w:val="0"/>
    <w:rPr>
      <w:rFonts w:ascii="Times New Roman" w:hAnsi="Times New Roman" w:eastAsia="宋体" w:cs="Times New Roman"/>
      <w:szCs w:val="24"/>
    </w:rPr>
  </w:style>
  <w:style w:type="paragraph" w:customStyle="1" w:styleId="88">
    <w:name w:val="_Style 7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qFormat/>
    <w:uiPriority w:val="0"/>
    <w:rPr>
      <w:rFonts w:eastAsia="Times New Roman"/>
      <w:szCs w:val="24"/>
    </w:rPr>
  </w:style>
  <w:style w:type="paragraph" w:customStyle="1" w:styleId="90">
    <w:name w:val="插图名称"/>
    <w:link w:val="89"/>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qFormat/>
    <w:uiPriority w:val="0"/>
    <w:rPr>
      <w:rFonts w:ascii="宋体" w:hAnsi="Courier New"/>
    </w:rPr>
  </w:style>
  <w:style w:type="character" w:customStyle="1" w:styleId="92">
    <w:name w:val="19"/>
    <w:qFormat/>
    <w:uiPriority w:val="0"/>
    <w:rPr>
      <w:rFonts w:hint="default" w:ascii="Calibri" w:hAnsi="Calibri" w:cs="Calibri"/>
      <w:b/>
      <w:bCs/>
      <w:kern w:val="44"/>
      <w:sz w:val="44"/>
      <w:szCs w:val="44"/>
    </w:rPr>
  </w:style>
  <w:style w:type="character" w:customStyle="1" w:styleId="93">
    <w:name w:val="17"/>
    <w:qFormat/>
    <w:uiPriority w:val="0"/>
    <w:rPr>
      <w:rFonts w:hint="default" w:ascii="Calibri" w:hAnsi="Calibri" w:cs="Calibri"/>
    </w:rPr>
  </w:style>
  <w:style w:type="character" w:customStyle="1" w:styleId="94">
    <w:name w:val="Char Char10"/>
    <w:qFormat/>
    <w:uiPriority w:val="0"/>
    <w:rPr>
      <w:rFonts w:ascii="宋体" w:hAnsi="Courier New" w:eastAsia="宋体" w:cs="Times New Roman"/>
      <w:szCs w:val="20"/>
    </w:rPr>
  </w:style>
  <w:style w:type="character" w:customStyle="1" w:styleId="95">
    <w:name w:val="3eee Char Char"/>
    <w:link w:val="96"/>
    <w:qFormat/>
    <w:uiPriority w:val="0"/>
    <w:rPr>
      <w:rFonts w:ascii="Courier New" w:hAnsi="Courier New" w:eastAsia="Courier New"/>
      <w:sz w:val="24"/>
      <w:szCs w:val="24"/>
    </w:rPr>
  </w:style>
  <w:style w:type="paragraph" w:customStyle="1" w:styleId="96">
    <w:name w:val="3eee"/>
    <w:basedOn w:val="1"/>
    <w:link w:val="95"/>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qFormat/>
    <w:uiPriority w:val="0"/>
    <w:rPr>
      <w:rFonts w:ascii="Courier New" w:hAnsi="Courier New" w:eastAsia="Courier New"/>
      <w:sz w:val="24"/>
    </w:rPr>
  </w:style>
  <w:style w:type="paragraph" w:customStyle="1" w:styleId="98">
    <w:name w:val="样式 宋体 小四"/>
    <w:basedOn w:val="1"/>
    <w:link w:val="9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qFormat/>
    <w:uiPriority w:val="0"/>
    <w:rPr>
      <w:rFonts w:hint="default"/>
    </w:rPr>
  </w:style>
  <w:style w:type="character" w:customStyle="1" w:styleId="100">
    <w:name w:val="文一 Char Char"/>
    <w:link w:val="101"/>
    <w:qFormat/>
    <w:uiPriority w:val="0"/>
    <w:rPr>
      <w:spacing w:val="4"/>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qFormat/>
    <w:uiPriority w:val="0"/>
    <w:rPr>
      <w:szCs w:val="24"/>
    </w:rPr>
  </w:style>
  <w:style w:type="paragraph" w:customStyle="1" w:styleId="103">
    <w:name w:val="无间隔1"/>
    <w:link w:val="10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qFormat/>
    <w:uiPriority w:val="0"/>
    <w:rPr>
      <w:rFonts w:hint="default" w:ascii="Calibri" w:hAnsi="Calibri" w:cs="Calibri"/>
      <w:b/>
      <w:bCs/>
      <w:sz w:val="30"/>
      <w:szCs w:val="30"/>
    </w:rPr>
  </w:style>
  <w:style w:type="character" w:customStyle="1" w:styleId="105">
    <w:name w:val="16"/>
    <w:qFormat/>
    <w:uiPriority w:val="0"/>
    <w:rPr>
      <w:rFonts w:hint="default" w:ascii="Calibri" w:hAnsi="Calibri" w:cs="Calibri"/>
      <w:color w:val="0000FF"/>
      <w:u w:val="single"/>
    </w:rPr>
  </w:style>
  <w:style w:type="character" w:customStyle="1" w:styleId="106">
    <w:name w:val="样式3 Char Char"/>
    <w:link w:val="107"/>
    <w:qFormat/>
    <w:uiPriority w:val="0"/>
    <w:rPr>
      <w:rFonts w:eastAsia="Times New Roman"/>
      <w:b/>
      <w:sz w:val="24"/>
    </w:rPr>
  </w:style>
  <w:style w:type="paragraph" w:customStyle="1" w:styleId="107">
    <w:name w:val="样式3"/>
    <w:link w:val="106"/>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qFormat/>
    <w:uiPriority w:val="0"/>
    <w:rPr>
      <w:b/>
      <w:sz w:val="30"/>
      <w:szCs w:val="30"/>
    </w:rPr>
  </w:style>
  <w:style w:type="paragraph" w:customStyle="1" w:styleId="109">
    <w:name w:val="一级标题"/>
    <w:basedOn w:val="1"/>
    <w:link w:val="108"/>
    <w:qFormat/>
    <w:uiPriority w:val="0"/>
    <w:pPr>
      <w:spacing w:line="360" w:lineRule="auto"/>
      <w:outlineLvl w:val="0"/>
    </w:pPr>
    <w:rPr>
      <w:b/>
      <w:sz w:val="30"/>
      <w:szCs w:val="30"/>
    </w:rPr>
  </w:style>
  <w:style w:type="character" w:customStyle="1" w:styleId="110">
    <w:name w:val="Default Paragraph Font New New New"/>
    <w:qFormat/>
    <w:uiPriority w:val="0"/>
    <w:rPr>
      <w:rFonts w:hint="default"/>
    </w:rPr>
  </w:style>
  <w:style w:type="character" w:customStyle="1" w:styleId="111">
    <w:name w:val="默认段落字体1"/>
    <w:qFormat/>
    <w:uiPriority w:val="0"/>
    <w:rPr>
      <w:rFonts w:hint="default"/>
    </w:rPr>
  </w:style>
  <w:style w:type="character" w:customStyle="1" w:styleId="112">
    <w:name w:val="正文(仿)首缩 Char"/>
    <w:link w:val="113"/>
    <w:qFormat/>
    <w:uiPriority w:val="0"/>
    <w:rPr>
      <w:rFonts w:ascii="仿宋_GB2312" w:eastAsia="仿宋_GB2312"/>
      <w:sz w:val="28"/>
    </w:rPr>
  </w:style>
  <w:style w:type="paragraph" w:customStyle="1" w:styleId="113">
    <w:name w:val="正文(仿)首缩"/>
    <w:basedOn w:val="1"/>
    <w:link w:val="112"/>
    <w:qFormat/>
    <w:uiPriority w:val="0"/>
    <w:pPr>
      <w:ind w:firstLine="554" w:firstLineChars="200"/>
    </w:pPr>
    <w:rPr>
      <w:rFonts w:ascii="仿宋_GB2312" w:eastAsia="仿宋_GB2312"/>
      <w:sz w:val="28"/>
    </w:rPr>
  </w:style>
  <w:style w:type="character" w:customStyle="1" w:styleId="114">
    <w:name w:val="表格00 Char1"/>
    <w:link w:val="115"/>
    <w:qFormat/>
    <w:uiPriority w:val="0"/>
    <w:rPr>
      <w:rFonts w:eastAsia="Times New Roman"/>
      <w:szCs w:val="21"/>
    </w:rPr>
  </w:style>
  <w:style w:type="paragraph" w:customStyle="1" w:styleId="115">
    <w:name w:val="表格00"/>
    <w:link w:val="114"/>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qFormat/>
    <w:uiPriority w:val="0"/>
    <w:rPr>
      <w:rFonts w:hint="default"/>
    </w:rPr>
  </w:style>
  <w:style w:type="character" w:customStyle="1" w:styleId="119">
    <w:name w:val="泉州师院正文 Char Char"/>
    <w:link w:val="120"/>
    <w:qFormat/>
    <w:uiPriority w:val="0"/>
    <w:rPr>
      <w:sz w:val="24"/>
      <w:szCs w:val="24"/>
    </w:rPr>
  </w:style>
  <w:style w:type="paragraph" w:customStyle="1" w:styleId="120">
    <w:name w:val="泉州师院正文"/>
    <w:basedOn w:val="1"/>
    <w:link w:val="119"/>
    <w:qFormat/>
    <w:uiPriority w:val="0"/>
    <w:pPr>
      <w:spacing w:line="360" w:lineRule="auto"/>
      <w:ind w:firstLine="480" w:firstLineChars="200"/>
    </w:pPr>
    <w:rPr>
      <w:sz w:val="24"/>
      <w:szCs w:val="24"/>
    </w:rPr>
  </w:style>
  <w:style w:type="character" w:customStyle="1" w:styleId="121">
    <w:name w:val="10"/>
    <w:qFormat/>
    <w:uiPriority w:val="0"/>
    <w:rPr>
      <w:rFonts w:hint="default" w:ascii="Calibri" w:hAnsi="Calibri" w:cs="Calibri"/>
    </w:rPr>
  </w:style>
  <w:style w:type="character" w:customStyle="1" w:styleId="122">
    <w:name w:val="15"/>
    <w:qFormat/>
    <w:uiPriority w:val="0"/>
    <w:rPr>
      <w:rFonts w:hint="default" w:ascii="Calibri" w:hAnsi="Calibri" w:cs="Calibri"/>
      <w:color w:val="0000FF"/>
      <w:u w:val="single"/>
    </w:rPr>
  </w:style>
  <w:style w:type="paragraph" w:customStyle="1" w:styleId="123">
    <w:name w:val="Normal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24">
    <w:name w:val="正题"/>
    <w:basedOn w:val="101"/>
    <w:next w:val="101"/>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qFormat/>
    <w:uiPriority w:val="0"/>
    <w:pPr>
      <w:ind w:firstLine="420" w:firstLineChars="200"/>
    </w:pPr>
    <w:rPr>
      <w:rFonts w:ascii="Calibri" w:hAnsi="Calibri" w:eastAsia="宋体" w:cs="Times New Roman"/>
    </w:rPr>
  </w:style>
  <w:style w:type="paragraph" w:customStyle="1" w:styleId="1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qFormat/>
    <w:uiPriority w:val="0"/>
    <w:pPr>
      <w:ind w:firstLine="420" w:firstLineChars="200"/>
    </w:pPr>
    <w:rPr>
      <w:rFonts w:ascii="Times New Roman" w:hAnsi="Times New Roman" w:eastAsia="宋体" w:cs="Times New Roman"/>
      <w:szCs w:val="24"/>
    </w:rPr>
  </w:style>
  <w:style w:type="paragraph" w:customStyle="1" w:styleId="129">
    <w:name w:val="1eee"/>
    <w:basedOn w:val="3"/>
    <w:qFormat/>
    <w:uiPriority w:val="0"/>
    <w:rPr>
      <w:rFonts w:eastAsia="黑体" w:cs="宋体"/>
      <w:b w:val="0"/>
      <w:sz w:val="30"/>
    </w:rPr>
  </w:style>
  <w:style w:type="paragraph" w:customStyle="1" w:styleId="130">
    <w:name w:val="正文图标题"/>
    <w:next w:val="1"/>
    <w:qFormat/>
    <w:uiPriority w:val="0"/>
    <w:pPr>
      <w:tabs>
        <w:tab w:val="left" w:pos="420"/>
      </w:tabs>
      <w:ind w:left="567" w:hanging="279"/>
      <w:jc w:val="center"/>
    </w:pPr>
    <w:rPr>
      <w:rFonts w:ascii="黑体" w:hAnsi="Times New Roman" w:eastAsia="黑体" w:cs="Times New Roman"/>
      <w:kern w:val="0"/>
      <w:sz w:val="21"/>
      <w:szCs w:val="20"/>
      <w:lang w:val="en-US" w:eastAsia="zh-CN" w:bidi="ar-SA"/>
    </w:rPr>
  </w:style>
  <w:style w:type="paragraph" w:customStyle="1" w:styleId="131">
    <w:name w:val="文二"/>
    <w:basedOn w:val="1"/>
    <w:qFormat/>
    <w:uiPriority w:val="0"/>
    <w:pPr>
      <w:jc w:val="left"/>
    </w:pPr>
    <w:rPr>
      <w:rFonts w:ascii="宋体" w:hAnsi="宋体" w:eastAsia="宋体" w:cs="Times New Roman"/>
      <w:szCs w:val="21"/>
    </w:rPr>
  </w:style>
  <w:style w:type="paragraph" w:customStyle="1" w:styleId="13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33">
    <w:name w:val="Normal New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4">
    <w:name w:val="发文落款"/>
    <w:basedOn w:val="132"/>
    <w:qFormat/>
    <w:uiPriority w:val="0"/>
    <w:pPr>
      <w:ind w:left="4094" w:right="607" w:firstLine="0"/>
      <w:jc w:val="center"/>
    </w:pPr>
  </w:style>
  <w:style w:type="paragraph" w:customStyle="1" w:styleId="135">
    <w:name w:val="封一"/>
    <w:basedOn w:val="101"/>
    <w:next w:val="101"/>
    <w:qFormat/>
    <w:uiPriority w:val="0"/>
    <w:pPr>
      <w:ind w:firstLine="0" w:firstLineChars="0"/>
      <w:jc w:val="center"/>
    </w:pPr>
    <w:rPr>
      <w:rFonts w:ascii="等线" w:hAnsi="等线" w:eastAsia="黑体"/>
      <w:b/>
      <w:snapToGrid w:val="0"/>
      <w:sz w:val="84"/>
      <w:szCs w:val="84"/>
    </w:rPr>
  </w:style>
  <w:style w:type="paragraph" w:customStyle="1" w:styleId="136">
    <w:name w:val="_Style 59"/>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37">
    <w:name w:val="封四"/>
    <w:basedOn w:val="101"/>
    <w:next w:val="101"/>
    <w:qFormat/>
    <w:uiPriority w:val="0"/>
    <w:pPr>
      <w:jc w:val="left"/>
    </w:pPr>
    <w:rPr>
      <w:rFonts w:ascii="等线" w:hAnsi="等线" w:eastAsia="等线"/>
      <w:snapToGrid w:val="0"/>
      <w:sz w:val="30"/>
      <w:szCs w:val="30"/>
    </w:rPr>
  </w:style>
  <w:style w:type="paragraph" w:customStyle="1" w:styleId="138">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40">
    <w:name w:val="Normal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41">
    <w:name w:val="Char Char Char Char Char Char Char1"/>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5"/>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3"/>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customStyle="1" w:styleId="159">
    <w:name w:val="标题 3 字符1"/>
    <w:basedOn w:val="47"/>
    <w:semiHidden/>
    <w:qFormat/>
    <w:uiPriority w:val="9"/>
    <w:rPr>
      <w:b/>
      <w:bCs/>
      <w:sz w:val="32"/>
      <w:szCs w:val="32"/>
    </w:rPr>
  </w:style>
  <w:style w:type="table" w:customStyle="1" w:styleId="1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168</Words>
  <Characters>177</Characters>
  <Lines>232</Lines>
  <Paragraphs>65</Paragraphs>
  <TotalTime>11</TotalTime>
  <ScaleCrop>false</ScaleCrop>
  <LinksUpToDate>false</LinksUpToDate>
  <CharactersWithSpaces>219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2025-03-19T04:34:00Z</dcterms:created>
  <dc:creator>Admin</dc:creator>
  <cp:lastModifiedBy>风子</cp:lastModifiedBy>
  <cp:lastPrinted>2025-08-06T00:54:00Z</cp:lastPrinted>
  <dcterms:modified xsi:type="dcterms:W3CDTF">2025-08-11T23:59:20Z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eyJoZGlkIjoiOWI4NDU4MzNiMDNiZGM0OTZiNmE5OTE1MGI2MjI1NzEiLCJ1c2VySWQiOiIzNzM0ODUyNjgifQ==</vt:lpwstr>
  </property>
  <property fmtid="{D5CDD505-2E9C-101B-9397-08002B2CF9AE}" pid="3" name="KSOProductBuildVer">
    <vt:lpwstr>2052-12.1.0.22215</vt:lpwstr>
  </property>
  <property fmtid="{D5CDD505-2E9C-101B-9397-08002B2CF9AE}" pid="4" name="ICV">
    <vt:lpwstr>83716B65AF7A4924997C84A913585C5D_13</vt:lpwstr>
  </property>
</Properties>
</file>