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B4265E">
      <w:pPr>
        <w:ind w:firstLine="1446" w:firstLineChars="300"/>
        <w:rPr>
          <w:rFonts w:ascii="宋体" w:hAnsi="宋体" w:cs="宋体"/>
          <w:b/>
          <w:color w:val="auto"/>
          <w:sz w:val="48"/>
          <w:szCs w:val="48"/>
          <w:highlight w:val="none"/>
        </w:rPr>
      </w:pPr>
    </w:p>
    <w:p w14:paraId="3E977E6B">
      <w:pPr>
        <w:pStyle w:val="23"/>
        <w:ind w:firstLine="210"/>
        <w:rPr>
          <w:rFonts w:hint="default"/>
          <w:color w:val="auto"/>
          <w:highlight w:val="none"/>
        </w:rPr>
      </w:pPr>
    </w:p>
    <w:p w14:paraId="38D2741D">
      <w:pPr>
        <w:ind w:firstLine="1446" w:firstLineChars="300"/>
        <w:rPr>
          <w:rFonts w:ascii="宋体" w:hAnsi="宋体" w:cs="宋体"/>
          <w:b/>
          <w:color w:val="auto"/>
          <w:sz w:val="48"/>
          <w:szCs w:val="48"/>
          <w:highlight w:val="none"/>
        </w:rPr>
      </w:pPr>
    </w:p>
    <w:p w14:paraId="5EBDDB4C">
      <w:pPr>
        <w:jc w:val="center"/>
        <w:rPr>
          <w:rFonts w:ascii="宋体" w:hAnsi="宋体"/>
          <w:color w:val="auto"/>
          <w:sz w:val="28"/>
          <w:szCs w:val="28"/>
          <w:highlight w:val="none"/>
        </w:rPr>
      </w:pPr>
      <w:r>
        <w:rPr>
          <w:rFonts w:hint="eastAsia" w:ascii="宋体" w:hAnsi="宋体" w:cs="宋体"/>
          <w:b/>
          <w:bCs/>
          <w:color w:val="auto"/>
          <w:sz w:val="52"/>
          <w:szCs w:val="52"/>
          <w:highlight w:val="none"/>
        </w:rPr>
        <w:t>花都区花城街农村污水提升改造工程监理</w:t>
      </w:r>
    </w:p>
    <w:p w14:paraId="6E04C5C9">
      <w:pPr>
        <w:rPr>
          <w:rFonts w:ascii="宋体" w:hAnsi="宋体"/>
          <w:color w:val="auto"/>
          <w:sz w:val="28"/>
          <w:szCs w:val="28"/>
          <w:highlight w:val="none"/>
        </w:rPr>
      </w:pPr>
    </w:p>
    <w:p w14:paraId="5F3D44A6">
      <w:pPr>
        <w:rPr>
          <w:rFonts w:ascii="宋体" w:hAnsi="宋体"/>
          <w:color w:val="auto"/>
          <w:sz w:val="28"/>
          <w:szCs w:val="28"/>
          <w:highlight w:val="none"/>
        </w:rPr>
      </w:pPr>
    </w:p>
    <w:p w14:paraId="56EDDBE1">
      <w:pPr>
        <w:rPr>
          <w:rFonts w:ascii="宋体" w:hAnsi="宋体"/>
          <w:color w:val="auto"/>
          <w:sz w:val="28"/>
          <w:szCs w:val="28"/>
          <w:highlight w:val="none"/>
        </w:rPr>
      </w:pPr>
    </w:p>
    <w:p w14:paraId="767B0D22">
      <w:pPr>
        <w:rPr>
          <w:rFonts w:ascii="宋体" w:hAnsi="宋体"/>
          <w:color w:val="auto"/>
          <w:sz w:val="28"/>
          <w:szCs w:val="28"/>
          <w:highlight w:val="none"/>
        </w:rPr>
      </w:pPr>
    </w:p>
    <w:p w14:paraId="1687FBC8">
      <w:pPr>
        <w:rPr>
          <w:rFonts w:ascii="宋体" w:hAnsi="宋体"/>
          <w:color w:val="auto"/>
          <w:sz w:val="28"/>
          <w:szCs w:val="28"/>
          <w:highlight w:val="none"/>
        </w:rPr>
      </w:pPr>
    </w:p>
    <w:p w14:paraId="4F0F4984">
      <w:pPr>
        <w:pStyle w:val="23"/>
        <w:ind w:firstLine="210"/>
        <w:rPr>
          <w:rFonts w:hint="default"/>
          <w:color w:val="auto"/>
          <w:highlight w:val="none"/>
        </w:rPr>
      </w:pPr>
    </w:p>
    <w:p w14:paraId="36A71456">
      <w:pPr>
        <w:pStyle w:val="23"/>
        <w:ind w:firstLine="210"/>
        <w:rPr>
          <w:rFonts w:hint="default"/>
          <w:color w:val="auto"/>
          <w:highlight w:val="none"/>
        </w:rPr>
      </w:pPr>
    </w:p>
    <w:p w14:paraId="06D233B7">
      <w:pPr>
        <w:pStyle w:val="23"/>
        <w:ind w:firstLine="210"/>
        <w:rPr>
          <w:rFonts w:hint="default"/>
          <w:color w:val="auto"/>
          <w:highlight w:val="none"/>
        </w:rPr>
      </w:pPr>
    </w:p>
    <w:p w14:paraId="2C9B9B0E">
      <w:pPr>
        <w:jc w:val="center"/>
        <w:rPr>
          <w:rFonts w:ascii="宋体" w:hAnsi="宋体"/>
          <w:b/>
          <w:color w:val="auto"/>
          <w:sz w:val="84"/>
          <w:szCs w:val="84"/>
          <w:highlight w:val="none"/>
        </w:rPr>
      </w:pPr>
      <w:r>
        <w:rPr>
          <w:rFonts w:hint="eastAsia" w:ascii="宋体" w:hAnsi="宋体"/>
          <w:b/>
          <w:color w:val="auto"/>
          <w:sz w:val="84"/>
          <w:szCs w:val="84"/>
          <w:highlight w:val="none"/>
        </w:rPr>
        <w:t>招标文件</w:t>
      </w:r>
    </w:p>
    <w:p w14:paraId="4EBEEBEB">
      <w:pPr>
        <w:rPr>
          <w:rFonts w:ascii="宋体" w:hAnsi="宋体"/>
          <w:color w:val="auto"/>
          <w:sz w:val="28"/>
          <w:szCs w:val="28"/>
          <w:highlight w:val="none"/>
        </w:rPr>
      </w:pPr>
    </w:p>
    <w:p w14:paraId="4C1F25E0">
      <w:pPr>
        <w:rPr>
          <w:rFonts w:ascii="宋体" w:hAnsi="宋体"/>
          <w:color w:val="auto"/>
          <w:sz w:val="28"/>
          <w:szCs w:val="28"/>
          <w:highlight w:val="none"/>
        </w:rPr>
      </w:pPr>
    </w:p>
    <w:p w14:paraId="4EF4EF29">
      <w:pPr>
        <w:rPr>
          <w:rFonts w:ascii="宋体" w:hAnsi="宋体"/>
          <w:color w:val="auto"/>
          <w:sz w:val="28"/>
          <w:szCs w:val="28"/>
          <w:highlight w:val="none"/>
        </w:rPr>
      </w:pPr>
    </w:p>
    <w:p w14:paraId="118621C3">
      <w:pPr>
        <w:rPr>
          <w:rFonts w:ascii="宋体" w:hAnsi="宋体"/>
          <w:color w:val="auto"/>
          <w:sz w:val="28"/>
          <w:szCs w:val="28"/>
          <w:highlight w:val="none"/>
        </w:rPr>
      </w:pPr>
    </w:p>
    <w:p w14:paraId="6FF1FDC6">
      <w:pPr>
        <w:pStyle w:val="23"/>
        <w:ind w:firstLine="210"/>
        <w:rPr>
          <w:rFonts w:hint="default"/>
          <w:color w:val="auto"/>
          <w:highlight w:val="none"/>
        </w:rPr>
      </w:pPr>
    </w:p>
    <w:p w14:paraId="7A08BEC2">
      <w:pPr>
        <w:rPr>
          <w:rFonts w:ascii="宋体" w:hAnsi="宋体"/>
          <w:color w:val="auto"/>
          <w:sz w:val="28"/>
          <w:szCs w:val="28"/>
          <w:highlight w:val="none"/>
        </w:rPr>
      </w:pPr>
    </w:p>
    <w:p w14:paraId="2CBE3074">
      <w:pPr>
        <w:rPr>
          <w:rFonts w:ascii="宋体" w:hAnsi="宋体"/>
          <w:color w:val="auto"/>
          <w:sz w:val="28"/>
          <w:szCs w:val="28"/>
          <w:highlight w:val="none"/>
        </w:rPr>
      </w:pPr>
    </w:p>
    <w:p w14:paraId="728E755D">
      <w:pPr>
        <w:spacing w:line="480" w:lineRule="auto"/>
        <w:rPr>
          <w:rFonts w:ascii="宋体" w:hAnsi="宋体"/>
          <w:color w:val="auto"/>
          <w:sz w:val="28"/>
          <w:szCs w:val="28"/>
          <w:highlight w:val="none"/>
        </w:rPr>
      </w:pPr>
    </w:p>
    <w:p w14:paraId="3C7907BB">
      <w:pPr>
        <w:spacing w:line="48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招标人：</w:t>
      </w:r>
      <w:r>
        <w:rPr>
          <w:rFonts w:hint="eastAsia" w:ascii="宋体" w:hAnsi="宋体" w:cs="宋体"/>
          <w:color w:val="auto"/>
          <w:sz w:val="28"/>
          <w:szCs w:val="28"/>
          <w:highlight w:val="none"/>
          <w:u w:val="single"/>
        </w:rPr>
        <w:t>广州市花都区人民政府花城街道办事处</w:t>
      </w:r>
      <w:r>
        <w:rPr>
          <w:rFonts w:hint="eastAsia" w:ascii="宋体" w:hAnsi="宋体" w:cs="宋体"/>
          <w:color w:val="auto"/>
          <w:sz w:val="28"/>
          <w:szCs w:val="28"/>
          <w:highlight w:val="none"/>
        </w:rPr>
        <w:t>（盖单位章）</w:t>
      </w:r>
    </w:p>
    <w:p w14:paraId="6F5769AB">
      <w:pPr>
        <w:spacing w:line="480" w:lineRule="auto"/>
        <w:jc w:val="center"/>
        <w:rPr>
          <w:color w:val="auto"/>
          <w:highlight w:val="none"/>
        </w:rPr>
      </w:pPr>
      <w:r>
        <w:rPr>
          <w:rFonts w:hint="eastAsia" w:ascii="宋体" w:hAnsi="宋体" w:cs="宋体"/>
          <w:color w:val="auto"/>
          <w:sz w:val="28"/>
          <w:szCs w:val="28"/>
          <w:highlight w:val="none"/>
        </w:rPr>
        <w:t>招标代理机构：</w:t>
      </w:r>
      <w:r>
        <w:rPr>
          <w:rFonts w:hint="eastAsia" w:ascii="宋体" w:hAnsi="宋体" w:cs="宋体"/>
          <w:color w:val="auto"/>
          <w:sz w:val="28"/>
          <w:szCs w:val="28"/>
          <w:highlight w:val="none"/>
          <w:u w:val="single"/>
        </w:rPr>
        <w:t>华联世纪工程咨询股份有限公司</w:t>
      </w:r>
      <w:r>
        <w:rPr>
          <w:rFonts w:hint="eastAsia" w:ascii="宋体" w:hAnsi="宋体" w:cs="宋体"/>
          <w:color w:val="auto"/>
          <w:sz w:val="28"/>
          <w:szCs w:val="28"/>
          <w:highlight w:val="none"/>
        </w:rPr>
        <w:t>（盖单位章）</w:t>
      </w:r>
    </w:p>
    <w:p w14:paraId="3F054B1D">
      <w:pPr>
        <w:spacing w:line="480" w:lineRule="auto"/>
        <w:ind w:firstLine="3500" w:firstLineChars="1250"/>
        <w:rPr>
          <w:rFonts w:ascii="宋体" w:hAnsi="宋体" w:cs="宋体"/>
          <w:color w:val="auto"/>
          <w:sz w:val="28"/>
          <w:szCs w:val="28"/>
          <w:highlight w:val="none"/>
        </w:rPr>
      </w:pPr>
      <w:r>
        <w:rPr>
          <w:rFonts w:hint="eastAsia" w:ascii="宋体" w:hAnsi="宋体" w:cs="宋体"/>
          <w:color w:val="auto"/>
          <w:sz w:val="28"/>
          <w:szCs w:val="28"/>
          <w:highlight w:val="none"/>
          <w:u w:val="single"/>
        </w:rPr>
        <w:t>2025</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p>
    <w:p w14:paraId="6D9642A2">
      <w:pPr>
        <w:spacing w:line="480" w:lineRule="auto"/>
        <w:jc w:val="center"/>
        <w:rPr>
          <w:rFonts w:ascii="宋体" w:hAnsi="宋体"/>
          <w:b/>
          <w:color w:val="auto"/>
          <w:sz w:val="32"/>
          <w:szCs w:val="32"/>
          <w:highlight w:val="none"/>
        </w:rPr>
        <w:sectPr>
          <w:footerReference r:id="rId3" w:type="default"/>
          <w:pgSz w:w="11907" w:h="16840"/>
          <w:pgMar w:top="1134" w:right="1134" w:bottom="1134" w:left="1134" w:header="720" w:footer="720" w:gutter="0"/>
          <w:pgNumType w:start="0"/>
          <w:cols w:space="720" w:num="1"/>
          <w:docGrid w:linePitch="312" w:charSpace="0"/>
        </w:sectPr>
      </w:pPr>
    </w:p>
    <w:sdt>
      <w:sdtPr>
        <w:rPr>
          <w:rFonts w:hint="eastAsia" w:ascii="宋体" w:hAnsi="宋体" w:cs="宋体"/>
          <w:color w:val="auto"/>
          <w:highlight w:val="none"/>
        </w:rPr>
        <w:id w:val="147452449"/>
        <w:docPartObj>
          <w:docPartGallery w:val="Table of Contents"/>
          <w:docPartUnique/>
        </w:docPartObj>
      </w:sdtPr>
      <w:sdtEndPr>
        <w:rPr>
          <w:rFonts w:hint="eastAsia" w:ascii="宋体" w:hAnsi="宋体" w:cs="宋体"/>
          <w:color w:val="auto"/>
          <w:highlight w:val="none"/>
        </w:rPr>
      </w:sdtEndPr>
      <w:sdtContent>
        <w:p w14:paraId="7A82B025">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目 录</w:t>
          </w:r>
        </w:p>
        <w:p w14:paraId="40B09199">
          <w:pPr>
            <w:pStyle w:val="19"/>
            <w:tabs>
              <w:tab w:val="right" w:leader="dot" w:pos="9071"/>
            </w:tabs>
            <w:spacing w:line="360" w:lineRule="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"1-3" \h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"_Toc1556" </w:instrText>
          </w:r>
          <w:r>
            <w:rPr>
              <w:color w:val="auto"/>
              <w:highlight w:val="none"/>
            </w:rPr>
            <w:fldChar w:fldCharType="separate"/>
          </w:r>
          <w:r>
            <w:rPr>
              <w:rFonts w:hint="eastAsia"/>
              <w:b/>
              <w:bCs/>
              <w:color w:val="auto"/>
              <w:highlight w:val="none"/>
            </w:rPr>
            <w:t>第一卷</w:t>
          </w:r>
          <w:r>
            <w:rPr>
              <w:b/>
              <w:bCs/>
              <w:color w:val="auto"/>
              <w:highlight w:val="none"/>
            </w:rPr>
            <w:tab/>
          </w:r>
          <w:r>
            <w:rPr>
              <w:b/>
              <w:bCs/>
              <w:color w:val="auto"/>
              <w:highlight w:val="none"/>
            </w:rPr>
            <w:fldChar w:fldCharType="begin"/>
          </w:r>
          <w:r>
            <w:rPr>
              <w:b/>
              <w:bCs/>
              <w:color w:val="auto"/>
              <w:highlight w:val="none"/>
            </w:rPr>
            <w:instrText xml:space="preserve"> PAGEREF _Toc1556 \h </w:instrText>
          </w:r>
          <w:r>
            <w:rPr>
              <w:b/>
              <w:bCs/>
              <w:color w:val="auto"/>
              <w:highlight w:val="none"/>
            </w:rPr>
            <w:fldChar w:fldCharType="separate"/>
          </w:r>
          <w:r>
            <w:rPr>
              <w:b/>
              <w:bCs/>
              <w:color w:val="auto"/>
              <w:highlight w:val="none"/>
            </w:rPr>
            <w:t>2</w:t>
          </w:r>
          <w:r>
            <w:rPr>
              <w:b/>
              <w:bCs/>
              <w:color w:val="auto"/>
              <w:highlight w:val="none"/>
            </w:rPr>
            <w:fldChar w:fldCharType="end"/>
          </w:r>
          <w:r>
            <w:rPr>
              <w:b/>
              <w:bCs/>
              <w:color w:val="auto"/>
              <w:highlight w:val="none"/>
            </w:rPr>
            <w:fldChar w:fldCharType="end"/>
          </w:r>
        </w:p>
        <w:p w14:paraId="0A05EEF7">
          <w:pPr>
            <w:pStyle w:val="20"/>
            <w:tabs>
              <w:tab w:val="right" w:leader="dot" w:pos="9071"/>
            </w:tabs>
            <w:spacing w:line="360" w:lineRule="auto"/>
            <w:ind w:left="480"/>
            <w:rPr>
              <w:color w:val="auto"/>
              <w:highlight w:val="none"/>
            </w:rPr>
          </w:pPr>
          <w:r>
            <w:rPr>
              <w:color w:val="auto"/>
              <w:highlight w:val="none"/>
            </w:rPr>
            <w:fldChar w:fldCharType="begin"/>
          </w:r>
          <w:r>
            <w:rPr>
              <w:color w:val="auto"/>
              <w:highlight w:val="none"/>
            </w:rPr>
            <w:instrText xml:space="preserve"> HYPERLINK \l "_Toc29772" </w:instrText>
          </w:r>
          <w:r>
            <w:rPr>
              <w:color w:val="auto"/>
              <w:highlight w:val="none"/>
            </w:rPr>
            <w:fldChar w:fldCharType="separate"/>
          </w:r>
          <w:r>
            <w:rPr>
              <w:rFonts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_Toc29772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1A9F6DC">
          <w:pPr>
            <w:pStyle w:val="20"/>
            <w:tabs>
              <w:tab w:val="right" w:leader="dot" w:pos="9071"/>
            </w:tabs>
            <w:spacing w:line="360" w:lineRule="auto"/>
            <w:ind w:left="480"/>
            <w:rPr>
              <w:color w:val="auto"/>
              <w:highlight w:val="none"/>
            </w:rPr>
          </w:pPr>
          <w:r>
            <w:rPr>
              <w:color w:val="auto"/>
              <w:highlight w:val="none"/>
            </w:rPr>
            <w:fldChar w:fldCharType="begin"/>
          </w:r>
          <w:r>
            <w:rPr>
              <w:color w:val="auto"/>
              <w:highlight w:val="none"/>
            </w:rPr>
            <w:instrText xml:space="preserve"> HYPERLINK \l "_Toc15097" </w:instrText>
          </w:r>
          <w:r>
            <w:rPr>
              <w:color w:val="auto"/>
              <w:highlight w:val="none"/>
            </w:rPr>
            <w:fldChar w:fldCharType="separate"/>
          </w:r>
          <w:r>
            <w:rPr>
              <w:rFonts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_Toc15097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166B75B">
          <w:pPr>
            <w:pStyle w:val="20"/>
            <w:tabs>
              <w:tab w:val="right" w:leader="dot" w:pos="9071"/>
            </w:tabs>
            <w:spacing w:line="360" w:lineRule="auto"/>
            <w:ind w:left="480"/>
            <w:rPr>
              <w:color w:val="auto"/>
              <w:highlight w:val="none"/>
            </w:rPr>
          </w:pPr>
          <w:r>
            <w:rPr>
              <w:color w:val="auto"/>
              <w:highlight w:val="none"/>
            </w:rPr>
            <w:fldChar w:fldCharType="begin"/>
          </w:r>
          <w:r>
            <w:rPr>
              <w:color w:val="auto"/>
              <w:highlight w:val="none"/>
            </w:rPr>
            <w:instrText xml:space="preserve"> HYPERLINK \l "_Toc23003" </w:instrText>
          </w:r>
          <w:r>
            <w:rPr>
              <w:color w:val="auto"/>
              <w:highlight w:val="none"/>
            </w:rPr>
            <w:fldChar w:fldCharType="separate"/>
          </w:r>
          <w:r>
            <w:rPr>
              <w:rFonts w:cs="宋体"/>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_Toc23003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65E74E5">
          <w:pPr>
            <w:pStyle w:val="20"/>
            <w:tabs>
              <w:tab w:val="right" w:leader="dot" w:pos="9071"/>
            </w:tabs>
            <w:spacing w:line="360" w:lineRule="auto"/>
            <w:ind w:left="480"/>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"_Toc14321" </w:instrText>
          </w:r>
          <w:r>
            <w:rPr>
              <w:color w:val="auto"/>
              <w:highlight w:val="none"/>
            </w:rPr>
            <w:fldChar w:fldCharType="separate"/>
          </w:r>
          <w:r>
            <w:rPr>
              <w:rFonts w:cs="宋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_Toc14321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r>
            <w:rPr>
              <w:rFonts w:hint="eastAsia"/>
              <w:color w:val="auto"/>
              <w:highlight w:val="none"/>
              <w:lang w:val="en-US" w:eastAsia="zh-CN"/>
            </w:rPr>
            <w:t>0</w:t>
          </w:r>
        </w:p>
        <w:p w14:paraId="4C8B4315">
          <w:pPr>
            <w:pStyle w:val="19"/>
            <w:tabs>
              <w:tab w:val="right" w:leader="dot" w:pos="9071"/>
            </w:tabs>
            <w:spacing w:line="360" w:lineRule="auto"/>
            <w:rPr>
              <w:rFonts w:hint="eastAsia" w:eastAsia="宋体"/>
              <w:b/>
              <w:bCs/>
              <w:color w:val="auto"/>
              <w:highlight w:val="none"/>
              <w:lang w:eastAsia="zh-CN"/>
            </w:rPr>
          </w:pPr>
          <w:r>
            <w:rPr>
              <w:color w:val="auto"/>
              <w:highlight w:val="none"/>
            </w:rPr>
            <w:fldChar w:fldCharType="begin"/>
          </w:r>
          <w:r>
            <w:rPr>
              <w:color w:val="auto"/>
              <w:highlight w:val="none"/>
            </w:rPr>
            <w:instrText xml:space="preserve"> HYPERLINK \l "_Toc2872" </w:instrText>
          </w:r>
          <w:r>
            <w:rPr>
              <w:color w:val="auto"/>
              <w:highlight w:val="none"/>
            </w:rPr>
            <w:fldChar w:fldCharType="separate"/>
          </w:r>
          <w:r>
            <w:rPr>
              <w:rFonts w:hint="eastAsia"/>
              <w:b/>
              <w:bCs/>
              <w:color w:val="auto"/>
              <w:highlight w:val="none"/>
            </w:rPr>
            <w:t>第二卷</w:t>
          </w:r>
          <w:r>
            <w:rPr>
              <w:b/>
              <w:bCs/>
              <w:color w:val="auto"/>
              <w:highlight w:val="none"/>
            </w:rPr>
            <w:tab/>
          </w:r>
          <w:r>
            <w:rPr>
              <w:b/>
              <w:bCs/>
              <w:color w:val="auto"/>
              <w:highlight w:val="none"/>
            </w:rPr>
            <w:fldChar w:fldCharType="begin"/>
          </w:r>
          <w:r>
            <w:rPr>
              <w:b/>
              <w:bCs/>
              <w:color w:val="auto"/>
              <w:highlight w:val="none"/>
            </w:rPr>
            <w:instrText xml:space="preserve"> PAGEREF _Toc2872 \h </w:instrText>
          </w:r>
          <w:r>
            <w:rPr>
              <w:b/>
              <w:bCs/>
              <w:color w:val="auto"/>
              <w:highlight w:val="none"/>
            </w:rPr>
            <w:fldChar w:fldCharType="separate"/>
          </w:r>
          <w:r>
            <w:rPr>
              <w:b/>
              <w:bCs/>
              <w:color w:val="auto"/>
              <w:highlight w:val="none"/>
            </w:rPr>
            <w:t>4</w:t>
          </w:r>
          <w:r>
            <w:rPr>
              <w:b/>
              <w:bCs/>
              <w:color w:val="auto"/>
              <w:highlight w:val="none"/>
            </w:rPr>
            <w:fldChar w:fldCharType="end"/>
          </w:r>
          <w:r>
            <w:rPr>
              <w:b/>
              <w:bCs/>
              <w:color w:val="auto"/>
              <w:highlight w:val="none"/>
            </w:rPr>
            <w:fldChar w:fldCharType="end"/>
          </w:r>
          <w:r>
            <w:rPr>
              <w:rFonts w:hint="eastAsia"/>
              <w:b/>
              <w:bCs/>
              <w:color w:val="auto"/>
              <w:highlight w:val="none"/>
              <w:lang w:val="en-US" w:eastAsia="zh-CN"/>
            </w:rPr>
            <w:t>1</w:t>
          </w:r>
        </w:p>
        <w:p w14:paraId="518A7A3E">
          <w:pPr>
            <w:pStyle w:val="20"/>
            <w:tabs>
              <w:tab w:val="right" w:leader="dot" w:pos="9071"/>
            </w:tabs>
            <w:spacing w:line="360" w:lineRule="auto"/>
            <w:ind w:left="480"/>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"_Toc23118" </w:instrText>
          </w:r>
          <w:r>
            <w:rPr>
              <w:color w:val="auto"/>
              <w:highlight w:val="none"/>
            </w:rPr>
            <w:fldChar w:fldCharType="separate"/>
          </w:r>
          <w:r>
            <w:rPr>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_Toc23118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r>
            <w:rPr>
              <w:rFonts w:hint="eastAsia"/>
              <w:color w:val="auto"/>
              <w:highlight w:val="none"/>
              <w:lang w:val="en-US" w:eastAsia="zh-CN"/>
            </w:rPr>
            <w:t>2</w:t>
          </w:r>
        </w:p>
        <w:p w14:paraId="1CC2A405">
          <w:pPr>
            <w:pStyle w:val="19"/>
            <w:tabs>
              <w:tab w:val="right" w:leader="dot" w:pos="9071"/>
            </w:tabs>
            <w:spacing w:line="360" w:lineRule="auto"/>
            <w:rPr>
              <w:rFonts w:hint="eastAsia" w:eastAsia="宋体"/>
              <w:b/>
              <w:bCs/>
              <w:color w:val="auto"/>
              <w:highlight w:val="none"/>
              <w:lang w:eastAsia="zh-CN"/>
            </w:rPr>
          </w:pPr>
          <w:r>
            <w:rPr>
              <w:color w:val="auto"/>
              <w:highlight w:val="none"/>
            </w:rPr>
            <w:fldChar w:fldCharType="begin"/>
          </w:r>
          <w:r>
            <w:rPr>
              <w:color w:val="auto"/>
              <w:highlight w:val="none"/>
            </w:rPr>
            <w:instrText xml:space="preserve"> HYPERLINK \l "_Toc12210" </w:instrText>
          </w:r>
          <w:r>
            <w:rPr>
              <w:color w:val="auto"/>
              <w:highlight w:val="none"/>
            </w:rPr>
            <w:fldChar w:fldCharType="separate"/>
          </w:r>
          <w:r>
            <w:rPr>
              <w:rFonts w:hint="eastAsia"/>
              <w:b/>
              <w:bCs/>
              <w:color w:val="auto"/>
              <w:highlight w:val="none"/>
            </w:rPr>
            <w:t>第三卷</w:t>
          </w:r>
          <w:r>
            <w:rPr>
              <w:b/>
              <w:bCs/>
              <w:color w:val="auto"/>
              <w:highlight w:val="none"/>
            </w:rPr>
            <w:tab/>
          </w:r>
          <w:r>
            <w:rPr>
              <w:b/>
              <w:bCs/>
              <w:color w:val="auto"/>
              <w:highlight w:val="none"/>
            </w:rPr>
            <w:fldChar w:fldCharType="begin"/>
          </w:r>
          <w:r>
            <w:rPr>
              <w:b/>
              <w:bCs/>
              <w:color w:val="auto"/>
              <w:highlight w:val="none"/>
            </w:rPr>
            <w:instrText xml:space="preserve"> PAGEREF _Toc12210 \h </w:instrText>
          </w:r>
          <w:r>
            <w:rPr>
              <w:b/>
              <w:bCs/>
              <w:color w:val="auto"/>
              <w:highlight w:val="none"/>
            </w:rPr>
            <w:fldChar w:fldCharType="separate"/>
          </w:r>
          <w:r>
            <w:rPr>
              <w:b/>
              <w:bCs/>
              <w:color w:val="auto"/>
              <w:highlight w:val="none"/>
            </w:rPr>
            <w:t>4</w:t>
          </w:r>
          <w:r>
            <w:rPr>
              <w:b/>
              <w:bCs/>
              <w:color w:val="auto"/>
              <w:highlight w:val="none"/>
            </w:rPr>
            <w:fldChar w:fldCharType="end"/>
          </w:r>
          <w:r>
            <w:rPr>
              <w:b/>
              <w:bCs/>
              <w:color w:val="auto"/>
              <w:highlight w:val="none"/>
            </w:rPr>
            <w:fldChar w:fldCharType="end"/>
          </w:r>
          <w:r>
            <w:rPr>
              <w:rFonts w:hint="eastAsia"/>
              <w:b/>
              <w:bCs/>
              <w:color w:val="auto"/>
              <w:highlight w:val="none"/>
              <w:lang w:val="en-US" w:eastAsia="zh-CN"/>
            </w:rPr>
            <w:t>8</w:t>
          </w:r>
        </w:p>
        <w:p w14:paraId="4ED40EAA">
          <w:pPr>
            <w:pStyle w:val="20"/>
            <w:tabs>
              <w:tab w:val="right" w:leader="dot" w:pos="9071"/>
            </w:tabs>
            <w:spacing w:line="360" w:lineRule="auto"/>
            <w:ind w:left="480"/>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"_Toc26661" </w:instrText>
          </w:r>
          <w:r>
            <w:rPr>
              <w:color w:val="auto"/>
              <w:highlight w:val="none"/>
            </w:rPr>
            <w:fldChar w:fldCharType="separate"/>
          </w:r>
          <w:r>
            <w:rPr>
              <w:color w:val="auto"/>
              <w:highlight w:val="none"/>
            </w:rPr>
            <w:t>第六章 投标文件格式</w:t>
          </w:r>
          <w:r>
            <w:rPr>
              <w:color w:val="auto"/>
              <w:highlight w:val="none"/>
            </w:rPr>
            <w:tab/>
          </w:r>
          <w:r>
            <w:rPr>
              <w:color w:val="auto"/>
              <w:highlight w:val="none"/>
            </w:rPr>
            <w:fldChar w:fldCharType="end"/>
          </w:r>
          <w:r>
            <w:rPr>
              <w:rFonts w:hint="eastAsia"/>
              <w:color w:val="auto"/>
              <w:highlight w:val="none"/>
              <w:lang w:val="en-US" w:eastAsia="zh-CN"/>
            </w:rPr>
            <w:t>49</w:t>
          </w:r>
        </w:p>
        <w:p w14:paraId="5ADC4E2B">
          <w:pPr>
            <w:pStyle w:val="20"/>
            <w:tabs>
              <w:tab w:val="right" w:leader="dot" w:pos="9071"/>
            </w:tabs>
            <w:spacing w:line="360" w:lineRule="auto"/>
            <w:ind w:left="480"/>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"_Toc17258" </w:instrText>
          </w:r>
          <w:r>
            <w:rPr>
              <w:color w:val="auto"/>
              <w:highlight w:val="none"/>
            </w:rPr>
            <w:fldChar w:fldCharType="separate"/>
          </w:r>
          <w:r>
            <w:rPr>
              <w:color w:val="auto"/>
              <w:highlight w:val="none"/>
            </w:rPr>
            <w:t>第七章 投标人须知前附表规定的其他资料。</w:t>
          </w:r>
          <w:r>
            <w:rPr>
              <w:color w:val="auto"/>
              <w:highlight w:val="none"/>
            </w:rPr>
            <w:tab/>
          </w:r>
          <w:r>
            <w:rPr>
              <w:color w:val="auto"/>
              <w:highlight w:val="none"/>
            </w:rPr>
            <w:fldChar w:fldCharType="begin"/>
          </w:r>
          <w:r>
            <w:rPr>
              <w:color w:val="auto"/>
              <w:highlight w:val="none"/>
            </w:rPr>
            <w:instrText xml:space="preserve"> PAGEREF _Toc17258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r>
            <w:rPr>
              <w:rFonts w:hint="eastAsia"/>
              <w:color w:val="auto"/>
              <w:highlight w:val="none"/>
              <w:lang w:val="en-US" w:eastAsia="zh-CN"/>
            </w:rPr>
            <w:t>8</w:t>
          </w:r>
        </w:p>
        <w:p w14:paraId="44A57B40">
          <w:pPr>
            <w:pStyle w:val="14"/>
            <w:tabs>
              <w:tab w:val="right" w:leader="dot" w:pos="9071"/>
            </w:tabs>
            <w:spacing w:line="360" w:lineRule="auto"/>
            <w:ind w:left="0" w:leftChars="0"/>
            <w:rPr>
              <w:color w:val="auto"/>
              <w:highlight w:val="none"/>
            </w:rPr>
          </w:pPr>
        </w:p>
        <w:p w14:paraId="4CF0FC59">
          <w:pPr>
            <w:pStyle w:val="2"/>
            <w:tabs>
              <w:tab w:val="right" w:leader="dot" w:pos="8714"/>
            </w:tabs>
            <w:kinsoku w:val="0"/>
            <w:overflowPunct w:val="0"/>
            <w:spacing w:line="360" w:lineRule="auto"/>
            <w:ind w:left="0"/>
            <w:jc w:val="center"/>
            <w:rPr>
              <w:rFonts w:cs="宋体"/>
              <w:color w:val="auto"/>
              <w:sz w:val="24"/>
              <w:highlight w:val="none"/>
            </w:rPr>
          </w:pPr>
          <w:r>
            <w:rPr>
              <w:rFonts w:hint="eastAsia" w:cs="宋体"/>
              <w:color w:val="auto"/>
              <w:sz w:val="24"/>
              <w:highlight w:val="none"/>
            </w:rPr>
            <w:fldChar w:fldCharType="end"/>
          </w:r>
        </w:p>
      </w:sdtContent>
    </w:sdt>
    <w:p w14:paraId="2E779A96">
      <w:pPr>
        <w:pStyle w:val="44"/>
        <w:tabs>
          <w:tab w:val="right" w:leader="dot" w:pos="9071"/>
        </w:tabs>
        <w:spacing w:line="360" w:lineRule="auto"/>
        <w:ind w:left="720" w:leftChars="300"/>
        <w:rPr>
          <w:rFonts w:ascii="宋体" w:hAnsi="宋体" w:cs="宋体"/>
          <w:color w:val="auto"/>
          <w:sz w:val="24"/>
          <w:szCs w:val="24"/>
          <w:highlight w:val="none"/>
        </w:rPr>
      </w:pPr>
    </w:p>
    <w:p w14:paraId="2105D8C8">
      <w:pPr>
        <w:pStyle w:val="2"/>
        <w:tabs>
          <w:tab w:val="right" w:leader="dot" w:pos="8714"/>
        </w:tabs>
        <w:kinsoku w:val="0"/>
        <w:overflowPunct w:val="0"/>
        <w:spacing w:line="288" w:lineRule="exact"/>
        <w:ind w:left="0"/>
        <w:jc w:val="center"/>
        <w:rPr>
          <w:rFonts w:hAnsi="Calibri"/>
          <w:color w:val="auto"/>
          <w:highlight w:val="none"/>
        </w:rPr>
        <w:sectPr>
          <w:pgSz w:w="11905" w:h="16838"/>
          <w:pgMar w:top="1417" w:right="1417" w:bottom="1417" w:left="1417" w:header="720" w:footer="720" w:gutter="0"/>
          <w:cols w:space="720" w:num="1"/>
        </w:sectPr>
      </w:pPr>
    </w:p>
    <w:p w14:paraId="722C6E1F">
      <w:pPr>
        <w:pStyle w:val="2"/>
        <w:kinsoku w:val="0"/>
        <w:overflowPunct w:val="0"/>
        <w:ind w:left="0"/>
        <w:rPr>
          <w:rFonts w:ascii="Calibri" w:hAnsi="Calibri" w:eastAsia="Calibri"/>
          <w:color w:val="auto"/>
          <w:sz w:val="44"/>
          <w:highlight w:val="none"/>
        </w:rPr>
      </w:pPr>
    </w:p>
    <w:p w14:paraId="1853A656">
      <w:pPr>
        <w:pStyle w:val="3"/>
        <w:spacing w:before="4800" w:beforeLines="2000"/>
        <w:rPr>
          <w:rFonts w:hint="default"/>
          <w:color w:val="auto"/>
          <w:sz w:val="52"/>
          <w:szCs w:val="52"/>
          <w:highlight w:val="none"/>
        </w:rPr>
      </w:pPr>
      <w:bookmarkStart w:id="0" w:name="bookmark0"/>
      <w:bookmarkEnd w:id="0"/>
      <w:bookmarkStart w:id="1" w:name="_Toc1556"/>
      <w:r>
        <w:rPr>
          <w:color w:val="auto"/>
          <w:sz w:val="52"/>
          <w:szCs w:val="52"/>
          <w:highlight w:val="none"/>
        </w:rPr>
        <w:t>第一卷</w:t>
      </w:r>
      <w:bookmarkEnd w:id="1"/>
    </w:p>
    <w:p w14:paraId="5C3D0407">
      <w:pPr>
        <w:pStyle w:val="2"/>
        <w:kinsoku w:val="0"/>
        <w:overflowPunct w:val="0"/>
        <w:ind w:left="0"/>
        <w:rPr>
          <w:color w:val="auto"/>
          <w:sz w:val="44"/>
          <w:highlight w:val="none"/>
        </w:rPr>
        <w:sectPr>
          <w:footerReference r:id="rId4" w:type="default"/>
          <w:pgSz w:w="11905" w:h="16838"/>
          <w:pgMar w:top="1417" w:right="1417" w:bottom="1417" w:left="1417" w:header="720" w:footer="720" w:gutter="0"/>
          <w:cols w:space="720" w:num="1"/>
        </w:sectPr>
      </w:pPr>
    </w:p>
    <w:p w14:paraId="05DF3B91">
      <w:pPr>
        <w:pStyle w:val="4"/>
        <w:numPr>
          <w:ilvl w:val="0"/>
          <w:numId w:val="1"/>
        </w:numPr>
        <w:rPr>
          <w:rFonts w:cs="宋体"/>
          <w:color w:val="auto"/>
          <w:sz w:val="44"/>
          <w:highlight w:val="none"/>
        </w:rPr>
      </w:pPr>
      <w:bookmarkStart w:id="2" w:name="bookmark1"/>
      <w:bookmarkEnd w:id="2"/>
      <w:bookmarkStart w:id="3" w:name="_Toc29772"/>
      <w:r>
        <w:rPr>
          <w:rFonts w:cs="宋体"/>
          <w:color w:val="auto"/>
          <w:sz w:val="44"/>
          <w:highlight w:val="none"/>
        </w:rPr>
        <w:t>招标公告</w:t>
      </w:r>
      <w:bookmarkEnd w:id="3"/>
    </w:p>
    <w:p w14:paraId="518E9974">
      <w:pPr>
        <w:pStyle w:val="4"/>
        <w:rPr>
          <w:color w:val="auto"/>
          <w:sz w:val="24"/>
          <w:highlight w:val="none"/>
        </w:rPr>
        <w:sectPr>
          <w:pgSz w:w="11905" w:h="16838"/>
          <w:pgMar w:top="1417" w:right="1417" w:bottom="1417" w:left="1417" w:header="720" w:footer="720" w:gutter="0"/>
          <w:cols w:space="720" w:num="1"/>
        </w:sectPr>
      </w:pPr>
      <w:r>
        <w:rPr>
          <w:rFonts w:hint="eastAsia"/>
          <w:b/>
          <w:color w:val="auto"/>
          <w:highlight w:val="none"/>
          <w:u w:val="single"/>
        </w:rPr>
        <w:t>（另册）</w:t>
      </w:r>
    </w:p>
    <w:p w14:paraId="1485ABC8">
      <w:pPr>
        <w:pStyle w:val="4"/>
        <w:rPr>
          <w:rFonts w:ascii="Microsoft JhengHei" w:hAnsi="Microsoft JhengHei" w:eastAsia="Microsoft JhengHei"/>
          <w:color w:val="auto"/>
          <w:sz w:val="57"/>
          <w:highlight w:val="none"/>
        </w:rPr>
      </w:pPr>
      <w:bookmarkStart w:id="4" w:name="bookmark18"/>
      <w:bookmarkEnd w:id="4"/>
      <w:bookmarkStart w:id="5" w:name="bookmark9"/>
      <w:bookmarkEnd w:id="5"/>
      <w:bookmarkStart w:id="6" w:name="_Toc15097"/>
      <w:r>
        <w:rPr>
          <w:rFonts w:cs="宋体"/>
          <w:color w:val="auto"/>
          <w:sz w:val="44"/>
          <w:highlight w:val="none"/>
        </w:rPr>
        <w:t>第二章 投标人须知</w:t>
      </w:r>
      <w:bookmarkEnd w:id="6"/>
    </w:p>
    <w:p w14:paraId="294B33B1">
      <w:pPr>
        <w:pStyle w:val="5"/>
        <w:kinsoku w:val="0"/>
        <w:overflowPunct w:val="0"/>
        <w:spacing w:before="120" w:after="120"/>
        <w:ind w:left="220"/>
        <w:jc w:val="center"/>
        <w:rPr>
          <w:rFonts w:ascii="Microsoft JhengHei" w:hAnsi="Microsoft JhengHei" w:eastAsia="Microsoft JhengHei"/>
          <w:b w:val="0"/>
          <w:color w:val="auto"/>
          <w:sz w:val="20"/>
          <w:highlight w:val="none"/>
        </w:rPr>
      </w:pPr>
      <w:bookmarkStart w:id="7" w:name="bookmark19"/>
      <w:bookmarkEnd w:id="7"/>
      <w:bookmarkStart w:id="8" w:name="_Toc6280"/>
      <w:r>
        <w:rPr>
          <w:color w:val="auto"/>
          <w:sz w:val="32"/>
          <w:highlight w:val="none"/>
        </w:rPr>
        <w:t>投标人须知前附表</w:t>
      </w:r>
      <w:bookmarkEnd w:id="8"/>
    </w:p>
    <w:tbl>
      <w:tblPr>
        <w:tblStyle w:val="26"/>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551"/>
      </w:tblGrid>
      <w:tr w14:paraId="2298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C24C0CC">
            <w:pPr>
              <w:pStyle w:val="33"/>
              <w:kinsoku w:val="0"/>
              <w:overflowPunct w:val="0"/>
              <w:spacing w:before="41"/>
              <w:jc w:val="center"/>
              <w:rPr>
                <w:color w:val="auto"/>
                <w:sz w:val="21"/>
                <w:highlight w:val="none"/>
              </w:rPr>
            </w:pPr>
            <w:r>
              <w:rPr>
                <w:rFonts w:ascii="宋体" w:hAnsi="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01A962A">
            <w:pPr>
              <w:pStyle w:val="33"/>
              <w:kinsoku w:val="0"/>
              <w:overflowPunct w:val="0"/>
              <w:spacing w:before="41"/>
              <w:jc w:val="center"/>
              <w:rPr>
                <w:color w:val="auto"/>
                <w:sz w:val="21"/>
                <w:highlight w:val="none"/>
              </w:rPr>
            </w:pPr>
            <w:r>
              <w:rPr>
                <w:rFonts w:ascii="宋体" w:hAnsi="宋体" w:cs="宋体"/>
                <w:b/>
                <w:color w:val="auto"/>
                <w:sz w:val="21"/>
                <w:szCs w:val="21"/>
                <w:highlight w:val="none"/>
              </w:rPr>
              <w:t>条款名称</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082B8B39">
            <w:pPr>
              <w:pStyle w:val="33"/>
              <w:kinsoku w:val="0"/>
              <w:overflowPunct w:val="0"/>
              <w:spacing w:before="41"/>
              <w:jc w:val="center"/>
              <w:rPr>
                <w:color w:val="auto"/>
                <w:sz w:val="21"/>
                <w:highlight w:val="none"/>
              </w:rPr>
            </w:pPr>
            <w:r>
              <w:rPr>
                <w:rFonts w:ascii="宋体" w:hAnsi="宋体" w:cs="宋体"/>
                <w:b/>
                <w:color w:val="auto"/>
                <w:sz w:val="21"/>
                <w:szCs w:val="21"/>
                <w:highlight w:val="none"/>
              </w:rPr>
              <w:t>编列内容</w:t>
            </w:r>
          </w:p>
        </w:tc>
      </w:tr>
      <w:tr w14:paraId="3D5A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15E7E23">
            <w:pPr>
              <w:pStyle w:val="33"/>
              <w:kinsoku w:val="0"/>
              <w:overflowPunct w:val="0"/>
              <w:jc w:val="center"/>
              <w:rPr>
                <w:color w:val="auto"/>
                <w:sz w:val="21"/>
                <w:highlight w:val="none"/>
              </w:rPr>
            </w:pPr>
            <w:r>
              <w:rPr>
                <w:rFonts w:hint="eastAsia" w:eastAsia="Times New Roman"/>
                <w:color w:val="auto"/>
                <w:sz w:val="21"/>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F5FB00D">
            <w:pPr>
              <w:pStyle w:val="33"/>
              <w:kinsoku w:val="0"/>
              <w:overflowPunct w:val="0"/>
              <w:spacing w:line="360" w:lineRule="auto"/>
              <w:jc w:val="both"/>
              <w:rPr>
                <w:color w:val="auto"/>
                <w:sz w:val="21"/>
                <w:highlight w:val="none"/>
              </w:rPr>
            </w:pPr>
            <w:r>
              <w:rPr>
                <w:rFonts w:ascii="宋体" w:hAnsi="宋体"/>
                <w:color w:val="auto"/>
                <w:sz w:val="21"/>
                <w:highlight w:val="none"/>
              </w:rPr>
              <w:t>招标人</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8BAACAE">
            <w:pPr>
              <w:rPr>
                <w:rFonts w:ascii="宋体" w:hAnsi="宋体" w:cs="宋体"/>
                <w:color w:val="auto"/>
                <w:sz w:val="21"/>
                <w:szCs w:val="21"/>
                <w:highlight w:val="none"/>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广州市花都区人民政府花城街道办事处</w:t>
            </w:r>
          </w:p>
          <w:p w14:paraId="6F445E59">
            <w:pPr>
              <w:rPr>
                <w:rFonts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广州市花都区紫薇路</w:t>
            </w:r>
            <w:r>
              <w:rPr>
                <w:rFonts w:hint="eastAsia" w:ascii="宋体" w:hAnsi="宋体" w:cs="宋体"/>
                <w:color w:val="auto"/>
                <w:sz w:val="21"/>
                <w:szCs w:val="21"/>
                <w:highlight w:val="none"/>
                <w:u w:val="single"/>
                <w:lang w:val="en-US" w:eastAsia="zh-CN"/>
              </w:rPr>
              <w:t>50</w:t>
            </w:r>
            <w:r>
              <w:rPr>
                <w:rFonts w:hint="eastAsia" w:ascii="宋体" w:hAnsi="宋体" w:cs="宋体"/>
                <w:color w:val="auto"/>
                <w:sz w:val="21"/>
                <w:szCs w:val="21"/>
                <w:highlight w:val="none"/>
                <w:u w:val="single"/>
              </w:rPr>
              <w:t>号</w:t>
            </w:r>
          </w:p>
          <w:p w14:paraId="553AAFC0">
            <w:pPr>
              <w:pStyle w:val="33"/>
              <w:kinsoku w:val="0"/>
              <w:overflowPunct w:val="0"/>
              <w:adjustRightInd/>
              <w:jc w:val="both"/>
              <w:rPr>
                <w:rFonts w:ascii="宋体" w:hAnsi="宋体" w:cs="宋体"/>
                <w:color w:val="auto"/>
                <w:sz w:val="21"/>
                <w:szCs w:val="21"/>
                <w:highlight w:val="none"/>
              </w:rPr>
            </w:pPr>
            <w:r>
              <w:rPr>
                <w:rFonts w:hint="eastAsia" w:ascii="宋体" w:hAnsi="宋体" w:cs="宋体"/>
                <w:color w:val="auto"/>
                <w:sz w:val="21"/>
                <w:szCs w:val="21"/>
                <w:highlight w:val="none"/>
              </w:rPr>
              <w:t>联系人：</w:t>
            </w:r>
            <w:r>
              <w:rPr>
                <w:rFonts w:hint="eastAsia" w:ascii="宋体" w:hAnsi="宋体" w:cs="宋体"/>
                <w:color w:val="auto"/>
                <w:sz w:val="21"/>
                <w:szCs w:val="21"/>
                <w:highlight w:val="none"/>
                <w:u w:val="single"/>
              </w:rPr>
              <w:t>徐韦婷</w:t>
            </w:r>
          </w:p>
          <w:p w14:paraId="6F6C3669">
            <w:pPr>
              <w:pStyle w:val="33"/>
              <w:kinsoku w:val="0"/>
              <w:overflowPunct w:val="0"/>
              <w:adjustRightInd/>
              <w:jc w:val="both"/>
              <w:rPr>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020-37764019</w:t>
            </w:r>
          </w:p>
        </w:tc>
      </w:tr>
      <w:tr w14:paraId="6B15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90F3C8C">
            <w:pPr>
              <w:pStyle w:val="33"/>
              <w:kinsoku w:val="0"/>
              <w:overflowPunct w:val="0"/>
              <w:jc w:val="center"/>
              <w:rPr>
                <w:color w:val="auto"/>
                <w:sz w:val="21"/>
                <w:highlight w:val="none"/>
              </w:rPr>
            </w:pPr>
            <w:r>
              <w:rPr>
                <w:rFonts w:hint="eastAsia" w:eastAsia="Times New Roman"/>
                <w:color w:val="auto"/>
                <w:sz w:val="21"/>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F61AB0A">
            <w:pPr>
              <w:pStyle w:val="33"/>
              <w:kinsoku w:val="0"/>
              <w:overflowPunct w:val="0"/>
              <w:jc w:val="both"/>
              <w:rPr>
                <w:color w:val="auto"/>
                <w:sz w:val="21"/>
                <w:highlight w:val="none"/>
              </w:rPr>
            </w:pPr>
            <w:r>
              <w:rPr>
                <w:rFonts w:ascii="宋体" w:hAnsi="宋体"/>
                <w:color w:val="auto"/>
                <w:sz w:val="21"/>
                <w:highlight w:val="none"/>
              </w:rPr>
              <w:t>招标代理机构</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818C43F">
            <w:pPr>
              <w:snapToGrid w:val="0"/>
              <w:spacing w:line="276" w:lineRule="auto"/>
              <w:rPr>
                <w:rFonts w:ascii="宋体" w:hAnsi="宋体"/>
                <w:color w:val="auto"/>
                <w:sz w:val="21"/>
                <w:szCs w:val="21"/>
                <w:highlight w:val="none"/>
              </w:rPr>
            </w:pPr>
            <w:r>
              <w:rPr>
                <w:rFonts w:ascii="宋体" w:hAnsi="宋体"/>
                <w:color w:val="auto"/>
                <w:sz w:val="21"/>
                <w:szCs w:val="21"/>
                <w:highlight w:val="none"/>
              </w:rPr>
              <w:t>名称：</w:t>
            </w:r>
            <w:r>
              <w:rPr>
                <w:rFonts w:hint="eastAsia" w:ascii="宋体" w:hAnsi="宋体" w:cs="宋体"/>
                <w:color w:val="auto"/>
                <w:sz w:val="21"/>
                <w:szCs w:val="21"/>
                <w:highlight w:val="none"/>
                <w:u w:val="single"/>
              </w:rPr>
              <w:t>华联世纪工程咨询股份有限公司</w:t>
            </w:r>
          </w:p>
          <w:p w14:paraId="4213FA73">
            <w:pPr>
              <w:snapToGrid w:val="0"/>
              <w:spacing w:line="276" w:lineRule="auto"/>
              <w:rPr>
                <w:rFonts w:ascii="宋体" w:hAnsi="宋体"/>
                <w:color w:val="auto"/>
                <w:sz w:val="21"/>
                <w:szCs w:val="21"/>
                <w:highlight w:val="none"/>
              </w:rPr>
            </w:pPr>
            <w:r>
              <w:rPr>
                <w:rFonts w:ascii="宋体" w:hAnsi="宋体"/>
                <w:color w:val="auto"/>
                <w:sz w:val="21"/>
                <w:szCs w:val="21"/>
                <w:highlight w:val="none"/>
              </w:rPr>
              <w:t>地址：</w:t>
            </w:r>
            <w:r>
              <w:rPr>
                <w:rFonts w:hint="eastAsia" w:ascii="宋体" w:hAnsi="宋体"/>
                <w:color w:val="auto"/>
                <w:sz w:val="21"/>
                <w:szCs w:val="21"/>
                <w:highlight w:val="none"/>
                <w:u w:val="single"/>
              </w:rPr>
              <w:t>广州市越秀区盘福大街富田中心6-9层</w:t>
            </w:r>
          </w:p>
          <w:p w14:paraId="56D5D9E6">
            <w:pPr>
              <w:snapToGrid w:val="0"/>
              <w:spacing w:line="276" w:lineRule="auto"/>
              <w:rPr>
                <w:rFonts w:ascii="宋体" w:hAnsi="宋体"/>
                <w:color w:val="auto"/>
                <w:sz w:val="21"/>
                <w:szCs w:val="21"/>
                <w:highlight w:val="none"/>
              </w:rPr>
            </w:pPr>
            <w:r>
              <w:rPr>
                <w:rFonts w:ascii="宋体" w:hAnsi="宋体"/>
                <w:color w:val="auto"/>
                <w:sz w:val="21"/>
                <w:szCs w:val="21"/>
                <w:highlight w:val="none"/>
              </w:rPr>
              <w:t>联系人</w:t>
            </w:r>
            <w:r>
              <w:rPr>
                <w:rFonts w:ascii="宋体" w:hAnsi="宋体"/>
                <w:color w:val="auto"/>
                <w:sz w:val="21"/>
                <w:szCs w:val="21"/>
                <w:highlight w:val="none"/>
                <w:u w:val="single"/>
              </w:rPr>
              <w:t>：</w:t>
            </w:r>
            <w:r>
              <w:rPr>
                <w:rFonts w:hint="eastAsia" w:ascii="宋体" w:hAnsi="宋体" w:cs="宋体"/>
                <w:color w:val="auto"/>
                <w:sz w:val="21"/>
                <w:szCs w:val="21"/>
                <w:highlight w:val="none"/>
                <w:u w:val="single"/>
              </w:rPr>
              <w:t>王志成、黄金献</w:t>
            </w:r>
            <w:r>
              <w:rPr>
                <w:rFonts w:hint="eastAsia" w:ascii="宋体" w:hAnsi="宋体" w:cs="宋体"/>
                <w:color w:val="auto"/>
                <w:sz w:val="21"/>
                <w:szCs w:val="21"/>
                <w:highlight w:val="none"/>
              </w:rPr>
              <w:t xml:space="preserve"> </w:t>
            </w:r>
          </w:p>
          <w:p w14:paraId="77F9869C">
            <w:pPr>
              <w:pStyle w:val="33"/>
              <w:kinsoku w:val="0"/>
              <w:overflowPunct w:val="0"/>
              <w:spacing w:line="360" w:lineRule="auto"/>
              <w:jc w:val="both"/>
              <w:rPr>
                <w:color w:val="auto"/>
                <w:sz w:val="21"/>
                <w:szCs w:val="21"/>
                <w:highlight w:val="none"/>
              </w:rPr>
            </w:pPr>
            <w:r>
              <w:rPr>
                <w:rFonts w:ascii="宋体" w:hAnsi="宋体"/>
                <w:color w:val="auto"/>
                <w:sz w:val="21"/>
                <w:szCs w:val="21"/>
                <w:highlight w:val="none"/>
              </w:rPr>
              <w:t>电话：</w:t>
            </w:r>
            <w:r>
              <w:rPr>
                <w:rFonts w:hint="eastAsia" w:ascii="宋体" w:hAnsi="宋体" w:cs="宋体"/>
                <w:color w:val="auto"/>
                <w:sz w:val="21"/>
                <w:szCs w:val="21"/>
                <w:highlight w:val="none"/>
                <w:u w:val="single"/>
              </w:rPr>
              <w:t>020-37063336/020-37063447</w:t>
            </w:r>
            <w:r>
              <w:rPr>
                <w:rFonts w:hint="eastAsia" w:ascii="宋体" w:hAnsi="宋体" w:cs="宋体"/>
                <w:color w:val="auto"/>
                <w:sz w:val="21"/>
                <w:szCs w:val="21"/>
                <w:highlight w:val="none"/>
              </w:rPr>
              <w:t xml:space="preserve"> </w:t>
            </w:r>
          </w:p>
        </w:tc>
      </w:tr>
      <w:tr w14:paraId="1BCE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C1BF488">
            <w:pPr>
              <w:pStyle w:val="33"/>
              <w:kinsoku w:val="0"/>
              <w:overflowPunct w:val="0"/>
              <w:jc w:val="center"/>
              <w:rPr>
                <w:color w:val="auto"/>
                <w:sz w:val="21"/>
                <w:highlight w:val="none"/>
              </w:rPr>
            </w:pPr>
            <w:r>
              <w:rPr>
                <w:rFonts w:hint="eastAsia" w:eastAsia="Times New Roman"/>
                <w:color w:val="auto"/>
                <w:sz w:val="21"/>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CA7C25D">
            <w:pPr>
              <w:pStyle w:val="33"/>
              <w:kinsoku w:val="0"/>
              <w:overflowPunct w:val="0"/>
              <w:jc w:val="both"/>
              <w:rPr>
                <w:color w:val="auto"/>
                <w:sz w:val="21"/>
                <w:highlight w:val="none"/>
              </w:rPr>
            </w:pPr>
            <w:r>
              <w:rPr>
                <w:rFonts w:ascii="宋体" w:hAnsi="宋体"/>
                <w:color w:val="auto"/>
                <w:sz w:val="21"/>
                <w:highlight w:val="none"/>
              </w:rPr>
              <w:t>招标项目名称</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07251434">
            <w:pPr>
              <w:jc w:val="both"/>
              <w:rPr>
                <w:color w:val="auto"/>
                <w:sz w:val="21"/>
                <w:szCs w:val="21"/>
                <w:highlight w:val="none"/>
              </w:rPr>
            </w:pPr>
            <w:r>
              <w:rPr>
                <w:rFonts w:hint="eastAsia" w:ascii="宋体" w:hAnsi="宋体"/>
                <w:color w:val="auto"/>
                <w:sz w:val="21"/>
                <w:szCs w:val="21"/>
                <w:highlight w:val="none"/>
                <w:u w:val="single"/>
              </w:rPr>
              <w:t>花都区花城街农村污水提升改造工程监理</w:t>
            </w:r>
          </w:p>
        </w:tc>
      </w:tr>
      <w:tr w14:paraId="1E7B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6DBB312">
            <w:pPr>
              <w:pStyle w:val="33"/>
              <w:kinsoku w:val="0"/>
              <w:overflowPunct w:val="0"/>
              <w:jc w:val="center"/>
              <w:rPr>
                <w:color w:val="auto"/>
                <w:sz w:val="21"/>
                <w:highlight w:val="none"/>
              </w:rPr>
            </w:pPr>
            <w:r>
              <w:rPr>
                <w:rFonts w:hint="eastAsia" w:eastAsia="Times New Roman"/>
                <w:color w:val="auto"/>
                <w:sz w:val="21"/>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05E0F65">
            <w:pPr>
              <w:pStyle w:val="33"/>
              <w:kinsoku w:val="0"/>
              <w:overflowPunct w:val="0"/>
              <w:jc w:val="both"/>
              <w:rPr>
                <w:color w:val="auto"/>
                <w:sz w:val="21"/>
                <w:highlight w:val="none"/>
              </w:rPr>
            </w:pPr>
            <w:r>
              <w:rPr>
                <w:rFonts w:ascii="宋体" w:hAnsi="宋体"/>
                <w:color w:val="auto"/>
                <w:sz w:val="21"/>
                <w:highlight w:val="none"/>
              </w:rPr>
              <w:t>项目建设地点</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473DE72A">
            <w:pPr>
              <w:spacing w:line="360" w:lineRule="auto"/>
              <w:rPr>
                <w:color w:val="auto"/>
                <w:sz w:val="21"/>
                <w:szCs w:val="21"/>
                <w:highlight w:val="none"/>
              </w:rPr>
            </w:pPr>
            <w:r>
              <w:rPr>
                <w:rFonts w:hint="eastAsia" w:ascii="宋体" w:hAnsi="宋体"/>
                <w:color w:val="auto"/>
                <w:sz w:val="21"/>
                <w:szCs w:val="21"/>
                <w:highlight w:val="none"/>
                <w:u w:val="single"/>
              </w:rPr>
              <w:t>详见招标公告。</w:t>
            </w:r>
          </w:p>
        </w:tc>
      </w:tr>
      <w:tr w14:paraId="2C17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3FA0BD5">
            <w:pPr>
              <w:pStyle w:val="33"/>
              <w:kinsoku w:val="0"/>
              <w:overflowPunct w:val="0"/>
              <w:jc w:val="center"/>
              <w:rPr>
                <w:color w:val="auto"/>
                <w:sz w:val="21"/>
                <w:highlight w:val="none"/>
              </w:rPr>
            </w:pPr>
            <w:r>
              <w:rPr>
                <w:rFonts w:hint="eastAsia" w:eastAsia="Times New Roman"/>
                <w:color w:val="auto"/>
                <w:sz w:val="21"/>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2B2C90B">
            <w:pPr>
              <w:pStyle w:val="33"/>
              <w:kinsoku w:val="0"/>
              <w:overflowPunct w:val="0"/>
              <w:jc w:val="both"/>
              <w:rPr>
                <w:color w:val="auto"/>
                <w:sz w:val="21"/>
                <w:highlight w:val="none"/>
              </w:rPr>
            </w:pPr>
            <w:r>
              <w:rPr>
                <w:rFonts w:ascii="宋体" w:hAnsi="宋体"/>
                <w:color w:val="auto"/>
                <w:sz w:val="21"/>
                <w:highlight w:val="none"/>
              </w:rPr>
              <w:t>项目建设规模</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E7F0FE3">
            <w:pPr>
              <w:spacing w:line="360" w:lineRule="auto"/>
              <w:rPr>
                <w:color w:val="auto"/>
                <w:sz w:val="21"/>
                <w:szCs w:val="21"/>
                <w:highlight w:val="none"/>
              </w:rPr>
            </w:pPr>
            <w:r>
              <w:rPr>
                <w:rFonts w:hint="eastAsia" w:ascii="宋体" w:hAnsi="宋体"/>
                <w:color w:val="auto"/>
                <w:sz w:val="21"/>
                <w:szCs w:val="21"/>
                <w:highlight w:val="none"/>
                <w:u w:val="single"/>
              </w:rPr>
              <w:t>详见招标公告。</w:t>
            </w:r>
          </w:p>
        </w:tc>
      </w:tr>
      <w:tr w14:paraId="0403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4DBA093">
            <w:pPr>
              <w:pStyle w:val="33"/>
              <w:kinsoku w:val="0"/>
              <w:overflowPunct w:val="0"/>
              <w:jc w:val="center"/>
              <w:rPr>
                <w:color w:val="auto"/>
                <w:sz w:val="21"/>
                <w:highlight w:val="none"/>
              </w:rPr>
            </w:pPr>
            <w:r>
              <w:rPr>
                <w:rFonts w:hint="eastAsia" w:eastAsia="Times New Roman"/>
                <w:color w:val="auto"/>
                <w:sz w:val="21"/>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5F3188E">
            <w:pPr>
              <w:pStyle w:val="33"/>
              <w:kinsoku w:val="0"/>
              <w:overflowPunct w:val="0"/>
              <w:jc w:val="both"/>
              <w:rPr>
                <w:color w:val="auto"/>
                <w:sz w:val="21"/>
                <w:highlight w:val="none"/>
              </w:rPr>
            </w:pPr>
            <w:r>
              <w:rPr>
                <w:rFonts w:ascii="宋体" w:hAnsi="宋体"/>
                <w:color w:val="auto"/>
                <w:sz w:val="21"/>
                <w:highlight w:val="none"/>
              </w:rPr>
              <w:t>工程项目施工预计开工日期和建设周期</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518FB0D">
            <w:pPr>
              <w:snapToGrid w:val="0"/>
              <w:jc w:val="both"/>
              <w:rPr>
                <w:rFonts w:ascii="宋体" w:hAnsi="宋体" w:cs="宋体"/>
                <w:color w:val="auto"/>
                <w:sz w:val="21"/>
                <w:szCs w:val="21"/>
                <w:highlight w:val="none"/>
              </w:rPr>
            </w:pPr>
            <w:r>
              <w:rPr>
                <w:rFonts w:hint="eastAsia" w:ascii="宋体" w:hAnsi="宋体" w:cs="宋体"/>
                <w:color w:val="auto"/>
                <w:sz w:val="21"/>
                <w:szCs w:val="21"/>
                <w:highlight w:val="none"/>
              </w:rPr>
              <w:t>工程项目施工预计开工日期：开工</w:t>
            </w:r>
            <w:r>
              <w:rPr>
                <w:rFonts w:ascii="宋体" w:hAnsi="宋体" w:cs="宋体"/>
                <w:color w:val="auto"/>
                <w:sz w:val="21"/>
                <w:szCs w:val="21"/>
                <w:highlight w:val="none"/>
              </w:rPr>
              <w:t>时间</w:t>
            </w:r>
            <w:r>
              <w:rPr>
                <w:rFonts w:hint="eastAsia" w:ascii="宋体" w:hAnsi="宋体" w:cs="宋体"/>
                <w:color w:val="auto"/>
                <w:sz w:val="21"/>
                <w:szCs w:val="21"/>
                <w:highlight w:val="none"/>
              </w:rPr>
              <w:t>以委托人通知为准；</w:t>
            </w:r>
          </w:p>
          <w:p w14:paraId="139E353E">
            <w:pPr>
              <w:snapToGrid w:val="0"/>
              <w:jc w:val="both"/>
              <w:rPr>
                <w:color w:val="auto"/>
                <w:sz w:val="21"/>
                <w:szCs w:val="21"/>
                <w:highlight w:val="none"/>
              </w:rPr>
            </w:pPr>
            <w:r>
              <w:rPr>
                <w:color w:val="auto"/>
                <w:sz w:val="21"/>
                <w:szCs w:val="21"/>
                <w:highlight w:val="none"/>
              </w:rPr>
              <w:t>项目前期准备阶段（包括项目策划（含配合征拆）、勘察设计报审、勘察、设计监理、检测方案编审等）；</w:t>
            </w:r>
          </w:p>
          <w:p w14:paraId="742593B8">
            <w:pPr>
              <w:snapToGrid w:val="0"/>
              <w:jc w:val="both"/>
              <w:rPr>
                <w:color w:val="auto"/>
                <w:sz w:val="21"/>
                <w:szCs w:val="21"/>
                <w:highlight w:val="none"/>
              </w:rPr>
            </w:pPr>
            <w:r>
              <w:rPr>
                <w:color w:val="auto"/>
                <w:sz w:val="21"/>
                <w:szCs w:val="21"/>
                <w:highlight w:val="none"/>
              </w:rPr>
              <w:t>施工准备阶段监理工期：从中标通知书发放之日起至业主下达开工令或开工报告审批之日为止；</w:t>
            </w:r>
          </w:p>
          <w:p w14:paraId="33DD0C09">
            <w:pPr>
              <w:snapToGrid w:val="0"/>
              <w:jc w:val="both"/>
              <w:rPr>
                <w:color w:val="auto"/>
                <w:sz w:val="21"/>
                <w:szCs w:val="21"/>
                <w:highlight w:val="none"/>
              </w:rPr>
            </w:pPr>
            <w:r>
              <w:rPr>
                <w:color w:val="auto"/>
                <w:sz w:val="21"/>
                <w:szCs w:val="21"/>
                <w:highlight w:val="none"/>
              </w:rPr>
              <w:t>施工阶段监理工期：从业主下达开工令或开工报告审批之日起至施工项目全部完工并办理竣工验收、竣工结算、备案管理为止；</w:t>
            </w:r>
          </w:p>
          <w:p w14:paraId="1D2F5834">
            <w:pPr>
              <w:snapToGrid w:val="0"/>
              <w:jc w:val="both"/>
              <w:rPr>
                <w:color w:val="auto"/>
                <w:sz w:val="21"/>
                <w:szCs w:val="21"/>
                <w:highlight w:val="none"/>
              </w:rPr>
            </w:pPr>
            <w:r>
              <w:rPr>
                <w:color w:val="auto"/>
                <w:sz w:val="21"/>
                <w:szCs w:val="21"/>
                <w:highlight w:val="none"/>
              </w:rPr>
              <w:t>竣工结算期：从竣工验收完成开始至竣工结算完成为止。</w:t>
            </w:r>
          </w:p>
          <w:p w14:paraId="116BBCE0">
            <w:pPr>
              <w:snapToGrid w:val="0"/>
              <w:jc w:val="both"/>
              <w:rPr>
                <w:color w:val="auto"/>
                <w:sz w:val="21"/>
                <w:szCs w:val="21"/>
                <w:highlight w:val="none"/>
              </w:rPr>
            </w:pPr>
            <w:r>
              <w:rPr>
                <w:color w:val="auto"/>
                <w:sz w:val="21"/>
                <w:szCs w:val="21"/>
                <w:highlight w:val="none"/>
              </w:rPr>
              <w:t>保修阶段监理工期：从工程竣工验收合格、备案管理完成之日起计，按对应施工合同的有关规定，至保修期满无质量缺陷为止；</w:t>
            </w:r>
          </w:p>
        </w:tc>
      </w:tr>
      <w:tr w14:paraId="3081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A8D9653">
            <w:pPr>
              <w:pStyle w:val="33"/>
              <w:kinsoku w:val="0"/>
              <w:overflowPunct w:val="0"/>
              <w:jc w:val="center"/>
              <w:rPr>
                <w:color w:val="auto"/>
                <w:sz w:val="21"/>
                <w:highlight w:val="none"/>
              </w:rPr>
            </w:pPr>
            <w:r>
              <w:rPr>
                <w:rFonts w:hint="eastAsia" w:eastAsia="Times New Roman"/>
                <w:color w:val="auto"/>
                <w:sz w:val="21"/>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7464B6F">
            <w:pPr>
              <w:pStyle w:val="33"/>
              <w:kinsoku w:val="0"/>
              <w:overflowPunct w:val="0"/>
              <w:jc w:val="both"/>
              <w:rPr>
                <w:color w:val="auto"/>
                <w:sz w:val="21"/>
                <w:highlight w:val="none"/>
              </w:rPr>
            </w:pPr>
            <w:r>
              <w:rPr>
                <w:rFonts w:ascii="宋体" w:hAnsi="宋体"/>
                <w:color w:val="auto"/>
                <w:sz w:val="21"/>
                <w:highlight w:val="none"/>
              </w:rPr>
              <w:t>建筑安装工程费</w:t>
            </w:r>
            <w:r>
              <w:rPr>
                <w:rFonts w:hint="eastAsia" w:eastAsia="Times New Roman"/>
                <w:color w:val="auto"/>
                <w:sz w:val="21"/>
                <w:highlight w:val="none"/>
              </w:rPr>
              <w:t>/</w:t>
            </w:r>
            <w:r>
              <w:rPr>
                <w:rFonts w:ascii="宋体" w:hAnsi="宋体"/>
                <w:color w:val="auto"/>
                <w:sz w:val="21"/>
                <w:highlight w:val="none"/>
              </w:rPr>
              <w:t>工程概算</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2B548DA">
            <w:pPr>
              <w:spacing w:line="360" w:lineRule="auto"/>
              <w:rPr>
                <w:rFonts w:hint="eastAsia" w:eastAsia="宋体"/>
                <w:color w:val="auto"/>
                <w:sz w:val="21"/>
                <w:szCs w:val="21"/>
                <w:highlight w:val="none"/>
                <w:lang w:eastAsia="zh-CN"/>
              </w:rPr>
            </w:pPr>
            <w:r>
              <w:rPr>
                <w:rFonts w:hint="eastAsia" w:ascii="宋体" w:hAnsi="宋体"/>
                <w:color w:val="auto"/>
                <w:sz w:val="21"/>
                <w:szCs w:val="21"/>
                <w:highlight w:val="none"/>
                <w:u w:val="single"/>
                <w:lang w:eastAsia="zh-CN"/>
              </w:rPr>
              <w:t>本项目的概算23479.42万元，其中工程费用18636.29万元，工程建设其他费用3725.06万元，预备费用1118.07万元。</w:t>
            </w:r>
          </w:p>
        </w:tc>
      </w:tr>
      <w:tr w14:paraId="7FF1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13FBCD0">
            <w:pPr>
              <w:pStyle w:val="33"/>
              <w:kinsoku w:val="0"/>
              <w:overflowPunct w:val="0"/>
              <w:jc w:val="center"/>
              <w:rPr>
                <w:color w:val="auto"/>
                <w:sz w:val="21"/>
                <w:highlight w:val="none"/>
              </w:rPr>
            </w:pPr>
            <w:r>
              <w:rPr>
                <w:rFonts w:hint="eastAsia" w:eastAsia="Times New Roman"/>
                <w:color w:val="auto"/>
                <w:sz w:val="21"/>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CA0337A">
            <w:pPr>
              <w:pStyle w:val="33"/>
              <w:kinsoku w:val="0"/>
              <w:overflowPunct w:val="0"/>
              <w:jc w:val="both"/>
              <w:rPr>
                <w:color w:val="auto"/>
                <w:sz w:val="21"/>
                <w:highlight w:val="none"/>
              </w:rPr>
            </w:pPr>
            <w:r>
              <w:rPr>
                <w:rFonts w:ascii="宋体" w:hAnsi="宋体"/>
                <w:color w:val="auto"/>
                <w:sz w:val="21"/>
                <w:highlight w:val="none"/>
              </w:rPr>
              <w:t>资金来源及比例</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6D998AE4">
            <w:pPr>
              <w:spacing w:line="360" w:lineRule="auto"/>
              <w:rPr>
                <w:color w:val="auto"/>
                <w:sz w:val="21"/>
                <w:szCs w:val="21"/>
                <w:highlight w:val="none"/>
              </w:rPr>
            </w:pPr>
            <w:r>
              <w:rPr>
                <w:rFonts w:hint="eastAsia" w:ascii="宋体" w:hAnsi="宋体"/>
                <w:color w:val="auto"/>
                <w:sz w:val="21"/>
                <w:szCs w:val="21"/>
                <w:highlight w:val="none"/>
                <w:u w:val="single"/>
              </w:rPr>
              <w:t>详见招标公告。</w:t>
            </w:r>
          </w:p>
        </w:tc>
      </w:tr>
      <w:tr w14:paraId="6228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5AE1A71">
            <w:pPr>
              <w:pStyle w:val="33"/>
              <w:kinsoku w:val="0"/>
              <w:overflowPunct w:val="0"/>
              <w:jc w:val="center"/>
              <w:rPr>
                <w:color w:val="auto"/>
                <w:sz w:val="21"/>
                <w:highlight w:val="none"/>
              </w:rPr>
            </w:pPr>
            <w:r>
              <w:rPr>
                <w:rFonts w:hint="eastAsia" w:eastAsia="Times New Roman"/>
                <w:color w:val="auto"/>
                <w:sz w:val="21"/>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4BF6BD2">
            <w:pPr>
              <w:pStyle w:val="33"/>
              <w:kinsoku w:val="0"/>
              <w:overflowPunct w:val="0"/>
              <w:jc w:val="both"/>
              <w:rPr>
                <w:color w:val="auto"/>
                <w:sz w:val="21"/>
                <w:highlight w:val="none"/>
              </w:rPr>
            </w:pPr>
            <w:r>
              <w:rPr>
                <w:rFonts w:ascii="宋体" w:hAnsi="宋体"/>
                <w:color w:val="auto"/>
                <w:sz w:val="21"/>
                <w:highlight w:val="none"/>
              </w:rPr>
              <w:t>资金落实情况</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0513E83D">
            <w:pPr>
              <w:spacing w:line="360" w:lineRule="auto"/>
              <w:rPr>
                <w:color w:val="auto"/>
                <w:sz w:val="21"/>
                <w:szCs w:val="21"/>
                <w:highlight w:val="none"/>
              </w:rPr>
            </w:pPr>
            <w:r>
              <w:rPr>
                <w:rFonts w:hint="eastAsia" w:ascii="宋体" w:hAnsi="宋体"/>
                <w:color w:val="auto"/>
                <w:sz w:val="21"/>
                <w:szCs w:val="21"/>
                <w:highlight w:val="none"/>
                <w:u w:val="single"/>
              </w:rPr>
              <w:t>已落实。</w:t>
            </w:r>
          </w:p>
        </w:tc>
      </w:tr>
      <w:tr w14:paraId="32AA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D5793B4">
            <w:pPr>
              <w:pStyle w:val="33"/>
              <w:kinsoku w:val="0"/>
              <w:overflowPunct w:val="0"/>
              <w:jc w:val="center"/>
              <w:rPr>
                <w:color w:val="auto"/>
                <w:sz w:val="21"/>
                <w:highlight w:val="none"/>
              </w:rPr>
            </w:pPr>
            <w:r>
              <w:rPr>
                <w:rFonts w:hint="eastAsia" w:eastAsia="Times New Roman"/>
                <w:color w:val="auto"/>
                <w:sz w:val="21"/>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2693350">
            <w:pPr>
              <w:pStyle w:val="33"/>
              <w:kinsoku w:val="0"/>
              <w:overflowPunct w:val="0"/>
              <w:jc w:val="both"/>
              <w:rPr>
                <w:color w:val="auto"/>
                <w:sz w:val="21"/>
                <w:highlight w:val="none"/>
              </w:rPr>
            </w:pPr>
            <w:r>
              <w:rPr>
                <w:rFonts w:ascii="宋体" w:hAnsi="宋体"/>
                <w:color w:val="auto"/>
                <w:sz w:val="21"/>
                <w:highlight w:val="none"/>
              </w:rPr>
              <w:t>招标范围</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12AFF98C">
            <w:pPr>
              <w:spacing w:line="360" w:lineRule="auto"/>
              <w:rPr>
                <w:color w:val="auto"/>
                <w:sz w:val="21"/>
                <w:szCs w:val="21"/>
                <w:highlight w:val="none"/>
              </w:rPr>
            </w:pPr>
            <w:r>
              <w:rPr>
                <w:rFonts w:hint="eastAsia" w:ascii="宋体" w:hAnsi="宋体"/>
                <w:color w:val="auto"/>
                <w:sz w:val="21"/>
                <w:szCs w:val="21"/>
                <w:highlight w:val="none"/>
                <w:u w:val="single"/>
              </w:rPr>
              <w:t>详见招标公告。</w:t>
            </w:r>
          </w:p>
        </w:tc>
      </w:tr>
      <w:tr w14:paraId="5151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36FB5BD">
            <w:pPr>
              <w:pStyle w:val="33"/>
              <w:kinsoku w:val="0"/>
              <w:overflowPunct w:val="0"/>
              <w:jc w:val="center"/>
              <w:rPr>
                <w:color w:val="auto"/>
                <w:sz w:val="21"/>
                <w:highlight w:val="none"/>
              </w:rPr>
            </w:pPr>
            <w:r>
              <w:rPr>
                <w:rFonts w:hint="eastAsia" w:eastAsia="Times New Roman"/>
                <w:color w:val="auto"/>
                <w:sz w:val="21"/>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C54F505">
            <w:pPr>
              <w:pStyle w:val="33"/>
              <w:kinsoku w:val="0"/>
              <w:overflowPunct w:val="0"/>
              <w:jc w:val="both"/>
              <w:rPr>
                <w:color w:val="auto"/>
                <w:sz w:val="21"/>
                <w:highlight w:val="none"/>
              </w:rPr>
            </w:pPr>
            <w:r>
              <w:rPr>
                <w:rFonts w:ascii="宋体" w:hAnsi="宋体"/>
                <w:color w:val="auto"/>
                <w:sz w:val="21"/>
                <w:highlight w:val="none"/>
              </w:rPr>
              <w:t>监理服务期限</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6D57134E">
            <w:pPr>
              <w:spacing w:line="360" w:lineRule="auto"/>
              <w:jc w:val="both"/>
              <w:rPr>
                <w:rFonts w:ascii="宋体" w:hAnsi="宋体"/>
                <w:color w:val="auto"/>
                <w:sz w:val="21"/>
                <w:szCs w:val="21"/>
                <w:highlight w:val="none"/>
                <w:u w:val="single"/>
              </w:rPr>
            </w:pPr>
            <w:r>
              <w:rPr>
                <w:rFonts w:ascii="宋体" w:hAnsi="宋体" w:eastAsia="宋体" w:cs="Times New Roman"/>
                <w:bCs w:val="0"/>
                <w:snapToGrid/>
                <w:color w:val="auto"/>
                <w:sz w:val="21"/>
                <w:szCs w:val="24"/>
                <w:highlight w:val="none"/>
              </w:rPr>
              <w:t>监理服务期自承包人收到中标通知书或参加由发包人组织的第一次进场动员会之日起算，至本项目工程保修期结束且本合同工程结算金额经政府结算终审部门审定之日止。监理服务期包括项目的</w:t>
            </w:r>
            <w:r>
              <w:rPr>
                <w:rFonts w:ascii="宋体" w:hAnsi="宋体" w:eastAsia="宋体" w:cs="Times New Roman"/>
                <w:snapToGrid/>
                <w:color w:val="auto"/>
                <w:sz w:val="21"/>
                <w:highlight w:val="none"/>
              </w:rPr>
              <w:t>前期准备阶段、</w:t>
            </w:r>
            <w:r>
              <w:rPr>
                <w:rFonts w:ascii="宋体" w:hAnsi="宋体" w:eastAsia="宋体" w:cs="Times New Roman"/>
                <w:bCs w:val="0"/>
                <w:snapToGrid/>
                <w:color w:val="auto"/>
                <w:sz w:val="21"/>
                <w:szCs w:val="24"/>
                <w:highlight w:val="none"/>
              </w:rPr>
              <w:t>施工准备阶段、施工阶段、工程收尾阶段和质量保修阶段，承包人须实行全过程监理服务。</w:t>
            </w:r>
          </w:p>
        </w:tc>
      </w:tr>
      <w:tr w14:paraId="663E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152BE01">
            <w:pPr>
              <w:pStyle w:val="33"/>
              <w:kinsoku w:val="0"/>
              <w:overflowPunct w:val="0"/>
              <w:jc w:val="center"/>
              <w:rPr>
                <w:color w:val="auto"/>
                <w:sz w:val="21"/>
                <w:highlight w:val="none"/>
              </w:rPr>
            </w:pPr>
            <w:r>
              <w:rPr>
                <w:rFonts w:hint="eastAsia" w:eastAsia="Times New Roman"/>
                <w:color w:val="auto"/>
                <w:sz w:val="21"/>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9E0AC55">
            <w:pPr>
              <w:pStyle w:val="33"/>
              <w:kinsoku w:val="0"/>
              <w:overflowPunct w:val="0"/>
              <w:jc w:val="both"/>
              <w:rPr>
                <w:color w:val="auto"/>
                <w:sz w:val="21"/>
                <w:highlight w:val="none"/>
              </w:rPr>
            </w:pPr>
            <w:r>
              <w:rPr>
                <w:rFonts w:ascii="宋体" w:hAnsi="宋体"/>
                <w:color w:val="auto"/>
                <w:sz w:val="21"/>
                <w:highlight w:val="none"/>
              </w:rPr>
              <w:t>质量标准</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06F4A734">
            <w:pPr>
              <w:jc w:val="both"/>
              <w:rPr>
                <w:color w:val="auto"/>
                <w:sz w:val="21"/>
                <w:szCs w:val="21"/>
                <w:highlight w:val="none"/>
              </w:rPr>
            </w:pPr>
            <w:r>
              <w:rPr>
                <w:rFonts w:hint="eastAsia"/>
                <w:color w:val="auto"/>
                <w:sz w:val="21"/>
                <w:szCs w:val="21"/>
                <w:highlight w:val="none"/>
                <w:u w:val="single"/>
              </w:rPr>
              <w:t>合格。</w:t>
            </w:r>
          </w:p>
        </w:tc>
      </w:tr>
      <w:tr w14:paraId="661A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ACBD7BA">
            <w:pPr>
              <w:pStyle w:val="33"/>
              <w:kinsoku w:val="0"/>
              <w:overflowPunct w:val="0"/>
              <w:jc w:val="center"/>
              <w:rPr>
                <w:color w:val="auto"/>
                <w:sz w:val="21"/>
                <w:highlight w:val="none"/>
              </w:rPr>
            </w:pPr>
            <w:r>
              <w:rPr>
                <w:rFonts w:hint="eastAsia" w:eastAsia="Times New Roman"/>
                <w:color w:val="auto"/>
                <w:sz w:val="21"/>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D87BBA2">
            <w:pPr>
              <w:pStyle w:val="33"/>
              <w:kinsoku w:val="0"/>
              <w:overflowPunct w:val="0"/>
              <w:jc w:val="both"/>
              <w:rPr>
                <w:color w:val="auto"/>
                <w:sz w:val="21"/>
                <w:highlight w:val="none"/>
              </w:rPr>
            </w:pPr>
            <w:r>
              <w:rPr>
                <w:rFonts w:ascii="宋体" w:hAnsi="宋体"/>
                <w:color w:val="auto"/>
                <w:sz w:val="21"/>
                <w:highlight w:val="none"/>
              </w:rPr>
              <w:t>投标人资质条件、能力、信誉</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44176DB6">
            <w:pPr>
              <w:pStyle w:val="33"/>
              <w:kinsoku w:val="0"/>
              <w:overflowPunct w:val="0"/>
              <w:jc w:val="both"/>
              <w:rPr>
                <w:rFonts w:ascii="宋体" w:hAnsi="宋体"/>
                <w:color w:val="auto"/>
                <w:sz w:val="21"/>
                <w:szCs w:val="21"/>
                <w:highlight w:val="none"/>
              </w:rPr>
            </w:pPr>
            <w:r>
              <w:rPr>
                <w:rFonts w:ascii="宋体" w:hAnsi="宋体"/>
                <w:color w:val="auto"/>
                <w:sz w:val="21"/>
                <w:szCs w:val="21"/>
                <w:highlight w:val="none"/>
              </w:rPr>
              <w:t>详见本项目招标公告。</w:t>
            </w:r>
          </w:p>
        </w:tc>
      </w:tr>
      <w:tr w14:paraId="7F01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38A3BD4">
            <w:pPr>
              <w:pStyle w:val="33"/>
              <w:kinsoku w:val="0"/>
              <w:overflowPunct w:val="0"/>
              <w:jc w:val="center"/>
              <w:rPr>
                <w:color w:val="auto"/>
                <w:sz w:val="21"/>
                <w:highlight w:val="none"/>
              </w:rPr>
            </w:pPr>
            <w:r>
              <w:rPr>
                <w:rFonts w:hint="eastAsia" w:eastAsia="Times New Roman"/>
                <w:color w:val="auto"/>
                <w:sz w:val="21"/>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3CFA653">
            <w:pPr>
              <w:pStyle w:val="33"/>
              <w:kinsoku w:val="0"/>
              <w:overflowPunct w:val="0"/>
              <w:jc w:val="both"/>
              <w:rPr>
                <w:color w:val="auto"/>
                <w:sz w:val="21"/>
                <w:highlight w:val="none"/>
              </w:rPr>
            </w:pPr>
            <w:r>
              <w:rPr>
                <w:rFonts w:ascii="宋体" w:hAnsi="宋体"/>
                <w:color w:val="auto"/>
                <w:sz w:val="21"/>
                <w:highlight w:val="none"/>
              </w:rPr>
              <w:t>是否接受联合体投标</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FEE18B1">
            <w:pPr>
              <w:pStyle w:val="33"/>
              <w:kinsoku w:val="0"/>
              <w:overflowPunct w:val="0"/>
              <w:jc w:val="both"/>
              <w:rPr>
                <w:rFonts w:ascii="宋体" w:hAnsi="宋体"/>
                <w:color w:val="auto"/>
                <w:sz w:val="21"/>
                <w:szCs w:val="21"/>
                <w:highlight w:val="none"/>
              </w:rPr>
            </w:pPr>
            <w:r>
              <w:rPr>
                <w:rFonts w:hint="eastAsia" w:eastAsia="Times New Roman"/>
                <w:color w:val="auto"/>
                <w:sz w:val="21"/>
                <w:szCs w:val="21"/>
                <w:highlight w:val="none"/>
              </w:rPr>
              <w:sym w:font="Wingdings 2" w:char="00A3"/>
            </w:r>
            <w:r>
              <w:rPr>
                <w:rFonts w:ascii="宋体" w:hAnsi="宋体"/>
                <w:color w:val="auto"/>
                <w:sz w:val="21"/>
                <w:szCs w:val="21"/>
                <w:highlight w:val="none"/>
              </w:rPr>
              <w:t>不接受</w:t>
            </w:r>
          </w:p>
          <w:p w14:paraId="6E3241A4">
            <w:pPr>
              <w:pStyle w:val="33"/>
              <w:kinsoku w:val="0"/>
              <w:overflowPunct w:val="0"/>
              <w:jc w:val="both"/>
              <w:rPr>
                <w:color w:val="auto"/>
                <w:sz w:val="21"/>
                <w:szCs w:val="21"/>
                <w:highlight w:val="none"/>
              </w:rPr>
            </w:pPr>
            <w:r>
              <w:rPr>
                <w:rFonts w:hint="eastAsia" w:eastAsia="Times New Roman"/>
                <w:color w:val="auto"/>
                <w:sz w:val="21"/>
                <w:szCs w:val="21"/>
                <w:highlight w:val="none"/>
              </w:rPr>
              <w:sym w:font="Wingdings 2" w:char="0052"/>
            </w:r>
            <w:r>
              <w:rPr>
                <w:rFonts w:ascii="宋体" w:hAnsi="宋体"/>
                <w:color w:val="auto"/>
                <w:sz w:val="21"/>
                <w:szCs w:val="21"/>
                <w:highlight w:val="none"/>
              </w:rPr>
              <w:t>接受，应满足下列要求：：</w:t>
            </w:r>
            <w:r>
              <w:rPr>
                <w:rFonts w:hint="eastAsia" w:ascii="宋体" w:hAnsi="宋体"/>
                <w:color w:val="auto"/>
                <w:sz w:val="21"/>
                <w:szCs w:val="21"/>
                <w:highlight w:val="none"/>
              </w:rPr>
              <w:t>详见招标公告。</w:t>
            </w:r>
          </w:p>
        </w:tc>
      </w:tr>
      <w:tr w14:paraId="41B9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57610B9">
            <w:pPr>
              <w:pStyle w:val="33"/>
              <w:kinsoku w:val="0"/>
              <w:overflowPunct w:val="0"/>
              <w:jc w:val="center"/>
              <w:rPr>
                <w:rFonts w:ascii="宋体" w:hAnsi="宋体" w:cs="宋体"/>
                <w:b/>
                <w:color w:val="auto"/>
                <w:sz w:val="21"/>
                <w:szCs w:val="21"/>
                <w:highlight w:val="none"/>
              </w:rPr>
            </w:pPr>
            <w:r>
              <w:rPr>
                <w:rFonts w:hint="eastAsia" w:eastAsia="Times New Roman"/>
                <w:color w:val="auto"/>
                <w:sz w:val="21"/>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580F27F">
            <w:pPr>
              <w:pStyle w:val="33"/>
              <w:kinsoku w:val="0"/>
              <w:overflowPunct w:val="0"/>
              <w:jc w:val="both"/>
              <w:rPr>
                <w:rFonts w:ascii="宋体" w:hAnsi="宋体" w:cs="宋体"/>
                <w:b/>
                <w:color w:val="auto"/>
                <w:sz w:val="21"/>
                <w:szCs w:val="21"/>
                <w:highlight w:val="none"/>
              </w:rPr>
            </w:pPr>
            <w:r>
              <w:rPr>
                <w:rFonts w:ascii="宋体" w:hAnsi="宋体"/>
                <w:color w:val="auto"/>
                <w:sz w:val="21"/>
                <w:highlight w:val="none"/>
              </w:rPr>
              <w:t>投标人不得存在的其他情形</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21B729AA">
            <w:pPr>
              <w:jc w:val="both"/>
              <w:rPr>
                <w:rFonts w:ascii="宋体" w:hAnsi="宋体" w:cs="宋体"/>
                <w:b/>
                <w:color w:val="auto"/>
                <w:sz w:val="21"/>
                <w:szCs w:val="21"/>
                <w:highlight w:val="none"/>
              </w:rPr>
            </w:pPr>
            <w:r>
              <w:rPr>
                <w:rFonts w:hint="eastAsia" w:ascii="宋体" w:hAnsi="宋体"/>
                <w:color w:val="auto"/>
                <w:sz w:val="21"/>
                <w:szCs w:val="21"/>
                <w:highlight w:val="none"/>
                <w:u w:val="single"/>
              </w:rPr>
              <w:t xml:space="preserve"> /  </w:t>
            </w:r>
          </w:p>
        </w:tc>
      </w:tr>
      <w:tr w14:paraId="1035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31BFD98">
            <w:pPr>
              <w:pStyle w:val="33"/>
              <w:kinsoku w:val="0"/>
              <w:overflowPunct w:val="0"/>
              <w:jc w:val="center"/>
              <w:rPr>
                <w:rFonts w:ascii="宋体" w:hAnsi="宋体" w:cs="宋体"/>
                <w:b/>
                <w:color w:val="auto"/>
                <w:sz w:val="21"/>
                <w:szCs w:val="21"/>
                <w:highlight w:val="none"/>
              </w:rPr>
            </w:pPr>
            <w:r>
              <w:rPr>
                <w:rFonts w:hint="eastAsia" w:eastAsia="Times New Roman"/>
                <w:color w:val="auto"/>
                <w:sz w:val="21"/>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2D431D6">
            <w:pPr>
              <w:pStyle w:val="33"/>
              <w:kinsoku w:val="0"/>
              <w:overflowPunct w:val="0"/>
              <w:jc w:val="both"/>
              <w:rPr>
                <w:rFonts w:ascii="宋体" w:hAnsi="宋体" w:cs="宋体"/>
                <w:b/>
                <w:color w:val="auto"/>
                <w:sz w:val="21"/>
                <w:szCs w:val="21"/>
                <w:highlight w:val="none"/>
              </w:rPr>
            </w:pPr>
            <w:r>
              <w:rPr>
                <w:rFonts w:ascii="宋体" w:hAnsi="宋体"/>
                <w:color w:val="auto"/>
                <w:sz w:val="21"/>
                <w:highlight w:val="none"/>
              </w:rPr>
              <w:t>踏勘现场</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2730C46F">
            <w:pPr>
              <w:rPr>
                <w:color w:val="auto"/>
                <w:sz w:val="21"/>
                <w:szCs w:val="21"/>
                <w:highlight w:val="none"/>
              </w:rPr>
            </w:pPr>
            <w:r>
              <w:rPr>
                <w:rFonts w:ascii="宋体"/>
                <w:color w:val="auto"/>
                <w:sz w:val="21"/>
                <w:szCs w:val="21"/>
                <w:highlight w:val="none"/>
              </w:rPr>
              <w:t>招标人不集中组织，由投标人自行踏勘；</w:t>
            </w:r>
          </w:p>
          <w:p w14:paraId="49FAA731">
            <w:pPr>
              <w:rPr>
                <w:color w:val="auto"/>
                <w:sz w:val="21"/>
                <w:szCs w:val="21"/>
                <w:highlight w:val="none"/>
              </w:rPr>
            </w:pPr>
            <w:r>
              <w:rPr>
                <w:rFonts w:ascii="宋体"/>
                <w:color w:val="auto"/>
                <w:sz w:val="21"/>
                <w:szCs w:val="21"/>
                <w:highlight w:val="none"/>
              </w:rPr>
              <w:t>时间：自_</w:t>
            </w:r>
            <w:r>
              <w:rPr>
                <w:rFonts w:hint="eastAsia" w:ascii="宋体"/>
                <w:color w:val="auto"/>
                <w:sz w:val="21"/>
                <w:szCs w:val="21"/>
                <w:highlight w:val="none"/>
              </w:rPr>
              <w:t>/</w:t>
            </w:r>
            <w:r>
              <w:rPr>
                <w:rFonts w:ascii="宋体"/>
                <w:color w:val="auto"/>
                <w:sz w:val="21"/>
                <w:szCs w:val="21"/>
                <w:highlight w:val="none"/>
              </w:rPr>
              <w:t>年</w:t>
            </w:r>
            <w:r>
              <w:rPr>
                <w:color w:val="auto"/>
                <w:sz w:val="21"/>
                <w:szCs w:val="21"/>
                <w:highlight w:val="none"/>
              </w:rPr>
              <w:t>_</w:t>
            </w:r>
            <w:r>
              <w:rPr>
                <w:rFonts w:hint="eastAsia"/>
                <w:color w:val="auto"/>
                <w:sz w:val="21"/>
                <w:szCs w:val="21"/>
                <w:highlight w:val="none"/>
              </w:rPr>
              <w:t>/</w:t>
            </w:r>
            <w:r>
              <w:rPr>
                <w:rFonts w:ascii="宋体"/>
                <w:color w:val="auto"/>
                <w:sz w:val="21"/>
                <w:szCs w:val="21"/>
                <w:highlight w:val="none"/>
              </w:rPr>
              <w:t>月</w:t>
            </w:r>
            <w:r>
              <w:rPr>
                <w:rFonts w:hint="eastAsia"/>
                <w:color w:val="auto"/>
                <w:sz w:val="21"/>
                <w:szCs w:val="21"/>
                <w:highlight w:val="none"/>
              </w:rPr>
              <w:t>/</w:t>
            </w:r>
            <w:r>
              <w:rPr>
                <w:rFonts w:ascii="宋体"/>
                <w:color w:val="auto"/>
                <w:sz w:val="21"/>
                <w:szCs w:val="21"/>
                <w:highlight w:val="none"/>
              </w:rPr>
              <w:t>日起具备现场踏勘条件；</w:t>
            </w:r>
          </w:p>
          <w:p w14:paraId="4839A5E8">
            <w:pPr>
              <w:pStyle w:val="33"/>
              <w:kinsoku w:val="0"/>
              <w:overflowPunct w:val="0"/>
              <w:jc w:val="both"/>
              <w:rPr>
                <w:rFonts w:ascii="宋体" w:hAnsi="宋体" w:cs="宋体"/>
                <w:b/>
                <w:color w:val="auto"/>
                <w:sz w:val="21"/>
                <w:szCs w:val="21"/>
                <w:highlight w:val="none"/>
              </w:rPr>
            </w:pPr>
            <w:r>
              <w:rPr>
                <w:rFonts w:ascii="宋体"/>
                <w:color w:val="auto"/>
                <w:sz w:val="21"/>
                <w:szCs w:val="21"/>
                <w:highlight w:val="none"/>
              </w:rPr>
              <w:t>现场详细地点：</w:t>
            </w:r>
            <w:r>
              <w:rPr>
                <w:color w:val="auto"/>
                <w:sz w:val="21"/>
                <w:szCs w:val="21"/>
                <w:highlight w:val="none"/>
              </w:rPr>
              <w:t>__</w:t>
            </w:r>
            <w:r>
              <w:rPr>
                <w:rFonts w:hint="eastAsia"/>
                <w:color w:val="auto"/>
                <w:sz w:val="21"/>
                <w:szCs w:val="21"/>
                <w:highlight w:val="none"/>
              </w:rPr>
              <w:t>/</w:t>
            </w:r>
            <w:r>
              <w:rPr>
                <w:color w:val="auto"/>
                <w:sz w:val="21"/>
                <w:szCs w:val="21"/>
                <w:highlight w:val="none"/>
              </w:rPr>
              <w:t>__</w:t>
            </w:r>
            <w:r>
              <w:rPr>
                <w:rFonts w:ascii="宋体"/>
                <w:color w:val="auto"/>
                <w:sz w:val="21"/>
                <w:szCs w:val="21"/>
                <w:highlight w:val="none"/>
              </w:rPr>
              <w:t>；</w:t>
            </w:r>
          </w:p>
        </w:tc>
      </w:tr>
      <w:tr w14:paraId="212C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tcPr>
          <w:p w14:paraId="41AF8244">
            <w:pPr>
              <w:spacing w:line="283" w:lineRule="auto"/>
              <w:rPr>
                <w:rFonts w:ascii="Arial"/>
                <w:color w:val="auto"/>
                <w:sz w:val="21"/>
                <w:highlight w:val="none"/>
              </w:rPr>
            </w:pPr>
          </w:p>
          <w:p w14:paraId="214166F5">
            <w:pPr>
              <w:spacing w:line="284" w:lineRule="auto"/>
              <w:rPr>
                <w:rFonts w:ascii="Arial"/>
                <w:color w:val="auto"/>
                <w:sz w:val="21"/>
                <w:highlight w:val="none"/>
              </w:rPr>
            </w:pPr>
          </w:p>
          <w:p w14:paraId="12A91E5C">
            <w:pPr>
              <w:spacing w:before="60" w:line="186" w:lineRule="auto"/>
              <w:jc w:val="center"/>
              <w:rPr>
                <w:rFonts w:eastAsia="Times New Roman"/>
                <w:color w:val="auto"/>
                <w:sz w:val="21"/>
                <w:szCs w:val="21"/>
                <w:highlight w:val="none"/>
              </w:rPr>
            </w:pPr>
            <w:r>
              <w:rPr>
                <w:rFonts w:hint="eastAsia" w:eastAsia="Times New Roman"/>
                <w:color w:val="auto"/>
                <w:spacing w:val="-5"/>
                <w:sz w:val="21"/>
                <w:szCs w:val="21"/>
                <w:highlight w:val="none"/>
              </w:rPr>
              <w:t>1</w:t>
            </w:r>
            <w:r>
              <w:rPr>
                <w:rFonts w:hint="eastAsia" w:eastAsia="Times New Roman"/>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tcPr>
          <w:p w14:paraId="03C8ED19">
            <w:pPr>
              <w:spacing w:line="260" w:lineRule="auto"/>
              <w:rPr>
                <w:rFonts w:ascii="Arial"/>
                <w:color w:val="auto"/>
                <w:sz w:val="21"/>
                <w:highlight w:val="none"/>
              </w:rPr>
            </w:pPr>
          </w:p>
          <w:p w14:paraId="2FDD6205">
            <w:pPr>
              <w:spacing w:before="68" w:line="217" w:lineRule="auto"/>
              <w:rPr>
                <w:rFonts w:ascii="宋体" w:hAnsi="宋体" w:cs="宋体"/>
                <w:color w:val="auto"/>
                <w:sz w:val="21"/>
                <w:szCs w:val="21"/>
                <w:highlight w:val="none"/>
              </w:rPr>
            </w:pPr>
            <w:r>
              <w:rPr>
                <w:rFonts w:ascii="宋体" w:hAnsi="宋体"/>
                <w:color w:val="auto"/>
                <w:sz w:val="21"/>
                <w:szCs w:val="21"/>
                <w:highlight w:val="none"/>
              </w:rPr>
              <w:t>投标预备会</w:t>
            </w:r>
          </w:p>
        </w:tc>
        <w:tc>
          <w:tcPr>
            <w:tcW w:w="5551" w:type="dxa"/>
            <w:tcBorders>
              <w:top w:val="single" w:color="auto" w:sz="4" w:space="0"/>
              <w:left w:val="single" w:color="auto" w:sz="4" w:space="0"/>
              <w:bottom w:val="single" w:color="auto" w:sz="4" w:space="0"/>
              <w:right w:val="single" w:color="auto" w:sz="4" w:space="0"/>
              <w:tl2br w:val="nil"/>
              <w:tr2bl w:val="nil"/>
            </w:tcBorders>
          </w:tcPr>
          <w:p w14:paraId="039DB6BA">
            <w:pPr>
              <w:pStyle w:val="11"/>
              <w:spacing w:before="48" w:beforeLines="20" w:after="48" w:afterLines="20"/>
              <w:ind w:left="48" w:leftChars="20" w:right="48" w:rightChars="2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☑不召开</w:t>
            </w:r>
          </w:p>
          <w:p w14:paraId="264A1FE6">
            <w:pPr>
              <w:spacing w:before="48" w:beforeLines="20" w:after="48" w:afterLines="20"/>
              <w:ind w:left="48" w:leftChars="20" w:right="48" w:rightChars="20"/>
              <w:rPr>
                <w:rFonts w:ascii="宋体" w:hAnsi="宋体" w:cs="宋体"/>
                <w:color w:val="auto"/>
                <w:sz w:val="21"/>
                <w:szCs w:val="21"/>
                <w:highlight w:val="none"/>
              </w:rPr>
            </w:pPr>
            <w:r>
              <w:rPr>
                <w:rFonts w:ascii="宋体" w:hAnsi="宋体" w:cs="宋体"/>
                <w:color w:val="auto"/>
                <w:sz w:val="21"/>
                <w:szCs w:val="21"/>
                <w:highlight w:val="none"/>
              </w:rPr>
              <w:sym w:font="Wingdings 2" w:char="00A3"/>
            </w:r>
            <w:r>
              <w:rPr>
                <w:rFonts w:ascii="宋体" w:hAnsi="宋体" w:cs="宋体"/>
                <w:color w:val="auto"/>
                <w:sz w:val="21"/>
                <w:szCs w:val="21"/>
                <w:highlight w:val="none"/>
              </w:rPr>
              <w:t>召开，召开时间：</w:t>
            </w:r>
          </w:p>
          <w:p w14:paraId="4E3C1F51">
            <w:pPr>
              <w:spacing w:before="173"/>
              <w:ind w:right="50" w:firstLine="840" w:firstLineChars="400"/>
              <w:rPr>
                <w:rFonts w:ascii="宋体" w:hAnsi="宋体"/>
                <w:color w:val="auto"/>
                <w:sz w:val="21"/>
                <w:szCs w:val="21"/>
                <w:highlight w:val="none"/>
              </w:rPr>
            </w:pPr>
            <w:r>
              <w:rPr>
                <w:rFonts w:ascii="宋体" w:hAnsi="宋体" w:cs="宋体"/>
                <w:color w:val="auto"/>
                <w:sz w:val="21"/>
                <w:szCs w:val="21"/>
                <w:highlight w:val="none"/>
              </w:rPr>
              <w:t>召开地点：</w:t>
            </w:r>
          </w:p>
        </w:tc>
      </w:tr>
      <w:tr w14:paraId="4D9D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570C54D">
            <w:pPr>
              <w:spacing w:before="60" w:line="186" w:lineRule="auto"/>
              <w:jc w:val="center"/>
              <w:rPr>
                <w:rFonts w:eastAsia="Times New Roman"/>
                <w:color w:val="auto"/>
                <w:spacing w:val="-5"/>
                <w:sz w:val="21"/>
                <w:szCs w:val="21"/>
                <w:highlight w:val="none"/>
              </w:rPr>
            </w:pPr>
            <w:r>
              <w:rPr>
                <w:rFonts w:hint="eastAsia" w:eastAsia="Times New Roman"/>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EE7B6C5">
            <w:pPr>
              <w:spacing w:before="68" w:line="217" w:lineRule="auto"/>
              <w:rPr>
                <w:rFonts w:ascii="宋体" w:hAnsi="宋体" w:cs="宋体"/>
                <w:color w:val="auto"/>
                <w:spacing w:val="-2"/>
                <w:sz w:val="21"/>
                <w:szCs w:val="21"/>
                <w:highlight w:val="none"/>
              </w:rPr>
            </w:pPr>
            <w:r>
              <w:rPr>
                <w:rFonts w:ascii="宋体" w:hAnsi="宋体" w:cs="宋体"/>
                <w:color w:val="auto"/>
                <w:sz w:val="21"/>
                <w:szCs w:val="21"/>
                <w:highlight w:val="none"/>
              </w:rPr>
              <w:t>投标人在投标预备会前提出问题</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637D8D8F">
            <w:pPr>
              <w:autoSpaceDE/>
              <w:autoSpaceDN/>
              <w:adjustRightInd/>
              <w:spacing w:before="48" w:beforeLines="20" w:after="48" w:afterLines="20"/>
              <w:ind w:left="48" w:leftChars="20" w:right="48" w:rightChars="20"/>
              <w:rPr>
                <w:rFonts w:ascii="宋体" w:hAnsi="宋体" w:cs="宋体"/>
                <w:color w:val="auto"/>
                <w:sz w:val="21"/>
                <w:szCs w:val="21"/>
                <w:highlight w:val="none"/>
              </w:rPr>
            </w:pPr>
            <w:r>
              <w:rPr>
                <w:rFonts w:ascii="宋体" w:hAnsi="宋体" w:cs="宋体"/>
                <w:color w:val="auto"/>
                <w:sz w:val="21"/>
                <w:szCs w:val="21"/>
                <w:highlight w:val="none"/>
              </w:rPr>
              <w:t>时间： /</w:t>
            </w:r>
          </w:p>
        </w:tc>
      </w:tr>
      <w:tr w14:paraId="2442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3FB11C9">
            <w:pPr>
              <w:pStyle w:val="33"/>
              <w:kinsoku w:val="0"/>
              <w:overflowPunct w:val="0"/>
              <w:jc w:val="center"/>
              <w:rPr>
                <w:rFonts w:eastAsia="Times New Roman"/>
                <w:color w:val="auto"/>
                <w:sz w:val="21"/>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260CDB3">
            <w:pPr>
              <w:pStyle w:val="33"/>
              <w:kinsoku w:val="0"/>
              <w:overflowPunct w:val="0"/>
              <w:jc w:val="both"/>
              <w:rPr>
                <w:rFonts w:ascii="宋体" w:hAnsi="宋体"/>
                <w:color w:val="auto"/>
                <w:sz w:val="21"/>
                <w:highlight w:val="none"/>
              </w:rPr>
            </w:pP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2850181B">
            <w:pPr>
              <w:autoSpaceDE/>
              <w:autoSpaceDN/>
              <w:adjustRightInd/>
              <w:spacing w:before="48" w:beforeLines="20" w:after="48" w:afterLines="20"/>
              <w:ind w:left="48" w:leftChars="20" w:right="48" w:rightChars="20"/>
              <w:rPr>
                <w:rFonts w:ascii="宋体" w:hAnsi="宋体" w:cs="宋体"/>
                <w:color w:val="auto"/>
                <w:sz w:val="21"/>
                <w:szCs w:val="21"/>
                <w:highlight w:val="none"/>
              </w:rPr>
            </w:pPr>
            <w:r>
              <w:rPr>
                <w:rFonts w:ascii="宋体" w:hAnsi="宋体" w:cs="宋体"/>
                <w:color w:val="auto"/>
                <w:sz w:val="21"/>
                <w:szCs w:val="21"/>
                <w:highlight w:val="none"/>
              </w:rPr>
              <w:t>形式： /</w:t>
            </w:r>
          </w:p>
        </w:tc>
      </w:tr>
      <w:tr w14:paraId="1F81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2C05C19">
            <w:pPr>
              <w:spacing w:before="48" w:beforeLines="20" w:after="48" w:afterLines="20"/>
              <w:ind w:left="48" w:leftChars="20" w:right="48" w:rightChars="20"/>
              <w:jc w:val="center"/>
              <w:rPr>
                <w:rFonts w:ascii="Arial" w:hAnsi="宋体" w:cs="宋体"/>
                <w:snapToGrid w:val="0"/>
                <w:color w:val="auto"/>
                <w:sz w:val="21"/>
                <w:szCs w:val="21"/>
                <w:highlight w:val="none"/>
              </w:rPr>
            </w:pPr>
            <w:r>
              <w:rPr>
                <w:rFonts w:hint="eastAsia" w:eastAsia="Times New Roman"/>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15EA550">
            <w:pPr>
              <w:spacing w:before="48" w:beforeLines="20" w:after="48" w:afterLines="20"/>
              <w:ind w:left="48" w:leftChars="20" w:right="48" w:rightChars="20"/>
              <w:rPr>
                <w:rFonts w:ascii="宋体" w:hAnsi="宋体" w:cs="宋体"/>
                <w:snapToGrid w:val="0"/>
                <w:color w:val="auto"/>
                <w:sz w:val="21"/>
                <w:szCs w:val="21"/>
                <w:highlight w:val="none"/>
              </w:rPr>
            </w:pPr>
            <w:r>
              <w:rPr>
                <w:rFonts w:ascii="宋体" w:hAnsi="宋体" w:cs="宋体"/>
                <w:color w:val="auto"/>
                <w:sz w:val="21"/>
                <w:szCs w:val="21"/>
                <w:highlight w:val="none"/>
              </w:rPr>
              <w:t>招标文件澄清发出的形式</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FD206D3">
            <w:pPr>
              <w:autoSpaceDE/>
              <w:autoSpaceDN/>
              <w:adjustRightInd/>
              <w:spacing w:before="48" w:beforeLines="20" w:after="48" w:afterLines="20"/>
              <w:ind w:left="48" w:leftChars="20" w:right="48" w:rightChars="20" w:firstLine="420" w:firstLineChars="200"/>
              <w:rPr>
                <w:rFonts w:ascii="宋体" w:hAnsi="宋体" w:cs="宋体"/>
                <w:color w:val="auto"/>
                <w:sz w:val="21"/>
                <w:szCs w:val="21"/>
                <w:highlight w:val="none"/>
              </w:rPr>
            </w:pPr>
            <w:r>
              <w:rPr>
                <w:rFonts w:ascii="宋体" w:hAnsi="宋体" w:cs="宋体"/>
                <w:color w:val="auto"/>
                <w:sz w:val="21"/>
                <w:szCs w:val="21"/>
                <w:highlight w:val="none"/>
              </w:rPr>
              <w:t>/</w:t>
            </w:r>
          </w:p>
        </w:tc>
      </w:tr>
      <w:tr w14:paraId="6C18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FC80A3E">
            <w:pPr>
              <w:pStyle w:val="33"/>
              <w:kinsoku w:val="0"/>
              <w:overflowPunct w:val="0"/>
              <w:jc w:val="center"/>
              <w:rPr>
                <w:rFonts w:ascii="宋体" w:hAnsi="宋体" w:cs="宋体"/>
                <w:b/>
                <w:color w:val="auto"/>
                <w:sz w:val="21"/>
                <w:szCs w:val="21"/>
                <w:highlight w:val="none"/>
              </w:rPr>
            </w:pPr>
            <w:r>
              <w:rPr>
                <w:rFonts w:hint="eastAsia" w:eastAsia="Times New Roman"/>
                <w:color w:val="auto"/>
                <w:sz w:val="21"/>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76BD348">
            <w:pPr>
              <w:pStyle w:val="33"/>
              <w:kinsoku w:val="0"/>
              <w:overflowPunct w:val="0"/>
              <w:jc w:val="both"/>
              <w:rPr>
                <w:rFonts w:ascii="宋体" w:hAnsi="宋体" w:cs="宋体"/>
                <w:b/>
                <w:color w:val="auto"/>
                <w:sz w:val="21"/>
                <w:szCs w:val="21"/>
                <w:highlight w:val="none"/>
              </w:rPr>
            </w:pPr>
            <w:r>
              <w:rPr>
                <w:rFonts w:ascii="宋体" w:hAnsi="宋体"/>
                <w:color w:val="auto"/>
                <w:sz w:val="21"/>
                <w:highlight w:val="none"/>
              </w:rPr>
              <w:t>实质性要求和条件</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474E34C">
            <w:pPr>
              <w:ind w:firstLine="420" w:firstLineChars="200"/>
              <w:jc w:val="both"/>
              <w:rPr>
                <w:rFonts w:ascii="宋体" w:hAnsi="宋体" w:cs="宋体"/>
                <w:b/>
                <w:color w:val="auto"/>
                <w:sz w:val="21"/>
                <w:szCs w:val="21"/>
                <w:highlight w:val="none"/>
              </w:rPr>
            </w:pPr>
            <w:r>
              <w:rPr>
                <w:rFonts w:ascii="宋体" w:hAnsi="宋体" w:cs="宋体"/>
                <w:color w:val="auto"/>
                <w:sz w:val="21"/>
                <w:szCs w:val="21"/>
                <w:highlight w:val="none"/>
              </w:rPr>
              <w:t>/</w:t>
            </w:r>
          </w:p>
        </w:tc>
      </w:tr>
      <w:tr w14:paraId="07E4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A8B28E2">
            <w:pPr>
              <w:pStyle w:val="33"/>
              <w:kinsoku w:val="0"/>
              <w:overflowPunct w:val="0"/>
              <w:jc w:val="center"/>
              <w:rPr>
                <w:rFonts w:ascii="宋体" w:hAnsi="宋体" w:cs="宋体"/>
                <w:b/>
                <w:color w:val="auto"/>
                <w:sz w:val="21"/>
                <w:szCs w:val="21"/>
                <w:highlight w:val="none"/>
              </w:rPr>
            </w:pPr>
            <w:r>
              <w:rPr>
                <w:rFonts w:hint="eastAsia" w:eastAsia="Times New Roman"/>
                <w:color w:val="auto"/>
                <w:sz w:val="21"/>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58E929B">
            <w:pPr>
              <w:pStyle w:val="33"/>
              <w:kinsoku w:val="0"/>
              <w:overflowPunct w:val="0"/>
              <w:jc w:val="both"/>
              <w:rPr>
                <w:rFonts w:ascii="宋体" w:hAnsi="宋体" w:cs="宋体"/>
                <w:b/>
                <w:color w:val="auto"/>
                <w:sz w:val="21"/>
                <w:szCs w:val="21"/>
                <w:highlight w:val="none"/>
              </w:rPr>
            </w:pPr>
            <w:r>
              <w:rPr>
                <w:rFonts w:ascii="宋体" w:hAnsi="宋体"/>
                <w:color w:val="auto"/>
                <w:sz w:val="21"/>
                <w:highlight w:val="none"/>
              </w:rPr>
              <w:t>偏差</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2418B74B">
            <w:pPr>
              <w:pStyle w:val="33"/>
              <w:kinsoku w:val="0"/>
              <w:overflowPunct w:val="0"/>
              <w:jc w:val="both"/>
              <w:rPr>
                <w:rFonts w:ascii="宋体" w:hAnsi="宋体"/>
                <w:color w:val="auto"/>
                <w:sz w:val="21"/>
                <w:szCs w:val="21"/>
                <w:highlight w:val="none"/>
              </w:rPr>
            </w:pPr>
            <w:r>
              <w:rPr>
                <w:rFonts w:hint="eastAsia" w:eastAsia="Times New Roman"/>
                <w:color w:val="auto"/>
                <w:sz w:val="21"/>
                <w:szCs w:val="21"/>
                <w:highlight w:val="none"/>
              </w:rPr>
              <w:sym w:font="Wingdings 2" w:char="0052"/>
            </w:r>
            <w:r>
              <w:rPr>
                <w:rFonts w:ascii="宋体" w:hAnsi="宋体"/>
                <w:color w:val="auto"/>
                <w:sz w:val="21"/>
                <w:szCs w:val="21"/>
                <w:highlight w:val="none"/>
              </w:rPr>
              <w:t>不允许</w:t>
            </w:r>
          </w:p>
          <w:p w14:paraId="51822E8E">
            <w:pPr>
              <w:pStyle w:val="33"/>
              <w:kinsoku w:val="0"/>
              <w:overflowPunct w:val="0"/>
              <w:jc w:val="both"/>
              <w:rPr>
                <w:rFonts w:ascii="宋体" w:hAnsi="宋体"/>
                <w:color w:val="auto"/>
                <w:sz w:val="21"/>
                <w:szCs w:val="21"/>
                <w:highlight w:val="none"/>
              </w:rPr>
            </w:pPr>
            <w:r>
              <w:rPr>
                <w:rFonts w:hint="eastAsia" w:eastAsia="Times New Roman"/>
                <w:color w:val="auto"/>
                <w:sz w:val="21"/>
                <w:szCs w:val="21"/>
                <w:highlight w:val="none"/>
              </w:rPr>
              <w:sym w:font="Wingdings 2" w:char="00A3"/>
            </w:r>
            <w:r>
              <w:rPr>
                <w:rFonts w:ascii="宋体" w:hAnsi="宋体"/>
                <w:color w:val="auto"/>
                <w:sz w:val="21"/>
                <w:szCs w:val="21"/>
                <w:highlight w:val="none"/>
              </w:rPr>
              <w:t>允许，偏差范围：</w:t>
            </w:r>
          </w:p>
          <w:p w14:paraId="42E963BA">
            <w:pPr>
              <w:pStyle w:val="33"/>
              <w:kinsoku w:val="0"/>
              <w:overflowPunct w:val="0"/>
              <w:jc w:val="both"/>
              <w:rPr>
                <w:rFonts w:ascii="宋体" w:hAnsi="宋体" w:cs="宋体"/>
                <w:b/>
                <w:color w:val="auto"/>
                <w:sz w:val="21"/>
                <w:szCs w:val="21"/>
                <w:highlight w:val="none"/>
              </w:rPr>
            </w:pPr>
            <w:r>
              <w:rPr>
                <w:rFonts w:ascii="宋体" w:hAnsi="宋体"/>
                <w:color w:val="auto"/>
                <w:sz w:val="21"/>
                <w:szCs w:val="21"/>
                <w:highlight w:val="none"/>
              </w:rPr>
              <w:t>偏差幅度：</w:t>
            </w:r>
          </w:p>
        </w:tc>
      </w:tr>
      <w:tr w14:paraId="264B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304BE6D">
            <w:pPr>
              <w:pStyle w:val="33"/>
              <w:kinsoku w:val="0"/>
              <w:overflowPunct w:val="0"/>
              <w:jc w:val="center"/>
              <w:rPr>
                <w:rFonts w:ascii="宋体" w:hAnsi="宋体" w:cs="宋体"/>
                <w:b/>
                <w:color w:val="auto"/>
                <w:sz w:val="21"/>
                <w:szCs w:val="21"/>
                <w:highlight w:val="none"/>
              </w:rPr>
            </w:pPr>
            <w:r>
              <w:rPr>
                <w:rFonts w:hint="eastAsia" w:eastAsia="Times New Roman"/>
                <w:color w:val="auto"/>
                <w:sz w:val="21"/>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39B5885">
            <w:pPr>
              <w:pStyle w:val="33"/>
              <w:kinsoku w:val="0"/>
              <w:overflowPunct w:val="0"/>
              <w:jc w:val="both"/>
              <w:rPr>
                <w:rFonts w:ascii="宋体" w:hAnsi="宋体" w:cs="宋体"/>
                <w:b/>
                <w:color w:val="auto"/>
                <w:sz w:val="21"/>
                <w:szCs w:val="21"/>
                <w:highlight w:val="none"/>
              </w:rPr>
            </w:pPr>
            <w:r>
              <w:rPr>
                <w:rFonts w:ascii="宋体" w:hAnsi="宋体"/>
                <w:color w:val="auto"/>
                <w:sz w:val="21"/>
                <w:highlight w:val="none"/>
              </w:rPr>
              <w:t>构成招标文件的其他资料</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200CB562">
            <w:pPr>
              <w:jc w:val="both"/>
              <w:rPr>
                <w:rFonts w:ascii="宋体" w:hAnsi="宋体" w:cs="宋体"/>
                <w:b/>
                <w:color w:val="auto"/>
                <w:sz w:val="21"/>
                <w:szCs w:val="21"/>
                <w:highlight w:val="none"/>
              </w:rPr>
            </w:pPr>
            <w:r>
              <w:rPr>
                <w:rFonts w:hint="eastAsia" w:ascii="宋体" w:hAnsi="宋体"/>
                <w:color w:val="auto"/>
                <w:sz w:val="21"/>
                <w:szCs w:val="21"/>
                <w:highlight w:val="none"/>
                <w:u w:val="single"/>
              </w:rPr>
              <w:t xml:space="preserve">  /  </w:t>
            </w:r>
          </w:p>
        </w:tc>
      </w:tr>
      <w:tr w14:paraId="122E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76E1155">
            <w:pPr>
              <w:spacing w:before="60" w:line="186" w:lineRule="auto"/>
              <w:jc w:val="center"/>
              <w:rPr>
                <w:rFonts w:eastAsia="Times New Roman"/>
                <w:color w:val="auto"/>
                <w:sz w:val="21"/>
                <w:highlight w:val="none"/>
              </w:rPr>
            </w:pPr>
            <w:r>
              <w:rPr>
                <w:rFonts w:hint="eastAsia" w:eastAsia="Times New Roman"/>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9B526E8">
            <w:pPr>
              <w:spacing w:before="69" w:line="220" w:lineRule="auto"/>
              <w:jc w:val="center"/>
              <w:rPr>
                <w:color w:val="auto"/>
                <w:sz w:val="21"/>
                <w:highlight w:val="none"/>
              </w:rPr>
            </w:pPr>
          </w:p>
          <w:p w14:paraId="51505C86">
            <w:pPr>
              <w:spacing w:before="69" w:line="220" w:lineRule="auto"/>
              <w:jc w:val="center"/>
              <w:rPr>
                <w:rFonts w:ascii="Times New Roman" w:hAnsi="Times New Roman" w:eastAsia="宋体" w:cs="Times New Roman"/>
                <w:color w:val="auto"/>
                <w:sz w:val="24"/>
                <w:szCs w:val="24"/>
                <w:highlight w:val="none"/>
                <w:lang w:val="en-US" w:eastAsia="zh-CN" w:bidi="ar-SA"/>
              </w:rPr>
            </w:pPr>
            <w:r>
              <w:rPr>
                <w:rFonts w:ascii="宋体"/>
                <w:color w:val="auto"/>
                <w:sz w:val="21"/>
                <w:highlight w:val="none"/>
              </w:rPr>
              <w:t>招标答疑</w:t>
            </w:r>
          </w:p>
        </w:tc>
        <w:tc>
          <w:tcPr>
            <w:tcW w:w="5551" w:type="dxa"/>
            <w:tcBorders>
              <w:top w:val="single" w:color="auto" w:sz="4" w:space="0"/>
              <w:left w:val="single" w:color="auto" w:sz="4" w:space="0"/>
              <w:bottom w:val="single" w:color="auto" w:sz="4" w:space="0"/>
              <w:right w:val="single" w:color="auto" w:sz="4" w:space="0"/>
              <w:tl2br w:val="nil"/>
              <w:tr2bl w:val="nil"/>
            </w:tcBorders>
          </w:tcPr>
          <w:p w14:paraId="3A6BAC47">
            <w:pPr>
              <w:spacing w:before="120" w:beforeLines="50"/>
              <w:jc w:val="both"/>
              <w:rPr>
                <w:rFonts w:ascii="宋体" w:hAnsi="宋体" w:cs="宋体"/>
                <w:color w:val="auto"/>
                <w:sz w:val="21"/>
                <w:szCs w:val="21"/>
                <w:highlight w:val="none"/>
              </w:rPr>
            </w:pPr>
            <w:r>
              <w:rPr>
                <w:rFonts w:ascii="宋体" w:hAnsi="宋体" w:cs="宋体"/>
                <w:color w:val="auto"/>
                <w:sz w:val="21"/>
                <w:szCs w:val="21"/>
                <w:highlight w:val="none"/>
              </w:rPr>
              <w:t>形式及时间：</w:t>
            </w:r>
          </w:p>
          <w:p w14:paraId="0C1843BF">
            <w:pPr>
              <w:spacing w:before="120" w:beforeLines="50"/>
              <w:jc w:val="both"/>
              <w:rPr>
                <w:rFonts w:ascii="宋体" w:hAnsi="宋体" w:cs="宋体"/>
                <w:color w:val="auto"/>
                <w:sz w:val="21"/>
                <w:szCs w:val="21"/>
                <w:highlight w:val="none"/>
              </w:rPr>
            </w:pPr>
            <w:r>
              <w:rPr>
                <w:rFonts w:ascii="宋体" w:hAnsi="宋体" w:cs="宋体"/>
                <w:color w:val="auto"/>
                <w:sz w:val="21"/>
                <w:szCs w:val="21"/>
                <w:highlight w:val="none"/>
              </w:rPr>
              <w:t>招标答疑采用网上答疑方式进行。投标人若对招标文件有疑问的，可在规定的时间内通过广州交易集团有限公司（广州公共资源交易中心）数字交易平台无记名或匿名提交。</w:t>
            </w:r>
          </w:p>
          <w:p w14:paraId="26A89686">
            <w:pPr>
              <w:spacing w:before="120" w:beforeLines="50"/>
              <w:jc w:val="both"/>
              <w:rPr>
                <w:rFonts w:ascii="宋体" w:hAnsi="宋体" w:cs="宋体"/>
                <w:color w:val="auto"/>
                <w:sz w:val="21"/>
                <w:szCs w:val="21"/>
                <w:highlight w:val="none"/>
              </w:rPr>
            </w:pPr>
            <w:r>
              <w:rPr>
                <w:rFonts w:ascii="宋体" w:hAnsi="宋体" w:cs="宋体"/>
                <w:color w:val="auto"/>
                <w:sz w:val="21"/>
                <w:szCs w:val="21"/>
                <w:highlight w:val="none"/>
              </w:rPr>
              <w:t>投标人停止提出答疑问题时间以广州交易集团有限公司（广州公共资源交易中心）网站公布的时间为准。招标人应在投标截止时间15日前解答投标人对招标文件提出的疑问，形成答疑纪要，在广州交易集团有限公司（广州公共资源交易中心）网站发布。</w:t>
            </w:r>
          </w:p>
          <w:p w14:paraId="5B3664FF">
            <w:pPr>
              <w:spacing w:before="120" w:beforeLines="50"/>
              <w:jc w:val="both"/>
              <w:rPr>
                <w:rFonts w:ascii="宋体" w:hAnsi="宋体" w:cs="宋体"/>
                <w:b/>
                <w:color w:val="auto"/>
                <w:sz w:val="21"/>
                <w:szCs w:val="21"/>
                <w:highlight w:val="none"/>
              </w:rPr>
            </w:pPr>
            <w:r>
              <w:rPr>
                <w:rFonts w:ascii="宋体" w:hAnsi="宋体" w:cs="宋体"/>
                <w:color w:val="auto"/>
                <w:sz w:val="21"/>
                <w:szCs w:val="21"/>
                <w:highlight w:val="none"/>
              </w:rPr>
              <w:t>具体要求：操作详见广州交易集团有限公司（广州公共资源交易中心）网站指引。提问一律不得署名。</w:t>
            </w:r>
          </w:p>
        </w:tc>
      </w:tr>
      <w:tr w14:paraId="721F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8A0805A">
            <w:pPr>
              <w:spacing w:before="209" w:line="186" w:lineRule="auto"/>
              <w:jc w:val="center"/>
              <w:rPr>
                <w:rFonts w:eastAsia="Times New Roman"/>
                <w:color w:val="auto"/>
                <w:sz w:val="21"/>
                <w:highlight w:val="none"/>
              </w:rPr>
            </w:pPr>
            <w:r>
              <w:rPr>
                <w:rFonts w:hint="eastAsia" w:eastAsia="Times New Roman"/>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5A47249">
            <w:pPr>
              <w:spacing w:before="170" w:line="220" w:lineRule="auto"/>
              <w:jc w:val="center"/>
              <w:rPr>
                <w:rFonts w:ascii="宋体" w:hAnsi="宋体"/>
                <w:color w:val="auto"/>
                <w:sz w:val="21"/>
                <w:highlight w:val="none"/>
              </w:rPr>
            </w:pPr>
            <w:r>
              <w:rPr>
                <w:rFonts w:ascii="宋体" w:hAnsi="宋体" w:cs="宋体"/>
                <w:color w:val="auto"/>
                <w:spacing w:val="-1"/>
                <w:sz w:val="21"/>
                <w:szCs w:val="21"/>
                <w:highlight w:val="none"/>
              </w:rPr>
              <w:t>招标文件的澄清和修改</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0D02EDCD">
            <w:pPr>
              <w:jc w:val="both"/>
              <w:rPr>
                <w:rFonts w:ascii="宋体" w:hAnsi="宋体" w:cs="宋体"/>
                <w:b/>
                <w:color w:val="auto"/>
                <w:sz w:val="21"/>
                <w:szCs w:val="21"/>
                <w:highlight w:val="none"/>
              </w:rPr>
            </w:pPr>
            <w:r>
              <w:rPr>
                <w:rFonts w:ascii="宋体" w:hAnsi="宋体" w:cs="宋体"/>
                <w:bCs/>
                <w:color w:val="auto"/>
                <w:sz w:val="21"/>
                <w:szCs w:val="21"/>
                <w:highlight w:val="none"/>
              </w:rPr>
              <w:t>在广州交易集团有限公司（广州公共资源交易中心）网站通过项目答疑专区网上公开发布。</w:t>
            </w:r>
          </w:p>
        </w:tc>
      </w:tr>
      <w:tr w14:paraId="6235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4BE4F8E">
            <w:pPr>
              <w:pStyle w:val="33"/>
              <w:kinsoku w:val="0"/>
              <w:overflowPunct w:val="0"/>
              <w:jc w:val="center"/>
              <w:rPr>
                <w:rFonts w:ascii="宋体" w:hAnsi="宋体" w:cs="宋体"/>
                <w:b/>
                <w:color w:val="auto"/>
                <w:sz w:val="21"/>
                <w:szCs w:val="21"/>
                <w:highlight w:val="none"/>
              </w:rPr>
            </w:pPr>
            <w:r>
              <w:rPr>
                <w:rFonts w:hint="eastAsia" w:eastAsia="Times New Roman"/>
                <w:color w:val="auto"/>
                <w:sz w:val="21"/>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B4E182F">
            <w:pPr>
              <w:pStyle w:val="33"/>
              <w:kinsoku w:val="0"/>
              <w:overflowPunct w:val="0"/>
              <w:jc w:val="both"/>
              <w:rPr>
                <w:rFonts w:ascii="宋体" w:hAnsi="宋体" w:cs="宋体"/>
                <w:b/>
                <w:color w:val="auto"/>
                <w:sz w:val="21"/>
                <w:szCs w:val="21"/>
                <w:highlight w:val="none"/>
              </w:rPr>
            </w:pPr>
            <w:r>
              <w:rPr>
                <w:rFonts w:ascii="宋体" w:hAnsi="宋体"/>
                <w:color w:val="auto"/>
                <w:sz w:val="21"/>
                <w:highlight w:val="none"/>
              </w:rPr>
              <w:t>构成投标文件的其他资料</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E1FB07A">
            <w:pPr>
              <w:spacing w:line="360" w:lineRule="auto"/>
              <w:rPr>
                <w:rFonts w:ascii="宋体" w:hAnsi="宋体" w:cs="宋体"/>
                <w:b/>
                <w:color w:val="auto"/>
                <w:sz w:val="21"/>
                <w:szCs w:val="21"/>
                <w:highlight w:val="none"/>
              </w:rPr>
            </w:pPr>
            <w:r>
              <w:rPr>
                <w:rFonts w:hint="eastAsia" w:ascii="宋体" w:hAnsi="宋体"/>
                <w:color w:val="auto"/>
                <w:sz w:val="21"/>
                <w:szCs w:val="21"/>
                <w:highlight w:val="none"/>
                <w:u w:val="single"/>
              </w:rPr>
              <w:t>满足本项目评审要求的其他资料。</w:t>
            </w:r>
          </w:p>
        </w:tc>
      </w:tr>
      <w:tr w14:paraId="6D5B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7ECBE22">
            <w:pPr>
              <w:pStyle w:val="33"/>
              <w:kinsoku w:val="0"/>
              <w:overflowPunct w:val="0"/>
              <w:jc w:val="center"/>
              <w:rPr>
                <w:rFonts w:ascii="宋体" w:hAnsi="宋体" w:cs="宋体"/>
                <w:b/>
                <w:color w:val="auto"/>
                <w:sz w:val="21"/>
                <w:szCs w:val="21"/>
                <w:highlight w:val="none"/>
              </w:rPr>
            </w:pPr>
            <w:r>
              <w:rPr>
                <w:rFonts w:hint="eastAsia" w:eastAsia="Times New Roman"/>
                <w:color w:val="auto"/>
                <w:sz w:val="21"/>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573EACE">
            <w:pPr>
              <w:pStyle w:val="33"/>
              <w:kinsoku w:val="0"/>
              <w:overflowPunct w:val="0"/>
              <w:jc w:val="both"/>
              <w:rPr>
                <w:rFonts w:ascii="宋体" w:hAnsi="宋体" w:cs="宋体"/>
                <w:b/>
                <w:color w:val="auto"/>
                <w:sz w:val="21"/>
                <w:szCs w:val="21"/>
                <w:highlight w:val="none"/>
              </w:rPr>
            </w:pPr>
            <w:r>
              <w:rPr>
                <w:rFonts w:ascii="宋体" w:hAnsi="宋体"/>
                <w:color w:val="auto"/>
                <w:sz w:val="21"/>
                <w:highlight w:val="none"/>
              </w:rPr>
              <w:t>增值税税金的计算方法</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6895677A">
            <w:pPr>
              <w:spacing w:line="360" w:lineRule="auto"/>
              <w:rPr>
                <w:rFonts w:ascii="宋体" w:hAnsi="宋体" w:cs="宋体"/>
                <w:b/>
                <w:color w:val="auto"/>
                <w:sz w:val="21"/>
                <w:szCs w:val="21"/>
                <w:highlight w:val="none"/>
              </w:rPr>
            </w:pPr>
            <w:r>
              <w:rPr>
                <w:rFonts w:hint="eastAsia" w:ascii="宋体" w:hAnsi="宋体"/>
                <w:color w:val="auto"/>
                <w:sz w:val="21"/>
                <w:szCs w:val="21"/>
                <w:highlight w:val="none"/>
                <w:u w:val="single"/>
              </w:rPr>
              <w:t>一般计税方法。</w:t>
            </w:r>
          </w:p>
        </w:tc>
      </w:tr>
      <w:tr w14:paraId="6F65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08FF7BD">
            <w:pPr>
              <w:pStyle w:val="33"/>
              <w:kinsoku w:val="0"/>
              <w:overflowPunct w:val="0"/>
              <w:jc w:val="center"/>
              <w:rPr>
                <w:rFonts w:ascii="宋体" w:hAnsi="宋体" w:cs="宋体"/>
                <w:b/>
                <w:color w:val="auto"/>
                <w:sz w:val="21"/>
                <w:szCs w:val="21"/>
                <w:highlight w:val="none"/>
              </w:rPr>
            </w:pPr>
            <w:r>
              <w:rPr>
                <w:rFonts w:hint="eastAsia" w:eastAsia="Times New Roman"/>
                <w:color w:val="auto"/>
                <w:sz w:val="21"/>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AFAAAFF">
            <w:pPr>
              <w:pStyle w:val="33"/>
              <w:kinsoku w:val="0"/>
              <w:overflowPunct w:val="0"/>
              <w:jc w:val="both"/>
              <w:rPr>
                <w:rFonts w:ascii="宋体" w:hAnsi="宋体" w:cs="宋体"/>
                <w:b/>
                <w:color w:val="auto"/>
                <w:sz w:val="21"/>
                <w:szCs w:val="21"/>
                <w:highlight w:val="none"/>
              </w:rPr>
            </w:pPr>
            <w:r>
              <w:rPr>
                <w:rFonts w:ascii="宋体" w:hAnsi="宋体"/>
                <w:color w:val="auto"/>
                <w:sz w:val="21"/>
                <w:highlight w:val="none"/>
              </w:rPr>
              <w:t>报价方式</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6B4ACDC1">
            <w:pPr>
              <w:jc w:val="both"/>
              <w:rPr>
                <w:rFonts w:ascii="宋体" w:hAnsi="宋体" w:cs="宋体"/>
                <w:b/>
                <w:color w:val="auto"/>
                <w:sz w:val="21"/>
                <w:szCs w:val="21"/>
                <w:highlight w:val="none"/>
              </w:rPr>
            </w:pPr>
            <w:r>
              <w:rPr>
                <w:rFonts w:hint="eastAsia" w:ascii="宋体" w:hAnsi="宋体" w:cs="宋体"/>
                <w:color w:val="auto"/>
                <w:sz w:val="21"/>
                <w:szCs w:val="21"/>
                <w:highlight w:val="none"/>
                <w:u w:val="single"/>
              </w:rPr>
              <w:t>自行报价（以“元”为单位，精确到小数位后2位，第三位四舍五入）。</w:t>
            </w:r>
          </w:p>
        </w:tc>
      </w:tr>
      <w:tr w14:paraId="00D3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63C9EF5">
            <w:pPr>
              <w:pStyle w:val="33"/>
              <w:kinsoku w:val="0"/>
              <w:overflowPunct w:val="0"/>
              <w:jc w:val="center"/>
              <w:rPr>
                <w:rFonts w:ascii="宋体" w:hAnsi="宋体" w:cs="宋体"/>
                <w:b/>
                <w:color w:val="auto"/>
                <w:sz w:val="21"/>
                <w:szCs w:val="21"/>
                <w:highlight w:val="none"/>
              </w:rPr>
            </w:pPr>
            <w:r>
              <w:rPr>
                <w:rFonts w:hint="eastAsia" w:eastAsia="Times New Roman"/>
                <w:color w:val="auto"/>
                <w:sz w:val="21"/>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4FA8C34">
            <w:pPr>
              <w:pStyle w:val="33"/>
              <w:kinsoku w:val="0"/>
              <w:overflowPunct w:val="0"/>
              <w:jc w:val="both"/>
              <w:rPr>
                <w:rFonts w:ascii="宋体" w:hAnsi="宋体" w:cs="宋体"/>
                <w:b/>
                <w:color w:val="auto"/>
                <w:sz w:val="21"/>
                <w:szCs w:val="21"/>
                <w:highlight w:val="none"/>
              </w:rPr>
            </w:pPr>
            <w:r>
              <w:rPr>
                <w:rFonts w:ascii="宋体" w:hAnsi="宋体"/>
                <w:color w:val="auto"/>
                <w:sz w:val="21"/>
                <w:highlight w:val="none"/>
              </w:rPr>
              <w:t>最高投标限价</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288D595">
            <w:pPr>
              <w:pStyle w:val="33"/>
              <w:kinsoku w:val="0"/>
              <w:overflowPunct w:val="0"/>
              <w:jc w:val="both"/>
              <w:rPr>
                <w:rFonts w:ascii="宋体" w:hAnsi="宋体"/>
                <w:color w:val="auto"/>
                <w:sz w:val="21"/>
                <w:szCs w:val="21"/>
                <w:highlight w:val="none"/>
              </w:rPr>
            </w:pPr>
            <w:r>
              <w:rPr>
                <w:rFonts w:hint="eastAsia" w:eastAsia="Times New Roman"/>
                <w:color w:val="auto"/>
                <w:sz w:val="21"/>
                <w:szCs w:val="21"/>
                <w:highlight w:val="none"/>
              </w:rPr>
              <w:sym w:font="Wingdings 2" w:char="00A3"/>
            </w:r>
            <w:r>
              <w:rPr>
                <w:rFonts w:ascii="宋体" w:hAnsi="宋体"/>
                <w:color w:val="auto"/>
                <w:sz w:val="21"/>
                <w:szCs w:val="21"/>
                <w:highlight w:val="none"/>
              </w:rPr>
              <w:t>无</w:t>
            </w:r>
          </w:p>
          <w:p w14:paraId="5F4C956A">
            <w:pPr>
              <w:pStyle w:val="33"/>
              <w:kinsoku w:val="0"/>
              <w:overflowPunct w:val="0"/>
              <w:jc w:val="both"/>
              <w:rPr>
                <w:rFonts w:ascii="宋体" w:hAnsi="宋体" w:cs="宋体"/>
                <w:b/>
                <w:color w:val="auto"/>
                <w:sz w:val="21"/>
                <w:szCs w:val="21"/>
                <w:highlight w:val="none"/>
              </w:rPr>
            </w:pPr>
            <w:r>
              <w:rPr>
                <w:rFonts w:hint="eastAsia" w:eastAsia="Times New Roman"/>
                <w:color w:val="auto"/>
                <w:sz w:val="21"/>
                <w:szCs w:val="21"/>
                <w:highlight w:val="none"/>
              </w:rPr>
              <w:sym w:font="Wingdings 2" w:char="0052"/>
            </w:r>
            <w:r>
              <w:rPr>
                <w:rFonts w:ascii="宋体" w:hAnsi="宋体"/>
                <w:color w:val="auto"/>
                <w:sz w:val="21"/>
                <w:szCs w:val="21"/>
                <w:highlight w:val="none"/>
              </w:rPr>
              <w:t>有，</w:t>
            </w:r>
            <w:r>
              <w:rPr>
                <w:rFonts w:hint="eastAsia" w:ascii="宋体" w:hAnsi="宋体"/>
                <w:color w:val="auto"/>
                <w:sz w:val="21"/>
                <w:szCs w:val="21"/>
                <w:highlight w:val="none"/>
              </w:rPr>
              <w:t>详见招标公告</w:t>
            </w:r>
            <w:r>
              <w:rPr>
                <w:rFonts w:ascii="宋体" w:hAnsi="宋体"/>
                <w:color w:val="auto"/>
                <w:sz w:val="21"/>
                <w:szCs w:val="21"/>
                <w:highlight w:val="none"/>
              </w:rPr>
              <w:t>。</w:t>
            </w:r>
          </w:p>
        </w:tc>
      </w:tr>
      <w:tr w14:paraId="6D3B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E91F7D3">
            <w:pPr>
              <w:pStyle w:val="33"/>
              <w:kinsoku w:val="0"/>
              <w:overflowPunct w:val="0"/>
              <w:jc w:val="center"/>
              <w:rPr>
                <w:rFonts w:eastAsia="Times New Roman"/>
                <w:color w:val="auto"/>
                <w:sz w:val="21"/>
                <w:highlight w:val="none"/>
              </w:rPr>
            </w:pPr>
            <w:r>
              <w:rPr>
                <w:rFonts w:hint="eastAsia" w:eastAsia="Times New Roman"/>
                <w:color w:val="auto"/>
                <w:sz w:val="21"/>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1F02CA3">
            <w:pPr>
              <w:pStyle w:val="33"/>
              <w:kinsoku w:val="0"/>
              <w:overflowPunct w:val="0"/>
              <w:jc w:val="both"/>
              <w:rPr>
                <w:rFonts w:ascii="宋体" w:hAnsi="宋体"/>
                <w:color w:val="auto"/>
                <w:sz w:val="21"/>
                <w:highlight w:val="none"/>
              </w:rPr>
            </w:pPr>
            <w:r>
              <w:rPr>
                <w:rFonts w:ascii="宋体" w:hAnsi="宋体"/>
                <w:color w:val="auto"/>
                <w:sz w:val="21"/>
                <w:highlight w:val="none"/>
              </w:rPr>
              <w:t>投标报价的其他要求</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3065D3F">
            <w:pPr>
              <w:jc w:val="both"/>
              <w:rPr>
                <w:rFonts w:eastAsia="Times New Roman"/>
                <w:color w:val="auto"/>
                <w:sz w:val="21"/>
                <w:szCs w:val="21"/>
                <w:highlight w:val="none"/>
                <w:u w:val="single"/>
              </w:rPr>
            </w:pPr>
            <w:r>
              <w:rPr>
                <w:rFonts w:hint="eastAsia" w:eastAsia="Times New Roman"/>
                <w:color w:val="auto"/>
                <w:sz w:val="21"/>
                <w:szCs w:val="21"/>
                <w:highlight w:val="none"/>
                <w:u w:val="single"/>
              </w:rPr>
              <w:t>（1）投标报价是投标人在本次招标监理服务期内完成本项目的监理工作所需的费用。 投标人应按招标文件中投标函要求填写。</w:t>
            </w:r>
          </w:p>
          <w:p w14:paraId="15F85932">
            <w:pPr>
              <w:jc w:val="both"/>
              <w:rPr>
                <w:rFonts w:eastAsia="Times New Roman"/>
                <w:color w:val="auto"/>
                <w:sz w:val="21"/>
                <w:szCs w:val="21"/>
                <w:highlight w:val="none"/>
              </w:rPr>
            </w:pPr>
            <w:r>
              <w:rPr>
                <w:rFonts w:hint="eastAsia" w:eastAsia="Times New Roman"/>
                <w:color w:val="auto"/>
                <w:sz w:val="21"/>
                <w:szCs w:val="21"/>
                <w:highlight w:val="none"/>
                <w:u w:val="single"/>
              </w:rPr>
              <w:t>（2）除非合同另有规定，投标报价应已包括但不限于监理设备、劳务、管理、交通、维护、保险、利润、税金、政策性文件规定及合同包含的所有风险、责任等各项所有费用。</w:t>
            </w:r>
          </w:p>
        </w:tc>
      </w:tr>
      <w:tr w14:paraId="46F8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3A046B4">
            <w:pPr>
              <w:pStyle w:val="33"/>
              <w:kinsoku w:val="0"/>
              <w:overflowPunct w:val="0"/>
              <w:jc w:val="center"/>
              <w:rPr>
                <w:rFonts w:eastAsia="Times New Roman"/>
                <w:color w:val="auto"/>
                <w:sz w:val="21"/>
                <w:highlight w:val="none"/>
              </w:rPr>
            </w:pPr>
            <w:r>
              <w:rPr>
                <w:rFonts w:hint="eastAsia" w:eastAsia="Times New Roman"/>
                <w:color w:val="auto"/>
                <w:sz w:val="21"/>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BCCB650">
            <w:pPr>
              <w:pStyle w:val="33"/>
              <w:kinsoku w:val="0"/>
              <w:overflowPunct w:val="0"/>
              <w:jc w:val="both"/>
              <w:rPr>
                <w:rFonts w:ascii="宋体" w:hAnsi="宋体"/>
                <w:color w:val="auto"/>
                <w:sz w:val="21"/>
                <w:highlight w:val="none"/>
              </w:rPr>
            </w:pPr>
            <w:r>
              <w:rPr>
                <w:rFonts w:ascii="宋体" w:hAnsi="宋体"/>
                <w:color w:val="auto"/>
                <w:sz w:val="21"/>
                <w:highlight w:val="none"/>
              </w:rPr>
              <w:t>投标有效期</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4D2188E2">
            <w:pPr>
              <w:jc w:val="both"/>
              <w:rPr>
                <w:rFonts w:eastAsia="Times New Roman"/>
                <w:color w:val="auto"/>
                <w:sz w:val="21"/>
                <w:szCs w:val="21"/>
                <w:highlight w:val="none"/>
              </w:rPr>
            </w:pPr>
            <w:r>
              <w:rPr>
                <w:rFonts w:hint="eastAsia"/>
                <w:color w:val="auto"/>
                <w:sz w:val="21"/>
                <w:szCs w:val="21"/>
                <w:highlight w:val="none"/>
              </w:rPr>
              <w:t>90</w:t>
            </w:r>
            <w:r>
              <w:rPr>
                <w:rFonts w:ascii="宋体"/>
                <w:color w:val="auto"/>
                <w:sz w:val="21"/>
                <w:szCs w:val="21"/>
                <w:highlight w:val="none"/>
              </w:rPr>
              <w:t>日历天（从投标截止之日计起）</w:t>
            </w:r>
          </w:p>
        </w:tc>
      </w:tr>
      <w:tr w14:paraId="0D3E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14ED65D">
            <w:pPr>
              <w:pStyle w:val="33"/>
              <w:kinsoku w:val="0"/>
              <w:overflowPunct w:val="0"/>
              <w:jc w:val="center"/>
              <w:rPr>
                <w:rFonts w:eastAsia="Times New Roman"/>
                <w:color w:val="auto"/>
                <w:sz w:val="21"/>
                <w:highlight w:val="none"/>
              </w:rPr>
            </w:pPr>
            <w:r>
              <w:rPr>
                <w:rFonts w:hint="eastAsia" w:eastAsia="Times New Roman"/>
                <w:color w:val="auto"/>
                <w:sz w:val="21"/>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EFE7C8A">
            <w:pPr>
              <w:pStyle w:val="33"/>
              <w:kinsoku w:val="0"/>
              <w:overflowPunct w:val="0"/>
              <w:jc w:val="both"/>
              <w:rPr>
                <w:rFonts w:ascii="宋体" w:hAnsi="宋体"/>
                <w:color w:val="auto"/>
                <w:sz w:val="21"/>
                <w:highlight w:val="none"/>
              </w:rPr>
            </w:pPr>
            <w:r>
              <w:rPr>
                <w:rFonts w:ascii="宋体" w:hAnsi="宋体"/>
                <w:color w:val="auto"/>
                <w:sz w:val="21"/>
                <w:highlight w:val="none"/>
              </w:rPr>
              <w:t>投标保证金</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18D62825">
            <w:pPr>
              <w:spacing w:line="440" w:lineRule="exact"/>
              <w:rPr>
                <w:rFonts w:ascii="宋体" w:hAnsi="宋体"/>
                <w:color w:val="auto"/>
                <w:sz w:val="21"/>
                <w:szCs w:val="21"/>
                <w:highlight w:val="none"/>
              </w:rPr>
            </w:pPr>
            <w:r>
              <w:rPr>
                <w:rFonts w:hint="eastAsia" w:ascii="宋体" w:hAnsi="宋体"/>
                <w:color w:val="auto"/>
                <w:sz w:val="21"/>
                <w:szCs w:val="21"/>
                <w:highlight w:val="none"/>
              </w:rPr>
              <w:t>是否要求投标人递交投标保证金：</w:t>
            </w:r>
          </w:p>
          <w:p w14:paraId="5889E1C0">
            <w:pPr>
              <w:spacing w:line="440" w:lineRule="exact"/>
              <w:rPr>
                <w:rFonts w:ascii="宋体" w:hAnsi="宋体"/>
                <w:color w:val="auto"/>
                <w:sz w:val="21"/>
                <w:szCs w:val="21"/>
                <w:highlight w:val="none"/>
              </w:rPr>
            </w:pPr>
            <w:r>
              <w:rPr>
                <w:rFonts w:hint="eastAsia" w:ascii="宋体" w:hAnsi="宋体"/>
                <w:color w:val="auto"/>
                <w:sz w:val="21"/>
                <w:szCs w:val="21"/>
                <w:highlight w:val="none"/>
              </w:rPr>
              <w:sym w:font="Wingdings 2" w:char="00A3"/>
            </w:r>
            <w:r>
              <w:rPr>
                <w:rFonts w:hint="eastAsia" w:ascii="宋体" w:hAnsi="宋体"/>
                <w:color w:val="auto"/>
                <w:sz w:val="21"/>
                <w:szCs w:val="21"/>
                <w:highlight w:val="none"/>
              </w:rPr>
              <w:t>要求，投标保证金的形式：</w:t>
            </w:r>
            <w:r>
              <w:rPr>
                <w:rFonts w:hint="eastAsia" w:ascii="宋体" w:hAnsi="宋体"/>
                <w:color w:val="auto"/>
                <w:sz w:val="21"/>
                <w:szCs w:val="21"/>
                <w:highlight w:val="none"/>
                <w:u w:val="single"/>
              </w:rPr>
              <w:t>/</w:t>
            </w:r>
            <w:r>
              <w:rPr>
                <w:rFonts w:hint="eastAsia" w:ascii="宋体" w:hAnsi="宋体"/>
                <w:color w:val="auto"/>
                <w:sz w:val="21"/>
                <w:szCs w:val="21"/>
                <w:highlight w:val="none"/>
              </w:rPr>
              <w:t>。</w:t>
            </w:r>
          </w:p>
          <w:p w14:paraId="2473248C">
            <w:pPr>
              <w:spacing w:line="440" w:lineRule="exact"/>
              <w:rPr>
                <w:rFonts w:ascii="宋体" w:hAnsi="宋体"/>
                <w:color w:val="auto"/>
                <w:sz w:val="21"/>
                <w:szCs w:val="21"/>
                <w:highlight w:val="none"/>
              </w:rPr>
            </w:pPr>
            <w:r>
              <w:rPr>
                <w:rFonts w:hint="eastAsia" w:ascii="宋体" w:hAnsi="宋体"/>
                <w:color w:val="auto"/>
                <w:sz w:val="21"/>
                <w:szCs w:val="21"/>
                <w:highlight w:val="none"/>
              </w:rPr>
              <w:t>投标保证金的金额：</w:t>
            </w:r>
            <w:r>
              <w:rPr>
                <w:rFonts w:hint="eastAsia" w:ascii="宋体" w:hAnsi="宋体"/>
                <w:color w:val="auto"/>
                <w:sz w:val="21"/>
                <w:szCs w:val="21"/>
                <w:highlight w:val="none"/>
                <w:u w:val="single"/>
              </w:rPr>
              <w:t>/</w:t>
            </w:r>
            <w:r>
              <w:rPr>
                <w:rFonts w:hint="eastAsia" w:ascii="宋体" w:hAnsi="宋体"/>
                <w:color w:val="auto"/>
                <w:sz w:val="21"/>
                <w:szCs w:val="21"/>
                <w:highlight w:val="none"/>
              </w:rPr>
              <w:t>。</w:t>
            </w:r>
          </w:p>
          <w:p w14:paraId="77B99869">
            <w:pPr>
              <w:spacing w:line="440" w:lineRule="exact"/>
              <w:rPr>
                <w:rFonts w:ascii="宋体" w:hAnsi="宋体"/>
                <w:color w:val="auto"/>
                <w:sz w:val="21"/>
                <w:szCs w:val="21"/>
                <w:highlight w:val="none"/>
              </w:rPr>
            </w:pPr>
            <w:r>
              <w:rPr>
                <w:rFonts w:hint="eastAsia" w:ascii="宋体" w:hAnsi="宋体"/>
                <w:color w:val="auto"/>
                <w:sz w:val="21"/>
                <w:szCs w:val="21"/>
                <w:highlight w:val="none"/>
              </w:rPr>
              <w:fldChar w:fldCharType="begin"/>
            </w:r>
            <w:r>
              <w:rPr>
                <w:rFonts w:hint="eastAsia" w:ascii="宋体" w:hAnsi="宋体"/>
                <w:color w:val="auto"/>
                <w:sz w:val="21"/>
                <w:szCs w:val="21"/>
                <w:highlight w:val="none"/>
              </w:rPr>
              <w:instrText xml:space="preserve"> EQ \o\ac(</w:instrText>
            </w:r>
            <w:r>
              <w:rPr>
                <w:rFonts w:hint="eastAsia" w:ascii="宋体" w:hAnsi="宋体"/>
                <w:color w:val="auto"/>
                <w:position w:val="-4"/>
                <w:sz w:val="21"/>
                <w:szCs w:val="21"/>
                <w:highlight w:val="none"/>
              </w:rPr>
              <w:instrText xml:space="preserve">□</w:instrText>
            </w:r>
            <w:r>
              <w:rPr>
                <w:rFonts w:hint="eastAsia" w:ascii="宋体" w:hAnsi="宋体"/>
                <w:color w:val="auto"/>
                <w:sz w:val="21"/>
                <w:szCs w:val="21"/>
                <w:highlight w:val="none"/>
              </w:rPr>
              <w:instrText xml:space="preserve">,√)</w:instrText>
            </w:r>
            <w:r>
              <w:rPr>
                <w:rFonts w:hint="eastAsia" w:ascii="宋体" w:hAnsi="宋体"/>
                <w:color w:val="auto"/>
                <w:sz w:val="21"/>
                <w:szCs w:val="21"/>
                <w:highlight w:val="none"/>
              </w:rPr>
              <w:fldChar w:fldCharType="end"/>
            </w:r>
            <w:r>
              <w:rPr>
                <w:rFonts w:hint="eastAsia" w:ascii="宋体" w:hAnsi="宋体"/>
                <w:color w:val="auto"/>
                <w:sz w:val="21"/>
                <w:szCs w:val="21"/>
                <w:highlight w:val="none"/>
              </w:rPr>
              <w:t>不要求</w:t>
            </w:r>
          </w:p>
          <w:p w14:paraId="61A458DB">
            <w:pPr>
              <w:pStyle w:val="2"/>
              <w:ind w:left="0"/>
              <w:jc w:val="both"/>
              <w:rPr>
                <w:color w:val="auto"/>
                <w:szCs w:val="21"/>
                <w:highlight w:val="none"/>
              </w:rPr>
            </w:pPr>
            <w:r>
              <w:rPr>
                <w:rFonts w:hint="eastAsia"/>
                <w:color w:val="auto"/>
                <w:szCs w:val="21"/>
                <w:highlight w:val="none"/>
              </w:rPr>
              <w:t>1.本项目免收投标保证金，具体规定如下：提供《关于投标保证金的承诺》（详见第六章投标文件格式）。</w:t>
            </w:r>
          </w:p>
          <w:p w14:paraId="37432D03">
            <w:pPr>
              <w:pStyle w:val="2"/>
              <w:ind w:left="0"/>
              <w:jc w:val="both"/>
              <w:rPr>
                <w:rFonts w:ascii="Times New Roman" w:hAnsi="Times New Roman" w:eastAsia="Times New Roman"/>
                <w:color w:val="auto"/>
                <w:szCs w:val="21"/>
                <w:highlight w:val="none"/>
              </w:rPr>
            </w:pPr>
            <w:r>
              <w:rPr>
                <w:rFonts w:hint="eastAsia"/>
                <w:color w:val="auto"/>
                <w:szCs w:val="21"/>
                <w:highlight w:val="none"/>
              </w:rPr>
              <w:t>2.对于投标人已提供《关于投标保证金的承诺》，若投标人存在3.4.3条款所列情形，该投标人应在发现存在3.4.3条款所列情形之日起5个工作日内补交人民币2万元投标保证金；若未按要求补交投标保证金1.本项目免收投标保证金，具体规定如下：提供《关于投标保证金的承诺》（详见第六章投标文件格式）。</w:t>
            </w:r>
          </w:p>
        </w:tc>
      </w:tr>
      <w:tr w14:paraId="422F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8BE608A">
            <w:pPr>
              <w:pStyle w:val="33"/>
              <w:kinsoku w:val="0"/>
              <w:overflowPunct w:val="0"/>
              <w:jc w:val="center"/>
              <w:rPr>
                <w:rFonts w:eastAsia="Times New Roman"/>
                <w:color w:val="auto"/>
                <w:sz w:val="21"/>
                <w:highlight w:val="none"/>
              </w:rPr>
            </w:pPr>
            <w:r>
              <w:rPr>
                <w:rFonts w:hint="eastAsia" w:eastAsia="Times New Roman"/>
                <w:color w:val="auto"/>
                <w:sz w:val="21"/>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958226C">
            <w:pPr>
              <w:pStyle w:val="33"/>
              <w:kinsoku w:val="0"/>
              <w:overflowPunct w:val="0"/>
              <w:jc w:val="both"/>
              <w:rPr>
                <w:rFonts w:ascii="宋体" w:hAnsi="宋体"/>
                <w:color w:val="auto"/>
                <w:sz w:val="21"/>
                <w:highlight w:val="none"/>
              </w:rPr>
            </w:pPr>
            <w:r>
              <w:rPr>
                <w:rFonts w:ascii="宋体" w:hAnsi="宋体"/>
                <w:color w:val="auto"/>
                <w:sz w:val="21"/>
                <w:highlight w:val="none"/>
              </w:rPr>
              <w:t>资格审查资料的特殊要求</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8C8AEF4">
            <w:pPr>
              <w:pStyle w:val="33"/>
              <w:kinsoku w:val="0"/>
              <w:overflowPunct w:val="0"/>
              <w:jc w:val="both"/>
              <w:rPr>
                <w:rFonts w:ascii="宋体" w:hAnsi="宋体"/>
                <w:color w:val="auto"/>
                <w:sz w:val="21"/>
                <w:szCs w:val="21"/>
                <w:highlight w:val="none"/>
              </w:rPr>
            </w:pPr>
            <w:r>
              <w:rPr>
                <w:rFonts w:hint="eastAsia" w:eastAsia="Times New Roman"/>
                <w:color w:val="auto"/>
                <w:sz w:val="21"/>
                <w:szCs w:val="21"/>
                <w:highlight w:val="none"/>
              </w:rPr>
              <w:sym w:font="Wingdings 2" w:char="0052"/>
            </w:r>
            <w:r>
              <w:rPr>
                <w:rFonts w:ascii="宋体" w:hAnsi="宋体"/>
                <w:color w:val="auto"/>
                <w:sz w:val="21"/>
                <w:szCs w:val="21"/>
                <w:highlight w:val="none"/>
              </w:rPr>
              <w:t>无</w:t>
            </w:r>
          </w:p>
          <w:p w14:paraId="75C8CDCF">
            <w:pPr>
              <w:pStyle w:val="33"/>
              <w:kinsoku w:val="0"/>
              <w:overflowPunct w:val="0"/>
              <w:jc w:val="both"/>
              <w:rPr>
                <w:rFonts w:eastAsia="Times New Roman"/>
                <w:color w:val="auto"/>
                <w:sz w:val="21"/>
                <w:szCs w:val="21"/>
                <w:highlight w:val="none"/>
              </w:rPr>
            </w:pPr>
            <w:r>
              <w:rPr>
                <w:rFonts w:hint="eastAsia" w:eastAsia="Times New Roman"/>
                <w:color w:val="auto"/>
                <w:sz w:val="21"/>
                <w:szCs w:val="21"/>
                <w:highlight w:val="none"/>
              </w:rPr>
              <w:sym w:font="Wingdings 2" w:char="00A3"/>
            </w:r>
            <w:r>
              <w:rPr>
                <w:rFonts w:ascii="宋体" w:hAnsi="宋体"/>
                <w:color w:val="auto"/>
                <w:sz w:val="21"/>
                <w:szCs w:val="21"/>
                <w:highlight w:val="none"/>
              </w:rPr>
              <w:t>有，具体要求：</w:t>
            </w:r>
          </w:p>
        </w:tc>
      </w:tr>
      <w:tr w14:paraId="5424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9B6D5FC">
            <w:pPr>
              <w:pStyle w:val="33"/>
              <w:kinsoku w:val="0"/>
              <w:overflowPunct w:val="0"/>
              <w:jc w:val="center"/>
              <w:rPr>
                <w:rFonts w:eastAsia="Times New Roman"/>
                <w:strike/>
                <w:color w:val="auto"/>
                <w:sz w:val="21"/>
                <w:highlight w:val="none"/>
              </w:rPr>
            </w:pPr>
            <w:r>
              <w:rPr>
                <w:rFonts w:hint="eastAsia" w:eastAsia="Times New Roman"/>
                <w:strike/>
                <w:color w:val="auto"/>
                <w:sz w:val="21"/>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B383619">
            <w:pPr>
              <w:pStyle w:val="33"/>
              <w:kinsoku w:val="0"/>
              <w:overflowPunct w:val="0"/>
              <w:jc w:val="both"/>
              <w:rPr>
                <w:rFonts w:ascii="宋体" w:hAnsi="宋体"/>
                <w:strike/>
                <w:color w:val="auto"/>
                <w:sz w:val="21"/>
                <w:highlight w:val="none"/>
              </w:rPr>
            </w:pPr>
            <w:r>
              <w:rPr>
                <w:rFonts w:ascii="宋体" w:hAnsi="宋体"/>
                <w:strike/>
                <w:color w:val="auto"/>
                <w:sz w:val="21"/>
                <w:highlight w:val="none"/>
              </w:rPr>
              <w:t>近年完成的类似项目情况的时间要求</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2C405188">
            <w:pPr>
              <w:pStyle w:val="33"/>
              <w:tabs>
                <w:tab w:val="left" w:pos="799"/>
                <w:tab w:val="left" w:pos="1569"/>
                <w:tab w:val="left" w:pos="2340"/>
              </w:tabs>
              <w:kinsoku w:val="0"/>
              <w:overflowPunct w:val="0"/>
              <w:jc w:val="both"/>
              <w:rPr>
                <w:rFonts w:ascii="宋体"/>
                <w:strike/>
                <w:color w:val="auto"/>
                <w:sz w:val="21"/>
                <w:szCs w:val="21"/>
                <w:highlight w:val="none"/>
              </w:rPr>
            </w:pPr>
            <w:r>
              <w:rPr>
                <w:rFonts w:hint="eastAsia" w:eastAsia="Times New Roman"/>
                <w:strike/>
                <w:color w:val="auto"/>
                <w:sz w:val="21"/>
                <w:szCs w:val="21"/>
                <w:highlight w:val="none"/>
                <w:u w:val="single"/>
              </w:rPr>
              <w:t xml:space="preserve"> </w:t>
            </w:r>
            <w:r>
              <w:rPr>
                <w:rFonts w:hint="eastAsia" w:eastAsia="Times New Roman"/>
                <w:strike/>
                <w:color w:val="auto"/>
                <w:sz w:val="21"/>
                <w:szCs w:val="21"/>
                <w:highlight w:val="none"/>
                <w:u w:val="single"/>
              </w:rPr>
              <w:tab/>
            </w:r>
            <w:r>
              <w:rPr>
                <w:rFonts w:ascii="宋体" w:hAnsi="宋体"/>
                <w:strike/>
                <w:color w:val="auto"/>
                <w:sz w:val="21"/>
                <w:szCs w:val="21"/>
                <w:highlight w:val="none"/>
              </w:rPr>
              <w:t>年</w:t>
            </w:r>
            <w:r>
              <w:rPr>
                <w:rFonts w:hint="eastAsia" w:eastAsia="Times New Roman"/>
                <w:strike/>
                <w:color w:val="auto"/>
                <w:sz w:val="21"/>
                <w:szCs w:val="21"/>
                <w:highlight w:val="none"/>
                <w:u w:val="single"/>
              </w:rPr>
              <w:tab/>
            </w:r>
            <w:r>
              <w:rPr>
                <w:rFonts w:ascii="宋体" w:hAnsi="宋体"/>
                <w:strike/>
                <w:color w:val="auto"/>
                <w:sz w:val="21"/>
                <w:szCs w:val="21"/>
                <w:highlight w:val="none"/>
              </w:rPr>
              <w:t>月</w:t>
            </w:r>
            <w:r>
              <w:rPr>
                <w:rFonts w:hint="eastAsia" w:eastAsia="Times New Roman"/>
                <w:strike/>
                <w:color w:val="auto"/>
                <w:sz w:val="21"/>
                <w:szCs w:val="21"/>
                <w:highlight w:val="none"/>
                <w:u w:val="single"/>
              </w:rPr>
              <w:tab/>
            </w:r>
            <w:r>
              <w:rPr>
                <w:rFonts w:ascii="宋体" w:hAnsi="宋体"/>
                <w:strike/>
                <w:color w:val="auto"/>
                <w:sz w:val="21"/>
                <w:szCs w:val="21"/>
                <w:highlight w:val="none"/>
              </w:rPr>
              <w:t>日至今</w:t>
            </w:r>
          </w:p>
        </w:tc>
      </w:tr>
      <w:tr w14:paraId="3417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5542F41">
            <w:pPr>
              <w:pStyle w:val="33"/>
              <w:kinsoku w:val="0"/>
              <w:overflowPunct w:val="0"/>
              <w:jc w:val="center"/>
              <w:rPr>
                <w:rFonts w:eastAsia="Times New Roman"/>
                <w:color w:val="auto"/>
                <w:sz w:val="21"/>
                <w:highlight w:val="none"/>
              </w:rPr>
            </w:pPr>
            <w:r>
              <w:rPr>
                <w:rFonts w:hint="eastAsia" w:eastAsia="Times New Roman"/>
                <w:color w:val="auto"/>
                <w:sz w:val="21"/>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BD51528">
            <w:pPr>
              <w:pStyle w:val="33"/>
              <w:kinsoku w:val="0"/>
              <w:overflowPunct w:val="0"/>
              <w:jc w:val="both"/>
              <w:rPr>
                <w:rFonts w:ascii="宋体" w:hAnsi="宋体"/>
                <w:color w:val="auto"/>
                <w:sz w:val="21"/>
                <w:highlight w:val="none"/>
              </w:rPr>
            </w:pPr>
            <w:r>
              <w:rPr>
                <w:rFonts w:ascii="宋体" w:hAnsi="宋体"/>
                <w:color w:val="auto"/>
                <w:sz w:val="21"/>
                <w:highlight w:val="none"/>
              </w:rPr>
              <w:t>是否允许递交备选投标方案</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45A4DB1B">
            <w:pPr>
              <w:pStyle w:val="33"/>
              <w:kinsoku w:val="0"/>
              <w:overflowPunct w:val="0"/>
              <w:jc w:val="both"/>
              <w:rPr>
                <w:rFonts w:ascii="宋体" w:hAnsi="宋体"/>
                <w:color w:val="auto"/>
                <w:sz w:val="21"/>
                <w:szCs w:val="21"/>
                <w:highlight w:val="none"/>
              </w:rPr>
            </w:pPr>
            <w:r>
              <w:rPr>
                <w:rFonts w:hint="eastAsia" w:eastAsia="Times New Roman"/>
                <w:color w:val="auto"/>
                <w:sz w:val="21"/>
                <w:szCs w:val="21"/>
                <w:highlight w:val="none"/>
              </w:rPr>
              <w:sym w:font="Wingdings 2" w:char="0052"/>
            </w:r>
            <w:r>
              <w:rPr>
                <w:rFonts w:ascii="宋体" w:hAnsi="宋体"/>
                <w:color w:val="auto"/>
                <w:sz w:val="21"/>
                <w:szCs w:val="21"/>
                <w:highlight w:val="none"/>
              </w:rPr>
              <w:t>不允许</w:t>
            </w:r>
          </w:p>
          <w:p w14:paraId="34F10266">
            <w:pPr>
              <w:pStyle w:val="33"/>
              <w:kinsoku w:val="0"/>
              <w:overflowPunct w:val="0"/>
              <w:jc w:val="both"/>
              <w:rPr>
                <w:rFonts w:eastAsia="Times New Roman"/>
                <w:color w:val="auto"/>
                <w:sz w:val="21"/>
                <w:szCs w:val="21"/>
                <w:highlight w:val="none"/>
              </w:rPr>
            </w:pPr>
            <w:r>
              <w:rPr>
                <w:rFonts w:hint="eastAsia" w:eastAsia="Times New Roman"/>
                <w:color w:val="auto"/>
                <w:sz w:val="21"/>
                <w:szCs w:val="21"/>
                <w:highlight w:val="none"/>
              </w:rPr>
              <w:sym w:font="Wingdings 2" w:char="00A3"/>
            </w:r>
            <w:r>
              <w:rPr>
                <w:rFonts w:ascii="宋体" w:hAnsi="宋体"/>
                <w:color w:val="auto"/>
                <w:sz w:val="21"/>
                <w:szCs w:val="21"/>
                <w:highlight w:val="none"/>
              </w:rPr>
              <w:t>允许</w:t>
            </w:r>
          </w:p>
        </w:tc>
      </w:tr>
      <w:tr w14:paraId="2B46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A66910C">
            <w:pPr>
              <w:pStyle w:val="33"/>
              <w:kinsoku w:val="0"/>
              <w:overflowPunct w:val="0"/>
              <w:jc w:val="center"/>
              <w:rPr>
                <w:rFonts w:eastAsia="Times New Roman"/>
                <w:color w:val="auto"/>
                <w:sz w:val="21"/>
                <w:highlight w:val="none"/>
              </w:rPr>
            </w:pPr>
            <w:r>
              <w:rPr>
                <w:rFonts w:hint="eastAsia" w:eastAsia="Times New Roman"/>
                <w:color w:val="auto"/>
                <w:sz w:val="21"/>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E3C3041">
            <w:pPr>
              <w:pStyle w:val="33"/>
              <w:kinsoku w:val="0"/>
              <w:overflowPunct w:val="0"/>
              <w:jc w:val="both"/>
              <w:rPr>
                <w:rFonts w:ascii="宋体" w:hAnsi="宋体"/>
                <w:color w:val="auto"/>
                <w:sz w:val="21"/>
                <w:highlight w:val="none"/>
              </w:rPr>
            </w:pPr>
            <w:r>
              <w:rPr>
                <w:rFonts w:ascii="宋体" w:hAnsi="宋体"/>
                <w:color w:val="auto"/>
                <w:sz w:val="21"/>
                <w:highlight w:val="none"/>
              </w:rPr>
              <w:t>投标文件签字或盖章要求</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46CB0C48">
            <w:pPr>
              <w:jc w:val="both"/>
              <w:rPr>
                <w:color w:val="auto"/>
                <w:sz w:val="21"/>
                <w:szCs w:val="21"/>
                <w:highlight w:val="none"/>
              </w:rPr>
            </w:pPr>
            <w:r>
              <w:rPr>
                <w:rFonts w:ascii="宋体" w:hAnsi="宋体"/>
                <w:color w:val="auto"/>
                <w:sz w:val="21"/>
                <w:szCs w:val="21"/>
                <w:highlight w:val="none"/>
              </w:rPr>
              <w:t>投标文件格式规定需个人签字的，应签字或签章后扫描上传</w:t>
            </w:r>
            <w:r>
              <w:rPr>
                <w:rFonts w:hint="eastAsia"/>
                <w:color w:val="auto"/>
                <w:kern w:val="2"/>
                <w:sz w:val="21"/>
                <w:szCs w:val="21"/>
                <w:highlight w:val="none"/>
              </w:rPr>
              <w:t>（</w:t>
            </w:r>
            <w:r>
              <w:rPr>
                <w:rFonts w:ascii="Calibri" w:hAnsi="Calibri"/>
                <w:color w:val="auto"/>
                <w:kern w:val="2"/>
                <w:sz w:val="21"/>
                <w:szCs w:val="21"/>
                <w:highlight w:val="none"/>
              </w:rPr>
              <w:t>可靠的电子签名与手写签名或者盖章具有同等的法律效力</w:t>
            </w:r>
            <w:r>
              <w:rPr>
                <w:rFonts w:hint="eastAsia"/>
                <w:color w:val="auto"/>
                <w:kern w:val="2"/>
                <w:sz w:val="21"/>
                <w:szCs w:val="21"/>
                <w:highlight w:val="none"/>
              </w:rPr>
              <w:t>）</w:t>
            </w:r>
            <w:r>
              <w:rPr>
                <w:rFonts w:ascii="宋体" w:hAnsi="宋体"/>
                <w:color w:val="auto"/>
                <w:sz w:val="21"/>
                <w:szCs w:val="21"/>
                <w:highlight w:val="none"/>
              </w:rPr>
              <w:t>。投标文件格式规定盖单位公章的页面必须盖单位公章（公章与电子公章具有相同法律效力）</w:t>
            </w:r>
          </w:p>
        </w:tc>
      </w:tr>
      <w:tr w14:paraId="172C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F15D9B9">
            <w:pPr>
              <w:pStyle w:val="33"/>
              <w:kinsoku w:val="0"/>
              <w:overflowPunct w:val="0"/>
              <w:jc w:val="center"/>
              <w:rPr>
                <w:rFonts w:eastAsia="Times New Roman"/>
                <w:color w:val="auto"/>
                <w:sz w:val="21"/>
                <w:highlight w:val="none"/>
              </w:rPr>
            </w:pPr>
            <w:r>
              <w:rPr>
                <w:rFonts w:hint="eastAsia" w:eastAsia="Times New Roman"/>
                <w:color w:val="auto"/>
                <w:sz w:val="21"/>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D4C7B86">
            <w:pPr>
              <w:pStyle w:val="33"/>
              <w:kinsoku w:val="0"/>
              <w:overflowPunct w:val="0"/>
              <w:jc w:val="both"/>
              <w:rPr>
                <w:rFonts w:ascii="宋体" w:hAnsi="宋体"/>
                <w:color w:val="auto"/>
                <w:sz w:val="21"/>
                <w:highlight w:val="none"/>
              </w:rPr>
            </w:pPr>
            <w:r>
              <w:rPr>
                <w:rFonts w:ascii="宋体" w:hAnsi="宋体"/>
                <w:color w:val="auto"/>
                <w:sz w:val="21"/>
                <w:highlight w:val="none"/>
              </w:rPr>
              <w:t>投标截止时间</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B2C51D9">
            <w:pPr>
              <w:spacing w:before="48" w:beforeLines="20" w:after="48" w:afterLines="20"/>
              <w:ind w:left="48" w:leftChars="20" w:right="48" w:rightChars="20"/>
              <w:rPr>
                <w:rFonts w:eastAsia="Times New Roman"/>
                <w:color w:val="auto"/>
                <w:sz w:val="21"/>
                <w:szCs w:val="21"/>
                <w:highlight w:val="none"/>
              </w:rPr>
            </w:pPr>
            <w:r>
              <w:rPr>
                <w:rFonts w:ascii="宋体"/>
                <w:color w:val="auto"/>
                <w:sz w:val="21"/>
                <w:szCs w:val="21"/>
                <w:highlight w:val="none"/>
              </w:rPr>
              <w:t>投标截止时间：</w:t>
            </w:r>
            <w:r>
              <w:rPr>
                <w:rFonts w:ascii="宋体"/>
                <w:color w:val="auto"/>
                <w:sz w:val="21"/>
                <w:highlight w:val="none"/>
                <w:u w:val="single"/>
              </w:rPr>
              <w:t xml:space="preserve">       年     月      日     时   分</w:t>
            </w:r>
            <w:r>
              <w:rPr>
                <w:rFonts w:ascii="宋体"/>
                <w:color w:val="auto"/>
                <w:sz w:val="21"/>
                <w:highlight w:val="none"/>
              </w:rPr>
              <w:t>（北京时间）</w:t>
            </w:r>
          </w:p>
        </w:tc>
      </w:tr>
      <w:tr w14:paraId="37CC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7C8E976">
            <w:pPr>
              <w:pStyle w:val="33"/>
              <w:kinsoku w:val="0"/>
              <w:overflowPunct w:val="0"/>
              <w:jc w:val="center"/>
              <w:rPr>
                <w:rFonts w:eastAsia="Times New Roman"/>
                <w:color w:val="auto"/>
                <w:sz w:val="21"/>
                <w:highlight w:val="none"/>
              </w:rPr>
            </w:pPr>
            <w:r>
              <w:rPr>
                <w:rFonts w:hint="eastAsia" w:eastAsia="Times New Roman"/>
                <w:color w:val="auto"/>
                <w:sz w:val="21"/>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662847D">
            <w:pPr>
              <w:pStyle w:val="33"/>
              <w:kinsoku w:val="0"/>
              <w:overflowPunct w:val="0"/>
              <w:jc w:val="both"/>
              <w:rPr>
                <w:rFonts w:ascii="宋体" w:hAnsi="宋体"/>
                <w:color w:val="auto"/>
                <w:sz w:val="21"/>
                <w:highlight w:val="none"/>
              </w:rPr>
            </w:pPr>
            <w:r>
              <w:rPr>
                <w:rFonts w:ascii="宋体" w:hAnsi="宋体"/>
                <w:color w:val="auto"/>
                <w:sz w:val="21"/>
                <w:highlight w:val="none"/>
              </w:rPr>
              <w:t>开标时间和地点</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71934E0">
            <w:pPr>
              <w:spacing w:before="120" w:beforeLines="50"/>
              <w:jc w:val="both"/>
              <w:rPr>
                <w:color w:val="auto"/>
                <w:sz w:val="21"/>
                <w:szCs w:val="21"/>
                <w:highlight w:val="none"/>
              </w:rPr>
            </w:pPr>
            <w:r>
              <w:rPr>
                <w:color w:val="auto"/>
                <w:sz w:val="21"/>
                <w:szCs w:val="21"/>
                <w:highlight w:val="none"/>
              </w:rPr>
              <w:t>1</w:t>
            </w:r>
            <w:r>
              <w:rPr>
                <w:rFonts w:ascii="宋体"/>
                <w:color w:val="auto"/>
                <w:sz w:val="21"/>
                <w:szCs w:val="21"/>
                <w:highlight w:val="none"/>
              </w:rPr>
              <w:t>、开标时间：同投标截止时间</w:t>
            </w:r>
          </w:p>
          <w:p w14:paraId="50845203">
            <w:pPr>
              <w:spacing w:before="120" w:beforeLines="50" w:line="360" w:lineRule="auto"/>
              <w:contextualSpacing/>
              <w:jc w:val="both"/>
              <w:rPr>
                <w:color w:val="auto"/>
                <w:sz w:val="21"/>
                <w:szCs w:val="21"/>
                <w:highlight w:val="none"/>
              </w:rPr>
            </w:pPr>
            <w:r>
              <w:rPr>
                <w:rFonts w:ascii="宋体" w:hAnsi="宋体" w:cs="宋体"/>
                <w:color w:val="auto"/>
                <w:sz w:val="21"/>
                <w:szCs w:val="21"/>
                <w:highlight w:val="none"/>
              </w:rPr>
              <w:t>2、开标地点：</w:t>
            </w:r>
            <w:r>
              <w:rPr>
                <w:rFonts w:hint="eastAsia" w:ascii="宋体" w:hAnsi="宋体"/>
                <w:color w:val="auto"/>
                <w:sz w:val="21"/>
                <w:szCs w:val="21"/>
                <w:highlight w:val="none"/>
                <w:u w:val="single"/>
              </w:rPr>
              <w:t>本项目具体的招投标活动日程安排及场地安排以广州交易集团有限公司（广州公共资源交易中心）网站公布的为准。</w:t>
            </w:r>
          </w:p>
          <w:p w14:paraId="4C37520D">
            <w:pPr>
              <w:spacing w:before="120" w:beforeLines="50" w:line="360" w:lineRule="auto"/>
              <w:contextualSpacing/>
              <w:jc w:val="both"/>
              <w:rPr>
                <w:rFonts w:ascii="宋体" w:hAns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、提交投标文件光盘备用</w:t>
            </w:r>
          </w:p>
          <w:p w14:paraId="5BAF4A19">
            <w:pPr>
              <w:spacing w:before="120" w:beforeLines="50" w:line="360" w:lineRule="auto"/>
              <w:contextualSpacing/>
              <w:jc w:val="both"/>
              <w:rPr>
                <w:rFonts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C827B0F">
            <w:pPr>
              <w:spacing w:before="120" w:beforeLines="50" w:line="360" w:lineRule="auto"/>
              <w:contextualSpacing/>
              <w:jc w:val="both"/>
              <w:rPr>
                <w:rFonts w:ascii="宋体" w:hAnsi="宋体" w:cs="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、补救方案</w:t>
            </w:r>
          </w:p>
          <w:p w14:paraId="272A0351">
            <w:pPr>
              <w:spacing w:before="120" w:beforeLines="50" w:line="360" w:lineRule="auto"/>
              <w:contextualSpacing/>
              <w:jc w:val="both"/>
              <w:rPr>
                <w:rFonts w:ascii="宋体" w:hAnsi="宋体" w:cs="宋体"/>
                <w:color w:val="auto"/>
                <w:sz w:val="21"/>
                <w:szCs w:val="21"/>
                <w:highlight w:val="none"/>
              </w:rPr>
            </w:pPr>
            <w:r>
              <w:rPr>
                <w:rFonts w:hint="eastAsia" w:ascii="宋体" w:hAnsi="宋体" w:cs="宋体"/>
                <w:color w:val="auto"/>
                <w:sz w:val="21"/>
                <w:szCs w:val="21"/>
                <w:highlight w:val="none"/>
              </w:rPr>
              <w:t>（1）投标文件解密失败的补救方案：</w:t>
            </w:r>
          </w:p>
          <w:p w14:paraId="6EC53BD9">
            <w:pPr>
              <w:spacing w:before="120" w:beforeLines="50" w:line="360" w:lineRule="auto"/>
              <w:contextualSpacing/>
              <w:jc w:val="both"/>
              <w:rPr>
                <w:rFonts w:ascii="宋体" w:hAnsi="宋体" w:cs="宋体"/>
                <w:color w:val="auto"/>
                <w:sz w:val="21"/>
                <w:szCs w:val="21"/>
                <w:highlight w:val="none"/>
              </w:rPr>
            </w:pPr>
            <w:r>
              <w:rPr>
                <w:rFonts w:hint="eastAsia" w:ascii="宋体" w:hAnsi="宋体" w:cs="宋体"/>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72425AD">
            <w:pPr>
              <w:spacing w:before="120" w:beforeLines="50" w:line="360" w:lineRule="auto"/>
              <w:contextualSpacing/>
              <w:jc w:val="both"/>
              <w:rPr>
                <w:rFonts w:ascii="宋体" w:hAnsi="宋体" w:cs="宋体"/>
                <w:color w:val="auto"/>
                <w:sz w:val="21"/>
                <w:szCs w:val="21"/>
                <w:highlight w:val="none"/>
              </w:rPr>
            </w:pPr>
            <w:r>
              <w:rPr>
                <w:rFonts w:hint="eastAsia" w:ascii="宋体" w:hAnsi="宋体" w:cs="宋体"/>
                <w:color w:val="auto"/>
                <w:sz w:val="21"/>
                <w:szCs w:val="21"/>
                <w:highlight w:val="none"/>
              </w:rPr>
              <w:t>（2）评标时突发情况的补救方案</w:t>
            </w:r>
          </w:p>
          <w:p w14:paraId="59B753AF">
            <w:pPr>
              <w:spacing w:before="120" w:beforeLines="50" w:line="360" w:lineRule="auto"/>
              <w:contextualSpacing/>
              <w:jc w:val="both"/>
              <w:rPr>
                <w:rFonts w:ascii="宋体" w:hAnsi="宋体" w:cs="宋体"/>
                <w:color w:val="auto"/>
                <w:sz w:val="21"/>
                <w:szCs w:val="21"/>
                <w:highlight w:val="none"/>
              </w:rPr>
            </w:pPr>
            <w:r>
              <w:rPr>
                <w:rFonts w:hint="eastAsia" w:ascii="宋体" w:hAnsi="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13B82265">
            <w:pPr>
              <w:spacing w:before="120" w:beforeLines="50"/>
              <w:contextualSpacing/>
              <w:jc w:val="both"/>
              <w:rPr>
                <w:rFonts w:ascii="Calibri" w:hAnsi="Calibri"/>
                <w:color w:val="auto"/>
                <w:kern w:val="2"/>
                <w:sz w:val="21"/>
                <w:szCs w:val="21"/>
                <w:highlight w:val="none"/>
              </w:rPr>
            </w:pPr>
            <w:r>
              <w:rPr>
                <w:rFonts w:hint="eastAsia" w:ascii="宋体" w:hAnsi="宋体" w:cs="宋体"/>
                <w:color w:val="auto"/>
                <w:sz w:val="21"/>
                <w:szCs w:val="21"/>
                <w:highlight w:val="none"/>
              </w:rPr>
              <w:t>（3）除发生上述情况外，开标评标均以投标人通过交易平台网上递交的电子投标文件为准。</w:t>
            </w:r>
          </w:p>
          <w:p w14:paraId="71042544">
            <w:pPr>
              <w:spacing w:before="120" w:beforeLines="50"/>
              <w:contextualSpacing/>
              <w:jc w:val="both"/>
              <w:rPr>
                <w:color w:val="auto"/>
                <w:sz w:val="21"/>
                <w:szCs w:val="21"/>
                <w:highlight w:val="none"/>
              </w:rPr>
            </w:pPr>
            <w:r>
              <w:rPr>
                <w:rFonts w:hint="eastAsia" w:ascii="Calibri" w:hAnsi="Calibri"/>
                <w:color w:val="auto"/>
                <w:kern w:val="2"/>
                <w:sz w:val="21"/>
                <w:szCs w:val="21"/>
                <w:highlight w:val="none"/>
              </w:rPr>
              <w:t>开标时，投标人代表有权参加现场开标或在线开标，也可以自主决定不参加开标</w:t>
            </w:r>
            <w:r>
              <w:rPr>
                <w:rFonts w:hint="eastAsia"/>
                <w:color w:val="auto"/>
                <w:kern w:val="2"/>
                <w:sz w:val="21"/>
                <w:szCs w:val="21"/>
                <w:highlight w:val="none"/>
              </w:rPr>
              <w:t>，</w:t>
            </w:r>
            <w:r>
              <w:rPr>
                <w:rFonts w:hint="eastAsia"/>
                <w:color w:val="auto"/>
                <w:sz w:val="21"/>
                <w:szCs w:val="21"/>
                <w:highlight w:val="none"/>
              </w:rPr>
              <w:t>投标人选择参加在线开标的，具体按照交易平台相关指南进行操作。</w:t>
            </w:r>
          </w:p>
          <w:p w14:paraId="108234DC">
            <w:pPr>
              <w:spacing w:before="174"/>
              <w:jc w:val="both"/>
              <w:rPr>
                <w:rFonts w:eastAsia="Times New Roman"/>
                <w:color w:val="auto"/>
                <w:sz w:val="21"/>
                <w:szCs w:val="21"/>
                <w:highlight w:val="none"/>
              </w:rPr>
            </w:pPr>
            <w:r>
              <w:rPr>
                <w:color w:val="auto"/>
                <w:sz w:val="21"/>
                <w:szCs w:val="21"/>
                <w:highlight w:val="none"/>
              </w:rPr>
              <w:t>6</w:t>
            </w:r>
            <w:r>
              <w:rPr>
                <w:rFonts w:hint="eastAsia"/>
                <w:color w:val="auto"/>
                <w:sz w:val="21"/>
                <w:szCs w:val="21"/>
                <w:highlight w:val="none"/>
              </w:rPr>
              <w:t>、上述时间及地点是否有改变，请密切留意补充公告或招标答疑纪要的相关信息。</w:t>
            </w:r>
          </w:p>
        </w:tc>
      </w:tr>
      <w:tr w14:paraId="579A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BB58DD9">
            <w:pPr>
              <w:pStyle w:val="33"/>
              <w:kinsoku w:val="0"/>
              <w:overflowPunct w:val="0"/>
              <w:jc w:val="center"/>
              <w:rPr>
                <w:rFonts w:eastAsia="Times New Roman"/>
                <w:color w:val="auto"/>
                <w:sz w:val="21"/>
                <w:highlight w:val="none"/>
              </w:rPr>
            </w:pPr>
            <w:r>
              <w:rPr>
                <w:rFonts w:hint="eastAsia" w:eastAsia="Times New Roman"/>
                <w:color w:val="auto"/>
                <w:sz w:val="21"/>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55DE539">
            <w:pPr>
              <w:pStyle w:val="33"/>
              <w:kinsoku w:val="0"/>
              <w:overflowPunct w:val="0"/>
              <w:jc w:val="both"/>
              <w:rPr>
                <w:rFonts w:ascii="宋体" w:hAnsi="宋体"/>
                <w:color w:val="auto"/>
                <w:sz w:val="21"/>
                <w:highlight w:val="none"/>
              </w:rPr>
            </w:pPr>
            <w:r>
              <w:rPr>
                <w:rFonts w:ascii="宋体" w:hAnsi="宋体"/>
                <w:color w:val="auto"/>
                <w:sz w:val="21"/>
                <w:highlight w:val="none"/>
              </w:rPr>
              <w:t>评标委员会的组建</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0AAD2542">
            <w:pPr>
              <w:pStyle w:val="33"/>
              <w:tabs>
                <w:tab w:val="left" w:pos="2309"/>
                <w:tab w:val="left" w:pos="3826"/>
              </w:tabs>
              <w:kinsoku w:val="0"/>
              <w:overflowPunct w:val="0"/>
              <w:spacing w:line="440" w:lineRule="atLeast"/>
              <w:jc w:val="both"/>
              <w:rPr>
                <w:rFonts w:eastAsiaTheme="minorEastAsia"/>
                <w:color w:val="auto"/>
                <w:sz w:val="21"/>
                <w:szCs w:val="21"/>
                <w:highlight w:val="none"/>
              </w:rPr>
            </w:pPr>
            <w:r>
              <w:rPr>
                <w:rFonts w:hint="eastAsia" w:eastAsia="Times New Roman"/>
                <w:color w:val="auto"/>
                <w:sz w:val="21"/>
                <w:szCs w:val="21"/>
                <w:highlight w:val="none"/>
                <w:u w:val="single"/>
              </w:rPr>
              <w:t>由招标人依法组建。</w:t>
            </w:r>
          </w:p>
        </w:tc>
      </w:tr>
      <w:tr w14:paraId="629F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B6CD17D">
            <w:pPr>
              <w:pStyle w:val="33"/>
              <w:kinsoku w:val="0"/>
              <w:overflowPunct w:val="0"/>
              <w:jc w:val="center"/>
              <w:rPr>
                <w:rFonts w:eastAsia="Times New Roman"/>
                <w:color w:val="auto"/>
                <w:sz w:val="21"/>
                <w:highlight w:val="none"/>
              </w:rPr>
            </w:pPr>
            <w:r>
              <w:rPr>
                <w:rFonts w:hint="eastAsia" w:eastAsia="Times New Roman"/>
                <w:color w:val="auto"/>
                <w:sz w:val="21"/>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0AEA81D">
            <w:pPr>
              <w:pStyle w:val="33"/>
              <w:kinsoku w:val="0"/>
              <w:overflowPunct w:val="0"/>
              <w:jc w:val="both"/>
              <w:rPr>
                <w:rFonts w:ascii="宋体" w:hAnsi="宋体"/>
                <w:color w:val="auto"/>
                <w:sz w:val="21"/>
                <w:highlight w:val="none"/>
              </w:rPr>
            </w:pPr>
            <w:r>
              <w:rPr>
                <w:rFonts w:ascii="宋体" w:hAnsi="宋体"/>
                <w:color w:val="auto"/>
                <w:sz w:val="21"/>
                <w:highlight w:val="none"/>
              </w:rPr>
              <w:t>评标委员会推荐中标候选人的人数</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4469EFC">
            <w:pPr>
              <w:jc w:val="both"/>
              <w:rPr>
                <w:rFonts w:eastAsia="Times New Roman"/>
                <w:color w:val="auto"/>
                <w:sz w:val="21"/>
                <w:szCs w:val="21"/>
                <w:highlight w:val="none"/>
              </w:rPr>
            </w:pPr>
            <w:r>
              <w:rPr>
                <w:rFonts w:hint="eastAsia" w:ascii="宋体" w:hAnsi="宋体"/>
                <w:color w:val="auto"/>
                <w:sz w:val="21"/>
                <w:szCs w:val="21"/>
                <w:highlight w:val="none"/>
                <w:u w:val="single"/>
              </w:rPr>
              <w:t>推荐中标候选人的人数：3人。</w:t>
            </w:r>
          </w:p>
        </w:tc>
      </w:tr>
      <w:tr w14:paraId="59EB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CE3F1BB">
            <w:pPr>
              <w:pStyle w:val="33"/>
              <w:kinsoku w:val="0"/>
              <w:overflowPunct w:val="0"/>
              <w:jc w:val="center"/>
              <w:rPr>
                <w:rFonts w:eastAsia="Times New Roman"/>
                <w:color w:val="auto"/>
                <w:sz w:val="21"/>
                <w:highlight w:val="none"/>
              </w:rPr>
            </w:pPr>
            <w:r>
              <w:rPr>
                <w:rFonts w:hint="eastAsia" w:eastAsia="Times New Roman"/>
                <w:color w:val="auto"/>
                <w:sz w:val="21"/>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AC1E703">
            <w:pPr>
              <w:pStyle w:val="33"/>
              <w:kinsoku w:val="0"/>
              <w:overflowPunct w:val="0"/>
              <w:jc w:val="both"/>
              <w:rPr>
                <w:rFonts w:ascii="宋体" w:hAnsi="宋体"/>
                <w:color w:val="auto"/>
                <w:sz w:val="21"/>
                <w:highlight w:val="none"/>
              </w:rPr>
            </w:pPr>
            <w:r>
              <w:rPr>
                <w:rFonts w:ascii="宋体" w:hAnsi="宋体"/>
                <w:color w:val="auto"/>
                <w:sz w:val="21"/>
                <w:highlight w:val="none"/>
              </w:rPr>
              <w:t>中标候选人公示媒介及期限</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690A6BA8">
            <w:pPr>
              <w:spacing w:before="171"/>
              <w:ind w:left="40"/>
              <w:jc w:val="both"/>
              <w:rPr>
                <w:rFonts w:ascii="宋体" w:hAnsi="宋体" w:cs="宋体"/>
                <w:color w:val="auto"/>
                <w:sz w:val="21"/>
                <w:szCs w:val="21"/>
                <w:highlight w:val="none"/>
              </w:rPr>
            </w:pPr>
            <w:r>
              <w:rPr>
                <w:rFonts w:ascii="宋体" w:hAnsi="宋体" w:cs="宋体"/>
                <w:color w:val="auto"/>
                <w:spacing w:val="-11"/>
                <w:sz w:val="21"/>
                <w:szCs w:val="21"/>
                <w:highlight w:val="none"/>
              </w:rPr>
              <w:t>公</w:t>
            </w:r>
            <w:r>
              <w:rPr>
                <w:rFonts w:ascii="宋体" w:hAnsi="宋体" w:cs="宋体"/>
                <w:color w:val="auto"/>
                <w:spacing w:val="-10"/>
                <w:sz w:val="21"/>
                <w:szCs w:val="21"/>
                <w:highlight w:val="none"/>
              </w:rPr>
              <w:t>示媒介：</w:t>
            </w:r>
            <w:r>
              <w:rPr>
                <w:rFonts w:hint="eastAsia" w:ascii="宋体" w:hAnsi="宋体" w:cs="宋体"/>
                <w:color w:val="auto"/>
                <w:sz w:val="21"/>
                <w:szCs w:val="21"/>
                <w:highlight w:val="none"/>
                <w:lang w:val="zh-CN"/>
              </w:rPr>
              <w:t>广州交易集团有限公司（广州公共资源交易中心）</w:t>
            </w:r>
            <w:r>
              <w:rPr>
                <w:rFonts w:ascii="宋体" w:hAnsi="宋体" w:cs="宋体"/>
                <w:color w:val="auto"/>
                <w:sz w:val="21"/>
                <w:szCs w:val="21"/>
                <w:highlight w:val="none"/>
                <w:lang w:val="zh-CN"/>
              </w:rPr>
              <w:t>网和广东省招标投标监管网</w:t>
            </w:r>
          </w:p>
          <w:p w14:paraId="1AF755DC">
            <w:pPr>
              <w:pStyle w:val="33"/>
              <w:tabs>
                <w:tab w:val="left" w:pos="2100"/>
              </w:tabs>
              <w:kinsoku w:val="0"/>
              <w:overflowPunct w:val="0"/>
              <w:jc w:val="both"/>
              <w:rPr>
                <w:rFonts w:eastAsia="Times New Roman"/>
                <w:color w:val="auto"/>
                <w:sz w:val="21"/>
                <w:szCs w:val="21"/>
                <w:highlight w:val="none"/>
              </w:rPr>
            </w:pPr>
            <w:r>
              <w:rPr>
                <w:rFonts w:ascii="宋体" w:hAnsi="宋体" w:cs="宋体"/>
                <w:color w:val="auto"/>
                <w:spacing w:val="-8"/>
                <w:sz w:val="21"/>
                <w:szCs w:val="21"/>
                <w:highlight w:val="none"/>
              </w:rPr>
              <w:t>公示期</w:t>
            </w:r>
            <w:r>
              <w:rPr>
                <w:rFonts w:ascii="宋体" w:hAnsi="宋体" w:cs="宋体"/>
                <w:color w:val="auto"/>
                <w:spacing w:val="-4"/>
                <w:sz w:val="21"/>
                <w:szCs w:val="21"/>
                <w:highlight w:val="none"/>
              </w:rPr>
              <w:t>限：</w:t>
            </w:r>
            <w:r>
              <w:rPr>
                <w:rFonts w:ascii="宋体" w:hAnsi="宋体" w:cs="宋体"/>
                <w:color w:val="auto"/>
                <w:spacing w:val="-4"/>
                <w:sz w:val="21"/>
                <w:szCs w:val="21"/>
                <w:highlight w:val="none"/>
                <w:u w:val="single"/>
              </w:rPr>
              <w:t>不少于3</w:t>
            </w:r>
            <w:r>
              <w:rPr>
                <w:rFonts w:ascii="宋体" w:hAnsi="宋体" w:cs="宋体"/>
                <w:color w:val="auto"/>
                <w:spacing w:val="-4"/>
                <w:sz w:val="21"/>
                <w:szCs w:val="21"/>
                <w:highlight w:val="none"/>
              </w:rPr>
              <w:t>日</w:t>
            </w:r>
            <w:r>
              <w:rPr>
                <w:rFonts w:ascii="宋体" w:hAnsi="宋体" w:cs="宋体"/>
                <w:color w:val="auto"/>
                <w:spacing w:val="-5"/>
                <w:sz w:val="21"/>
                <w:szCs w:val="21"/>
                <w:highlight w:val="none"/>
              </w:rPr>
              <w:t>（最后一天应为工作日）</w:t>
            </w:r>
          </w:p>
        </w:tc>
      </w:tr>
      <w:tr w14:paraId="0E21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FF4B484">
            <w:pPr>
              <w:pStyle w:val="33"/>
              <w:kinsoku w:val="0"/>
              <w:overflowPunct w:val="0"/>
              <w:jc w:val="center"/>
              <w:rPr>
                <w:rFonts w:eastAsia="Times New Roman"/>
                <w:color w:val="auto"/>
                <w:sz w:val="21"/>
                <w:highlight w:val="none"/>
              </w:rPr>
            </w:pPr>
            <w:r>
              <w:rPr>
                <w:rFonts w:hint="eastAsia" w:eastAsia="Times New Roman"/>
                <w:color w:val="auto"/>
                <w:sz w:val="21"/>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BB21A61">
            <w:pPr>
              <w:pStyle w:val="33"/>
              <w:kinsoku w:val="0"/>
              <w:overflowPunct w:val="0"/>
              <w:jc w:val="both"/>
              <w:rPr>
                <w:rFonts w:ascii="宋体" w:hAnsi="宋体"/>
                <w:color w:val="auto"/>
                <w:sz w:val="21"/>
                <w:highlight w:val="none"/>
              </w:rPr>
            </w:pPr>
            <w:r>
              <w:rPr>
                <w:rFonts w:ascii="宋体" w:hAnsi="宋体"/>
                <w:color w:val="auto"/>
                <w:sz w:val="21"/>
                <w:highlight w:val="none"/>
              </w:rPr>
              <w:t>是否授权评标委员会确定中标人</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4A49744A">
            <w:pPr>
              <w:pStyle w:val="33"/>
              <w:kinsoku w:val="0"/>
              <w:overflowPunct w:val="0"/>
              <w:jc w:val="both"/>
              <w:rPr>
                <w:rFonts w:ascii="宋体" w:hAnsi="宋体"/>
                <w:color w:val="auto"/>
                <w:sz w:val="21"/>
                <w:szCs w:val="21"/>
                <w:highlight w:val="none"/>
              </w:rPr>
            </w:pPr>
            <w:r>
              <w:rPr>
                <w:rFonts w:hint="eastAsia" w:eastAsia="Times New Roman"/>
                <w:color w:val="auto"/>
                <w:sz w:val="21"/>
                <w:szCs w:val="21"/>
                <w:highlight w:val="none"/>
              </w:rPr>
              <w:sym w:font="Wingdings 2" w:char="00A3"/>
            </w:r>
            <w:r>
              <w:rPr>
                <w:rFonts w:ascii="宋体" w:hAnsi="宋体"/>
                <w:color w:val="auto"/>
                <w:sz w:val="21"/>
                <w:szCs w:val="21"/>
                <w:highlight w:val="none"/>
              </w:rPr>
              <w:t>是</w:t>
            </w:r>
          </w:p>
          <w:p w14:paraId="2F5F006B">
            <w:pPr>
              <w:pStyle w:val="33"/>
              <w:kinsoku w:val="0"/>
              <w:overflowPunct w:val="0"/>
              <w:jc w:val="both"/>
              <w:rPr>
                <w:rFonts w:eastAsia="Times New Roman"/>
                <w:color w:val="auto"/>
                <w:sz w:val="21"/>
                <w:szCs w:val="21"/>
                <w:highlight w:val="none"/>
              </w:rPr>
            </w:pPr>
            <w:r>
              <w:rPr>
                <w:rFonts w:hint="eastAsia" w:eastAsia="Times New Roman"/>
                <w:color w:val="auto"/>
                <w:sz w:val="21"/>
                <w:szCs w:val="21"/>
                <w:highlight w:val="none"/>
              </w:rPr>
              <w:sym w:font="Wingdings 2" w:char="0052"/>
            </w:r>
            <w:r>
              <w:rPr>
                <w:rFonts w:ascii="宋体" w:hAnsi="宋体"/>
                <w:color w:val="auto"/>
                <w:sz w:val="21"/>
                <w:szCs w:val="21"/>
                <w:highlight w:val="none"/>
              </w:rPr>
              <w:t>否</w:t>
            </w:r>
          </w:p>
        </w:tc>
      </w:tr>
      <w:tr w14:paraId="40C2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AC4CF3A">
            <w:pPr>
              <w:pStyle w:val="33"/>
              <w:kinsoku w:val="0"/>
              <w:overflowPunct w:val="0"/>
              <w:jc w:val="center"/>
              <w:rPr>
                <w:rFonts w:eastAsia="Times New Roman"/>
                <w:color w:val="auto"/>
                <w:sz w:val="21"/>
                <w:highlight w:val="none"/>
              </w:rPr>
            </w:pPr>
            <w:r>
              <w:rPr>
                <w:rFonts w:hint="eastAsia" w:eastAsia="Times New Roman"/>
                <w:color w:val="auto"/>
                <w:sz w:val="21"/>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7A6F4A8">
            <w:pPr>
              <w:pStyle w:val="33"/>
              <w:kinsoku w:val="0"/>
              <w:overflowPunct w:val="0"/>
              <w:jc w:val="both"/>
              <w:rPr>
                <w:rFonts w:ascii="宋体" w:hAnsi="宋体"/>
                <w:color w:val="auto"/>
                <w:sz w:val="21"/>
                <w:highlight w:val="none"/>
              </w:rPr>
            </w:pPr>
            <w:r>
              <w:rPr>
                <w:rFonts w:ascii="宋体" w:hAnsi="宋体"/>
                <w:color w:val="auto"/>
                <w:sz w:val="21"/>
                <w:highlight w:val="none"/>
              </w:rPr>
              <w:t>履约保证金</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0651B2FF">
            <w:pPr>
              <w:pStyle w:val="33"/>
              <w:kinsoku w:val="0"/>
              <w:overflowPunct w:val="0"/>
              <w:spacing w:line="360" w:lineRule="auto"/>
              <w:jc w:val="both"/>
              <w:rPr>
                <w:rFonts w:eastAsia="Times New Roman"/>
                <w:color w:val="auto"/>
                <w:sz w:val="21"/>
                <w:szCs w:val="21"/>
                <w:highlight w:val="none"/>
              </w:rPr>
            </w:pPr>
            <w:r>
              <w:rPr>
                <w:rFonts w:hint="eastAsia" w:eastAsia="Times New Roman"/>
                <w:color w:val="auto"/>
                <w:sz w:val="21"/>
                <w:szCs w:val="21"/>
                <w:highlight w:val="none"/>
              </w:rPr>
              <w:t>履约担保的形式：可以以银行保函形式或履约保证保险等有效方式向招标人递交履约担保；如果中标人的履约担保是以银行保函的形式提供，则该银行保函应由在中国注册的银行开具。</w:t>
            </w:r>
          </w:p>
          <w:p w14:paraId="5CC92643">
            <w:pPr>
              <w:pStyle w:val="33"/>
              <w:kinsoku w:val="0"/>
              <w:overflowPunct w:val="0"/>
              <w:spacing w:line="360" w:lineRule="auto"/>
              <w:jc w:val="both"/>
              <w:rPr>
                <w:rFonts w:eastAsia="Times New Roman"/>
                <w:color w:val="auto"/>
                <w:sz w:val="21"/>
                <w:szCs w:val="21"/>
                <w:highlight w:val="none"/>
              </w:rPr>
            </w:pPr>
            <w:r>
              <w:rPr>
                <w:rFonts w:hint="eastAsia" w:eastAsia="Times New Roman"/>
                <w:color w:val="auto"/>
                <w:sz w:val="21"/>
                <w:szCs w:val="21"/>
                <w:highlight w:val="none"/>
              </w:rPr>
              <w:t>履约担保的金额：履约担保金额为中标合同金额的 10%。</w:t>
            </w:r>
          </w:p>
        </w:tc>
      </w:tr>
      <w:tr w14:paraId="7A8B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C924DDE">
            <w:pPr>
              <w:pStyle w:val="33"/>
              <w:kinsoku w:val="0"/>
              <w:overflowPunct w:val="0"/>
              <w:jc w:val="center"/>
              <w:rPr>
                <w:rFonts w:eastAsia="Times New Roman"/>
                <w:color w:val="auto"/>
                <w:sz w:val="21"/>
                <w:highlight w:val="none"/>
              </w:rPr>
            </w:pPr>
            <w:r>
              <w:rPr>
                <w:rFonts w:hint="eastAsia" w:eastAsia="Times New Roman"/>
                <w:color w:val="auto"/>
                <w:sz w:val="21"/>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8C46681">
            <w:pPr>
              <w:pStyle w:val="33"/>
              <w:kinsoku w:val="0"/>
              <w:overflowPunct w:val="0"/>
              <w:jc w:val="both"/>
              <w:rPr>
                <w:rFonts w:ascii="宋体" w:hAnsi="宋体"/>
                <w:color w:val="auto"/>
                <w:sz w:val="21"/>
                <w:highlight w:val="none"/>
              </w:rPr>
            </w:pPr>
            <w:r>
              <w:rPr>
                <w:rFonts w:ascii="宋体" w:hAnsi="宋体"/>
                <w:color w:val="auto"/>
                <w:sz w:val="21"/>
                <w:highlight w:val="none"/>
              </w:rPr>
              <w:t>需要补充的其他内容</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2E213E5C">
            <w:pPr>
              <w:jc w:val="both"/>
              <w:rPr>
                <w:color w:val="auto"/>
                <w:sz w:val="21"/>
                <w:szCs w:val="21"/>
                <w:highlight w:val="none"/>
              </w:rPr>
            </w:pPr>
            <w:r>
              <w:rPr>
                <w:rFonts w:hint="eastAsia"/>
                <w:color w:val="auto"/>
                <w:sz w:val="21"/>
                <w:szCs w:val="21"/>
                <w:highlight w:val="none"/>
              </w:rPr>
              <w:t>/</w:t>
            </w:r>
          </w:p>
        </w:tc>
      </w:tr>
      <w:tr w14:paraId="7461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36F9108">
            <w:pPr>
              <w:spacing w:line="360" w:lineRule="auto"/>
              <w:jc w:val="center"/>
              <w:rPr>
                <w:rFonts w:eastAsia="Times New Roman"/>
                <w:color w:val="auto"/>
                <w:sz w:val="18"/>
                <w:szCs w:val="21"/>
                <w:highlight w:val="none"/>
              </w:rPr>
            </w:pPr>
            <w:r>
              <w:rPr>
                <w:rFonts w:hint="eastAsia" w:ascii="宋体" w:hAnsi="宋体"/>
                <w:color w:val="auto"/>
                <w:sz w:val="21"/>
                <w:szCs w:val="18"/>
                <w:highlight w:val="none"/>
                <w:u w:val="single"/>
              </w:rPr>
              <w:t>10.1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7919CC8">
            <w:pPr>
              <w:spacing w:line="360" w:lineRule="auto"/>
              <w:jc w:val="center"/>
              <w:rPr>
                <w:rFonts w:ascii="宋体" w:hAnsi="宋体"/>
                <w:color w:val="auto"/>
                <w:sz w:val="18"/>
                <w:szCs w:val="21"/>
                <w:highlight w:val="none"/>
              </w:rPr>
            </w:pPr>
            <w:r>
              <w:rPr>
                <w:rFonts w:hint="eastAsia" w:ascii="宋体" w:hAnsi="宋体"/>
                <w:color w:val="auto"/>
                <w:sz w:val="21"/>
                <w:szCs w:val="18"/>
                <w:highlight w:val="none"/>
                <w:u w:val="single"/>
              </w:rPr>
              <w:t>招标失败的情形</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5616CF8F">
            <w:pPr>
              <w:spacing w:line="360" w:lineRule="auto"/>
              <w:jc w:val="both"/>
              <w:rPr>
                <w:rFonts w:eastAsia="Times New Roman"/>
                <w:color w:val="auto"/>
                <w:sz w:val="21"/>
                <w:szCs w:val="21"/>
                <w:highlight w:val="none"/>
              </w:rPr>
            </w:pPr>
            <w:r>
              <w:rPr>
                <w:rFonts w:hint="eastAsia" w:ascii="宋体" w:hAnsi="宋体"/>
                <w:color w:val="auto"/>
                <w:sz w:val="21"/>
                <w:szCs w:val="21"/>
                <w:highlight w:val="none"/>
                <w:u w:val="single"/>
              </w:rPr>
              <w:t>本项目采用资格后审，</w:t>
            </w:r>
            <w:r>
              <w:rPr>
                <w:rFonts w:hint="eastAsia" w:ascii="宋体" w:hAnsi="宋体" w:cs="宋体"/>
                <w:color w:val="auto"/>
                <w:sz w:val="21"/>
                <w:szCs w:val="21"/>
                <w:highlight w:val="none"/>
                <w:u w:val="single"/>
              </w:rPr>
              <w:t>投标登记或</w:t>
            </w:r>
            <w:r>
              <w:rPr>
                <w:rFonts w:hint="eastAsia" w:ascii="宋体" w:hAnsi="宋体"/>
                <w:color w:val="auto"/>
                <w:sz w:val="21"/>
                <w:szCs w:val="21"/>
                <w:highlight w:val="none"/>
                <w:u w:val="single"/>
              </w:rPr>
              <w:t>满足资格审查合格条件的投标人不足3名、或经评审有效的投标单位不足3名时为该标段招标失败。招标人分析招标失败原因，修正招标方案后，重新组织招标。</w:t>
            </w:r>
          </w:p>
        </w:tc>
      </w:tr>
      <w:tr w14:paraId="67A9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470C3BB">
            <w:pPr>
              <w:spacing w:line="360" w:lineRule="auto"/>
              <w:jc w:val="center"/>
              <w:rPr>
                <w:rFonts w:eastAsia="Times New Roman"/>
                <w:color w:val="auto"/>
                <w:sz w:val="18"/>
                <w:szCs w:val="21"/>
                <w:highlight w:val="none"/>
              </w:rPr>
            </w:pPr>
            <w:r>
              <w:rPr>
                <w:rFonts w:hint="eastAsia" w:ascii="宋体" w:hAnsi="宋体"/>
                <w:color w:val="auto"/>
                <w:sz w:val="21"/>
                <w:szCs w:val="18"/>
                <w:highlight w:val="none"/>
                <w:u w:val="single"/>
              </w:rPr>
              <w:t>10.2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DAB96E8">
            <w:pPr>
              <w:spacing w:line="360" w:lineRule="auto"/>
              <w:jc w:val="center"/>
              <w:rPr>
                <w:rFonts w:ascii="宋体" w:hAnsi="宋体"/>
                <w:color w:val="auto"/>
                <w:sz w:val="18"/>
                <w:szCs w:val="21"/>
                <w:highlight w:val="none"/>
              </w:rPr>
            </w:pPr>
            <w:r>
              <w:rPr>
                <w:rFonts w:hint="eastAsia" w:ascii="宋体" w:hAnsi="宋体"/>
                <w:color w:val="auto"/>
                <w:sz w:val="21"/>
                <w:szCs w:val="18"/>
                <w:highlight w:val="none"/>
                <w:u w:val="single"/>
              </w:rPr>
              <w:t>交易服务费</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45C2098">
            <w:pPr>
              <w:spacing w:line="360" w:lineRule="auto"/>
              <w:jc w:val="both"/>
              <w:rPr>
                <w:rFonts w:eastAsia="Times New Roman"/>
                <w:color w:val="auto"/>
                <w:sz w:val="21"/>
                <w:szCs w:val="21"/>
                <w:highlight w:val="none"/>
              </w:rPr>
            </w:pPr>
            <w:r>
              <w:rPr>
                <w:rFonts w:hint="eastAsia" w:ascii="宋体" w:hAnsi="宋体"/>
                <w:color w:val="auto"/>
                <w:sz w:val="21"/>
                <w:szCs w:val="21"/>
                <w:highlight w:val="none"/>
                <w:u w:val="single"/>
              </w:rPr>
              <w:t>中标人按《广州市发展改革委转发省发展改革委关于规范公共资源交易服务收费及有关问题的通知》（穗发改〔2017〕811号）文件的规定，向广州交易集团有限公司代缴交易服务费，交易服务费的金额为中标总金额的0.9‰。本项目招标代理费由中标单位支付</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rPr>
              <w:t>招标代理费按招标代理合同约定执行。以上费用包含在中标人投标报价中，招标人不另行支付。</w:t>
            </w:r>
          </w:p>
        </w:tc>
      </w:tr>
      <w:tr w14:paraId="58E0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C471D17">
            <w:pPr>
              <w:spacing w:line="360" w:lineRule="auto"/>
              <w:jc w:val="center"/>
              <w:rPr>
                <w:rFonts w:eastAsia="Times New Roman"/>
                <w:color w:val="auto"/>
                <w:sz w:val="18"/>
                <w:szCs w:val="21"/>
                <w:highlight w:val="none"/>
              </w:rPr>
            </w:pPr>
            <w:r>
              <w:rPr>
                <w:rFonts w:hint="eastAsia" w:ascii="宋体" w:hAnsi="宋体"/>
                <w:color w:val="auto"/>
                <w:sz w:val="21"/>
                <w:szCs w:val="18"/>
                <w:highlight w:val="none"/>
                <w:u w:val="single"/>
              </w:rPr>
              <w:t>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9704337">
            <w:pPr>
              <w:spacing w:line="360" w:lineRule="auto"/>
              <w:jc w:val="center"/>
              <w:rPr>
                <w:rFonts w:ascii="宋体" w:hAnsi="宋体"/>
                <w:color w:val="auto"/>
                <w:sz w:val="18"/>
                <w:szCs w:val="21"/>
                <w:highlight w:val="none"/>
              </w:rPr>
            </w:pPr>
            <w:r>
              <w:rPr>
                <w:rFonts w:hint="eastAsia" w:ascii="宋体" w:hAnsi="宋体"/>
                <w:color w:val="auto"/>
                <w:sz w:val="21"/>
                <w:szCs w:val="18"/>
                <w:highlight w:val="none"/>
                <w:u w:val="single"/>
              </w:rPr>
              <w:t>其他要求</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7BE425EC">
            <w:pPr>
              <w:spacing w:line="360" w:lineRule="auto"/>
              <w:jc w:val="both"/>
              <w:rPr>
                <w:rFonts w:eastAsia="Times New Roman"/>
                <w:color w:val="auto"/>
                <w:sz w:val="21"/>
                <w:szCs w:val="21"/>
                <w:highlight w:val="none"/>
              </w:rPr>
            </w:pPr>
            <w:r>
              <w:rPr>
                <w:rFonts w:hint="eastAsia" w:ascii="宋体" w:hAnsi="宋体"/>
                <w:color w:val="auto"/>
                <w:sz w:val="21"/>
                <w:szCs w:val="21"/>
                <w:highlight w:val="none"/>
                <w:u w:val="single"/>
              </w:rPr>
              <w:t>各投标人递交投标资料参与投标，均视为接受及认同招标合同及招标人（业主单位）制发的各项相关建设管理办法。如中标人不按合同履约及未遵守招标人（业主单位）制发的各项相关建设管理办法，招标人（业主单位）有权依据相关管理办法要求中标人承担相应责任，中标人应无条件接受。</w:t>
            </w:r>
          </w:p>
        </w:tc>
      </w:tr>
      <w:tr w14:paraId="5A0A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BFB7D9E">
            <w:pPr>
              <w:spacing w:line="360" w:lineRule="auto"/>
              <w:jc w:val="center"/>
              <w:rPr>
                <w:rFonts w:eastAsia="Times New Roman"/>
                <w:color w:val="auto"/>
                <w:sz w:val="18"/>
                <w:szCs w:val="21"/>
                <w:highlight w:val="none"/>
              </w:rPr>
            </w:pPr>
            <w:r>
              <w:rPr>
                <w:rFonts w:hint="eastAsia" w:ascii="宋体" w:hAnsi="宋体"/>
                <w:color w:val="auto"/>
                <w:sz w:val="21"/>
                <w:szCs w:val="18"/>
                <w:highlight w:val="none"/>
                <w:u w:val="single"/>
              </w:rPr>
              <w:t>10.4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8847FA9">
            <w:pPr>
              <w:spacing w:line="360" w:lineRule="auto"/>
              <w:jc w:val="center"/>
              <w:rPr>
                <w:rFonts w:ascii="宋体" w:hAnsi="宋体"/>
                <w:color w:val="auto"/>
                <w:sz w:val="18"/>
                <w:szCs w:val="21"/>
                <w:highlight w:val="none"/>
              </w:rPr>
            </w:pPr>
            <w:r>
              <w:rPr>
                <w:rFonts w:hint="eastAsia" w:ascii="宋体" w:hAnsi="宋体"/>
                <w:color w:val="auto"/>
                <w:sz w:val="21"/>
                <w:szCs w:val="18"/>
                <w:highlight w:val="none"/>
                <w:u w:val="single"/>
              </w:rPr>
              <w:t>投标文件公开</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8FFD120">
            <w:pPr>
              <w:spacing w:line="360" w:lineRule="auto"/>
              <w:rPr>
                <w:rFonts w:eastAsia="Times New Roman"/>
                <w:color w:val="auto"/>
                <w:sz w:val="21"/>
                <w:szCs w:val="21"/>
                <w:highlight w:val="none"/>
              </w:rPr>
            </w:pPr>
            <w:r>
              <w:rPr>
                <w:rFonts w:hint="eastAsia" w:ascii="宋体" w:hAnsi="宋体"/>
                <w:color w:val="auto"/>
                <w:sz w:val="21"/>
                <w:szCs w:val="21"/>
                <w:highlight w:val="none"/>
                <w:u w:val="single"/>
              </w:rPr>
              <w:t>在产生中标候选人后，招标人将中标候选人的投标文件商务部分的电子版（方案等涉及商业秘密的内容除外）在广州交易集团有限公司（广州公共资源交易中心）、广东省招标投标监管网网站公开。</w:t>
            </w:r>
          </w:p>
        </w:tc>
      </w:tr>
      <w:tr w14:paraId="387C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8D9F9B7">
            <w:pPr>
              <w:spacing w:line="360" w:lineRule="auto"/>
              <w:jc w:val="center"/>
              <w:rPr>
                <w:rFonts w:eastAsia="Times New Roman"/>
                <w:color w:val="auto"/>
                <w:sz w:val="18"/>
                <w:szCs w:val="21"/>
                <w:highlight w:val="none"/>
              </w:rPr>
            </w:pPr>
            <w:r>
              <w:rPr>
                <w:rFonts w:hint="eastAsia" w:ascii="宋体" w:hAnsi="宋体"/>
                <w:color w:val="auto"/>
                <w:sz w:val="21"/>
                <w:szCs w:val="18"/>
                <w:highlight w:val="none"/>
                <w:u w:val="single"/>
              </w:rPr>
              <w:t>10.5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1BE50D9">
            <w:pPr>
              <w:spacing w:line="360" w:lineRule="auto"/>
              <w:jc w:val="center"/>
              <w:rPr>
                <w:rFonts w:ascii="宋体" w:hAnsi="宋体"/>
                <w:color w:val="auto"/>
                <w:sz w:val="18"/>
                <w:szCs w:val="21"/>
                <w:highlight w:val="none"/>
              </w:rPr>
            </w:pPr>
            <w:r>
              <w:rPr>
                <w:rFonts w:hint="eastAsia" w:ascii="宋体" w:hAnsi="宋体"/>
                <w:color w:val="auto"/>
                <w:sz w:val="21"/>
                <w:szCs w:val="18"/>
                <w:highlight w:val="none"/>
                <w:u w:val="single"/>
              </w:rPr>
              <w:t>补交纸质投标文件</w:t>
            </w:r>
          </w:p>
        </w:tc>
        <w:tc>
          <w:tcPr>
            <w:tcW w:w="5551" w:type="dxa"/>
            <w:tcBorders>
              <w:top w:val="single" w:color="auto" w:sz="4" w:space="0"/>
              <w:left w:val="single" w:color="auto" w:sz="4" w:space="0"/>
              <w:bottom w:val="single" w:color="auto" w:sz="4" w:space="0"/>
              <w:right w:val="single" w:color="auto" w:sz="4" w:space="0"/>
              <w:tl2br w:val="nil"/>
              <w:tr2bl w:val="nil"/>
            </w:tcBorders>
            <w:vAlign w:val="center"/>
          </w:tcPr>
          <w:p w14:paraId="3C53CC59">
            <w:pPr>
              <w:spacing w:line="360" w:lineRule="auto"/>
              <w:rPr>
                <w:rFonts w:eastAsia="Times New Roman"/>
                <w:color w:val="auto"/>
                <w:sz w:val="21"/>
                <w:szCs w:val="21"/>
                <w:highlight w:val="none"/>
              </w:rPr>
            </w:pPr>
            <w:r>
              <w:rPr>
                <w:rFonts w:hint="eastAsia" w:ascii="宋体" w:hAnsi="宋体"/>
                <w:color w:val="auto"/>
                <w:sz w:val="21"/>
                <w:szCs w:val="21"/>
                <w:highlight w:val="none"/>
                <w:u w:val="single"/>
              </w:rPr>
              <w:t>中标单位领取中标通知书时，补送</w:t>
            </w:r>
            <w:r>
              <w:rPr>
                <w:rFonts w:hint="eastAsia" w:ascii="宋体" w:hAnsi="宋体"/>
                <w:b/>
                <w:color w:val="auto"/>
                <w:sz w:val="21"/>
                <w:szCs w:val="21"/>
                <w:highlight w:val="none"/>
                <w:u w:val="single"/>
              </w:rPr>
              <w:t>一正三副</w:t>
            </w:r>
            <w:r>
              <w:rPr>
                <w:rFonts w:hint="eastAsia" w:ascii="宋体" w:hAnsi="宋体"/>
                <w:color w:val="auto"/>
                <w:sz w:val="21"/>
                <w:szCs w:val="21"/>
                <w:highlight w:val="none"/>
                <w:u w:val="single"/>
              </w:rPr>
              <w:t>与交易平台网上递交的电子投标文件一致的</w:t>
            </w:r>
            <w:r>
              <w:rPr>
                <w:rFonts w:hint="eastAsia" w:ascii="宋体" w:hAnsi="宋体"/>
                <w:b/>
                <w:color w:val="auto"/>
                <w:sz w:val="21"/>
                <w:szCs w:val="21"/>
                <w:highlight w:val="none"/>
                <w:u w:val="single"/>
              </w:rPr>
              <w:t>书面投标文件（加盖公章）</w:t>
            </w:r>
            <w:r>
              <w:rPr>
                <w:rFonts w:hint="eastAsia" w:ascii="宋体" w:hAnsi="宋体"/>
                <w:color w:val="auto"/>
                <w:sz w:val="21"/>
                <w:szCs w:val="21"/>
                <w:highlight w:val="none"/>
                <w:u w:val="single"/>
              </w:rPr>
              <w:t>及一份与书面投标文件一致的用“Microsoft Word ”或“PDF”格式制作的电子文件（光盘）给招标人，相关费用由投标人支付。</w:t>
            </w:r>
          </w:p>
        </w:tc>
      </w:tr>
    </w:tbl>
    <w:p w14:paraId="1CAF9BBE">
      <w:pPr>
        <w:rPr>
          <w:color w:val="auto"/>
          <w:highlight w:val="none"/>
        </w:rPr>
      </w:pPr>
    </w:p>
    <w:p w14:paraId="6DF1645A">
      <w:pPr>
        <w:pStyle w:val="5"/>
        <w:spacing w:before="120" w:after="120"/>
        <w:rPr>
          <w:rFonts w:cs="宋体"/>
          <w:color w:val="auto"/>
          <w:highlight w:val="none"/>
        </w:rPr>
        <w:sectPr>
          <w:footerReference r:id="rId5" w:type="default"/>
          <w:pgSz w:w="11905" w:h="16838"/>
          <w:pgMar w:top="1417" w:right="1417" w:bottom="1417" w:left="1417" w:header="992" w:footer="992" w:gutter="0"/>
          <w:cols w:space="720" w:num="1"/>
        </w:sectPr>
      </w:pPr>
      <w:bookmarkStart w:id="9" w:name="bookmark20"/>
      <w:bookmarkEnd w:id="9"/>
    </w:p>
    <w:p w14:paraId="1DEB9CCA">
      <w:pPr>
        <w:pStyle w:val="5"/>
        <w:spacing w:before="120" w:after="120"/>
        <w:jc w:val="center"/>
        <w:rPr>
          <w:color w:val="auto"/>
          <w:sz w:val="32"/>
          <w:highlight w:val="none"/>
        </w:rPr>
      </w:pPr>
      <w:bookmarkStart w:id="10" w:name="_Toc262229161"/>
      <w:bookmarkStart w:id="11" w:name="_Toc17452664"/>
      <w:bookmarkStart w:id="12" w:name="_Toc17454871"/>
      <w:bookmarkStart w:id="13" w:name="_Toc17451578"/>
      <w:bookmarkStart w:id="14" w:name="_Toc17451101"/>
      <w:bookmarkStart w:id="15" w:name="_Toc17451623"/>
      <w:bookmarkStart w:id="16" w:name="_Toc17556931"/>
      <w:bookmarkStart w:id="17" w:name="_Toc17454922"/>
      <w:bookmarkStart w:id="18" w:name="_Toc17556876"/>
      <w:bookmarkStart w:id="19" w:name="_Toc26588"/>
      <w:r>
        <w:rPr>
          <w:color w:val="auto"/>
          <w:sz w:val="32"/>
          <w:highlight w:val="none"/>
        </w:rPr>
        <w:t>投标须知修改表</w:t>
      </w:r>
      <w:bookmarkEnd w:id="10"/>
      <w:bookmarkEnd w:id="11"/>
      <w:bookmarkEnd w:id="12"/>
      <w:bookmarkEnd w:id="13"/>
      <w:bookmarkEnd w:id="14"/>
      <w:bookmarkEnd w:id="15"/>
      <w:bookmarkEnd w:id="16"/>
      <w:bookmarkEnd w:id="17"/>
      <w:bookmarkEnd w:id="18"/>
      <w:bookmarkEnd w:id="19"/>
    </w:p>
    <w:p w14:paraId="310788EC">
      <w:pPr>
        <w:pStyle w:val="23"/>
        <w:spacing w:line="360" w:lineRule="auto"/>
        <w:rPr>
          <w:rFonts w:hint="default" w:ascii="宋体" w:hAnsi="宋体" w:eastAsia="宋体"/>
          <w:b/>
          <w:color w:val="auto"/>
          <w:sz w:val="24"/>
          <w:highlight w:val="none"/>
        </w:rPr>
      </w:pPr>
      <w:r>
        <w:rPr>
          <w:rFonts w:hint="default" w:ascii="宋体" w:hAnsi="宋体" w:eastAsia="宋体"/>
          <w:b/>
          <w:color w:val="auto"/>
          <w:sz w:val="24"/>
          <w:highlight w:val="none"/>
        </w:rPr>
        <w:t>本投标须知使用</w:t>
      </w:r>
      <w:r>
        <w:rPr>
          <w:rFonts w:ascii="宋体" w:hAnsi="宋体" w:eastAsia="宋体"/>
          <w:b/>
          <w:color w:val="auto"/>
          <w:sz w:val="24"/>
          <w:highlight w:val="none"/>
        </w:rPr>
        <w:t>SWZB2024-05</w:t>
      </w:r>
      <w:r>
        <w:rPr>
          <w:rFonts w:hint="default" w:ascii="宋体" w:hAnsi="宋体" w:eastAsia="宋体"/>
          <w:b/>
          <w:color w:val="auto"/>
          <w:sz w:val="24"/>
          <w:highlight w:val="none"/>
        </w:rPr>
        <w:t>招标文件范本的投标须知通用条款，与该通用条款不同之处，均在本表中列明，并以现文为准，原文不再有效。</w:t>
      </w:r>
    </w:p>
    <w:p w14:paraId="0C2A8C95">
      <w:pPr>
        <w:spacing w:line="480" w:lineRule="auto"/>
        <w:ind w:firstLine="537" w:firstLineChars="224"/>
        <w:rPr>
          <w:rFonts w:ascii="宋体" w:hAnsi="宋体"/>
          <w:color w:val="auto"/>
          <w:highlight w:val="none"/>
        </w:rPr>
      </w:pPr>
      <w:r>
        <w:rPr>
          <w:rFonts w:ascii="宋体" w:hAnsi="宋体"/>
          <w:color w:val="auto"/>
          <w:highlight w:val="none"/>
        </w:rPr>
        <w:t>条款号：</w:t>
      </w:r>
      <w:r>
        <w:rPr>
          <w:rFonts w:ascii="宋体" w:hAnsi="宋体" w:cs="宋体"/>
          <w:color w:val="auto"/>
          <w:highlight w:val="none"/>
        </w:rPr>
        <w:t>3.1 投标文件的组成</w:t>
      </w:r>
      <w:r>
        <w:rPr>
          <w:rFonts w:ascii="宋体" w:hAnsi="宋体"/>
          <w:color w:val="auto"/>
          <w:highlight w:val="none"/>
        </w:rPr>
        <w:t xml:space="preserve">             修改类型：修改</w:t>
      </w:r>
    </w:p>
    <w:p w14:paraId="54687633">
      <w:pPr>
        <w:spacing w:line="360" w:lineRule="auto"/>
        <w:ind w:firstLine="240" w:firstLineChars="100"/>
        <w:rPr>
          <w:rFonts w:ascii="宋体" w:hAnsi="宋体" w:cs="宋体"/>
          <w:color w:val="auto"/>
          <w:highlight w:val="none"/>
        </w:rPr>
      </w:pPr>
      <w:r>
        <w:rPr>
          <w:rFonts w:ascii="宋体" w:hAnsi="宋体"/>
          <w:color w:val="auto"/>
          <w:highlight w:val="none"/>
        </w:rPr>
        <w:t>原文：</w:t>
      </w:r>
    </w:p>
    <w:p w14:paraId="5F68A2E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3.1.1 投标文件应包括下列内容：</w:t>
      </w:r>
    </w:p>
    <w:p w14:paraId="1C2872C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（1）投标函及投标函附录；</w:t>
      </w:r>
    </w:p>
    <w:p w14:paraId="3CE08DE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（2）法定代表人身份证明或授权委托书；</w:t>
      </w:r>
    </w:p>
    <w:p w14:paraId="32E502E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（3）联合体协议书；</w:t>
      </w:r>
    </w:p>
    <w:p w14:paraId="6CAD904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（4）投标保证金；</w:t>
      </w:r>
    </w:p>
    <w:p w14:paraId="3671365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（5）监理报酬清单；</w:t>
      </w:r>
    </w:p>
    <w:p w14:paraId="6EC7BF7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（6）资格审查资料；</w:t>
      </w:r>
    </w:p>
    <w:p w14:paraId="105FD4F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（7）监理大纲；</w:t>
      </w:r>
    </w:p>
    <w:p w14:paraId="38447A90">
      <w:pPr>
        <w:spacing w:line="480" w:lineRule="auto"/>
        <w:ind w:firstLine="537" w:firstLineChars="224"/>
        <w:rPr>
          <w:rFonts w:ascii="宋体" w:hAnsi="宋体"/>
          <w:color w:val="auto"/>
          <w:highlight w:val="none"/>
        </w:rPr>
      </w:pPr>
      <w:r>
        <w:rPr>
          <w:color w:val="auto"/>
          <w:highlight w:val="none"/>
        </w:rPr>
        <w:t>（8）投标人须知前附表规定的其他资料。投标人在评标过程中作出的符合法律法规和招标文件规定的澄清确认，构成投标文件的组成部分。</w:t>
      </w:r>
    </w:p>
    <w:p w14:paraId="7B28954C">
      <w:pPr>
        <w:autoSpaceDE/>
        <w:autoSpaceDN/>
        <w:spacing w:line="360" w:lineRule="auto"/>
        <w:ind w:firstLine="480" w:firstLineChars="200"/>
        <w:rPr>
          <w:rFonts w:ascii="宋体" w:hAnsi="宋体" w:cs="宋体"/>
          <w:color w:val="auto"/>
          <w:highlight w:val="none"/>
        </w:rPr>
      </w:pPr>
      <w:r>
        <w:rPr>
          <w:rFonts w:ascii="宋体" w:hAnsi="宋体"/>
          <w:color w:val="auto"/>
          <w:highlight w:val="none"/>
        </w:rPr>
        <w:t>现文：</w:t>
      </w:r>
    </w:p>
    <w:p w14:paraId="0CE55F3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3.1.1 投标文件应包括下列内容：</w:t>
      </w:r>
    </w:p>
    <w:p w14:paraId="0B40DA7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（1）投标函及投标函附录；</w:t>
      </w:r>
    </w:p>
    <w:p w14:paraId="6CBEAD4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（2）法定代表人身份证明或授权委托书；</w:t>
      </w:r>
    </w:p>
    <w:p w14:paraId="0C3386A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color w:val="auto"/>
          <w:sz w:val="24"/>
          <w:highlight w:val="none"/>
        </w:rPr>
      </w:pPr>
      <w:r>
        <w:rPr>
          <w:strike w:val="0"/>
          <w:color w:val="auto"/>
          <w:sz w:val="24"/>
          <w:highlight w:val="none"/>
        </w:rPr>
        <w:t>（3）联合体协议书；</w:t>
      </w:r>
    </w:p>
    <w:p w14:paraId="40848F1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w:t>
      </w:r>
      <w:r>
        <w:rPr>
          <w:rFonts w:hint="eastAsia" w:cs="宋体"/>
          <w:color w:val="auto"/>
          <w:sz w:val="24"/>
          <w:highlight w:val="none"/>
          <w:u w:val="single"/>
        </w:rPr>
        <w:t>《关于投标保证金的承诺》</w:t>
      </w:r>
      <w:r>
        <w:rPr>
          <w:color w:val="auto"/>
          <w:sz w:val="24"/>
          <w:highlight w:val="none"/>
        </w:rPr>
        <w:t>；</w:t>
      </w:r>
    </w:p>
    <w:p w14:paraId="0BB4A3E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color w:val="auto"/>
          <w:sz w:val="24"/>
          <w:highlight w:val="none"/>
        </w:rPr>
      </w:pPr>
      <w:r>
        <w:rPr>
          <w:strike/>
          <w:color w:val="auto"/>
          <w:sz w:val="24"/>
          <w:highlight w:val="none"/>
        </w:rPr>
        <w:t>（5）监理报酬清单；</w:t>
      </w:r>
    </w:p>
    <w:p w14:paraId="5FB5BAC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（6）资格审查资料；</w:t>
      </w:r>
    </w:p>
    <w:p w14:paraId="3E4DA25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（7）监理大纲；</w:t>
      </w:r>
    </w:p>
    <w:p w14:paraId="3CF4B538">
      <w:pPr>
        <w:pBdr>
          <w:bottom w:val="single" w:color="auto" w:sz="6" w:space="1"/>
        </w:pBdr>
        <w:spacing w:line="480" w:lineRule="auto"/>
        <w:ind w:firstLine="480" w:firstLineChars="200"/>
        <w:rPr>
          <w:rFonts w:ascii="宋体" w:hAnsi="宋体"/>
          <w:color w:val="auto"/>
          <w:highlight w:val="none"/>
        </w:rPr>
      </w:pPr>
      <w:r>
        <w:rPr>
          <w:color w:val="auto"/>
          <w:highlight w:val="none"/>
        </w:rPr>
        <w:t>（8）投标人须知前附表规定的其他资料。投标人在评标过程中作出的符合法律法规和招标文件规定的澄清确认，构成投标文件的组成部分。</w:t>
      </w:r>
    </w:p>
    <w:p w14:paraId="741F8B44">
      <w:pPr>
        <w:spacing w:line="480" w:lineRule="auto"/>
        <w:ind w:firstLine="537" w:firstLineChars="224"/>
        <w:rPr>
          <w:rFonts w:ascii="宋体" w:hAnsi="宋体"/>
          <w:color w:val="auto"/>
          <w:highlight w:val="none"/>
        </w:rPr>
      </w:pPr>
      <w:r>
        <w:rPr>
          <w:rFonts w:ascii="宋体" w:hAnsi="宋体"/>
          <w:color w:val="auto"/>
          <w:highlight w:val="none"/>
        </w:rPr>
        <w:t>条款号：</w:t>
      </w:r>
      <w:r>
        <w:rPr>
          <w:rFonts w:ascii="宋体" w:hAnsi="宋体" w:cs="宋体"/>
          <w:color w:val="auto"/>
          <w:highlight w:val="none"/>
        </w:rPr>
        <w:t>3.2 投标报价</w:t>
      </w:r>
      <w:r>
        <w:rPr>
          <w:rFonts w:ascii="宋体" w:hAnsi="宋体"/>
          <w:color w:val="auto"/>
          <w:highlight w:val="none"/>
        </w:rPr>
        <w:t xml:space="preserve">             修改类型：修改</w:t>
      </w:r>
    </w:p>
    <w:p w14:paraId="44B24325">
      <w:pPr>
        <w:spacing w:line="360" w:lineRule="auto"/>
        <w:ind w:firstLine="480" w:firstLineChars="200"/>
        <w:rPr>
          <w:rFonts w:ascii="宋体" w:hAnsi="宋体"/>
          <w:color w:val="auto"/>
          <w:highlight w:val="none"/>
        </w:rPr>
      </w:pPr>
      <w:r>
        <w:rPr>
          <w:rFonts w:ascii="宋体" w:hAnsi="宋体"/>
          <w:color w:val="auto"/>
          <w:highlight w:val="none"/>
        </w:rPr>
        <w:t>原文：3.2.1 投标报价应包括国家规定的增值税税金，除投标人须知前附表另有规定外，增值税税金按一般计税方法计算。投标人应按第六章“投标文件格式”的要求在投标函中进行报价并填写监理报酬清单。</w:t>
      </w:r>
    </w:p>
    <w:p w14:paraId="6125219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3.2.3 本项目的报价方式见投标人须知前附表。投标人在投标截止时间前修改投标函中的投标报价总额，应同时修改投标文件“监理报酬清单”中的相应报价。此修改须符合本章第4.3款的有关要求。</w:t>
      </w:r>
    </w:p>
    <w:p w14:paraId="5EBF57E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现文：3.2.1 投标报价应包括国家规定的增值税税金，除投标人须知前附表另有规定外，增值税税金按一般计税方法计算。投标人应按第六章“投标文件格式”的要求在投标函中进行报价</w:t>
      </w:r>
      <w:r>
        <w:rPr>
          <w:strike/>
          <w:color w:val="auto"/>
          <w:sz w:val="24"/>
          <w:highlight w:val="none"/>
        </w:rPr>
        <w:t>并填写监理报酬清单</w:t>
      </w:r>
      <w:r>
        <w:rPr>
          <w:color w:val="auto"/>
          <w:sz w:val="24"/>
          <w:highlight w:val="none"/>
        </w:rPr>
        <w:t>。</w:t>
      </w:r>
    </w:p>
    <w:p w14:paraId="55A05EB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3.2.3 本项目的报价方式见投标人须知前附表。投标人在投标截止时间前修改投标函中的投标报价总额，</w:t>
      </w:r>
      <w:r>
        <w:rPr>
          <w:strike/>
          <w:color w:val="auto"/>
          <w:sz w:val="24"/>
          <w:highlight w:val="none"/>
        </w:rPr>
        <w:t>应同时修改投标文件“监理报酬清单”中的相应报价。</w:t>
      </w:r>
      <w:r>
        <w:rPr>
          <w:color w:val="auto"/>
          <w:sz w:val="24"/>
          <w:highlight w:val="none"/>
        </w:rPr>
        <w:t>此修改须符合本章第4.3款的有关要求。</w:t>
      </w:r>
    </w:p>
    <w:p w14:paraId="61C728C3">
      <w:pPr>
        <w:pBdr>
          <w:bottom w:val="single" w:color="auto" w:sz="6" w:space="1"/>
        </w:pBdr>
        <w:spacing w:line="480" w:lineRule="auto"/>
        <w:rPr>
          <w:rFonts w:ascii="宋体" w:hAnsi="宋体"/>
          <w:color w:val="auto"/>
          <w:highlight w:val="none"/>
        </w:rPr>
      </w:pPr>
    </w:p>
    <w:p w14:paraId="1C823052">
      <w:pPr>
        <w:pStyle w:val="24"/>
        <w:ind w:left="0" w:leftChars="0" w:firstLine="0" w:firstLineChars="0"/>
        <w:rPr>
          <w:color w:val="auto"/>
          <w:highlight w:val="none"/>
        </w:rPr>
      </w:pPr>
    </w:p>
    <w:p w14:paraId="67EF41FC">
      <w:pPr>
        <w:spacing w:line="480" w:lineRule="auto"/>
        <w:ind w:firstLine="537" w:firstLineChars="224"/>
        <w:rPr>
          <w:rFonts w:ascii="宋体" w:hAnsi="宋体"/>
          <w:color w:val="auto"/>
          <w:highlight w:val="none"/>
        </w:rPr>
      </w:pPr>
      <w:r>
        <w:rPr>
          <w:rFonts w:ascii="宋体" w:hAnsi="宋体"/>
          <w:color w:val="auto"/>
          <w:highlight w:val="none"/>
        </w:rPr>
        <w:t>条款号：</w:t>
      </w:r>
      <w:r>
        <w:rPr>
          <w:rFonts w:ascii="宋体" w:hAnsi="宋体" w:cs="宋体"/>
          <w:color w:val="auto"/>
          <w:highlight w:val="none"/>
        </w:rPr>
        <w:t>3.3 投标有效期</w:t>
      </w:r>
      <w:r>
        <w:rPr>
          <w:rFonts w:ascii="宋体" w:hAnsi="宋体"/>
          <w:color w:val="auto"/>
          <w:highlight w:val="none"/>
        </w:rPr>
        <w:t xml:space="preserve">             修改类型：修改</w:t>
      </w:r>
    </w:p>
    <w:p w14:paraId="2556EE6A">
      <w:pPr>
        <w:pStyle w:val="2"/>
        <w:tabs>
          <w:tab w:val="left" w:pos="1343"/>
          <w:tab w:val="left" w:pos="2697"/>
          <w:tab w:val="left" w:pos="3264"/>
          <w:tab w:val="left" w:pos="4896"/>
          <w:tab w:val="left" w:pos="6005"/>
          <w:tab w:val="left" w:pos="7085"/>
          <w:tab w:val="left" w:pos="7498"/>
        </w:tabs>
        <w:kinsoku w:val="0"/>
        <w:overflowPunct w:val="0"/>
        <w:autoSpaceDE/>
        <w:autoSpaceDN/>
        <w:spacing w:line="351" w:lineRule="auto"/>
        <w:ind w:left="0" w:firstLine="480" w:firstLineChars="200"/>
        <w:jc w:val="both"/>
        <w:rPr>
          <w:color w:val="auto"/>
          <w:sz w:val="24"/>
          <w:highlight w:val="none"/>
        </w:rPr>
      </w:pPr>
      <w:r>
        <w:rPr>
          <w:color w:val="auto"/>
          <w:sz w:val="24"/>
          <w:highlight w:val="none"/>
        </w:rPr>
        <w:t>原文：3.3.3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或被允许修改其投标文件；投标人拒绝延长的，其投标失效，但投标人有权收回其投标保证金及以现金或者支票形式递交的投标保证金的银行同期存款利息。</w:t>
      </w:r>
    </w:p>
    <w:p w14:paraId="22D3FC9F">
      <w:pPr>
        <w:pBdr>
          <w:bottom w:val="single" w:color="auto" w:sz="6" w:space="1"/>
        </w:pBdr>
        <w:spacing w:line="480" w:lineRule="auto"/>
        <w:ind w:firstLine="537" w:firstLineChars="224"/>
        <w:rPr>
          <w:rFonts w:ascii="宋体" w:hAnsi="宋体"/>
          <w:color w:val="auto"/>
          <w:highlight w:val="none"/>
        </w:rPr>
      </w:pPr>
      <w:r>
        <w:rPr>
          <w:rFonts w:ascii="宋体" w:hAnsi="宋体"/>
          <w:color w:val="auto"/>
          <w:highlight w:val="none"/>
        </w:rPr>
        <w:t>现文：</w:t>
      </w:r>
      <w:r>
        <w:rPr>
          <w:rFonts w:hint="eastAsia" w:asciiTheme="minorEastAsia" w:hAnsiTheme="minorEastAsia" w:eastAsiaTheme="minorEastAsia" w:cstheme="minorEastAsia"/>
          <w:color w:val="auto"/>
          <w:highlight w:val="none"/>
        </w:rPr>
        <w:t>3.3.3</w:t>
      </w:r>
      <w:r>
        <w:rPr>
          <w:color w:val="auto"/>
          <w:highlight w:val="none"/>
        </w:rPr>
        <w:t xml:space="preserve"> 出现特殊情况需要延长投标有效期的，招标人以书面形式通知所有投标人延长投标有效期。投标人应予以书面答复，同意延长的</w:t>
      </w:r>
      <w:r>
        <w:rPr>
          <w:strike/>
          <w:color w:val="auto"/>
          <w:highlight w:val="none"/>
          <w:u w:val="single"/>
        </w:rPr>
        <w:t>，应相应延长其投标保证金的有效期，但</w:t>
      </w:r>
      <w:r>
        <w:rPr>
          <w:color w:val="auto"/>
          <w:highlight w:val="none"/>
        </w:rPr>
        <w:t>不得要求或被允许修改其投标文件；投标人拒绝延长的，其投标失效</w:t>
      </w:r>
      <w:r>
        <w:rPr>
          <w:strike/>
          <w:color w:val="auto"/>
          <w:highlight w:val="none"/>
        </w:rPr>
        <w:t>，但投标人有权收回其投标保证金及以现金或者支票形式递交的投标保证金的银行同期存款利息</w:t>
      </w:r>
    </w:p>
    <w:p w14:paraId="62F93E83">
      <w:pPr>
        <w:spacing w:line="480" w:lineRule="auto"/>
        <w:ind w:firstLine="537" w:firstLineChars="224"/>
        <w:rPr>
          <w:rFonts w:ascii="宋体" w:hAnsi="宋体"/>
          <w:color w:val="auto"/>
          <w:highlight w:val="none"/>
        </w:rPr>
      </w:pPr>
      <w:r>
        <w:rPr>
          <w:rFonts w:ascii="宋体" w:hAnsi="宋体"/>
          <w:color w:val="auto"/>
          <w:highlight w:val="none"/>
        </w:rPr>
        <w:t>条款号：3.4  投标保证金             修改类型：修改</w:t>
      </w:r>
    </w:p>
    <w:p w14:paraId="5D8E129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原文：3.4.1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61544D8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3.4.2 开标时投标人没有按要求提交投标保证金的，其投标文件将被否决。</w:t>
      </w:r>
    </w:p>
    <w:p w14:paraId="606D808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3.4.3 中标候选人以外的投标人的投标保证金将尽快退还，最迟不超过中标通知书发出之日起五日内；中标人和其他中标候选人的投标保证金，在书面合同订立之日起五日内予以退还。</w:t>
      </w:r>
    </w:p>
    <w:p w14:paraId="18F351A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3.4.4 有下列情形之一的，投标保证金将不予退还：</w:t>
      </w:r>
    </w:p>
    <w:p w14:paraId="33E6BA6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w:t>
      </w:r>
      <w:r>
        <w:rPr>
          <w:rFonts w:hint="eastAsia"/>
          <w:color w:val="auto"/>
          <w:sz w:val="24"/>
          <w:highlight w:val="none"/>
        </w:rPr>
        <w:t>1</w:t>
      </w:r>
      <w:r>
        <w:rPr>
          <w:color w:val="auto"/>
          <w:sz w:val="24"/>
          <w:highlight w:val="none"/>
        </w:rPr>
        <w:t>) 投标人在规定的投标有效期内撤销其投标文件；</w:t>
      </w:r>
    </w:p>
    <w:p w14:paraId="63FA560C">
      <w:pPr>
        <w:spacing w:line="480" w:lineRule="auto"/>
        <w:ind w:firstLine="480" w:firstLineChars="200"/>
        <w:rPr>
          <w:rFonts w:ascii="宋体" w:hAnsi="宋体"/>
          <w:color w:val="auto"/>
          <w:highlight w:val="none"/>
        </w:rPr>
      </w:pPr>
      <w:r>
        <w:rPr>
          <w:rFonts w:ascii="宋体" w:hAnsi="宋体"/>
          <w:color w:val="auto"/>
          <w:highlight w:val="none"/>
        </w:rPr>
        <w:t xml:space="preserve">(2) </w:t>
      </w:r>
      <w:r>
        <w:rPr>
          <w:color w:val="auto"/>
          <w:highlight w:val="none"/>
        </w:rPr>
        <w:t>中标人在收到中标通知书后，无正当理由不与招标人订立合同，在签订合同时向招标 人提出附加条件，或者不按照招标文件要求提交履约保证金。</w:t>
      </w:r>
    </w:p>
    <w:p w14:paraId="5A50F4A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现文：3.4.1本项目免收投标保证金，投标人提供《关于投标保证金的承诺》（详见投标文件格式）。</w:t>
      </w:r>
    </w:p>
    <w:p w14:paraId="3A80CF2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3.4.2对于投标人已提供《关于投标保证金的承诺》，若投标人存在3.4.</w:t>
      </w:r>
      <w:r>
        <w:rPr>
          <w:rFonts w:hint="eastAsia"/>
          <w:color w:val="auto"/>
          <w:sz w:val="24"/>
          <w:highlight w:val="none"/>
        </w:rPr>
        <w:t>3</w:t>
      </w:r>
      <w:r>
        <w:rPr>
          <w:color w:val="auto"/>
          <w:sz w:val="24"/>
          <w:highlight w:val="none"/>
        </w:rPr>
        <w:t>条款所列情形，该投标人应在发现存在3.4.</w:t>
      </w:r>
      <w:r>
        <w:rPr>
          <w:rFonts w:hint="eastAsia"/>
          <w:color w:val="auto"/>
          <w:sz w:val="24"/>
          <w:highlight w:val="none"/>
        </w:rPr>
        <w:t>3</w:t>
      </w:r>
      <w:r>
        <w:rPr>
          <w:color w:val="auto"/>
          <w:sz w:val="24"/>
          <w:highlight w:val="none"/>
        </w:rPr>
        <w:t>条款所列情形之日起5个工作日内按投标人须知前附表第3.4.1项所述金额补交投标保证金。若未按要求补交投标保证金的将暂停其参与招标人后续工程投标，直至完成补交手续为止。</w:t>
      </w:r>
    </w:p>
    <w:p w14:paraId="3926A8C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w:t>
      </w:r>
      <w:r>
        <w:rPr>
          <w:rFonts w:hint="eastAsia"/>
          <w:color w:val="auto"/>
          <w:sz w:val="24"/>
          <w:highlight w:val="none"/>
        </w:rPr>
        <w:t>3</w:t>
      </w:r>
      <w:r>
        <w:rPr>
          <w:color w:val="auto"/>
          <w:sz w:val="24"/>
          <w:highlight w:val="none"/>
        </w:rPr>
        <w:t>如有下列情况之一的，招标人可以不予退还投标保证金（是否退还投标保证金由招标人在招标文件中规定）：</w:t>
      </w:r>
    </w:p>
    <w:p w14:paraId="6407C27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w:t>
      </w:r>
      <w:r>
        <w:rPr>
          <w:rFonts w:hint="eastAsia"/>
          <w:color w:val="auto"/>
          <w:sz w:val="24"/>
          <w:highlight w:val="none"/>
        </w:rPr>
        <w:t>3</w:t>
      </w:r>
      <w:r>
        <w:rPr>
          <w:color w:val="auto"/>
          <w:sz w:val="24"/>
          <w:highlight w:val="none"/>
        </w:rPr>
        <w:t>.1因投标人原因造成投标文件未解密的；</w:t>
      </w:r>
    </w:p>
    <w:p w14:paraId="66BFFD8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w:t>
      </w:r>
      <w:r>
        <w:rPr>
          <w:rFonts w:hint="eastAsia"/>
          <w:color w:val="auto"/>
          <w:sz w:val="24"/>
          <w:highlight w:val="none"/>
        </w:rPr>
        <w:t>3</w:t>
      </w:r>
      <w:r>
        <w:rPr>
          <w:color w:val="auto"/>
          <w:sz w:val="24"/>
          <w:highlight w:val="none"/>
        </w:rPr>
        <w:t>.2投标人在投标有效期内撤销投标文件；</w:t>
      </w:r>
    </w:p>
    <w:p w14:paraId="6B535EC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w:t>
      </w:r>
      <w:r>
        <w:rPr>
          <w:rFonts w:hint="eastAsia"/>
          <w:color w:val="auto"/>
          <w:sz w:val="24"/>
          <w:highlight w:val="none"/>
        </w:rPr>
        <w:t>3</w:t>
      </w:r>
      <w:r>
        <w:rPr>
          <w:color w:val="auto"/>
          <w:sz w:val="24"/>
          <w:highlight w:val="none"/>
        </w:rPr>
        <w:t>.3中标人未能在规定期限内按要求提交履约担保；</w:t>
      </w:r>
    </w:p>
    <w:p w14:paraId="47013821">
      <w:pPr>
        <w:pBdr>
          <w:bottom w:val="single" w:color="auto" w:sz="6" w:space="1"/>
        </w:pBdr>
        <w:spacing w:line="480" w:lineRule="auto"/>
        <w:ind w:firstLine="537" w:firstLineChars="224"/>
        <w:rPr>
          <w:rFonts w:ascii="宋体" w:hAnsi="宋体"/>
          <w:color w:val="auto"/>
          <w:highlight w:val="none"/>
        </w:rPr>
      </w:pPr>
      <w:r>
        <w:rPr>
          <w:rFonts w:hint="eastAsia" w:asciiTheme="minorEastAsia" w:hAnsiTheme="minorEastAsia" w:eastAsiaTheme="minorEastAsia" w:cstheme="minorEastAsia"/>
          <w:color w:val="auto"/>
          <w:highlight w:val="none"/>
        </w:rPr>
        <w:t>3.4.3.4中</w:t>
      </w:r>
      <w:r>
        <w:rPr>
          <w:color w:val="auto"/>
          <w:highlight w:val="none"/>
        </w:rPr>
        <w:t>标人未能在规定期限内签署合同协议。</w:t>
      </w:r>
    </w:p>
    <w:p w14:paraId="2CF43A7F">
      <w:pPr>
        <w:spacing w:line="480" w:lineRule="auto"/>
        <w:ind w:firstLine="537" w:firstLineChars="224"/>
        <w:rPr>
          <w:rFonts w:ascii="宋体" w:hAnsi="宋体"/>
          <w:color w:val="auto"/>
          <w:highlight w:val="none"/>
        </w:rPr>
      </w:pPr>
      <w:r>
        <w:rPr>
          <w:rFonts w:ascii="宋体" w:hAnsi="宋体"/>
          <w:color w:val="auto"/>
          <w:highlight w:val="none"/>
        </w:rPr>
        <w:t>条款号：</w:t>
      </w:r>
      <w:r>
        <w:rPr>
          <w:rFonts w:ascii="宋体" w:hAnsi="宋体" w:cs="宋体"/>
          <w:color w:val="auto"/>
          <w:highlight w:val="none"/>
        </w:rPr>
        <w:t>3.5 资格审查资料</w:t>
      </w:r>
      <w:r>
        <w:rPr>
          <w:rFonts w:ascii="宋体" w:hAnsi="宋体"/>
          <w:color w:val="auto"/>
          <w:highlight w:val="none"/>
        </w:rPr>
        <w:t xml:space="preserve">             修改类型：修改</w:t>
      </w:r>
    </w:p>
    <w:p w14:paraId="43231DD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原文：除投标人须知前附表另有规定外，投标人应按下列规定提供资格审查资料，以证明其满足本章第 1.4 款规定的资质、财务、业绩、信誉等要求。</w:t>
      </w:r>
    </w:p>
    <w:p w14:paraId="7F24E4C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3.5.1 “投标人基本情况表”应附投标人营业执照、投标人监理资质证书副本等材料的扫描件。</w:t>
      </w:r>
    </w:p>
    <w:p w14:paraId="4168DDB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3.5.2 “近年完成的类似监理项目情况表”应附中标通知书和（或）合同协议书、委托人出具的证明文件；具体时间要求见投标人须知前附表，每张表格只填写一个项目，并标明序号。</w:t>
      </w:r>
    </w:p>
    <w:p w14:paraId="35F3389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w:t>
      </w:r>
      <w:r>
        <w:rPr>
          <w:rFonts w:hint="eastAsia"/>
          <w:color w:val="auto"/>
          <w:sz w:val="24"/>
          <w:highlight w:val="none"/>
        </w:rPr>
        <w:t>（注：以上人员社保要求：具有离投标截止时间最近的至少1   个月在本单位缴纳的社保证明文件。）</w:t>
      </w:r>
    </w:p>
    <w:p w14:paraId="5B6E3242">
      <w:pPr>
        <w:spacing w:line="480" w:lineRule="auto"/>
        <w:ind w:firstLine="537" w:firstLineChars="224"/>
        <w:rPr>
          <w:rFonts w:ascii="宋体" w:hAnsi="宋体"/>
          <w:color w:val="auto"/>
          <w:highlight w:val="none"/>
        </w:rPr>
      </w:pPr>
      <w:r>
        <w:rPr>
          <w:rFonts w:hint="eastAsia" w:asciiTheme="minorEastAsia" w:hAnsiTheme="minorEastAsia" w:eastAsiaTheme="minorEastAsia" w:cstheme="minorEastAsia"/>
          <w:color w:val="auto"/>
          <w:highlight w:val="none"/>
        </w:rPr>
        <w:t xml:space="preserve">3.5.4 </w:t>
      </w:r>
      <w:r>
        <w:rPr>
          <w:color w:val="auto"/>
          <w:highlight w:val="none"/>
        </w:rPr>
        <w:t>投标人须知前附表规定接受联合体投标的，本章第3.5.1 项至第3.5.3项规定的表格和资料应包括联合体各方相关情况。</w:t>
      </w:r>
    </w:p>
    <w:p w14:paraId="577A3D9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rPr>
        <w:t>现文：</w:t>
      </w:r>
      <w:r>
        <w:rPr>
          <w:color w:val="auto"/>
          <w:sz w:val="24"/>
          <w:highlight w:val="none"/>
          <w:u w:val="single"/>
        </w:rPr>
        <w:t>投标人参加投标的意思表达清楚，投标人代表被授权有效；（按招标文件第六章所附格式内容要求签署的《投标函》）。</w:t>
      </w:r>
    </w:p>
    <w:p w14:paraId="6B7385C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3.5.2 法定代表人证明书、授权委托书。</w:t>
      </w:r>
    </w:p>
    <w:p w14:paraId="3F51C50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3.5.3 营业执照或事业单位法人证书等。</w:t>
      </w:r>
    </w:p>
    <w:p w14:paraId="1DBFE44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3.5.4 监理资质证书。</w:t>
      </w:r>
    </w:p>
    <w:p w14:paraId="29DC382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3.5.5 总监理工程师资料。</w:t>
      </w:r>
    </w:p>
    <w:p w14:paraId="2C291E2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strike/>
          <w:color w:val="auto"/>
          <w:sz w:val="24"/>
          <w:highlight w:val="none"/>
          <w:u w:val="single"/>
        </w:rPr>
        <w:t>3.5.6 类似工程业绩资料。</w:t>
      </w:r>
    </w:p>
    <w:p w14:paraId="1C96F04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3.5.7 投标人须在广州交易集团有限公司(广州公共资源交易中心)办理企业信息登记及拟担任本工程总监理工程师须是本企业信息登记中的在册人员，提供证明文件或网上查询结果打印页面。</w:t>
      </w:r>
    </w:p>
    <w:p w14:paraId="36E4270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3.5.8 投标人声明。</w:t>
      </w:r>
    </w:p>
    <w:p w14:paraId="39E0DD4D">
      <w:pPr>
        <w:spacing w:line="360" w:lineRule="auto"/>
        <w:ind w:firstLine="480" w:firstLineChars="200"/>
        <w:rPr>
          <w:color w:val="auto"/>
          <w:highlight w:val="none"/>
          <w:u w:val="single"/>
        </w:rPr>
      </w:pPr>
      <w:r>
        <w:rPr>
          <w:rFonts w:ascii="宋体" w:hAnsi="宋体"/>
          <w:color w:val="auto"/>
          <w:highlight w:val="none"/>
          <w:u w:val="single"/>
        </w:rPr>
        <w:t>3.5.9其</w:t>
      </w:r>
      <w:r>
        <w:rPr>
          <w:color w:val="auto"/>
          <w:highlight w:val="none"/>
          <w:u w:val="single"/>
        </w:rPr>
        <w:t>他满足投标人资格要求的证明材料（如有）</w:t>
      </w:r>
    </w:p>
    <w:p w14:paraId="72396BED">
      <w:pPr>
        <w:pBdr>
          <w:bottom w:val="single" w:color="auto" w:sz="6" w:space="1"/>
        </w:pBdr>
        <w:spacing w:line="480" w:lineRule="auto"/>
        <w:rPr>
          <w:rFonts w:ascii="宋体" w:hAnsi="宋体"/>
          <w:color w:val="auto"/>
          <w:highlight w:val="none"/>
        </w:rPr>
      </w:pPr>
    </w:p>
    <w:p w14:paraId="7FC76064">
      <w:pPr>
        <w:spacing w:line="360" w:lineRule="auto"/>
        <w:rPr>
          <w:rFonts w:ascii="宋体" w:hAnsi="宋体"/>
          <w:color w:val="auto"/>
          <w:highlight w:val="none"/>
        </w:rPr>
      </w:pPr>
      <w:r>
        <w:rPr>
          <w:rFonts w:ascii="宋体" w:hAnsi="宋体"/>
          <w:color w:val="auto"/>
          <w:highlight w:val="none"/>
        </w:rPr>
        <w:t>注：以上修改，仅限于本范本中有可供选择条款的情形。</w:t>
      </w:r>
    </w:p>
    <w:p w14:paraId="775CD28F">
      <w:pPr>
        <w:spacing w:line="360" w:lineRule="auto"/>
        <w:rPr>
          <w:rFonts w:ascii="宋体" w:hAnsi="宋体"/>
          <w:color w:val="auto"/>
          <w:highlight w:val="none"/>
        </w:rPr>
      </w:pPr>
      <w:r>
        <w:rPr>
          <w:rFonts w:ascii="宋体" w:hAnsi="宋体"/>
          <w:color w:val="auto"/>
          <w:highlight w:val="none"/>
        </w:rPr>
        <w:t>（以下无正文）</w:t>
      </w:r>
    </w:p>
    <w:p w14:paraId="74E4F195">
      <w:pPr>
        <w:pStyle w:val="5"/>
        <w:spacing w:before="120" w:after="120"/>
        <w:rPr>
          <w:rFonts w:cs="宋体"/>
          <w:color w:val="auto"/>
          <w:highlight w:val="none"/>
        </w:rPr>
        <w:sectPr>
          <w:pgSz w:w="11905" w:h="16838"/>
          <w:pgMar w:top="1417" w:right="1417" w:bottom="1417" w:left="1417" w:header="992" w:footer="992" w:gutter="0"/>
          <w:cols w:space="720" w:num="1"/>
        </w:sectPr>
      </w:pPr>
    </w:p>
    <w:p w14:paraId="4DE30B55">
      <w:pPr>
        <w:pStyle w:val="5"/>
        <w:spacing w:before="120" w:after="120"/>
        <w:rPr>
          <w:rFonts w:cs="宋体"/>
          <w:b w:val="0"/>
          <w:color w:val="auto"/>
          <w:highlight w:val="none"/>
        </w:rPr>
      </w:pPr>
      <w:bookmarkStart w:id="20" w:name="_Toc28936"/>
      <w:r>
        <w:rPr>
          <w:rFonts w:cs="宋体"/>
          <w:color w:val="auto"/>
          <w:highlight w:val="none"/>
        </w:rPr>
        <w:t>1.总则</w:t>
      </w:r>
      <w:bookmarkEnd w:id="20"/>
    </w:p>
    <w:p w14:paraId="30CAFCA3">
      <w:pPr>
        <w:spacing w:line="360" w:lineRule="auto"/>
        <w:ind w:firstLine="240" w:firstLineChars="100"/>
        <w:rPr>
          <w:rFonts w:ascii="宋体" w:hAnsi="宋体" w:cs="宋体"/>
          <w:color w:val="auto"/>
          <w:highlight w:val="none"/>
        </w:rPr>
      </w:pPr>
      <w:bookmarkStart w:id="21" w:name="bookmark21"/>
      <w:bookmarkEnd w:id="21"/>
      <w:r>
        <w:rPr>
          <w:rFonts w:ascii="宋体" w:hAnsi="宋体" w:cs="宋体"/>
          <w:color w:val="auto"/>
          <w:highlight w:val="none"/>
        </w:rPr>
        <w:t>1.1 招标项目概况</w:t>
      </w:r>
    </w:p>
    <w:p w14:paraId="0249292A">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1.1.1 根据《中华人民共和国招标投标法》、《中华人民共和国招标投标法实施条例》等有关法律、法规和规章的规定，本招标项目已具备招标条件，现对监理进行招标。</w:t>
      </w:r>
    </w:p>
    <w:p w14:paraId="4DA2E07D">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1.1.2 招标人：见投标人须知前附表。</w:t>
      </w:r>
    </w:p>
    <w:p w14:paraId="0FEC785E">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1.1.3 招标代理机构：见投标人须知前附表。</w:t>
      </w:r>
    </w:p>
    <w:p w14:paraId="292A969E">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1.1.4 招标项目名称：见投标人须知前附表。</w:t>
      </w:r>
    </w:p>
    <w:p w14:paraId="5F2D857A">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1.1.5 项目建设地点：见投标人须知前附表。</w:t>
      </w:r>
    </w:p>
    <w:p w14:paraId="15789A31">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1.1.6 项目建设规模：见投标人须知前附表。</w:t>
      </w:r>
    </w:p>
    <w:p w14:paraId="7B65ABE7">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1.1.7 工程项目施工预计开工日期和建设周期：见投标人须知前附表。</w:t>
      </w:r>
    </w:p>
    <w:p w14:paraId="419C4F6B">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1.1.8 建筑安装工程费/工程概算：见投标人须知前附表。</w:t>
      </w:r>
    </w:p>
    <w:p w14:paraId="129942E1">
      <w:pPr>
        <w:spacing w:line="360" w:lineRule="auto"/>
        <w:ind w:firstLine="240" w:firstLineChars="100"/>
        <w:rPr>
          <w:rFonts w:ascii="宋体" w:hAnsi="宋体" w:cs="宋体"/>
          <w:color w:val="auto"/>
          <w:highlight w:val="none"/>
        </w:rPr>
      </w:pPr>
      <w:bookmarkStart w:id="22" w:name="bookmark22"/>
      <w:bookmarkEnd w:id="22"/>
      <w:r>
        <w:rPr>
          <w:rFonts w:ascii="宋体" w:hAnsi="宋体" w:cs="宋体"/>
          <w:color w:val="auto"/>
          <w:highlight w:val="none"/>
        </w:rPr>
        <w:t>1.2 招标项目的资金来源和落实情况</w:t>
      </w:r>
    </w:p>
    <w:p w14:paraId="192CFBB8">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1.2.1 资金来源及比例：见投标人须知前附表。</w:t>
      </w:r>
    </w:p>
    <w:p w14:paraId="0F6E1317">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1.2.2 资金落实情况：见投标人须知前附表。</w:t>
      </w:r>
    </w:p>
    <w:p w14:paraId="0BF55CAD">
      <w:pPr>
        <w:spacing w:line="360" w:lineRule="auto"/>
        <w:ind w:firstLine="240" w:firstLineChars="100"/>
        <w:rPr>
          <w:rFonts w:ascii="宋体" w:hAnsi="宋体" w:cs="宋体"/>
          <w:color w:val="auto"/>
          <w:highlight w:val="none"/>
        </w:rPr>
      </w:pPr>
      <w:bookmarkStart w:id="23" w:name="bookmark23"/>
      <w:bookmarkEnd w:id="23"/>
      <w:r>
        <w:rPr>
          <w:rFonts w:ascii="宋体" w:hAnsi="宋体" w:cs="宋体"/>
          <w:color w:val="auto"/>
          <w:highlight w:val="none"/>
        </w:rPr>
        <w:t>1.3 招标范围、监理服务期限和质量标准</w:t>
      </w:r>
    </w:p>
    <w:p w14:paraId="05181A26">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1.3.1 招标范围：见投标人须知前附表。</w:t>
      </w:r>
    </w:p>
    <w:p w14:paraId="173BD804">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1.3.2 监理服务期限：见投标人须知前附表。</w:t>
      </w:r>
    </w:p>
    <w:p w14:paraId="588DCB4E">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1.3.3 质量标准：见投标人须知前附表。</w:t>
      </w:r>
    </w:p>
    <w:p w14:paraId="2FB64E27">
      <w:pPr>
        <w:spacing w:line="360" w:lineRule="auto"/>
        <w:ind w:firstLine="240" w:firstLineChars="100"/>
        <w:rPr>
          <w:rFonts w:ascii="宋体" w:hAnsi="宋体" w:cs="宋体"/>
          <w:color w:val="auto"/>
          <w:highlight w:val="none"/>
        </w:rPr>
      </w:pPr>
      <w:bookmarkStart w:id="24" w:name="bookmark24"/>
      <w:bookmarkEnd w:id="24"/>
      <w:r>
        <w:rPr>
          <w:rFonts w:ascii="宋体" w:hAnsi="宋体" w:cs="宋体"/>
          <w:color w:val="auto"/>
          <w:highlight w:val="none"/>
        </w:rPr>
        <w:t>1.4 投标人资格要求</w:t>
      </w:r>
    </w:p>
    <w:p w14:paraId="3C6E42F7">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1.4.1 投标人应具备承担本招标项目资质条件、能力和信誉：</w:t>
      </w:r>
    </w:p>
    <w:p w14:paraId="45A7FDCC">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（1）资质要求：见投标人须知前附表；</w:t>
      </w:r>
    </w:p>
    <w:p w14:paraId="4EBF32C2">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（2）财务要求：见投标人须知前附表；</w:t>
      </w:r>
    </w:p>
    <w:p w14:paraId="2C3FFFEB">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（3）业绩要求：见投标人须知前附表；</w:t>
      </w:r>
    </w:p>
    <w:p w14:paraId="7EFA353F">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（4）信誉要求：见投标人须知前附表；</w:t>
      </w:r>
    </w:p>
    <w:p w14:paraId="508B8227">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（5）总监理工程师的资格要求：应当具备工程注册监理工程师执业资格，具体要求见投标人须知前附表；</w:t>
      </w:r>
    </w:p>
    <w:p w14:paraId="42DFA3CA">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（6）其他主要人员要求：见投标人须知前附表。</w:t>
      </w:r>
    </w:p>
    <w:p w14:paraId="22A96FCC">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（7）试验检测仪器设备要求：见投标人须知前附表。</w:t>
      </w:r>
    </w:p>
    <w:p w14:paraId="661F0139">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auto"/>
          <w:sz w:val="24"/>
          <w:highlight w:val="none"/>
        </w:rPr>
      </w:pPr>
      <w:r>
        <w:rPr>
          <w:color w:val="auto"/>
          <w:sz w:val="24"/>
          <w:highlight w:val="none"/>
        </w:rPr>
        <w:t>（8）其他要求：见投标人须知前附表。需要提交的相关证明材料见本章第 3.5 款的规定。</w:t>
      </w:r>
    </w:p>
    <w:p w14:paraId="105CAE8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color w:val="auto"/>
          <w:sz w:val="24"/>
          <w:highlight w:val="none"/>
        </w:rPr>
      </w:pPr>
      <w:r>
        <w:rPr>
          <w:strike w:val="0"/>
          <w:color w:val="auto"/>
          <w:sz w:val="24"/>
          <w:highlight w:val="none"/>
        </w:rPr>
        <w:t>1.4.2 投标人须知前附表规定接受联合体投标的，联合体除应符合本章第 1.4.1 项和投标人须知前附表的要求外，还应遵守以下规定：</w:t>
      </w:r>
    </w:p>
    <w:p w14:paraId="0D89485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color w:val="auto"/>
          <w:sz w:val="24"/>
          <w:highlight w:val="none"/>
        </w:rPr>
      </w:pPr>
      <w:r>
        <w:rPr>
          <w:strike w:val="0"/>
          <w:color w:val="auto"/>
          <w:sz w:val="24"/>
          <w:highlight w:val="none"/>
        </w:rPr>
        <w:t>（1）联合体各方应按招标文件提供的格式签订联合体协议书，明确联合体</w:t>
      </w:r>
      <w:r>
        <w:rPr>
          <w:strike w:val="0"/>
          <w:color w:val="auto"/>
          <w:spacing w:val="-2"/>
          <w:sz w:val="24"/>
          <w:highlight w:val="none"/>
        </w:rPr>
        <w:t>主办方</w:t>
      </w:r>
      <w:r>
        <w:rPr>
          <w:strike w:val="0"/>
          <w:color w:val="auto"/>
          <w:sz w:val="24"/>
          <w:highlight w:val="none"/>
        </w:rPr>
        <w:t>和各方权利义务，并承诺就中标项目向招标人承担连带责任；</w:t>
      </w:r>
    </w:p>
    <w:p w14:paraId="25AF55D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color w:val="auto"/>
          <w:sz w:val="24"/>
          <w:highlight w:val="none"/>
        </w:rPr>
      </w:pPr>
      <w:r>
        <w:rPr>
          <w:strike w:val="0"/>
          <w:color w:val="auto"/>
          <w:sz w:val="24"/>
          <w:highlight w:val="none"/>
        </w:rPr>
        <w:t>（2）由同一专业的单位组成的联合体，按照资质等级较低的单位确定资质等级；</w:t>
      </w:r>
    </w:p>
    <w:p w14:paraId="629CE19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color w:val="auto"/>
          <w:sz w:val="24"/>
          <w:highlight w:val="none"/>
        </w:rPr>
      </w:pPr>
      <w:r>
        <w:rPr>
          <w:strike w:val="0"/>
          <w:color w:val="auto"/>
          <w:sz w:val="24"/>
          <w:highlight w:val="none"/>
        </w:rPr>
        <w:t>（3）联合体各方不得再以自己名义单独或参加其他联合体在本招标项目中投标，否则各相关投标均无效。</w:t>
      </w:r>
    </w:p>
    <w:p w14:paraId="6B9ED05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1.4.3 投标人不得存在下列情形之一：</w:t>
      </w:r>
    </w:p>
    <w:p w14:paraId="0845005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（1）为招标人不具有独立法人资格的附属机构（单位）；</w:t>
      </w:r>
    </w:p>
    <w:p w14:paraId="71D4A1B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（2）与招标人存在利害关系且可能影响招标公正性；</w:t>
      </w:r>
    </w:p>
    <w:p w14:paraId="18BDF63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（3）与本招标项目的其他投标人为同一个单位负责人；</w:t>
      </w:r>
    </w:p>
    <w:p w14:paraId="1523D7B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（4）与本招标项目的其他投标人存在控股、管理关系；</w:t>
      </w:r>
    </w:p>
    <w:p w14:paraId="482C02B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（5）为本招标项目的代建人；</w:t>
      </w:r>
    </w:p>
    <w:p w14:paraId="3CF7659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（6）为本招标项目的招标代理机构；</w:t>
      </w:r>
    </w:p>
    <w:p w14:paraId="3726622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（7）与本招标项目的代建人或招标代理机构同为一个法定代表人；</w:t>
      </w:r>
    </w:p>
    <w:p w14:paraId="60E633F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（8）与本招标项目的代建人或招标代理机构存在控股或参股关系；</w:t>
      </w:r>
    </w:p>
    <w:p w14:paraId="10348D6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（9）与本招标项目的检测机构、建设</w:t>
      </w:r>
      <w:r>
        <w:rPr>
          <w:rFonts w:hint="eastAsia"/>
          <w:color w:val="auto"/>
          <w:sz w:val="24"/>
          <w:highlight w:val="none"/>
        </w:rPr>
        <w:t>、施工</w:t>
      </w:r>
      <w:r>
        <w:rPr>
          <w:color w:val="auto"/>
          <w:sz w:val="24"/>
          <w:highlight w:val="none"/>
        </w:rPr>
        <w:t>单位以及建筑材料、建筑构配件和设备供应商有隶属关系或者其他利害关系有隶属关系或者其他利害关系；</w:t>
      </w:r>
    </w:p>
    <w:p w14:paraId="31D4B1E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w:t>
      </w:r>
      <w:r>
        <w:rPr>
          <w:rFonts w:hint="eastAsia"/>
          <w:color w:val="auto"/>
          <w:sz w:val="24"/>
          <w:highlight w:val="none"/>
        </w:rPr>
        <w:t>0</w:t>
      </w:r>
      <w:r>
        <w:rPr>
          <w:color w:val="auto"/>
          <w:sz w:val="24"/>
          <w:highlight w:val="none"/>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DD160A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）被责令停产停业、暂扣或者吊销许可证、暂扣或者吊销执照的（本项事实应当以根据《中华人民共和国行政处罚法》依法作出并已经生效的行政处罚决定为认定依据。）；</w:t>
      </w:r>
    </w:p>
    <w:p w14:paraId="0237A14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）进入清算程序，或被宣布破产，或其他丧失履约能力的情形；</w:t>
      </w:r>
    </w:p>
    <w:p w14:paraId="197CD79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E53DD9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w:t>
      </w:r>
      <w:r>
        <w:rPr>
          <w:rFonts w:hint="eastAsia"/>
          <w:color w:val="auto"/>
          <w:sz w:val="24"/>
          <w:highlight w:val="none"/>
        </w:rPr>
        <w:t>4</w:t>
      </w:r>
      <w:r>
        <w:rPr>
          <w:color w:val="auto"/>
          <w:sz w:val="24"/>
          <w:highlight w:val="none"/>
        </w:rPr>
        <w:t>）法律法规规定的其他情形。</w:t>
      </w:r>
    </w:p>
    <w:p w14:paraId="7B06BF1D">
      <w:pPr>
        <w:spacing w:line="360" w:lineRule="auto"/>
        <w:ind w:firstLine="240" w:firstLineChars="100"/>
        <w:rPr>
          <w:rFonts w:ascii="宋体" w:hAnsi="宋体" w:cs="宋体"/>
          <w:color w:val="auto"/>
          <w:highlight w:val="none"/>
        </w:rPr>
      </w:pPr>
      <w:bookmarkStart w:id="25" w:name="bookmark25"/>
      <w:bookmarkEnd w:id="25"/>
      <w:r>
        <w:rPr>
          <w:rFonts w:ascii="宋体" w:hAnsi="宋体" w:cs="宋体"/>
          <w:color w:val="auto"/>
          <w:highlight w:val="none"/>
        </w:rPr>
        <w:t>1.5 费用承担</w:t>
      </w:r>
    </w:p>
    <w:p w14:paraId="444ED54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投标人准备和参加投标活动发生的费用自理。</w:t>
      </w:r>
    </w:p>
    <w:p w14:paraId="5760C216">
      <w:pPr>
        <w:spacing w:line="360" w:lineRule="auto"/>
        <w:ind w:firstLine="240" w:firstLineChars="100"/>
        <w:rPr>
          <w:rFonts w:ascii="宋体" w:hAnsi="宋体" w:cs="宋体"/>
          <w:color w:val="auto"/>
          <w:highlight w:val="none"/>
        </w:rPr>
      </w:pPr>
      <w:bookmarkStart w:id="26" w:name="bookmark26"/>
      <w:bookmarkEnd w:id="26"/>
      <w:r>
        <w:rPr>
          <w:rFonts w:ascii="宋体" w:hAnsi="宋体" w:cs="宋体"/>
          <w:color w:val="auto"/>
          <w:highlight w:val="none"/>
        </w:rPr>
        <w:t>1.6 保密</w:t>
      </w:r>
    </w:p>
    <w:p w14:paraId="791F7D2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参与招标投标活动的各方应对招标文件和投标文件中的商业和技术等秘密保密，否则应承 担相应的法律责任。</w:t>
      </w:r>
    </w:p>
    <w:p w14:paraId="1F45B86C">
      <w:pPr>
        <w:spacing w:line="360" w:lineRule="auto"/>
        <w:ind w:firstLine="240" w:firstLineChars="100"/>
        <w:rPr>
          <w:rFonts w:ascii="宋体" w:hAnsi="宋体" w:cs="宋体"/>
          <w:color w:val="auto"/>
          <w:highlight w:val="none"/>
        </w:rPr>
      </w:pPr>
      <w:bookmarkStart w:id="27" w:name="bookmark27"/>
      <w:bookmarkEnd w:id="27"/>
      <w:r>
        <w:rPr>
          <w:rFonts w:ascii="宋体" w:hAnsi="宋体" w:cs="宋体"/>
          <w:color w:val="auto"/>
          <w:highlight w:val="none"/>
        </w:rPr>
        <w:t>1.7 语言文字</w:t>
      </w:r>
    </w:p>
    <w:p w14:paraId="0A2C7C1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招标投标文件使用的语言文字为中文。专用术语使用外文的，应附有中文注释。</w:t>
      </w:r>
    </w:p>
    <w:p w14:paraId="71254D21">
      <w:pPr>
        <w:spacing w:line="360" w:lineRule="auto"/>
        <w:ind w:firstLine="240" w:firstLineChars="100"/>
        <w:rPr>
          <w:rFonts w:ascii="宋体" w:hAnsi="宋体" w:cs="宋体"/>
          <w:color w:val="auto"/>
          <w:highlight w:val="none"/>
        </w:rPr>
      </w:pPr>
      <w:bookmarkStart w:id="28" w:name="bookmark28"/>
      <w:bookmarkEnd w:id="28"/>
      <w:r>
        <w:rPr>
          <w:rFonts w:ascii="宋体" w:hAnsi="宋体" w:cs="宋体"/>
          <w:color w:val="auto"/>
          <w:highlight w:val="none"/>
        </w:rPr>
        <w:t>1.8 计量单位</w:t>
      </w:r>
    </w:p>
    <w:p w14:paraId="709CC5E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所有计量均采用中华人民共和国法定计量单位。</w:t>
      </w:r>
    </w:p>
    <w:p w14:paraId="1F575597">
      <w:pPr>
        <w:spacing w:line="360" w:lineRule="auto"/>
        <w:ind w:firstLine="240" w:firstLineChars="100"/>
        <w:rPr>
          <w:rFonts w:ascii="宋体" w:hAnsi="宋体" w:cs="宋体"/>
          <w:color w:val="auto"/>
          <w:highlight w:val="none"/>
        </w:rPr>
      </w:pPr>
      <w:bookmarkStart w:id="29" w:name="bookmark29"/>
      <w:bookmarkEnd w:id="29"/>
      <w:r>
        <w:rPr>
          <w:rFonts w:ascii="宋体" w:hAnsi="宋体" w:cs="宋体"/>
          <w:color w:val="auto"/>
          <w:highlight w:val="none"/>
        </w:rPr>
        <w:t>1.9 踏勘现场</w:t>
      </w:r>
    </w:p>
    <w:p w14:paraId="27A1A02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1.9.1 投标人须知前附表规定组织踏勘现场的，招标人按投标人须知前附表规定的时间、地 点组织投标人踏勘项目现场。部分投标人未按时参加踏勘现场的，不影响踏勘现场的正常进行。</w:t>
      </w:r>
    </w:p>
    <w:p w14:paraId="15A4088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1.9.2 投标人踏勘现场发生的费用自理。</w:t>
      </w:r>
    </w:p>
    <w:p w14:paraId="7CFFCFF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1.9.3 除招标人的原因外，投标人自行负责在踏勘现场中所发生的人员伤亡和财产损失。</w:t>
      </w:r>
    </w:p>
    <w:p w14:paraId="59BE058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1.9.4 招标人在踏勘现场中介绍的工程场地和相关的周边环境情况，供投标人在编制投标文 件时参考，招标人不对投标人据此作出的判断和决策负责。</w:t>
      </w:r>
    </w:p>
    <w:p w14:paraId="405C1F9A">
      <w:pPr>
        <w:spacing w:line="360" w:lineRule="auto"/>
        <w:ind w:firstLine="240" w:firstLineChars="100"/>
        <w:rPr>
          <w:rFonts w:ascii="宋体" w:hAnsi="宋体" w:cs="宋体"/>
          <w:color w:val="auto"/>
          <w:highlight w:val="none"/>
        </w:rPr>
      </w:pPr>
      <w:bookmarkStart w:id="30" w:name="bookmark30"/>
      <w:bookmarkEnd w:id="30"/>
      <w:r>
        <w:rPr>
          <w:rFonts w:ascii="宋体" w:hAnsi="宋体" w:cs="宋体"/>
          <w:color w:val="auto"/>
          <w:highlight w:val="none"/>
        </w:rPr>
        <w:t>1.10 投标预备会</w:t>
      </w:r>
    </w:p>
    <w:p w14:paraId="090F54B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color w:val="auto"/>
          <w:sz w:val="24"/>
          <w:highlight w:val="none"/>
        </w:rPr>
      </w:pPr>
      <w:r>
        <w:rPr>
          <w:color w:val="auto"/>
          <w:sz w:val="24"/>
          <w:highlight w:val="none"/>
        </w:rPr>
        <w:t>1.10.1 投标人须知前附表规定召开投标预备会的，招标人按投标人须知前附表规定的时间和地点召开投标预备会，澄清投标人提出的问题。</w:t>
      </w:r>
    </w:p>
    <w:p w14:paraId="31D83AD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color w:val="auto"/>
          <w:sz w:val="24"/>
          <w:highlight w:val="none"/>
        </w:rPr>
      </w:pPr>
      <w:r>
        <w:rPr>
          <w:color w:val="auto"/>
          <w:sz w:val="24"/>
          <w:highlight w:val="none"/>
        </w:rPr>
        <w:t>1.10.2 投标人应按投标人须知前附表规定的时间和形式将提出的问题送达招标人，以便招标人在会议期间澄清。</w:t>
      </w:r>
    </w:p>
    <w:p w14:paraId="7022F7B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color w:val="auto"/>
          <w:sz w:val="24"/>
          <w:highlight w:val="none"/>
        </w:rPr>
      </w:pPr>
      <w:r>
        <w:rPr>
          <w:color w:val="auto"/>
          <w:sz w:val="24"/>
          <w:highlight w:val="none"/>
        </w:rPr>
        <w:t>1.10.3 投标预备会后，招标人将对投标人所提问题的澄清，以投标人须知前附表规定的形式通知所有潜在投标人。该澄清内容为招标文件的组成部分。</w:t>
      </w:r>
    </w:p>
    <w:p w14:paraId="1870756A">
      <w:pPr>
        <w:spacing w:line="360" w:lineRule="auto"/>
        <w:ind w:firstLine="240" w:firstLineChars="100"/>
        <w:rPr>
          <w:rFonts w:ascii="宋体" w:hAnsi="宋体" w:cs="宋体"/>
          <w:color w:val="auto"/>
          <w:highlight w:val="none"/>
        </w:rPr>
      </w:pPr>
      <w:bookmarkStart w:id="31" w:name="bookmark31"/>
      <w:bookmarkEnd w:id="31"/>
      <w:r>
        <w:rPr>
          <w:rFonts w:ascii="宋体" w:hAnsi="宋体" w:cs="宋体"/>
          <w:color w:val="auto"/>
          <w:highlight w:val="none"/>
        </w:rPr>
        <w:t>1.11 分包</w:t>
      </w:r>
    </w:p>
    <w:p w14:paraId="4117325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本项目严禁分包。</w:t>
      </w:r>
    </w:p>
    <w:p w14:paraId="4FEAA568">
      <w:pPr>
        <w:spacing w:line="360" w:lineRule="auto"/>
        <w:ind w:firstLine="240" w:firstLineChars="100"/>
        <w:rPr>
          <w:rFonts w:ascii="宋体" w:hAnsi="宋体" w:cs="宋体"/>
          <w:color w:val="auto"/>
          <w:highlight w:val="none"/>
        </w:rPr>
      </w:pPr>
      <w:bookmarkStart w:id="32" w:name="bookmark32"/>
      <w:bookmarkEnd w:id="32"/>
      <w:r>
        <w:rPr>
          <w:rFonts w:ascii="宋体" w:hAnsi="宋体" w:cs="宋体"/>
          <w:color w:val="auto"/>
          <w:highlight w:val="none"/>
        </w:rPr>
        <w:t>1.12 响应和偏差</w:t>
      </w:r>
    </w:p>
    <w:p w14:paraId="5B0740E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1.12.1 投标文件应当对招标文件的实质性要求和条件作出满足性或更有利于招标人的响应，否则，投标人的投标将被否决。实质性要求和条件见投标人须知前附表。</w:t>
      </w:r>
    </w:p>
    <w:p w14:paraId="7C19769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1.12.2 投标人应根据招标文件的要求提供投标监理大纲等内容以对招标文件作出响应。</w:t>
      </w:r>
    </w:p>
    <w:p w14:paraId="22CCE20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1.12.3 投标人须知前附表允许投标文件偏离招标文件某些要求的，偏差应当符合招标文件规定的偏差范围和幅度。</w:t>
      </w:r>
    </w:p>
    <w:p w14:paraId="59C870CB">
      <w:pPr>
        <w:pStyle w:val="5"/>
        <w:spacing w:before="120" w:after="120"/>
        <w:rPr>
          <w:rFonts w:cs="宋体"/>
          <w:color w:val="auto"/>
          <w:highlight w:val="none"/>
        </w:rPr>
      </w:pPr>
      <w:bookmarkStart w:id="33" w:name="bookmark33"/>
      <w:bookmarkEnd w:id="33"/>
      <w:bookmarkStart w:id="34" w:name="_Toc8823"/>
      <w:r>
        <w:rPr>
          <w:rFonts w:cs="宋体"/>
          <w:color w:val="auto"/>
          <w:highlight w:val="none"/>
        </w:rPr>
        <w:t>2.招标文件</w:t>
      </w:r>
      <w:bookmarkEnd w:id="34"/>
    </w:p>
    <w:p w14:paraId="7A498527">
      <w:pPr>
        <w:spacing w:line="360" w:lineRule="auto"/>
        <w:ind w:firstLine="240" w:firstLineChars="100"/>
        <w:rPr>
          <w:rFonts w:ascii="宋体" w:hAnsi="宋体" w:cs="宋体"/>
          <w:color w:val="auto"/>
          <w:highlight w:val="none"/>
        </w:rPr>
      </w:pPr>
      <w:bookmarkStart w:id="35" w:name="bookmark34"/>
      <w:bookmarkEnd w:id="35"/>
      <w:r>
        <w:rPr>
          <w:rFonts w:hint="eastAsia" w:ascii="宋体" w:hAnsi="宋体" w:cs="宋体"/>
          <w:color w:val="auto"/>
          <w:highlight w:val="none"/>
        </w:rPr>
        <w:t>2.1 招标文件的组成</w:t>
      </w:r>
    </w:p>
    <w:p w14:paraId="5BD5D28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本招标文件包括：</w:t>
      </w:r>
    </w:p>
    <w:p w14:paraId="56A45EE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（1）招标公告；</w:t>
      </w:r>
    </w:p>
    <w:p w14:paraId="69897FB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（2）投标人须知；</w:t>
      </w:r>
    </w:p>
    <w:p w14:paraId="3C248A5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（3）评标办法；</w:t>
      </w:r>
    </w:p>
    <w:p w14:paraId="25203F2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（4）合同条款及格式；</w:t>
      </w:r>
    </w:p>
    <w:p w14:paraId="430DD72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（5）委托人要求；</w:t>
      </w:r>
    </w:p>
    <w:p w14:paraId="35B8D8A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（6）投标文件格式；</w:t>
      </w:r>
    </w:p>
    <w:p w14:paraId="239AE87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（7）投标人须知前附表规定的其他资料。</w:t>
      </w:r>
    </w:p>
    <w:p w14:paraId="33A0EAE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根据本章第1.10款、第2.2款和第2.3款对招标文件所作的澄清、修改，构成招标文件的组成部分。</w:t>
      </w:r>
    </w:p>
    <w:p w14:paraId="04E7A085">
      <w:pPr>
        <w:spacing w:line="360" w:lineRule="auto"/>
        <w:ind w:firstLine="240" w:firstLineChars="100"/>
        <w:rPr>
          <w:rFonts w:ascii="宋体" w:hAnsi="宋体" w:cs="宋体"/>
          <w:color w:val="auto"/>
          <w:highlight w:val="none"/>
        </w:rPr>
      </w:pPr>
      <w:bookmarkStart w:id="36" w:name="bookmark38"/>
      <w:bookmarkEnd w:id="36"/>
      <w:bookmarkStart w:id="37" w:name="bookmark35"/>
      <w:bookmarkEnd w:id="37"/>
      <w:r>
        <w:rPr>
          <w:rFonts w:ascii="宋体" w:hAnsi="宋体" w:cs="宋体"/>
          <w:color w:val="auto"/>
          <w:highlight w:val="none"/>
        </w:rPr>
        <w:t>2.2  招标文件的答疑</w:t>
      </w:r>
    </w:p>
    <w:p w14:paraId="7138A40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2.2.1  投标人应仔细阅读和检查招标文件的全部内容。如有疑问，应按投标人须知前附表规定的时间和形式将提出的问题送达招标人，要求招标人对招标文件予以澄清。</w:t>
      </w:r>
    </w:p>
    <w:p w14:paraId="019F29D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2.2.2</w:t>
      </w:r>
      <w:r>
        <w:rPr>
          <w:rFonts w:hint="eastAsia"/>
          <w:color w:val="auto"/>
          <w:sz w:val="24"/>
          <w:highlight w:val="none"/>
        </w:rPr>
        <w:t xml:space="preserve">  </w:t>
      </w:r>
      <w:r>
        <w:rPr>
          <w:color w:val="auto"/>
          <w:sz w:val="24"/>
          <w:highlight w:val="none"/>
        </w:rPr>
        <w:t>招标答疑采用网上答疑方式进行。投标人若对招标文件有疑问的，通过</w:t>
      </w:r>
      <w:r>
        <w:rPr>
          <w:rFonts w:hint="eastAsia"/>
          <w:color w:val="auto"/>
          <w:sz w:val="24"/>
          <w:highlight w:val="none"/>
        </w:rPr>
        <w:t>广州交易集团有限公司（广州公共资源交易中心）</w:t>
      </w:r>
      <w:r>
        <w:rPr>
          <w:color w:val="auto"/>
          <w:sz w:val="24"/>
          <w:highlight w:val="none"/>
        </w:rPr>
        <w:t>网站提交，应按照</w:t>
      </w:r>
      <w:r>
        <w:rPr>
          <w:rFonts w:hint="eastAsia"/>
          <w:color w:val="auto"/>
          <w:sz w:val="24"/>
          <w:highlight w:val="none"/>
        </w:rPr>
        <w:t>广州交易集团有限公司（广州公共资源交易中心）</w:t>
      </w:r>
      <w:r>
        <w:rPr>
          <w:color w:val="auto"/>
          <w:sz w:val="24"/>
          <w:highlight w:val="none"/>
        </w:rPr>
        <w:t>网站关于全流程电子化项目的相关指南进行操作。提问一律不得署名。</w:t>
      </w:r>
    </w:p>
    <w:p w14:paraId="40D6CA4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2.2.3  招标答疑会会议纪要将在提交投标文件截止时间 15 日前在</w:t>
      </w:r>
      <w:r>
        <w:rPr>
          <w:rFonts w:hint="eastAsia"/>
          <w:color w:val="auto"/>
          <w:sz w:val="24"/>
          <w:highlight w:val="none"/>
        </w:rPr>
        <w:t>广州交易集团有限公司（广州公共资源交易中心）</w:t>
      </w:r>
      <w:r>
        <w:rPr>
          <w:color w:val="auto"/>
          <w:sz w:val="24"/>
          <w:highlight w:val="none"/>
        </w:rPr>
        <w:t>网站“项目答疑纪要”专区公开发布。答疑纪要一经在</w:t>
      </w:r>
      <w:r>
        <w:rPr>
          <w:rFonts w:hint="eastAsia"/>
          <w:color w:val="auto"/>
          <w:sz w:val="24"/>
          <w:highlight w:val="none"/>
        </w:rPr>
        <w:t>广州交易集团有限公司（广州公共资源交易中心）</w:t>
      </w:r>
      <w:r>
        <w:rPr>
          <w:color w:val="auto"/>
          <w:sz w:val="24"/>
          <w:highlight w:val="none"/>
        </w:rPr>
        <w:t>网站发布，视作已发放给所有投标人。</w:t>
      </w:r>
    </w:p>
    <w:p w14:paraId="2AC1610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2.2.4  招标答疑会会议纪要是招标文件的组成部分，对投标人起约束作用。</w:t>
      </w:r>
    </w:p>
    <w:p w14:paraId="0F5B740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2.2.5  若招标答疑会会议纪要与招标文件有矛盾时，以</w:t>
      </w:r>
      <w:r>
        <w:rPr>
          <w:rFonts w:hint="eastAsia"/>
          <w:color w:val="auto"/>
          <w:sz w:val="24"/>
          <w:highlight w:val="none"/>
        </w:rPr>
        <w:t>广州交易集团有限公司（广州公共资源交易中心）</w:t>
      </w:r>
      <w:r>
        <w:rPr>
          <w:color w:val="auto"/>
          <w:sz w:val="24"/>
          <w:highlight w:val="none"/>
        </w:rPr>
        <w:t>网站最后发布的答疑纪要为准。</w:t>
      </w:r>
    </w:p>
    <w:p w14:paraId="2B8B66AD">
      <w:pPr>
        <w:spacing w:line="360" w:lineRule="auto"/>
        <w:ind w:firstLine="480" w:firstLineChars="200"/>
        <w:rPr>
          <w:color w:val="auto"/>
          <w:highlight w:val="none"/>
        </w:rPr>
      </w:pPr>
      <w:r>
        <w:rPr>
          <w:rFonts w:ascii="宋体" w:hAnsi="宋体" w:cs="宋体"/>
          <w:color w:val="auto"/>
          <w:highlight w:val="none"/>
        </w:rPr>
        <w:t>2.3  招标文件的澄清与修改</w:t>
      </w:r>
    </w:p>
    <w:p w14:paraId="6B9A719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2.3.1  招标文件发出后，在提交投标文件截止时间15日前，招标人可对招标文件进行必要的澄清或修改。</w:t>
      </w:r>
    </w:p>
    <w:p w14:paraId="0D73C96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2.3.2  招标文件的澄清或修改将在</w:t>
      </w:r>
      <w:r>
        <w:rPr>
          <w:rFonts w:hint="eastAsia"/>
          <w:color w:val="auto"/>
          <w:sz w:val="24"/>
          <w:highlight w:val="none"/>
        </w:rPr>
        <w:t>广州交易集团有限公司（广州公共资源交易中心）</w:t>
      </w:r>
      <w:r>
        <w:rPr>
          <w:color w:val="auto"/>
          <w:sz w:val="24"/>
          <w:highlight w:val="none"/>
        </w:rPr>
        <w:t>网站“项目答疑纪要”专区公开发布。招标文件的澄清或修改一经在</w:t>
      </w:r>
      <w:r>
        <w:rPr>
          <w:rFonts w:hint="eastAsia"/>
          <w:color w:val="auto"/>
          <w:sz w:val="24"/>
          <w:highlight w:val="none"/>
        </w:rPr>
        <w:t>广州交易集团有限公司（广州公共资源交易中心）</w:t>
      </w:r>
      <w:r>
        <w:rPr>
          <w:color w:val="auto"/>
          <w:sz w:val="24"/>
          <w:highlight w:val="none"/>
        </w:rPr>
        <w:t>网站发布，视作已发放给所有投标人，以</w:t>
      </w:r>
      <w:r>
        <w:rPr>
          <w:rFonts w:hint="eastAsia"/>
          <w:color w:val="auto"/>
          <w:sz w:val="24"/>
          <w:highlight w:val="none"/>
        </w:rPr>
        <w:t>广州交易集团有限公司（广州公共资源交易中心）</w:t>
      </w:r>
      <w:r>
        <w:rPr>
          <w:color w:val="auto"/>
          <w:sz w:val="24"/>
          <w:highlight w:val="none"/>
        </w:rPr>
        <w:t>网站发布时间作为送达时间。</w:t>
      </w:r>
    </w:p>
    <w:p w14:paraId="6915094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2.3.3  招标文件的澄清或修改是招标文件的组成部分，对投标人起约束作用。</w:t>
      </w:r>
    </w:p>
    <w:p w14:paraId="52647D2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2.3.4  招标文件的澄清或修改均以</w:t>
      </w:r>
      <w:r>
        <w:rPr>
          <w:rFonts w:hint="eastAsia"/>
          <w:color w:val="auto"/>
          <w:sz w:val="24"/>
          <w:highlight w:val="none"/>
        </w:rPr>
        <w:t>广州交易集团有限公司（广州公共资源交易中心）</w:t>
      </w:r>
      <w:r>
        <w:rPr>
          <w:color w:val="auto"/>
          <w:sz w:val="24"/>
          <w:highlight w:val="none"/>
        </w:rPr>
        <w:t>网站发布的内容为准。当招标文件的澄清、修改、补充等在同一内容的表述不一致时，以</w:t>
      </w:r>
      <w:r>
        <w:rPr>
          <w:rFonts w:hint="eastAsia"/>
          <w:color w:val="auto"/>
          <w:sz w:val="24"/>
          <w:highlight w:val="none"/>
        </w:rPr>
        <w:t>广州交易集团有限公司（广州公共资源交易中心）</w:t>
      </w:r>
      <w:r>
        <w:rPr>
          <w:color w:val="auto"/>
          <w:sz w:val="24"/>
          <w:highlight w:val="none"/>
        </w:rPr>
        <w:t>网站最后发布的内容为准。</w:t>
      </w:r>
    </w:p>
    <w:p w14:paraId="2A63CEC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color w:val="auto"/>
          <w:spacing w:val="-11"/>
          <w:sz w:val="24"/>
          <w:highlight w:val="none"/>
        </w:rPr>
        <w:t>，即表示投标时间不延长。</w:t>
      </w:r>
    </w:p>
    <w:p w14:paraId="6F286CDD">
      <w:pPr>
        <w:pStyle w:val="5"/>
        <w:spacing w:before="120" w:after="120"/>
        <w:rPr>
          <w:rFonts w:cs="宋体"/>
          <w:color w:val="auto"/>
          <w:highlight w:val="none"/>
        </w:rPr>
      </w:pPr>
      <w:bookmarkStart w:id="38" w:name="_Toc20483"/>
      <w:r>
        <w:rPr>
          <w:rFonts w:cs="宋体"/>
          <w:color w:val="auto"/>
          <w:highlight w:val="none"/>
        </w:rPr>
        <w:t>3.投标文件</w:t>
      </w:r>
      <w:bookmarkEnd w:id="38"/>
    </w:p>
    <w:p w14:paraId="022E05C2">
      <w:pPr>
        <w:spacing w:line="360" w:lineRule="auto"/>
        <w:ind w:firstLine="240" w:firstLineChars="100"/>
        <w:rPr>
          <w:rFonts w:ascii="宋体" w:hAnsi="宋体" w:cs="宋体"/>
          <w:color w:val="auto"/>
          <w:highlight w:val="none"/>
        </w:rPr>
      </w:pPr>
      <w:bookmarkStart w:id="39" w:name="bookmark39"/>
      <w:bookmarkEnd w:id="39"/>
      <w:r>
        <w:rPr>
          <w:rFonts w:ascii="宋体" w:hAnsi="宋体" w:cs="宋体"/>
          <w:color w:val="auto"/>
          <w:highlight w:val="none"/>
        </w:rPr>
        <w:t>3.1 投标文件的组成</w:t>
      </w:r>
    </w:p>
    <w:p w14:paraId="45A786C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3.1.1 投标文件应包括下列内容：</w:t>
      </w:r>
    </w:p>
    <w:p w14:paraId="562DCE9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（1）投标函及投标函附录；</w:t>
      </w:r>
    </w:p>
    <w:p w14:paraId="545FD54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（2）法定代表人身份证明或授权委托书；</w:t>
      </w:r>
    </w:p>
    <w:p w14:paraId="2E6A879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color w:val="auto"/>
          <w:sz w:val="24"/>
          <w:highlight w:val="none"/>
        </w:rPr>
      </w:pPr>
      <w:r>
        <w:rPr>
          <w:strike w:val="0"/>
          <w:color w:val="auto"/>
          <w:sz w:val="24"/>
          <w:highlight w:val="none"/>
        </w:rPr>
        <w:t>（3）联合体协议书；</w:t>
      </w:r>
    </w:p>
    <w:p w14:paraId="44D51BD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w:t>
      </w:r>
      <w:r>
        <w:rPr>
          <w:rFonts w:hint="eastAsia" w:cs="宋体"/>
          <w:color w:val="auto"/>
          <w:sz w:val="24"/>
          <w:highlight w:val="none"/>
          <w:u w:val="single"/>
        </w:rPr>
        <w:t>《关于投标保证金的承诺》</w:t>
      </w:r>
      <w:r>
        <w:rPr>
          <w:color w:val="auto"/>
          <w:sz w:val="24"/>
          <w:highlight w:val="none"/>
        </w:rPr>
        <w:t>；</w:t>
      </w:r>
    </w:p>
    <w:p w14:paraId="2B95D41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color w:val="auto"/>
          <w:sz w:val="24"/>
          <w:highlight w:val="none"/>
        </w:rPr>
      </w:pPr>
      <w:r>
        <w:rPr>
          <w:strike/>
          <w:color w:val="auto"/>
          <w:sz w:val="24"/>
          <w:highlight w:val="none"/>
        </w:rPr>
        <w:t>（5）监理报酬清单；</w:t>
      </w:r>
    </w:p>
    <w:p w14:paraId="4B507ED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（6）资格审查资料；</w:t>
      </w:r>
    </w:p>
    <w:p w14:paraId="1F21DB0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（7）监理大纲；</w:t>
      </w:r>
    </w:p>
    <w:p w14:paraId="30DC936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（8）投标人须知前附表规定的其他资料。投标人在评标过程中作出的符合法律法规和招标文件规定的澄清确认，构成投标文件的组成部分。</w:t>
      </w:r>
    </w:p>
    <w:p w14:paraId="4CD7D76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3.1.2 投标人须知前附表规定不接受联合体投标的，或投标人没有组成联合体的，投标文件不包括本章第 3.1.1（3）目所指的联合体协议书。</w:t>
      </w:r>
    </w:p>
    <w:p w14:paraId="3E24C9D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3.1.3 投标人须知前附表未要求提交投标保证金的，投标文件不包括本章第 3.1.1（4）目所指的投标保证金。</w:t>
      </w:r>
    </w:p>
    <w:p w14:paraId="5E3C5B00">
      <w:pPr>
        <w:spacing w:line="360" w:lineRule="auto"/>
        <w:ind w:firstLine="240" w:firstLineChars="100"/>
        <w:rPr>
          <w:rFonts w:ascii="宋体" w:hAnsi="宋体" w:cs="宋体"/>
          <w:color w:val="auto"/>
          <w:highlight w:val="none"/>
        </w:rPr>
      </w:pPr>
      <w:bookmarkStart w:id="40" w:name="bookmark40"/>
      <w:bookmarkEnd w:id="40"/>
      <w:r>
        <w:rPr>
          <w:rFonts w:ascii="宋体" w:hAnsi="宋体" w:cs="宋体"/>
          <w:color w:val="auto"/>
          <w:highlight w:val="none"/>
        </w:rPr>
        <w:t>3.2 投标报价</w:t>
      </w:r>
    </w:p>
    <w:p w14:paraId="62BD64F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3.2.1 投标报价应包括国家规定的增值税税金，除投标人须知前附表另有规定外，增值税税金按一般计税方法计算。投标人应按第六章“投标文件格式”的要求在投标函中进行报价</w:t>
      </w:r>
      <w:r>
        <w:rPr>
          <w:strike/>
          <w:color w:val="auto"/>
          <w:sz w:val="24"/>
          <w:highlight w:val="none"/>
        </w:rPr>
        <w:t>并填写监理报酬清单</w:t>
      </w:r>
      <w:r>
        <w:rPr>
          <w:color w:val="auto"/>
          <w:sz w:val="24"/>
          <w:highlight w:val="none"/>
        </w:rPr>
        <w:t>。</w:t>
      </w:r>
    </w:p>
    <w:p w14:paraId="7ED6939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3.2.2 投标人应充分了解该项目的总体情况以及影响投标报价的其他要素。</w:t>
      </w:r>
    </w:p>
    <w:p w14:paraId="6F2AFB8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3.2.3 本项目的报价方式见投标人须知前附表。投标人在投标截止时间前修改投标函中的投标报价总额，</w:t>
      </w:r>
      <w:r>
        <w:rPr>
          <w:strike/>
          <w:color w:val="auto"/>
          <w:sz w:val="24"/>
          <w:highlight w:val="none"/>
        </w:rPr>
        <w:t>应同时修改投标文件“监理报酬清单”中的相应报价。</w:t>
      </w:r>
      <w:r>
        <w:rPr>
          <w:color w:val="auto"/>
          <w:sz w:val="24"/>
          <w:highlight w:val="none"/>
        </w:rPr>
        <w:t>此修改须符合本章第4.3款的有关要求。</w:t>
      </w:r>
    </w:p>
    <w:p w14:paraId="5DADF63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3.2.4 招标人设有最高投标限价的，投标人的投标报价不得超过最高投标限价，最高投标限价在投标人须知前附表中载明。</w:t>
      </w:r>
    </w:p>
    <w:p w14:paraId="32E39C4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3.2.5 投标报价的其他要求见投标人须知前附表。</w:t>
      </w:r>
    </w:p>
    <w:p w14:paraId="71C035AF">
      <w:pPr>
        <w:spacing w:line="360" w:lineRule="auto"/>
        <w:ind w:firstLine="240" w:firstLineChars="100"/>
        <w:rPr>
          <w:rFonts w:ascii="宋体" w:hAnsi="宋体" w:cs="宋体"/>
          <w:color w:val="auto"/>
          <w:highlight w:val="none"/>
        </w:rPr>
      </w:pPr>
      <w:bookmarkStart w:id="41" w:name="bookmark41"/>
      <w:bookmarkEnd w:id="41"/>
      <w:r>
        <w:rPr>
          <w:rFonts w:ascii="宋体" w:hAnsi="宋体" w:cs="宋体"/>
          <w:color w:val="auto"/>
          <w:highlight w:val="none"/>
        </w:rPr>
        <w:t>3.3 投标有效期</w:t>
      </w:r>
    </w:p>
    <w:p w14:paraId="28CE904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3.3.1 除投标人须知前附表另有规定外，投标有效期为 90 天。</w:t>
      </w:r>
    </w:p>
    <w:p w14:paraId="747F9EA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3.3.2 在投标有效期内，投标人撤销投标文件的，应承担招标文件和法律规定的责任。</w:t>
      </w:r>
    </w:p>
    <w:p w14:paraId="56956E2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3.3.3 出现特殊情况需要延长投标有效期的，招标人以书面形式通知所有投标人延长投标有效期。投标人应予以书面答复，同意延长的</w:t>
      </w:r>
      <w:r>
        <w:rPr>
          <w:strike/>
          <w:color w:val="auto"/>
          <w:sz w:val="24"/>
          <w:highlight w:val="none"/>
        </w:rPr>
        <w:t>，应相应延长其投标保证金的有效期，但</w:t>
      </w:r>
      <w:r>
        <w:rPr>
          <w:color w:val="auto"/>
          <w:sz w:val="24"/>
          <w:highlight w:val="none"/>
        </w:rPr>
        <w:t>不得要求或被允许修改其投标文件；投标人拒绝延长的，其投标失效</w:t>
      </w:r>
      <w:r>
        <w:rPr>
          <w:strike/>
          <w:color w:val="auto"/>
          <w:sz w:val="24"/>
          <w:highlight w:val="none"/>
        </w:rPr>
        <w:t>，但投标人有权收回其投标保证金及以现金或者支票形式递交的投标保证金的银行同期存款利息</w:t>
      </w:r>
      <w:r>
        <w:rPr>
          <w:color w:val="auto"/>
          <w:sz w:val="24"/>
          <w:highlight w:val="none"/>
        </w:rPr>
        <w:t>。</w:t>
      </w:r>
    </w:p>
    <w:p w14:paraId="36DF02DA">
      <w:pPr>
        <w:spacing w:line="360" w:lineRule="auto"/>
        <w:ind w:firstLine="240" w:firstLineChars="100"/>
        <w:rPr>
          <w:rFonts w:ascii="宋体" w:hAnsi="宋体" w:cs="宋体"/>
          <w:color w:val="auto"/>
          <w:highlight w:val="none"/>
        </w:rPr>
      </w:pPr>
      <w:bookmarkStart w:id="42" w:name="bookmark42"/>
      <w:bookmarkEnd w:id="42"/>
      <w:r>
        <w:rPr>
          <w:rFonts w:ascii="宋体" w:hAnsi="宋体" w:cs="宋体"/>
          <w:color w:val="auto"/>
          <w:highlight w:val="none"/>
        </w:rPr>
        <w:t>3.4  投标保证金</w:t>
      </w:r>
    </w:p>
    <w:p w14:paraId="743D6FA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3.4.1本项目免收投标保证金，投标人提供《关于投标保证金的承诺》（详见投标文件格式）。</w:t>
      </w:r>
    </w:p>
    <w:p w14:paraId="5CCB809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3.4.2对于投标人已提供《关于投标保证金的承诺》，若投标人存在3.4.</w:t>
      </w:r>
      <w:r>
        <w:rPr>
          <w:rFonts w:hint="eastAsia"/>
          <w:color w:val="auto"/>
          <w:sz w:val="24"/>
          <w:highlight w:val="none"/>
        </w:rPr>
        <w:t>3</w:t>
      </w:r>
      <w:r>
        <w:rPr>
          <w:color w:val="auto"/>
          <w:sz w:val="24"/>
          <w:highlight w:val="none"/>
        </w:rPr>
        <w:t>条款所列情形，该投标人应在发现存在3.4.</w:t>
      </w:r>
      <w:r>
        <w:rPr>
          <w:rFonts w:hint="eastAsia"/>
          <w:color w:val="auto"/>
          <w:sz w:val="24"/>
          <w:highlight w:val="none"/>
        </w:rPr>
        <w:t>3</w:t>
      </w:r>
      <w:r>
        <w:rPr>
          <w:color w:val="auto"/>
          <w:sz w:val="24"/>
          <w:highlight w:val="none"/>
        </w:rPr>
        <w:t>条款所列情形之日起5个工作日内按投标人须知前附表第3.4.1项所述金额补交投标保证金。若未按要求补交投标保证金的将暂停其参与招标人后续工程投标，直至完成补交手续为止。</w:t>
      </w:r>
    </w:p>
    <w:p w14:paraId="6C827DC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w:t>
      </w:r>
      <w:r>
        <w:rPr>
          <w:rFonts w:hint="eastAsia"/>
          <w:color w:val="auto"/>
          <w:sz w:val="24"/>
          <w:highlight w:val="none"/>
        </w:rPr>
        <w:t>3</w:t>
      </w:r>
      <w:r>
        <w:rPr>
          <w:color w:val="auto"/>
          <w:sz w:val="24"/>
          <w:highlight w:val="none"/>
        </w:rPr>
        <w:t>如有下列情况之一的，招标人可以不予退还投标保证金（是否退还投标保证金由招标人在招标文件中规定）：</w:t>
      </w:r>
    </w:p>
    <w:p w14:paraId="67D203A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w:t>
      </w:r>
      <w:r>
        <w:rPr>
          <w:rFonts w:hint="eastAsia"/>
          <w:color w:val="auto"/>
          <w:sz w:val="24"/>
          <w:highlight w:val="none"/>
        </w:rPr>
        <w:t>3</w:t>
      </w:r>
      <w:r>
        <w:rPr>
          <w:color w:val="auto"/>
          <w:sz w:val="24"/>
          <w:highlight w:val="none"/>
        </w:rPr>
        <w:t>.1因投标人原因造成投标文件未解密的；</w:t>
      </w:r>
    </w:p>
    <w:p w14:paraId="180A31E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w:t>
      </w:r>
      <w:r>
        <w:rPr>
          <w:rFonts w:hint="eastAsia"/>
          <w:color w:val="auto"/>
          <w:sz w:val="24"/>
          <w:highlight w:val="none"/>
        </w:rPr>
        <w:t>3</w:t>
      </w:r>
      <w:r>
        <w:rPr>
          <w:color w:val="auto"/>
          <w:sz w:val="24"/>
          <w:highlight w:val="none"/>
        </w:rPr>
        <w:t>.2投标人在投标有效期内撤销投标文件；</w:t>
      </w:r>
    </w:p>
    <w:p w14:paraId="6E3E348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w:t>
      </w:r>
      <w:r>
        <w:rPr>
          <w:rFonts w:hint="eastAsia"/>
          <w:color w:val="auto"/>
          <w:sz w:val="24"/>
          <w:highlight w:val="none"/>
        </w:rPr>
        <w:t>3</w:t>
      </w:r>
      <w:r>
        <w:rPr>
          <w:color w:val="auto"/>
          <w:sz w:val="24"/>
          <w:highlight w:val="none"/>
        </w:rPr>
        <w:t>.3中标人未能在规定期限内按要求提交履约担保；</w:t>
      </w:r>
    </w:p>
    <w:p w14:paraId="7541E56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3.4.</w:t>
      </w:r>
      <w:r>
        <w:rPr>
          <w:rFonts w:hint="eastAsia"/>
          <w:color w:val="auto"/>
          <w:sz w:val="24"/>
          <w:highlight w:val="none"/>
        </w:rPr>
        <w:t>3</w:t>
      </w:r>
      <w:r>
        <w:rPr>
          <w:color w:val="auto"/>
          <w:sz w:val="24"/>
          <w:highlight w:val="none"/>
        </w:rPr>
        <w:t>.4中标人未能在规定期限内签署合同协议。</w:t>
      </w:r>
    </w:p>
    <w:p w14:paraId="073F0E7A">
      <w:pPr>
        <w:spacing w:line="360" w:lineRule="auto"/>
        <w:ind w:firstLine="240" w:firstLineChars="100"/>
        <w:rPr>
          <w:rFonts w:ascii="宋体" w:hAnsi="宋体" w:cs="宋体"/>
          <w:color w:val="auto"/>
          <w:highlight w:val="none"/>
        </w:rPr>
      </w:pPr>
      <w:bookmarkStart w:id="43" w:name="bookmark44"/>
      <w:bookmarkEnd w:id="43"/>
      <w:bookmarkStart w:id="44" w:name="bookmark43"/>
      <w:bookmarkEnd w:id="44"/>
      <w:r>
        <w:rPr>
          <w:rFonts w:ascii="宋体" w:hAnsi="宋体" w:cs="宋体"/>
          <w:color w:val="auto"/>
          <w:highlight w:val="none"/>
        </w:rPr>
        <w:t>3.5 资格审查资料</w:t>
      </w:r>
    </w:p>
    <w:p w14:paraId="7A6FBD2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除投标人须知前附表另有规定外，投标人应按下列规定提供资格审查资料，以证明其满足本章第 1.4 款规定的资质、财务、业绩、信誉等要求。</w:t>
      </w:r>
    </w:p>
    <w:p w14:paraId="0C834A2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3.5.1 投标人参加投标的意思表达清楚，投标人代表被授权有效；（按招标文件第六章所附格式内容要求签署的《投标函》）。</w:t>
      </w:r>
    </w:p>
    <w:p w14:paraId="46D780F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3.5.2 法定代表人证明书、授权委托书。</w:t>
      </w:r>
    </w:p>
    <w:p w14:paraId="22DE901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3.5.3 营业执照或事业单位法人证书等。</w:t>
      </w:r>
    </w:p>
    <w:p w14:paraId="6A086EA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3.5.4 监理资质证书。</w:t>
      </w:r>
    </w:p>
    <w:p w14:paraId="02DB57B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3.5.5 总监理工程师资料。</w:t>
      </w:r>
    </w:p>
    <w:p w14:paraId="0FD3BC7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color w:val="auto"/>
          <w:sz w:val="24"/>
          <w:highlight w:val="none"/>
          <w:u w:val="single"/>
        </w:rPr>
      </w:pPr>
      <w:r>
        <w:rPr>
          <w:strike/>
          <w:color w:val="auto"/>
          <w:sz w:val="24"/>
          <w:highlight w:val="none"/>
          <w:u w:val="single"/>
        </w:rPr>
        <w:t>3.5.6 类似工程业绩资料。</w:t>
      </w:r>
    </w:p>
    <w:p w14:paraId="3470D39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3.5.7 投标人须在广州交易集团有限公司(广州公共资源交易中心)办理企业信息登记及拟担任本工程总监理工程师须是本企业信息登记中的在册人员，提供证明文件或网上查询结果打印页面。</w:t>
      </w:r>
    </w:p>
    <w:p w14:paraId="7EAE5DB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3.5.8 投标人声明。</w:t>
      </w:r>
    </w:p>
    <w:p w14:paraId="0323B09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u w:val="single"/>
        </w:rPr>
        <w:t>3.5.9其他满足投标人资格要求的证明材料（如有）</w:t>
      </w:r>
      <w:r>
        <w:rPr>
          <w:color w:val="auto"/>
          <w:sz w:val="24"/>
          <w:highlight w:val="none"/>
        </w:rPr>
        <w:t>。</w:t>
      </w:r>
    </w:p>
    <w:p w14:paraId="6E5CD67E">
      <w:pPr>
        <w:spacing w:line="360" w:lineRule="auto"/>
        <w:ind w:firstLine="240" w:firstLineChars="100"/>
        <w:rPr>
          <w:rFonts w:ascii="宋体" w:hAnsi="宋体" w:cs="宋体"/>
          <w:color w:val="auto"/>
          <w:highlight w:val="none"/>
        </w:rPr>
      </w:pPr>
      <w:bookmarkStart w:id="45" w:name="bookmark45"/>
      <w:bookmarkEnd w:id="45"/>
      <w:r>
        <w:rPr>
          <w:rFonts w:ascii="宋体" w:hAnsi="宋体" w:cs="宋体"/>
          <w:color w:val="auto"/>
          <w:highlight w:val="none"/>
        </w:rPr>
        <w:t>3.6 备选投标方案</w:t>
      </w:r>
    </w:p>
    <w:p w14:paraId="6EE0860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3.6.1 除投标人须知前附表规定允许外，投标人不得递交备选投标方案，否则其投标将被否决。</w:t>
      </w:r>
    </w:p>
    <w:p w14:paraId="71570D3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9035C2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3.6.3 投标人提供两个或两个以上投标报价，或者在投标文件中提供一个报价，但同时提供两个或两个以上</w:t>
      </w:r>
      <w:r>
        <w:rPr>
          <w:rFonts w:hint="eastAsia"/>
          <w:color w:val="auto"/>
          <w:sz w:val="24"/>
          <w:highlight w:val="none"/>
        </w:rPr>
        <w:t>投标</w:t>
      </w:r>
      <w:r>
        <w:rPr>
          <w:color w:val="auto"/>
          <w:sz w:val="24"/>
          <w:highlight w:val="none"/>
        </w:rPr>
        <w:t>方案的，视为提供备选方案。</w:t>
      </w:r>
    </w:p>
    <w:p w14:paraId="3F86DF77">
      <w:pPr>
        <w:spacing w:line="360" w:lineRule="auto"/>
        <w:ind w:firstLine="240" w:firstLineChars="100"/>
        <w:rPr>
          <w:rFonts w:ascii="宋体" w:hAnsi="宋体" w:cs="宋体"/>
          <w:color w:val="auto"/>
          <w:highlight w:val="none"/>
        </w:rPr>
      </w:pPr>
      <w:bookmarkStart w:id="46" w:name="bookmark46"/>
      <w:bookmarkEnd w:id="46"/>
      <w:r>
        <w:rPr>
          <w:rFonts w:ascii="宋体" w:hAnsi="宋体" w:cs="宋体"/>
          <w:color w:val="auto"/>
          <w:highlight w:val="none"/>
        </w:rPr>
        <w:t>3.7 投标文件的编制</w:t>
      </w:r>
    </w:p>
    <w:p w14:paraId="65FA630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3.7.1  投标文件应按第六章“投标文件格式”进行编写， 如有必要，可以增加附页， 作为投标文件的组成部分。其中，投标函附录在满足招标文件实质性要求的基础上，可以提出比招标文件要求更有利于招标人的承诺。</w:t>
      </w:r>
    </w:p>
    <w:p w14:paraId="2AB290E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3.7.2  投标文件应当对招标文件有关监理服务期限、投标有效期、委托人要求、招标范围等实质性内容作出响应。</w:t>
      </w:r>
    </w:p>
    <w:p w14:paraId="3D55C17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w:t>
      </w:r>
      <w:r>
        <w:rPr>
          <w:rFonts w:hint="eastAsia"/>
          <w:color w:val="auto"/>
          <w:kern w:val="2"/>
          <w:sz w:val="24"/>
          <w:highlight w:val="none"/>
        </w:rPr>
        <w:t>（</w:t>
      </w:r>
      <w:r>
        <w:rPr>
          <w:rFonts w:ascii="Calibri" w:hAnsi="Calibri"/>
          <w:color w:val="auto"/>
          <w:kern w:val="2"/>
          <w:sz w:val="24"/>
          <w:highlight w:val="none"/>
        </w:rPr>
        <w:t>可靠的电子签名与手写签名或者盖章具有同等的法律效力</w:t>
      </w:r>
      <w:r>
        <w:rPr>
          <w:rFonts w:hint="eastAsia"/>
          <w:color w:val="auto"/>
          <w:kern w:val="2"/>
          <w:sz w:val="24"/>
          <w:highlight w:val="none"/>
        </w:rPr>
        <w:t>）</w:t>
      </w:r>
      <w:r>
        <w:rPr>
          <w:color w:val="auto"/>
          <w:sz w:val="24"/>
          <w:highlight w:val="none"/>
        </w:rPr>
        <w:t>。按照</w:t>
      </w:r>
      <w:r>
        <w:rPr>
          <w:rFonts w:hint="eastAsia"/>
          <w:color w:val="auto"/>
          <w:sz w:val="24"/>
          <w:highlight w:val="none"/>
        </w:rPr>
        <w:t>广州交易集团有限公司（广州公共资源交易中心）</w:t>
      </w:r>
      <w:r>
        <w:rPr>
          <w:color w:val="auto"/>
          <w:sz w:val="24"/>
          <w:highlight w:val="none"/>
        </w:rPr>
        <w:t>网站关于全流程电子化项目的相关指南进行操作。</w:t>
      </w:r>
    </w:p>
    <w:p w14:paraId="2C41D24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color w:val="auto"/>
          <w:sz w:val="24"/>
          <w:highlight w:val="none"/>
        </w:rPr>
      </w:pPr>
      <w:r>
        <w:rPr>
          <w:strike w:val="0"/>
          <w:color w:val="auto"/>
          <w:sz w:val="24"/>
          <w:highlight w:val="none"/>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3580A99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 xml:space="preserve">3.7.5 </w:t>
      </w:r>
      <w:r>
        <w:rPr>
          <w:rFonts w:hint="eastAsia"/>
          <w:color w:val="auto"/>
          <w:sz w:val="24"/>
          <w:highlight w:val="none"/>
        </w:rPr>
        <w:t xml:space="preserve"> </w:t>
      </w:r>
      <w:r>
        <w:rPr>
          <w:color w:val="auto"/>
          <w:sz w:val="24"/>
          <w:highlight w:val="none"/>
        </w:rPr>
        <w:t>投标文件应按照</w:t>
      </w:r>
      <w:r>
        <w:rPr>
          <w:rFonts w:hint="eastAsia"/>
          <w:color w:val="auto"/>
          <w:sz w:val="24"/>
          <w:highlight w:val="none"/>
        </w:rPr>
        <w:t>广州交易集团有限公司（广州公共资源交易中心）</w:t>
      </w:r>
      <w:r>
        <w:rPr>
          <w:color w:val="auto"/>
          <w:sz w:val="24"/>
          <w:highlight w:val="none"/>
        </w:rPr>
        <w:t>网站关于全流程电子化项目的相关指南进行编制。如因不按上述编排要求编制而所引起系统无法检索、读取相关信息时，其后果将由投标人自行承担。</w:t>
      </w:r>
    </w:p>
    <w:p w14:paraId="69167594">
      <w:pPr>
        <w:pStyle w:val="5"/>
        <w:spacing w:before="120" w:after="120"/>
        <w:rPr>
          <w:rFonts w:cs="宋体"/>
          <w:color w:val="auto"/>
          <w:highlight w:val="none"/>
        </w:rPr>
      </w:pPr>
      <w:bookmarkStart w:id="47" w:name="bookmark47"/>
      <w:bookmarkEnd w:id="47"/>
      <w:bookmarkStart w:id="48" w:name="_Toc18372"/>
      <w:r>
        <w:rPr>
          <w:rFonts w:cs="宋体"/>
          <w:color w:val="auto"/>
          <w:highlight w:val="none"/>
        </w:rPr>
        <w:t>4.投标</w:t>
      </w:r>
      <w:bookmarkEnd w:id="48"/>
    </w:p>
    <w:p w14:paraId="182EB2A7">
      <w:pPr>
        <w:spacing w:line="360" w:lineRule="auto"/>
        <w:ind w:firstLine="240" w:firstLineChars="100"/>
        <w:rPr>
          <w:rFonts w:ascii="宋体" w:hAnsi="宋体" w:cs="宋体"/>
          <w:color w:val="auto"/>
          <w:highlight w:val="none"/>
        </w:rPr>
      </w:pPr>
      <w:bookmarkStart w:id="49" w:name="bookmark48"/>
      <w:bookmarkEnd w:id="49"/>
      <w:r>
        <w:rPr>
          <w:rFonts w:ascii="宋体" w:hAnsi="宋体" w:cs="宋体"/>
          <w:color w:val="auto"/>
          <w:highlight w:val="none"/>
        </w:rPr>
        <w:t>4.1  投标文件的加密</w:t>
      </w:r>
    </w:p>
    <w:p w14:paraId="4178170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bookmarkStart w:id="50" w:name="bookmark49"/>
      <w:bookmarkEnd w:id="50"/>
      <w:r>
        <w:rPr>
          <w:color w:val="auto"/>
          <w:sz w:val="24"/>
          <w:highlight w:val="none"/>
        </w:rPr>
        <w:t xml:space="preserve">4.1.1 </w:t>
      </w:r>
      <w:r>
        <w:rPr>
          <w:rFonts w:hint="eastAsia"/>
          <w:color w:val="auto"/>
          <w:sz w:val="24"/>
          <w:highlight w:val="none"/>
        </w:rPr>
        <w:t xml:space="preserve"> </w:t>
      </w:r>
      <w:r>
        <w:rPr>
          <w:color w:val="auto"/>
          <w:sz w:val="24"/>
          <w:highlight w:val="none"/>
        </w:rPr>
        <w:t>递交的电子投标文件（不含备用光盘）必须进行加密。按照</w:t>
      </w:r>
      <w:r>
        <w:rPr>
          <w:rFonts w:hint="eastAsia"/>
          <w:color w:val="auto"/>
          <w:sz w:val="24"/>
          <w:highlight w:val="none"/>
        </w:rPr>
        <w:t>广州交易集团有限公司（广州公共资源交易中心）</w:t>
      </w:r>
      <w:r>
        <w:rPr>
          <w:color w:val="auto"/>
          <w:sz w:val="24"/>
          <w:highlight w:val="none"/>
        </w:rPr>
        <w:t>网站关于全流程电子化项目的相关指南进行操作。</w:t>
      </w:r>
    </w:p>
    <w:p w14:paraId="50D7078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4.1.2  未按要求加密的投标文件，</w:t>
      </w:r>
      <w:r>
        <w:rPr>
          <w:rFonts w:hint="eastAsia"/>
          <w:color w:val="auto"/>
          <w:sz w:val="24"/>
          <w:highlight w:val="none"/>
        </w:rPr>
        <w:t>广州交易集团有限公司（广州公共资源交易中心）</w:t>
      </w:r>
      <w:r>
        <w:rPr>
          <w:color w:val="auto"/>
          <w:sz w:val="24"/>
          <w:highlight w:val="none"/>
        </w:rPr>
        <w:t>网站交易平台将予以拒收。</w:t>
      </w:r>
    </w:p>
    <w:p w14:paraId="5A9FBEFA">
      <w:pPr>
        <w:spacing w:line="360" w:lineRule="auto"/>
        <w:ind w:firstLine="240" w:firstLineChars="100"/>
        <w:rPr>
          <w:rFonts w:ascii="宋体" w:hAnsi="宋体" w:cs="宋体"/>
          <w:color w:val="auto"/>
          <w:highlight w:val="none"/>
        </w:rPr>
      </w:pPr>
      <w:r>
        <w:rPr>
          <w:rFonts w:ascii="宋体" w:hAnsi="宋体" w:cs="宋体"/>
          <w:color w:val="auto"/>
          <w:highlight w:val="none"/>
        </w:rPr>
        <w:t>4.2  投标文件的递交</w:t>
      </w:r>
    </w:p>
    <w:p w14:paraId="12784AA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bookmarkStart w:id="51" w:name="bookmark50"/>
      <w:bookmarkEnd w:id="51"/>
      <w:r>
        <w:rPr>
          <w:color w:val="auto"/>
          <w:sz w:val="24"/>
          <w:highlight w:val="none"/>
        </w:rPr>
        <w:t>4.2.1  投标人应在投标人须知前附表规定的投标截止时间前，通过</w:t>
      </w:r>
      <w:r>
        <w:rPr>
          <w:rFonts w:hint="eastAsia"/>
          <w:color w:val="auto"/>
          <w:sz w:val="24"/>
          <w:highlight w:val="none"/>
        </w:rPr>
        <w:t>广州交易集团有限公司（广州公共资源交易中心）</w:t>
      </w:r>
      <w:r>
        <w:rPr>
          <w:color w:val="auto"/>
          <w:sz w:val="24"/>
          <w:highlight w:val="none"/>
        </w:rPr>
        <w:t>网站交易平台递交电子投标文件。</w:t>
      </w:r>
    </w:p>
    <w:p w14:paraId="5008F11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4.2.2  投标人完成电子投标文件上传后，</w:t>
      </w:r>
      <w:r>
        <w:rPr>
          <w:rFonts w:hint="eastAsia"/>
          <w:color w:val="auto"/>
          <w:sz w:val="24"/>
          <w:highlight w:val="none"/>
        </w:rPr>
        <w:t>广州交易集团有限公司（广州公共资源交易中心）</w:t>
      </w:r>
      <w:r>
        <w:rPr>
          <w:color w:val="auto"/>
          <w:sz w:val="24"/>
          <w:highlight w:val="none"/>
        </w:rPr>
        <w:t>网站交易平台即时向投标人发出递交回执通知。递交时间以递交回执通知载明的传输完成时间为准。</w:t>
      </w:r>
    </w:p>
    <w:p w14:paraId="03F79E7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4.2.3  逾期送达的电子投标文件，</w:t>
      </w:r>
      <w:r>
        <w:rPr>
          <w:rFonts w:hint="eastAsia"/>
          <w:color w:val="auto"/>
          <w:sz w:val="24"/>
          <w:highlight w:val="none"/>
        </w:rPr>
        <w:t>广州交易集团有限公司（广州公共资源交易中心）</w:t>
      </w:r>
      <w:r>
        <w:rPr>
          <w:color w:val="auto"/>
          <w:sz w:val="24"/>
          <w:highlight w:val="none"/>
        </w:rPr>
        <w:t>网站交易平台将予以拒收。</w:t>
      </w:r>
    </w:p>
    <w:p w14:paraId="1B379E3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4.2.4  投标截止前，招标人拒绝接收符合条件的投标文件，投标人可向招标监督机构投诉。</w:t>
      </w:r>
      <w:bookmarkStart w:id="52" w:name="_bookmark83"/>
      <w:bookmarkEnd w:id="52"/>
    </w:p>
    <w:p w14:paraId="4B568024">
      <w:pPr>
        <w:spacing w:line="360" w:lineRule="auto"/>
        <w:ind w:firstLine="240" w:firstLineChars="100"/>
        <w:rPr>
          <w:rFonts w:ascii="宋体" w:hAnsi="宋体" w:cs="宋体"/>
          <w:color w:val="auto"/>
          <w:highlight w:val="none"/>
        </w:rPr>
      </w:pPr>
      <w:r>
        <w:rPr>
          <w:rFonts w:ascii="宋体" w:hAnsi="宋体" w:cs="宋体"/>
          <w:color w:val="auto"/>
          <w:highlight w:val="none"/>
        </w:rPr>
        <w:t>4.3  投标文件的修改与撤回</w:t>
      </w:r>
    </w:p>
    <w:p w14:paraId="2EFA428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4.3.1  在规定的投标截止时间前， 投标人可以修改或撤回已递交的投标文件， 但应以书面形式通知招标人。</w:t>
      </w:r>
    </w:p>
    <w:p w14:paraId="066F8C9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4.3.2  投标人修改或撤回已递交投标文件,需在交易平台发出修改或撤回通知，并按要求加盖电子印章。电子招标投标交易平台收到通知后，即时向投标人发出确认回执通知。</w:t>
      </w:r>
    </w:p>
    <w:p w14:paraId="52765C7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4.3.3  修改后再次递交的，按第4.2项的规定执行。</w:t>
      </w:r>
    </w:p>
    <w:p w14:paraId="473A804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4.3.4  在投标截止时间之后，投标人不得补充、修改和更换投标文件。</w:t>
      </w:r>
    </w:p>
    <w:p w14:paraId="589B5299">
      <w:pPr>
        <w:pStyle w:val="5"/>
        <w:spacing w:before="120" w:after="120"/>
        <w:rPr>
          <w:rFonts w:cs="宋体"/>
          <w:color w:val="auto"/>
          <w:highlight w:val="none"/>
        </w:rPr>
      </w:pPr>
      <w:bookmarkStart w:id="53" w:name="bookmark51"/>
      <w:bookmarkEnd w:id="53"/>
      <w:bookmarkStart w:id="54" w:name="_Toc19841"/>
      <w:r>
        <w:rPr>
          <w:rFonts w:cs="宋体"/>
          <w:color w:val="auto"/>
          <w:highlight w:val="none"/>
        </w:rPr>
        <w:t>5.开标</w:t>
      </w:r>
      <w:bookmarkEnd w:id="54"/>
    </w:p>
    <w:p w14:paraId="265165C1">
      <w:pPr>
        <w:spacing w:line="360" w:lineRule="auto"/>
        <w:ind w:firstLine="240" w:firstLineChars="100"/>
        <w:rPr>
          <w:rFonts w:ascii="宋体" w:hAnsi="宋体" w:cs="宋体"/>
          <w:color w:val="auto"/>
          <w:highlight w:val="none"/>
        </w:rPr>
      </w:pPr>
      <w:bookmarkStart w:id="55" w:name="bookmark53"/>
      <w:bookmarkEnd w:id="55"/>
      <w:bookmarkStart w:id="56" w:name="bookmark52"/>
      <w:bookmarkEnd w:id="56"/>
      <w:r>
        <w:rPr>
          <w:rFonts w:ascii="宋体" w:hAnsi="宋体" w:cs="宋体"/>
          <w:color w:val="auto"/>
          <w:highlight w:val="none"/>
        </w:rPr>
        <w:t>5.1 开标时间和地点</w:t>
      </w:r>
    </w:p>
    <w:p w14:paraId="096BCD7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bookmarkStart w:id="57" w:name="bookmark54"/>
      <w:bookmarkEnd w:id="57"/>
      <w:r>
        <w:rPr>
          <w:color w:val="auto"/>
          <w:sz w:val="24"/>
          <w:highlight w:val="none"/>
        </w:rPr>
        <w:t>5.1.1  招标人按投标须知前附表规定的时间和地点公开开标。截标后，开标开始时间因故推迟的，相关评标信息仍以原定的开标开始时间的信息为准。</w:t>
      </w:r>
    </w:p>
    <w:p w14:paraId="5CBC521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FBD3933">
      <w:pPr>
        <w:spacing w:line="360" w:lineRule="auto"/>
        <w:ind w:firstLine="240" w:firstLineChars="100"/>
        <w:rPr>
          <w:rFonts w:ascii="宋体" w:hAnsi="宋体" w:cs="宋体"/>
          <w:color w:val="auto"/>
          <w:highlight w:val="none"/>
        </w:rPr>
      </w:pPr>
      <w:r>
        <w:rPr>
          <w:rFonts w:ascii="宋体" w:hAnsi="宋体" w:cs="宋体"/>
          <w:color w:val="auto"/>
          <w:highlight w:val="none"/>
        </w:rPr>
        <w:t>5.2 开标程序</w:t>
      </w:r>
    </w:p>
    <w:p w14:paraId="40BD6C8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bookmarkStart w:id="58" w:name="bookmark55"/>
      <w:bookmarkEnd w:id="58"/>
      <w:r>
        <w:rPr>
          <w:color w:val="auto"/>
          <w:sz w:val="24"/>
          <w:highlight w:val="none"/>
        </w:rPr>
        <w:t>5.2.1   在投标截止时间后</w:t>
      </w:r>
      <w:r>
        <w:rPr>
          <w:color w:val="auto"/>
          <w:sz w:val="24"/>
          <w:highlight w:val="none"/>
          <w:u w:val="single"/>
        </w:rPr>
        <w:t>半小时</w:t>
      </w:r>
      <w:r>
        <w:rPr>
          <w:color w:val="auto"/>
          <w:sz w:val="24"/>
          <w:highlight w:val="none"/>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4D54236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5.2.2  按开标记录表规定的内容进行唱标。</w:t>
      </w:r>
    </w:p>
    <w:p w14:paraId="1C0C8FE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5.2.3  投标人代表、招标人代表、监标人、记录人等有关人员在开标记录上签字确认；若有关人员不签字的，不影响开标程序。</w:t>
      </w:r>
    </w:p>
    <w:p w14:paraId="7C7DDC9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5.2.4  开标结束。</w:t>
      </w:r>
    </w:p>
    <w:p w14:paraId="7499331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3DBCA6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5.2.6  开标时，两个（含两个）以上的投标人加密打包投标文件电脑机器特征码一致的，不参与下一程序，并由评标委员会否决其投标。</w:t>
      </w:r>
    </w:p>
    <w:p w14:paraId="77527CB3">
      <w:pPr>
        <w:spacing w:line="360" w:lineRule="auto"/>
        <w:ind w:firstLine="240" w:firstLineChars="100"/>
        <w:rPr>
          <w:rFonts w:ascii="宋体" w:hAnsi="宋体" w:cs="宋体"/>
          <w:color w:val="auto"/>
          <w:highlight w:val="none"/>
        </w:rPr>
      </w:pPr>
      <w:r>
        <w:rPr>
          <w:rFonts w:ascii="宋体" w:hAnsi="宋体" w:cs="宋体"/>
          <w:color w:val="auto"/>
          <w:highlight w:val="none"/>
        </w:rPr>
        <w:t>5.3 开标异议</w:t>
      </w:r>
    </w:p>
    <w:p w14:paraId="011CF42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5.3.1  参加现场开标的投标人对开标结果有异议的，应当在开标现场提出，招标人应当当场作出答复，并制作记录。</w:t>
      </w:r>
    </w:p>
    <w:p w14:paraId="4C537A9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66D7EA0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5.3.3  投标人未参加开标或在规定的时间内未提出异议的，视为对开标无异议。</w:t>
      </w:r>
    </w:p>
    <w:p w14:paraId="6255EA17">
      <w:pPr>
        <w:pStyle w:val="5"/>
        <w:spacing w:before="120" w:after="120"/>
        <w:rPr>
          <w:rFonts w:ascii="Microsoft JhengHei" w:hAnsi="Microsoft JhengHei" w:eastAsia="Microsoft JhengHei"/>
          <w:b w:val="0"/>
          <w:color w:val="auto"/>
          <w:sz w:val="30"/>
          <w:highlight w:val="none"/>
        </w:rPr>
      </w:pPr>
      <w:bookmarkStart w:id="59" w:name="bookmark56"/>
      <w:bookmarkEnd w:id="59"/>
      <w:bookmarkStart w:id="60" w:name="_Toc27326"/>
      <w:r>
        <w:rPr>
          <w:rFonts w:cs="宋体"/>
          <w:color w:val="auto"/>
          <w:highlight w:val="none"/>
        </w:rPr>
        <w:t>6.评标</w:t>
      </w:r>
      <w:bookmarkEnd w:id="60"/>
    </w:p>
    <w:p w14:paraId="6690EE24">
      <w:pPr>
        <w:spacing w:line="360" w:lineRule="auto"/>
        <w:ind w:firstLine="240" w:firstLineChars="100"/>
        <w:rPr>
          <w:rFonts w:ascii="宋体" w:hAnsi="宋体" w:cs="宋体"/>
          <w:color w:val="auto"/>
          <w:highlight w:val="none"/>
        </w:rPr>
      </w:pPr>
      <w:bookmarkStart w:id="61" w:name="bookmark57"/>
      <w:bookmarkEnd w:id="61"/>
      <w:r>
        <w:rPr>
          <w:rFonts w:ascii="宋体" w:hAnsi="宋体" w:cs="宋体"/>
          <w:color w:val="auto"/>
          <w:highlight w:val="none"/>
        </w:rPr>
        <w:t>6.1 评标委员会</w:t>
      </w:r>
    </w:p>
    <w:p w14:paraId="63BB1918">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 xml:space="preserve">6.1.1 </w:t>
      </w:r>
      <w:r>
        <w:rPr>
          <w:rFonts w:cs="宋体"/>
          <w:color w:val="auto"/>
          <w:sz w:val="24"/>
          <w:highlight w:val="none"/>
        </w:rPr>
        <w:t>评标由招标人依法组建的评标委员会负责。评标委员会由有关技术、经济等方面的专家和招标人代表组成，专家从</w:t>
      </w:r>
      <w:r>
        <w:rPr>
          <w:rFonts w:cs="宋体"/>
          <w:color w:val="auto"/>
          <w:sz w:val="24"/>
          <w:highlight w:val="none"/>
          <w:u w:val="single"/>
        </w:rPr>
        <w:t>广东省综合评标评审专家库</w:t>
      </w:r>
      <w:r>
        <w:rPr>
          <w:rFonts w:cs="宋体"/>
          <w:color w:val="auto"/>
          <w:sz w:val="24"/>
          <w:highlight w:val="none"/>
        </w:rPr>
        <w:t>中抽取。评标委员会成员人数以及技术、经济等方面专家的确定方式见投标人须知前附表</w:t>
      </w:r>
      <w:r>
        <w:rPr>
          <w:color w:val="auto"/>
          <w:sz w:val="24"/>
          <w:highlight w:val="none"/>
        </w:rPr>
        <w:t>。</w:t>
      </w:r>
    </w:p>
    <w:p w14:paraId="0499E2F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6.1.2 评标委员会成员有下列情形之一的，应当回避：</w:t>
      </w:r>
    </w:p>
    <w:p w14:paraId="0CA2F39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（1）投标人或投标人主要负责人的近亲属；</w:t>
      </w:r>
    </w:p>
    <w:p w14:paraId="2813B90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（2）项目主管部门或者行政监督部门的人员；</w:t>
      </w:r>
    </w:p>
    <w:p w14:paraId="5C5A6CC6">
      <w:pPr>
        <w:spacing w:line="360" w:lineRule="auto"/>
        <w:ind w:firstLine="480" w:firstLineChars="200"/>
        <w:rPr>
          <w:color w:val="auto"/>
          <w:highlight w:val="none"/>
        </w:rPr>
      </w:pPr>
      <w:r>
        <w:rPr>
          <w:rFonts w:hint="eastAsia"/>
          <w:color w:val="auto"/>
          <w:highlight w:val="none"/>
        </w:rPr>
        <w:t>（3）招标人或投标人的工作人员、退休或离职未满3年的人员；</w:t>
      </w:r>
    </w:p>
    <w:p w14:paraId="214C93B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w:t>
      </w:r>
      <w:r>
        <w:rPr>
          <w:rFonts w:hint="eastAsia"/>
          <w:color w:val="auto"/>
          <w:sz w:val="24"/>
          <w:highlight w:val="none"/>
        </w:rPr>
        <w:t>4</w:t>
      </w:r>
      <w:r>
        <w:rPr>
          <w:color w:val="auto"/>
          <w:sz w:val="24"/>
          <w:highlight w:val="none"/>
        </w:rPr>
        <w:t>）与投标人有经济利益关系，可能影响对投标公正评审的；</w:t>
      </w:r>
    </w:p>
    <w:p w14:paraId="06F722F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w:t>
      </w:r>
      <w:r>
        <w:rPr>
          <w:rFonts w:hint="eastAsia"/>
          <w:color w:val="auto"/>
          <w:sz w:val="24"/>
          <w:highlight w:val="none"/>
        </w:rPr>
        <w:t>5</w:t>
      </w:r>
      <w:r>
        <w:rPr>
          <w:color w:val="auto"/>
          <w:sz w:val="24"/>
          <w:highlight w:val="none"/>
        </w:rPr>
        <w:t>）曾因在招标、评标以及其他与招标投标有关活动中从事违法行为而受过行政处罚或刑事处罚的；</w:t>
      </w:r>
    </w:p>
    <w:p w14:paraId="691556B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w:t>
      </w:r>
      <w:r>
        <w:rPr>
          <w:rFonts w:hint="eastAsia"/>
          <w:color w:val="auto"/>
          <w:sz w:val="24"/>
          <w:highlight w:val="none"/>
        </w:rPr>
        <w:t>6</w:t>
      </w:r>
      <w:r>
        <w:rPr>
          <w:color w:val="auto"/>
          <w:sz w:val="24"/>
          <w:highlight w:val="none"/>
        </w:rPr>
        <w:t>）与投标人有其他利害关系。</w:t>
      </w:r>
    </w:p>
    <w:p w14:paraId="0BDD50D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59593DD9">
      <w:pPr>
        <w:spacing w:line="360" w:lineRule="auto"/>
        <w:ind w:firstLine="240" w:firstLineChars="100"/>
        <w:rPr>
          <w:rFonts w:ascii="宋体" w:hAnsi="宋体" w:cs="宋体"/>
          <w:color w:val="auto"/>
          <w:highlight w:val="none"/>
        </w:rPr>
      </w:pPr>
      <w:bookmarkStart w:id="62" w:name="bookmark58"/>
      <w:bookmarkEnd w:id="62"/>
      <w:r>
        <w:rPr>
          <w:rFonts w:ascii="宋体" w:hAnsi="宋体" w:cs="宋体"/>
          <w:color w:val="auto"/>
          <w:highlight w:val="none"/>
        </w:rPr>
        <w:t>6.2 评标原则</w:t>
      </w:r>
    </w:p>
    <w:p w14:paraId="5EBE6C0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评标活动遵循公平、公正、科学和择优的原则。</w:t>
      </w:r>
    </w:p>
    <w:p w14:paraId="6501F320">
      <w:pPr>
        <w:spacing w:line="360" w:lineRule="auto"/>
        <w:ind w:firstLine="240" w:firstLineChars="100"/>
        <w:rPr>
          <w:rFonts w:ascii="宋体" w:hAnsi="宋体" w:cs="宋体"/>
          <w:color w:val="auto"/>
          <w:highlight w:val="none"/>
        </w:rPr>
      </w:pPr>
      <w:bookmarkStart w:id="63" w:name="bookmark59"/>
      <w:bookmarkEnd w:id="63"/>
      <w:r>
        <w:rPr>
          <w:rFonts w:ascii="宋体" w:hAnsi="宋体" w:cs="宋体"/>
          <w:color w:val="auto"/>
          <w:highlight w:val="none"/>
        </w:rPr>
        <w:t>6.3 评标</w:t>
      </w:r>
    </w:p>
    <w:p w14:paraId="0E92080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6.3.1 评标委员会按照第三章“评标办法”规定的方法、评审因素、标准和程序对投标文件进行评审。第三章“评标办法”没有规定的方法、评审因素和标准，不作为评标依据。</w:t>
      </w:r>
    </w:p>
    <w:p w14:paraId="174FE94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6.3.2 评标完成后，评标委员会应当向招标人提交书面评标报告和中标候选人名单。评标委员会推荐中标候选人的人数见投标人须知前附表。</w:t>
      </w:r>
    </w:p>
    <w:p w14:paraId="16BFBC5C">
      <w:pPr>
        <w:pStyle w:val="5"/>
        <w:spacing w:before="120" w:after="120"/>
        <w:rPr>
          <w:rFonts w:cs="宋体"/>
          <w:color w:val="auto"/>
          <w:highlight w:val="none"/>
        </w:rPr>
      </w:pPr>
      <w:bookmarkStart w:id="64" w:name="bookmark60"/>
      <w:bookmarkEnd w:id="64"/>
      <w:bookmarkStart w:id="65" w:name="_Toc26457"/>
      <w:r>
        <w:rPr>
          <w:rFonts w:cs="宋体"/>
          <w:color w:val="auto"/>
          <w:highlight w:val="none"/>
        </w:rPr>
        <w:t>7.合同授予</w:t>
      </w:r>
      <w:bookmarkEnd w:id="65"/>
    </w:p>
    <w:p w14:paraId="4B0CD093">
      <w:pPr>
        <w:spacing w:line="360" w:lineRule="auto"/>
        <w:ind w:firstLine="240" w:firstLineChars="100"/>
        <w:rPr>
          <w:rFonts w:ascii="宋体" w:hAnsi="宋体" w:cs="宋体"/>
          <w:color w:val="auto"/>
          <w:highlight w:val="none"/>
        </w:rPr>
      </w:pPr>
      <w:bookmarkStart w:id="66" w:name="bookmark61"/>
      <w:bookmarkEnd w:id="66"/>
      <w:r>
        <w:rPr>
          <w:rFonts w:ascii="宋体" w:hAnsi="宋体" w:cs="宋体"/>
          <w:color w:val="auto"/>
          <w:highlight w:val="none"/>
        </w:rPr>
        <w:t>7.1 中标候选人公示</w:t>
      </w:r>
    </w:p>
    <w:p w14:paraId="104FED3C">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招标人在收到评标报告之日起3日内，按照投标人须知前附表规定的公示媒介和期限公示中标候选人，公示期不得少于3天</w:t>
      </w:r>
      <w:r>
        <w:rPr>
          <w:rFonts w:hint="eastAsia"/>
          <w:color w:val="auto"/>
          <w:sz w:val="24"/>
          <w:highlight w:val="none"/>
        </w:rPr>
        <w:t>，最后一天应为工作日</w:t>
      </w:r>
      <w:r>
        <w:rPr>
          <w:color w:val="auto"/>
          <w:sz w:val="24"/>
          <w:highlight w:val="none"/>
        </w:rPr>
        <w:t>。</w:t>
      </w:r>
    </w:p>
    <w:p w14:paraId="359B7B48">
      <w:pPr>
        <w:spacing w:line="360" w:lineRule="auto"/>
        <w:ind w:firstLine="240" w:firstLineChars="100"/>
        <w:rPr>
          <w:rFonts w:ascii="宋体" w:hAnsi="宋体" w:cs="宋体"/>
          <w:color w:val="auto"/>
          <w:highlight w:val="none"/>
        </w:rPr>
      </w:pPr>
      <w:bookmarkStart w:id="67" w:name="bookmark62"/>
      <w:bookmarkEnd w:id="67"/>
      <w:r>
        <w:rPr>
          <w:rFonts w:ascii="宋体" w:hAnsi="宋体" w:cs="宋体"/>
          <w:color w:val="auto"/>
          <w:highlight w:val="none"/>
        </w:rPr>
        <w:t>7.2 评标结果异议</w:t>
      </w:r>
    </w:p>
    <w:p w14:paraId="6E328EB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投标人或者其他利害关系人对评标结果有异议的，应当在中标候选人公示期间提出。招标人将在收到异议之日起3日内作出答复；作出答复前，将暂停招标投标活动。</w:t>
      </w:r>
    </w:p>
    <w:p w14:paraId="78DF105B">
      <w:pPr>
        <w:spacing w:line="360" w:lineRule="auto"/>
        <w:ind w:firstLine="240" w:firstLineChars="100"/>
        <w:rPr>
          <w:rFonts w:ascii="宋体" w:hAnsi="宋体" w:cs="宋体"/>
          <w:color w:val="auto"/>
          <w:highlight w:val="none"/>
        </w:rPr>
      </w:pPr>
      <w:bookmarkStart w:id="68" w:name="bookmark63"/>
      <w:bookmarkEnd w:id="68"/>
      <w:r>
        <w:rPr>
          <w:rFonts w:ascii="宋体" w:hAnsi="宋体" w:cs="宋体"/>
          <w:color w:val="auto"/>
          <w:highlight w:val="none"/>
        </w:rPr>
        <w:t>7.3 中标候选人履约能力审查</w:t>
      </w:r>
    </w:p>
    <w:p w14:paraId="3C0AAF7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CB4D9D4">
      <w:pPr>
        <w:spacing w:line="360" w:lineRule="auto"/>
        <w:ind w:firstLine="240" w:firstLineChars="100"/>
        <w:rPr>
          <w:rFonts w:ascii="宋体" w:hAnsi="宋体" w:cs="宋体"/>
          <w:color w:val="auto"/>
          <w:highlight w:val="none"/>
        </w:rPr>
      </w:pPr>
      <w:bookmarkStart w:id="69" w:name="bookmark64"/>
      <w:bookmarkEnd w:id="69"/>
      <w:r>
        <w:rPr>
          <w:rFonts w:ascii="宋体" w:hAnsi="宋体" w:cs="宋体"/>
          <w:color w:val="auto"/>
          <w:highlight w:val="none"/>
        </w:rPr>
        <w:t>7.4 定标</w:t>
      </w:r>
    </w:p>
    <w:p w14:paraId="3C8732A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按照投标人须知前附表的规定，招标人或招标人授权的评标委员会依法确定中标人。</w:t>
      </w:r>
    </w:p>
    <w:p w14:paraId="713A128D">
      <w:pPr>
        <w:spacing w:line="360" w:lineRule="auto"/>
        <w:ind w:firstLine="240" w:firstLineChars="100"/>
        <w:rPr>
          <w:rFonts w:ascii="宋体" w:hAnsi="宋体" w:cs="宋体"/>
          <w:color w:val="auto"/>
          <w:highlight w:val="none"/>
        </w:rPr>
      </w:pPr>
      <w:bookmarkStart w:id="70" w:name="bookmark65"/>
      <w:bookmarkEnd w:id="70"/>
      <w:r>
        <w:rPr>
          <w:rFonts w:ascii="宋体" w:hAnsi="宋体" w:cs="宋体"/>
          <w:color w:val="auto"/>
          <w:highlight w:val="none"/>
        </w:rPr>
        <w:t>7.5 中标通知</w:t>
      </w:r>
    </w:p>
    <w:p w14:paraId="30BDD23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bookmarkStart w:id="71" w:name="bookmark66"/>
      <w:bookmarkEnd w:id="71"/>
      <w:r>
        <w:rPr>
          <w:color w:val="auto"/>
          <w:sz w:val="24"/>
          <w:highlight w:val="none"/>
        </w:rPr>
        <w:t>7.5.1  在法规规定的时间内，招标人以书面形式向中标人发出中标通知书。在</w:t>
      </w:r>
      <w:r>
        <w:rPr>
          <w:rFonts w:hint="eastAsia"/>
          <w:color w:val="auto"/>
          <w:sz w:val="24"/>
          <w:highlight w:val="none"/>
        </w:rPr>
        <w:t>广州交易集团有限公司（广州公共资源交易中心）</w:t>
      </w:r>
      <w:r>
        <w:rPr>
          <w:color w:val="auto"/>
          <w:sz w:val="24"/>
          <w:highlight w:val="none"/>
        </w:rPr>
        <w:t>网和广东省招标投标监管网发布中标信息，视同将中标结果通知未中标的投标人。</w:t>
      </w:r>
    </w:p>
    <w:p w14:paraId="4CC6622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7.5.2  中标通知书发出前，中标人应未被纳入失信联合惩戒名单，否则招标人将取消其中标资格。失信联合惩戒名单以“信用广州”网站公布的“</w:t>
      </w:r>
      <w:r>
        <w:rPr>
          <w:rFonts w:hint="eastAsia"/>
          <w:color w:val="auto"/>
          <w:sz w:val="24"/>
          <w:highlight w:val="none"/>
        </w:rPr>
        <w:t>黑名单</w:t>
      </w:r>
      <w:r>
        <w:rPr>
          <w:color w:val="auto"/>
          <w:sz w:val="24"/>
          <w:highlight w:val="none"/>
        </w:rPr>
        <w:t>”为准。</w:t>
      </w:r>
    </w:p>
    <w:p w14:paraId="32766A73">
      <w:pPr>
        <w:spacing w:line="360" w:lineRule="auto"/>
        <w:ind w:firstLine="240" w:firstLineChars="100"/>
        <w:rPr>
          <w:rFonts w:ascii="宋体" w:hAnsi="宋体" w:cs="宋体"/>
          <w:color w:val="auto"/>
          <w:highlight w:val="none"/>
        </w:rPr>
      </w:pPr>
      <w:r>
        <w:rPr>
          <w:rFonts w:ascii="宋体" w:hAnsi="宋体" w:cs="宋体"/>
          <w:color w:val="auto"/>
          <w:highlight w:val="none"/>
        </w:rPr>
        <w:t>7.6 履约保证金</w:t>
      </w:r>
    </w:p>
    <w:p w14:paraId="1C5D84E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color w:val="auto"/>
          <w:spacing w:val="-2"/>
          <w:sz w:val="24"/>
          <w:highlight w:val="none"/>
        </w:rPr>
        <w:t>主办方</w:t>
      </w:r>
      <w:r>
        <w:rPr>
          <w:color w:val="auto"/>
          <w:sz w:val="24"/>
          <w:highlight w:val="none"/>
        </w:rPr>
        <w:t>的名义提交。</w:t>
      </w:r>
    </w:p>
    <w:p w14:paraId="002F38E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7.6.2 中标人不能按本章第 7.6.1 项要求提交履约保证金的，视为放弃中标，其投标保证金不予退还，给招标人造成的损失超过投标保证金数额的，中标人还应当对超过部分予以赔偿。</w:t>
      </w:r>
    </w:p>
    <w:p w14:paraId="007D8026">
      <w:pPr>
        <w:spacing w:line="360" w:lineRule="auto"/>
        <w:ind w:firstLine="240" w:firstLineChars="100"/>
        <w:rPr>
          <w:rFonts w:ascii="宋体" w:hAnsi="宋体" w:cs="宋体"/>
          <w:color w:val="auto"/>
          <w:highlight w:val="none"/>
        </w:rPr>
      </w:pPr>
      <w:bookmarkStart w:id="72" w:name="bookmark67"/>
      <w:bookmarkEnd w:id="72"/>
      <w:r>
        <w:rPr>
          <w:rFonts w:ascii="宋体" w:hAnsi="宋体" w:cs="宋体"/>
          <w:color w:val="auto"/>
          <w:highlight w:val="none"/>
        </w:rPr>
        <w:t>7.7 签订合同</w:t>
      </w:r>
    </w:p>
    <w:p w14:paraId="4443303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7.7.1 招标人和中标人应当在中标通知书发出之日起30日内，根据招标文件和中标人的投标文件订立书面合同</w:t>
      </w:r>
      <w:r>
        <w:rPr>
          <w:rFonts w:hint="eastAsia"/>
          <w:color w:val="auto"/>
          <w:sz w:val="24"/>
          <w:highlight w:val="none"/>
        </w:rPr>
        <w:t>，并通过电子交易系统与中标人在线签订合同</w:t>
      </w:r>
      <w:r>
        <w:rPr>
          <w:color w:val="auto"/>
          <w:sz w:val="24"/>
          <w:highlight w:val="none"/>
        </w:rPr>
        <w:t>。中标人无正当理由拒签合同，在签订合同时向招标人提出附加条件，或者不按照招标文件要求提交履约保证金的，招标人有权取消其中标资格，其</w:t>
      </w:r>
      <w:r>
        <w:rPr>
          <w:rFonts w:hint="eastAsia"/>
          <w:color w:val="auto"/>
          <w:sz w:val="24"/>
          <w:highlight w:val="none"/>
          <w:u w:val="single"/>
        </w:rPr>
        <w:t>补交的</w:t>
      </w:r>
      <w:r>
        <w:rPr>
          <w:color w:val="auto"/>
          <w:sz w:val="24"/>
          <w:highlight w:val="none"/>
        </w:rPr>
        <w:t>投标保证金不予退还；给招标人造成的损失超过投标保证金数额的，中标人还应当对超过部分予以赔偿。</w:t>
      </w:r>
    </w:p>
    <w:p w14:paraId="3CB100D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7.7.2 发出中标通知书后，招标人无正当理由拒签合同，或者在签订合同时向中标人提出附加条件的，招标人向中标人退还投标保证金；给中标人造成损失的，还应当赔偿损失。</w:t>
      </w:r>
    </w:p>
    <w:p w14:paraId="3509C8C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7.7.3 联合体中标的，联合体各方应当共同与招标人签订合同，就中标项目向招标人承担连带责任。</w:t>
      </w:r>
    </w:p>
    <w:p w14:paraId="44846EBD">
      <w:pPr>
        <w:pStyle w:val="5"/>
        <w:spacing w:before="120" w:after="120"/>
        <w:rPr>
          <w:rFonts w:ascii="Microsoft JhengHei" w:hAnsi="Microsoft JhengHei" w:eastAsia="Microsoft JhengHei"/>
          <w:b w:val="0"/>
          <w:color w:val="auto"/>
          <w:sz w:val="30"/>
          <w:highlight w:val="none"/>
        </w:rPr>
      </w:pPr>
      <w:bookmarkStart w:id="73" w:name="bookmark68"/>
      <w:bookmarkEnd w:id="73"/>
      <w:bookmarkStart w:id="74" w:name="_Toc5503"/>
      <w:r>
        <w:rPr>
          <w:rFonts w:cs="宋体"/>
          <w:color w:val="auto"/>
          <w:highlight w:val="none"/>
        </w:rPr>
        <w:t>8.纪律和监督</w:t>
      </w:r>
      <w:bookmarkEnd w:id="74"/>
    </w:p>
    <w:p w14:paraId="21F9AA7A">
      <w:pPr>
        <w:spacing w:line="360" w:lineRule="auto"/>
        <w:ind w:firstLine="240" w:firstLineChars="100"/>
        <w:rPr>
          <w:rFonts w:ascii="宋体" w:hAnsi="宋体" w:cs="宋体"/>
          <w:color w:val="auto"/>
          <w:highlight w:val="none"/>
        </w:rPr>
      </w:pPr>
      <w:bookmarkStart w:id="75" w:name="bookmark69"/>
      <w:bookmarkEnd w:id="75"/>
      <w:r>
        <w:rPr>
          <w:rFonts w:ascii="宋体" w:hAnsi="宋体" w:cs="宋体"/>
          <w:color w:val="auto"/>
          <w:highlight w:val="none"/>
        </w:rPr>
        <w:t>8.1 对招标人的纪律要求</w:t>
      </w:r>
    </w:p>
    <w:p w14:paraId="5CF02465">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招标人不得泄露招标投标活动中应当保密的情况和资料，不得与投标人串通损害国家利益、社会公共利益或者他人合法权益。</w:t>
      </w:r>
    </w:p>
    <w:p w14:paraId="52AFDBF8">
      <w:pPr>
        <w:spacing w:line="360" w:lineRule="auto"/>
        <w:ind w:firstLine="240" w:firstLineChars="100"/>
        <w:rPr>
          <w:rFonts w:ascii="宋体" w:hAnsi="宋体" w:cs="宋体"/>
          <w:color w:val="auto"/>
          <w:highlight w:val="none"/>
        </w:rPr>
      </w:pPr>
      <w:bookmarkStart w:id="76" w:name="bookmark70"/>
      <w:bookmarkEnd w:id="76"/>
      <w:r>
        <w:rPr>
          <w:rFonts w:ascii="宋体" w:hAnsi="宋体" w:cs="宋体"/>
          <w:color w:val="auto"/>
          <w:highlight w:val="none"/>
        </w:rPr>
        <w:t>8.2 对投标人的纪律要求</w:t>
      </w:r>
    </w:p>
    <w:p w14:paraId="36520CF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715DDE">
      <w:pPr>
        <w:spacing w:line="360" w:lineRule="auto"/>
        <w:ind w:firstLine="240" w:firstLineChars="100"/>
        <w:rPr>
          <w:rFonts w:ascii="宋体" w:hAnsi="宋体" w:cs="宋体"/>
          <w:color w:val="auto"/>
          <w:highlight w:val="none"/>
        </w:rPr>
      </w:pPr>
      <w:bookmarkStart w:id="77" w:name="bookmark71"/>
      <w:bookmarkEnd w:id="77"/>
      <w:r>
        <w:rPr>
          <w:rFonts w:ascii="宋体" w:hAnsi="宋体" w:cs="宋体"/>
          <w:color w:val="auto"/>
          <w:highlight w:val="none"/>
        </w:rPr>
        <w:t>8.3 对评标委员会成员的纪律要求</w:t>
      </w:r>
    </w:p>
    <w:p w14:paraId="27E231A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9F23352">
      <w:pPr>
        <w:spacing w:line="360" w:lineRule="auto"/>
        <w:ind w:firstLine="240" w:firstLineChars="100"/>
        <w:rPr>
          <w:rFonts w:ascii="宋体" w:hAnsi="宋体" w:cs="宋体"/>
          <w:color w:val="auto"/>
          <w:highlight w:val="none"/>
        </w:rPr>
      </w:pPr>
      <w:bookmarkStart w:id="78" w:name="bookmark72"/>
      <w:bookmarkEnd w:id="78"/>
      <w:r>
        <w:rPr>
          <w:rFonts w:ascii="宋体" w:hAnsi="宋体" w:cs="宋体"/>
          <w:color w:val="auto"/>
          <w:highlight w:val="none"/>
        </w:rPr>
        <w:t>8.4 对与评标活动有关的工作人员的纪律要求</w:t>
      </w:r>
    </w:p>
    <w:p w14:paraId="7026821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02FE748">
      <w:pPr>
        <w:spacing w:line="360" w:lineRule="auto"/>
        <w:ind w:firstLine="240" w:firstLineChars="100"/>
        <w:rPr>
          <w:rFonts w:ascii="宋体" w:hAnsi="宋体" w:cs="宋体"/>
          <w:color w:val="auto"/>
          <w:highlight w:val="none"/>
        </w:rPr>
      </w:pPr>
      <w:bookmarkStart w:id="79" w:name="bookmark73"/>
      <w:bookmarkEnd w:id="79"/>
      <w:r>
        <w:rPr>
          <w:rFonts w:ascii="宋体" w:hAnsi="宋体" w:cs="宋体"/>
          <w:color w:val="auto"/>
          <w:highlight w:val="none"/>
        </w:rPr>
        <w:t>8.5 投诉</w:t>
      </w:r>
    </w:p>
    <w:p w14:paraId="5F97C02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77A0D8D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73018437">
      <w:pPr>
        <w:pStyle w:val="5"/>
        <w:spacing w:before="120" w:after="120"/>
        <w:rPr>
          <w:rFonts w:ascii="Microsoft JhengHei" w:hAnsi="Microsoft JhengHei" w:eastAsia="Microsoft JhengHei"/>
          <w:b w:val="0"/>
          <w:color w:val="auto"/>
          <w:sz w:val="19"/>
          <w:highlight w:val="none"/>
        </w:rPr>
      </w:pPr>
      <w:bookmarkStart w:id="80" w:name="bookmark74"/>
      <w:bookmarkEnd w:id="80"/>
      <w:bookmarkStart w:id="81" w:name="_Toc31836"/>
      <w:r>
        <w:rPr>
          <w:rFonts w:cs="宋体"/>
          <w:color w:val="auto"/>
          <w:highlight w:val="none"/>
        </w:rPr>
        <w:t>9.采用电子招标投标</w:t>
      </w:r>
      <w:bookmarkEnd w:id="81"/>
    </w:p>
    <w:p w14:paraId="756E96E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cs="宋体"/>
          <w:color w:val="auto"/>
          <w:sz w:val="24"/>
          <w:highlight w:val="none"/>
        </w:rPr>
      </w:pPr>
      <w:r>
        <w:rPr>
          <w:rFonts w:hint="eastAsia" w:ascii="Times New Roman" w:hAnsi="Times New Roman" w:eastAsia="Times New Roman"/>
          <w:color w:val="auto"/>
          <w:spacing w:val="-8"/>
          <w:sz w:val="24"/>
          <w:highlight w:val="none"/>
        </w:rPr>
        <w:t>本招标项目采用电子招标投标方式，按照</w:t>
      </w:r>
      <w:r>
        <w:rPr>
          <w:rFonts w:hint="eastAsia" w:ascii="Times New Roman" w:hAnsi="Times New Roman"/>
          <w:color w:val="auto"/>
          <w:spacing w:val="-8"/>
          <w:sz w:val="24"/>
          <w:highlight w:val="none"/>
        </w:rPr>
        <w:t>广州交易集团有限公司（广州公共资源交易中心）</w:t>
      </w:r>
      <w:r>
        <w:rPr>
          <w:rFonts w:hint="eastAsia" w:ascii="Times New Roman" w:hAnsi="Times New Roman" w:eastAsia="Times New Roman"/>
          <w:color w:val="auto"/>
          <w:spacing w:val="-8"/>
          <w:sz w:val="24"/>
          <w:highlight w:val="none"/>
        </w:rPr>
        <w:t>网站关于全流程电子化项目的相关指南进行操作</w:t>
      </w:r>
      <w:r>
        <w:rPr>
          <w:rFonts w:cs="宋体"/>
          <w:color w:val="auto"/>
          <w:sz w:val="24"/>
          <w:highlight w:val="none"/>
        </w:rPr>
        <w:t>。</w:t>
      </w:r>
    </w:p>
    <w:p w14:paraId="6867F204">
      <w:pPr>
        <w:pStyle w:val="5"/>
        <w:spacing w:before="120" w:after="120"/>
        <w:rPr>
          <w:rFonts w:ascii="Microsoft JhengHei" w:hAnsi="Microsoft JhengHei" w:eastAsia="Microsoft JhengHei"/>
          <w:b w:val="0"/>
          <w:color w:val="auto"/>
          <w:sz w:val="19"/>
          <w:highlight w:val="none"/>
        </w:rPr>
      </w:pPr>
      <w:bookmarkStart w:id="82" w:name="bookmark75"/>
      <w:bookmarkEnd w:id="82"/>
      <w:bookmarkStart w:id="83" w:name="_Toc7238"/>
      <w:r>
        <w:rPr>
          <w:rFonts w:cs="宋体"/>
          <w:color w:val="auto"/>
          <w:highlight w:val="none"/>
        </w:rPr>
        <w:t>10.需要补充的其他内容</w:t>
      </w:r>
      <w:bookmarkEnd w:id="83"/>
    </w:p>
    <w:p w14:paraId="102B6C3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cs="宋体"/>
          <w:color w:val="auto"/>
          <w:sz w:val="24"/>
          <w:highlight w:val="none"/>
        </w:rPr>
      </w:pPr>
      <w:r>
        <w:rPr>
          <w:rFonts w:cs="宋体"/>
          <w:color w:val="auto"/>
          <w:sz w:val="24"/>
          <w:highlight w:val="none"/>
        </w:rPr>
        <w:t>需要补充的其他内容：见投标人须知前附表。</w:t>
      </w:r>
    </w:p>
    <w:p w14:paraId="4876895E">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auto"/>
          <w:sz w:val="24"/>
          <w:highlight w:val="none"/>
        </w:rPr>
        <w:sectPr>
          <w:pgSz w:w="11905" w:h="16838"/>
          <w:pgMar w:top="1417" w:right="1417" w:bottom="1417" w:left="1417" w:header="992" w:footer="992" w:gutter="0"/>
          <w:cols w:space="720" w:num="1"/>
        </w:sectPr>
      </w:pPr>
    </w:p>
    <w:p w14:paraId="30383946">
      <w:pPr>
        <w:pStyle w:val="6"/>
        <w:rPr>
          <w:color w:val="auto"/>
          <w:highlight w:val="none"/>
        </w:rPr>
      </w:pPr>
      <w:bookmarkStart w:id="84" w:name="bookmark76"/>
      <w:bookmarkEnd w:id="84"/>
      <w:bookmarkStart w:id="85" w:name="bookmark77"/>
      <w:bookmarkEnd w:id="85"/>
      <w:bookmarkStart w:id="86" w:name="_Toc5057"/>
      <w:bookmarkStart w:id="87" w:name="_Toc1460"/>
      <w:r>
        <w:rPr>
          <w:color w:val="auto"/>
          <w:highlight w:val="none"/>
        </w:rPr>
        <w:t>附件一：问题澄清通知</w:t>
      </w:r>
      <w:bookmarkEnd w:id="86"/>
      <w:bookmarkEnd w:id="87"/>
    </w:p>
    <w:p w14:paraId="63414B7D">
      <w:pPr>
        <w:pStyle w:val="2"/>
        <w:kinsoku w:val="0"/>
        <w:overflowPunct w:val="0"/>
        <w:ind w:left="0"/>
        <w:rPr>
          <w:color w:val="auto"/>
          <w:sz w:val="20"/>
          <w:highlight w:val="none"/>
        </w:rPr>
      </w:pPr>
    </w:p>
    <w:p w14:paraId="21E9CF86">
      <w:pPr>
        <w:pStyle w:val="2"/>
        <w:kinsoku w:val="0"/>
        <w:overflowPunct w:val="0"/>
        <w:ind w:left="0"/>
        <w:rPr>
          <w:color w:val="auto"/>
          <w:sz w:val="20"/>
          <w:highlight w:val="none"/>
        </w:rPr>
      </w:pPr>
    </w:p>
    <w:p w14:paraId="344CECAD">
      <w:pPr>
        <w:pStyle w:val="2"/>
        <w:kinsoku w:val="0"/>
        <w:overflowPunct w:val="0"/>
        <w:ind w:left="0"/>
        <w:rPr>
          <w:color w:val="auto"/>
          <w:sz w:val="20"/>
          <w:highlight w:val="none"/>
        </w:rPr>
      </w:pPr>
    </w:p>
    <w:p w14:paraId="4C72D35E">
      <w:pPr>
        <w:pStyle w:val="2"/>
        <w:kinsoku w:val="0"/>
        <w:overflowPunct w:val="0"/>
        <w:spacing w:before="4"/>
        <w:ind w:left="0"/>
        <w:rPr>
          <w:color w:val="auto"/>
          <w:sz w:val="17"/>
          <w:highlight w:val="none"/>
        </w:rPr>
      </w:pPr>
    </w:p>
    <w:p w14:paraId="745195CB">
      <w:pPr>
        <w:pStyle w:val="2"/>
        <w:kinsoku w:val="0"/>
        <w:overflowPunct w:val="0"/>
        <w:spacing w:before="14"/>
        <w:ind w:left="0" w:right="13"/>
        <w:jc w:val="center"/>
        <w:rPr>
          <w:color w:val="auto"/>
          <w:sz w:val="28"/>
          <w:highlight w:val="none"/>
        </w:rPr>
      </w:pPr>
      <w:r>
        <w:rPr>
          <w:color w:val="auto"/>
          <w:sz w:val="28"/>
          <w:highlight w:val="none"/>
        </w:rPr>
        <w:t>问题澄清通知</w:t>
      </w:r>
    </w:p>
    <w:p w14:paraId="442611C4">
      <w:pPr>
        <w:pStyle w:val="2"/>
        <w:tabs>
          <w:tab w:val="left" w:pos="2937"/>
        </w:tabs>
        <w:kinsoku w:val="0"/>
        <w:overflowPunct w:val="0"/>
        <w:spacing w:before="157"/>
        <w:ind w:left="0" w:right="20"/>
        <w:jc w:val="center"/>
        <w:rPr>
          <w:color w:val="auto"/>
          <w:highlight w:val="none"/>
        </w:rPr>
      </w:pPr>
      <w:r>
        <w:rPr>
          <w:color w:val="auto"/>
          <w:spacing w:val="-1"/>
          <w:highlight w:val="none"/>
        </w:rPr>
        <w:t>（编号：</w:t>
      </w:r>
      <w:r>
        <w:rPr>
          <w:rFonts w:hint="eastAsia" w:ascii="Times New Roman" w:hAnsi="Times New Roman" w:eastAsia="Times New Roman"/>
          <w:color w:val="auto"/>
          <w:spacing w:val="-1"/>
          <w:highlight w:val="none"/>
          <w:u w:val="single"/>
        </w:rPr>
        <w:tab/>
      </w:r>
      <w:r>
        <w:rPr>
          <w:color w:val="auto"/>
          <w:highlight w:val="none"/>
        </w:rPr>
        <w:t>）</w:t>
      </w:r>
    </w:p>
    <w:p w14:paraId="15CD2FC8">
      <w:pPr>
        <w:pStyle w:val="2"/>
        <w:kinsoku w:val="0"/>
        <w:overflowPunct w:val="0"/>
        <w:ind w:left="0"/>
        <w:rPr>
          <w:color w:val="auto"/>
          <w:sz w:val="20"/>
          <w:highlight w:val="none"/>
        </w:rPr>
      </w:pPr>
    </w:p>
    <w:p w14:paraId="70AE0204">
      <w:pPr>
        <w:pStyle w:val="2"/>
        <w:kinsoku w:val="0"/>
        <w:overflowPunct w:val="0"/>
        <w:spacing w:before="5"/>
        <w:ind w:left="0"/>
        <w:rPr>
          <w:color w:val="auto"/>
          <w:sz w:val="23"/>
          <w:highlight w:val="none"/>
        </w:rPr>
      </w:pPr>
    </w:p>
    <w:p w14:paraId="475472F0">
      <w:pPr>
        <w:pStyle w:val="2"/>
        <w:tabs>
          <w:tab w:val="left" w:pos="2305"/>
        </w:tabs>
        <w:kinsoku w:val="0"/>
        <w:overflowPunct w:val="0"/>
        <w:spacing w:before="36"/>
        <w:ind w:left="100" w:right="113"/>
        <w:rPr>
          <w:color w:val="auto"/>
          <w:spacing w:val="-15"/>
          <w:highlight w:val="none"/>
        </w:rPr>
      </w:pPr>
      <w:r>
        <w:rPr>
          <w:rFonts w:hint="eastAsia" w:ascii="Times New Roman" w:hAnsi="Times New Roman" w:eastAsia="Times New Roman"/>
          <w:color w:val="auto"/>
          <w:highlight w:val="none"/>
          <w:u w:val="single"/>
        </w:rPr>
        <w:t xml:space="preserve"> </w:t>
      </w:r>
      <w:r>
        <w:rPr>
          <w:rFonts w:hint="eastAsia" w:ascii="Times New Roman" w:hAnsi="Times New Roman" w:eastAsia="Times New Roman"/>
          <w:color w:val="auto"/>
          <w:highlight w:val="none"/>
          <w:u w:val="single"/>
        </w:rPr>
        <w:tab/>
      </w:r>
      <w:r>
        <w:rPr>
          <w:color w:val="auto"/>
          <w:spacing w:val="-15"/>
          <w:highlight w:val="none"/>
        </w:rPr>
        <w:t>（投标人名称）：</w:t>
      </w:r>
    </w:p>
    <w:p w14:paraId="0D269844">
      <w:pPr>
        <w:pStyle w:val="2"/>
        <w:kinsoku w:val="0"/>
        <w:overflowPunct w:val="0"/>
        <w:ind w:left="0"/>
        <w:rPr>
          <w:color w:val="auto"/>
          <w:sz w:val="20"/>
          <w:highlight w:val="none"/>
        </w:rPr>
      </w:pPr>
    </w:p>
    <w:p w14:paraId="026CB119">
      <w:pPr>
        <w:pStyle w:val="2"/>
        <w:kinsoku w:val="0"/>
        <w:overflowPunct w:val="0"/>
        <w:spacing w:before="8"/>
        <w:ind w:left="0"/>
        <w:rPr>
          <w:color w:val="auto"/>
          <w:sz w:val="23"/>
          <w:highlight w:val="none"/>
        </w:rPr>
      </w:pPr>
    </w:p>
    <w:p w14:paraId="3CC4CC93">
      <w:pPr>
        <w:pStyle w:val="2"/>
        <w:kinsoku w:val="0"/>
        <w:overflowPunct w:val="0"/>
        <w:spacing w:before="36" w:line="384" w:lineRule="auto"/>
        <w:ind w:left="100" w:right="113" w:firstLine="422"/>
        <w:rPr>
          <w:color w:val="auto"/>
          <w:highlight w:val="none"/>
        </w:rPr>
      </w:pPr>
      <w:r>
        <w:rPr>
          <w:color w:val="auto"/>
          <w:spacing w:val="-1"/>
          <w:highlight w:val="none"/>
        </w:rPr>
        <w:t>评标委员会对你方的投标文件进行了仔细的审查，现需你方对下列问题以书面形式予以澄</w:t>
      </w:r>
      <w:r>
        <w:rPr>
          <w:color w:val="auto"/>
          <w:highlight w:val="none"/>
        </w:rPr>
        <w:t xml:space="preserve"> 清、说明或补正：</w:t>
      </w:r>
    </w:p>
    <w:p w14:paraId="6BF21DAF">
      <w:pPr>
        <w:pStyle w:val="2"/>
        <w:kinsoku w:val="0"/>
        <w:overflowPunct w:val="0"/>
        <w:ind w:left="0"/>
        <w:rPr>
          <w:color w:val="auto"/>
          <w:sz w:val="20"/>
          <w:highlight w:val="none"/>
        </w:rPr>
      </w:pPr>
    </w:p>
    <w:p w14:paraId="76D959B6">
      <w:pPr>
        <w:pStyle w:val="2"/>
        <w:kinsoku w:val="0"/>
        <w:overflowPunct w:val="0"/>
        <w:spacing w:before="6"/>
        <w:ind w:left="0"/>
        <w:rPr>
          <w:color w:val="auto"/>
          <w:sz w:val="20"/>
          <w:highlight w:val="none"/>
        </w:rPr>
      </w:pPr>
    </w:p>
    <w:p w14:paraId="586B2C12">
      <w:pPr>
        <w:pStyle w:val="2"/>
        <w:kinsoku w:val="0"/>
        <w:overflowPunct w:val="0"/>
        <w:ind w:left="522" w:right="113"/>
        <w:rPr>
          <w:rFonts w:ascii="Times New Roman" w:hAnsi="Times New Roman" w:eastAsia="Times New Roman"/>
          <w:color w:val="auto"/>
          <w:highlight w:val="none"/>
        </w:rPr>
      </w:pPr>
      <w:r>
        <w:rPr>
          <w:rFonts w:hint="eastAsia" w:ascii="Times New Roman" w:hAnsi="Times New Roman" w:eastAsia="Times New Roman"/>
          <w:color w:val="auto"/>
          <w:highlight w:val="none"/>
        </w:rPr>
        <w:t>1.</w:t>
      </w:r>
    </w:p>
    <w:p w14:paraId="65AA5A78">
      <w:pPr>
        <w:pStyle w:val="2"/>
        <w:kinsoku w:val="0"/>
        <w:overflowPunct w:val="0"/>
        <w:spacing w:before="2"/>
        <w:ind w:left="0"/>
        <w:rPr>
          <w:rFonts w:ascii="Times New Roman" w:hAnsi="Times New Roman" w:eastAsia="Times New Roman"/>
          <w:color w:val="auto"/>
          <w:sz w:val="17"/>
          <w:highlight w:val="none"/>
        </w:rPr>
      </w:pPr>
    </w:p>
    <w:p w14:paraId="7AEAD0FC">
      <w:pPr>
        <w:pStyle w:val="2"/>
        <w:kinsoku w:val="0"/>
        <w:overflowPunct w:val="0"/>
        <w:ind w:left="522" w:right="113"/>
        <w:rPr>
          <w:rFonts w:ascii="Times New Roman" w:hAnsi="Times New Roman" w:eastAsia="Times New Roman"/>
          <w:color w:val="auto"/>
          <w:highlight w:val="none"/>
        </w:rPr>
      </w:pPr>
      <w:r>
        <w:rPr>
          <w:rFonts w:hint="eastAsia" w:ascii="Times New Roman" w:hAnsi="Times New Roman" w:eastAsia="Times New Roman"/>
          <w:color w:val="auto"/>
          <w:highlight w:val="none"/>
        </w:rPr>
        <w:t>2.</w:t>
      </w:r>
    </w:p>
    <w:p w14:paraId="76B99CC9">
      <w:pPr>
        <w:pStyle w:val="2"/>
        <w:kinsoku w:val="0"/>
        <w:overflowPunct w:val="0"/>
        <w:spacing w:before="5"/>
        <w:ind w:left="0"/>
        <w:rPr>
          <w:rFonts w:ascii="Times New Roman" w:hAnsi="Times New Roman" w:eastAsia="Times New Roman"/>
          <w:color w:val="auto"/>
          <w:sz w:val="17"/>
          <w:highlight w:val="none"/>
        </w:rPr>
      </w:pPr>
    </w:p>
    <w:p w14:paraId="618D4232">
      <w:pPr>
        <w:pStyle w:val="2"/>
        <w:kinsoku w:val="0"/>
        <w:overflowPunct w:val="0"/>
        <w:ind w:left="628" w:right="113"/>
        <w:rPr>
          <w:rFonts w:ascii="Times New Roman" w:hAnsi="Times New Roman" w:eastAsia="Times New Roman"/>
          <w:color w:val="auto"/>
          <w:highlight w:val="none"/>
        </w:rPr>
      </w:pPr>
      <w:r>
        <w:rPr>
          <w:rFonts w:hint="eastAsia" w:ascii="Times New Roman" w:hAnsi="Times New Roman" w:eastAsia="Times New Roman"/>
          <w:color w:val="auto"/>
          <w:highlight w:val="none"/>
        </w:rPr>
        <w:t>......</w:t>
      </w:r>
    </w:p>
    <w:p w14:paraId="27730A3B">
      <w:pPr>
        <w:pStyle w:val="2"/>
        <w:kinsoku w:val="0"/>
        <w:overflowPunct w:val="0"/>
        <w:ind w:left="0"/>
        <w:rPr>
          <w:rFonts w:ascii="Times New Roman" w:hAnsi="Times New Roman" w:eastAsia="Times New Roman"/>
          <w:color w:val="auto"/>
          <w:sz w:val="20"/>
          <w:highlight w:val="none"/>
        </w:rPr>
      </w:pPr>
    </w:p>
    <w:p w14:paraId="38292347">
      <w:pPr>
        <w:pStyle w:val="2"/>
        <w:kinsoku w:val="0"/>
        <w:overflowPunct w:val="0"/>
        <w:ind w:left="0"/>
        <w:rPr>
          <w:rFonts w:ascii="Times New Roman" w:hAnsi="Times New Roman" w:eastAsia="Times New Roman"/>
          <w:color w:val="auto"/>
          <w:sz w:val="20"/>
          <w:highlight w:val="none"/>
        </w:rPr>
      </w:pPr>
    </w:p>
    <w:p w14:paraId="5EE0739E">
      <w:pPr>
        <w:pStyle w:val="2"/>
        <w:tabs>
          <w:tab w:val="left" w:pos="4603"/>
          <w:tab w:val="left" w:pos="5549"/>
          <w:tab w:val="left" w:pos="6494"/>
          <w:tab w:val="left" w:pos="7438"/>
        </w:tabs>
        <w:kinsoku w:val="0"/>
        <w:overflowPunct w:val="0"/>
        <w:spacing w:before="127"/>
        <w:ind w:left="505" w:right="113"/>
        <w:rPr>
          <w:color w:val="auto"/>
          <w:spacing w:val="-2"/>
          <w:highlight w:val="none"/>
        </w:rPr>
      </w:pPr>
      <w:r>
        <w:rPr>
          <w:color w:val="auto"/>
          <w:spacing w:val="-2"/>
          <w:highlight w:val="none"/>
        </w:rPr>
        <w:t>请将上述问题的澄清、说明或补正于</w:t>
      </w:r>
      <w:r>
        <w:rPr>
          <w:rFonts w:hint="eastAsia" w:ascii="Times New Roman" w:hAnsi="Times New Roman" w:eastAsia="Times New Roman"/>
          <w:color w:val="auto"/>
          <w:spacing w:val="-2"/>
          <w:highlight w:val="none"/>
          <w:u w:val="single"/>
        </w:rPr>
        <w:tab/>
      </w:r>
      <w:r>
        <w:rPr>
          <w:color w:val="auto"/>
          <w:highlight w:val="none"/>
        </w:rPr>
        <w:t>年</w:t>
      </w:r>
      <w:r>
        <w:rPr>
          <w:rFonts w:hint="eastAsia" w:ascii="Times New Roman" w:hAnsi="Times New Roman" w:eastAsia="Times New Roman"/>
          <w:color w:val="auto"/>
          <w:highlight w:val="none"/>
          <w:u w:val="single"/>
        </w:rPr>
        <w:tab/>
      </w:r>
      <w:r>
        <w:rPr>
          <w:color w:val="auto"/>
          <w:highlight w:val="none"/>
        </w:rPr>
        <w:t>月</w:t>
      </w:r>
      <w:r>
        <w:rPr>
          <w:rFonts w:hint="eastAsia" w:ascii="Times New Roman" w:hAnsi="Times New Roman" w:eastAsia="Times New Roman"/>
          <w:color w:val="auto"/>
          <w:highlight w:val="none"/>
          <w:u w:val="single"/>
        </w:rPr>
        <w:tab/>
      </w:r>
      <w:r>
        <w:rPr>
          <w:color w:val="auto"/>
          <w:spacing w:val="-3"/>
          <w:highlight w:val="none"/>
        </w:rPr>
        <w:t>日</w:t>
      </w:r>
      <w:r>
        <w:rPr>
          <w:rFonts w:hint="eastAsia" w:ascii="Times New Roman" w:hAnsi="Times New Roman" w:eastAsia="Times New Roman"/>
          <w:color w:val="auto"/>
          <w:spacing w:val="-3"/>
          <w:highlight w:val="none"/>
          <w:u w:val="single"/>
        </w:rPr>
        <w:tab/>
      </w:r>
      <w:r>
        <w:rPr>
          <w:color w:val="auto"/>
          <w:spacing w:val="-2"/>
          <w:highlight w:val="none"/>
        </w:rPr>
        <w:t>时前递交至</w:t>
      </w:r>
    </w:p>
    <w:p w14:paraId="7557FAFA">
      <w:pPr>
        <w:pStyle w:val="2"/>
        <w:kinsoku w:val="0"/>
        <w:overflowPunct w:val="0"/>
        <w:spacing w:before="13"/>
        <w:ind w:left="0"/>
        <w:rPr>
          <w:color w:val="auto"/>
          <w:sz w:val="9"/>
          <w:highlight w:val="none"/>
        </w:rPr>
      </w:pPr>
    </w:p>
    <w:p w14:paraId="1B0CFFBD">
      <w:pPr>
        <w:pStyle w:val="2"/>
        <w:tabs>
          <w:tab w:val="left" w:pos="3040"/>
          <w:tab w:val="left" w:pos="7296"/>
        </w:tabs>
        <w:kinsoku w:val="0"/>
        <w:overflowPunct w:val="0"/>
        <w:spacing w:before="36"/>
        <w:ind w:left="100"/>
        <w:rPr>
          <w:color w:val="auto"/>
          <w:spacing w:val="-5"/>
          <w:highlight w:val="none"/>
        </w:rPr>
      </w:pPr>
      <w:r>
        <w:rPr>
          <w:rFonts w:hint="eastAsia" w:ascii="Times New Roman" w:hAnsi="Times New Roman" w:eastAsia="Times New Roman"/>
          <w:color w:val="auto"/>
          <w:highlight w:val="none"/>
          <w:u w:val="single"/>
        </w:rPr>
        <w:t xml:space="preserve"> </w:t>
      </w:r>
      <w:r>
        <w:rPr>
          <w:rFonts w:hint="eastAsia" w:ascii="Times New Roman" w:hAnsi="Times New Roman" w:eastAsia="Times New Roman"/>
          <w:color w:val="auto"/>
          <w:highlight w:val="none"/>
          <w:u w:val="single"/>
        </w:rPr>
        <w:tab/>
      </w:r>
      <w:r>
        <w:rPr>
          <w:color w:val="auto"/>
          <w:spacing w:val="-5"/>
          <w:highlight w:val="none"/>
        </w:rPr>
        <w:t>（详细地址）或传真至</w:t>
      </w:r>
      <w:r>
        <w:rPr>
          <w:rFonts w:hint="eastAsia" w:ascii="Times New Roman" w:hAnsi="Times New Roman" w:eastAsia="Times New Roman"/>
          <w:color w:val="auto"/>
          <w:spacing w:val="-5"/>
          <w:highlight w:val="none"/>
          <w:u w:val="single"/>
        </w:rPr>
        <w:tab/>
      </w:r>
      <w:r>
        <w:rPr>
          <w:color w:val="auto"/>
          <w:spacing w:val="-5"/>
          <w:highlight w:val="none"/>
        </w:rPr>
        <w:t>（传真号码）或</w:t>
      </w:r>
    </w:p>
    <w:p w14:paraId="51D94CAF">
      <w:pPr>
        <w:pStyle w:val="2"/>
        <w:kinsoku w:val="0"/>
        <w:overflowPunct w:val="0"/>
        <w:spacing w:before="10"/>
        <w:ind w:left="0"/>
        <w:rPr>
          <w:color w:val="auto"/>
          <w:sz w:val="9"/>
          <w:highlight w:val="none"/>
        </w:rPr>
      </w:pPr>
    </w:p>
    <w:p w14:paraId="12C6A0F7">
      <w:pPr>
        <w:pStyle w:val="2"/>
        <w:tabs>
          <w:tab w:val="left" w:pos="7138"/>
          <w:tab w:val="left" w:pos="8084"/>
        </w:tabs>
        <w:kinsoku w:val="0"/>
        <w:overflowPunct w:val="0"/>
        <w:spacing w:before="36"/>
        <w:ind w:left="100" w:right="113"/>
        <w:rPr>
          <w:color w:val="auto"/>
          <w:highlight w:val="none"/>
        </w:rPr>
      </w:pPr>
      <w:r>
        <w:rPr>
          <w:color w:val="auto"/>
          <w:spacing w:val="-2"/>
          <w:highlight w:val="none"/>
        </w:rPr>
        <w:t>通过下载招标文件的电子招标交易平台上传。采用传真方式的，应在</w:t>
      </w:r>
      <w:r>
        <w:rPr>
          <w:rFonts w:hint="eastAsia" w:ascii="Times New Roman" w:hAnsi="Times New Roman" w:eastAsia="Times New Roman"/>
          <w:color w:val="auto"/>
          <w:spacing w:val="-2"/>
          <w:highlight w:val="none"/>
          <w:u w:val="single"/>
        </w:rPr>
        <w:tab/>
      </w:r>
      <w:r>
        <w:rPr>
          <w:color w:val="auto"/>
          <w:highlight w:val="none"/>
        </w:rPr>
        <w:t>年</w:t>
      </w:r>
      <w:r>
        <w:rPr>
          <w:rFonts w:hint="eastAsia" w:ascii="Times New Roman" w:hAnsi="Times New Roman" w:eastAsia="Times New Roman"/>
          <w:color w:val="auto"/>
          <w:highlight w:val="none"/>
          <w:u w:val="single"/>
        </w:rPr>
        <w:tab/>
      </w:r>
      <w:r>
        <w:rPr>
          <w:color w:val="auto"/>
          <w:highlight w:val="none"/>
        </w:rPr>
        <w:t>月</w:t>
      </w:r>
    </w:p>
    <w:p w14:paraId="243DB057">
      <w:pPr>
        <w:pStyle w:val="2"/>
        <w:kinsoku w:val="0"/>
        <w:overflowPunct w:val="0"/>
        <w:spacing w:before="10"/>
        <w:ind w:left="0"/>
        <w:rPr>
          <w:color w:val="auto"/>
          <w:sz w:val="9"/>
          <w:highlight w:val="none"/>
        </w:rPr>
      </w:pPr>
    </w:p>
    <w:p w14:paraId="0ECEAE35">
      <w:pPr>
        <w:pStyle w:val="2"/>
        <w:tabs>
          <w:tab w:val="left" w:pos="837"/>
          <w:tab w:val="left" w:pos="1782"/>
          <w:tab w:val="left" w:pos="5669"/>
        </w:tabs>
        <w:kinsoku w:val="0"/>
        <w:overflowPunct w:val="0"/>
        <w:spacing w:before="36"/>
        <w:ind w:left="100" w:right="113"/>
        <w:rPr>
          <w:color w:val="auto"/>
          <w:spacing w:val="-17"/>
          <w:highlight w:val="none"/>
        </w:rPr>
      </w:pPr>
      <w:r>
        <w:rPr>
          <w:rFonts w:hint="eastAsia" w:ascii="Times New Roman" w:hAnsi="Times New Roman" w:eastAsia="Times New Roman"/>
          <w:color w:val="auto"/>
          <w:highlight w:val="none"/>
          <w:u w:val="single"/>
        </w:rPr>
        <w:t xml:space="preserve"> </w:t>
      </w:r>
      <w:r>
        <w:rPr>
          <w:rFonts w:hint="eastAsia" w:ascii="Times New Roman" w:hAnsi="Times New Roman" w:eastAsia="Times New Roman"/>
          <w:color w:val="auto"/>
          <w:highlight w:val="none"/>
          <w:u w:val="single"/>
        </w:rPr>
        <w:tab/>
      </w:r>
      <w:r>
        <w:rPr>
          <w:color w:val="auto"/>
          <w:highlight w:val="none"/>
        </w:rPr>
        <w:t>日</w:t>
      </w:r>
      <w:r>
        <w:rPr>
          <w:rFonts w:hint="eastAsia" w:ascii="Times New Roman" w:hAnsi="Times New Roman" w:eastAsia="Times New Roman"/>
          <w:color w:val="auto"/>
          <w:highlight w:val="none"/>
          <w:u w:val="single"/>
        </w:rPr>
        <w:tab/>
      </w:r>
      <w:r>
        <w:rPr>
          <w:color w:val="auto"/>
          <w:spacing w:val="-2"/>
          <w:highlight w:val="none"/>
        </w:rPr>
        <w:t>时前将原件递交至</w:t>
      </w:r>
      <w:r>
        <w:rPr>
          <w:rFonts w:hint="eastAsia" w:ascii="Times New Roman" w:hAnsi="Times New Roman" w:eastAsia="Times New Roman"/>
          <w:color w:val="auto"/>
          <w:spacing w:val="-2"/>
          <w:highlight w:val="none"/>
          <w:u w:val="single"/>
        </w:rPr>
        <w:tab/>
      </w:r>
      <w:r>
        <w:rPr>
          <w:color w:val="auto"/>
          <w:spacing w:val="-17"/>
          <w:highlight w:val="none"/>
        </w:rPr>
        <w:t>（详细地址）。</w:t>
      </w:r>
    </w:p>
    <w:p w14:paraId="082D94EB">
      <w:pPr>
        <w:pStyle w:val="2"/>
        <w:kinsoku w:val="0"/>
        <w:overflowPunct w:val="0"/>
        <w:ind w:left="0"/>
        <w:rPr>
          <w:color w:val="auto"/>
          <w:sz w:val="20"/>
          <w:highlight w:val="none"/>
        </w:rPr>
      </w:pPr>
    </w:p>
    <w:p w14:paraId="39F2E78A">
      <w:pPr>
        <w:pStyle w:val="2"/>
        <w:kinsoku w:val="0"/>
        <w:overflowPunct w:val="0"/>
        <w:ind w:left="0"/>
        <w:rPr>
          <w:color w:val="auto"/>
          <w:sz w:val="20"/>
          <w:highlight w:val="none"/>
        </w:rPr>
      </w:pPr>
    </w:p>
    <w:p w14:paraId="60ECB571">
      <w:pPr>
        <w:pStyle w:val="2"/>
        <w:kinsoku w:val="0"/>
        <w:overflowPunct w:val="0"/>
        <w:ind w:left="0"/>
        <w:rPr>
          <w:color w:val="auto"/>
          <w:sz w:val="20"/>
          <w:highlight w:val="none"/>
        </w:rPr>
      </w:pPr>
    </w:p>
    <w:p w14:paraId="078FE541">
      <w:pPr>
        <w:pStyle w:val="2"/>
        <w:kinsoku w:val="0"/>
        <w:overflowPunct w:val="0"/>
        <w:spacing w:before="2"/>
        <w:ind w:left="0"/>
        <w:rPr>
          <w:color w:val="auto"/>
          <w:sz w:val="17"/>
          <w:highlight w:val="none"/>
        </w:rPr>
      </w:pPr>
    </w:p>
    <w:p w14:paraId="0F272447">
      <w:pPr>
        <w:pStyle w:val="2"/>
        <w:tabs>
          <w:tab w:val="left" w:pos="7032"/>
        </w:tabs>
        <w:kinsoku w:val="0"/>
        <w:overflowPunct w:val="0"/>
        <w:spacing w:before="36"/>
        <w:ind w:left="2200" w:right="113"/>
        <w:rPr>
          <w:color w:val="auto"/>
          <w:spacing w:val="-1"/>
          <w:highlight w:val="none"/>
        </w:rPr>
      </w:pPr>
      <w:r>
        <w:rPr>
          <w:color w:val="auto"/>
          <w:spacing w:val="-2"/>
          <w:highlight w:val="none"/>
        </w:rPr>
        <w:t>评标委员会</w:t>
      </w:r>
      <w:r>
        <w:rPr>
          <w:rFonts w:hint="eastAsia"/>
          <w:color w:val="auto"/>
          <w:spacing w:val="-2"/>
          <w:highlight w:val="none"/>
        </w:rPr>
        <w:t>签字</w:t>
      </w:r>
      <w:r>
        <w:rPr>
          <w:color w:val="auto"/>
          <w:spacing w:val="-2"/>
          <w:highlight w:val="none"/>
        </w:rPr>
        <w:t>：</w:t>
      </w:r>
      <w:r>
        <w:rPr>
          <w:rFonts w:hint="eastAsia" w:ascii="Times New Roman" w:hAnsi="Times New Roman" w:eastAsia="Times New Roman"/>
          <w:color w:val="auto"/>
          <w:spacing w:val="-2"/>
          <w:highlight w:val="none"/>
          <w:u w:val="single"/>
        </w:rPr>
        <w:tab/>
      </w:r>
    </w:p>
    <w:p w14:paraId="75A195E8">
      <w:pPr>
        <w:pStyle w:val="2"/>
        <w:kinsoku w:val="0"/>
        <w:overflowPunct w:val="0"/>
        <w:ind w:left="0"/>
        <w:rPr>
          <w:color w:val="auto"/>
          <w:sz w:val="20"/>
          <w:highlight w:val="none"/>
        </w:rPr>
      </w:pPr>
    </w:p>
    <w:p w14:paraId="1B05BCD8">
      <w:pPr>
        <w:pStyle w:val="2"/>
        <w:kinsoku w:val="0"/>
        <w:overflowPunct w:val="0"/>
        <w:spacing w:before="7"/>
        <w:ind w:left="0"/>
        <w:rPr>
          <w:color w:val="auto"/>
          <w:sz w:val="23"/>
          <w:highlight w:val="none"/>
        </w:rPr>
      </w:pPr>
    </w:p>
    <w:p w14:paraId="761AF432">
      <w:pPr>
        <w:pStyle w:val="2"/>
        <w:tabs>
          <w:tab w:val="left" w:pos="5803"/>
          <w:tab w:val="left" w:pos="6746"/>
          <w:tab w:val="left" w:pos="7692"/>
        </w:tabs>
        <w:kinsoku w:val="0"/>
        <w:overflowPunct w:val="0"/>
        <w:spacing w:before="36"/>
        <w:ind w:left="4961" w:right="113"/>
        <w:rPr>
          <w:color w:val="auto"/>
          <w:highlight w:val="none"/>
        </w:rPr>
      </w:pPr>
      <w:r>
        <w:rPr>
          <w:rFonts w:hint="eastAsia" w:ascii="Times New Roman" w:hAnsi="Times New Roman" w:eastAsia="Times New Roman"/>
          <w:color w:val="auto"/>
          <w:highlight w:val="none"/>
          <w:u w:val="single"/>
        </w:rPr>
        <w:t xml:space="preserve"> </w:t>
      </w:r>
      <w:r>
        <w:rPr>
          <w:rFonts w:hint="eastAsia" w:ascii="Times New Roman" w:hAnsi="Times New Roman" w:eastAsia="Times New Roman"/>
          <w:color w:val="auto"/>
          <w:highlight w:val="none"/>
          <w:u w:val="single"/>
        </w:rPr>
        <w:tab/>
      </w:r>
      <w:r>
        <w:rPr>
          <w:color w:val="auto"/>
          <w:spacing w:val="-3"/>
          <w:highlight w:val="none"/>
        </w:rPr>
        <w:t>年</w:t>
      </w:r>
      <w:r>
        <w:rPr>
          <w:rFonts w:hint="eastAsia" w:ascii="Times New Roman" w:hAnsi="Times New Roman" w:eastAsia="Times New Roman"/>
          <w:color w:val="auto"/>
          <w:spacing w:val="-3"/>
          <w:highlight w:val="none"/>
          <w:u w:val="single"/>
        </w:rPr>
        <w:tab/>
      </w:r>
      <w:r>
        <w:rPr>
          <w:color w:val="auto"/>
          <w:highlight w:val="none"/>
        </w:rPr>
        <w:t>月</w:t>
      </w:r>
      <w:r>
        <w:rPr>
          <w:rFonts w:hint="eastAsia" w:ascii="Times New Roman" w:hAnsi="Times New Roman" w:eastAsia="Times New Roman"/>
          <w:color w:val="auto"/>
          <w:highlight w:val="none"/>
          <w:u w:val="single"/>
        </w:rPr>
        <w:tab/>
      </w:r>
      <w:r>
        <w:rPr>
          <w:color w:val="auto"/>
          <w:highlight w:val="none"/>
        </w:rPr>
        <w:t>日</w:t>
      </w:r>
    </w:p>
    <w:p w14:paraId="2BEA7736">
      <w:pPr>
        <w:pStyle w:val="2"/>
        <w:tabs>
          <w:tab w:val="left" w:pos="5803"/>
          <w:tab w:val="left" w:pos="6746"/>
          <w:tab w:val="left" w:pos="7692"/>
        </w:tabs>
        <w:kinsoku w:val="0"/>
        <w:overflowPunct w:val="0"/>
        <w:spacing w:before="36"/>
        <w:ind w:left="4961" w:right="113"/>
        <w:rPr>
          <w:color w:val="auto"/>
          <w:highlight w:val="none"/>
        </w:rPr>
        <w:sectPr>
          <w:pgSz w:w="11905" w:h="16838"/>
          <w:pgMar w:top="1417" w:right="1417" w:bottom="1417" w:left="1417" w:header="992" w:footer="992" w:gutter="0"/>
          <w:cols w:space="720" w:num="1"/>
        </w:sectPr>
      </w:pPr>
    </w:p>
    <w:p w14:paraId="43C68D2E">
      <w:pPr>
        <w:pStyle w:val="6"/>
        <w:rPr>
          <w:color w:val="auto"/>
          <w:highlight w:val="none"/>
        </w:rPr>
      </w:pPr>
      <w:bookmarkStart w:id="88" w:name="bookmark78"/>
      <w:bookmarkEnd w:id="88"/>
      <w:r>
        <w:rPr>
          <w:color w:val="auto"/>
          <w:highlight w:val="none"/>
        </w:rPr>
        <w:t>附件二：问题的澄清</w:t>
      </w:r>
    </w:p>
    <w:p w14:paraId="3063D7B9">
      <w:pPr>
        <w:pStyle w:val="2"/>
        <w:kinsoku w:val="0"/>
        <w:overflowPunct w:val="0"/>
        <w:ind w:left="0"/>
        <w:rPr>
          <w:color w:val="auto"/>
          <w:sz w:val="20"/>
          <w:highlight w:val="none"/>
        </w:rPr>
      </w:pPr>
    </w:p>
    <w:p w14:paraId="40AE23E7">
      <w:pPr>
        <w:pStyle w:val="2"/>
        <w:kinsoku w:val="0"/>
        <w:overflowPunct w:val="0"/>
        <w:ind w:left="0"/>
        <w:rPr>
          <w:color w:val="auto"/>
          <w:sz w:val="20"/>
          <w:highlight w:val="none"/>
        </w:rPr>
      </w:pPr>
    </w:p>
    <w:p w14:paraId="4A746417">
      <w:pPr>
        <w:pStyle w:val="2"/>
        <w:kinsoku w:val="0"/>
        <w:overflowPunct w:val="0"/>
        <w:ind w:left="0"/>
        <w:rPr>
          <w:color w:val="auto"/>
          <w:sz w:val="20"/>
          <w:highlight w:val="none"/>
        </w:rPr>
      </w:pPr>
    </w:p>
    <w:p w14:paraId="705FD085">
      <w:pPr>
        <w:pStyle w:val="2"/>
        <w:kinsoku w:val="0"/>
        <w:overflowPunct w:val="0"/>
        <w:spacing w:before="168"/>
        <w:ind w:left="0" w:right="16"/>
        <w:jc w:val="center"/>
        <w:rPr>
          <w:color w:val="auto"/>
          <w:sz w:val="28"/>
          <w:highlight w:val="none"/>
        </w:rPr>
      </w:pPr>
      <w:r>
        <w:rPr>
          <w:color w:val="auto"/>
          <w:sz w:val="28"/>
          <w:highlight w:val="none"/>
        </w:rPr>
        <w:t>问题的澄清</w:t>
      </w:r>
    </w:p>
    <w:p w14:paraId="7BFE2772">
      <w:pPr>
        <w:pStyle w:val="2"/>
        <w:tabs>
          <w:tab w:val="left" w:pos="5947"/>
        </w:tabs>
        <w:kinsoku w:val="0"/>
        <w:overflowPunct w:val="0"/>
        <w:spacing w:before="113"/>
        <w:ind w:left="3566" w:right="113"/>
        <w:rPr>
          <w:color w:val="auto"/>
          <w:highlight w:val="none"/>
        </w:rPr>
      </w:pPr>
      <w:r>
        <w:rPr>
          <w:color w:val="auto"/>
          <w:spacing w:val="-1"/>
          <w:highlight w:val="none"/>
        </w:rPr>
        <w:t>（编号：</w:t>
      </w:r>
      <w:r>
        <w:rPr>
          <w:rFonts w:hint="eastAsia" w:ascii="Times New Roman" w:hAnsi="Times New Roman" w:eastAsia="Times New Roman"/>
          <w:color w:val="auto"/>
          <w:spacing w:val="-1"/>
          <w:highlight w:val="none"/>
          <w:u w:val="single"/>
        </w:rPr>
        <w:tab/>
      </w:r>
      <w:r>
        <w:rPr>
          <w:color w:val="auto"/>
          <w:highlight w:val="none"/>
        </w:rPr>
        <w:t>）</w:t>
      </w:r>
    </w:p>
    <w:p w14:paraId="1D51D587">
      <w:pPr>
        <w:pStyle w:val="2"/>
        <w:kinsoku w:val="0"/>
        <w:overflowPunct w:val="0"/>
        <w:ind w:left="0"/>
        <w:rPr>
          <w:color w:val="auto"/>
          <w:sz w:val="20"/>
          <w:highlight w:val="none"/>
        </w:rPr>
      </w:pPr>
    </w:p>
    <w:p w14:paraId="2DDCD6FD">
      <w:pPr>
        <w:pStyle w:val="2"/>
        <w:kinsoku w:val="0"/>
        <w:overflowPunct w:val="0"/>
        <w:spacing w:before="1"/>
        <w:ind w:left="0"/>
        <w:rPr>
          <w:color w:val="auto"/>
          <w:sz w:val="20"/>
          <w:highlight w:val="none"/>
        </w:rPr>
      </w:pPr>
    </w:p>
    <w:p w14:paraId="24243F9A">
      <w:pPr>
        <w:pStyle w:val="2"/>
        <w:kinsoku w:val="0"/>
        <w:overflowPunct w:val="0"/>
        <w:spacing w:before="36"/>
        <w:ind w:left="100" w:right="113"/>
        <w:rPr>
          <w:color w:val="auto"/>
          <w:highlight w:val="none"/>
        </w:rPr>
      </w:pPr>
      <w:r>
        <w:rPr>
          <w:color w:val="auto"/>
          <w:highlight w:val="none"/>
        </w:rPr>
        <w:t>评标委员会：</w:t>
      </w:r>
    </w:p>
    <w:p w14:paraId="7ED83B94">
      <w:pPr>
        <w:pStyle w:val="2"/>
        <w:kinsoku w:val="0"/>
        <w:overflowPunct w:val="0"/>
        <w:ind w:left="0"/>
        <w:rPr>
          <w:color w:val="auto"/>
          <w:sz w:val="20"/>
          <w:highlight w:val="none"/>
        </w:rPr>
      </w:pPr>
    </w:p>
    <w:p w14:paraId="685EB6DC">
      <w:pPr>
        <w:pStyle w:val="2"/>
        <w:kinsoku w:val="0"/>
        <w:overflowPunct w:val="0"/>
        <w:spacing w:before="2"/>
        <w:ind w:left="0"/>
        <w:rPr>
          <w:color w:val="auto"/>
          <w:sz w:val="26"/>
          <w:highlight w:val="none"/>
        </w:rPr>
      </w:pPr>
    </w:p>
    <w:p w14:paraId="73337EAE">
      <w:pPr>
        <w:pStyle w:val="2"/>
        <w:tabs>
          <w:tab w:val="left" w:pos="3460"/>
        </w:tabs>
        <w:kinsoku w:val="0"/>
        <w:overflowPunct w:val="0"/>
        <w:ind w:left="522" w:right="113"/>
        <w:rPr>
          <w:color w:val="auto"/>
          <w:spacing w:val="-2"/>
          <w:highlight w:val="none"/>
        </w:rPr>
      </w:pPr>
      <w:r>
        <w:rPr>
          <w:color w:val="auto"/>
          <w:spacing w:val="-2"/>
          <w:highlight w:val="none"/>
        </w:rPr>
        <w:t>问题澄清通知（编号：</w:t>
      </w:r>
      <w:r>
        <w:rPr>
          <w:rFonts w:hint="eastAsia" w:ascii="Times New Roman" w:hAnsi="Times New Roman" w:eastAsia="Times New Roman"/>
          <w:color w:val="auto"/>
          <w:spacing w:val="-2"/>
          <w:highlight w:val="none"/>
          <w:u w:val="single"/>
        </w:rPr>
        <w:tab/>
      </w:r>
      <w:r>
        <w:rPr>
          <w:color w:val="auto"/>
          <w:spacing w:val="-2"/>
          <w:highlight w:val="none"/>
        </w:rPr>
        <w:t>）已收悉，现澄清、说明或补正如下：</w:t>
      </w:r>
    </w:p>
    <w:p w14:paraId="29AA5053">
      <w:pPr>
        <w:pStyle w:val="2"/>
        <w:kinsoku w:val="0"/>
        <w:overflowPunct w:val="0"/>
        <w:spacing w:before="11"/>
        <w:ind w:left="0"/>
        <w:rPr>
          <w:color w:val="auto"/>
          <w:sz w:val="10"/>
          <w:highlight w:val="none"/>
        </w:rPr>
      </w:pPr>
    </w:p>
    <w:p w14:paraId="4C3C0523">
      <w:pPr>
        <w:pStyle w:val="2"/>
        <w:kinsoku w:val="0"/>
        <w:overflowPunct w:val="0"/>
        <w:spacing w:before="74"/>
        <w:ind w:left="0" w:right="7025"/>
        <w:jc w:val="center"/>
        <w:rPr>
          <w:rFonts w:ascii="Times New Roman" w:hAnsi="Times New Roman" w:eastAsia="Times New Roman"/>
          <w:color w:val="auto"/>
          <w:highlight w:val="none"/>
        </w:rPr>
      </w:pPr>
      <w:r>
        <w:rPr>
          <w:rFonts w:hint="eastAsia" w:ascii="Times New Roman" w:hAnsi="Times New Roman" w:eastAsia="Times New Roman"/>
          <w:color w:val="auto"/>
          <w:highlight w:val="none"/>
        </w:rPr>
        <w:t>1.</w:t>
      </w:r>
    </w:p>
    <w:p w14:paraId="1EA1660F">
      <w:pPr>
        <w:pStyle w:val="2"/>
        <w:kinsoku w:val="0"/>
        <w:overflowPunct w:val="0"/>
        <w:spacing w:before="2"/>
        <w:ind w:left="0"/>
        <w:rPr>
          <w:rFonts w:ascii="Times New Roman" w:hAnsi="Times New Roman" w:eastAsia="Times New Roman"/>
          <w:color w:val="auto"/>
          <w:sz w:val="17"/>
          <w:highlight w:val="none"/>
        </w:rPr>
      </w:pPr>
    </w:p>
    <w:p w14:paraId="11490F13">
      <w:pPr>
        <w:pStyle w:val="2"/>
        <w:kinsoku w:val="0"/>
        <w:overflowPunct w:val="0"/>
        <w:ind w:left="0" w:right="7025"/>
        <w:jc w:val="center"/>
        <w:rPr>
          <w:rFonts w:ascii="Times New Roman" w:hAnsi="Times New Roman" w:eastAsia="Times New Roman"/>
          <w:color w:val="auto"/>
          <w:highlight w:val="none"/>
        </w:rPr>
      </w:pPr>
      <w:r>
        <w:rPr>
          <w:rFonts w:hint="eastAsia" w:ascii="Times New Roman" w:hAnsi="Times New Roman" w:eastAsia="Times New Roman"/>
          <w:color w:val="auto"/>
          <w:highlight w:val="none"/>
        </w:rPr>
        <w:t>2.</w:t>
      </w:r>
    </w:p>
    <w:p w14:paraId="3E35E2C1">
      <w:pPr>
        <w:pStyle w:val="2"/>
        <w:kinsoku w:val="0"/>
        <w:overflowPunct w:val="0"/>
        <w:spacing w:before="2"/>
        <w:ind w:left="0"/>
        <w:rPr>
          <w:rFonts w:ascii="Times New Roman" w:hAnsi="Times New Roman" w:eastAsia="Times New Roman"/>
          <w:color w:val="auto"/>
          <w:sz w:val="17"/>
          <w:highlight w:val="none"/>
        </w:rPr>
      </w:pPr>
    </w:p>
    <w:p w14:paraId="74D27798">
      <w:pPr>
        <w:pStyle w:val="2"/>
        <w:kinsoku w:val="0"/>
        <w:overflowPunct w:val="0"/>
        <w:ind w:left="0" w:right="7130"/>
        <w:jc w:val="center"/>
        <w:rPr>
          <w:rFonts w:ascii="Times New Roman" w:hAnsi="Times New Roman" w:eastAsia="Times New Roman"/>
          <w:color w:val="auto"/>
          <w:highlight w:val="none"/>
        </w:rPr>
      </w:pPr>
      <w:r>
        <w:rPr>
          <w:rFonts w:hint="eastAsia" w:ascii="Times New Roman" w:hAnsi="Times New Roman" w:eastAsia="Times New Roman"/>
          <w:color w:val="auto"/>
          <w:highlight w:val="none"/>
        </w:rPr>
        <w:t>.....</w:t>
      </w:r>
    </w:p>
    <w:p w14:paraId="34B445FB">
      <w:pPr>
        <w:pStyle w:val="2"/>
        <w:kinsoku w:val="0"/>
        <w:overflowPunct w:val="0"/>
        <w:ind w:left="0"/>
        <w:rPr>
          <w:rFonts w:ascii="Times New Roman" w:hAnsi="Times New Roman" w:eastAsia="Times New Roman"/>
          <w:color w:val="auto"/>
          <w:sz w:val="20"/>
          <w:highlight w:val="none"/>
        </w:rPr>
      </w:pPr>
    </w:p>
    <w:p w14:paraId="7389F9EA">
      <w:pPr>
        <w:pStyle w:val="2"/>
        <w:kinsoku w:val="0"/>
        <w:overflowPunct w:val="0"/>
        <w:ind w:left="0"/>
        <w:rPr>
          <w:rFonts w:ascii="Times New Roman" w:hAnsi="Times New Roman" w:eastAsia="Times New Roman"/>
          <w:color w:val="auto"/>
          <w:sz w:val="20"/>
          <w:highlight w:val="none"/>
        </w:rPr>
      </w:pPr>
    </w:p>
    <w:p w14:paraId="11DE3455">
      <w:pPr>
        <w:pStyle w:val="2"/>
        <w:kinsoku w:val="0"/>
        <w:overflowPunct w:val="0"/>
        <w:ind w:left="0"/>
        <w:rPr>
          <w:rFonts w:ascii="Times New Roman" w:hAnsi="Times New Roman" w:eastAsia="Times New Roman"/>
          <w:color w:val="auto"/>
          <w:sz w:val="20"/>
          <w:highlight w:val="none"/>
        </w:rPr>
      </w:pPr>
    </w:p>
    <w:p w14:paraId="0A7CB19E">
      <w:pPr>
        <w:pStyle w:val="2"/>
        <w:kinsoku w:val="0"/>
        <w:overflowPunct w:val="0"/>
        <w:ind w:left="0"/>
        <w:rPr>
          <w:rFonts w:ascii="Times New Roman" w:hAnsi="Times New Roman" w:eastAsia="Times New Roman"/>
          <w:color w:val="auto"/>
          <w:sz w:val="20"/>
          <w:highlight w:val="none"/>
        </w:rPr>
      </w:pPr>
    </w:p>
    <w:p w14:paraId="2668D217">
      <w:pPr>
        <w:pStyle w:val="2"/>
        <w:kinsoku w:val="0"/>
        <w:overflowPunct w:val="0"/>
        <w:ind w:left="0"/>
        <w:rPr>
          <w:rFonts w:ascii="Times New Roman" w:hAnsi="Times New Roman" w:eastAsia="Times New Roman"/>
          <w:color w:val="auto"/>
          <w:sz w:val="20"/>
          <w:highlight w:val="none"/>
        </w:rPr>
      </w:pPr>
    </w:p>
    <w:p w14:paraId="4A8EBACA">
      <w:pPr>
        <w:pStyle w:val="2"/>
        <w:kinsoku w:val="0"/>
        <w:overflowPunct w:val="0"/>
        <w:spacing w:before="11"/>
        <w:ind w:left="0"/>
        <w:rPr>
          <w:rFonts w:ascii="Times New Roman" w:hAnsi="Times New Roman" w:eastAsia="Times New Roman"/>
          <w:color w:val="auto"/>
          <w:sz w:val="27"/>
          <w:highlight w:val="none"/>
        </w:rPr>
      </w:pPr>
    </w:p>
    <w:p w14:paraId="16F3B510">
      <w:pPr>
        <w:pStyle w:val="2"/>
        <w:kinsoku w:val="0"/>
        <w:overflowPunct w:val="0"/>
        <w:spacing w:line="384" w:lineRule="auto"/>
        <w:ind w:left="100" w:right="113" w:firstLine="419"/>
        <w:rPr>
          <w:color w:val="auto"/>
          <w:highlight w:val="none"/>
        </w:rPr>
      </w:pPr>
      <w:r>
        <w:rPr>
          <w:color w:val="auto"/>
          <w:spacing w:val="-1"/>
          <w:highlight w:val="none"/>
        </w:rPr>
        <w:t>上述问题澄清、说明或补正，不改变我方投标文件的实质性内容，构成我方投标文件的组</w:t>
      </w:r>
      <w:r>
        <w:rPr>
          <w:color w:val="auto"/>
          <w:highlight w:val="none"/>
        </w:rPr>
        <w:t xml:space="preserve"> 成部分。</w:t>
      </w:r>
    </w:p>
    <w:p w14:paraId="5A9D60F4">
      <w:pPr>
        <w:pStyle w:val="2"/>
        <w:kinsoku w:val="0"/>
        <w:overflowPunct w:val="0"/>
        <w:ind w:left="0"/>
        <w:rPr>
          <w:color w:val="auto"/>
          <w:sz w:val="20"/>
          <w:highlight w:val="none"/>
        </w:rPr>
      </w:pPr>
    </w:p>
    <w:p w14:paraId="230EF492">
      <w:pPr>
        <w:pStyle w:val="2"/>
        <w:kinsoku w:val="0"/>
        <w:overflowPunct w:val="0"/>
        <w:ind w:left="0"/>
        <w:rPr>
          <w:color w:val="auto"/>
          <w:sz w:val="20"/>
          <w:highlight w:val="none"/>
        </w:rPr>
      </w:pPr>
    </w:p>
    <w:p w14:paraId="10A51075">
      <w:pPr>
        <w:pStyle w:val="2"/>
        <w:kinsoku w:val="0"/>
        <w:overflowPunct w:val="0"/>
        <w:spacing w:before="6"/>
        <w:ind w:left="0"/>
        <w:rPr>
          <w:color w:val="auto"/>
          <w:sz w:val="19"/>
          <w:highlight w:val="none"/>
        </w:rPr>
      </w:pPr>
    </w:p>
    <w:p w14:paraId="49E3D3B4">
      <w:pPr>
        <w:pStyle w:val="2"/>
        <w:tabs>
          <w:tab w:val="left" w:pos="7382"/>
        </w:tabs>
        <w:kinsoku w:val="0"/>
        <w:overflowPunct w:val="0"/>
        <w:ind w:left="3043" w:right="113"/>
        <w:rPr>
          <w:color w:val="auto"/>
          <w:spacing w:val="-1"/>
          <w:highlight w:val="none"/>
        </w:rPr>
      </w:pPr>
      <w:r>
        <w:rPr>
          <w:color w:val="auto"/>
          <w:spacing w:val="-1"/>
          <w:highlight w:val="none"/>
        </w:rPr>
        <w:t>投标人：</w:t>
      </w:r>
      <w:r>
        <w:rPr>
          <w:rFonts w:hint="eastAsia" w:ascii="Times New Roman" w:hAnsi="Times New Roman" w:eastAsia="Times New Roman"/>
          <w:color w:val="auto"/>
          <w:spacing w:val="-1"/>
          <w:highlight w:val="none"/>
          <w:u w:val="single"/>
        </w:rPr>
        <w:tab/>
      </w:r>
      <w:r>
        <w:rPr>
          <w:color w:val="auto"/>
          <w:spacing w:val="-1"/>
          <w:highlight w:val="none"/>
        </w:rPr>
        <w:t>（盖单位章）</w:t>
      </w:r>
    </w:p>
    <w:p w14:paraId="629BDE08">
      <w:pPr>
        <w:pStyle w:val="2"/>
        <w:kinsoku w:val="0"/>
        <w:overflowPunct w:val="0"/>
        <w:spacing w:before="11"/>
        <w:ind w:left="0"/>
        <w:rPr>
          <w:color w:val="auto"/>
          <w:sz w:val="17"/>
          <w:highlight w:val="none"/>
        </w:rPr>
      </w:pPr>
    </w:p>
    <w:p w14:paraId="3FC5AE9B">
      <w:pPr>
        <w:pStyle w:val="2"/>
        <w:tabs>
          <w:tab w:val="left" w:pos="6612"/>
        </w:tabs>
        <w:kinsoku w:val="0"/>
        <w:overflowPunct w:val="0"/>
        <w:spacing w:before="36"/>
        <w:ind w:left="3041" w:right="113"/>
        <w:rPr>
          <w:color w:val="auto"/>
          <w:spacing w:val="-2"/>
          <w:highlight w:val="none"/>
        </w:rPr>
      </w:pPr>
      <w:r>
        <w:rPr>
          <w:color w:val="auto"/>
          <w:spacing w:val="-2"/>
          <w:highlight w:val="none"/>
        </w:rPr>
        <w:t>法定代表人或其委托代理人：</w:t>
      </w:r>
      <w:r>
        <w:rPr>
          <w:rFonts w:hint="eastAsia" w:ascii="Times New Roman" w:hAnsi="Times New Roman" w:eastAsia="Times New Roman"/>
          <w:color w:val="auto"/>
          <w:spacing w:val="-2"/>
          <w:highlight w:val="none"/>
          <w:u w:val="single"/>
        </w:rPr>
        <w:tab/>
      </w:r>
      <w:r>
        <w:rPr>
          <w:color w:val="auto"/>
          <w:spacing w:val="-2"/>
          <w:highlight w:val="none"/>
        </w:rPr>
        <w:t>（签字）</w:t>
      </w:r>
    </w:p>
    <w:p w14:paraId="2203779C">
      <w:pPr>
        <w:pStyle w:val="2"/>
        <w:kinsoku w:val="0"/>
        <w:overflowPunct w:val="0"/>
        <w:ind w:left="0"/>
        <w:rPr>
          <w:color w:val="auto"/>
          <w:sz w:val="20"/>
          <w:highlight w:val="none"/>
        </w:rPr>
      </w:pPr>
    </w:p>
    <w:p w14:paraId="1F7BD240">
      <w:pPr>
        <w:pStyle w:val="2"/>
        <w:kinsoku w:val="0"/>
        <w:overflowPunct w:val="0"/>
        <w:ind w:left="0"/>
        <w:rPr>
          <w:color w:val="auto"/>
          <w:sz w:val="20"/>
          <w:highlight w:val="none"/>
        </w:rPr>
      </w:pPr>
    </w:p>
    <w:p w14:paraId="01EFF8A2">
      <w:pPr>
        <w:pStyle w:val="2"/>
        <w:kinsoku w:val="0"/>
        <w:overflowPunct w:val="0"/>
        <w:spacing w:before="4"/>
        <w:ind w:left="0"/>
        <w:rPr>
          <w:color w:val="auto"/>
          <w:sz w:val="22"/>
          <w:highlight w:val="none"/>
        </w:rPr>
      </w:pPr>
    </w:p>
    <w:p w14:paraId="50AA1B93">
      <w:pPr>
        <w:pStyle w:val="2"/>
        <w:tabs>
          <w:tab w:val="left" w:pos="6434"/>
          <w:tab w:val="left" w:pos="7483"/>
          <w:tab w:val="left" w:pos="8533"/>
        </w:tabs>
        <w:kinsoku w:val="0"/>
        <w:overflowPunct w:val="0"/>
        <w:spacing w:before="36"/>
        <w:ind w:left="5595"/>
        <w:rPr>
          <w:color w:val="auto"/>
          <w:highlight w:val="none"/>
        </w:rPr>
        <w:sectPr>
          <w:pgSz w:w="11905" w:h="16838"/>
          <w:pgMar w:top="1417" w:right="1417" w:bottom="1417" w:left="1417" w:header="992" w:footer="992" w:gutter="0"/>
          <w:cols w:space="720" w:num="1"/>
        </w:sectPr>
      </w:pPr>
      <w:r>
        <w:rPr>
          <w:rFonts w:hint="eastAsia" w:ascii="Times New Roman" w:hAnsi="Times New Roman" w:eastAsia="Times New Roman"/>
          <w:color w:val="auto"/>
          <w:highlight w:val="none"/>
          <w:u w:val="single"/>
        </w:rPr>
        <w:t xml:space="preserve"> </w:t>
      </w:r>
      <w:r>
        <w:rPr>
          <w:rFonts w:hint="eastAsia" w:ascii="Times New Roman" w:hAnsi="Times New Roman" w:eastAsia="Times New Roman"/>
          <w:color w:val="auto"/>
          <w:highlight w:val="none"/>
          <w:u w:val="single"/>
        </w:rPr>
        <w:tab/>
      </w:r>
      <w:r>
        <w:rPr>
          <w:color w:val="auto"/>
          <w:spacing w:val="-3"/>
          <w:highlight w:val="none"/>
        </w:rPr>
        <w:t>年</w:t>
      </w:r>
      <w:r>
        <w:rPr>
          <w:rFonts w:hint="eastAsia" w:ascii="Times New Roman" w:hAnsi="Times New Roman" w:eastAsia="Times New Roman"/>
          <w:color w:val="auto"/>
          <w:spacing w:val="-3"/>
          <w:highlight w:val="none"/>
          <w:u w:val="single"/>
        </w:rPr>
        <w:tab/>
      </w:r>
      <w:r>
        <w:rPr>
          <w:color w:val="auto"/>
          <w:highlight w:val="none"/>
        </w:rPr>
        <w:t>月</w:t>
      </w:r>
      <w:r>
        <w:rPr>
          <w:rFonts w:hint="eastAsia" w:ascii="Times New Roman" w:hAnsi="Times New Roman" w:eastAsia="Times New Roman"/>
          <w:color w:val="auto"/>
          <w:highlight w:val="none"/>
          <w:u w:val="single"/>
        </w:rPr>
        <w:tab/>
      </w:r>
      <w:r>
        <w:rPr>
          <w:color w:val="auto"/>
          <w:highlight w:val="none"/>
        </w:rPr>
        <w:t>日</w:t>
      </w:r>
    </w:p>
    <w:p w14:paraId="3343CEFE">
      <w:pPr>
        <w:pStyle w:val="4"/>
        <w:rPr>
          <w:color w:val="auto"/>
          <w:sz w:val="57"/>
          <w:highlight w:val="none"/>
        </w:rPr>
      </w:pPr>
      <w:bookmarkStart w:id="89" w:name="bookmark79"/>
      <w:bookmarkEnd w:id="89"/>
      <w:bookmarkStart w:id="90" w:name="bookmark82"/>
      <w:bookmarkEnd w:id="90"/>
      <w:bookmarkStart w:id="91" w:name="_Toc23003"/>
      <w:r>
        <w:rPr>
          <w:rFonts w:cs="宋体"/>
          <w:color w:val="auto"/>
          <w:sz w:val="44"/>
          <w:highlight w:val="none"/>
        </w:rPr>
        <w:t>第三章 评标办法（综合评估法）</w:t>
      </w:r>
      <w:bookmarkEnd w:id="91"/>
    </w:p>
    <w:p w14:paraId="2F209311">
      <w:pPr>
        <w:pStyle w:val="5"/>
        <w:kinsoku w:val="0"/>
        <w:overflowPunct w:val="0"/>
        <w:spacing w:before="120" w:after="120"/>
        <w:ind w:left="120"/>
        <w:jc w:val="center"/>
        <w:rPr>
          <w:color w:val="auto"/>
          <w:sz w:val="32"/>
          <w:highlight w:val="none"/>
        </w:rPr>
      </w:pPr>
      <w:bookmarkStart w:id="92" w:name="bookmark83"/>
      <w:bookmarkEnd w:id="92"/>
      <w:bookmarkStart w:id="93" w:name="_Toc10305"/>
      <w:r>
        <w:rPr>
          <w:color w:val="auto"/>
          <w:sz w:val="32"/>
          <w:highlight w:val="none"/>
        </w:rPr>
        <w:t>评标办法前附表</w:t>
      </w:r>
      <w:bookmarkEnd w:id="93"/>
    </w:p>
    <w:tbl>
      <w:tblPr>
        <w:tblStyle w:val="26"/>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135"/>
        <w:gridCol w:w="2022"/>
        <w:gridCol w:w="5812"/>
      </w:tblGrid>
      <w:tr w14:paraId="6EE9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89" w:type="dxa"/>
            <w:gridSpan w:val="2"/>
            <w:noWrap w:val="0"/>
            <w:vAlign w:val="center"/>
          </w:tcPr>
          <w:p w14:paraId="40BC4FA5">
            <w:pPr>
              <w:spacing w:after="0" w:line="360" w:lineRule="auto"/>
              <w:jc w:val="center"/>
              <w:rPr>
                <w:rFonts w:hint="eastAsia" w:ascii="宋体" w:hAnsi="宋体" w:eastAsia="宋体" w:cs="宋体"/>
                <w:b/>
                <w:color w:val="auto"/>
                <w:sz w:val="21"/>
                <w:szCs w:val="21"/>
                <w:highlight w:val="none"/>
              </w:rPr>
            </w:pPr>
            <w:bookmarkStart w:id="94" w:name="bookmark84"/>
            <w:bookmarkEnd w:id="94"/>
            <w:r>
              <w:rPr>
                <w:rFonts w:hint="eastAsia" w:ascii="宋体" w:hAnsi="宋体" w:eastAsia="宋体" w:cs="宋体"/>
                <w:b/>
                <w:color w:val="auto"/>
                <w:sz w:val="21"/>
                <w:szCs w:val="21"/>
                <w:highlight w:val="none"/>
              </w:rPr>
              <w:t>条款号</w:t>
            </w:r>
          </w:p>
        </w:tc>
        <w:tc>
          <w:tcPr>
            <w:tcW w:w="2022" w:type="dxa"/>
            <w:noWrap w:val="0"/>
            <w:vAlign w:val="center"/>
          </w:tcPr>
          <w:p w14:paraId="7FA60EFA">
            <w:pPr>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812" w:type="dxa"/>
            <w:noWrap w:val="0"/>
            <w:vAlign w:val="center"/>
          </w:tcPr>
          <w:p w14:paraId="4B14369F">
            <w:pPr>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3918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954" w:type="dxa"/>
            <w:noWrap w:val="0"/>
            <w:vAlign w:val="center"/>
          </w:tcPr>
          <w:p w14:paraId="07CF4763">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5" w:type="dxa"/>
            <w:noWrap w:val="0"/>
            <w:vAlign w:val="center"/>
          </w:tcPr>
          <w:p w14:paraId="5B6852D2">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2022" w:type="dxa"/>
            <w:noWrap w:val="0"/>
            <w:vAlign w:val="center"/>
          </w:tcPr>
          <w:p w14:paraId="38E60872">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5812" w:type="dxa"/>
            <w:noWrap w:val="0"/>
            <w:vAlign w:val="center"/>
          </w:tcPr>
          <w:p w14:paraId="3DDB36E2">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满足招标文件实质性要求的投标文件，按照本章第2.2款规定的评分标准进行打分，并按得分由高到低顺序推荐中标候选人，排序的前一～三名为第一中标候选人、第二中标候选人和第三中标候选人。总分相等时，以投标报价低的优先；投标报价也相等的，以监理大纲得分高的优先；如果监理大纲得分也相等，由评标委员会采用记名投票方式，以得票多的优先。</w:t>
            </w:r>
          </w:p>
        </w:tc>
      </w:tr>
      <w:tr w14:paraId="1659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54" w:type="dxa"/>
            <w:vMerge w:val="restart"/>
            <w:noWrap w:val="0"/>
            <w:vAlign w:val="center"/>
          </w:tcPr>
          <w:p w14:paraId="3F056A76">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135" w:type="dxa"/>
            <w:vMerge w:val="restart"/>
            <w:noWrap w:val="0"/>
            <w:vAlign w:val="center"/>
          </w:tcPr>
          <w:p w14:paraId="3D671B0E">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022" w:type="dxa"/>
            <w:noWrap w:val="0"/>
            <w:vAlign w:val="center"/>
          </w:tcPr>
          <w:p w14:paraId="1BE1ED83">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812" w:type="dxa"/>
            <w:noWrap w:val="0"/>
            <w:vAlign w:val="center"/>
          </w:tcPr>
          <w:p w14:paraId="79A2570F">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14:paraId="70A9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954" w:type="dxa"/>
            <w:vMerge w:val="continue"/>
            <w:noWrap w:val="0"/>
            <w:vAlign w:val="center"/>
          </w:tcPr>
          <w:p w14:paraId="5FADB7E4">
            <w:pPr>
              <w:spacing w:after="0" w:line="360" w:lineRule="auto"/>
              <w:rPr>
                <w:rFonts w:hint="eastAsia" w:ascii="宋体" w:hAnsi="宋体" w:eastAsia="宋体" w:cs="宋体"/>
                <w:color w:val="auto"/>
                <w:sz w:val="21"/>
                <w:szCs w:val="21"/>
                <w:highlight w:val="none"/>
              </w:rPr>
            </w:pPr>
          </w:p>
        </w:tc>
        <w:tc>
          <w:tcPr>
            <w:tcW w:w="1135" w:type="dxa"/>
            <w:vMerge w:val="continue"/>
            <w:noWrap w:val="0"/>
            <w:vAlign w:val="center"/>
          </w:tcPr>
          <w:p w14:paraId="5A599BAC">
            <w:pPr>
              <w:keepNext/>
              <w:keepLines/>
              <w:spacing w:after="0" w:line="360" w:lineRule="auto"/>
              <w:ind w:firstLine="102" w:firstLineChars="49"/>
              <w:rPr>
                <w:rFonts w:hint="eastAsia" w:ascii="宋体" w:hAnsi="宋体" w:eastAsia="宋体" w:cs="宋体"/>
                <w:color w:val="auto"/>
                <w:sz w:val="21"/>
                <w:szCs w:val="21"/>
                <w:highlight w:val="none"/>
              </w:rPr>
            </w:pPr>
          </w:p>
        </w:tc>
        <w:tc>
          <w:tcPr>
            <w:tcW w:w="2022" w:type="dxa"/>
            <w:noWrap w:val="0"/>
            <w:vAlign w:val="center"/>
          </w:tcPr>
          <w:p w14:paraId="3A64E3E5">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投标函及投标函附录签字盖章</w:t>
            </w:r>
          </w:p>
        </w:tc>
        <w:tc>
          <w:tcPr>
            <w:tcW w:w="5812" w:type="dxa"/>
            <w:noWrap w:val="0"/>
            <w:vAlign w:val="center"/>
          </w:tcPr>
          <w:p w14:paraId="2AE9B2F9">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有法定代表人或其委托代理人签字或加盖单位章。由法定代表人签字的，应附法定代表人身份证明，由代理人签字的，应附授权委托书，身份证明或授权委托书应符合第六章“投标文件格式”的规定。</w:t>
            </w:r>
          </w:p>
        </w:tc>
      </w:tr>
      <w:tr w14:paraId="405B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954" w:type="dxa"/>
            <w:vMerge w:val="continue"/>
            <w:noWrap w:val="0"/>
            <w:vAlign w:val="center"/>
          </w:tcPr>
          <w:p w14:paraId="64C5E493">
            <w:pPr>
              <w:spacing w:after="0" w:line="360" w:lineRule="auto"/>
              <w:rPr>
                <w:rFonts w:hint="eastAsia" w:ascii="宋体" w:hAnsi="宋体" w:eastAsia="宋体" w:cs="宋体"/>
                <w:color w:val="auto"/>
                <w:sz w:val="21"/>
                <w:szCs w:val="21"/>
                <w:highlight w:val="none"/>
              </w:rPr>
            </w:pPr>
          </w:p>
        </w:tc>
        <w:tc>
          <w:tcPr>
            <w:tcW w:w="1135" w:type="dxa"/>
            <w:vMerge w:val="continue"/>
            <w:noWrap w:val="0"/>
            <w:vAlign w:val="center"/>
          </w:tcPr>
          <w:p w14:paraId="71652833">
            <w:pPr>
              <w:keepNext/>
              <w:keepLines/>
              <w:spacing w:after="0" w:line="360" w:lineRule="auto"/>
              <w:ind w:firstLine="102" w:firstLineChars="49"/>
              <w:rPr>
                <w:rFonts w:hint="eastAsia" w:ascii="宋体" w:hAnsi="宋体" w:eastAsia="宋体" w:cs="宋体"/>
                <w:color w:val="auto"/>
                <w:sz w:val="21"/>
                <w:szCs w:val="21"/>
                <w:highlight w:val="none"/>
              </w:rPr>
            </w:pPr>
          </w:p>
        </w:tc>
        <w:tc>
          <w:tcPr>
            <w:tcW w:w="2022" w:type="dxa"/>
            <w:noWrap w:val="0"/>
            <w:vAlign w:val="center"/>
          </w:tcPr>
          <w:p w14:paraId="3094BA4C">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812" w:type="dxa"/>
            <w:noWrap w:val="0"/>
            <w:vAlign w:val="center"/>
          </w:tcPr>
          <w:p w14:paraId="4E925A43">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投标函及投标函附录符合第六章“投标文件格式”的规定。</w:t>
            </w:r>
          </w:p>
        </w:tc>
      </w:tr>
      <w:tr w14:paraId="4004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54" w:type="dxa"/>
            <w:vMerge w:val="continue"/>
            <w:noWrap w:val="0"/>
            <w:vAlign w:val="center"/>
          </w:tcPr>
          <w:p w14:paraId="45E5AB05">
            <w:pPr>
              <w:spacing w:after="0" w:line="360" w:lineRule="auto"/>
              <w:rPr>
                <w:rFonts w:hint="eastAsia" w:ascii="宋体" w:hAnsi="宋体" w:eastAsia="宋体" w:cs="宋体"/>
                <w:color w:val="auto"/>
                <w:sz w:val="21"/>
                <w:szCs w:val="21"/>
                <w:highlight w:val="none"/>
              </w:rPr>
            </w:pPr>
          </w:p>
        </w:tc>
        <w:tc>
          <w:tcPr>
            <w:tcW w:w="1135" w:type="dxa"/>
            <w:vMerge w:val="continue"/>
            <w:noWrap w:val="0"/>
            <w:vAlign w:val="center"/>
          </w:tcPr>
          <w:p w14:paraId="6FD26EE1">
            <w:pPr>
              <w:spacing w:after="0" w:line="360" w:lineRule="auto"/>
              <w:rPr>
                <w:rFonts w:hint="eastAsia" w:ascii="宋体" w:hAnsi="宋体" w:eastAsia="宋体" w:cs="宋体"/>
                <w:color w:val="auto"/>
                <w:sz w:val="21"/>
                <w:szCs w:val="21"/>
                <w:highlight w:val="none"/>
              </w:rPr>
            </w:pPr>
          </w:p>
        </w:tc>
        <w:tc>
          <w:tcPr>
            <w:tcW w:w="2022" w:type="dxa"/>
            <w:noWrap w:val="0"/>
            <w:vAlign w:val="center"/>
          </w:tcPr>
          <w:p w14:paraId="1C032330">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812" w:type="dxa"/>
            <w:noWrap w:val="0"/>
            <w:vAlign w:val="center"/>
          </w:tcPr>
          <w:p w14:paraId="0E17F818">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ABC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954" w:type="dxa"/>
            <w:vMerge w:val="continue"/>
            <w:noWrap w:val="0"/>
            <w:vAlign w:val="center"/>
          </w:tcPr>
          <w:p w14:paraId="07393931">
            <w:pPr>
              <w:spacing w:after="0" w:line="360" w:lineRule="auto"/>
              <w:rPr>
                <w:rFonts w:hint="eastAsia" w:ascii="宋体" w:hAnsi="宋体" w:eastAsia="宋体" w:cs="宋体"/>
                <w:color w:val="auto"/>
                <w:sz w:val="21"/>
                <w:szCs w:val="21"/>
                <w:highlight w:val="none"/>
              </w:rPr>
            </w:pPr>
          </w:p>
        </w:tc>
        <w:tc>
          <w:tcPr>
            <w:tcW w:w="1135" w:type="dxa"/>
            <w:vMerge w:val="continue"/>
            <w:noWrap w:val="0"/>
            <w:vAlign w:val="center"/>
          </w:tcPr>
          <w:p w14:paraId="609A37C5">
            <w:pPr>
              <w:spacing w:after="0" w:line="360" w:lineRule="auto"/>
              <w:rPr>
                <w:rFonts w:hint="eastAsia" w:ascii="宋体" w:hAnsi="宋体" w:eastAsia="宋体" w:cs="宋体"/>
                <w:color w:val="auto"/>
                <w:sz w:val="21"/>
                <w:szCs w:val="21"/>
                <w:highlight w:val="none"/>
              </w:rPr>
            </w:pPr>
          </w:p>
        </w:tc>
        <w:tc>
          <w:tcPr>
            <w:tcW w:w="2022" w:type="dxa"/>
            <w:noWrap w:val="0"/>
            <w:vAlign w:val="center"/>
          </w:tcPr>
          <w:p w14:paraId="56AB94FD">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投标人机器码</w:t>
            </w:r>
          </w:p>
        </w:tc>
        <w:tc>
          <w:tcPr>
            <w:tcW w:w="5812" w:type="dxa"/>
            <w:noWrap w:val="0"/>
            <w:vAlign w:val="center"/>
          </w:tcPr>
          <w:p w14:paraId="79C2568E">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投标人与其他投标人加密打包投标文件电脑特征码不一致（以广州公共资源交易中心评标系统的检索信息为准）。</w:t>
            </w:r>
          </w:p>
        </w:tc>
      </w:tr>
      <w:tr w14:paraId="0E3B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954" w:type="dxa"/>
            <w:vMerge w:val="restart"/>
            <w:noWrap w:val="0"/>
            <w:vAlign w:val="center"/>
          </w:tcPr>
          <w:p w14:paraId="5D86576F">
            <w:pPr>
              <w:spacing w:after="0" w:line="360" w:lineRule="auto"/>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2.1.2</w:t>
            </w:r>
          </w:p>
        </w:tc>
        <w:tc>
          <w:tcPr>
            <w:tcW w:w="1135" w:type="dxa"/>
            <w:vMerge w:val="restart"/>
            <w:noWrap w:val="0"/>
            <w:vAlign w:val="center"/>
          </w:tcPr>
          <w:p w14:paraId="3EEBBE20">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022" w:type="dxa"/>
            <w:noWrap w:val="0"/>
            <w:vAlign w:val="center"/>
          </w:tcPr>
          <w:p w14:paraId="0318D697">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5812" w:type="dxa"/>
            <w:noWrap w:val="0"/>
            <w:vAlign w:val="center"/>
          </w:tcPr>
          <w:p w14:paraId="4D2DBA11">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具备有效的营业执照。</w:t>
            </w:r>
          </w:p>
        </w:tc>
      </w:tr>
      <w:tr w14:paraId="292C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954" w:type="dxa"/>
            <w:vMerge w:val="continue"/>
            <w:noWrap w:val="0"/>
            <w:vAlign w:val="center"/>
          </w:tcPr>
          <w:p w14:paraId="39F6A0B6">
            <w:pPr>
              <w:spacing w:after="0" w:line="360" w:lineRule="auto"/>
              <w:rPr>
                <w:rFonts w:hint="eastAsia" w:ascii="宋体" w:hAnsi="宋体" w:eastAsia="宋体" w:cs="宋体"/>
                <w:color w:val="auto"/>
                <w:sz w:val="21"/>
                <w:szCs w:val="21"/>
                <w:highlight w:val="none"/>
              </w:rPr>
            </w:pPr>
          </w:p>
        </w:tc>
        <w:tc>
          <w:tcPr>
            <w:tcW w:w="1135" w:type="dxa"/>
            <w:vMerge w:val="continue"/>
            <w:noWrap w:val="0"/>
            <w:vAlign w:val="center"/>
          </w:tcPr>
          <w:p w14:paraId="34646025">
            <w:pPr>
              <w:spacing w:after="0" w:line="360" w:lineRule="auto"/>
              <w:rPr>
                <w:rFonts w:hint="eastAsia" w:ascii="宋体" w:hAnsi="宋体" w:eastAsia="宋体" w:cs="宋体"/>
                <w:color w:val="auto"/>
                <w:sz w:val="21"/>
                <w:szCs w:val="21"/>
                <w:highlight w:val="none"/>
              </w:rPr>
            </w:pPr>
          </w:p>
        </w:tc>
        <w:tc>
          <w:tcPr>
            <w:tcW w:w="2022" w:type="dxa"/>
            <w:noWrap w:val="0"/>
            <w:vAlign w:val="center"/>
          </w:tcPr>
          <w:p w14:paraId="0A71F0B2">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5812" w:type="dxa"/>
            <w:noWrap w:val="0"/>
            <w:vAlign w:val="center"/>
          </w:tcPr>
          <w:p w14:paraId="15C64907">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 。</w:t>
            </w:r>
          </w:p>
        </w:tc>
      </w:tr>
      <w:tr w14:paraId="18EC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54" w:type="dxa"/>
            <w:vMerge w:val="continue"/>
            <w:noWrap w:val="0"/>
            <w:vAlign w:val="center"/>
          </w:tcPr>
          <w:p w14:paraId="5ABFD769">
            <w:pPr>
              <w:keepNext/>
              <w:keepLines/>
              <w:spacing w:after="0" w:line="360" w:lineRule="auto"/>
              <w:ind w:firstLine="102" w:firstLineChars="49"/>
              <w:rPr>
                <w:rFonts w:hint="eastAsia" w:ascii="宋体" w:hAnsi="宋体" w:eastAsia="宋体" w:cs="宋体"/>
                <w:strike/>
                <w:color w:val="auto"/>
                <w:sz w:val="21"/>
                <w:szCs w:val="21"/>
                <w:highlight w:val="none"/>
              </w:rPr>
            </w:pPr>
          </w:p>
        </w:tc>
        <w:tc>
          <w:tcPr>
            <w:tcW w:w="1135" w:type="dxa"/>
            <w:vMerge w:val="continue"/>
            <w:noWrap w:val="0"/>
            <w:vAlign w:val="center"/>
          </w:tcPr>
          <w:p w14:paraId="3C363841">
            <w:pPr>
              <w:keepNext/>
              <w:keepLines/>
              <w:spacing w:after="0" w:line="360" w:lineRule="auto"/>
              <w:ind w:firstLine="102" w:firstLineChars="49"/>
              <w:rPr>
                <w:rFonts w:hint="eastAsia" w:ascii="宋体" w:hAnsi="宋体" w:eastAsia="宋体" w:cs="宋体"/>
                <w:strike/>
                <w:color w:val="auto"/>
                <w:sz w:val="21"/>
                <w:szCs w:val="21"/>
                <w:highlight w:val="none"/>
              </w:rPr>
            </w:pPr>
          </w:p>
        </w:tc>
        <w:tc>
          <w:tcPr>
            <w:tcW w:w="2022" w:type="dxa"/>
            <w:noWrap w:val="0"/>
            <w:vAlign w:val="center"/>
          </w:tcPr>
          <w:p w14:paraId="3D393FDB">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5812" w:type="dxa"/>
            <w:noWrap w:val="0"/>
            <w:vAlign w:val="center"/>
          </w:tcPr>
          <w:p w14:paraId="790A22EA">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6741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54" w:type="dxa"/>
            <w:vMerge w:val="continue"/>
            <w:noWrap w:val="0"/>
            <w:vAlign w:val="center"/>
          </w:tcPr>
          <w:p w14:paraId="71BFCBBC">
            <w:pPr>
              <w:keepNext/>
              <w:keepLines/>
              <w:spacing w:after="0" w:line="360" w:lineRule="auto"/>
              <w:ind w:firstLine="102" w:firstLineChars="49"/>
              <w:rPr>
                <w:rFonts w:hint="eastAsia" w:ascii="宋体" w:hAnsi="宋体" w:eastAsia="宋体" w:cs="宋体"/>
                <w:strike/>
                <w:color w:val="auto"/>
                <w:sz w:val="21"/>
                <w:szCs w:val="21"/>
                <w:highlight w:val="none"/>
              </w:rPr>
            </w:pPr>
          </w:p>
        </w:tc>
        <w:tc>
          <w:tcPr>
            <w:tcW w:w="1135" w:type="dxa"/>
            <w:vMerge w:val="continue"/>
            <w:noWrap w:val="0"/>
            <w:vAlign w:val="center"/>
          </w:tcPr>
          <w:p w14:paraId="7277087A">
            <w:pPr>
              <w:keepNext/>
              <w:keepLines/>
              <w:spacing w:after="0" w:line="360" w:lineRule="auto"/>
              <w:ind w:firstLine="102" w:firstLineChars="49"/>
              <w:rPr>
                <w:rFonts w:hint="eastAsia" w:ascii="宋体" w:hAnsi="宋体" w:eastAsia="宋体" w:cs="宋体"/>
                <w:strike/>
                <w:color w:val="auto"/>
                <w:sz w:val="21"/>
                <w:szCs w:val="21"/>
                <w:highlight w:val="none"/>
              </w:rPr>
            </w:pPr>
          </w:p>
        </w:tc>
        <w:tc>
          <w:tcPr>
            <w:tcW w:w="2022" w:type="dxa"/>
            <w:noWrap w:val="0"/>
            <w:vAlign w:val="center"/>
          </w:tcPr>
          <w:p w14:paraId="456895A8">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5812" w:type="dxa"/>
            <w:noWrap w:val="0"/>
            <w:vAlign w:val="center"/>
          </w:tcPr>
          <w:p w14:paraId="7416B416">
            <w:pPr>
              <w:spacing w:after="0" w:line="34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rPr>
              <w:t>符合第二章“投标人须知”第1.4.1项规定。</w:t>
            </w:r>
          </w:p>
        </w:tc>
      </w:tr>
      <w:tr w14:paraId="2AB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4" w:type="dxa"/>
            <w:vMerge w:val="continue"/>
            <w:noWrap w:val="0"/>
            <w:vAlign w:val="center"/>
          </w:tcPr>
          <w:p w14:paraId="3C397FBA">
            <w:pPr>
              <w:keepNext/>
              <w:keepLines/>
              <w:spacing w:after="0" w:line="360" w:lineRule="auto"/>
              <w:ind w:firstLine="102" w:firstLineChars="49"/>
              <w:rPr>
                <w:rFonts w:hint="eastAsia" w:ascii="宋体" w:hAnsi="宋体" w:eastAsia="宋体" w:cs="宋体"/>
                <w:strike/>
                <w:color w:val="auto"/>
                <w:sz w:val="21"/>
                <w:szCs w:val="21"/>
                <w:highlight w:val="none"/>
              </w:rPr>
            </w:pPr>
          </w:p>
        </w:tc>
        <w:tc>
          <w:tcPr>
            <w:tcW w:w="1135" w:type="dxa"/>
            <w:vMerge w:val="continue"/>
            <w:noWrap w:val="0"/>
            <w:vAlign w:val="center"/>
          </w:tcPr>
          <w:p w14:paraId="41CE12E7">
            <w:pPr>
              <w:keepNext/>
              <w:keepLines/>
              <w:spacing w:after="0" w:line="360" w:lineRule="auto"/>
              <w:ind w:firstLine="102" w:firstLineChars="49"/>
              <w:rPr>
                <w:rFonts w:hint="eastAsia" w:ascii="宋体" w:hAnsi="宋体" w:eastAsia="宋体" w:cs="宋体"/>
                <w:strike/>
                <w:color w:val="auto"/>
                <w:sz w:val="21"/>
                <w:szCs w:val="21"/>
                <w:highlight w:val="none"/>
              </w:rPr>
            </w:pPr>
          </w:p>
        </w:tc>
        <w:tc>
          <w:tcPr>
            <w:tcW w:w="2022" w:type="dxa"/>
            <w:noWrap w:val="0"/>
            <w:vAlign w:val="center"/>
          </w:tcPr>
          <w:p w14:paraId="3C8C0B15">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5812" w:type="dxa"/>
            <w:noWrap w:val="0"/>
            <w:vAlign w:val="center"/>
          </w:tcPr>
          <w:p w14:paraId="6ECDFC3C">
            <w:pPr>
              <w:spacing w:after="0" w:line="24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符合第二章“投标人须知”第1.4.2项规定</w:t>
            </w:r>
            <w:r>
              <w:rPr>
                <w:rFonts w:hint="eastAsia" w:ascii="宋体" w:hAnsi="宋体" w:cs="宋体"/>
                <w:color w:val="auto"/>
                <w:sz w:val="21"/>
                <w:szCs w:val="21"/>
                <w:highlight w:val="none"/>
                <w:lang w:eastAsia="zh-CN"/>
              </w:rPr>
              <w:t>。</w:t>
            </w:r>
          </w:p>
        </w:tc>
      </w:tr>
      <w:tr w14:paraId="67B4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4" w:type="dxa"/>
            <w:vMerge w:val="continue"/>
            <w:noWrap w:val="0"/>
            <w:vAlign w:val="center"/>
          </w:tcPr>
          <w:p w14:paraId="11CDD147">
            <w:pPr>
              <w:keepNext/>
              <w:keepLines/>
              <w:spacing w:after="0" w:line="360" w:lineRule="auto"/>
              <w:ind w:firstLine="102" w:firstLineChars="49"/>
              <w:rPr>
                <w:rFonts w:hint="eastAsia" w:ascii="宋体" w:hAnsi="宋体" w:eastAsia="宋体" w:cs="宋体"/>
                <w:strike/>
                <w:color w:val="auto"/>
                <w:sz w:val="21"/>
                <w:szCs w:val="21"/>
                <w:highlight w:val="none"/>
              </w:rPr>
            </w:pPr>
          </w:p>
        </w:tc>
        <w:tc>
          <w:tcPr>
            <w:tcW w:w="1135" w:type="dxa"/>
            <w:vMerge w:val="continue"/>
            <w:noWrap w:val="0"/>
            <w:vAlign w:val="center"/>
          </w:tcPr>
          <w:p w14:paraId="7556225B">
            <w:pPr>
              <w:keepNext/>
              <w:keepLines/>
              <w:spacing w:after="0" w:line="360" w:lineRule="auto"/>
              <w:ind w:firstLine="102" w:firstLineChars="49"/>
              <w:rPr>
                <w:rFonts w:hint="eastAsia" w:ascii="宋体" w:hAnsi="宋体" w:eastAsia="宋体" w:cs="宋体"/>
                <w:strike/>
                <w:color w:val="auto"/>
                <w:sz w:val="21"/>
                <w:szCs w:val="21"/>
                <w:highlight w:val="none"/>
              </w:rPr>
            </w:pPr>
          </w:p>
        </w:tc>
        <w:tc>
          <w:tcPr>
            <w:tcW w:w="2022" w:type="dxa"/>
            <w:noWrap w:val="0"/>
            <w:vAlign w:val="center"/>
          </w:tcPr>
          <w:p w14:paraId="5E1F7C1C">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联合惩戒</w:t>
            </w:r>
          </w:p>
        </w:tc>
        <w:tc>
          <w:tcPr>
            <w:tcW w:w="5812" w:type="dxa"/>
            <w:noWrap w:val="0"/>
            <w:vAlign w:val="center"/>
          </w:tcPr>
          <w:p w14:paraId="63514A70">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未被列入拖欠农民工工资失信联合惩戒对象名单(本项评审投标人无需提供资料，按广州公共资源交易中心交易系统比对的结果进行评审)。</w:t>
            </w:r>
          </w:p>
        </w:tc>
      </w:tr>
      <w:tr w14:paraId="7CAF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54" w:type="dxa"/>
            <w:vMerge w:val="restart"/>
            <w:noWrap w:val="0"/>
            <w:vAlign w:val="center"/>
          </w:tcPr>
          <w:p w14:paraId="41598327">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135" w:type="dxa"/>
            <w:vMerge w:val="restart"/>
            <w:noWrap w:val="0"/>
            <w:vAlign w:val="center"/>
          </w:tcPr>
          <w:p w14:paraId="7FF4C38C">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022" w:type="dxa"/>
            <w:noWrap w:val="0"/>
            <w:vAlign w:val="center"/>
          </w:tcPr>
          <w:p w14:paraId="159145F1">
            <w:pPr>
              <w:spacing w:after="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投标文件</w:t>
            </w:r>
          </w:p>
        </w:tc>
        <w:tc>
          <w:tcPr>
            <w:tcW w:w="5812" w:type="dxa"/>
            <w:noWrap w:val="0"/>
            <w:vAlign w:val="center"/>
          </w:tcPr>
          <w:p w14:paraId="796034B7">
            <w:pPr>
              <w:spacing w:after="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投标文件所列投标人名称、项目（总监）负责人与投标登记时一致。</w:t>
            </w:r>
          </w:p>
        </w:tc>
      </w:tr>
      <w:tr w14:paraId="2D3B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954" w:type="dxa"/>
            <w:vMerge w:val="continue"/>
            <w:noWrap w:val="0"/>
            <w:vAlign w:val="center"/>
          </w:tcPr>
          <w:p w14:paraId="78CD9E16">
            <w:pPr>
              <w:spacing w:after="0" w:line="360" w:lineRule="auto"/>
              <w:rPr>
                <w:rFonts w:hint="eastAsia" w:ascii="宋体" w:hAnsi="宋体" w:eastAsia="宋体" w:cs="宋体"/>
                <w:color w:val="auto"/>
                <w:sz w:val="21"/>
                <w:szCs w:val="21"/>
                <w:highlight w:val="none"/>
              </w:rPr>
            </w:pPr>
          </w:p>
        </w:tc>
        <w:tc>
          <w:tcPr>
            <w:tcW w:w="1135" w:type="dxa"/>
            <w:vMerge w:val="continue"/>
            <w:noWrap w:val="0"/>
            <w:vAlign w:val="center"/>
          </w:tcPr>
          <w:p w14:paraId="114795D1">
            <w:pPr>
              <w:spacing w:after="0" w:line="360" w:lineRule="auto"/>
              <w:rPr>
                <w:rFonts w:hint="eastAsia" w:ascii="宋体" w:hAnsi="宋体" w:eastAsia="宋体" w:cs="宋体"/>
                <w:color w:val="auto"/>
                <w:sz w:val="21"/>
                <w:szCs w:val="21"/>
                <w:highlight w:val="none"/>
              </w:rPr>
            </w:pPr>
          </w:p>
        </w:tc>
        <w:tc>
          <w:tcPr>
            <w:tcW w:w="2022" w:type="dxa"/>
            <w:noWrap w:val="0"/>
            <w:vAlign w:val="center"/>
          </w:tcPr>
          <w:p w14:paraId="5D355766">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812" w:type="dxa"/>
            <w:noWrap w:val="0"/>
            <w:vAlign w:val="center"/>
          </w:tcPr>
          <w:p w14:paraId="15BCAF5E">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符合第二章“投标人须知”第3.2款规定</w:t>
            </w:r>
            <w:r>
              <w:rPr>
                <w:rFonts w:hint="eastAsia" w:ascii="宋体" w:hAnsi="宋体" w:eastAsia="宋体" w:cs="宋体"/>
                <w:color w:val="auto"/>
                <w:sz w:val="21"/>
                <w:szCs w:val="21"/>
                <w:highlight w:val="none"/>
                <w:u w:val="single"/>
              </w:rPr>
              <w:t>进行投标报价的；对同一招标项目没有出现两个或以上的投标报价，且修正无依据</w:t>
            </w:r>
            <w:r>
              <w:rPr>
                <w:rFonts w:hint="eastAsia" w:ascii="宋体" w:hAnsi="宋体" w:eastAsia="宋体" w:cs="宋体"/>
                <w:color w:val="auto"/>
                <w:sz w:val="21"/>
                <w:szCs w:val="21"/>
                <w:highlight w:val="none"/>
              </w:rPr>
              <w:t>。</w:t>
            </w:r>
          </w:p>
        </w:tc>
      </w:tr>
      <w:tr w14:paraId="37F0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954" w:type="dxa"/>
            <w:vMerge w:val="continue"/>
            <w:noWrap w:val="0"/>
            <w:vAlign w:val="center"/>
          </w:tcPr>
          <w:p w14:paraId="05B67B03">
            <w:pPr>
              <w:spacing w:after="0" w:line="360" w:lineRule="auto"/>
              <w:rPr>
                <w:rFonts w:hint="eastAsia" w:ascii="宋体" w:hAnsi="宋体" w:eastAsia="宋体" w:cs="宋体"/>
                <w:color w:val="auto"/>
                <w:sz w:val="21"/>
                <w:szCs w:val="21"/>
                <w:highlight w:val="none"/>
              </w:rPr>
            </w:pPr>
          </w:p>
        </w:tc>
        <w:tc>
          <w:tcPr>
            <w:tcW w:w="1135" w:type="dxa"/>
            <w:vMerge w:val="continue"/>
            <w:noWrap w:val="0"/>
            <w:vAlign w:val="center"/>
          </w:tcPr>
          <w:p w14:paraId="5ACC3E55">
            <w:pPr>
              <w:spacing w:after="0" w:line="360" w:lineRule="auto"/>
              <w:rPr>
                <w:rFonts w:hint="eastAsia" w:ascii="宋体" w:hAnsi="宋体" w:eastAsia="宋体" w:cs="宋体"/>
                <w:color w:val="auto"/>
                <w:sz w:val="21"/>
                <w:szCs w:val="21"/>
                <w:highlight w:val="none"/>
              </w:rPr>
            </w:pPr>
          </w:p>
        </w:tc>
        <w:tc>
          <w:tcPr>
            <w:tcW w:w="2022" w:type="dxa"/>
            <w:noWrap w:val="0"/>
            <w:vAlign w:val="center"/>
          </w:tcPr>
          <w:p w14:paraId="2A14664D">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812" w:type="dxa"/>
            <w:noWrap w:val="0"/>
            <w:vAlign w:val="center"/>
          </w:tcPr>
          <w:p w14:paraId="05EB1C8A">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符合第二章“投标人须知”第1.3.1项规定。</w:t>
            </w:r>
          </w:p>
        </w:tc>
      </w:tr>
      <w:tr w14:paraId="35B5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954" w:type="dxa"/>
            <w:vMerge w:val="continue"/>
            <w:noWrap w:val="0"/>
            <w:vAlign w:val="center"/>
          </w:tcPr>
          <w:p w14:paraId="178AC5C5">
            <w:pPr>
              <w:spacing w:after="0" w:line="360" w:lineRule="auto"/>
              <w:rPr>
                <w:rFonts w:hint="eastAsia" w:ascii="宋体" w:hAnsi="宋体" w:eastAsia="宋体" w:cs="宋体"/>
                <w:color w:val="auto"/>
                <w:sz w:val="21"/>
                <w:szCs w:val="21"/>
                <w:highlight w:val="none"/>
              </w:rPr>
            </w:pPr>
          </w:p>
        </w:tc>
        <w:tc>
          <w:tcPr>
            <w:tcW w:w="1135" w:type="dxa"/>
            <w:vMerge w:val="continue"/>
            <w:noWrap w:val="0"/>
            <w:vAlign w:val="center"/>
          </w:tcPr>
          <w:p w14:paraId="6D2CC684">
            <w:pPr>
              <w:spacing w:after="0" w:line="360" w:lineRule="auto"/>
              <w:rPr>
                <w:rFonts w:hint="eastAsia" w:ascii="宋体" w:hAnsi="宋体" w:eastAsia="宋体" w:cs="宋体"/>
                <w:color w:val="auto"/>
                <w:sz w:val="21"/>
                <w:szCs w:val="21"/>
                <w:highlight w:val="none"/>
              </w:rPr>
            </w:pPr>
          </w:p>
        </w:tc>
        <w:tc>
          <w:tcPr>
            <w:tcW w:w="2022" w:type="dxa"/>
            <w:noWrap w:val="0"/>
            <w:vAlign w:val="center"/>
          </w:tcPr>
          <w:p w14:paraId="616791DF">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5812" w:type="dxa"/>
            <w:noWrap w:val="0"/>
            <w:vAlign w:val="center"/>
          </w:tcPr>
          <w:p w14:paraId="0DBAEC6D">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符合第二章“投标人须知”第1.3.2项规定。</w:t>
            </w:r>
          </w:p>
        </w:tc>
      </w:tr>
      <w:tr w14:paraId="2AE6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954" w:type="dxa"/>
            <w:vMerge w:val="continue"/>
            <w:noWrap w:val="0"/>
            <w:vAlign w:val="center"/>
          </w:tcPr>
          <w:p w14:paraId="78AD8FAE">
            <w:pPr>
              <w:spacing w:after="0" w:line="360" w:lineRule="auto"/>
              <w:rPr>
                <w:rFonts w:hint="eastAsia" w:ascii="宋体" w:hAnsi="宋体" w:eastAsia="宋体" w:cs="宋体"/>
                <w:color w:val="auto"/>
                <w:sz w:val="21"/>
                <w:szCs w:val="21"/>
                <w:highlight w:val="none"/>
              </w:rPr>
            </w:pPr>
          </w:p>
        </w:tc>
        <w:tc>
          <w:tcPr>
            <w:tcW w:w="1135" w:type="dxa"/>
            <w:vMerge w:val="continue"/>
            <w:noWrap w:val="0"/>
            <w:vAlign w:val="center"/>
          </w:tcPr>
          <w:p w14:paraId="4D75107A">
            <w:pPr>
              <w:spacing w:after="0" w:line="360" w:lineRule="auto"/>
              <w:rPr>
                <w:rFonts w:hint="eastAsia" w:ascii="宋体" w:hAnsi="宋体" w:eastAsia="宋体" w:cs="宋体"/>
                <w:color w:val="auto"/>
                <w:sz w:val="21"/>
                <w:szCs w:val="21"/>
                <w:highlight w:val="none"/>
              </w:rPr>
            </w:pPr>
          </w:p>
        </w:tc>
        <w:tc>
          <w:tcPr>
            <w:tcW w:w="2022" w:type="dxa"/>
            <w:noWrap w:val="0"/>
            <w:vAlign w:val="center"/>
          </w:tcPr>
          <w:p w14:paraId="7A652346">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812" w:type="dxa"/>
            <w:noWrap w:val="0"/>
            <w:vAlign w:val="center"/>
          </w:tcPr>
          <w:p w14:paraId="57BF86C5">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符合第二章“投标人须知”第1.3.3项规定。</w:t>
            </w:r>
          </w:p>
        </w:tc>
      </w:tr>
      <w:tr w14:paraId="4DB1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954" w:type="dxa"/>
            <w:vMerge w:val="continue"/>
            <w:noWrap w:val="0"/>
            <w:vAlign w:val="center"/>
          </w:tcPr>
          <w:p w14:paraId="024C2ED7">
            <w:pPr>
              <w:spacing w:after="0" w:line="360" w:lineRule="auto"/>
              <w:rPr>
                <w:rFonts w:hint="eastAsia" w:ascii="宋体" w:hAnsi="宋体" w:eastAsia="宋体" w:cs="宋体"/>
                <w:color w:val="auto"/>
                <w:sz w:val="21"/>
                <w:szCs w:val="21"/>
                <w:highlight w:val="none"/>
              </w:rPr>
            </w:pPr>
          </w:p>
        </w:tc>
        <w:tc>
          <w:tcPr>
            <w:tcW w:w="1135" w:type="dxa"/>
            <w:vMerge w:val="continue"/>
            <w:noWrap w:val="0"/>
            <w:vAlign w:val="center"/>
          </w:tcPr>
          <w:p w14:paraId="6CA4B62E">
            <w:pPr>
              <w:spacing w:after="0" w:line="360" w:lineRule="auto"/>
              <w:rPr>
                <w:rFonts w:hint="eastAsia" w:ascii="宋体" w:hAnsi="宋体" w:eastAsia="宋体" w:cs="宋体"/>
                <w:color w:val="auto"/>
                <w:sz w:val="21"/>
                <w:szCs w:val="21"/>
                <w:highlight w:val="none"/>
              </w:rPr>
            </w:pPr>
          </w:p>
        </w:tc>
        <w:tc>
          <w:tcPr>
            <w:tcW w:w="2022" w:type="dxa"/>
            <w:noWrap w:val="0"/>
            <w:vAlign w:val="center"/>
          </w:tcPr>
          <w:p w14:paraId="24A852B0">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812" w:type="dxa"/>
            <w:noWrap w:val="0"/>
            <w:vAlign w:val="center"/>
          </w:tcPr>
          <w:p w14:paraId="7D16BCC1">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符合第二章“投标人须知”第3.3.1项规定。</w:t>
            </w:r>
          </w:p>
        </w:tc>
      </w:tr>
      <w:tr w14:paraId="2795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954" w:type="dxa"/>
            <w:vMerge w:val="continue"/>
            <w:noWrap w:val="0"/>
            <w:vAlign w:val="center"/>
          </w:tcPr>
          <w:p w14:paraId="37F2AA7D">
            <w:pPr>
              <w:spacing w:after="0" w:line="360" w:lineRule="auto"/>
              <w:rPr>
                <w:rFonts w:hint="eastAsia" w:ascii="宋体" w:hAnsi="宋体" w:eastAsia="宋体" w:cs="宋体"/>
                <w:color w:val="auto"/>
                <w:sz w:val="21"/>
                <w:szCs w:val="21"/>
                <w:highlight w:val="none"/>
              </w:rPr>
            </w:pPr>
          </w:p>
        </w:tc>
        <w:tc>
          <w:tcPr>
            <w:tcW w:w="1135" w:type="dxa"/>
            <w:vMerge w:val="continue"/>
            <w:noWrap w:val="0"/>
            <w:vAlign w:val="center"/>
          </w:tcPr>
          <w:p w14:paraId="1F75C0DA">
            <w:pPr>
              <w:spacing w:after="0" w:line="360" w:lineRule="auto"/>
              <w:rPr>
                <w:rFonts w:hint="eastAsia" w:ascii="宋体" w:hAnsi="宋体" w:eastAsia="宋体" w:cs="宋体"/>
                <w:color w:val="auto"/>
                <w:sz w:val="21"/>
                <w:szCs w:val="21"/>
                <w:highlight w:val="none"/>
              </w:rPr>
            </w:pPr>
          </w:p>
        </w:tc>
        <w:tc>
          <w:tcPr>
            <w:tcW w:w="2022" w:type="dxa"/>
            <w:noWrap w:val="0"/>
            <w:vAlign w:val="center"/>
          </w:tcPr>
          <w:p w14:paraId="50236A66">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串通投标情形</w:t>
            </w:r>
          </w:p>
        </w:tc>
        <w:tc>
          <w:tcPr>
            <w:tcW w:w="5812" w:type="dxa"/>
            <w:noWrap w:val="0"/>
            <w:vAlign w:val="center"/>
          </w:tcPr>
          <w:p w14:paraId="3F470104">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不存在《广东省实施&lt;中华人民共和国招标投标法&gt;办法》第十六条所禁止的情形的。</w:t>
            </w:r>
          </w:p>
        </w:tc>
      </w:tr>
      <w:tr w14:paraId="6736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089" w:type="dxa"/>
            <w:gridSpan w:val="2"/>
            <w:noWrap w:val="0"/>
            <w:vAlign w:val="center"/>
          </w:tcPr>
          <w:p w14:paraId="66026011">
            <w:pPr>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022" w:type="dxa"/>
            <w:noWrap w:val="0"/>
            <w:vAlign w:val="center"/>
          </w:tcPr>
          <w:p w14:paraId="257A3945">
            <w:pPr>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5812" w:type="dxa"/>
            <w:noWrap w:val="0"/>
            <w:vAlign w:val="center"/>
          </w:tcPr>
          <w:p w14:paraId="5AA70BE9">
            <w:pPr>
              <w:spacing w:after="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20D8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089" w:type="dxa"/>
            <w:gridSpan w:val="2"/>
            <w:noWrap w:val="0"/>
            <w:vAlign w:val="center"/>
          </w:tcPr>
          <w:p w14:paraId="2E7D8885">
            <w:pPr>
              <w:spacing w:after="0" w:line="360" w:lineRule="auto"/>
              <w:rPr>
                <w:rFonts w:hint="eastAsia" w:ascii="宋体" w:hAnsi="宋体" w:eastAsia="宋体" w:cs="宋体"/>
                <w:color w:val="auto"/>
                <w:sz w:val="21"/>
                <w:szCs w:val="21"/>
                <w:highlight w:val="none"/>
              </w:rPr>
            </w:pPr>
            <w:bookmarkStart w:id="95" w:name="_Toc508382156"/>
            <w:r>
              <w:rPr>
                <w:rFonts w:hint="eastAsia" w:ascii="宋体" w:hAnsi="宋体" w:eastAsia="宋体" w:cs="宋体"/>
                <w:color w:val="auto"/>
                <w:sz w:val="21"/>
                <w:szCs w:val="21"/>
                <w:highlight w:val="none"/>
              </w:rPr>
              <w:t>2.2.1</w:t>
            </w:r>
          </w:p>
        </w:tc>
        <w:tc>
          <w:tcPr>
            <w:tcW w:w="2022" w:type="dxa"/>
            <w:noWrap w:val="0"/>
            <w:vAlign w:val="center"/>
          </w:tcPr>
          <w:p w14:paraId="79E77882">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4FE0A2D0">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(总分100分) </w:t>
            </w:r>
          </w:p>
        </w:tc>
        <w:tc>
          <w:tcPr>
            <w:tcW w:w="5812" w:type="dxa"/>
            <w:noWrap w:val="0"/>
            <w:vAlign w:val="center"/>
          </w:tcPr>
          <w:p w14:paraId="71281787">
            <w:pPr>
              <w:spacing w:after="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资</w:t>
            </w:r>
            <w:r>
              <w:rPr>
                <w:rFonts w:hint="eastAsia" w:ascii="宋体" w:hAnsi="宋体" w:eastAsia="宋体" w:cs="宋体"/>
                <w:color w:val="auto"/>
                <w:sz w:val="21"/>
                <w:szCs w:val="21"/>
                <w:highlight w:val="none"/>
              </w:rPr>
              <w:t>信业绩部分：45分</w:t>
            </w:r>
          </w:p>
          <w:p w14:paraId="11B45024">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监理大纲部分：45分</w:t>
            </w:r>
          </w:p>
          <w:p w14:paraId="04F93E20">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投标报价部分：10分</w:t>
            </w:r>
          </w:p>
          <w:p w14:paraId="797362A4">
            <w:pPr>
              <w:spacing w:after="0" w:line="240" w:lineRule="auto"/>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rPr>
              <w:t>投标人综合得分=资信业绩部分+监理大纲部分+投标报价部分</w:t>
            </w:r>
          </w:p>
        </w:tc>
      </w:tr>
      <w:tr w14:paraId="0255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2089" w:type="dxa"/>
            <w:gridSpan w:val="2"/>
            <w:noWrap w:val="0"/>
            <w:vAlign w:val="center"/>
          </w:tcPr>
          <w:p w14:paraId="79F86A26">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022" w:type="dxa"/>
            <w:noWrap w:val="0"/>
            <w:vAlign w:val="center"/>
          </w:tcPr>
          <w:p w14:paraId="27E21848">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5812" w:type="dxa"/>
            <w:noWrap w:val="0"/>
            <w:vAlign w:val="center"/>
          </w:tcPr>
          <w:p w14:paraId="1D13B4C0">
            <w:pPr>
              <w:spacing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参与评标基准价计算范围为[最高投标限价×90%，最高投标限价]，超过此范围的报价不参与评标基准价的计算。</w:t>
            </w:r>
          </w:p>
          <w:p w14:paraId="028C5640">
            <w:pPr>
              <w:spacing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投标报价在参与评标基准价计算范围内且通过形式评审、资格评审、响应性评审的有效投标人大于5或等于5名时，所有入围的有效投标价中去掉一个最高价和一个最低价，取余下有效投标价的算术平均值的作为评标基准价。</w:t>
            </w:r>
          </w:p>
          <w:p w14:paraId="3ECEE488">
            <w:pPr>
              <w:spacing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2.当投标报价在参与评标基准价计算范围内且通过形式评审、资格评审、响应性评审的有效投标人小于5名时，取所有入围的有效投标价的算术平均值的作为评标基准价。</w:t>
            </w:r>
          </w:p>
          <w:p w14:paraId="14B692FD">
            <w:pPr>
              <w:spacing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3.若没有投标报价在参与评标基准价计算范围内且通过形式评审、资格评审、响应性评审的有效投标人时，以最高投标限价×90%为评标基准价。</w:t>
            </w:r>
          </w:p>
        </w:tc>
      </w:tr>
      <w:tr w14:paraId="361B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9" w:type="dxa"/>
            <w:gridSpan w:val="2"/>
            <w:noWrap w:val="0"/>
            <w:vAlign w:val="center"/>
          </w:tcPr>
          <w:p w14:paraId="7469A0DC">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022" w:type="dxa"/>
            <w:noWrap w:val="0"/>
            <w:vAlign w:val="center"/>
          </w:tcPr>
          <w:p w14:paraId="088D9045">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w:t>
            </w:r>
          </w:p>
          <w:p w14:paraId="762BA005">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w:t>
            </w:r>
          </w:p>
        </w:tc>
        <w:tc>
          <w:tcPr>
            <w:tcW w:w="5812" w:type="dxa"/>
            <w:noWrap w:val="0"/>
            <w:vAlign w:val="center"/>
          </w:tcPr>
          <w:p w14:paraId="2F44319F">
            <w:pPr>
              <w:spacing w:after="0" w:line="240" w:lineRule="auto"/>
              <w:ind w:right="-96" w:rightChars="-4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偏差率= （有效投标报价—评标基准价）/评标基准价*100% </w:t>
            </w:r>
          </w:p>
          <w:p w14:paraId="06711B4D">
            <w:pPr>
              <w:spacing w:after="0" w:line="240" w:lineRule="auto"/>
              <w:rPr>
                <w:rFonts w:hint="eastAsia"/>
                <w:color w:val="auto"/>
                <w:sz w:val="21"/>
                <w:szCs w:val="21"/>
                <w:highlight w:val="none"/>
              </w:rPr>
            </w:pPr>
            <w:r>
              <w:rPr>
                <w:rFonts w:hint="eastAsia" w:ascii="宋体" w:hAnsi="宋体" w:eastAsia="宋体"/>
                <w:color w:val="auto"/>
                <w:sz w:val="21"/>
                <w:szCs w:val="21"/>
                <w:highlight w:val="none"/>
              </w:rPr>
              <w:t>（偏差率四舍五入保留2位小数，报价偏差率不足1%的，按直线内插法计算投标报价得分）</w:t>
            </w:r>
          </w:p>
        </w:tc>
      </w:tr>
      <w:tr w14:paraId="17D23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089" w:type="dxa"/>
            <w:gridSpan w:val="2"/>
            <w:tcBorders>
              <w:top w:val="single" w:color="auto" w:sz="4" w:space="0"/>
              <w:bottom w:val="single" w:color="auto" w:sz="4" w:space="0"/>
              <w:right w:val="single" w:color="auto" w:sz="4" w:space="0"/>
            </w:tcBorders>
            <w:noWrap w:val="0"/>
            <w:vAlign w:val="center"/>
          </w:tcPr>
          <w:p w14:paraId="0F13C03F">
            <w:pPr>
              <w:spacing w:after="0" w:line="360" w:lineRule="exact"/>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5D5C8D4B">
            <w:pPr>
              <w:spacing w:after="0"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2EEE15A9">
            <w:pPr>
              <w:spacing w:after="0" w:line="360" w:lineRule="exact"/>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0E631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954" w:type="dxa"/>
            <w:vMerge w:val="restart"/>
            <w:tcBorders>
              <w:top w:val="single" w:color="auto" w:sz="4" w:space="0"/>
              <w:right w:val="single" w:color="auto" w:sz="4" w:space="0"/>
            </w:tcBorders>
            <w:noWrap w:val="0"/>
            <w:vAlign w:val="center"/>
          </w:tcPr>
          <w:p w14:paraId="076858AD">
            <w:pPr>
              <w:snapToGrid w:val="0"/>
              <w:spacing w:after="0"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2.2.4（1）</w:t>
            </w:r>
          </w:p>
        </w:tc>
        <w:tc>
          <w:tcPr>
            <w:tcW w:w="1135" w:type="dxa"/>
            <w:vMerge w:val="restart"/>
            <w:tcBorders>
              <w:top w:val="single" w:color="auto" w:sz="4" w:space="0"/>
              <w:right w:val="single" w:color="auto" w:sz="4" w:space="0"/>
            </w:tcBorders>
            <w:noWrap w:val="0"/>
            <w:vAlign w:val="center"/>
          </w:tcPr>
          <w:p w14:paraId="29E1ABCC">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资信业绩评分标准</w:t>
            </w:r>
          </w:p>
          <w:p w14:paraId="51495A38">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（45分）</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4247BA45">
            <w:pPr>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类似项目业绩</w:t>
            </w:r>
          </w:p>
          <w:p w14:paraId="0C210CF1">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（8分）</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3CD1744E">
            <w:pPr>
              <w:spacing w:after="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投标人（若为联合体，指联合体主办方）</w:t>
            </w:r>
            <w:r>
              <w:rPr>
                <w:rFonts w:hint="eastAsia" w:ascii="宋体" w:hAnsi="宋体" w:eastAsia="宋体" w:cs="宋体"/>
                <w:color w:val="auto"/>
                <w:sz w:val="21"/>
                <w:szCs w:val="21"/>
                <w:highlight w:val="none"/>
              </w:rPr>
              <w:t>2021年1月1日至今，每完成过一个质量合格的类似工程监理业绩得</w:t>
            </w: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分，本项最多得</w:t>
            </w:r>
            <w:r>
              <w:rPr>
                <w:rFonts w:ascii="宋体" w:hAnsi="宋体" w:cs="宋体"/>
                <w:color w:val="auto"/>
                <w:sz w:val="21"/>
                <w:szCs w:val="21"/>
                <w:highlight w:val="none"/>
              </w:rPr>
              <w:t>8</w:t>
            </w:r>
            <w:r>
              <w:rPr>
                <w:rFonts w:hint="eastAsia" w:ascii="宋体" w:hAnsi="宋体" w:eastAsia="宋体" w:cs="宋体"/>
                <w:color w:val="auto"/>
                <w:sz w:val="21"/>
                <w:szCs w:val="21"/>
                <w:highlight w:val="none"/>
              </w:rPr>
              <w:t>分。</w:t>
            </w:r>
          </w:p>
        </w:tc>
      </w:tr>
      <w:tr w14:paraId="32FC1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4" w:hRule="atLeast"/>
        </w:trPr>
        <w:tc>
          <w:tcPr>
            <w:tcW w:w="954" w:type="dxa"/>
            <w:vMerge w:val="continue"/>
            <w:tcBorders>
              <w:right w:val="single" w:color="auto" w:sz="4" w:space="0"/>
            </w:tcBorders>
            <w:noWrap w:val="0"/>
            <w:vAlign w:val="center"/>
          </w:tcPr>
          <w:p w14:paraId="4FB462A2">
            <w:pPr>
              <w:snapToGrid w:val="0"/>
              <w:spacing w:after="0" w:line="320" w:lineRule="exact"/>
              <w:jc w:val="center"/>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center"/>
          </w:tcPr>
          <w:p w14:paraId="687B588D">
            <w:pPr>
              <w:snapToGrid w:val="0"/>
              <w:spacing w:after="0" w:line="300" w:lineRule="exact"/>
              <w:jc w:val="center"/>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14:paraId="6CBFABDD">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获奖业绩（</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622B0CD5">
            <w:pPr>
              <w:spacing w:after="0" w:line="340" w:lineRule="exact"/>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rPr>
              <w:t>投标人（若为联合体，指联合体主办方）</w:t>
            </w:r>
            <w:r>
              <w:rPr>
                <w:rFonts w:hint="eastAsia" w:ascii="宋体" w:hAnsi="宋体" w:eastAsia="宋体" w:cs="宋体"/>
                <w:color w:val="auto"/>
                <w:sz w:val="21"/>
                <w:szCs w:val="21"/>
                <w:highlight w:val="none"/>
              </w:rPr>
              <w:t>2021年1月1日至今，监理过的市政公用工程监理项目获得国家级质量奖每项得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分，省级质量奖每项得1分，市级质量奖每项得0.5分，本项最多得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123B9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7" w:hRule="atLeast"/>
        </w:trPr>
        <w:tc>
          <w:tcPr>
            <w:tcW w:w="954" w:type="dxa"/>
            <w:vMerge w:val="continue"/>
            <w:tcBorders>
              <w:right w:val="single" w:color="auto" w:sz="4" w:space="0"/>
            </w:tcBorders>
            <w:noWrap w:val="0"/>
            <w:vAlign w:val="center"/>
          </w:tcPr>
          <w:p w14:paraId="78E1DC2F">
            <w:pPr>
              <w:snapToGrid w:val="0"/>
              <w:spacing w:after="0" w:line="320" w:lineRule="exact"/>
              <w:jc w:val="center"/>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center"/>
          </w:tcPr>
          <w:p w14:paraId="5C080C89">
            <w:pPr>
              <w:snapToGrid w:val="0"/>
              <w:spacing w:after="0" w:line="300" w:lineRule="exact"/>
              <w:jc w:val="center"/>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14:paraId="0450FF3C">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总监理工程师资历及业绩（</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226C9745">
            <w:pPr>
              <w:widowControl w:val="0"/>
              <w:numPr>
                <w:ilvl w:val="0"/>
                <w:numId w:val="2"/>
              </w:numPr>
              <w:spacing w:after="0"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具有中级工程师或以上职称得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分，否则不得分。</w:t>
            </w:r>
          </w:p>
          <w:p w14:paraId="26104446">
            <w:pPr>
              <w:widowControl w:val="0"/>
              <w:numPr>
                <w:ilvl w:val="0"/>
                <w:numId w:val="2"/>
              </w:numPr>
              <w:spacing w:after="0"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具备以总监理工程师的身份承接过市政工程监理业绩的，得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00A26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5" w:hRule="atLeast"/>
        </w:trPr>
        <w:tc>
          <w:tcPr>
            <w:tcW w:w="954" w:type="dxa"/>
            <w:vMerge w:val="continue"/>
            <w:tcBorders>
              <w:right w:val="single" w:color="auto" w:sz="4" w:space="0"/>
            </w:tcBorders>
            <w:noWrap w:val="0"/>
            <w:vAlign w:val="center"/>
          </w:tcPr>
          <w:p w14:paraId="566EF760">
            <w:pPr>
              <w:snapToGrid w:val="0"/>
              <w:spacing w:after="0" w:line="320" w:lineRule="exact"/>
              <w:jc w:val="center"/>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center"/>
          </w:tcPr>
          <w:p w14:paraId="403AC832">
            <w:pPr>
              <w:snapToGrid w:val="0"/>
              <w:spacing w:after="0" w:line="300" w:lineRule="exact"/>
              <w:jc w:val="center"/>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14:paraId="13085997">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监理机构人员</w:t>
            </w:r>
          </w:p>
          <w:p w14:paraId="42D125CB">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5DD24615">
            <w:pPr>
              <w:keepNext w:val="0"/>
              <w:keepLines w:val="0"/>
              <w:pageBreakBefore w:val="0"/>
              <w:widowControl/>
              <w:kinsoku/>
              <w:wordWrap/>
              <w:overflowPunct/>
              <w:topLinePunct w:val="0"/>
              <w:autoSpaceDE/>
              <w:autoSpaceDN/>
              <w:bidi w:val="0"/>
              <w:adjustRightInd/>
              <w:snapToGrid/>
              <w:spacing w:after="0" w:line="260" w:lineRule="auto"/>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在配备的人员中（不含总监）：获得过省级或以上奖项每个奖项得</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rPr>
              <w:t>分，获得过市级奖项每个奖项得</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rPr>
              <w:t>分。</w:t>
            </w:r>
          </w:p>
          <w:p w14:paraId="5653B5FB">
            <w:pPr>
              <w:pStyle w:val="9"/>
              <w:keepNext w:val="0"/>
              <w:keepLines w:val="0"/>
              <w:pageBreakBefore w:val="0"/>
              <w:widowControl/>
              <w:kinsoku/>
              <w:wordWrap/>
              <w:overflowPunct/>
              <w:topLinePunct w:val="0"/>
              <w:autoSpaceDE/>
              <w:autoSpaceDN/>
              <w:bidi w:val="0"/>
              <w:adjustRightInd/>
              <w:snapToGrid/>
              <w:spacing w:after="0" w:line="260" w:lineRule="auto"/>
              <w:ind w:firstLine="0"/>
              <w:textAlignment w:val="auto"/>
              <w:rPr>
                <w:rFonts w:hint="eastAsia" w:eastAsia="宋体"/>
                <w:color w:val="auto"/>
                <w:sz w:val="21"/>
                <w:szCs w:val="21"/>
                <w:highlight w:val="none"/>
              </w:rPr>
            </w:pPr>
            <w:r>
              <w:rPr>
                <w:rFonts w:hint="eastAsia" w:ascii="宋体" w:hAnsi="宋体" w:cs="宋体"/>
                <w:color w:val="auto"/>
                <w:sz w:val="21"/>
                <w:szCs w:val="21"/>
                <w:highlight w:val="none"/>
              </w:rPr>
              <w:t>注：</w:t>
            </w:r>
            <w:r>
              <w:rPr>
                <w:rFonts w:hint="eastAsia" w:ascii="Times New Roman" w:hAnsi="Times New Roman" w:eastAsia="Times New Roman" w:cs="Times New Roman"/>
                <w:color w:val="auto"/>
                <w:sz w:val="21"/>
                <w:szCs w:val="21"/>
                <w:highlight w:val="none"/>
              </w:rPr>
              <w:t>提供相关证书扫描件</w:t>
            </w:r>
            <w:r>
              <w:rPr>
                <w:rFonts w:hint="eastAsia"/>
                <w:color w:val="auto"/>
                <w:sz w:val="21"/>
                <w:szCs w:val="21"/>
                <w:highlight w:val="none"/>
              </w:rPr>
              <w:t>。</w:t>
            </w:r>
          </w:p>
        </w:tc>
      </w:tr>
      <w:tr w14:paraId="044CA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5" w:hRule="atLeast"/>
        </w:trPr>
        <w:tc>
          <w:tcPr>
            <w:tcW w:w="954" w:type="dxa"/>
            <w:vMerge w:val="continue"/>
            <w:tcBorders>
              <w:right w:val="single" w:color="auto" w:sz="4" w:space="0"/>
            </w:tcBorders>
            <w:noWrap w:val="0"/>
            <w:vAlign w:val="center"/>
          </w:tcPr>
          <w:p w14:paraId="2149E9F2">
            <w:pPr>
              <w:snapToGrid w:val="0"/>
              <w:spacing w:after="0" w:line="320" w:lineRule="exact"/>
              <w:jc w:val="center"/>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center"/>
          </w:tcPr>
          <w:p w14:paraId="16B56DF4">
            <w:pPr>
              <w:snapToGrid w:val="0"/>
              <w:spacing w:after="0" w:line="300" w:lineRule="exact"/>
              <w:jc w:val="center"/>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14:paraId="3A94B1A5">
            <w:pPr>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企业管理体系能力</w:t>
            </w:r>
          </w:p>
          <w:p w14:paraId="74304C34">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7302D06E">
            <w:pPr>
              <w:pStyle w:val="9"/>
              <w:keepNext w:val="0"/>
              <w:keepLines w:val="0"/>
              <w:pageBreakBefore w:val="0"/>
              <w:widowControl/>
              <w:kinsoku/>
              <w:wordWrap/>
              <w:overflowPunct/>
              <w:topLinePunct w:val="0"/>
              <w:autoSpaceDE/>
              <w:autoSpaceDN/>
              <w:bidi w:val="0"/>
              <w:adjustRightInd/>
              <w:snapToGrid/>
              <w:spacing w:after="0" w:line="260" w:lineRule="auto"/>
              <w:ind w:firstLine="0"/>
              <w:textAlignment w:val="auto"/>
              <w:rPr>
                <w:rFonts w:hint="eastAsia" w:ascii="Times New Roman" w:hAnsi="Times New Roman" w:eastAsia="Times New Roman" w:cs="Times New Roman"/>
                <w:color w:val="auto"/>
                <w:sz w:val="21"/>
                <w:szCs w:val="21"/>
                <w:highlight w:val="none"/>
              </w:rPr>
            </w:pPr>
            <w:r>
              <w:rPr>
                <w:rFonts w:hint="eastAsia" w:ascii="宋体" w:hAnsi="宋体" w:cs="宋体"/>
                <w:color w:val="auto"/>
                <w:sz w:val="21"/>
                <w:szCs w:val="21"/>
                <w:highlight w:val="none"/>
              </w:rPr>
              <w:t>投标人（若为联合体，指联合体主办方）</w:t>
            </w:r>
            <w:r>
              <w:rPr>
                <w:rFonts w:hint="eastAsia" w:ascii="宋体" w:hAnsi="宋体" w:eastAsia="宋体" w:cs="宋体"/>
                <w:color w:val="auto"/>
                <w:sz w:val="21"/>
                <w:szCs w:val="21"/>
                <w:highlight w:val="none"/>
              </w:rPr>
              <w:t>获</w:t>
            </w:r>
            <w:r>
              <w:rPr>
                <w:rFonts w:hint="eastAsia" w:ascii="Times New Roman" w:hAnsi="Times New Roman" w:eastAsia="Times New Roman" w:cs="Times New Roman"/>
                <w:color w:val="auto"/>
                <w:sz w:val="21"/>
                <w:szCs w:val="21"/>
                <w:highlight w:val="none"/>
              </w:rPr>
              <w:t>得环境管理体系认证的得</w:t>
            </w:r>
            <w:r>
              <w:rPr>
                <w:rFonts w:hint="eastAsia" w:ascii="Times New Roman" w:hAnsi="Times New Roman" w:eastAsia="Times New Roman" w:cs="Times New Roman"/>
                <w:color w:val="auto"/>
                <w:sz w:val="21"/>
                <w:szCs w:val="21"/>
                <w:highlight w:val="none"/>
                <w:lang w:val="en-US" w:eastAsia="zh-CN"/>
              </w:rPr>
              <w:t>1</w:t>
            </w:r>
            <w:r>
              <w:rPr>
                <w:rFonts w:hint="eastAsia" w:ascii="Times New Roman" w:hAnsi="Times New Roman" w:eastAsia="Times New Roman" w:cs="Times New Roman"/>
                <w:color w:val="auto"/>
                <w:sz w:val="21"/>
                <w:szCs w:val="21"/>
                <w:highlight w:val="none"/>
              </w:rPr>
              <w:t>分、职业健康安全管理体系认证的得</w:t>
            </w:r>
            <w:r>
              <w:rPr>
                <w:rFonts w:hint="eastAsia" w:ascii="Times New Roman" w:hAnsi="Times New Roman" w:eastAsia="Times New Roman" w:cs="Times New Roman"/>
                <w:color w:val="auto"/>
                <w:sz w:val="21"/>
                <w:szCs w:val="21"/>
                <w:highlight w:val="none"/>
                <w:lang w:val="en-US" w:eastAsia="zh-CN"/>
              </w:rPr>
              <w:t>1</w:t>
            </w:r>
            <w:r>
              <w:rPr>
                <w:rFonts w:hint="eastAsia" w:ascii="Times New Roman" w:hAnsi="Times New Roman" w:eastAsia="Times New Roman" w:cs="Times New Roman"/>
                <w:color w:val="auto"/>
                <w:sz w:val="21"/>
                <w:szCs w:val="21"/>
                <w:highlight w:val="none"/>
              </w:rPr>
              <w:t>分、质量管理体系认证的得</w:t>
            </w:r>
            <w:r>
              <w:rPr>
                <w:rFonts w:hint="eastAsia" w:ascii="Times New Roman" w:hAnsi="Times New Roman" w:eastAsia="Times New Roman" w:cs="Times New Roman"/>
                <w:color w:val="auto"/>
                <w:sz w:val="21"/>
                <w:szCs w:val="21"/>
                <w:highlight w:val="none"/>
                <w:lang w:val="en-US" w:eastAsia="zh-CN"/>
              </w:rPr>
              <w:t>1</w:t>
            </w:r>
            <w:r>
              <w:rPr>
                <w:rFonts w:hint="eastAsia" w:ascii="Times New Roman" w:hAnsi="Times New Roman" w:eastAsia="Times New Roman" w:cs="Times New Roman"/>
                <w:color w:val="auto"/>
                <w:sz w:val="21"/>
                <w:szCs w:val="21"/>
                <w:highlight w:val="none"/>
              </w:rPr>
              <w:t>分；本项最多得</w:t>
            </w:r>
            <w:r>
              <w:rPr>
                <w:rFonts w:hint="eastAsia" w:ascii="Times New Roman" w:hAnsi="Times New Roman" w:eastAsia="Times New Roman" w:cs="Times New Roman"/>
                <w:color w:val="auto"/>
                <w:sz w:val="21"/>
                <w:szCs w:val="21"/>
                <w:highlight w:val="none"/>
                <w:lang w:val="en-US" w:eastAsia="zh-CN"/>
              </w:rPr>
              <w:t>3</w:t>
            </w:r>
            <w:r>
              <w:rPr>
                <w:rFonts w:hint="eastAsia" w:ascii="Times New Roman" w:hAnsi="Times New Roman" w:eastAsia="Times New Roman" w:cs="Times New Roman"/>
                <w:color w:val="auto"/>
                <w:sz w:val="21"/>
                <w:szCs w:val="21"/>
                <w:highlight w:val="none"/>
              </w:rPr>
              <w:t>分。</w:t>
            </w:r>
          </w:p>
          <w:p w14:paraId="291EC92D">
            <w:pPr>
              <w:pStyle w:val="9"/>
              <w:keepNext w:val="0"/>
              <w:keepLines w:val="0"/>
              <w:pageBreakBefore w:val="0"/>
              <w:widowControl/>
              <w:kinsoku/>
              <w:wordWrap/>
              <w:overflowPunct/>
              <w:topLinePunct w:val="0"/>
              <w:autoSpaceDE/>
              <w:autoSpaceDN/>
              <w:bidi w:val="0"/>
              <w:adjustRightInd/>
              <w:snapToGrid/>
              <w:spacing w:after="0" w:line="260" w:lineRule="auto"/>
              <w:ind w:firstLine="0"/>
              <w:textAlignment w:val="auto"/>
              <w:rPr>
                <w:rFonts w:hint="eastAsia" w:ascii="宋体" w:hAnsi="宋体" w:eastAsia="宋体" w:cs="宋体"/>
                <w:color w:val="auto"/>
                <w:sz w:val="21"/>
                <w:szCs w:val="21"/>
                <w:highlight w:val="none"/>
              </w:rPr>
            </w:pPr>
            <w:r>
              <w:rPr>
                <w:rFonts w:hint="eastAsia" w:ascii="Times New Roman" w:hAnsi="Times New Roman" w:eastAsia="Times New Roman" w:cs="Times New Roman"/>
                <w:color w:val="auto"/>
                <w:sz w:val="21"/>
                <w:szCs w:val="21"/>
                <w:highlight w:val="none"/>
              </w:rPr>
              <w:t>注：提供相关证书扫描件，且证书须在有效期内并年检合格。</w:t>
            </w:r>
          </w:p>
        </w:tc>
      </w:tr>
      <w:tr w14:paraId="393F1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25" w:hRule="atLeast"/>
        </w:trPr>
        <w:tc>
          <w:tcPr>
            <w:tcW w:w="954" w:type="dxa"/>
            <w:vMerge w:val="continue"/>
            <w:tcBorders>
              <w:right w:val="single" w:color="auto" w:sz="4" w:space="0"/>
            </w:tcBorders>
            <w:noWrap w:val="0"/>
            <w:vAlign w:val="center"/>
          </w:tcPr>
          <w:p w14:paraId="34B050BC">
            <w:pPr>
              <w:snapToGrid w:val="0"/>
              <w:spacing w:after="0" w:line="320" w:lineRule="exact"/>
              <w:jc w:val="center"/>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center"/>
          </w:tcPr>
          <w:p w14:paraId="275E387B">
            <w:pPr>
              <w:snapToGrid w:val="0"/>
              <w:spacing w:after="0" w:line="300" w:lineRule="exact"/>
              <w:jc w:val="center"/>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right w:val="single" w:color="auto" w:sz="4" w:space="0"/>
            </w:tcBorders>
            <w:noWrap w:val="0"/>
            <w:vAlign w:val="center"/>
          </w:tcPr>
          <w:p w14:paraId="0BC36EEF">
            <w:pPr>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企业信誉（</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0DE96A1">
            <w:pPr>
              <w:contextualSpacing/>
              <w:jc w:val="center"/>
              <w:rPr>
                <w:rFonts w:hint="eastAsia" w:ascii="宋体" w:hAnsi="宋体" w:eastAsia="宋体" w:cs="宋体"/>
                <w:color w:val="auto"/>
                <w:sz w:val="21"/>
                <w:szCs w:val="21"/>
                <w:highlight w:val="none"/>
              </w:rPr>
            </w:pPr>
          </w:p>
        </w:tc>
        <w:tc>
          <w:tcPr>
            <w:tcW w:w="5812" w:type="dxa"/>
            <w:tcBorders>
              <w:top w:val="single" w:color="auto" w:sz="4" w:space="0"/>
              <w:left w:val="single" w:color="auto" w:sz="4" w:space="0"/>
              <w:right w:val="single" w:color="auto" w:sz="4" w:space="0"/>
            </w:tcBorders>
            <w:noWrap w:val="0"/>
            <w:vAlign w:val="center"/>
          </w:tcPr>
          <w:p w14:paraId="1D46BDCA">
            <w:pPr>
              <w:keepNext w:val="0"/>
              <w:keepLines w:val="0"/>
              <w:pageBreakBefore w:val="0"/>
              <w:widowControl/>
              <w:kinsoku/>
              <w:wordWrap/>
              <w:overflowPunct/>
              <w:topLinePunct w:val="0"/>
              <w:autoSpaceDE/>
              <w:autoSpaceDN/>
              <w:bidi w:val="0"/>
              <w:adjustRightInd/>
              <w:snapToGrid/>
              <w:spacing w:after="0" w:line="300" w:lineRule="exact"/>
              <w:ind w:leftChars="-10" w:right="-11" w:hanging="21" w:hangingChars="1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投标人（若为联合体，指联合体主办方）</w:t>
            </w:r>
            <w:r>
              <w:rPr>
                <w:rFonts w:hint="eastAsia" w:ascii="宋体" w:hAnsi="宋体" w:cs="宋体"/>
                <w:color w:val="auto"/>
                <w:sz w:val="21"/>
                <w:szCs w:val="21"/>
                <w:highlight w:val="none"/>
                <w:lang w:val="en-US" w:eastAsia="zh-CN"/>
              </w:rPr>
              <w:t>连</w:t>
            </w:r>
            <w:bookmarkStart w:id="204" w:name="_GoBack"/>
            <w:bookmarkEnd w:id="204"/>
            <w:r>
              <w:rPr>
                <w:rFonts w:hint="eastAsia" w:ascii="宋体" w:hAnsi="宋体" w:cs="宋体"/>
                <w:color w:val="auto"/>
                <w:sz w:val="21"/>
                <w:szCs w:val="21"/>
                <w:highlight w:val="none"/>
              </w:rPr>
              <w:t>续被税务部门评为“纳税信用等级</w:t>
            </w:r>
            <w:r>
              <w:rPr>
                <w:rFonts w:ascii="宋体" w:hAnsi="宋体" w:cs="宋体"/>
                <w:color w:val="auto"/>
                <w:sz w:val="21"/>
                <w:szCs w:val="21"/>
                <w:highlight w:val="none"/>
              </w:rPr>
              <w:t>A</w:t>
            </w:r>
            <w:r>
              <w:rPr>
                <w:rFonts w:hint="eastAsia" w:ascii="宋体" w:hAnsi="宋体" w:cs="宋体"/>
                <w:color w:val="auto"/>
                <w:sz w:val="21"/>
                <w:szCs w:val="21"/>
                <w:highlight w:val="none"/>
              </w:rPr>
              <w:t>级纳税人”（含最新评审年度：</w:t>
            </w:r>
            <w:r>
              <w:rPr>
                <w:rFonts w:ascii="宋体" w:hAnsi="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rPr>
              <w:t>年度）：连续</w:t>
            </w:r>
            <w:r>
              <w:rPr>
                <w:rFonts w:ascii="宋体" w:hAnsi="宋体" w:cs="宋体"/>
                <w:color w:val="auto"/>
                <w:sz w:val="21"/>
                <w:szCs w:val="21"/>
                <w:highlight w:val="none"/>
              </w:rPr>
              <w:t>5</w:t>
            </w:r>
            <w:r>
              <w:rPr>
                <w:rFonts w:hint="eastAsia" w:ascii="宋体" w:hAnsi="宋体" w:cs="宋体"/>
                <w:color w:val="auto"/>
                <w:sz w:val="21"/>
                <w:szCs w:val="21"/>
                <w:highlight w:val="none"/>
              </w:rPr>
              <w:t>年或以上的得</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rPr>
              <w:t>分，连续</w:t>
            </w:r>
            <w:r>
              <w:rPr>
                <w:rFonts w:ascii="宋体" w:hAnsi="宋体" w:cs="宋体"/>
                <w:color w:val="auto"/>
                <w:sz w:val="21"/>
                <w:szCs w:val="21"/>
                <w:highlight w:val="none"/>
              </w:rPr>
              <w:t>3</w:t>
            </w:r>
            <w:r>
              <w:rPr>
                <w:rFonts w:hint="eastAsia" w:ascii="宋体" w:hAnsi="宋体" w:cs="宋体"/>
                <w:color w:val="auto"/>
                <w:sz w:val="21"/>
                <w:szCs w:val="21"/>
                <w:highlight w:val="none"/>
              </w:rPr>
              <w:t>年至</w:t>
            </w:r>
            <w:r>
              <w:rPr>
                <w:rFonts w:ascii="宋体" w:hAnsi="宋体" w:cs="宋体"/>
                <w:color w:val="auto"/>
                <w:sz w:val="21"/>
                <w:szCs w:val="21"/>
                <w:highlight w:val="none"/>
              </w:rPr>
              <w:t>4</w:t>
            </w:r>
            <w:r>
              <w:rPr>
                <w:rFonts w:hint="eastAsia" w:ascii="宋体" w:hAnsi="宋体" w:cs="宋体"/>
                <w:color w:val="auto"/>
                <w:sz w:val="21"/>
                <w:szCs w:val="21"/>
                <w:highlight w:val="none"/>
              </w:rPr>
              <w:t>年的得</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rPr>
              <w:t>分；连续</w:t>
            </w:r>
            <w:r>
              <w:rPr>
                <w:rFonts w:ascii="宋体" w:hAnsi="宋体" w:cs="宋体"/>
                <w:color w:val="auto"/>
                <w:sz w:val="21"/>
                <w:szCs w:val="21"/>
                <w:highlight w:val="none"/>
              </w:rPr>
              <w:t>3</w:t>
            </w:r>
            <w:r>
              <w:rPr>
                <w:rFonts w:hint="eastAsia" w:ascii="宋体" w:hAnsi="宋体" w:cs="宋体"/>
                <w:color w:val="auto"/>
                <w:sz w:val="21"/>
                <w:szCs w:val="21"/>
                <w:highlight w:val="none"/>
              </w:rPr>
              <w:t>年以下的得</w:t>
            </w:r>
            <w:r>
              <w:rPr>
                <w:rFonts w:ascii="宋体" w:hAnsi="宋体" w:cs="宋体"/>
                <w:color w:val="auto"/>
                <w:sz w:val="21"/>
                <w:szCs w:val="21"/>
                <w:highlight w:val="none"/>
              </w:rPr>
              <w:t>1</w:t>
            </w:r>
            <w:r>
              <w:rPr>
                <w:rFonts w:hint="eastAsia" w:ascii="宋体" w:hAnsi="宋体" w:cs="宋体"/>
                <w:color w:val="auto"/>
                <w:sz w:val="21"/>
                <w:szCs w:val="21"/>
                <w:highlight w:val="none"/>
              </w:rPr>
              <w:t>分，没有不得分。</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 xml:space="preserve">     </w:t>
            </w:r>
          </w:p>
          <w:p w14:paraId="0B900AC8">
            <w:pPr>
              <w:keepNext w:val="0"/>
              <w:keepLines w:val="0"/>
              <w:pageBreakBefore w:val="0"/>
              <w:widowControl/>
              <w:kinsoku/>
              <w:wordWrap/>
              <w:overflowPunct/>
              <w:topLinePunct w:val="0"/>
              <w:autoSpaceDE/>
              <w:autoSpaceDN/>
              <w:bidi w:val="0"/>
              <w:adjustRightInd/>
              <w:snapToGrid/>
              <w:spacing w:after="0" w:line="300" w:lineRule="exact"/>
              <w:ind w:leftChars="-10" w:right="-11" w:hanging="21" w:hanging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rPr>
              <w:t>（以“国家税务总局”官网（http://www.chinatax.gov.cn/index.html）或省级税务局官网查询结果为准，纳税人等级只计算投标人自身（不计算投标人的分公司和子公司）。投标人须提供在上述官网的查询结果网页截图（不符合条件或未提交上述截图的不计分）。</w:t>
            </w:r>
          </w:p>
        </w:tc>
      </w:tr>
      <w:tr w14:paraId="3E38F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trPr>
        <w:tc>
          <w:tcPr>
            <w:tcW w:w="954" w:type="dxa"/>
            <w:vMerge w:val="restart"/>
            <w:tcBorders>
              <w:top w:val="single" w:color="auto" w:sz="4" w:space="0"/>
              <w:right w:val="single" w:color="auto" w:sz="4" w:space="0"/>
            </w:tcBorders>
            <w:noWrap w:val="0"/>
            <w:vAlign w:val="center"/>
          </w:tcPr>
          <w:p w14:paraId="1635AA22">
            <w:pPr>
              <w:snapToGrid w:val="0"/>
              <w:spacing w:after="0"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1135" w:type="dxa"/>
            <w:vMerge w:val="restart"/>
            <w:tcBorders>
              <w:top w:val="single" w:color="auto" w:sz="4" w:space="0"/>
              <w:right w:val="single" w:color="auto" w:sz="4" w:space="0"/>
            </w:tcBorders>
            <w:noWrap w:val="0"/>
            <w:vAlign w:val="center"/>
          </w:tcPr>
          <w:p w14:paraId="201F6D26">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监理大纲评分标准</w:t>
            </w:r>
          </w:p>
          <w:p w14:paraId="27DD9FFD">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（45分）</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0F5DC289">
            <w:pPr>
              <w:spacing w:line="300" w:lineRule="exact"/>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监理工作程序、方法和制度（</w:t>
            </w:r>
            <w:r>
              <w:rPr>
                <w:rFonts w:hint="eastAsia" w:ascii="宋体" w:hAnsi="宋体" w:eastAsia="等线"/>
                <w:color w:val="auto"/>
                <w:sz w:val="21"/>
                <w:szCs w:val="21"/>
                <w:highlight w:val="none"/>
              </w:rPr>
              <w:t>5</w:t>
            </w:r>
            <w:r>
              <w:rPr>
                <w:rFonts w:hint="eastAsia" w:ascii="宋体" w:hAnsi="宋体"/>
                <w:color w:val="auto"/>
                <w:sz w:val="21"/>
                <w:szCs w:val="21"/>
                <w:highlight w:val="none"/>
              </w:rPr>
              <w:t>分）</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18641366">
            <w:pPr>
              <w:spacing w:line="300" w:lineRule="exact"/>
              <w:ind w:left="-3" w:leftChars="-10" w:hanging="21" w:hangingChars="10"/>
              <w:rPr>
                <w:rFonts w:hint="eastAsia" w:ascii="宋体" w:hAnsi="宋体" w:eastAsia="宋体" w:cs="宋体"/>
                <w:color w:val="auto"/>
                <w:sz w:val="21"/>
                <w:szCs w:val="21"/>
                <w:highlight w:val="none"/>
              </w:rPr>
            </w:pPr>
            <w:r>
              <w:rPr>
                <w:rFonts w:hint="eastAsia" w:ascii="宋体" w:hAnsi="宋体"/>
                <w:color w:val="auto"/>
                <w:sz w:val="21"/>
                <w:szCs w:val="21"/>
                <w:highlight w:val="none"/>
              </w:rPr>
              <w:t>有清晰的工作流程图、工作准则。方案为优得</w:t>
            </w:r>
            <w:r>
              <w:rPr>
                <w:rFonts w:hint="eastAsia" w:ascii="宋体" w:hAnsi="宋体" w:eastAsia="等线"/>
                <w:color w:val="auto"/>
                <w:sz w:val="21"/>
                <w:szCs w:val="21"/>
                <w:highlight w:val="none"/>
              </w:rPr>
              <w:t>5</w:t>
            </w:r>
            <w:r>
              <w:rPr>
                <w:rFonts w:hint="eastAsia" w:ascii="宋体" w:hAnsi="宋体"/>
                <w:color w:val="auto"/>
                <w:sz w:val="21"/>
                <w:szCs w:val="21"/>
                <w:highlight w:val="none"/>
              </w:rPr>
              <w:t xml:space="preserve">分；良得 </w:t>
            </w:r>
            <w:r>
              <w:rPr>
                <w:rFonts w:hint="eastAsia" w:ascii="宋体" w:hAnsi="宋体" w:eastAsia="等线"/>
                <w:color w:val="auto"/>
                <w:sz w:val="21"/>
                <w:szCs w:val="21"/>
                <w:highlight w:val="none"/>
              </w:rPr>
              <w:t>4</w:t>
            </w:r>
            <w:r>
              <w:rPr>
                <w:rFonts w:hint="eastAsia" w:ascii="宋体" w:hAnsi="宋体"/>
                <w:color w:val="auto"/>
                <w:sz w:val="21"/>
                <w:szCs w:val="21"/>
                <w:highlight w:val="none"/>
              </w:rPr>
              <w:t>分；一般得</w:t>
            </w:r>
            <w:r>
              <w:rPr>
                <w:rFonts w:hint="eastAsia" w:ascii="宋体" w:hAnsi="宋体" w:eastAsia="等线"/>
                <w:color w:val="auto"/>
                <w:sz w:val="21"/>
                <w:szCs w:val="21"/>
                <w:highlight w:val="none"/>
              </w:rPr>
              <w:t>3</w:t>
            </w:r>
            <w:r>
              <w:rPr>
                <w:rFonts w:hint="eastAsia" w:ascii="宋体" w:hAnsi="宋体"/>
                <w:color w:val="auto"/>
                <w:sz w:val="21"/>
                <w:szCs w:val="21"/>
                <w:highlight w:val="none"/>
              </w:rPr>
              <w:t>分；差不得分。</w:t>
            </w:r>
          </w:p>
        </w:tc>
      </w:tr>
      <w:tr w14:paraId="556B4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6" w:hRule="atLeast"/>
        </w:trPr>
        <w:tc>
          <w:tcPr>
            <w:tcW w:w="954" w:type="dxa"/>
            <w:vMerge w:val="continue"/>
            <w:tcBorders>
              <w:right w:val="single" w:color="auto" w:sz="4" w:space="0"/>
            </w:tcBorders>
            <w:noWrap w:val="0"/>
            <w:vAlign w:val="center"/>
          </w:tcPr>
          <w:p w14:paraId="77F267E9">
            <w:pPr>
              <w:snapToGrid w:val="0"/>
              <w:spacing w:after="0" w:line="320" w:lineRule="exact"/>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top"/>
          </w:tcPr>
          <w:p w14:paraId="5AB6AE38">
            <w:pPr>
              <w:snapToGrid w:val="0"/>
              <w:spacing w:after="0" w:line="300" w:lineRule="exact"/>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center"/>
          </w:tcPr>
          <w:p w14:paraId="24DCD82E">
            <w:pPr>
              <w:pStyle w:val="33"/>
              <w:kinsoku w:val="0"/>
              <w:overflowPunct w:val="0"/>
              <w:jc w:val="center"/>
              <w:rPr>
                <w:rFonts w:hint="eastAsia" w:ascii="宋体" w:hAnsi="宋体"/>
                <w:color w:val="auto"/>
                <w:sz w:val="21"/>
                <w:szCs w:val="21"/>
                <w:highlight w:val="none"/>
              </w:rPr>
            </w:pPr>
            <w:r>
              <w:rPr>
                <w:rFonts w:ascii="宋体" w:hAnsi="宋体"/>
                <w:color w:val="auto"/>
                <w:sz w:val="21"/>
                <w:szCs w:val="21"/>
                <w:highlight w:val="none"/>
              </w:rPr>
              <w:t>质量控制措施</w:t>
            </w:r>
          </w:p>
          <w:p w14:paraId="5525CFF6">
            <w:pPr>
              <w:spacing w:line="300" w:lineRule="exact"/>
              <w:jc w:val="center"/>
              <w:rPr>
                <w:rFonts w:hint="eastAsia" w:ascii="宋体" w:hAnsi="宋体" w:eastAsia="宋体" w:cs="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5</w:t>
            </w:r>
            <w:r>
              <w:rPr>
                <w:rFonts w:ascii="宋体" w:hAnsi="宋体"/>
                <w:color w:val="auto"/>
                <w:sz w:val="21"/>
                <w:szCs w:val="21"/>
                <w:highlight w:val="none"/>
              </w:rPr>
              <w:t>分）</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0EBDD930">
            <w:pPr>
              <w:spacing w:line="300" w:lineRule="exact"/>
              <w:ind w:left="-3" w:leftChars="-10" w:hanging="21" w:hangingChars="10"/>
              <w:rPr>
                <w:rFonts w:hint="eastAsia" w:ascii="宋体" w:hAnsi="宋体" w:eastAsia="宋体" w:cs="宋体"/>
                <w:color w:val="auto"/>
                <w:sz w:val="21"/>
                <w:szCs w:val="21"/>
                <w:highlight w:val="none"/>
              </w:rPr>
            </w:pPr>
            <w:r>
              <w:rPr>
                <w:rFonts w:hint="eastAsia" w:ascii="宋体" w:hAnsi="宋体"/>
                <w:color w:val="auto"/>
                <w:sz w:val="21"/>
                <w:szCs w:val="21"/>
                <w:highlight w:val="none"/>
              </w:rPr>
              <w:t>要求目标明确、方法合理可行、措施具体、针对性强。方案为优得5分；良得 4分；一般得3分；差不得分。</w:t>
            </w:r>
          </w:p>
        </w:tc>
      </w:tr>
      <w:tr w14:paraId="11AFB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6" w:hRule="atLeast"/>
        </w:trPr>
        <w:tc>
          <w:tcPr>
            <w:tcW w:w="954" w:type="dxa"/>
            <w:vMerge w:val="continue"/>
            <w:tcBorders>
              <w:right w:val="single" w:color="auto" w:sz="4" w:space="0"/>
            </w:tcBorders>
            <w:noWrap w:val="0"/>
            <w:vAlign w:val="top"/>
          </w:tcPr>
          <w:p w14:paraId="241CD0AD">
            <w:pPr>
              <w:snapToGrid w:val="0"/>
              <w:spacing w:after="0" w:line="320" w:lineRule="exact"/>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top"/>
          </w:tcPr>
          <w:p w14:paraId="3CAE6AE9">
            <w:pPr>
              <w:snapToGrid w:val="0"/>
              <w:spacing w:after="0" w:line="300" w:lineRule="exact"/>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D5C567">
            <w:pPr>
              <w:pStyle w:val="33"/>
              <w:kinsoku w:val="0"/>
              <w:overflowPunct w:val="0"/>
              <w:jc w:val="center"/>
              <w:rPr>
                <w:rFonts w:hint="eastAsia" w:ascii="宋体" w:hAnsi="宋体"/>
                <w:color w:val="auto"/>
                <w:sz w:val="21"/>
                <w:szCs w:val="21"/>
                <w:highlight w:val="none"/>
              </w:rPr>
            </w:pPr>
            <w:r>
              <w:rPr>
                <w:rFonts w:ascii="宋体" w:hAnsi="宋体"/>
                <w:color w:val="auto"/>
                <w:sz w:val="21"/>
                <w:szCs w:val="21"/>
                <w:highlight w:val="none"/>
              </w:rPr>
              <w:t>进度控制措施</w:t>
            </w:r>
          </w:p>
          <w:p w14:paraId="16658E98">
            <w:pPr>
              <w:spacing w:line="300" w:lineRule="exact"/>
              <w:jc w:val="center"/>
              <w:rPr>
                <w:rFonts w:hint="eastAsia" w:ascii="宋体" w:hAnsi="宋体" w:eastAsia="宋体" w:cs="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5</w:t>
            </w:r>
            <w:r>
              <w:rPr>
                <w:rFonts w:ascii="宋体" w:hAnsi="宋体"/>
                <w:color w:val="auto"/>
                <w:sz w:val="21"/>
                <w:szCs w:val="21"/>
                <w:highlight w:val="none"/>
              </w:rPr>
              <w:t>分）</w:t>
            </w:r>
          </w:p>
        </w:tc>
        <w:tc>
          <w:tcPr>
            <w:tcW w:w="58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64515E">
            <w:pPr>
              <w:spacing w:line="300" w:lineRule="exact"/>
              <w:ind w:left="-3" w:leftChars="-10" w:right="-13" w:hanging="21" w:hangingChars="10"/>
              <w:rPr>
                <w:rFonts w:hint="eastAsia" w:ascii="宋体" w:hAnsi="宋体" w:eastAsia="宋体" w:cs="宋体"/>
                <w:color w:val="auto"/>
                <w:sz w:val="21"/>
                <w:szCs w:val="21"/>
                <w:highlight w:val="none"/>
              </w:rPr>
            </w:pPr>
            <w:r>
              <w:rPr>
                <w:rFonts w:hint="eastAsia" w:ascii="宋体" w:hAnsi="宋体"/>
                <w:color w:val="auto"/>
                <w:sz w:val="21"/>
                <w:szCs w:val="21"/>
                <w:highlight w:val="none"/>
              </w:rPr>
              <w:t>要求目标明确、方法合理可行、措施具体、针对性强。方案为优得5分；良得 4分；一般得3分；差不得分。</w:t>
            </w:r>
          </w:p>
        </w:tc>
      </w:tr>
      <w:tr w14:paraId="5F98D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2" w:hRule="atLeast"/>
        </w:trPr>
        <w:tc>
          <w:tcPr>
            <w:tcW w:w="954" w:type="dxa"/>
            <w:vMerge w:val="continue"/>
            <w:tcBorders>
              <w:right w:val="single" w:color="auto" w:sz="4" w:space="0"/>
            </w:tcBorders>
            <w:noWrap w:val="0"/>
            <w:vAlign w:val="top"/>
          </w:tcPr>
          <w:p w14:paraId="6CE0F684">
            <w:pPr>
              <w:snapToGrid w:val="0"/>
              <w:spacing w:after="0" w:line="320" w:lineRule="exact"/>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top"/>
          </w:tcPr>
          <w:p w14:paraId="2D055D36">
            <w:pPr>
              <w:snapToGrid w:val="0"/>
              <w:spacing w:after="0" w:line="300" w:lineRule="exact"/>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3DF1A1">
            <w:pPr>
              <w:pStyle w:val="33"/>
              <w:kinsoku w:val="0"/>
              <w:overflowPunct w:val="0"/>
              <w:jc w:val="center"/>
              <w:rPr>
                <w:rFonts w:hint="eastAsia" w:ascii="宋体" w:hAnsi="宋体"/>
                <w:color w:val="auto"/>
                <w:sz w:val="21"/>
                <w:szCs w:val="21"/>
                <w:highlight w:val="none"/>
              </w:rPr>
            </w:pPr>
            <w:r>
              <w:rPr>
                <w:rFonts w:ascii="宋体" w:hAnsi="宋体"/>
                <w:color w:val="auto"/>
                <w:sz w:val="21"/>
                <w:szCs w:val="21"/>
                <w:highlight w:val="none"/>
              </w:rPr>
              <w:t>投资控制措施</w:t>
            </w:r>
          </w:p>
          <w:p w14:paraId="5CE62ADB">
            <w:pPr>
              <w:contextualSpacing/>
              <w:jc w:val="center"/>
              <w:rPr>
                <w:rFonts w:hint="eastAsia" w:ascii="宋体" w:hAnsi="宋体" w:eastAsia="宋体" w:cs="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5</w:t>
            </w:r>
            <w:r>
              <w:rPr>
                <w:rFonts w:ascii="宋体" w:hAnsi="宋体"/>
                <w:color w:val="auto"/>
                <w:sz w:val="21"/>
                <w:szCs w:val="21"/>
                <w:highlight w:val="none"/>
              </w:rPr>
              <w:t>分）</w:t>
            </w:r>
          </w:p>
        </w:tc>
        <w:tc>
          <w:tcPr>
            <w:tcW w:w="58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1D3A28">
            <w:pPr>
              <w:spacing w:line="300" w:lineRule="exact"/>
              <w:ind w:left="-3" w:leftChars="-10" w:right="-13" w:hanging="21" w:hangingChars="10"/>
              <w:rPr>
                <w:rFonts w:hint="eastAsia" w:ascii="宋体" w:hAnsi="宋体" w:eastAsia="宋体" w:cs="宋体"/>
                <w:color w:val="auto"/>
                <w:sz w:val="21"/>
                <w:szCs w:val="21"/>
                <w:highlight w:val="none"/>
              </w:rPr>
            </w:pPr>
            <w:r>
              <w:rPr>
                <w:rFonts w:hint="eastAsia" w:ascii="宋体" w:hAnsi="宋体"/>
                <w:color w:val="auto"/>
                <w:sz w:val="21"/>
                <w:szCs w:val="21"/>
                <w:highlight w:val="none"/>
              </w:rPr>
              <w:t>要求目标明确、方法合理可行、措施具体、针对性强。方案为优得5分；良得 4 分；一般得3分；差不得分。</w:t>
            </w:r>
          </w:p>
        </w:tc>
      </w:tr>
      <w:tr w14:paraId="367E6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2" w:hRule="atLeast"/>
        </w:trPr>
        <w:tc>
          <w:tcPr>
            <w:tcW w:w="954" w:type="dxa"/>
            <w:vMerge w:val="continue"/>
            <w:tcBorders>
              <w:right w:val="single" w:color="auto" w:sz="4" w:space="0"/>
            </w:tcBorders>
            <w:noWrap w:val="0"/>
            <w:vAlign w:val="top"/>
          </w:tcPr>
          <w:p w14:paraId="31960CC1">
            <w:pPr>
              <w:snapToGrid w:val="0"/>
              <w:spacing w:after="0" w:line="320" w:lineRule="exact"/>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top"/>
          </w:tcPr>
          <w:p w14:paraId="4E4A378E">
            <w:pPr>
              <w:snapToGrid w:val="0"/>
              <w:spacing w:after="0" w:line="300" w:lineRule="exact"/>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4070A4">
            <w:pPr>
              <w:pStyle w:val="33"/>
              <w:kinsoku w:val="0"/>
              <w:overflowPunct w:val="0"/>
              <w:jc w:val="center"/>
              <w:rPr>
                <w:rFonts w:hint="eastAsia" w:ascii="宋体" w:hAnsi="宋体"/>
                <w:color w:val="auto"/>
                <w:sz w:val="21"/>
                <w:szCs w:val="21"/>
                <w:highlight w:val="none"/>
              </w:rPr>
            </w:pPr>
            <w:r>
              <w:rPr>
                <w:rFonts w:ascii="宋体" w:hAnsi="宋体"/>
                <w:color w:val="auto"/>
                <w:sz w:val="21"/>
                <w:szCs w:val="21"/>
                <w:highlight w:val="none"/>
              </w:rPr>
              <w:t>安全、文明施工管理</w:t>
            </w:r>
          </w:p>
          <w:p w14:paraId="1C7058CD">
            <w:pPr>
              <w:contextualSpacing/>
              <w:jc w:val="center"/>
              <w:rPr>
                <w:rFonts w:hint="eastAsia" w:ascii="宋体" w:hAnsi="宋体" w:eastAsia="宋体" w:cs="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5</w:t>
            </w:r>
            <w:r>
              <w:rPr>
                <w:rFonts w:ascii="宋体" w:hAnsi="宋体"/>
                <w:color w:val="auto"/>
                <w:sz w:val="21"/>
                <w:szCs w:val="21"/>
                <w:highlight w:val="none"/>
              </w:rPr>
              <w:t>分）</w:t>
            </w:r>
          </w:p>
        </w:tc>
        <w:tc>
          <w:tcPr>
            <w:tcW w:w="58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ABC28A">
            <w:pPr>
              <w:spacing w:line="300" w:lineRule="exact"/>
              <w:ind w:left="-3" w:leftChars="-10" w:right="-13" w:hanging="21" w:hangingChars="10"/>
              <w:rPr>
                <w:rFonts w:hint="eastAsia" w:ascii="宋体" w:hAnsi="宋体" w:eastAsia="宋体" w:cs="宋体"/>
                <w:color w:val="auto"/>
                <w:sz w:val="21"/>
                <w:szCs w:val="21"/>
                <w:highlight w:val="none"/>
              </w:rPr>
            </w:pPr>
            <w:r>
              <w:rPr>
                <w:rFonts w:hint="eastAsia" w:ascii="宋体" w:hAnsi="宋体"/>
                <w:color w:val="auto"/>
                <w:sz w:val="21"/>
                <w:szCs w:val="21"/>
                <w:highlight w:val="none"/>
              </w:rPr>
              <w:t>安全、文明施工管理优得5分；良得4分；一般得3分；无措施不得分。</w:t>
            </w:r>
          </w:p>
        </w:tc>
      </w:tr>
      <w:tr w14:paraId="565A7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4" w:hRule="atLeast"/>
        </w:trPr>
        <w:tc>
          <w:tcPr>
            <w:tcW w:w="954" w:type="dxa"/>
            <w:vMerge w:val="continue"/>
            <w:tcBorders>
              <w:right w:val="single" w:color="auto" w:sz="4" w:space="0"/>
            </w:tcBorders>
            <w:noWrap w:val="0"/>
            <w:vAlign w:val="top"/>
          </w:tcPr>
          <w:p w14:paraId="24290CEA">
            <w:pPr>
              <w:snapToGrid w:val="0"/>
              <w:spacing w:after="0" w:line="320" w:lineRule="exact"/>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top"/>
          </w:tcPr>
          <w:p w14:paraId="68205645">
            <w:pPr>
              <w:snapToGrid w:val="0"/>
              <w:spacing w:after="0" w:line="300" w:lineRule="exact"/>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5C91AA">
            <w:pPr>
              <w:pStyle w:val="33"/>
              <w:kinsoku w:val="0"/>
              <w:overflowPunct w:val="0"/>
              <w:jc w:val="center"/>
              <w:rPr>
                <w:rFonts w:hint="eastAsia" w:ascii="宋体" w:hAnsi="宋体"/>
                <w:color w:val="auto"/>
                <w:sz w:val="21"/>
                <w:szCs w:val="21"/>
                <w:highlight w:val="none"/>
              </w:rPr>
            </w:pPr>
            <w:r>
              <w:rPr>
                <w:rFonts w:hint="eastAsia" w:ascii="宋体" w:hAnsi="宋体"/>
                <w:color w:val="auto"/>
                <w:sz w:val="21"/>
                <w:szCs w:val="21"/>
                <w:highlight w:val="none"/>
              </w:rPr>
              <w:t>会议制度</w:t>
            </w:r>
          </w:p>
          <w:p w14:paraId="23049002">
            <w:pPr>
              <w:spacing w:line="300" w:lineRule="exact"/>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（3分）</w:t>
            </w:r>
          </w:p>
        </w:tc>
        <w:tc>
          <w:tcPr>
            <w:tcW w:w="58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FF0BF6">
            <w:pPr>
              <w:spacing w:line="300" w:lineRule="exact"/>
              <w:ind w:left="-3" w:leftChars="-10" w:right="-13" w:hanging="21" w:hangingChars="10"/>
              <w:rPr>
                <w:rFonts w:hint="eastAsia" w:ascii="宋体" w:hAnsi="宋体" w:eastAsia="宋体" w:cs="宋体"/>
                <w:color w:val="auto"/>
                <w:sz w:val="21"/>
                <w:szCs w:val="21"/>
                <w:highlight w:val="none"/>
              </w:rPr>
            </w:pPr>
            <w:r>
              <w:rPr>
                <w:rFonts w:hint="eastAsia" w:ascii="宋体" w:hAnsi="宋体"/>
                <w:color w:val="auto"/>
                <w:sz w:val="21"/>
                <w:szCs w:val="21"/>
                <w:highlight w:val="none"/>
              </w:rPr>
              <w:t>建立完善的工地会议制度。满足要求得3分；基本满足要求得 2分；不满足要求不得分。</w:t>
            </w:r>
          </w:p>
        </w:tc>
      </w:tr>
      <w:tr w14:paraId="014F3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54" w:type="dxa"/>
            <w:vMerge w:val="continue"/>
            <w:tcBorders>
              <w:right w:val="single" w:color="auto" w:sz="4" w:space="0"/>
            </w:tcBorders>
            <w:noWrap w:val="0"/>
            <w:vAlign w:val="top"/>
          </w:tcPr>
          <w:p w14:paraId="0EF5B5BF">
            <w:pPr>
              <w:snapToGrid w:val="0"/>
              <w:spacing w:after="0" w:line="320" w:lineRule="exact"/>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top"/>
          </w:tcPr>
          <w:p w14:paraId="4EA76334">
            <w:pPr>
              <w:snapToGrid w:val="0"/>
              <w:spacing w:after="0" w:line="300" w:lineRule="exact"/>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61F140">
            <w:pPr>
              <w:contextualSpacing/>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监理组织协调内容及措施（</w:t>
            </w:r>
            <w:r>
              <w:rPr>
                <w:rFonts w:hint="eastAsia" w:ascii="宋体" w:hAnsi="宋体" w:eastAsia="等线"/>
                <w:color w:val="auto"/>
                <w:sz w:val="21"/>
                <w:szCs w:val="21"/>
                <w:highlight w:val="none"/>
              </w:rPr>
              <w:t>5</w:t>
            </w:r>
            <w:r>
              <w:rPr>
                <w:rFonts w:hint="eastAsia" w:ascii="宋体" w:hAnsi="宋体"/>
                <w:color w:val="auto"/>
                <w:sz w:val="21"/>
                <w:szCs w:val="21"/>
                <w:highlight w:val="none"/>
              </w:rPr>
              <w:t>分）</w:t>
            </w:r>
          </w:p>
        </w:tc>
        <w:tc>
          <w:tcPr>
            <w:tcW w:w="58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4BEF2D9">
            <w:pPr>
              <w:spacing w:line="300" w:lineRule="exact"/>
              <w:ind w:left="-3" w:leftChars="-10" w:right="-13" w:hanging="21" w:hangingChars="10"/>
              <w:rPr>
                <w:rFonts w:hint="eastAsia" w:ascii="宋体" w:hAnsi="宋体" w:eastAsia="宋体" w:cs="宋体"/>
                <w:color w:val="auto"/>
                <w:sz w:val="21"/>
                <w:szCs w:val="21"/>
                <w:highlight w:val="none"/>
              </w:rPr>
            </w:pPr>
            <w:r>
              <w:rPr>
                <w:rFonts w:hint="eastAsia" w:ascii="宋体" w:hAnsi="宋体"/>
                <w:color w:val="auto"/>
                <w:sz w:val="21"/>
                <w:szCs w:val="21"/>
                <w:highlight w:val="none"/>
              </w:rPr>
              <w:t>协调方法清晰合理，有具体措施。方案为优得</w:t>
            </w:r>
            <w:r>
              <w:rPr>
                <w:rFonts w:hint="eastAsia" w:ascii="宋体" w:hAnsi="宋体" w:eastAsia="等线"/>
                <w:color w:val="auto"/>
                <w:sz w:val="21"/>
                <w:szCs w:val="21"/>
                <w:highlight w:val="none"/>
              </w:rPr>
              <w:t>5</w:t>
            </w:r>
            <w:r>
              <w:rPr>
                <w:rFonts w:hint="eastAsia" w:ascii="宋体" w:hAnsi="宋体"/>
                <w:color w:val="auto"/>
                <w:sz w:val="21"/>
                <w:szCs w:val="21"/>
                <w:highlight w:val="none"/>
              </w:rPr>
              <w:t xml:space="preserve">分；良得 </w:t>
            </w:r>
            <w:r>
              <w:rPr>
                <w:rFonts w:hint="eastAsia" w:ascii="宋体" w:hAnsi="宋体" w:eastAsia="等线"/>
                <w:color w:val="auto"/>
                <w:sz w:val="21"/>
                <w:szCs w:val="21"/>
                <w:highlight w:val="none"/>
              </w:rPr>
              <w:t>4</w:t>
            </w:r>
            <w:r>
              <w:rPr>
                <w:rFonts w:hint="eastAsia" w:ascii="宋体" w:hAnsi="宋体"/>
                <w:color w:val="auto"/>
                <w:sz w:val="21"/>
                <w:szCs w:val="21"/>
                <w:highlight w:val="none"/>
              </w:rPr>
              <w:t>分；一般得</w:t>
            </w:r>
            <w:r>
              <w:rPr>
                <w:rFonts w:hint="eastAsia" w:ascii="宋体" w:hAnsi="宋体" w:eastAsia="等线"/>
                <w:color w:val="auto"/>
                <w:sz w:val="21"/>
                <w:szCs w:val="21"/>
                <w:highlight w:val="none"/>
              </w:rPr>
              <w:t>3</w:t>
            </w:r>
            <w:r>
              <w:rPr>
                <w:rFonts w:hint="eastAsia" w:ascii="宋体" w:hAnsi="宋体"/>
                <w:color w:val="auto"/>
                <w:sz w:val="21"/>
                <w:szCs w:val="21"/>
                <w:highlight w:val="none"/>
              </w:rPr>
              <w:t>分；差不得分；</w:t>
            </w:r>
          </w:p>
        </w:tc>
      </w:tr>
      <w:tr w14:paraId="6927B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54" w:type="dxa"/>
            <w:vMerge w:val="continue"/>
            <w:tcBorders>
              <w:right w:val="single" w:color="auto" w:sz="4" w:space="0"/>
            </w:tcBorders>
            <w:noWrap w:val="0"/>
            <w:vAlign w:val="top"/>
          </w:tcPr>
          <w:p w14:paraId="38A2E819">
            <w:pPr>
              <w:snapToGrid w:val="0"/>
              <w:spacing w:after="0" w:line="320" w:lineRule="exact"/>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top"/>
          </w:tcPr>
          <w:p w14:paraId="5C171067">
            <w:pPr>
              <w:snapToGrid w:val="0"/>
              <w:spacing w:after="0" w:line="300" w:lineRule="exact"/>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07E1AE">
            <w:pPr>
              <w:spacing w:line="300" w:lineRule="exact"/>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监理工作重点、难点分析（5分）</w:t>
            </w:r>
          </w:p>
        </w:tc>
        <w:tc>
          <w:tcPr>
            <w:tcW w:w="58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A9DDD8C">
            <w:pPr>
              <w:spacing w:line="300" w:lineRule="exact"/>
              <w:ind w:left="-3" w:leftChars="-10" w:right="-13" w:hanging="21" w:hangingChars="10"/>
              <w:rPr>
                <w:rFonts w:hint="eastAsia" w:ascii="宋体" w:hAnsi="宋体" w:eastAsia="宋体" w:cs="宋体"/>
                <w:color w:val="auto"/>
                <w:sz w:val="21"/>
                <w:szCs w:val="21"/>
                <w:highlight w:val="none"/>
              </w:rPr>
            </w:pPr>
            <w:r>
              <w:rPr>
                <w:rFonts w:hint="eastAsia" w:ascii="宋体" w:hAnsi="宋体"/>
                <w:color w:val="auto"/>
                <w:sz w:val="21"/>
                <w:szCs w:val="21"/>
                <w:highlight w:val="none"/>
              </w:rPr>
              <w:t>要求针对性强、措施具体、可操作。优得5分；良得4分；一般得3分；无措施得0分。</w:t>
            </w:r>
          </w:p>
        </w:tc>
      </w:tr>
      <w:tr w14:paraId="38344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54" w:type="dxa"/>
            <w:vMerge w:val="continue"/>
            <w:tcBorders>
              <w:right w:val="single" w:color="auto" w:sz="4" w:space="0"/>
            </w:tcBorders>
            <w:noWrap w:val="0"/>
            <w:vAlign w:val="top"/>
          </w:tcPr>
          <w:p w14:paraId="16FC0D5C">
            <w:pPr>
              <w:snapToGrid w:val="0"/>
              <w:spacing w:after="0" w:line="320" w:lineRule="exact"/>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top"/>
          </w:tcPr>
          <w:p w14:paraId="477B19CE">
            <w:pPr>
              <w:snapToGrid w:val="0"/>
              <w:spacing w:after="0" w:line="300" w:lineRule="exact"/>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8E5A6F">
            <w:pPr>
              <w:spacing w:line="300" w:lineRule="exact"/>
              <w:rPr>
                <w:rFonts w:hint="eastAsia" w:ascii="宋体" w:hAnsi="宋体" w:eastAsia="宋体" w:cs="宋体"/>
                <w:color w:val="auto"/>
                <w:sz w:val="21"/>
                <w:szCs w:val="21"/>
                <w:highlight w:val="none"/>
              </w:rPr>
            </w:pPr>
            <w:r>
              <w:rPr>
                <w:rFonts w:hint="eastAsia" w:ascii="宋体" w:hAnsi="宋体"/>
                <w:color w:val="auto"/>
                <w:kern w:val="0"/>
                <w:sz w:val="21"/>
                <w:szCs w:val="21"/>
                <w:highlight w:val="none"/>
              </w:rPr>
              <w:t>智慧工地管理举措及措施（</w:t>
            </w:r>
            <w:r>
              <w:rPr>
                <w:rFonts w:ascii="宋体" w:hAnsi="宋体"/>
                <w:color w:val="auto"/>
                <w:kern w:val="0"/>
                <w:sz w:val="21"/>
                <w:szCs w:val="21"/>
                <w:highlight w:val="none"/>
              </w:rPr>
              <w:t>4</w:t>
            </w:r>
            <w:r>
              <w:rPr>
                <w:rFonts w:hint="eastAsia" w:ascii="宋体" w:hAnsi="宋体"/>
                <w:color w:val="auto"/>
                <w:kern w:val="0"/>
                <w:sz w:val="21"/>
                <w:szCs w:val="21"/>
                <w:highlight w:val="none"/>
              </w:rPr>
              <w:t>分）</w:t>
            </w:r>
          </w:p>
        </w:tc>
        <w:tc>
          <w:tcPr>
            <w:tcW w:w="58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9F7B74">
            <w:pPr>
              <w:spacing w:line="300" w:lineRule="exact"/>
              <w:ind w:left="-3" w:leftChars="-10" w:right="-13" w:hanging="21" w:hangingChars="10"/>
              <w:rPr>
                <w:rFonts w:hint="eastAsia" w:ascii="宋体" w:hAnsi="宋体" w:eastAsia="宋体" w:cs="宋体"/>
                <w:color w:val="auto"/>
                <w:sz w:val="21"/>
                <w:szCs w:val="21"/>
                <w:highlight w:val="none"/>
              </w:rPr>
            </w:pPr>
            <w:r>
              <w:rPr>
                <w:rFonts w:hint="eastAsia" w:ascii="宋体" w:hAnsi="宋体"/>
                <w:color w:val="auto"/>
                <w:sz w:val="21"/>
                <w:szCs w:val="21"/>
                <w:highlight w:val="none"/>
              </w:rPr>
              <w:t>评比投标人在工程管理中实施智能化管理的举措及应用的能力，从</w:t>
            </w:r>
            <w:r>
              <w:rPr>
                <w:rFonts w:ascii="宋体" w:hAnsi="宋体"/>
                <w:color w:val="auto"/>
                <w:sz w:val="21"/>
                <w:szCs w:val="21"/>
                <w:highlight w:val="none"/>
              </w:rPr>
              <w:t>管理举措、管理软件到实施案例的情况。</w:t>
            </w:r>
            <w:r>
              <w:rPr>
                <w:rFonts w:hint="eastAsia" w:ascii="宋体" w:hAnsi="宋体"/>
                <w:color w:val="auto"/>
                <w:sz w:val="21"/>
                <w:szCs w:val="21"/>
                <w:highlight w:val="none"/>
              </w:rPr>
              <w:t>优得</w:t>
            </w:r>
            <w:r>
              <w:rPr>
                <w:rFonts w:ascii="宋体" w:hAnsi="宋体"/>
                <w:color w:val="auto"/>
                <w:sz w:val="21"/>
                <w:szCs w:val="21"/>
                <w:highlight w:val="none"/>
              </w:rPr>
              <w:t>4</w:t>
            </w:r>
            <w:r>
              <w:rPr>
                <w:rFonts w:hint="eastAsia" w:ascii="宋体" w:hAnsi="宋体"/>
                <w:color w:val="auto"/>
                <w:sz w:val="21"/>
                <w:szCs w:val="21"/>
                <w:highlight w:val="none"/>
              </w:rPr>
              <w:t>分；良得2分；中得1分；差不得分。</w:t>
            </w:r>
          </w:p>
        </w:tc>
      </w:tr>
      <w:tr w14:paraId="418AC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54" w:type="dxa"/>
            <w:vMerge w:val="continue"/>
            <w:tcBorders>
              <w:right w:val="single" w:color="auto" w:sz="4" w:space="0"/>
            </w:tcBorders>
            <w:noWrap w:val="0"/>
            <w:vAlign w:val="top"/>
          </w:tcPr>
          <w:p w14:paraId="7812DDD3">
            <w:pPr>
              <w:snapToGrid w:val="0"/>
              <w:spacing w:after="0" w:line="320" w:lineRule="exact"/>
              <w:rPr>
                <w:rFonts w:hint="eastAsia" w:ascii="宋体" w:hAnsi="宋体" w:eastAsia="宋体" w:cs="宋体"/>
                <w:color w:val="auto"/>
                <w:sz w:val="21"/>
                <w:szCs w:val="21"/>
                <w:highlight w:val="none"/>
              </w:rPr>
            </w:pPr>
          </w:p>
        </w:tc>
        <w:tc>
          <w:tcPr>
            <w:tcW w:w="1135" w:type="dxa"/>
            <w:vMerge w:val="continue"/>
            <w:tcBorders>
              <w:right w:val="single" w:color="auto" w:sz="4" w:space="0"/>
            </w:tcBorders>
            <w:noWrap w:val="0"/>
            <w:vAlign w:val="top"/>
          </w:tcPr>
          <w:p w14:paraId="63F72C34">
            <w:pPr>
              <w:snapToGrid w:val="0"/>
              <w:spacing w:after="0" w:line="300" w:lineRule="exact"/>
              <w:rPr>
                <w:rFonts w:hint="eastAsia" w:ascii="宋体" w:hAnsi="宋体" w:eastAsia="宋体" w:cs="宋体"/>
                <w:color w:val="auto"/>
                <w:sz w:val="21"/>
                <w:szCs w:val="21"/>
                <w:highlight w:val="none"/>
              </w:rPr>
            </w:pPr>
          </w:p>
        </w:tc>
        <w:tc>
          <w:tcPr>
            <w:tcW w:w="202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3AB110">
            <w:pPr>
              <w:spacing w:line="300" w:lineRule="exact"/>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合理化建议（3分）</w:t>
            </w:r>
          </w:p>
        </w:tc>
        <w:tc>
          <w:tcPr>
            <w:tcW w:w="58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67FE403">
            <w:pPr>
              <w:spacing w:line="300" w:lineRule="exact"/>
              <w:ind w:left="-3" w:leftChars="-10" w:right="-13" w:hanging="21" w:hangingChars="10"/>
              <w:rPr>
                <w:rFonts w:hint="eastAsia" w:ascii="宋体" w:hAnsi="宋体" w:eastAsia="宋体" w:cs="宋体"/>
                <w:color w:val="auto"/>
                <w:sz w:val="21"/>
                <w:szCs w:val="21"/>
                <w:highlight w:val="none"/>
              </w:rPr>
            </w:pPr>
            <w:r>
              <w:rPr>
                <w:rFonts w:hint="eastAsia" w:ascii="宋体" w:hAnsi="宋体"/>
                <w:color w:val="auto"/>
                <w:sz w:val="21"/>
                <w:szCs w:val="21"/>
                <w:highlight w:val="none"/>
              </w:rPr>
              <w:t>建议科学、合理的。优得3分；良得2分；中得1分；差不得分。</w:t>
            </w:r>
          </w:p>
        </w:tc>
      </w:tr>
      <w:tr w14:paraId="13040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43"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14:paraId="29525A8C">
            <w:pPr>
              <w:snapToGrid w:val="0"/>
              <w:spacing w:after="0"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2.2.4（3）</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D944591">
            <w:pPr>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投标报价评分标准</w:t>
            </w:r>
          </w:p>
          <w:p w14:paraId="6443749C">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2AFCE040">
            <w:pPr>
              <w:snapToGrid w:val="0"/>
              <w:spacing w:after="0"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报价得分(10分)</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3F8A6BEE">
            <w:pPr>
              <w:snapToGrid w:val="0"/>
              <w:spacing w:after="0"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以评标基准价作为计算各有效投标价得分的基础，当有效投标报价等于评标基准价时得10分；投标有效报价与评标基准价之差，每上偏1%扣0.2分，下偏1%扣0.1分，最多扣10分。</w:t>
            </w:r>
          </w:p>
        </w:tc>
      </w:tr>
    </w:tbl>
    <w:p w14:paraId="5968F60B">
      <w:pPr>
        <w:spacing w:after="0" w:line="240" w:lineRule="auto"/>
        <w:jc w:val="both"/>
        <w:rPr>
          <w:rFonts w:hint="eastAsia" w:ascii="宋体" w:hAnsi="宋体" w:eastAsia="宋体" w:cs="宋体"/>
          <w:color w:val="auto"/>
          <w:sz w:val="21"/>
          <w:szCs w:val="21"/>
          <w:highlight w:val="none"/>
        </w:rPr>
      </w:pPr>
    </w:p>
    <w:p w14:paraId="0CB02278">
      <w:pPr>
        <w:ind w:left="10" w:hanging="10" w:hangingChars="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E8CF5C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（1）类似工程：是指招标公告中3.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所述资质方能承接的市政公用工程，需同时提供中标通知书或免招标的相关证明、施工监理合同、竣工验收报告或竣工验收证明，业绩时间以竣工验收报告或竣工验收证明出具时间为准。</w:t>
      </w:r>
    </w:p>
    <w:p w14:paraId="198E23E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（2）获奖业绩：</w:t>
      </w:r>
      <w:r>
        <w:rPr>
          <w:rFonts w:hint="eastAsia" w:ascii="宋体" w:hAnsi="宋体" w:eastAsia="宋体" w:cs="宋体"/>
          <w:bCs/>
          <w:color w:val="auto"/>
          <w:sz w:val="21"/>
          <w:szCs w:val="21"/>
          <w:highlight w:val="none"/>
        </w:rPr>
        <w:t>①获奖时间以获奖证书或获奖文件颁发日期为准。②</w:t>
      </w:r>
      <w:r>
        <w:rPr>
          <w:rFonts w:hint="eastAsia" w:ascii="宋体" w:hAnsi="宋体" w:eastAsia="宋体" w:cs="宋体"/>
          <w:color w:val="auto"/>
          <w:sz w:val="21"/>
          <w:szCs w:val="21"/>
          <w:highlight w:val="none"/>
        </w:rPr>
        <w:t>国家级奖指全国市政金杯示范工程、市政工程最高质量水平评价奖、鲁班奖、中国土木工程詹天佑大奖、金质奖、银质奖、国家优质奖等；省级奖指省级优良样板工程、优质奖、市政金奖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市政工程最高质量水平评价奖等；市级奖指市级优良样板工程、优质奖等。须提供获奖证书或获奖文件</w:t>
      </w:r>
      <w:r>
        <w:rPr>
          <w:rFonts w:hint="eastAsia" w:ascii="宋体" w:hAnsi="宋体" w:eastAsia="宋体" w:cs="宋体"/>
          <w:bCs/>
          <w:color w:val="auto"/>
          <w:sz w:val="21"/>
          <w:szCs w:val="21"/>
          <w:highlight w:val="none"/>
        </w:rPr>
        <w:t>或颁发机构官网文件截图</w:t>
      </w:r>
      <w:r>
        <w:rPr>
          <w:rFonts w:hint="eastAsia" w:ascii="宋体" w:hAnsi="宋体" w:eastAsia="宋体" w:cs="宋体"/>
          <w:color w:val="auto"/>
          <w:sz w:val="21"/>
          <w:szCs w:val="21"/>
          <w:highlight w:val="none"/>
        </w:rPr>
        <w:t>；同一工程获奖按最高奖项计取一次得分，不重复计算。</w:t>
      </w:r>
    </w:p>
    <w:p w14:paraId="0092C64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（3）总监理工程师业绩以中标通知书或监理合同或竣工验收报告所载为准。需提供职称证书、中标通知书或监理合同或竣工验收报告扫描件，证明材料中须能体现对应人员的职位与姓名。</w:t>
      </w:r>
    </w:p>
    <w:p w14:paraId="0B4FC22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监理机构人员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入人员均为本单位人员，须提交投标人为拟投入人员缴纳投标截止日前近1个月（2025年7月）的社保证明，需按评审要求对应提供拟投入人员的相关证书扫描件，个人奖项获奖证书以工程科学技术类奖为准，须提供相关获奖证书证明材料扫描件，同一人只按最高等级奖项计取一次，不重复计取。</w:t>
      </w:r>
    </w:p>
    <w:p w14:paraId="1E5AEAF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A级纳税人：纳税信用等级及时间以国家税务总局官网（http://www.chinatax.gov.cn/）查询结果或相关税务部门网站公布信息为准，纳税人等级只计算投标人自身（不计算投标人的分公司和子公司），投标人须提供等级证书以及在上述官网的查询结果网页截图。时间以国家税务总局官网公布的获奖年度（评价年度）为准。未提供上述资料或不符合要求的不得分。</w:t>
      </w:r>
    </w:p>
    <w:p w14:paraId="644A921F">
      <w:pPr>
        <w:ind w:firstLine="420" w:firstLineChars="200"/>
        <w:rPr>
          <w:rFonts w:hint="eastAsia" w:ascii="宋体" w:hAnsi="宋体" w:eastAsia="宋体" w:cs="宋体"/>
          <w:color w:val="auto"/>
          <w:sz w:val="20"/>
          <w:szCs w:val="20"/>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6</w:t>
      </w:r>
      <w:r>
        <w:rPr>
          <w:rFonts w:hint="eastAsia" w:ascii="宋体" w:hAnsi="宋体" w:eastAsia="宋体" w:cs="宋体"/>
          <w:color w:val="auto"/>
          <w:sz w:val="21"/>
          <w:szCs w:val="21"/>
          <w:highlight w:val="none"/>
        </w:rPr>
        <w:t>）投标人综合得分为各评委评分的算术平均值（分数出现小数点时，保留小数点后二位，第三位小数四舍五入）。</w:t>
      </w:r>
    </w:p>
    <w:p w14:paraId="50C06A89">
      <w:pPr>
        <w:spacing w:after="123" w:line="300" w:lineRule="exact"/>
        <w:ind w:right="102" w:firstLine="420" w:firstLineChars="200"/>
        <w:rPr>
          <w:rFonts w:hint="eastAsia" w:ascii="宋体" w:hAnsi="宋体" w:eastAsia="宋体" w:cs="宋体"/>
          <w:color w:val="auto"/>
          <w:sz w:val="21"/>
          <w:highlight w:val="none"/>
        </w:rPr>
      </w:pPr>
    </w:p>
    <w:bookmarkEnd w:id="95"/>
    <w:p w14:paraId="0B38F347">
      <w:pPr>
        <w:pStyle w:val="3"/>
        <w:spacing w:after="176"/>
        <w:ind w:left="0" w:leftChars="0" w:right="216" w:firstLine="0" w:firstLineChars="0"/>
        <w:jc w:val="both"/>
        <w:rPr>
          <w:rFonts w:hint="eastAsia" w:ascii="宋体" w:hAnsi="宋体" w:eastAsia="宋体" w:cs="宋体"/>
          <w:color w:val="auto"/>
          <w:sz w:val="32"/>
          <w:highlight w:val="none"/>
        </w:rPr>
      </w:pPr>
    </w:p>
    <w:p w14:paraId="0B3FFE55">
      <w:pPr>
        <w:rPr>
          <w:rFonts w:hint="default"/>
          <w:color w:val="auto"/>
          <w:highlight w:val="none"/>
        </w:rPr>
      </w:pPr>
      <w:r>
        <w:rPr>
          <w:rFonts w:hint="default"/>
          <w:color w:val="auto"/>
          <w:highlight w:val="none"/>
        </w:rPr>
        <w:br w:type="page"/>
      </w:r>
    </w:p>
    <w:p w14:paraId="423D19F0">
      <w:pPr>
        <w:pStyle w:val="30"/>
        <w:ind w:firstLine="0" w:firstLineChars="0"/>
        <w:rPr>
          <w:rFonts w:hint="default"/>
          <w:color w:val="auto"/>
          <w:highlight w:val="none"/>
        </w:rPr>
      </w:pPr>
    </w:p>
    <w:p w14:paraId="4261E936">
      <w:pPr>
        <w:spacing w:line="360" w:lineRule="auto"/>
        <w:ind w:firstLine="560" w:firstLineChars="200"/>
        <w:jc w:val="center"/>
        <w:rPr>
          <w:rFonts w:ascii="黑体" w:hAnsi="黑体" w:eastAsia="黑体"/>
          <w:color w:val="auto"/>
          <w:sz w:val="28"/>
          <w:szCs w:val="27"/>
          <w:highlight w:val="none"/>
        </w:rPr>
      </w:pPr>
      <w:r>
        <w:rPr>
          <w:rFonts w:hint="eastAsia" w:ascii="黑体" w:hAnsi="黑体" w:eastAsia="黑体"/>
          <w:color w:val="auto"/>
          <w:sz w:val="28"/>
          <w:szCs w:val="27"/>
          <w:highlight w:val="none"/>
        </w:rPr>
        <w:t>评标办法修改表</w:t>
      </w:r>
    </w:p>
    <w:p w14:paraId="051762A9">
      <w:pPr>
        <w:pStyle w:val="23"/>
        <w:spacing w:line="360" w:lineRule="auto"/>
        <w:rPr>
          <w:rFonts w:hint="default" w:ascii="宋体" w:hAnsi="宋体" w:eastAsia="宋体"/>
          <w:color w:val="auto"/>
          <w:sz w:val="24"/>
          <w:highlight w:val="none"/>
        </w:rPr>
      </w:pPr>
      <w:r>
        <w:rPr>
          <w:rFonts w:ascii="宋体" w:hAnsi="宋体" w:eastAsia="宋体"/>
          <w:color w:val="auto"/>
          <w:sz w:val="24"/>
          <w:highlight w:val="none"/>
        </w:rPr>
        <w:t>声明：本评标办法使用</w:t>
      </w:r>
      <w:r>
        <w:rPr>
          <w:rFonts w:ascii="仿宋_GB2312" w:hAnsi="宋体" w:eastAsia="仿宋_GB2312"/>
          <w:color w:val="auto"/>
          <w:sz w:val="24"/>
          <w:highlight w:val="none"/>
        </w:rPr>
        <w:t>SWZB2024-05</w:t>
      </w:r>
      <w:r>
        <w:rPr>
          <w:rFonts w:ascii="宋体" w:hAnsi="宋体" w:eastAsia="宋体"/>
          <w:color w:val="auto"/>
          <w:sz w:val="24"/>
          <w:highlight w:val="none"/>
        </w:rPr>
        <w:t>招标文件范本的评标办法条款，与该条款不同之处，均在本表中列明，并以现文为准，原文不再有效。</w:t>
      </w:r>
    </w:p>
    <w:p w14:paraId="4C2C70FD">
      <w:pPr>
        <w:spacing w:line="480" w:lineRule="auto"/>
        <w:ind w:firstLine="537" w:firstLineChars="224"/>
        <w:rPr>
          <w:rFonts w:ascii="宋体" w:hAnsi="宋体"/>
          <w:color w:val="auto"/>
          <w:szCs w:val="21"/>
          <w:highlight w:val="none"/>
        </w:rPr>
      </w:pPr>
    </w:p>
    <w:p w14:paraId="5DCCDBD4">
      <w:pP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条款号：2.2 分值构成与评分标准             修改类型：修改</w:t>
      </w:r>
    </w:p>
    <w:p w14:paraId="5DCD95E4">
      <w:pP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原文：2.2.1  分值构成</w:t>
      </w:r>
    </w:p>
    <w:p w14:paraId="611DAA22">
      <w:pP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（1）资信业绩部分：见评标办法前附表；</w:t>
      </w:r>
    </w:p>
    <w:p w14:paraId="36E153B0">
      <w:pP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（2）监理大纲部分：见评标办法前附表；</w:t>
      </w:r>
    </w:p>
    <w:p w14:paraId="54C168F7">
      <w:pP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（3）投标报价：见评标办法前附表；</w:t>
      </w:r>
    </w:p>
    <w:p w14:paraId="4DCD3DC9">
      <w:pP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 xml:space="preserve">（4）诚信得分：见评标办法前附表。 </w:t>
      </w:r>
    </w:p>
    <w:p w14:paraId="43B97299">
      <w:pPr>
        <w:pBdr>
          <w:bottom w:val="single" w:color="auto" w:sz="6" w:space="1"/>
        </w:pBd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现文：2.2.1  分值构成</w:t>
      </w:r>
    </w:p>
    <w:p w14:paraId="6FAE10F8">
      <w:pPr>
        <w:pBdr>
          <w:bottom w:val="single" w:color="auto" w:sz="6" w:space="1"/>
        </w:pBd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（1）资信业绩部分：见评标办法前附表；</w:t>
      </w:r>
    </w:p>
    <w:p w14:paraId="21A562B4">
      <w:pPr>
        <w:pBdr>
          <w:bottom w:val="single" w:color="auto" w:sz="6" w:space="1"/>
        </w:pBd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（2）监理大纲部分：见评标办法前附表；</w:t>
      </w:r>
    </w:p>
    <w:p w14:paraId="0F54119F">
      <w:pPr>
        <w:pBdr>
          <w:bottom w:val="single" w:color="auto" w:sz="6" w:space="1"/>
        </w:pBd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（3）投标报价：见评标办法前附表；</w:t>
      </w:r>
    </w:p>
    <w:p w14:paraId="122B1EDC">
      <w:pPr>
        <w:pBdr>
          <w:bottom w:val="single" w:color="auto" w:sz="6" w:space="1"/>
        </w:pBdr>
        <w:spacing w:line="480" w:lineRule="auto"/>
        <w:ind w:firstLine="537" w:firstLineChars="224"/>
        <w:rPr>
          <w:rFonts w:ascii="宋体" w:hAnsi="宋体"/>
          <w:strike/>
          <w:color w:val="auto"/>
          <w:szCs w:val="21"/>
          <w:highlight w:val="none"/>
        </w:rPr>
      </w:pPr>
      <w:r>
        <w:rPr>
          <w:rFonts w:hint="eastAsia" w:ascii="宋体" w:hAnsi="宋体"/>
          <w:strike/>
          <w:color w:val="auto"/>
          <w:szCs w:val="21"/>
          <w:highlight w:val="none"/>
        </w:rPr>
        <w:t xml:space="preserve">（4）诚信得分：见评标办法前附表。 </w:t>
      </w:r>
    </w:p>
    <w:p w14:paraId="6E83D28E">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rFonts w:hint="eastAsia"/>
          <w:color w:val="auto"/>
          <w:sz w:val="24"/>
          <w:szCs w:val="21"/>
          <w:highlight w:val="none"/>
        </w:rPr>
        <w:t>原文：</w:t>
      </w:r>
      <w:r>
        <w:rPr>
          <w:color w:val="auto"/>
          <w:sz w:val="24"/>
          <w:highlight w:val="none"/>
        </w:rPr>
        <w:t>2.2.4  评分标准</w:t>
      </w:r>
    </w:p>
    <w:p w14:paraId="5A71088D">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color w:val="auto"/>
          <w:sz w:val="24"/>
          <w:highlight w:val="none"/>
        </w:rPr>
        <w:t>（1）资信业绩评分标准：见评标办法前附表；</w:t>
      </w:r>
    </w:p>
    <w:p w14:paraId="53EC6E04">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color w:val="auto"/>
          <w:sz w:val="24"/>
          <w:highlight w:val="none"/>
        </w:rPr>
        <w:t>（2）监理大纲评分标准：见评标办法前附表；</w:t>
      </w:r>
    </w:p>
    <w:p w14:paraId="791E7647">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color w:val="auto"/>
          <w:sz w:val="24"/>
          <w:highlight w:val="none"/>
        </w:rPr>
        <w:t>（3）投标报价评分标准：见评标办法前附表；</w:t>
      </w:r>
    </w:p>
    <w:p w14:paraId="451A9B25">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color w:val="auto"/>
          <w:sz w:val="24"/>
          <w:highlight w:val="none"/>
        </w:rPr>
        <w:t>（4）诚信得分评分标准：见评标办法前附表。</w:t>
      </w:r>
    </w:p>
    <w:p w14:paraId="018FAA26">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20" w:firstLineChars="200"/>
        <w:jc w:val="both"/>
        <w:rPr>
          <w:color w:val="auto"/>
          <w:szCs w:val="21"/>
          <w:highlight w:val="none"/>
        </w:rPr>
      </w:pPr>
      <w:r>
        <w:rPr>
          <w:color w:val="auto"/>
          <w:szCs w:val="21"/>
          <w:highlight w:val="none"/>
        </w:rPr>
        <w:t>注：投标人的诚信评价总分取自本项目招标公告发布第1天所在季度的上一季度的诚信综合评价分。</w:t>
      </w:r>
    </w:p>
    <w:p w14:paraId="5318E233">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rFonts w:hint="default" w:eastAsia="宋体"/>
          <w:color w:val="auto"/>
          <w:sz w:val="24"/>
          <w:highlight w:val="none"/>
          <w:lang w:val="en-US" w:eastAsia="zh-CN"/>
        </w:rPr>
      </w:pPr>
      <w:r>
        <w:rPr>
          <w:rFonts w:hint="eastAsia"/>
          <w:color w:val="auto"/>
          <w:sz w:val="24"/>
          <w:szCs w:val="21"/>
          <w:highlight w:val="none"/>
        </w:rPr>
        <w:t>现文：</w:t>
      </w:r>
      <w:r>
        <w:rPr>
          <w:color w:val="auto"/>
          <w:sz w:val="24"/>
          <w:highlight w:val="none"/>
        </w:rPr>
        <w:t>2.2.4  评分标准</w:t>
      </w:r>
      <w:r>
        <w:rPr>
          <w:rFonts w:hint="eastAsia"/>
          <w:color w:val="auto"/>
          <w:sz w:val="24"/>
          <w:highlight w:val="none"/>
          <w:lang w:val="en-US" w:eastAsia="zh-CN"/>
        </w:rPr>
        <w:t xml:space="preserve">             </w:t>
      </w:r>
    </w:p>
    <w:p w14:paraId="34615473">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color w:val="auto"/>
          <w:sz w:val="24"/>
          <w:highlight w:val="none"/>
        </w:rPr>
        <w:t>（1）资信业绩评分标准：见评标办法前附表；</w:t>
      </w:r>
    </w:p>
    <w:p w14:paraId="401E3294">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color w:val="auto"/>
          <w:sz w:val="24"/>
          <w:highlight w:val="none"/>
        </w:rPr>
        <w:t>（2）监理大纲评分标准：见评标办法前附表；</w:t>
      </w:r>
    </w:p>
    <w:p w14:paraId="2DF5764F">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color w:val="auto"/>
          <w:sz w:val="24"/>
          <w:highlight w:val="none"/>
        </w:rPr>
        <w:t>（3）投标报价评分标准：见评标办法前附表；</w:t>
      </w:r>
    </w:p>
    <w:p w14:paraId="1761857D">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strike/>
          <w:color w:val="auto"/>
          <w:sz w:val="24"/>
          <w:highlight w:val="none"/>
        </w:rPr>
      </w:pPr>
      <w:r>
        <w:rPr>
          <w:strike/>
          <w:color w:val="auto"/>
          <w:sz w:val="24"/>
          <w:highlight w:val="none"/>
        </w:rPr>
        <w:t>（4）诚信得分评分标准：见评标办法前附表。</w:t>
      </w:r>
    </w:p>
    <w:p w14:paraId="5D98D002">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20" w:firstLineChars="200"/>
        <w:jc w:val="both"/>
        <w:rPr>
          <w:strike/>
          <w:color w:val="auto"/>
          <w:szCs w:val="21"/>
          <w:highlight w:val="none"/>
        </w:rPr>
      </w:pPr>
      <w:r>
        <w:rPr>
          <w:strike/>
          <w:color w:val="auto"/>
          <w:szCs w:val="21"/>
          <w:highlight w:val="none"/>
        </w:rPr>
        <w:t>注：投标人的诚信评价总分取自本项目招标公告发布第1天所在季度的上一季度的诚信综合评价分。</w:t>
      </w:r>
    </w:p>
    <w:p w14:paraId="1BD9E2E5">
      <w:pPr>
        <w:pBdr>
          <w:bottom w:val="single" w:color="auto" w:sz="6" w:space="1"/>
        </w:pBdr>
        <w:spacing w:line="480" w:lineRule="auto"/>
        <w:rPr>
          <w:rFonts w:ascii="宋体" w:hAnsi="宋体"/>
          <w:color w:val="auto"/>
          <w:szCs w:val="21"/>
          <w:highlight w:val="none"/>
        </w:rPr>
      </w:pPr>
    </w:p>
    <w:p w14:paraId="77C0F162">
      <w:pPr>
        <w:pStyle w:val="23"/>
        <w:spacing w:line="480" w:lineRule="auto"/>
        <w:ind w:left="0" w:firstLine="0"/>
        <w:rPr>
          <w:rFonts w:hint="default" w:ascii="宋体" w:hAnsi="宋体" w:eastAsia="宋体"/>
          <w:b/>
          <w:color w:val="auto"/>
          <w:sz w:val="24"/>
          <w:szCs w:val="21"/>
          <w:highlight w:val="none"/>
        </w:rPr>
      </w:pPr>
    </w:p>
    <w:p w14:paraId="3BD28B53">
      <w:pP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条款号：</w:t>
      </w:r>
      <w:bookmarkStart w:id="96" w:name="_Toc262229169"/>
      <w:bookmarkEnd w:id="96"/>
      <w:bookmarkStart w:id="97" w:name="_Toc359263257"/>
      <w:bookmarkEnd w:id="97"/>
      <w:bookmarkStart w:id="98" w:name="_Toc155150493"/>
      <w:bookmarkEnd w:id="98"/>
      <w:r>
        <w:rPr>
          <w:rFonts w:hint="eastAsia" w:ascii="宋体" w:hAnsi="宋体"/>
          <w:color w:val="auto"/>
          <w:szCs w:val="21"/>
          <w:highlight w:val="none"/>
        </w:rPr>
        <w:t>3.1.4    修改类型：增加</w:t>
      </w:r>
    </w:p>
    <w:p w14:paraId="44545E0C">
      <w:pPr>
        <w:pBdr>
          <w:bottom w:val="single" w:color="auto" w:sz="6" w:space="1"/>
        </w:pBdr>
        <w:spacing w:line="480" w:lineRule="auto"/>
        <w:ind w:firstLine="537" w:firstLineChars="224"/>
        <w:rPr>
          <w:color w:val="auto"/>
          <w:highlight w:val="none"/>
          <w:u w:val="single"/>
        </w:rPr>
      </w:pPr>
      <w:r>
        <w:rPr>
          <w:rFonts w:hint="eastAsia" w:ascii="宋体" w:hAnsi="宋体"/>
          <w:color w:val="auto"/>
          <w:szCs w:val="21"/>
          <w:highlight w:val="none"/>
        </w:rPr>
        <w:t>现文：</w:t>
      </w:r>
      <w:r>
        <w:rPr>
          <w:color w:val="auto"/>
          <w:highlight w:val="none"/>
          <w:u w:val="single"/>
        </w:rPr>
        <w:t>只有通过初步评审的投标人才能进入下一阶段详细评审。当通过初步评审的有效投标人不足三名时，招标人应当依法重新组织招标。在进行资格评审、形式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r>
        <w:rPr>
          <w:rFonts w:hint="eastAsia"/>
          <w:color w:val="auto"/>
          <w:highlight w:val="none"/>
          <w:u w:val="single"/>
        </w:rPr>
        <w:t>。</w:t>
      </w:r>
    </w:p>
    <w:p w14:paraId="3C9A087E">
      <w:pPr>
        <w:spacing w:line="480" w:lineRule="auto"/>
        <w:ind w:firstLine="537" w:firstLineChars="224"/>
        <w:rPr>
          <w:rFonts w:ascii="宋体" w:hAnsi="宋体"/>
          <w:color w:val="auto"/>
          <w:szCs w:val="21"/>
          <w:highlight w:val="none"/>
        </w:rPr>
      </w:pPr>
      <w:r>
        <w:rPr>
          <w:rFonts w:hint="eastAsia" w:ascii="宋体" w:hAnsi="宋体"/>
          <w:color w:val="auto"/>
          <w:szCs w:val="21"/>
          <w:highlight w:val="none"/>
        </w:rPr>
        <w:t>条款号： 3.2  详细评审            修改类型：修改</w:t>
      </w:r>
    </w:p>
    <w:p w14:paraId="1FE701B4">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rFonts w:hint="eastAsia"/>
          <w:color w:val="auto"/>
          <w:sz w:val="24"/>
          <w:szCs w:val="21"/>
          <w:highlight w:val="none"/>
        </w:rPr>
        <w:t>原文：</w:t>
      </w:r>
      <w:r>
        <w:rPr>
          <w:color w:val="auto"/>
          <w:sz w:val="24"/>
          <w:highlight w:val="none"/>
        </w:rPr>
        <w:t>3.2.1 评标委员会按本章第 2.2 款规定的量化因素和分值进行打分，并计算出综合评估得分。</w:t>
      </w:r>
    </w:p>
    <w:p w14:paraId="405F673F">
      <w:pPr>
        <w:pStyle w:val="2"/>
        <w:tabs>
          <w:tab w:val="left" w:pos="1343"/>
          <w:tab w:val="left" w:pos="2697"/>
          <w:tab w:val="left" w:pos="3264"/>
          <w:tab w:val="left" w:pos="4896"/>
          <w:tab w:val="left" w:pos="6005"/>
          <w:tab w:val="left" w:pos="7085"/>
          <w:tab w:val="left" w:pos="7498"/>
        </w:tabs>
        <w:kinsoku w:val="0"/>
        <w:overflowPunct w:val="0"/>
        <w:spacing w:line="480" w:lineRule="auto"/>
        <w:ind w:left="0" w:right="-240" w:rightChars="-100" w:firstLine="480" w:firstLineChars="200"/>
        <w:jc w:val="both"/>
        <w:rPr>
          <w:color w:val="auto"/>
          <w:sz w:val="24"/>
          <w:highlight w:val="none"/>
        </w:rPr>
      </w:pPr>
      <w:r>
        <w:rPr>
          <w:color w:val="auto"/>
          <w:sz w:val="24"/>
          <w:highlight w:val="none"/>
        </w:rPr>
        <w:t>（1）按本章第2.2.4（1）目规定的评审因素和分值对资信业绩部分计算出得分A，</w:t>
      </w:r>
      <w:r>
        <w:rPr>
          <w:color w:val="auto"/>
          <w:sz w:val="24"/>
          <w:highlight w:val="none"/>
          <w:u w:val="single"/>
        </w:rPr>
        <w:t>资信业绩部分评审得分A为各评标专家打分的算术平均值</w:t>
      </w:r>
      <w:r>
        <w:rPr>
          <w:color w:val="auto"/>
          <w:sz w:val="24"/>
          <w:highlight w:val="none"/>
        </w:rPr>
        <w:t>；</w:t>
      </w:r>
    </w:p>
    <w:p w14:paraId="348B0305">
      <w:pPr>
        <w:pStyle w:val="2"/>
        <w:tabs>
          <w:tab w:val="left" w:pos="1343"/>
          <w:tab w:val="left" w:pos="2697"/>
          <w:tab w:val="left" w:pos="3264"/>
          <w:tab w:val="left" w:pos="4896"/>
          <w:tab w:val="left" w:pos="6005"/>
          <w:tab w:val="left" w:pos="7085"/>
          <w:tab w:val="left" w:pos="7498"/>
        </w:tabs>
        <w:kinsoku w:val="0"/>
        <w:overflowPunct w:val="0"/>
        <w:spacing w:line="480" w:lineRule="auto"/>
        <w:ind w:left="0" w:right="-240" w:rightChars="-100" w:firstLine="480" w:firstLineChars="200"/>
        <w:jc w:val="both"/>
        <w:rPr>
          <w:color w:val="auto"/>
          <w:sz w:val="24"/>
          <w:highlight w:val="none"/>
        </w:rPr>
      </w:pPr>
      <w:r>
        <w:rPr>
          <w:color w:val="auto"/>
          <w:sz w:val="24"/>
          <w:highlight w:val="none"/>
        </w:rPr>
        <w:t>（2）按本章第2.2.4（2）目规定的评审因素和分值对监理大纲部分计算出得分B，</w:t>
      </w:r>
      <w:r>
        <w:rPr>
          <w:color w:val="auto"/>
          <w:sz w:val="24"/>
          <w:highlight w:val="none"/>
          <w:u w:val="single"/>
        </w:rPr>
        <w:fldChar w:fldCharType="begin"/>
      </w:r>
      <w:r>
        <w:rPr>
          <w:color w:val="auto"/>
          <w:sz w:val="24"/>
          <w:highlight w:val="none"/>
          <w:u w:val="single"/>
        </w:rPr>
        <w:instrText xml:space="preserve"> = 1 \* GB3 \* MERGEFORMAT </w:instrText>
      </w:r>
      <w:r>
        <w:rPr>
          <w:color w:val="auto"/>
          <w:sz w:val="24"/>
          <w:highlight w:val="none"/>
          <w:u w:val="single"/>
        </w:rPr>
        <w:fldChar w:fldCharType="separate"/>
      </w:r>
      <w:r>
        <w:rPr>
          <w:color w:val="auto"/>
          <w:highlight w:val="none"/>
          <w:u w:val="single"/>
        </w:rPr>
        <w:t>①</w:t>
      </w:r>
      <w:r>
        <w:rPr>
          <w:color w:val="auto"/>
          <w:highlight w:val="none"/>
          <w:u w:val="single"/>
        </w:rPr>
        <w:fldChar w:fldCharType="end"/>
      </w:r>
      <w:r>
        <w:rPr>
          <w:color w:val="auto"/>
          <w:sz w:val="24"/>
          <w:highlight w:val="none"/>
          <w:u w:val="single"/>
        </w:rPr>
        <w:t>监理大纲部分评审得分</w:t>
      </w:r>
      <w:r>
        <w:rPr>
          <w:color w:val="auto"/>
          <w:sz w:val="24"/>
          <w:highlight w:val="none"/>
        </w:rPr>
        <w:t>B</w:t>
      </w:r>
      <w:r>
        <w:rPr>
          <w:color w:val="auto"/>
          <w:sz w:val="24"/>
          <w:highlight w:val="none"/>
          <w:u w:val="single"/>
        </w:rPr>
        <w:t>为从各评标专家打分中去掉一个最高分和去掉一个最低分后的剩余评标专家打分的算术平均值或</w:t>
      </w:r>
      <w:r>
        <w:rPr>
          <w:color w:val="auto"/>
          <w:sz w:val="24"/>
          <w:highlight w:val="none"/>
          <w:u w:val="single"/>
        </w:rPr>
        <w:fldChar w:fldCharType="begin"/>
      </w:r>
      <w:r>
        <w:rPr>
          <w:color w:val="auto"/>
          <w:sz w:val="24"/>
          <w:highlight w:val="none"/>
          <w:u w:val="single"/>
        </w:rPr>
        <w:instrText xml:space="preserve"> = 2 \* GB3 \* MERGEFORMAT </w:instrText>
      </w:r>
      <w:r>
        <w:rPr>
          <w:color w:val="auto"/>
          <w:sz w:val="24"/>
          <w:highlight w:val="none"/>
          <w:u w:val="single"/>
        </w:rPr>
        <w:fldChar w:fldCharType="separate"/>
      </w:r>
      <w:r>
        <w:rPr>
          <w:color w:val="auto"/>
          <w:highlight w:val="none"/>
          <w:u w:val="single"/>
        </w:rPr>
        <w:t>②</w:t>
      </w:r>
      <w:r>
        <w:rPr>
          <w:color w:val="auto"/>
          <w:highlight w:val="none"/>
          <w:u w:val="single"/>
        </w:rPr>
        <w:fldChar w:fldCharType="end"/>
      </w:r>
      <w:r>
        <w:rPr>
          <w:color w:val="auto"/>
          <w:sz w:val="24"/>
          <w:highlight w:val="none"/>
          <w:u w:val="single"/>
        </w:rPr>
        <w:t>监理大纲部分评审得分</w:t>
      </w:r>
      <w:r>
        <w:rPr>
          <w:color w:val="auto"/>
          <w:sz w:val="24"/>
          <w:highlight w:val="none"/>
        </w:rPr>
        <w:t>B</w:t>
      </w:r>
      <w:r>
        <w:rPr>
          <w:color w:val="auto"/>
          <w:sz w:val="24"/>
          <w:highlight w:val="none"/>
          <w:u w:val="single"/>
        </w:rPr>
        <w:t>为各评标专家打分的算术平均值（二选一，招标人自行选择）</w:t>
      </w:r>
      <w:r>
        <w:rPr>
          <w:color w:val="auto"/>
          <w:sz w:val="24"/>
          <w:highlight w:val="none"/>
        </w:rPr>
        <w:t>；</w:t>
      </w:r>
    </w:p>
    <w:p w14:paraId="641E9023">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color w:val="auto"/>
          <w:sz w:val="24"/>
          <w:highlight w:val="none"/>
        </w:rPr>
        <w:t>（3）按本章第2.2.4（3）目规定的评审因素和分值对投标报价计算出得分C；</w:t>
      </w:r>
    </w:p>
    <w:p w14:paraId="39187D23">
      <w:pPr>
        <w:pStyle w:val="2"/>
        <w:tabs>
          <w:tab w:val="left" w:pos="1343"/>
          <w:tab w:val="left" w:pos="2697"/>
          <w:tab w:val="left" w:pos="3264"/>
          <w:tab w:val="left" w:pos="4896"/>
          <w:tab w:val="left" w:pos="6005"/>
          <w:tab w:val="left" w:pos="7085"/>
          <w:tab w:val="left" w:pos="7498"/>
        </w:tabs>
        <w:kinsoku w:val="0"/>
        <w:overflowPunct w:val="0"/>
        <w:spacing w:line="480" w:lineRule="auto"/>
        <w:ind w:left="480" w:leftChars="200"/>
        <w:jc w:val="both"/>
        <w:rPr>
          <w:color w:val="auto"/>
          <w:sz w:val="24"/>
          <w:szCs w:val="21"/>
          <w:highlight w:val="none"/>
        </w:rPr>
      </w:pPr>
      <w:r>
        <w:rPr>
          <w:color w:val="auto"/>
          <w:sz w:val="24"/>
          <w:highlight w:val="none"/>
        </w:rPr>
        <w:t>（4）按本章第2.2.4（4）目规定的评审因素和分值对诚信评价计算出得分D。</w:t>
      </w:r>
    </w:p>
    <w:p w14:paraId="0980CD5F">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rFonts w:hint="eastAsia"/>
          <w:color w:val="auto"/>
          <w:sz w:val="24"/>
          <w:szCs w:val="21"/>
          <w:highlight w:val="none"/>
        </w:rPr>
        <w:t>现文：</w:t>
      </w:r>
      <w:r>
        <w:rPr>
          <w:color w:val="auto"/>
          <w:sz w:val="24"/>
          <w:highlight w:val="none"/>
        </w:rPr>
        <w:t>3.2.1 评标委员会按本章第 2.2 款规定的量化因素和分值进行打分，并计算出综合评估得分。</w:t>
      </w:r>
    </w:p>
    <w:p w14:paraId="71C81C55">
      <w:pPr>
        <w:pStyle w:val="2"/>
        <w:tabs>
          <w:tab w:val="left" w:pos="1343"/>
          <w:tab w:val="left" w:pos="2697"/>
          <w:tab w:val="left" w:pos="3264"/>
          <w:tab w:val="left" w:pos="4896"/>
          <w:tab w:val="left" w:pos="6005"/>
          <w:tab w:val="left" w:pos="7085"/>
          <w:tab w:val="left" w:pos="7498"/>
        </w:tabs>
        <w:kinsoku w:val="0"/>
        <w:overflowPunct w:val="0"/>
        <w:spacing w:line="480" w:lineRule="auto"/>
        <w:ind w:left="0" w:right="-240" w:rightChars="-100" w:firstLine="480" w:firstLineChars="200"/>
        <w:jc w:val="both"/>
        <w:rPr>
          <w:color w:val="auto"/>
          <w:sz w:val="24"/>
          <w:highlight w:val="none"/>
        </w:rPr>
      </w:pPr>
      <w:r>
        <w:rPr>
          <w:color w:val="auto"/>
          <w:sz w:val="24"/>
          <w:highlight w:val="none"/>
        </w:rPr>
        <w:t>（1）按本章第2.2.4（1）目规定的评审因素和分值对资信业绩部分计算出得分A，</w:t>
      </w:r>
      <w:r>
        <w:rPr>
          <w:color w:val="auto"/>
          <w:sz w:val="24"/>
          <w:highlight w:val="none"/>
          <w:u w:val="single"/>
        </w:rPr>
        <w:t>资信业绩部分评审得分A为各评标专家打分的算术平均值</w:t>
      </w:r>
      <w:r>
        <w:rPr>
          <w:color w:val="auto"/>
          <w:sz w:val="24"/>
          <w:highlight w:val="none"/>
        </w:rPr>
        <w:t>；</w:t>
      </w:r>
    </w:p>
    <w:p w14:paraId="44A83556">
      <w:pPr>
        <w:pStyle w:val="2"/>
        <w:tabs>
          <w:tab w:val="left" w:pos="1343"/>
          <w:tab w:val="left" w:pos="2697"/>
          <w:tab w:val="left" w:pos="3264"/>
          <w:tab w:val="left" w:pos="4896"/>
          <w:tab w:val="left" w:pos="6005"/>
          <w:tab w:val="left" w:pos="7085"/>
          <w:tab w:val="left" w:pos="7498"/>
        </w:tabs>
        <w:kinsoku w:val="0"/>
        <w:overflowPunct w:val="0"/>
        <w:spacing w:line="480" w:lineRule="auto"/>
        <w:ind w:left="0" w:right="-240" w:rightChars="-100" w:firstLine="480" w:firstLineChars="200"/>
        <w:jc w:val="both"/>
        <w:rPr>
          <w:color w:val="auto"/>
          <w:sz w:val="24"/>
          <w:highlight w:val="none"/>
        </w:rPr>
      </w:pPr>
      <w:r>
        <w:rPr>
          <w:color w:val="auto"/>
          <w:sz w:val="24"/>
          <w:highlight w:val="none"/>
        </w:rPr>
        <w:t>（2）按本章第2.2.4（2）目规定的评审因素和分值对监理大纲部分计算出得分B，</w:t>
      </w:r>
      <w:r>
        <w:rPr>
          <w:color w:val="auto"/>
          <w:sz w:val="24"/>
          <w:highlight w:val="none"/>
          <w:u w:val="single"/>
        </w:rPr>
        <w:t>监理大纲部分评审得分B为各评标专家打分的算术平均值</w:t>
      </w:r>
      <w:r>
        <w:rPr>
          <w:color w:val="auto"/>
          <w:sz w:val="24"/>
          <w:highlight w:val="none"/>
        </w:rPr>
        <w:t>；</w:t>
      </w:r>
    </w:p>
    <w:p w14:paraId="36A985F3">
      <w:pPr>
        <w:pStyle w:val="2"/>
        <w:tabs>
          <w:tab w:val="left" w:pos="1343"/>
          <w:tab w:val="left" w:pos="2697"/>
          <w:tab w:val="left" w:pos="3264"/>
          <w:tab w:val="left" w:pos="4896"/>
          <w:tab w:val="left" w:pos="6005"/>
          <w:tab w:val="left" w:pos="7085"/>
          <w:tab w:val="left" w:pos="7498"/>
        </w:tabs>
        <w:kinsoku w:val="0"/>
        <w:overflowPunct w:val="0"/>
        <w:spacing w:line="480" w:lineRule="auto"/>
        <w:ind w:left="0" w:firstLine="480" w:firstLineChars="200"/>
        <w:jc w:val="both"/>
        <w:rPr>
          <w:color w:val="auto"/>
          <w:sz w:val="24"/>
          <w:highlight w:val="none"/>
        </w:rPr>
      </w:pPr>
      <w:r>
        <w:rPr>
          <w:color w:val="auto"/>
          <w:sz w:val="24"/>
          <w:highlight w:val="none"/>
        </w:rPr>
        <w:t>（3）按本章第2.2.4（3）目规定的评审因素和分值对投标报价计算出得分C；</w:t>
      </w:r>
    </w:p>
    <w:p w14:paraId="7FECF0DA">
      <w:pPr>
        <w:pBdr>
          <w:bottom w:val="single" w:color="auto" w:sz="6" w:space="1"/>
        </w:pBdr>
        <w:autoSpaceDE/>
        <w:autoSpaceDN/>
        <w:spacing w:line="480" w:lineRule="auto"/>
        <w:ind w:firstLine="480" w:firstLineChars="200"/>
        <w:rPr>
          <w:rFonts w:ascii="宋体" w:hAnsi="宋体"/>
          <w:color w:val="auto"/>
          <w:szCs w:val="21"/>
          <w:highlight w:val="none"/>
        </w:rPr>
      </w:pPr>
      <w:r>
        <w:rPr>
          <w:strike/>
          <w:color w:val="auto"/>
          <w:highlight w:val="none"/>
        </w:rPr>
        <w:t>（4）按本章第2.2.4（4）目规定的评审因素和分值对诚信评价计算出得分D。</w:t>
      </w:r>
    </w:p>
    <w:p w14:paraId="65056D65">
      <w:pPr>
        <w:pBdr>
          <w:bottom w:val="single" w:color="auto" w:sz="6" w:space="1"/>
        </w:pBdr>
        <w:spacing w:line="480" w:lineRule="auto"/>
        <w:ind w:firstLine="537" w:firstLineChars="224"/>
        <w:rPr>
          <w:color w:val="auto"/>
          <w:highlight w:val="none"/>
          <w:u w:val="single"/>
        </w:rPr>
      </w:pPr>
    </w:p>
    <w:p w14:paraId="62448EEB">
      <w:pPr>
        <w:spacing w:line="360" w:lineRule="auto"/>
        <w:ind w:firstLine="480" w:firstLineChars="200"/>
        <w:rPr>
          <w:rFonts w:ascii="宋体" w:hAnsi="宋体"/>
          <w:color w:val="auto"/>
          <w:highlight w:val="none"/>
        </w:rPr>
      </w:pPr>
      <w:r>
        <w:rPr>
          <w:rFonts w:hint="eastAsia" w:ascii="宋体" w:hAnsi="宋体"/>
          <w:color w:val="auto"/>
          <w:szCs w:val="21"/>
          <w:highlight w:val="none"/>
        </w:rPr>
        <w:t>注：以上修改，仅限于本范本中有可供选择条</w:t>
      </w:r>
      <w:r>
        <w:rPr>
          <w:rFonts w:ascii="宋体" w:hAnsi="宋体"/>
          <w:color w:val="auto"/>
          <w:highlight w:val="none"/>
        </w:rPr>
        <w:t>款的情形。</w:t>
      </w:r>
    </w:p>
    <w:p w14:paraId="5A7B4851">
      <w:pPr>
        <w:spacing w:line="360" w:lineRule="auto"/>
        <w:rPr>
          <w:rFonts w:ascii="宋体" w:hAnsi="宋体"/>
          <w:color w:val="auto"/>
          <w:highlight w:val="none"/>
        </w:rPr>
      </w:pPr>
      <w:r>
        <w:rPr>
          <w:rFonts w:ascii="宋体" w:hAnsi="宋体"/>
          <w:color w:val="auto"/>
          <w:highlight w:val="none"/>
        </w:rPr>
        <w:t>（以下无正文）</w:t>
      </w:r>
    </w:p>
    <w:p w14:paraId="239528D6">
      <w:pPr>
        <w:pStyle w:val="2"/>
        <w:rPr>
          <w:color w:val="auto"/>
          <w:highlight w:val="none"/>
        </w:rPr>
      </w:pPr>
    </w:p>
    <w:p w14:paraId="7B47D557">
      <w:pPr>
        <w:pStyle w:val="30"/>
        <w:ind w:firstLine="0" w:firstLineChars="0"/>
        <w:rPr>
          <w:rFonts w:hint="default"/>
          <w:color w:val="auto"/>
          <w:highlight w:val="none"/>
        </w:rPr>
        <w:sectPr>
          <w:headerReference r:id="rId6" w:type="default"/>
          <w:footerReference r:id="rId7" w:type="default"/>
          <w:pgSz w:w="11906" w:h="16838"/>
          <w:pgMar w:top="1417" w:right="1417" w:bottom="1417" w:left="1417" w:header="0" w:footer="940" w:gutter="0"/>
          <w:cols w:space="720" w:num="1"/>
        </w:sectPr>
      </w:pPr>
      <w:r>
        <w:rPr>
          <w:rFonts w:ascii="宋体" w:hAnsi="宋体"/>
          <w:color w:val="auto"/>
          <w:szCs w:val="21"/>
          <w:highlight w:val="none"/>
        </w:rPr>
        <w:br w:type="page"/>
      </w:r>
    </w:p>
    <w:p w14:paraId="29237B6A">
      <w:pPr>
        <w:pStyle w:val="5"/>
        <w:spacing w:before="120" w:after="120"/>
        <w:rPr>
          <w:rFonts w:ascii="Microsoft JhengHei" w:hAnsi="Microsoft JhengHei" w:eastAsia="Microsoft JhengHei"/>
          <w:b w:val="0"/>
          <w:color w:val="auto"/>
          <w:sz w:val="30"/>
          <w:highlight w:val="none"/>
        </w:rPr>
      </w:pPr>
      <w:bookmarkStart w:id="99" w:name="_Toc10219"/>
      <w:r>
        <w:rPr>
          <w:rFonts w:cs="宋体"/>
          <w:color w:val="auto"/>
          <w:highlight w:val="none"/>
        </w:rPr>
        <w:t>1.评标方法</w:t>
      </w:r>
      <w:bookmarkEnd w:id="99"/>
    </w:p>
    <w:p w14:paraId="5599E0E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396BDC62">
      <w:pPr>
        <w:pStyle w:val="5"/>
        <w:spacing w:before="120" w:after="120"/>
        <w:rPr>
          <w:rFonts w:ascii="Microsoft JhengHei" w:hAnsi="Microsoft JhengHei" w:eastAsia="Microsoft JhengHei"/>
          <w:b w:val="0"/>
          <w:color w:val="auto"/>
          <w:sz w:val="30"/>
          <w:highlight w:val="none"/>
        </w:rPr>
      </w:pPr>
      <w:bookmarkStart w:id="100" w:name="bookmark85"/>
      <w:bookmarkEnd w:id="100"/>
      <w:bookmarkStart w:id="101" w:name="_Toc17929"/>
      <w:r>
        <w:rPr>
          <w:rFonts w:cs="宋体"/>
          <w:color w:val="auto"/>
          <w:highlight w:val="none"/>
        </w:rPr>
        <w:t>2.评审标准</w:t>
      </w:r>
      <w:bookmarkEnd w:id="101"/>
    </w:p>
    <w:p w14:paraId="72EA7032">
      <w:pPr>
        <w:spacing w:line="360" w:lineRule="auto"/>
        <w:ind w:firstLine="240" w:firstLineChars="100"/>
        <w:rPr>
          <w:rFonts w:ascii="宋体" w:hAnsi="宋体" w:cs="宋体"/>
          <w:color w:val="auto"/>
          <w:highlight w:val="none"/>
        </w:rPr>
      </w:pPr>
      <w:bookmarkStart w:id="102" w:name="bookmark86"/>
      <w:bookmarkEnd w:id="102"/>
      <w:r>
        <w:rPr>
          <w:rFonts w:ascii="宋体" w:hAnsi="宋体" w:cs="宋体"/>
          <w:color w:val="auto"/>
          <w:highlight w:val="none"/>
        </w:rPr>
        <w:t>2.1 初步评审标准</w:t>
      </w:r>
    </w:p>
    <w:p w14:paraId="4F7DEFD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2.1.1 资格评审标准：见评标办法前附表。</w:t>
      </w:r>
    </w:p>
    <w:p w14:paraId="7BFC7A3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2.1.2 形式评审标准：见评标办法前附表。</w:t>
      </w:r>
    </w:p>
    <w:p w14:paraId="302DEF1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2.1.3 响应性评审标准：见评标办法前附表。</w:t>
      </w:r>
    </w:p>
    <w:p w14:paraId="265E1F53">
      <w:pPr>
        <w:spacing w:line="360" w:lineRule="auto"/>
        <w:ind w:firstLine="240" w:firstLineChars="100"/>
        <w:rPr>
          <w:rFonts w:ascii="宋体" w:hAnsi="宋体" w:cs="宋体"/>
          <w:color w:val="auto"/>
          <w:highlight w:val="none"/>
        </w:rPr>
      </w:pPr>
      <w:bookmarkStart w:id="103" w:name="bookmark87"/>
      <w:bookmarkEnd w:id="103"/>
      <w:r>
        <w:rPr>
          <w:rFonts w:ascii="宋体" w:hAnsi="宋体" w:cs="宋体"/>
          <w:color w:val="auto"/>
          <w:highlight w:val="none"/>
        </w:rPr>
        <w:t>2.2 分值构成与评分标准</w:t>
      </w:r>
    </w:p>
    <w:p w14:paraId="73C8035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2.2.1  分值构成</w:t>
      </w:r>
    </w:p>
    <w:p w14:paraId="4469CDE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（1）资信业绩部分：见评标办法前附表；</w:t>
      </w:r>
    </w:p>
    <w:p w14:paraId="2755432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（2）监理大纲部分：见评标办法前附表；</w:t>
      </w:r>
    </w:p>
    <w:p w14:paraId="423DDD6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（3）投标报价：见评标办法前附表；</w:t>
      </w:r>
    </w:p>
    <w:p w14:paraId="12288EB3">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color w:val="auto"/>
          <w:sz w:val="24"/>
          <w:highlight w:val="none"/>
        </w:rPr>
      </w:pPr>
      <w:r>
        <w:rPr>
          <w:strike/>
          <w:color w:val="auto"/>
          <w:sz w:val="24"/>
          <w:highlight w:val="none"/>
        </w:rPr>
        <w:t xml:space="preserve">（4）诚信得分：见评标办法前附表。 </w:t>
      </w:r>
    </w:p>
    <w:p w14:paraId="146823F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2.2.2 评标基准价计算评标基准价计算方法：见评标办法前附表。</w:t>
      </w:r>
    </w:p>
    <w:p w14:paraId="1CB0610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2.2.3 投标报价的偏差率计算</w:t>
      </w:r>
    </w:p>
    <w:p w14:paraId="1FF8212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投标报价的偏差率计算公式：见评标办法前附表。</w:t>
      </w:r>
    </w:p>
    <w:p w14:paraId="1D5A161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2.2.4  评分标准</w:t>
      </w:r>
    </w:p>
    <w:p w14:paraId="3986FB1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（1）资信业绩评分标准：见评标办法前附表；</w:t>
      </w:r>
    </w:p>
    <w:p w14:paraId="310E887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（2）监理大纲评分标准：见评标办法前附表；</w:t>
      </w:r>
    </w:p>
    <w:p w14:paraId="6582C56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（3）投标报价评分标准：见评标办法前附表；</w:t>
      </w:r>
    </w:p>
    <w:p w14:paraId="48CF3EEB">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color w:val="auto"/>
          <w:sz w:val="24"/>
          <w:highlight w:val="none"/>
        </w:rPr>
      </w:pPr>
      <w:r>
        <w:rPr>
          <w:strike/>
          <w:color w:val="auto"/>
          <w:sz w:val="24"/>
          <w:highlight w:val="none"/>
        </w:rPr>
        <w:t>（4）诚信得分评分标准：见评标办法前附表。</w:t>
      </w:r>
    </w:p>
    <w:p w14:paraId="645E3CE7">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strike/>
          <w:color w:val="auto"/>
          <w:szCs w:val="21"/>
          <w:highlight w:val="none"/>
        </w:rPr>
      </w:pPr>
      <w:r>
        <w:rPr>
          <w:strike/>
          <w:color w:val="auto"/>
          <w:szCs w:val="21"/>
          <w:highlight w:val="none"/>
        </w:rPr>
        <w:t>注：投标人的诚信评价总分取自本项目招标公告发布第1天所在季度的上一季度的诚信综合评价分。</w:t>
      </w:r>
    </w:p>
    <w:p w14:paraId="1D06ECEB">
      <w:pPr>
        <w:pStyle w:val="5"/>
        <w:spacing w:before="120" w:after="120"/>
        <w:rPr>
          <w:rFonts w:cs="宋体"/>
          <w:color w:val="auto"/>
          <w:highlight w:val="none"/>
        </w:rPr>
      </w:pPr>
      <w:bookmarkStart w:id="104" w:name="bookmark88"/>
      <w:bookmarkEnd w:id="104"/>
      <w:bookmarkStart w:id="105" w:name="_Toc15176"/>
      <w:r>
        <w:rPr>
          <w:rFonts w:cs="宋体"/>
          <w:color w:val="auto"/>
          <w:highlight w:val="none"/>
        </w:rPr>
        <w:t>3.评标程序</w:t>
      </w:r>
      <w:bookmarkEnd w:id="105"/>
    </w:p>
    <w:p w14:paraId="74582916">
      <w:pPr>
        <w:spacing w:line="360" w:lineRule="auto"/>
        <w:ind w:firstLine="240" w:firstLineChars="100"/>
        <w:rPr>
          <w:rFonts w:ascii="宋体" w:hAnsi="宋体" w:cs="宋体"/>
          <w:color w:val="auto"/>
          <w:highlight w:val="none"/>
        </w:rPr>
      </w:pPr>
      <w:bookmarkStart w:id="106" w:name="bookmark89"/>
      <w:bookmarkEnd w:id="106"/>
      <w:r>
        <w:rPr>
          <w:rFonts w:ascii="宋体" w:hAnsi="宋体" w:cs="宋体"/>
          <w:color w:val="auto"/>
          <w:highlight w:val="none"/>
        </w:rPr>
        <w:t>3.1  初步评审</w:t>
      </w:r>
    </w:p>
    <w:p w14:paraId="5E0F1399">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76C6A5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3.1.2 投标人有以下情形之一的，评标委员会应当否决其投标：</w:t>
      </w:r>
    </w:p>
    <w:p w14:paraId="19CBD72D">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（1）投标文件没有对招标文件的实质性要求和条件作出响应，或者对招标文件的偏差超出招标文件规定的偏差范围或最高项数；</w:t>
      </w:r>
    </w:p>
    <w:p w14:paraId="3C3BE00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（2）有串通投标、弄虚作假、行贿等违法行为。</w:t>
      </w:r>
    </w:p>
    <w:p w14:paraId="392A8B6A">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（3）两个（含两个）以上</w:t>
      </w:r>
      <w:r>
        <w:rPr>
          <w:rFonts w:hint="eastAsia" w:eastAsia="Times New Roman"/>
          <w:color w:val="auto"/>
          <w:sz w:val="24"/>
          <w:highlight w:val="none"/>
        </w:rPr>
        <w:t>投标人加密打包投标文件</w:t>
      </w:r>
      <w:r>
        <w:rPr>
          <w:color w:val="auto"/>
          <w:sz w:val="24"/>
          <w:highlight w:val="none"/>
        </w:rPr>
        <w:t>工程量清单编制</w:t>
      </w:r>
      <w:r>
        <w:rPr>
          <w:rFonts w:hint="eastAsia" w:eastAsia="Times New Roman"/>
          <w:color w:val="auto"/>
          <w:sz w:val="24"/>
          <w:highlight w:val="none"/>
        </w:rPr>
        <w:t>机器</w:t>
      </w:r>
      <w:r>
        <w:rPr>
          <w:color w:val="auto"/>
          <w:sz w:val="24"/>
          <w:highlight w:val="none"/>
        </w:rPr>
        <w:t>硬件信息</w:t>
      </w:r>
      <w:r>
        <w:rPr>
          <w:rFonts w:hint="eastAsia" w:eastAsia="Times New Roman"/>
          <w:color w:val="auto"/>
          <w:sz w:val="24"/>
          <w:highlight w:val="none"/>
        </w:rPr>
        <w:t>一致的</w:t>
      </w:r>
      <w:r>
        <w:rPr>
          <w:color w:val="auto"/>
          <w:sz w:val="24"/>
          <w:highlight w:val="none"/>
        </w:rPr>
        <w:t>。</w:t>
      </w:r>
    </w:p>
    <w:p w14:paraId="342AD602">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3.1.3 投标报价有算术错误及其他错误的，评标委员会按以下原则要求投标人对投标报价进行修正，并要求投标人书面澄清确认。投标人拒不澄清确认的，评标委员会应当否决其投标：</w:t>
      </w:r>
    </w:p>
    <w:p w14:paraId="780852AE">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（1）投标文件中的大写金额与小写金额不一致的，以大写金额为准；</w:t>
      </w:r>
    </w:p>
    <w:p w14:paraId="55D1111F">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（2）总价金额与单价金额不一致的，以单价金额为准，但单价金额小数点有明显错误的除外。</w:t>
      </w:r>
    </w:p>
    <w:p w14:paraId="749A7BD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u w:val="single"/>
        </w:rPr>
      </w:pPr>
      <w:r>
        <w:rPr>
          <w:color w:val="auto"/>
          <w:sz w:val="24"/>
          <w:highlight w:val="none"/>
          <w:u w:val="single"/>
        </w:rPr>
        <w:t>3.1.4 只有通过初步评审的投标人才能进入下一阶段详细评审。当通过初步评审的有效投标人不足三名时，招标人应当依法重新组织招标。在进行资格评审、形式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p>
    <w:p w14:paraId="0ECD203E">
      <w:pPr>
        <w:spacing w:line="360" w:lineRule="auto"/>
        <w:ind w:firstLine="240" w:firstLineChars="100"/>
        <w:rPr>
          <w:rFonts w:ascii="宋体" w:hAnsi="宋体" w:cs="宋体"/>
          <w:color w:val="auto"/>
          <w:highlight w:val="none"/>
        </w:rPr>
      </w:pPr>
      <w:bookmarkStart w:id="107" w:name="bookmark90"/>
      <w:bookmarkEnd w:id="107"/>
      <w:r>
        <w:rPr>
          <w:rFonts w:ascii="宋体" w:hAnsi="宋体" w:cs="宋体"/>
          <w:color w:val="auto"/>
          <w:highlight w:val="none"/>
        </w:rPr>
        <w:t>3.2  详细评审</w:t>
      </w:r>
    </w:p>
    <w:p w14:paraId="752F1021">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3.2.1 评标委员会按本章第 2.2 款规定的量化因素和分值进行打分，并计算出综合评估得分。</w:t>
      </w:r>
    </w:p>
    <w:p w14:paraId="6439F7FB">
      <w:pPr>
        <w:pStyle w:val="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color w:val="auto"/>
          <w:sz w:val="24"/>
          <w:highlight w:val="none"/>
        </w:rPr>
      </w:pPr>
      <w:r>
        <w:rPr>
          <w:color w:val="auto"/>
          <w:sz w:val="24"/>
          <w:highlight w:val="none"/>
        </w:rPr>
        <w:t>（1）按本章第2.2.4（1）目规定的评审因素和分值对资信业绩部分计算出得分A，</w:t>
      </w:r>
      <w:r>
        <w:rPr>
          <w:color w:val="auto"/>
          <w:sz w:val="24"/>
          <w:highlight w:val="none"/>
          <w:u w:val="single"/>
        </w:rPr>
        <w:t>资信业绩部分评审得分A为各评标专家打分的算术平均值</w:t>
      </w:r>
      <w:r>
        <w:rPr>
          <w:color w:val="auto"/>
          <w:sz w:val="24"/>
          <w:highlight w:val="none"/>
        </w:rPr>
        <w:t>；</w:t>
      </w:r>
    </w:p>
    <w:p w14:paraId="1F2FB920">
      <w:pPr>
        <w:pStyle w:val="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color w:val="auto"/>
          <w:sz w:val="24"/>
          <w:highlight w:val="none"/>
        </w:rPr>
      </w:pPr>
      <w:r>
        <w:rPr>
          <w:color w:val="auto"/>
          <w:sz w:val="24"/>
          <w:highlight w:val="none"/>
        </w:rPr>
        <w:t>（2）按本章第2.2.4（2）目规定的评审因素和分值对监理大纲部分计算出得分B，</w:t>
      </w:r>
      <w:r>
        <w:rPr>
          <w:color w:val="auto"/>
          <w:sz w:val="24"/>
          <w:highlight w:val="none"/>
          <w:u w:val="single"/>
        </w:rPr>
        <w:t>监理大纲部分评审得分B为各评标专家打分的算术平均值</w:t>
      </w:r>
      <w:r>
        <w:rPr>
          <w:color w:val="auto"/>
          <w:sz w:val="24"/>
          <w:highlight w:val="none"/>
        </w:rPr>
        <w:t>；</w:t>
      </w:r>
    </w:p>
    <w:p w14:paraId="7411FBB4">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（3）按本章第2.2.4（3）目规定的评审因素和分值对投标报价计算出得分C；</w:t>
      </w:r>
    </w:p>
    <w:p w14:paraId="1DBA81C4">
      <w:pPr>
        <w:pStyle w:val="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strike/>
          <w:color w:val="auto"/>
          <w:sz w:val="24"/>
          <w:highlight w:val="none"/>
        </w:rPr>
      </w:pPr>
      <w:r>
        <w:rPr>
          <w:strike/>
          <w:color w:val="auto"/>
          <w:sz w:val="24"/>
          <w:highlight w:val="none"/>
        </w:rPr>
        <w:t>（4）按本章第2.2.4（4）目规定的评审因素和分值对诚信评价计算出得分D。</w:t>
      </w:r>
    </w:p>
    <w:p w14:paraId="58D7F6D3">
      <w:pPr>
        <w:pStyle w:val="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color w:val="auto"/>
          <w:sz w:val="24"/>
          <w:highlight w:val="none"/>
        </w:rPr>
      </w:pPr>
      <w:r>
        <w:rPr>
          <w:color w:val="auto"/>
          <w:sz w:val="24"/>
          <w:highlight w:val="none"/>
        </w:rPr>
        <w:t>3.2.2 评分分值计算保留小数点后两位，小数点后第三位“四舍五入”。</w:t>
      </w:r>
    </w:p>
    <w:p w14:paraId="54408716">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3.2.3 投标人得分=A+B+C。</w:t>
      </w:r>
    </w:p>
    <w:p w14:paraId="48D912F0">
      <w:pPr>
        <w:pStyle w:val="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A6BE167">
      <w:pPr>
        <w:spacing w:line="360" w:lineRule="auto"/>
        <w:ind w:firstLine="240" w:firstLineChars="100"/>
        <w:rPr>
          <w:rFonts w:ascii="宋体" w:hAnsi="宋体" w:cs="宋体"/>
          <w:color w:val="auto"/>
          <w:highlight w:val="none"/>
        </w:rPr>
      </w:pPr>
      <w:bookmarkStart w:id="108" w:name="bookmark91"/>
      <w:bookmarkEnd w:id="108"/>
      <w:r>
        <w:rPr>
          <w:rFonts w:ascii="宋体" w:hAnsi="宋体" w:cs="宋体"/>
          <w:color w:val="auto"/>
          <w:highlight w:val="none"/>
        </w:rPr>
        <w:t>3.3  投标文件的澄清</w:t>
      </w:r>
    </w:p>
    <w:p w14:paraId="32F4B32F">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auto"/>
          <w:sz w:val="24"/>
          <w:highlight w:val="none"/>
        </w:rPr>
      </w:pPr>
      <w:r>
        <w:rPr>
          <w:rFonts w:cs="宋体"/>
          <w:color w:val="auto"/>
          <w:sz w:val="24"/>
          <w:highlight w:val="none"/>
        </w:rPr>
        <w:t>3.3.1 在评标过程中，</w:t>
      </w:r>
      <w:r>
        <w:rPr>
          <w:rFonts w:hint="eastAsia"/>
          <w:color w:val="auto"/>
          <w:sz w:val="24"/>
          <w:highlight w:val="none"/>
        </w:rPr>
        <w:t>经评标委员会中两人以上（含两人）以书面形式提出动议，评标委员会</w:t>
      </w:r>
      <w:r>
        <w:rPr>
          <w:rFonts w:cs="宋体"/>
          <w:color w:val="auto"/>
          <w:sz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163E60A4">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auto"/>
          <w:sz w:val="24"/>
          <w:highlight w:val="none"/>
        </w:rPr>
      </w:pPr>
      <w:r>
        <w:rPr>
          <w:rFonts w:cs="宋体"/>
          <w:color w:val="auto"/>
          <w:sz w:val="24"/>
          <w:highlight w:val="none"/>
        </w:rPr>
        <w:t>3.3.2 澄清、说明或补正不得超出投标文件的范围且不得改变投标文件的实质性内容，并构成投标文件的组成部分。</w:t>
      </w:r>
    </w:p>
    <w:p w14:paraId="050BB08C">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auto"/>
          <w:sz w:val="24"/>
          <w:highlight w:val="none"/>
        </w:rPr>
      </w:pPr>
      <w:r>
        <w:rPr>
          <w:rFonts w:cs="宋体"/>
          <w:color w:val="auto"/>
          <w:sz w:val="24"/>
          <w:highlight w:val="none"/>
        </w:rPr>
        <w:t>3.3.3 评标委员会对投标人提交的澄清、说明或补正有疑问的，可以要求投标人进一步澄清、 说明或补正，直至满足评标委员会的要求。</w:t>
      </w:r>
    </w:p>
    <w:p w14:paraId="0589C4AB">
      <w:pPr>
        <w:spacing w:line="360" w:lineRule="auto"/>
        <w:ind w:firstLine="240" w:firstLineChars="100"/>
        <w:rPr>
          <w:rFonts w:ascii="宋体" w:hAnsi="宋体" w:cs="宋体"/>
          <w:color w:val="auto"/>
          <w:highlight w:val="none"/>
        </w:rPr>
      </w:pPr>
      <w:bookmarkStart w:id="109" w:name="bookmark92"/>
      <w:bookmarkEnd w:id="109"/>
      <w:r>
        <w:rPr>
          <w:rFonts w:ascii="宋体" w:hAnsi="宋体" w:cs="宋体"/>
          <w:color w:val="auto"/>
          <w:highlight w:val="none"/>
        </w:rPr>
        <w:t>3.4  评标结果</w:t>
      </w:r>
    </w:p>
    <w:p w14:paraId="26D7FA7D">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auto"/>
          <w:sz w:val="24"/>
          <w:highlight w:val="none"/>
        </w:rPr>
      </w:pPr>
      <w:r>
        <w:rPr>
          <w:rFonts w:cs="宋体"/>
          <w:color w:val="auto"/>
          <w:sz w:val="24"/>
          <w:highlight w:val="none"/>
        </w:rPr>
        <w:t>3.4.1 除第二章“投标人须知”前附表授权直接确定中标人外，评标委员会按照得分由高到低 的顺序推荐中标候选人，并标明排序。</w:t>
      </w:r>
    </w:p>
    <w:p w14:paraId="121C1E8B">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auto"/>
          <w:sz w:val="24"/>
          <w:highlight w:val="none"/>
        </w:rPr>
      </w:pPr>
      <w:r>
        <w:rPr>
          <w:rFonts w:cs="宋体"/>
          <w:color w:val="auto"/>
          <w:sz w:val="24"/>
          <w:highlight w:val="none"/>
        </w:rPr>
        <w:t>3.4.2 评标委员会完成评标后，应当向招标人提交书面评标报告和中标候选人名单。</w:t>
      </w:r>
    </w:p>
    <w:p w14:paraId="16B349DE">
      <w:pPr>
        <w:pStyle w:val="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auto"/>
          <w:sz w:val="24"/>
          <w:highlight w:val="none"/>
        </w:rPr>
        <w:sectPr>
          <w:headerReference r:id="rId8" w:type="default"/>
          <w:pgSz w:w="11905" w:h="16838"/>
          <w:pgMar w:top="1417" w:right="1417" w:bottom="1417" w:left="1417" w:header="992" w:footer="992" w:gutter="0"/>
          <w:cols w:space="720" w:num="1"/>
        </w:sectPr>
      </w:pPr>
    </w:p>
    <w:p w14:paraId="6DC75E2E">
      <w:pPr>
        <w:pStyle w:val="4"/>
        <w:rPr>
          <w:rFonts w:cs="宋体"/>
          <w:color w:val="auto"/>
          <w:sz w:val="44"/>
          <w:highlight w:val="none"/>
        </w:rPr>
      </w:pPr>
      <w:bookmarkStart w:id="110" w:name="bookmark93"/>
      <w:bookmarkEnd w:id="110"/>
      <w:bookmarkStart w:id="111" w:name="_Toc14321"/>
      <w:r>
        <w:rPr>
          <w:rFonts w:cs="宋体"/>
          <w:color w:val="auto"/>
          <w:sz w:val="44"/>
          <w:highlight w:val="none"/>
        </w:rPr>
        <w:t>第四章 合同条款及格式</w:t>
      </w:r>
      <w:bookmarkEnd w:id="111"/>
    </w:p>
    <w:p w14:paraId="6B77C53D">
      <w:pPr>
        <w:pStyle w:val="2"/>
        <w:kinsoku w:val="0"/>
        <w:overflowPunct w:val="0"/>
        <w:ind w:left="0"/>
        <w:rPr>
          <w:rFonts w:ascii="Microsoft JhengHei" w:hAnsi="Microsoft JhengHei" w:eastAsia="Microsoft JhengHei"/>
          <w:b/>
          <w:color w:val="auto"/>
          <w:sz w:val="20"/>
          <w:highlight w:val="none"/>
        </w:rPr>
      </w:pPr>
    </w:p>
    <w:p w14:paraId="6524EF94">
      <w:pPr>
        <w:spacing w:line="360" w:lineRule="auto"/>
        <w:jc w:val="center"/>
        <w:rPr>
          <w:rFonts w:ascii="宋体" w:hAnsi="宋体" w:cs="宋体"/>
          <w:b/>
          <w:color w:val="auto"/>
          <w:sz w:val="44"/>
          <w:highlight w:val="none"/>
        </w:rPr>
      </w:pPr>
      <w:r>
        <w:rPr>
          <w:rFonts w:ascii="宋体" w:hAnsi="宋体" w:cs="宋体"/>
          <w:b/>
          <w:color w:val="auto"/>
          <w:sz w:val="44"/>
          <w:highlight w:val="none"/>
        </w:rPr>
        <w:t>（另册）</w:t>
      </w:r>
    </w:p>
    <w:p w14:paraId="1ED4BB0D">
      <w:pPr>
        <w:pStyle w:val="2"/>
        <w:kinsoku w:val="0"/>
        <w:overflowPunct w:val="0"/>
        <w:spacing w:before="2"/>
        <w:ind w:left="0"/>
        <w:rPr>
          <w:rFonts w:ascii="Microsoft JhengHei" w:hAnsi="Microsoft JhengHei" w:eastAsia="Microsoft JhengHei"/>
          <w:b/>
          <w:color w:val="auto"/>
          <w:sz w:val="29"/>
          <w:highlight w:val="none"/>
        </w:rPr>
      </w:pPr>
    </w:p>
    <w:p w14:paraId="7FA63BE4">
      <w:pPr>
        <w:pStyle w:val="2"/>
        <w:kinsoku w:val="0"/>
        <w:overflowPunct w:val="0"/>
        <w:ind w:left="0"/>
        <w:rPr>
          <w:color w:val="auto"/>
          <w:sz w:val="20"/>
          <w:highlight w:val="none"/>
        </w:rPr>
        <w:sectPr>
          <w:headerReference r:id="rId9" w:type="default"/>
          <w:footerReference r:id="rId10" w:type="default"/>
          <w:pgSz w:w="11905" w:h="16838"/>
          <w:pgMar w:top="1417" w:right="1417" w:bottom="1417" w:left="1417" w:header="992" w:footer="992" w:gutter="0"/>
          <w:cols w:space="720" w:num="1"/>
        </w:sectPr>
      </w:pPr>
    </w:p>
    <w:p w14:paraId="78BE9FD3">
      <w:pPr>
        <w:pStyle w:val="2"/>
        <w:kinsoku w:val="0"/>
        <w:overflowPunct w:val="0"/>
        <w:ind w:left="0"/>
        <w:rPr>
          <w:color w:val="auto"/>
          <w:sz w:val="20"/>
          <w:highlight w:val="none"/>
        </w:rPr>
      </w:pPr>
    </w:p>
    <w:p w14:paraId="25F4FE9F">
      <w:pPr>
        <w:pStyle w:val="3"/>
        <w:spacing w:before="4800" w:beforeLines="2000"/>
        <w:rPr>
          <w:rFonts w:hint="default"/>
          <w:color w:val="auto"/>
          <w:sz w:val="52"/>
          <w:szCs w:val="52"/>
          <w:highlight w:val="none"/>
        </w:rPr>
      </w:pPr>
      <w:bookmarkStart w:id="112" w:name="bookmark161"/>
      <w:bookmarkEnd w:id="112"/>
      <w:bookmarkStart w:id="113" w:name="_Toc2872"/>
      <w:r>
        <w:rPr>
          <w:color w:val="auto"/>
          <w:sz w:val="52"/>
          <w:szCs w:val="52"/>
          <w:highlight w:val="none"/>
        </w:rPr>
        <w:t>第二卷</w:t>
      </w:r>
      <w:bookmarkEnd w:id="113"/>
    </w:p>
    <w:p w14:paraId="0B4E7837">
      <w:pPr>
        <w:pStyle w:val="3"/>
        <w:spacing w:before="4800" w:beforeLines="2000"/>
        <w:rPr>
          <w:rFonts w:hint="default"/>
          <w:color w:val="auto"/>
          <w:sz w:val="52"/>
          <w:szCs w:val="52"/>
          <w:highlight w:val="none"/>
        </w:rPr>
        <w:sectPr>
          <w:pgSz w:w="11905" w:h="16838"/>
          <w:pgMar w:top="1417" w:right="1417" w:bottom="1417" w:left="1417" w:header="992" w:footer="992" w:gutter="0"/>
          <w:cols w:space="720" w:num="1"/>
        </w:sectPr>
      </w:pPr>
    </w:p>
    <w:p w14:paraId="7459DA0A">
      <w:pPr>
        <w:pStyle w:val="4"/>
        <w:spacing w:line="360" w:lineRule="auto"/>
        <w:rPr>
          <w:color w:val="auto"/>
          <w:sz w:val="44"/>
          <w:highlight w:val="none"/>
        </w:rPr>
      </w:pPr>
      <w:bookmarkStart w:id="114" w:name="bookmark162"/>
      <w:bookmarkEnd w:id="114"/>
      <w:bookmarkStart w:id="115" w:name="_Toc23118"/>
      <w:r>
        <w:rPr>
          <w:color w:val="auto"/>
          <w:sz w:val="44"/>
          <w:highlight w:val="none"/>
        </w:rPr>
        <w:t>第五章 委托人要求</w:t>
      </w:r>
      <w:bookmarkEnd w:id="115"/>
    </w:p>
    <w:p w14:paraId="0849938F">
      <w:pPr>
        <w:pStyle w:val="4"/>
        <w:jc w:val="both"/>
        <w:rPr>
          <w:color w:val="auto"/>
          <w:sz w:val="28"/>
          <w:szCs w:val="28"/>
          <w:highlight w:val="none"/>
        </w:rPr>
      </w:pPr>
      <w:bookmarkStart w:id="116" w:name="_Toc482188637"/>
      <w:bookmarkStart w:id="117" w:name="_Toc511557110"/>
      <w:bookmarkStart w:id="118" w:name="_Toc514099708"/>
      <w:bookmarkStart w:id="119" w:name="_Toc522264576"/>
      <w:bookmarkStart w:id="120" w:name="_Toc519100226"/>
      <w:bookmarkStart w:id="121" w:name="_Toc25658"/>
      <w:r>
        <w:rPr>
          <w:color w:val="auto"/>
          <w:sz w:val="28"/>
          <w:szCs w:val="28"/>
          <w:highlight w:val="none"/>
        </w:rPr>
        <w:t>一、监理要求</w:t>
      </w:r>
      <w:bookmarkEnd w:id="116"/>
      <w:bookmarkEnd w:id="117"/>
      <w:bookmarkEnd w:id="118"/>
      <w:bookmarkEnd w:id="119"/>
      <w:bookmarkEnd w:id="120"/>
    </w:p>
    <w:p w14:paraId="468D6B6F">
      <w:pPr>
        <w:pStyle w:val="5"/>
        <w:spacing w:before="120" w:after="120"/>
        <w:rPr>
          <w:b w:val="0"/>
          <w:color w:val="auto"/>
          <w:highlight w:val="none"/>
        </w:rPr>
      </w:pPr>
      <w:r>
        <w:rPr>
          <w:rFonts w:hint="eastAsia"/>
          <w:b w:val="0"/>
          <w:color w:val="auto"/>
          <w:highlight w:val="none"/>
        </w:rPr>
        <w:t>1</w:t>
      </w:r>
      <w:r>
        <w:rPr>
          <w:b w:val="0"/>
          <w:color w:val="auto"/>
          <w:highlight w:val="none"/>
        </w:rPr>
        <w:t>、</w:t>
      </w:r>
      <w:r>
        <w:rPr>
          <w:rFonts w:hint="eastAsia"/>
          <w:b w:val="0"/>
          <w:color w:val="auto"/>
          <w:highlight w:val="none"/>
        </w:rPr>
        <w:t>项目概况</w:t>
      </w:r>
    </w:p>
    <w:p w14:paraId="6013CE83">
      <w:pPr>
        <w:spacing w:line="360" w:lineRule="auto"/>
        <w:ind w:firstLine="480" w:firstLineChars="200"/>
        <w:rPr>
          <w:rFonts w:ascii="宋体" w:hAnsi="宋体"/>
          <w:color w:val="auto"/>
          <w:highlight w:val="none"/>
          <w:lang w:bidi="mn-Mong-CN"/>
        </w:rPr>
      </w:pPr>
      <w:r>
        <w:rPr>
          <w:rFonts w:hint="eastAsia" w:ascii="宋体" w:hAnsi="宋体"/>
          <w:color w:val="auto"/>
          <w:highlight w:val="none"/>
          <w:lang w:bidi="mn-Mong-CN"/>
        </w:rPr>
        <w:t>项目名称：</w:t>
      </w:r>
      <w:r>
        <w:rPr>
          <w:rFonts w:hint="eastAsia" w:ascii="宋体" w:hAnsi="宋体"/>
          <w:color w:val="auto"/>
          <w:szCs w:val="21"/>
          <w:highlight w:val="none"/>
          <w:u w:val="single"/>
        </w:rPr>
        <w:t>花都区花城街农村污水提升改造工程监理</w:t>
      </w:r>
    </w:p>
    <w:p w14:paraId="21926739">
      <w:pPr>
        <w:spacing w:line="360" w:lineRule="auto"/>
        <w:ind w:firstLine="480" w:firstLineChars="200"/>
        <w:rPr>
          <w:rFonts w:ascii="宋体" w:hAnsi="宋体"/>
          <w:color w:val="auto"/>
          <w:highlight w:val="none"/>
        </w:rPr>
      </w:pPr>
      <w:r>
        <w:rPr>
          <w:rFonts w:hint="eastAsia" w:ascii="宋体" w:hAnsi="宋体"/>
          <w:color w:val="auto"/>
          <w:highlight w:val="none"/>
          <w:lang w:bidi="mn-Mong-CN"/>
        </w:rPr>
        <w:t>建设单位：</w:t>
      </w:r>
      <w:r>
        <w:rPr>
          <w:rFonts w:hint="eastAsia" w:ascii="宋体" w:hAnsi="宋体"/>
          <w:color w:val="auto"/>
          <w:highlight w:val="none"/>
          <w:u w:val="single"/>
        </w:rPr>
        <w:t>广州市花都区人民政府花城街道办事处</w:t>
      </w:r>
    </w:p>
    <w:p w14:paraId="20CB41A6">
      <w:pPr>
        <w:spacing w:line="360" w:lineRule="auto"/>
        <w:ind w:firstLine="480" w:firstLineChars="200"/>
        <w:rPr>
          <w:rFonts w:ascii="宋体" w:hAnsi="宋体"/>
          <w:color w:val="auto"/>
          <w:highlight w:val="none"/>
        </w:rPr>
      </w:pPr>
      <w:r>
        <w:rPr>
          <w:rFonts w:hint="eastAsia" w:ascii="宋体" w:hAnsi="宋体"/>
          <w:color w:val="auto"/>
          <w:highlight w:val="none"/>
        </w:rPr>
        <w:t>建设地点：</w:t>
      </w:r>
      <w:r>
        <w:rPr>
          <w:rFonts w:hint="eastAsia" w:ascii="宋体" w:hAnsi="宋体"/>
          <w:color w:val="auto"/>
          <w:highlight w:val="none"/>
          <w:u w:val="single"/>
        </w:rPr>
        <w:t>广州市花都区</w:t>
      </w:r>
    </w:p>
    <w:p w14:paraId="0796E448">
      <w:pPr>
        <w:spacing w:line="360" w:lineRule="auto"/>
        <w:ind w:firstLine="480" w:firstLineChars="200"/>
        <w:rPr>
          <w:rFonts w:ascii="宋体" w:hAnsi="宋体"/>
          <w:color w:val="auto"/>
          <w:highlight w:val="none"/>
          <w:lang w:bidi="mn-Mong-CN"/>
        </w:rPr>
      </w:pPr>
      <w:r>
        <w:rPr>
          <w:rFonts w:hint="eastAsia" w:ascii="宋体" w:hAnsi="宋体"/>
          <w:color w:val="auto"/>
          <w:highlight w:val="none"/>
          <w:lang w:bidi="mn-Mong-CN"/>
        </w:rPr>
        <w:t>建设规模：</w:t>
      </w:r>
      <w:r>
        <w:rPr>
          <w:rFonts w:hint="eastAsia" w:ascii="宋体" w:hAnsi="宋体"/>
          <w:color w:val="auto"/>
          <w:highlight w:val="none"/>
          <w:u w:val="single"/>
          <w:lang w:val="zh-CN"/>
        </w:rPr>
        <w:t>详见招标公告</w:t>
      </w:r>
    </w:p>
    <w:p w14:paraId="7C685B48">
      <w:pPr>
        <w:spacing w:line="360" w:lineRule="auto"/>
        <w:ind w:firstLine="480" w:firstLineChars="200"/>
        <w:rPr>
          <w:rFonts w:ascii="宋体" w:hAnsi="宋体"/>
          <w:color w:val="auto"/>
          <w:highlight w:val="none"/>
          <w:lang w:bidi="mn-Mong-CN"/>
        </w:rPr>
      </w:pPr>
      <w:r>
        <w:rPr>
          <w:rFonts w:hint="eastAsia" w:ascii="宋体" w:hAnsi="宋体"/>
          <w:color w:val="auto"/>
          <w:highlight w:val="none"/>
          <w:lang w:bidi="mn-Mong-CN"/>
        </w:rPr>
        <w:t>项目地理位置：</w:t>
      </w:r>
      <w:r>
        <w:rPr>
          <w:rFonts w:hint="eastAsia" w:ascii="宋体" w:hAnsi="宋体"/>
          <w:color w:val="auto"/>
          <w:highlight w:val="none"/>
          <w:u w:val="single"/>
          <w:lang w:val="zh-CN"/>
        </w:rPr>
        <w:t>详见招标公告</w:t>
      </w:r>
    </w:p>
    <w:p w14:paraId="5EC87490">
      <w:pPr>
        <w:spacing w:line="360" w:lineRule="auto"/>
        <w:ind w:firstLine="480" w:firstLineChars="200"/>
        <w:rPr>
          <w:rFonts w:ascii="宋体" w:hAnsi="宋体"/>
          <w:color w:val="auto"/>
          <w:highlight w:val="none"/>
          <w:lang w:bidi="mn-Mong-CN"/>
        </w:rPr>
      </w:pPr>
      <w:r>
        <w:rPr>
          <w:rFonts w:hint="eastAsia" w:ascii="宋体" w:hAnsi="宋体"/>
          <w:color w:val="auto"/>
          <w:highlight w:val="none"/>
          <w:lang w:bidi="mn-Mong-CN"/>
        </w:rPr>
        <w:t>周边环境：</w:t>
      </w:r>
      <w:r>
        <w:rPr>
          <w:rFonts w:hint="eastAsia" w:ascii="宋体" w:hAnsi="宋体"/>
          <w:color w:val="auto"/>
          <w:highlight w:val="none"/>
          <w:u w:val="single"/>
          <w:lang w:bidi="mn-Mong-CN"/>
        </w:rPr>
        <w:t>（投标人自行踏勘）</w:t>
      </w:r>
    </w:p>
    <w:p w14:paraId="08C802D1">
      <w:pPr>
        <w:spacing w:line="360" w:lineRule="auto"/>
        <w:ind w:firstLine="480" w:firstLineChars="200"/>
        <w:rPr>
          <w:rFonts w:ascii="宋体" w:hAnsi="宋体"/>
          <w:color w:val="auto"/>
          <w:highlight w:val="none"/>
          <w:lang w:bidi="mn-Mong-CN"/>
        </w:rPr>
      </w:pPr>
      <w:r>
        <w:rPr>
          <w:rFonts w:hint="eastAsia" w:ascii="宋体" w:hAnsi="宋体"/>
          <w:color w:val="auto"/>
          <w:highlight w:val="none"/>
          <w:lang w:bidi="mn-Mong-CN"/>
        </w:rPr>
        <w:t>地址地貌、气候及气象条件：</w:t>
      </w:r>
      <w:r>
        <w:rPr>
          <w:rFonts w:hint="eastAsia" w:ascii="宋体" w:hAnsi="宋体"/>
          <w:color w:val="auto"/>
          <w:highlight w:val="none"/>
          <w:u w:val="single"/>
          <w:lang w:bidi="mn-Mong-CN"/>
        </w:rPr>
        <w:t>（投标人自行踏勘）</w:t>
      </w:r>
    </w:p>
    <w:p w14:paraId="7B065C46">
      <w:pPr>
        <w:pStyle w:val="5"/>
        <w:spacing w:before="120" w:after="120"/>
        <w:rPr>
          <w:b w:val="0"/>
          <w:color w:val="auto"/>
          <w:highlight w:val="none"/>
        </w:rPr>
      </w:pPr>
      <w:r>
        <w:rPr>
          <w:rFonts w:hint="eastAsia"/>
          <w:b w:val="0"/>
          <w:color w:val="auto"/>
          <w:highlight w:val="none"/>
        </w:rPr>
        <w:t>2、监理范围及内容</w:t>
      </w:r>
    </w:p>
    <w:p w14:paraId="70D615F5">
      <w:pPr>
        <w:spacing w:line="360" w:lineRule="auto"/>
        <w:ind w:firstLine="498" w:firstLineChars="200"/>
        <w:jc w:val="both"/>
        <w:rPr>
          <w:b/>
          <w:snapToGrid w:val="0"/>
          <w:color w:val="auto"/>
          <w:spacing w:val="4"/>
          <w:highlight w:val="none"/>
        </w:rPr>
      </w:pPr>
      <w:r>
        <w:rPr>
          <w:b/>
          <w:snapToGrid w:val="0"/>
          <w:color w:val="auto"/>
          <w:spacing w:val="4"/>
          <w:highlight w:val="none"/>
        </w:rPr>
        <w:t>2.</w:t>
      </w:r>
      <w:r>
        <w:rPr>
          <w:rFonts w:hint="eastAsia"/>
          <w:b/>
          <w:snapToGrid w:val="0"/>
          <w:color w:val="auto"/>
          <w:spacing w:val="4"/>
          <w:highlight w:val="none"/>
        </w:rPr>
        <w:t>1</w:t>
      </w:r>
      <w:r>
        <w:rPr>
          <w:b/>
          <w:snapToGrid w:val="0"/>
          <w:color w:val="auto"/>
          <w:spacing w:val="4"/>
          <w:highlight w:val="none"/>
        </w:rPr>
        <w:t xml:space="preserve">  监理</w:t>
      </w:r>
      <w:r>
        <w:rPr>
          <w:rFonts w:hint="eastAsia"/>
          <w:b/>
          <w:snapToGrid w:val="0"/>
          <w:color w:val="auto"/>
          <w:spacing w:val="4"/>
          <w:highlight w:val="none"/>
        </w:rPr>
        <w:t>范围</w:t>
      </w:r>
    </w:p>
    <w:p w14:paraId="1EC2CB65">
      <w:pPr>
        <w:spacing w:line="360" w:lineRule="auto"/>
        <w:ind w:firstLine="480" w:firstLineChars="200"/>
        <w:jc w:val="both"/>
        <w:rPr>
          <w:rFonts w:ascii="宋体" w:hAnsi="宋体" w:cs="宋体"/>
          <w:color w:val="auto"/>
          <w:highlight w:val="none"/>
          <w:u w:val="single"/>
        </w:rPr>
      </w:pPr>
      <w:r>
        <w:rPr>
          <w:rFonts w:hint="eastAsia" w:ascii="宋体" w:hAnsi="宋体" w:cs="宋体"/>
          <w:color w:val="auto"/>
          <w:highlight w:val="none"/>
          <w:u w:val="single"/>
        </w:rPr>
        <w:t>2.1.1、前期准备阶段、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14:paraId="20A856CF">
      <w:pPr>
        <w:spacing w:line="360" w:lineRule="auto"/>
        <w:ind w:firstLine="480" w:firstLineChars="200"/>
        <w:jc w:val="both"/>
        <w:rPr>
          <w:rFonts w:ascii="宋体" w:hAnsi="宋体" w:cs="宋体"/>
          <w:color w:val="auto"/>
          <w:highlight w:val="none"/>
          <w:u w:val="single"/>
        </w:rPr>
      </w:pPr>
      <w:r>
        <w:rPr>
          <w:rFonts w:hint="eastAsia" w:ascii="宋体" w:hAnsi="宋体" w:cs="宋体"/>
          <w:color w:val="auto"/>
          <w:highlight w:val="none"/>
          <w:u w:val="single"/>
        </w:rPr>
        <w:t>2.1.2、除上述工作范围外，承包人还须按发包人的要求提前进场参与开工前期的准备和筹划工作，协助发包人制定工程管理办法、各参建方职责及有关事务性工作等。</w:t>
      </w:r>
    </w:p>
    <w:p w14:paraId="38F3C582">
      <w:pPr>
        <w:topLinePunct/>
        <w:snapToGrid w:val="0"/>
        <w:spacing w:line="420" w:lineRule="exact"/>
        <w:ind w:firstLine="498" w:firstLineChars="200"/>
        <w:rPr>
          <w:b/>
          <w:snapToGrid w:val="0"/>
          <w:color w:val="auto"/>
          <w:spacing w:val="4"/>
          <w:highlight w:val="none"/>
        </w:rPr>
      </w:pPr>
      <w:r>
        <w:rPr>
          <w:b/>
          <w:snapToGrid w:val="0"/>
          <w:color w:val="auto"/>
          <w:spacing w:val="4"/>
          <w:highlight w:val="none"/>
        </w:rPr>
        <w:t>2.2  监理内容(</w:t>
      </w:r>
      <w:r>
        <w:rPr>
          <w:snapToGrid w:val="0"/>
          <w:color w:val="auto"/>
          <w:spacing w:val="4"/>
          <w:highlight w:val="none"/>
        </w:rPr>
        <w:t>包括但不限于)</w:t>
      </w:r>
    </w:p>
    <w:p w14:paraId="5316A4F6">
      <w:pPr>
        <w:topLinePunct/>
        <w:snapToGrid w:val="0"/>
        <w:spacing w:line="420" w:lineRule="exact"/>
        <w:ind w:firstLine="480" w:firstLineChars="200"/>
        <w:rPr>
          <w:color w:val="auto"/>
          <w:highlight w:val="none"/>
          <w:u w:val="single"/>
        </w:rPr>
      </w:pPr>
      <w:r>
        <w:rPr>
          <w:rFonts w:hint="eastAsia"/>
          <w:color w:val="auto"/>
          <w:highlight w:val="none"/>
          <w:u w:val="single"/>
        </w:rPr>
        <w:t>按现行的建设施工监理规范的规定，包括但不限于以下内容：工程项目前期准备阶段（包括勘察设计报审、勘察、设计监理等）以及本项目施工准备阶段、施工阶段、缺陷责任期阶段、工程竣工验收、保修移交等全过程监理工作，包括但不限于本工程项目的质量控制、安全生产、投资控制、进度控制、设计变更管理、合同管理、信息管理、组织协调等监理工作，此外承包人还须按发包人的要求提前进场参与开工前期的准备和筹划工作，协助发包人制定各参建方职责及有关事务性工作等。</w:t>
      </w:r>
    </w:p>
    <w:p w14:paraId="49C2F618">
      <w:pPr>
        <w:topLinePunct/>
        <w:snapToGrid w:val="0"/>
        <w:spacing w:line="420" w:lineRule="exact"/>
        <w:ind w:firstLine="482" w:firstLineChars="200"/>
        <w:rPr>
          <w:rFonts w:ascii="宋体" w:hAnsi="宋体" w:cs="宋体"/>
          <w:b/>
          <w:bCs/>
          <w:color w:val="auto"/>
          <w:highlight w:val="none"/>
        </w:rPr>
      </w:pPr>
      <w:r>
        <w:rPr>
          <w:rFonts w:hint="eastAsia" w:ascii="宋体" w:hAnsi="宋体" w:cs="宋体"/>
          <w:b/>
          <w:bCs/>
          <w:color w:val="auto"/>
          <w:highlight w:val="none"/>
        </w:rPr>
        <w:t>2.3监理服务期</w:t>
      </w:r>
    </w:p>
    <w:p w14:paraId="4A897ADF">
      <w:pPr>
        <w:topLinePunct/>
        <w:snapToGrid w:val="0"/>
        <w:spacing w:line="420" w:lineRule="exact"/>
        <w:ind w:firstLine="480" w:firstLineChars="200"/>
        <w:rPr>
          <w:bCs/>
          <w:snapToGrid w:val="0"/>
          <w:color w:val="auto"/>
          <w:szCs w:val="20"/>
          <w:highlight w:val="none"/>
        </w:rPr>
      </w:pPr>
      <w:r>
        <w:rPr>
          <w:bCs/>
          <w:snapToGrid w:val="0"/>
          <w:color w:val="auto"/>
          <w:szCs w:val="20"/>
          <w:highlight w:val="none"/>
        </w:rPr>
        <w:t>监理服务期自承包人收到中标通知书或参加由发包人组织的第一次进场动员会之日起算，至本项目工程保修期结束且本合同工程结算金额经政府结算终审部门审定之日止。监理服务期包括项目的</w:t>
      </w:r>
      <w:r>
        <w:rPr>
          <w:snapToGrid w:val="0"/>
          <w:color w:val="auto"/>
          <w:highlight w:val="none"/>
        </w:rPr>
        <w:t>前期准备阶段、</w:t>
      </w:r>
      <w:r>
        <w:rPr>
          <w:bCs/>
          <w:snapToGrid w:val="0"/>
          <w:color w:val="auto"/>
          <w:szCs w:val="20"/>
          <w:highlight w:val="none"/>
        </w:rPr>
        <w:t>施工准备阶段、施工阶段、工程收尾阶段和质量保修阶段，承包人须实行全过程监理服务。</w:t>
      </w:r>
    </w:p>
    <w:p w14:paraId="34337C47">
      <w:pPr>
        <w:spacing w:line="420" w:lineRule="exact"/>
        <w:ind w:firstLine="600" w:firstLineChars="250"/>
        <w:rPr>
          <w:color w:val="auto"/>
          <w:highlight w:val="none"/>
          <w:u w:val="single"/>
        </w:rPr>
      </w:pPr>
      <w:r>
        <w:rPr>
          <w:snapToGrid w:val="0"/>
          <w:color w:val="auto"/>
          <w:highlight w:val="none"/>
          <w:u w:val="single"/>
        </w:rPr>
        <w:t>2.3.1项目前期准备阶段（包括项目策划（含配合征拆）、勘察设计报审、勘察、设计监理、检测方案编审等）；</w:t>
      </w:r>
    </w:p>
    <w:p w14:paraId="450BAE33">
      <w:pPr>
        <w:spacing w:line="420" w:lineRule="exact"/>
        <w:ind w:firstLine="600" w:firstLineChars="250"/>
        <w:rPr>
          <w:color w:val="auto"/>
          <w:highlight w:val="none"/>
          <w:u w:val="single"/>
        </w:rPr>
      </w:pPr>
      <w:r>
        <w:rPr>
          <w:color w:val="auto"/>
          <w:highlight w:val="none"/>
          <w:u w:val="single"/>
        </w:rPr>
        <w:t>2.3.2施工准备阶段监理工期：从中标通知书发放之日起至业主下达开工令或开工报告审批之日为止；</w:t>
      </w:r>
    </w:p>
    <w:p w14:paraId="438FA0FB">
      <w:pPr>
        <w:spacing w:line="420" w:lineRule="exact"/>
        <w:ind w:firstLine="600" w:firstLineChars="250"/>
        <w:rPr>
          <w:color w:val="auto"/>
          <w:highlight w:val="none"/>
          <w:u w:val="single"/>
        </w:rPr>
      </w:pPr>
      <w:r>
        <w:rPr>
          <w:color w:val="auto"/>
          <w:highlight w:val="none"/>
          <w:u w:val="single"/>
        </w:rPr>
        <w:t>2.3.3施工阶段监理工期：从业主下达开工令或开工报告审批之日起至施工项目全部完工并办理竣工验收、竣工结算、备案管理为止；</w:t>
      </w:r>
    </w:p>
    <w:p w14:paraId="1BC10A9A">
      <w:pPr>
        <w:spacing w:line="420" w:lineRule="exact"/>
        <w:ind w:firstLine="600" w:firstLineChars="250"/>
        <w:rPr>
          <w:color w:val="auto"/>
          <w:highlight w:val="none"/>
          <w:u w:val="single"/>
        </w:rPr>
      </w:pPr>
      <w:r>
        <w:rPr>
          <w:color w:val="auto"/>
          <w:highlight w:val="none"/>
          <w:u w:val="single"/>
        </w:rPr>
        <w:t>2.3.4竣工结算期：从竣工验收完成开始至竣工结算完成为止。</w:t>
      </w:r>
    </w:p>
    <w:p w14:paraId="3A5C4DFF">
      <w:pPr>
        <w:spacing w:line="420" w:lineRule="exact"/>
        <w:ind w:firstLine="600" w:firstLineChars="250"/>
        <w:rPr>
          <w:color w:val="auto"/>
          <w:highlight w:val="none"/>
          <w:u w:val="single"/>
        </w:rPr>
      </w:pPr>
      <w:r>
        <w:rPr>
          <w:color w:val="auto"/>
          <w:highlight w:val="none"/>
          <w:u w:val="single"/>
        </w:rPr>
        <w:t>2.3.5保修阶段监理工期：从工程竣工验收合格、备案管理完成之日起计，按对应施工合同的有关规定，至保修期满无质量缺陷为止；</w:t>
      </w:r>
    </w:p>
    <w:p w14:paraId="3003D8FD">
      <w:pPr>
        <w:topLinePunct/>
        <w:snapToGrid w:val="0"/>
        <w:spacing w:line="420" w:lineRule="exact"/>
        <w:ind w:firstLine="480" w:firstLineChars="200"/>
        <w:rPr>
          <w:bCs/>
          <w:snapToGrid w:val="0"/>
          <w:color w:val="auto"/>
          <w:szCs w:val="20"/>
          <w:highlight w:val="none"/>
        </w:rPr>
      </w:pPr>
      <w:r>
        <w:rPr>
          <w:bCs/>
          <w:snapToGrid w:val="0"/>
          <w:color w:val="auto"/>
          <w:szCs w:val="20"/>
          <w:highlight w:val="none"/>
        </w:rPr>
        <w:t>监理服务期内，工程施工阶段承包人的项目总监、专业监理工程师、监理员、造价人员、资料员须在工程现场开展监理服务工作；工程收尾阶段造价人员、资料员须在工程现场或发包人指定场所开展为期6个月的工程收尾相关监理服务工作。</w:t>
      </w:r>
    </w:p>
    <w:p w14:paraId="2BD83BD4">
      <w:pPr>
        <w:pStyle w:val="5"/>
        <w:spacing w:before="120" w:after="120"/>
        <w:rPr>
          <w:b w:val="0"/>
          <w:color w:val="auto"/>
          <w:highlight w:val="none"/>
        </w:rPr>
      </w:pPr>
      <w:r>
        <w:rPr>
          <w:rFonts w:hint="eastAsia"/>
          <w:b w:val="0"/>
          <w:color w:val="auto"/>
          <w:highlight w:val="none"/>
        </w:rPr>
        <w:t>3、监理依据</w:t>
      </w:r>
    </w:p>
    <w:p w14:paraId="2240D1B2">
      <w:pPr>
        <w:spacing w:line="360" w:lineRule="auto"/>
        <w:ind w:firstLine="480" w:firstLineChars="200"/>
        <w:rPr>
          <w:rFonts w:ascii="宋体" w:hAnsi="宋体" w:cs="宋体"/>
          <w:color w:val="auto"/>
          <w:kern w:val="44"/>
          <w:highlight w:val="none"/>
        </w:rPr>
      </w:pPr>
      <w:r>
        <w:rPr>
          <w:rFonts w:hint="eastAsia" w:ascii="宋体" w:hAnsi="宋体" w:cs="宋体"/>
          <w:color w:val="auto"/>
          <w:kern w:val="44"/>
          <w:highlight w:val="none"/>
        </w:rPr>
        <w:t>3.1 有关法律法规；</w:t>
      </w:r>
    </w:p>
    <w:p w14:paraId="5A042768">
      <w:pPr>
        <w:spacing w:line="360" w:lineRule="auto"/>
        <w:ind w:firstLine="480" w:firstLineChars="200"/>
        <w:rPr>
          <w:rFonts w:ascii="宋体" w:hAnsi="宋体" w:cs="宋体"/>
          <w:color w:val="auto"/>
          <w:kern w:val="44"/>
          <w:highlight w:val="none"/>
        </w:rPr>
      </w:pPr>
      <w:r>
        <w:rPr>
          <w:rFonts w:hint="eastAsia" w:ascii="宋体" w:hAnsi="宋体" w:cs="宋体"/>
          <w:color w:val="auto"/>
          <w:kern w:val="44"/>
          <w:highlight w:val="none"/>
        </w:rPr>
        <w:t>3.2有关技术标准；</w:t>
      </w:r>
    </w:p>
    <w:p w14:paraId="11274313">
      <w:pPr>
        <w:spacing w:line="360" w:lineRule="auto"/>
        <w:ind w:firstLine="480" w:firstLineChars="200"/>
        <w:rPr>
          <w:rFonts w:ascii="宋体" w:hAnsi="宋体" w:cs="宋体"/>
          <w:color w:val="auto"/>
          <w:kern w:val="44"/>
          <w:highlight w:val="none"/>
        </w:rPr>
      </w:pPr>
      <w:r>
        <w:rPr>
          <w:rFonts w:hint="eastAsia" w:ascii="宋体" w:hAnsi="宋体" w:cs="宋体"/>
          <w:color w:val="auto"/>
          <w:kern w:val="44"/>
          <w:highlight w:val="none"/>
        </w:rPr>
        <w:t>3.3有关工程建设文件；</w:t>
      </w:r>
    </w:p>
    <w:p w14:paraId="5B85CCE1">
      <w:pPr>
        <w:spacing w:line="360" w:lineRule="auto"/>
        <w:ind w:firstLine="480" w:firstLineChars="200"/>
        <w:rPr>
          <w:rFonts w:ascii="宋体" w:hAnsi="宋体" w:cs="宋体"/>
          <w:color w:val="auto"/>
          <w:kern w:val="44"/>
          <w:highlight w:val="none"/>
        </w:rPr>
      </w:pPr>
      <w:r>
        <w:rPr>
          <w:rFonts w:hint="eastAsia" w:ascii="宋体" w:hAnsi="宋体" w:cs="宋体"/>
          <w:color w:val="auto"/>
          <w:kern w:val="44"/>
          <w:highlight w:val="none"/>
        </w:rPr>
        <w:t>3.4建设工程委托监理合同；</w:t>
      </w:r>
    </w:p>
    <w:p w14:paraId="4672E4A8">
      <w:pPr>
        <w:spacing w:line="360" w:lineRule="auto"/>
        <w:ind w:firstLine="480" w:firstLineChars="200"/>
        <w:rPr>
          <w:rFonts w:ascii="宋体" w:hAnsi="宋体" w:cs="宋体"/>
          <w:color w:val="auto"/>
          <w:kern w:val="44"/>
          <w:highlight w:val="none"/>
        </w:rPr>
      </w:pPr>
      <w:r>
        <w:rPr>
          <w:rFonts w:hint="eastAsia" w:ascii="宋体" w:hAnsi="宋体" w:cs="宋体"/>
          <w:color w:val="auto"/>
          <w:kern w:val="44"/>
          <w:highlight w:val="none"/>
        </w:rPr>
        <w:t>3.5其他有关建设工程合同。</w:t>
      </w:r>
    </w:p>
    <w:p w14:paraId="13A1522B">
      <w:pPr>
        <w:pStyle w:val="5"/>
        <w:spacing w:before="120" w:after="120"/>
        <w:rPr>
          <w:b w:val="0"/>
          <w:color w:val="auto"/>
          <w:highlight w:val="none"/>
        </w:rPr>
      </w:pPr>
      <w:r>
        <w:rPr>
          <w:rFonts w:hint="eastAsia"/>
          <w:b w:val="0"/>
          <w:color w:val="auto"/>
          <w:highlight w:val="none"/>
        </w:rPr>
        <w:t>4、监理人员要求</w:t>
      </w:r>
    </w:p>
    <w:p w14:paraId="7A3D6E81">
      <w:pPr>
        <w:spacing w:line="240" w:lineRule="auto"/>
        <w:jc w:val="center"/>
        <w:rPr>
          <w:rFonts w:ascii="宋体" w:hAnsi="宋体"/>
          <w:color w:val="auto"/>
          <w:kern w:val="44"/>
          <w:highlight w:val="none"/>
        </w:rPr>
      </w:pPr>
      <w:r>
        <w:rPr>
          <w:rFonts w:hint="eastAsia"/>
          <w:b/>
          <w:bCs/>
          <w:color w:val="auto"/>
          <w:sz w:val="28"/>
          <w:szCs w:val="36"/>
          <w:highlight w:val="none"/>
        </w:rPr>
        <w:t>项目监理人员组成要求表</w:t>
      </w:r>
    </w:p>
    <w:tbl>
      <w:tblPr>
        <w:tblStyle w:val="26"/>
        <w:tblpPr w:leftFromText="180" w:rightFromText="180" w:vertAnchor="text" w:horzAnchor="page" w:tblpX="1193" w:tblpY="442"/>
        <w:tblOverlap w:val="never"/>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1938"/>
        <w:gridCol w:w="708"/>
        <w:gridCol w:w="5861"/>
        <w:gridCol w:w="771"/>
      </w:tblGrid>
      <w:tr w14:paraId="2AFF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blHead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6D357A2C">
            <w:pPr>
              <w:pStyle w:val="45"/>
              <w:spacing w:line="360" w:lineRule="auto"/>
              <w:jc w:val="center"/>
              <w:rPr>
                <w:b/>
                <w:color w:val="auto"/>
                <w:kern w:val="44"/>
                <w:sz w:val="24"/>
                <w:szCs w:val="24"/>
                <w:highlight w:val="none"/>
              </w:rPr>
            </w:pPr>
            <w:r>
              <w:rPr>
                <w:rFonts w:hint="eastAsia"/>
                <w:b/>
                <w:color w:val="auto"/>
                <w:kern w:val="44"/>
                <w:sz w:val="24"/>
                <w:szCs w:val="24"/>
                <w:highlight w:val="none"/>
              </w:rPr>
              <w:t>类别</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A323ECD">
            <w:pPr>
              <w:pStyle w:val="45"/>
              <w:spacing w:line="360" w:lineRule="auto"/>
              <w:jc w:val="center"/>
              <w:rPr>
                <w:b/>
                <w:color w:val="auto"/>
                <w:kern w:val="44"/>
                <w:sz w:val="24"/>
                <w:szCs w:val="24"/>
                <w:highlight w:val="none"/>
              </w:rPr>
            </w:pPr>
            <w:r>
              <w:rPr>
                <w:rFonts w:hint="eastAsia"/>
                <w:b/>
                <w:color w:val="auto"/>
                <w:kern w:val="44"/>
                <w:sz w:val="24"/>
                <w:szCs w:val="24"/>
                <w:highlight w:val="none"/>
              </w:rPr>
              <w:t>人数</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35290773">
            <w:pPr>
              <w:snapToGrid w:val="0"/>
              <w:spacing w:line="360" w:lineRule="auto"/>
              <w:jc w:val="center"/>
              <w:rPr>
                <w:rFonts w:ascii="宋体" w:hAnsi="宋体"/>
                <w:b/>
                <w:snapToGrid w:val="0"/>
                <w:color w:val="auto"/>
                <w:spacing w:val="4"/>
                <w:sz w:val="24"/>
                <w:highlight w:val="none"/>
              </w:rPr>
            </w:pPr>
            <w:r>
              <w:rPr>
                <w:rFonts w:hint="eastAsia" w:ascii="宋体" w:hAnsi="宋体"/>
                <w:b/>
                <w:snapToGrid w:val="0"/>
                <w:color w:val="auto"/>
                <w:spacing w:val="4"/>
                <w:sz w:val="24"/>
                <w:highlight w:val="none"/>
              </w:rPr>
              <w:t>基本要求</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40AAE8F6">
            <w:pPr>
              <w:snapToGrid w:val="0"/>
              <w:spacing w:line="360" w:lineRule="auto"/>
              <w:jc w:val="center"/>
              <w:rPr>
                <w:rFonts w:ascii="宋体" w:hAnsi="宋体"/>
                <w:b/>
                <w:color w:val="auto"/>
                <w:kern w:val="44"/>
                <w:sz w:val="24"/>
                <w:highlight w:val="none"/>
              </w:rPr>
            </w:pPr>
            <w:r>
              <w:rPr>
                <w:rFonts w:hint="eastAsia" w:ascii="宋体" w:hAnsi="宋体"/>
                <w:b/>
                <w:color w:val="auto"/>
                <w:kern w:val="44"/>
                <w:sz w:val="24"/>
                <w:highlight w:val="none"/>
              </w:rPr>
              <w:t>备注</w:t>
            </w:r>
          </w:p>
        </w:tc>
      </w:tr>
      <w:tr w14:paraId="1C33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3C0637D2">
            <w:pPr>
              <w:pStyle w:val="45"/>
              <w:spacing w:line="360" w:lineRule="auto"/>
              <w:jc w:val="center"/>
              <w:rPr>
                <w:color w:val="auto"/>
                <w:kern w:val="44"/>
                <w:sz w:val="24"/>
                <w:szCs w:val="24"/>
                <w:highlight w:val="none"/>
              </w:rPr>
            </w:pPr>
            <w:r>
              <w:rPr>
                <w:rFonts w:hint="eastAsia"/>
                <w:color w:val="auto"/>
                <w:kern w:val="44"/>
                <w:sz w:val="24"/>
                <w:szCs w:val="24"/>
                <w:highlight w:val="none"/>
              </w:rPr>
              <w:t>项目总监理工程师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B8FC433">
            <w:pPr>
              <w:pStyle w:val="45"/>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350C1203">
            <w:pPr>
              <w:snapToGrid w:val="0"/>
              <w:spacing w:line="360" w:lineRule="auto"/>
              <w:jc w:val="left"/>
              <w:rPr>
                <w:rFonts w:ascii="宋体" w:hAnsi="宋体"/>
                <w:snapToGrid w:val="0"/>
                <w:color w:val="auto"/>
                <w:spacing w:val="4"/>
                <w:sz w:val="24"/>
                <w:highlight w:val="none"/>
              </w:rPr>
            </w:pPr>
            <w:r>
              <w:rPr>
                <w:rFonts w:hint="eastAsia" w:ascii="宋体" w:hAnsi="宋体"/>
                <w:snapToGrid w:val="0"/>
                <w:color w:val="auto"/>
                <w:spacing w:val="4"/>
                <w:sz w:val="24"/>
                <w:highlight w:val="none"/>
              </w:rPr>
              <w:t>与招标公告第3条第3.</w:t>
            </w:r>
            <w:r>
              <w:rPr>
                <w:rFonts w:hint="eastAsia" w:ascii="宋体" w:hAnsi="宋体"/>
                <w:snapToGrid w:val="0"/>
                <w:color w:val="auto"/>
                <w:spacing w:val="4"/>
                <w:sz w:val="24"/>
                <w:highlight w:val="none"/>
                <w:lang w:val="en-US" w:eastAsia="zh-CN"/>
              </w:rPr>
              <w:t>4</w:t>
            </w:r>
            <w:r>
              <w:rPr>
                <w:rFonts w:hint="eastAsia" w:ascii="宋体" w:hAnsi="宋体"/>
                <w:snapToGrid w:val="0"/>
                <w:color w:val="auto"/>
                <w:spacing w:val="4"/>
                <w:sz w:val="24"/>
                <w:highlight w:val="none"/>
              </w:rPr>
              <w:t>点的要求一致。</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604506C4">
            <w:pPr>
              <w:snapToGrid w:val="0"/>
              <w:spacing w:line="360" w:lineRule="auto"/>
              <w:jc w:val="center"/>
              <w:rPr>
                <w:rFonts w:ascii="宋体" w:hAnsi="宋体"/>
                <w:b/>
                <w:color w:val="auto"/>
                <w:kern w:val="44"/>
                <w:sz w:val="24"/>
                <w:highlight w:val="none"/>
              </w:rPr>
            </w:pPr>
          </w:p>
        </w:tc>
      </w:tr>
      <w:tr w14:paraId="719E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6ECA45CB">
            <w:pPr>
              <w:pStyle w:val="45"/>
              <w:spacing w:line="360" w:lineRule="auto"/>
              <w:jc w:val="center"/>
              <w:rPr>
                <w:rFonts w:hint="eastAsia"/>
                <w:color w:val="auto"/>
                <w:kern w:val="44"/>
                <w:sz w:val="24"/>
                <w:szCs w:val="24"/>
                <w:highlight w:val="none"/>
              </w:rPr>
            </w:pPr>
            <w:r>
              <w:rPr>
                <w:rFonts w:hint="eastAsia"/>
                <w:color w:val="auto"/>
                <w:kern w:val="44"/>
                <w:sz w:val="24"/>
                <w:szCs w:val="24"/>
                <w:highlight w:val="none"/>
              </w:rPr>
              <w:t>项目总监理工程师代表</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1F145A3">
            <w:pPr>
              <w:pStyle w:val="45"/>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25683A6C">
            <w:pPr>
              <w:snapToGrid w:val="0"/>
              <w:spacing w:line="360" w:lineRule="auto"/>
              <w:jc w:val="left"/>
              <w:rPr>
                <w:rFonts w:hint="eastAsia" w:ascii="宋体" w:hAnsi="宋体"/>
                <w:snapToGrid w:val="0"/>
                <w:color w:val="auto"/>
                <w:spacing w:val="4"/>
                <w:sz w:val="24"/>
                <w:highlight w:val="none"/>
              </w:rPr>
            </w:pPr>
            <w:r>
              <w:rPr>
                <w:rFonts w:hint="eastAsia" w:ascii="宋体" w:hAnsi="宋体"/>
                <w:snapToGrid w:val="0"/>
                <w:color w:val="auto"/>
                <w:spacing w:val="4"/>
                <w:sz w:val="24"/>
                <w:highlight w:val="none"/>
              </w:rPr>
              <w:t>必须具有建设部2006年4月1日后颁发的中华人民共和国注册监理工程师注册执业证书，且其注册专业为</w:t>
            </w:r>
            <w:r>
              <w:rPr>
                <w:rFonts w:hint="eastAsia" w:ascii="宋体" w:hAnsi="宋体"/>
                <w:snapToGrid w:val="0"/>
                <w:color w:val="auto"/>
                <w:spacing w:val="4"/>
                <w:sz w:val="24"/>
                <w:highlight w:val="none"/>
                <w:lang w:eastAsia="zh-CN"/>
              </w:rPr>
              <w:t>市政公用</w:t>
            </w:r>
            <w:r>
              <w:rPr>
                <w:rFonts w:hint="eastAsia" w:ascii="宋体" w:hAnsi="宋体"/>
                <w:snapToGrid w:val="0"/>
                <w:color w:val="auto"/>
                <w:spacing w:val="4"/>
                <w:sz w:val="24"/>
                <w:highlight w:val="none"/>
              </w:rPr>
              <w:t>工程，注册执业单位为本公司。</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2B9F0A81">
            <w:pPr>
              <w:snapToGrid w:val="0"/>
              <w:spacing w:line="360" w:lineRule="auto"/>
              <w:jc w:val="center"/>
              <w:rPr>
                <w:rFonts w:ascii="宋体" w:hAnsi="宋体"/>
                <w:b/>
                <w:color w:val="auto"/>
                <w:kern w:val="44"/>
                <w:sz w:val="24"/>
                <w:highlight w:val="none"/>
              </w:rPr>
            </w:pPr>
          </w:p>
        </w:tc>
      </w:tr>
      <w:tr w14:paraId="3890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trPr>
        <w:tc>
          <w:tcPr>
            <w:tcW w:w="380" w:type="dxa"/>
            <w:vMerge w:val="restart"/>
            <w:tcBorders>
              <w:top w:val="single" w:color="auto" w:sz="4" w:space="0"/>
              <w:left w:val="single" w:color="auto" w:sz="4" w:space="0"/>
              <w:right w:val="single" w:color="auto" w:sz="4" w:space="0"/>
            </w:tcBorders>
            <w:noWrap w:val="0"/>
            <w:vAlign w:val="center"/>
          </w:tcPr>
          <w:p w14:paraId="27CEEB4E">
            <w:pPr>
              <w:snapToGrid w:val="0"/>
              <w:spacing w:line="360" w:lineRule="auto"/>
              <w:jc w:val="center"/>
              <w:rPr>
                <w:rFonts w:ascii="宋体" w:hAnsi="宋体"/>
                <w:bCs/>
                <w:color w:val="auto"/>
                <w:kern w:val="44"/>
                <w:sz w:val="24"/>
                <w:highlight w:val="none"/>
              </w:rPr>
            </w:pPr>
            <w:r>
              <w:rPr>
                <w:rFonts w:hint="eastAsia" w:ascii="宋体" w:hAnsi="宋体"/>
                <w:bCs/>
                <w:color w:val="auto"/>
                <w:kern w:val="44"/>
                <w:sz w:val="24"/>
                <w:highlight w:val="none"/>
              </w:rPr>
              <w:t>专业</w:t>
            </w:r>
            <w:r>
              <w:rPr>
                <w:rFonts w:hint="eastAsia" w:ascii="宋体" w:hAnsi="宋体"/>
                <w:bCs/>
                <w:color w:val="auto"/>
                <w:kern w:val="44"/>
                <w:sz w:val="24"/>
                <w:highlight w:val="none"/>
                <w:lang w:val="en-US" w:eastAsia="zh-CN"/>
              </w:rPr>
              <w:t>监理</w:t>
            </w:r>
            <w:r>
              <w:rPr>
                <w:rFonts w:hint="eastAsia" w:ascii="宋体" w:hAnsi="宋体"/>
                <w:bCs/>
                <w:color w:val="auto"/>
                <w:kern w:val="44"/>
                <w:sz w:val="24"/>
                <w:highlight w:val="none"/>
              </w:rPr>
              <w:t>人员</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4B0D7028">
            <w:pPr>
              <w:snapToGrid w:val="0"/>
              <w:spacing w:line="360" w:lineRule="auto"/>
              <w:jc w:val="center"/>
              <w:rPr>
                <w:rFonts w:ascii="宋体" w:hAnsi="宋体"/>
                <w:bCs/>
                <w:color w:val="auto"/>
                <w:kern w:val="44"/>
                <w:sz w:val="24"/>
                <w:highlight w:val="none"/>
              </w:rPr>
            </w:pPr>
            <w:r>
              <w:rPr>
                <w:rFonts w:hint="eastAsia" w:ascii="宋体" w:hAnsi="宋体" w:cs="宋体"/>
                <w:color w:val="auto"/>
                <w:sz w:val="24"/>
                <w:highlight w:val="none"/>
                <w:lang w:eastAsia="zh-CN"/>
              </w:rPr>
              <w:t>市政公用</w:t>
            </w:r>
            <w:r>
              <w:rPr>
                <w:rFonts w:hint="eastAsia" w:ascii="宋体" w:hAnsi="宋体" w:cs="宋体"/>
                <w:color w:val="auto"/>
                <w:sz w:val="24"/>
                <w:highlight w:val="none"/>
              </w:rPr>
              <w:t>工程专业监理工程师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2C81AF8">
            <w:pPr>
              <w:pStyle w:val="45"/>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2</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15695FE8">
            <w:pPr>
              <w:pStyle w:val="45"/>
              <w:spacing w:line="360" w:lineRule="auto"/>
              <w:rPr>
                <w:color w:val="auto"/>
                <w:kern w:val="44"/>
                <w:sz w:val="24"/>
                <w:szCs w:val="24"/>
                <w:highlight w:val="none"/>
              </w:rPr>
            </w:pPr>
            <w:r>
              <w:rPr>
                <w:rFonts w:hint="eastAsia"/>
                <w:color w:val="auto"/>
                <w:kern w:val="44"/>
                <w:sz w:val="24"/>
                <w:szCs w:val="24"/>
                <w:highlight w:val="none"/>
                <w:lang w:eastAsia="zh-CN"/>
              </w:rPr>
              <w:t>具有市政公用专业监理工程师岗位证书或者市政公用专业注册监理工程师证书</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23D60652">
            <w:pPr>
              <w:pStyle w:val="45"/>
              <w:spacing w:line="360" w:lineRule="auto"/>
              <w:rPr>
                <w:color w:val="auto"/>
                <w:kern w:val="44"/>
                <w:sz w:val="24"/>
                <w:szCs w:val="24"/>
                <w:highlight w:val="none"/>
              </w:rPr>
            </w:pPr>
          </w:p>
        </w:tc>
      </w:tr>
      <w:tr w14:paraId="4D10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80" w:type="dxa"/>
            <w:vMerge w:val="continue"/>
            <w:tcBorders>
              <w:left w:val="single" w:color="auto" w:sz="4" w:space="0"/>
              <w:right w:val="single" w:color="auto" w:sz="4" w:space="0"/>
            </w:tcBorders>
            <w:noWrap w:val="0"/>
            <w:vAlign w:val="center"/>
          </w:tcPr>
          <w:p w14:paraId="0ADDEB81">
            <w:pPr>
              <w:widowControl/>
              <w:spacing w:line="360" w:lineRule="auto"/>
              <w:rPr>
                <w:rFonts w:ascii="宋体" w:hAnsi="宋体"/>
                <w:bCs/>
                <w:color w:val="auto"/>
                <w:kern w:val="44"/>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1C51C4C8">
            <w:pPr>
              <w:snapToGrid w:val="0"/>
              <w:spacing w:line="360" w:lineRule="auto"/>
              <w:jc w:val="center"/>
              <w:rPr>
                <w:rFonts w:hint="eastAsia" w:ascii="仿宋_GB2312" w:hAnsi="宋体"/>
                <w:snapToGrid w:val="0"/>
                <w:color w:val="auto"/>
                <w:spacing w:val="4"/>
                <w:sz w:val="24"/>
                <w:highlight w:val="none"/>
              </w:rPr>
            </w:pPr>
            <w:r>
              <w:rPr>
                <w:rFonts w:hint="eastAsia" w:ascii="宋体" w:hAnsi="宋体"/>
                <w:bCs/>
                <w:color w:val="auto"/>
                <w:kern w:val="44"/>
                <w:sz w:val="24"/>
                <w:highlight w:val="none"/>
              </w:rPr>
              <w:t>测量</w:t>
            </w:r>
            <w:r>
              <w:rPr>
                <w:rFonts w:hint="eastAsia" w:ascii="仿宋_GB2312" w:hAnsi="宋体"/>
                <w:snapToGrid w:val="0"/>
                <w:color w:val="auto"/>
                <w:spacing w:val="4"/>
                <w:sz w:val="24"/>
                <w:highlight w:val="none"/>
              </w:rPr>
              <w:t>专业工程师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984712F">
            <w:pPr>
              <w:pStyle w:val="45"/>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43322E7A">
            <w:pPr>
              <w:pStyle w:val="45"/>
              <w:spacing w:line="360" w:lineRule="auto"/>
              <w:rPr>
                <w:rFonts w:hint="eastAsia"/>
                <w:color w:val="auto"/>
                <w:kern w:val="44"/>
                <w:sz w:val="24"/>
                <w:szCs w:val="24"/>
                <w:highlight w:val="none"/>
              </w:rPr>
            </w:pPr>
            <w:r>
              <w:rPr>
                <w:rFonts w:hint="eastAsia" w:ascii="仿宋_GB2312" w:hAnsi="仿宋_GB2312"/>
                <w:snapToGrid w:val="0"/>
                <w:color w:val="auto"/>
                <w:spacing w:val="4"/>
                <w:sz w:val="24"/>
                <w:szCs w:val="24"/>
                <w:highlight w:val="none"/>
              </w:rPr>
              <w:t>工程测量工程相关专业中级或以上技术职称</w:t>
            </w:r>
            <w:r>
              <w:rPr>
                <w:rFonts w:hint="eastAsia"/>
                <w:color w:val="auto"/>
                <w:kern w:val="44"/>
                <w:sz w:val="24"/>
                <w:szCs w:val="24"/>
                <w:highlight w:val="none"/>
              </w:rPr>
              <w:t>（专业以职称证上专业为准）</w:t>
            </w:r>
            <w:r>
              <w:rPr>
                <w:rFonts w:hint="eastAsia" w:ascii="仿宋_GB2312" w:hAnsi="仿宋_GB2312"/>
                <w:snapToGrid w:val="0"/>
                <w:color w:val="auto"/>
                <w:spacing w:val="4"/>
                <w:sz w:val="24"/>
                <w:szCs w:val="24"/>
                <w:highlight w:val="none"/>
              </w:rPr>
              <w:t>，且具有监理岗位证。</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1957880E">
            <w:pPr>
              <w:pStyle w:val="45"/>
              <w:spacing w:line="360" w:lineRule="auto"/>
              <w:rPr>
                <w:color w:val="auto"/>
                <w:kern w:val="44"/>
                <w:sz w:val="24"/>
                <w:szCs w:val="24"/>
                <w:highlight w:val="none"/>
              </w:rPr>
            </w:pPr>
          </w:p>
        </w:tc>
      </w:tr>
      <w:tr w14:paraId="58FD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80" w:type="dxa"/>
            <w:vMerge w:val="continue"/>
            <w:tcBorders>
              <w:left w:val="single" w:color="auto" w:sz="4" w:space="0"/>
              <w:right w:val="single" w:color="auto" w:sz="4" w:space="0"/>
            </w:tcBorders>
            <w:noWrap w:val="0"/>
            <w:vAlign w:val="center"/>
          </w:tcPr>
          <w:p w14:paraId="53ACCE11">
            <w:pPr>
              <w:widowControl/>
              <w:spacing w:line="360" w:lineRule="auto"/>
              <w:rPr>
                <w:rFonts w:ascii="宋体" w:hAnsi="宋体"/>
                <w:bCs/>
                <w:color w:val="auto"/>
                <w:kern w:val="44"/>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7A6D6B80">
            <w:pPr>
              <w:snapToGrid w:val="0"/>
              <w:spacing w:line="360" w:lineRule="auto"/>
              <w:jc w:val="center"/>
              <w:rPr>
                <w:rFonts w:ascii="宋体" w:hAnsi="宋体"/>
                <w:color w:val="auto"/>
                <w:kern w:val="44"/>
                <w:sz w:val="24"/>
                <w:highlight w:val="none"/>
              </w:rPr>
            </w:pPr>
            <w:r>
              <w:rPr>
                <w:rFonts w:hint="eastAsia" w:ascii="宋体" w:hAnsi="宋体"/>
                <w:color w:val="auto"/>
                <w:kern w:val="44"/>
                <w:sz w:val="24"/>
                <w:highlight w:val="none"/>
              </w:rPr>
              <w:t>给排水</w:t>
            </w:r>
            <w:r>
              <w:rPr>
                <w:rFonts w:hint="eastAsia" w:ascii="仿宋_GB2312" w:hAnsi="宋体"/>
                <w:snapToGrid w:val="0"/>
                <w:color w:val="auto"/>
                <w:spacing w:val="4"/>
                <w:sz w:val="24"/>
                <w:highlight w:val="none"/>
              </w:rPr>
              <w:t>专业工程师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C26194C">
            <w:pPr>
              <w:pStyle w:val="45"/>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18226F96">
            <w:pPr>
              <w:pStyle w:val="45"/>
              <w:spacing w:line="360" w:lineRule="auto"/>
              <w:rPr>
                <w:color w:val="auto"/>
                <w:kern w:val="44"/>
                <w:sz w:val="24"/>
                <w:szCs w:val="24"/>
                <w:highlight w:val="none"/>
              </w:rPr>
            </w:pPr>
            <w:r>
              <w:rPr>
                <w:rFonts w:hint="eastAsia"/>
                <w:color w:val="auto"/>
                <w:kern w:val="44"/>
                <w:sz w:val="24"/>
                <w:szCs w:val="24"/>
                <w:highlight w:val="none"/>
              </w:rPr>
              <w:t>给排水相关</w:t>
            </w:r>
            <w:r>
              <w:rPr>
                <w:rFonts w:hint="eastAsia" w:ascii="仿宋_GB2312" w:hAnsi="仿宋_GB2312"/>
                <w:snapToGrid w:val="0"/>
                <w:color w:val="auto"/>
                <w:spacing w:val="4"/>
                <w:sz w:val="24"/>
                <w:szCs w:val="24"/>
                <w:highlight w:val="none"/>
              </w:rPr>
              <w:t>专业中级或以上技术职称</w:t>
            </w:r>
            <w:r>
              <w:rPr>
                <w:rFonts w:hint="eastAsia"/>
                <w:color w:val="auto"/>
                <w:kern w:val="44"/>
                <w:sz w:val="24"/>
                <w:szCs w:val="24"/>
                <w:highlight w:val="none"/>
              </w:rPr>
              <w:t>（专业以职称证上专业为准），且具有监理岗位证。</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756D35E2">
            <w:pPr>
              <w:pStyle w:val="45"/>
              <w:spacing w:line="360" w:lineRule="auto"/>
              <w:rPr>
                <w:color w:val="auto"/>
                <w:kern w:val="44"/>
                <w:sz w:val="24"/>
                <w:szCs w:val="24"/>
                <w:highlight w:val="none"/>
              </w:rPr>
            </w:pPr>
          </w:p>
        </w:tc>
      </w:tr>
      <w:tr w14:paraId="3969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80" w:type="dxa"/>
            <w:vMerge w:val="continue"/>
            <w:tcBorders>
              <w:left w:val="single" w:color="auto" w:sz="4" w:space="0"/>
              <w:right w:val="single" w:color="auto" w:sz="4" w:space="0"/>
            </w:tcBorders>
            <w:noWrap w:val="0"/>
            <w:vAlign w:val="center"/>
          </w:tcPr>
          <w:p w14:paraId="69F5C510">
            <w:pPr>
              <w:widowControl/>
              <w:spacing w:line="360" w:lineRule="auto"/>
              <w:rPr>
                <w:rFonts w:ascii="宋体" w:hAnsi="宋体"/>
                <w:bCs/>
                <w:color w:val="auto"/>
                <w:kern w:val="44"/>
                <w:sz w:val="24"/>
                <w:highlight w:val="none"/>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35909BC7">
            <w:pPr>
              <w:snapToGrid w:val="0"/>
              <w:spacing w:line="360" w:lineRule="auto"/>
              <w:jc w:val="center"/>
              <w:rPr>
                <w:rFonts w:ascii="宋体" w:hAnsi="宋体"/>
                <w:bCs/>
                <w:color w:val="auto"/>
                <w:kern w:val="44"/>
                <w:sz w:val="24"/>
                <w:highlight w:val="none"/>
              </w:rPr>
            </w:pPr>
            <w:r>
              <w:rPr>
                <w:rFonts w:hint="eastAsia" w:ascii="宋体" w:hAnsi="宋体"/>
                <w:bCs/>
                <w:color w:val="auto"/>
                <w:kern w:val="44"/>
                <w:sz w:val="24"/>
                <w:highlight w:val="none"/>
              </w:rPr>
              <w:t>造价工程师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D6806AC">
            <w:pPr>
              <w:pStyle w:val="45"/>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3F52C1FC">
            <w:pPr>
              <w:pStyle w:val="45"/>
              <w:spacing w:line="360" w:lineRule="auto"/>
              <w:rPr>
                <w:rFonts w:hint="eastAsia"/>
                <w:color w:val="auto"/>
                <w:kern w:val="44"/>
                <w:sz w:val="24"/>
                <w:szCs w:val="24"/>
                <w:highlight w:val="none"/>
              </w:rPr>
            </w:pPr>
            <w:r>
              <w:rPr>
                <w:rFonts w:hint="eastAsia"/>
                <w:color w:val="auto"/>
                <w:kern w:val="44"/>
                <w:sz w:val="24"/>
                <w:szCs w:val="24"/>
                <w:highlight w:val="none"/>
              </w:rPr>
              <w:t>国家注册造价工程师或一级注册造价工程师。</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05768548">
            <w:pPr>
              <w:pStyle w:val="45"/>
              <w:spacing w:line="360" w:lineRule="auto"/>
              <w:rPr>
                <w:color w:val="auto"/>
                <w:kern w:val="44"/>
                <w:sz w:val="24"/>
                <w:szCs w:val="24"/>
                <w:highlight w:val="none"/>
              </w:rPr>
            </w:pPr>
          </w:p>
        </w:tc>
      </w:tr>
      <w:tr w14:paraId="5998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7526C90C">
            <w:pPr>
              <w:snapToGrid w:val="0"/>
              <w:spacing w:line="360" w:lineRule="auto"/>
              <w:jc w:val="center"/>
              <w:rPr>
                <w:rFonts w:ascii="宋体" w:hAnsi="宋体"/>
                <w:bCs/>
                <w:color w:val="auto"/>
                <w:kern w:val="44"/>
                <w:sz w:val="24"/>
                <w:highlight w:val="none"/>
              </w:rPr>
            </w:pPr>
            <w:r>
              <w:rPr>
                <w:rFonts w:hint="eastAsia" w:ascii="仿宋_GB2312" w:hAnsi="宋体"/>
                <w:snapToGrid w:val="0"/>
                <w:color w:val="auto"/>
                <w:spacing w:val="4"/>
                <w:sz w:val="24"/>
                <w:highlight w:val="none"/>
              </w:rPr>
              <w:t>资料管理员</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9C4C4D9">
            <w:pPr>
              <w:pStyle w:val="45"/>
              <w:spacing w:line="360" w:lineRule="auto"/>
              <w:jc w:val="center"/>
              <w:rPr>
                <w:rFonts w:hint="eastAsia" w:cs="宋体"/>
                <w:color w:val="auto"/>
                <w:kern w:val="44"/>
                <w:sz w:val="24"/>
                <w:szCs w:val="24"/>
                <w:highlight w:val="none"/>
              </w:rPr>
            </w:pPr>
            <w:r>
              <w:rPr>
                <w:rFonts w:hint="eastAsia" w:cs="宋体"/>
                <w:color w:val="auto"/>
                <w:kern w:val="44"/>
                <w:sz w:val="24"/>
                <w:szCs w:val="24"/>
                <w:highlight w:val="none"/>
              </w:rPr>
              <w:t>1</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2A50E26B">
            <w:pPr>
              <w:pStyle w:val="45"/>
              <w:spacing w:line="360" w:lineRule="auto"/>
              <w:rPr>
                <w:color w:val="auto"/>
                <w:kern w:val="44"/>
                <w:sz w:val="24"/>
                <w:szCs w:val="24"/>
                <w:highlight w:val="none"/>
              </w:rPr>
            </w:pPr>
            <w:r>
              <w:rPr>
                <w:rFonts w:hint="eastAsia"/>
                <w:color w:val="auto"/>
                <w:kern w:val="44"/>
                <w:sz w:val="24"/>
                <w:szCs w:val="24"/>
                <w:highlight w:val="none"/>
              </w:rPr>
              <w:t>从事工程管理资料工作，具有资料员岗位证书</w:t>
            </w:r>
            <w:r>
              <w:rPr>
                <w:rFonts w:hint="eastAsia" w:ascii="仿宋_GB2312" w:cs="宋体"/>
                <w:snapToGrid w:val="0"/>
                <w:color w:val="auto"/>
                <w:spacing w:val="4"/>
                <w:kern w:val="0"/>
                <w:sz w:val="24"/>
                <w:szCs w:val="24"/>
                <w:highlight w:val="none"/>
              </w:rPr>
              <w:t>。</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704F77BA">
            <w:pPr>
              <w:pStyle w:val="45"/>
              <w:spacing w:line="360" w:lineRule="auto"/>
              <w:rPr>
                <w:color w:val="auto"/>
                <w:kern w:val="44"/>
                <w:sz w:val="24"/>
                <w:szCs w:val="24"/>
                <w:highlight w:val="none"/>
              </w:rPr>
            </w:pPr>
          </w:p>
        </w:tc>
      </w:tr>
      <w:tr w14:paraId="0841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blHead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7EC32076">
            <w:pPr>
              <w:snapToGrid w:val="0"/>
              <w:spacing w:line="360" w:lineRule="auto"/>
              <w:jc w:val="center"/>
              <w:rPr>
                <w:rFonts w:ascii="宋体" w:hAnsi="宋体"/>
                <w:bCs/>
                <w:color w:val="auto"/>
                <w:kern w:val="44"/>
                <w:sz w:val="24"/>
                <w:highlight w:val="none"/>
              </w:rPr>
            </w:pPr>
            <w:r>
              <w:rPr>
                <w:rFonts w:hint="eastAsia" w:ascii="宋体" w:hAnsi="宋体"/>
                <w:bCs/>
                <w:color w:val="auto"/>
                <w:kern w:val="44"/>
                <w:sz w:val="24"/>
                <w:highlight w:val="none"/>
              </w:rPr>
              <w:t>合计</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1967594">
            <w:pPr>
              <w:snapToGrid w:val="0"/>
              <w:spacing w:line="360" w:lineRule="auto"/>
              <w:jc w:val="center"/>
              <w:rPr>
                <w:rFonts w:hint="default" w:ascii="宋体" w:hAnsi="宋体" w:eastAsia="宋体" w:cs="宋体"/>
                <w:bCs/>
                <w:color w:val="auto"/>
                <w:kern w:val="44"/>
                <w:sz w:val="24"/>
                <w:highlight w:val="none"/>
                <w:lang w:val="en-US" w:eastAsia="zh-CN"/>
              </w:rPr>
            </w:pPr>
            <w:r>
              <w:rPr>
                <w:rFonts w:hint="eastAsia" w:ascii="宋体" w:hAnsi="宋体" w:cs="宋体"/>
                <w:bCs/>
                <w:color w:val="auto"/>
                <w:kern w:val="44"/>
                <w:sz w:val="24"/>
                <w:highlight w:val="none"/>
                <w:lang w:val="en-US" w:eastAsia="zh-CN"/>
              </w:rPr>
              <w:t>8</w:t>
            </w:r>
          </w:p>
        </w:tc>
        <w:tc>
          <w:tcPr>
            <w:tcW w:w="5861" w:type="dxa"/>
            <w:tcBorders>
              <w:top w:val="single" w:color="auto" w:sz="4" w:space="0"/>
              <w:left w:val="single" w:color="auto" w:sz="4" w:space="0"/>
              <w:bottom w:val="single" w:color="auto" w:sz="4" w:space="0"/>
              <w:right w:val="single" w:color="auto" w:sz="4" w:space="0"/>
            </w:tcBorders>
            <w:noWrap w:val="0"/>
            <w:vAlign w:val="center"/>
          </w:tcPr>
          <w:p w14:paraId="5E1596D9">
            <w:pPr>
              <w:spacing w:line="360" w:lineRule="auto"/>
              <w:rPr>
                <w:rFonts w:ascii="宋体" w:hAnsi="宋体"/>
                <w:color w:val="auto"/>
                <w:kern w:val="44"/>
                <w:sz w:val="24"/>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10CB0D6E">
            <w:pPr>
              <w:spacing w:line="360" w:lineRule="auto"/>
              <w:rPr>
                <w:rFonts w:ascii="宋体" w:hAnsi="宋体"/>
                <w:color w:val="auto"/>
                <w:kern w:val="44"/>
                <w:sz w:val="24"/>
                <w:highlight w:val="none"/>
              </w:rPr>
            </w:pPr>
          </w:p>
        </w:tc>
      </w:tr>
    </w:tbl>
    <w:p w14:paraId="613EB158">
      <w:pPr>
        <w:spacing w:line="360" w:lineRule="auto"/>
        <w:rPr>
          <w:rFonts w:hint="eastAsia" w:ascii="宋体" w:hAnsi="宋体"/>
          <w:color w:val="auto"/>
          <w:kern w:val="44"/>
          <w:sz w:val="24"/>
          <w:highlight w:val="none"/>
        </w:rPr>
      </w:pPr>
    </w:p>
    <w:p w14:paraId="583D5943">
      <w:pPr>
        <w:spacing w:line="360" w:lineRule="auto"/>
        <w:rPr>
          <w:rFonts w:hint="eastAsia" w:ascii="宋体" w:hAnsi="宋体"/>
          <w:color w:val="auto"/>
          <w:kern w:val="44"/>
          <w:sz w:val="24"/>
          <w:highlight w:val="none"/>
        </w:rPr>
      </w:pPr>
      <w:r>
        <w:rPr>
          <w:rFonts w:hint="eastAsia" w:ascii="宋体" w:hAnsi="宋体"/>
          <w:color w:val="auto"/>
          <w:kern w:val="44"/>
          <w:sz w:val="24"/>
          <w:highlight w:val="none"/>
        </w:rPr>
        <w:t>注：（1）本表只作为综合评分表中“监理人员的配备”的评审参考。</w:t>
      </w:r>
    </w:p>
    <w:p w14:paraId="58BBA030">
      <w:pPr>
        <w:numPr>
          <w:ilvl w:val="0"/>
          <w:numId w:val="3"/>
        </w:numPr>
        <w:spacing w:line="360" w:lineRule="auto"/>
        <w:ind w:firstLine="410" w:firstLineChars="171"/>
        <w:rPr>
          <w:rFonts w:hint="eastAsia" w:ascii="宋体" w:hAnsi="宋体"/>
          <w:color w:val="auto"/>
          <w:sz w:val="24"/>
          <w:highlight w:val="none"/>
        </w:rPr>
      </w:pPr>
      <w:r>
        <w:rPr>
          <w:rFonts w:hint="eastAsia" w:ascii="宋体" w:hAnsi="宋体"/>
          <w:color w:val="auto"/>
          <w:sz w:val="24"/>
          <w:highlight w:val="none"/>
        </w:rPr>
        <w:t>上述人员（除</w:t>
      </w:r>
      <w:r>
        <w:rPr>
          <w:rFonts w:hint="eastAsia"/>
          <w:color w:val="auto"/>
          <w:kern w:val="44"/>
          <w:sz w:val="24"/>
          <w:highlight w:val="none"/>
        </w:rPr>
        <w:t>项目总监理工程师）</w:t>
      </w:r>
      <w:r>
        <w:rPr>
          <w:rFonts w:hint="eastAsia" w:ascii="宋体" w:hAnsi="宋体"/>
          <w:color w:val="auto"/>
          <w:sz w:val="24"/>
          <w:highlight w:val="none"/>
        </w:rPr>
        <w:t>要求不作为形式评审、资格评审、响应性评审的审查依据，只作为综合评分表中的评审依据。</w:t>
      </w:r>
    </w:p>
    <w:p w14:paraId="4C727738">
      <w:pPr>
        <w:numPr>
          <w:ilvl w:val="0"/>
          <w:numId w:val="3"/>
        </w:numPr>
        <w:spacing w:line="360" w:lineRule="auto"/>
        <w:ind w:firstLine="410" w:firstLineChars="171"/>
        <w:rPr>
          <w:rFonts w:hint="eastAsia" w:ascii="宋体" w:hAnsi="宋体"/>
          <w:color w:val="auto"/>
          <w:sz w:val="24"/>
          <w:highlight w:val="none"/>
        </w:rPr>
      </w:pPr>
      <w:r>
        <w:rPr>
          <w:rFonts w:hint="eastAsia" w:ascii="宋体" w:hAnsi="宋体"/>
          <w:color w:val="auto"/>
          <w:sz w:val="24"/>
          <w:highlight w:val="none"/>
        </w:rPr>
        <w:t>投标人提供的人员社保证明需提供投标截止时间最近一个月（时间为：</w:t>
      </w:r>
      <w:r>
        <w:rPr>
          <w:rFonts w:hint="eastAsia" w:ascii="宋体" w:hAnsi="宋体"/>
          <w:color w:val="auto"/>
          <w:sz w:val="24"/>
          <w:highlight w:val="none"/>
          <w:lang w:eastAsia="zh-CN"/>
        </w:rPr>
        <w:t>2025年</w:t>
      </w:r>
      <w:r>
        <w:rPr>
          <w:rFonts w:hint="eastAsia" w:ascii="宋体" w:hAnsi="宋体"/>
          <w:color w:val="auto"/>
          <w:sz w:val="24"/>
          <w:highlight w:val="none"/>
          <w:lang w:val="en-US" w:eastAsia="zh-CN"/>
        </w:rPr>
        <w:t>7</w:t>
      </w:r>
      <w:r>
        <w:rPr>
          <w:rFonts w:hint="eastAsia" w:ascii="宋体" w:hAnsi="宋体"/>
          <w:color w:val="auto"/>
          <w:sz w:val="24"/>
          <w:highlight w:val="none"/>
          <w:lang w:eastAsia="zh-CN"/>
        </w:rPr>
        <w:t>月</w:t>
      </w:r>
      <w:r>
        <w:rPr>
          <w:rFonts w:hint="eastAsia" w:ascii="宋体" w:hAnsi="宋体"/>
          <w:color w:val="auto"/>
          <w:sz w:val="24"/>
          <w:highlight w:val="none"/>
        </w:rPr>
        <w:t>）在本单位交纳的社保证明文件，社保证明文件以加盖社会保险相关部门印章的相关资料为准，退休返聘人员需提供退休及返聘证明。</w:t>
      </w:r>
    </w:p>
    <w:p w14:paraId="6AA0E3AC">
      <w:pPr>
        <w:spacing w:line="360" w:lineRule="auto"/>
        <w:ind w:firstLine="410" w:firstLineChars="171"/>
        <w:rPr>
          <w:rFonts w:hint="eastAsia" w:ascii="宋体" w:hAnsi="宋体"/>
          <w:color w:val="auto"/>
          <w:sz w:val="24"/>
          <w:highlight w:val="none"/>
        </w:rPr>
      </w:pPr>
      <w:r>
        <w:rPr>
          <w:rFonts w:hint="eastAsia" w:ascii="宋体" w:hAnsi="宋体"/>
          <w:color w:val="auto"/>
          <w:kern w:val="44"/>
          <w:sz w:val="24"/>
          <w:highlight w:val="none"/>
        </w:rPr>
        <w:t>（</w:t>
      </w:r>
      <w:r>
        <w:rPr>
          <w:rFonts w:hint="eastAsia" w:ascii="宋体" w:hAnsi="宋体"/>
          <w:color w:val="auto"/>
          <w:sz w:val="24"/>
          <w:highlight w:val="none"/>
        </w:rPr>
        <w:t>4）投标人拟配备人员若为香港专业人士，并已在广东省住房和城乡建设主管部门备案，且备案的业务范围符合本项目对应要求的亦给予认可。香港专业人士的备案业务范围依据《广东省住房和城乡建设厅关于印发香港工程建设咨询企业和专业人士在粤港澳大湾区内地城市开业执业试点管理暂行办法的通知》（粤建规范〔2020〕1号）确定。</w:t>
      </w:r>
    </w:p>
    <w:p w14:paraId="6DB60510">
      <w:pPr>
        <w:spacing w:line="360" w:lineRule="auto"/>
        <w:ind w:firstLine="410" w:firstLineChars="171"/>
        <w:rPr>
          <w:rFonts w:ascii="宋体" w:hAnsi="宋体"/>
          <w:color w:val="auto"/>
          <w:highlight w:val="none"/>
        </w:rPr>
      </w:pPr>
    </w:p>
    <w:p w14:paraId="647A3904">
      <w:pPr>
        <w:rPr>
          <w:b/>
          <w:bCs/>
          <w:color w:val="auto"/>
          <w:highlight w:val="none"/>
        </w:rPr>
      </w:pPr>
      <w:r>
        <w:rPr>
          <w:rFonts w:hint="eastAsia"/>
          <w:b/>
          <w:bCs/>
          <w:color w:val="auto"/>
          <w:highlight w:val="none"/>
        </w:rPr>
        <w:t>5、监理工作目标要求</w:t>
      </w:r>
    </w:p>
    <w:p w14:paraId="04BE2B84">
      <w:pPr>
        <w:spacing w:line="440" w:lineRule="exact"/>
        <w:ind w:firstLine="600" w:firstLineChars="250"/>
        <w:rPr>
          <w:rFonts w:ascii="宋体" w:hAnsi="宋体" w:cs="宋体"/>
          <w:snapToGrid w:val="0"/>
          <w:color w:val="auto"/>
          <w:highlight w:val="none"/>
        </w:rPr>
      </w:pPr>
      <w:r>
        <w:rPr>
          <w:rFonts w:hint="eastAsia" w:ascii="宋体" w:hAnsi="宋体" w:cs="宋体"/>
          <w:snapToGrid w:val="0"/>
          <w:color w:val="auto"/>
          <w:highlight w:val="none"/>
        </w:rPr>
        <w:t>（1）质量目标：合格工程，达到《建筑工程施工质量评价标准》（GB/T 50375-2016）。</w:t>
      </w:r>
    </w:p>
    <w:p w14:paraId="4F7B1341">
      <w:pPr>
        <w:spacing w:line="440" w:lineRule="exact"/>
        <w:ind w:firstLine="530" w:firstLineChars="221"/>
        <w:rPr>
          <w:rFonts w:ascii="宋体" w:hAnsi="宋体" w:cs="宋体"/>
          <w:snapToGrid w:val="0"/>
          <w:color w:val="auto"/>
          <w:highlight w:val="none"/>
        </w:rPr>
      </w:pPr>
      <w:r>
        <w:rPr>
          <w:rFonts w:hint="eastAsia" w:ascii="宋体" w:hAnsi="宋体" w:cs="宋体"/>
          <w:snapToGrid w:val="0"/>
          <w:color w:val="auto"/>
          <w:highlight w:val="none"/>
        </w:rPr>
        <w:t>（2）职业健康安全管理目标：无人员伤亡、无设备损坏、无火灾爆炸、无环境污染、无职业病等事故发生，杜绝一般事故等级以上的伤亡事故且工伤责任事故死亡人数为零，确保广州市安全文明施工样板工地。</w:t>
      </w:r>
    </w:p>
    <w:p w14:paraId="5C30F7EB">
      <w:pPr>
        <w:spacing w:line="440" w:lineRule="exact"/>
        <w:ind w:firstLine="530" w:firstLineChars="221"/>
        <w:rPr>
          <w:rFonts w:ascii="宋体" w:hAnsi="宋体" w:cs="宋体"/>
          <w:snapToGrid w:val="0"/>
          <w:color w:val="auto"/>
          <w:highlight w:val="none"/>
        </w:rPr>
      </w:pPr>
      <w:r>
        <w:rPr>
          <w:rFonts w:hint="eastAsia" w:ascii="宋体" w:hAnsi="宋体" w:cs="宋体"/>
          <w:snapToGrid w:val="0"/>
          <w:color w:val="auto"/>
          <w:highlight w:val="none"/>
        </w:rPr>
        <w:t>（3）环境管理目标：严格执行《广州市建设工程现场文明施工管理办法》（穗建质〔2008〕937号）、《关于进一步规范建设工程施工现场围蔽的通知》（穗建质〔2008〕1008号）。</w:t>
      </w:r>
    </w:p>
    <w:p w14:paraId="1407057E">
      <w:pPr>
        <w:spacing w:line="440" w:lineRule="exact"/>
        <w:rPr>
          <w:rFonts w:ascii="宋体" w:hAnsi="宋体"/>
          <w:color w:val="auto"/>
          <w:sz w:val="28"/>
          <w:szCs w:val="28"/>
          <w:highlight w:val="none"/>
        </w:rPr>
      </w:pPr>
      <w:r>
        <w:rPr>
          <w:rFonts w:hint="eastAsia" w:ascii="宋体" w:hAnsi="宋体"/>
          <w:color w:val="auto"/>
          <w:sz w:val="28"/>
          <w:szCs w:val="28"/>
          <w:highlight w:val="none"/>
        </w:rPr>
        <w:t>二、</w:t>
      </w:r>
      <w:r>
        <w:rPr>
          <w:rFonts w:ascii="宋体" w:hAnsi="宋体"/>
          <w:color w:val="auto"/>
          <w:sz w:val="28"/>
          <w:szCs w:val="28"/>
          <w:highlight w:val="none"/>
        </w:rPr>
        <w:t>适用规范标准</w:t>
      </w:r>
    </w:p>
    <w:p w14:paraId="35A47C1B">
      <w:pPr>
        <w:autoSpaceDE/>
        <w:autoSpaceDN/>
        <w:spacing w:line="360" w:lineRule="auto"/>
        <w:ind w:firstLine="530" w:firstLineChars="221"/>
        <w:jc w:val="both"/>
        <w:rPr>
          <w:rFonts w:ascii="宋体" w:hAnsi="宋体"/>
          <w:color w:val="auto"/>
          <w:highlight w:val="none"/>
          <w:lang w:bidi="mn-Mong-CN"/>
        </w:rPr>
      </w:pPr>
      <w:r>
        <w:rPr>
          <w:rFonts w:hint="eastAsia" w:ascii="宋体" w:hAnsi="宋体"/>
          <w:color w:val="auto"/>
          <w:highlight w:val="none"/>
          <w:lang w:bidi="mn-Mong-CN"/>
        </w:rPr>
        <w:t>本工程的监理过程必须符合国家有关工程建设标准强制性条文、现行的标准、规范、规程、定额、办法、示例，以及招标项目所在地关于工程监理方面的文件、规定、规范、标准、规程。</w:t>
      </w:r>
    </w:p>
    <w:p w14:paraId="7110CD52">
      <w:pPr>
        <w:autoSpaceDE/>
        <w:autoSpaceDN/>
        <w:spacing w:line="360" w:lineRule="auto"/>
        <w:ind w:firstLine="480" w:firstLineChars="200"/>
        <w:jc w:val="both"/>
        <w:rPr>
          <w:rFonts w:ascii="宋体" w:hAnsi="宋体"/>
          <w:color w:val="auto"/>
          <w:highlight w:val="none"/>
          <w:lang w:bidi="mn-Mong-CN"/>
        </w:rPr>
      </w:pPr>
      <w:r>
        <w:rPr>
          <w:rFonts w:hint="eastAsia" w:ascii="宋体" w:hAnsi="宋体"/>
          <w:color w:val="auto"/>
          <w:highlight w:val="none"/>
          <w:lang w:bidi="mn-Mong-CN"/>
        </w:rPr>
        <w:t>在监理过程中，如果国家或有关部门颁布了新的技术标准或规范，则监理人应按照新的标准和规范进行监理。</w:t>
      </w:r>
    </w:p>
    <w:p w14:paraId="11CC5307">
      <w:pPr>
        <w:pStyle w:val="4"/>
        <w:jc w:val="both"/>
        <w:rPr>
          <w:color w:val="auto"/>
          <w:sz w:val="28"/>
          <w:szCs w:val="28"/>
          <w:highlight w:val="none"/>
        </w:rPr>
      </w:pPr>
      <w:r>
        <w:rPr>
          <w:rFonts w:hint="eastAsia"/>
          <w:color w:val="auto"/>
          <w:sz w:val="28"/>
          <w:szCs w:val="28"/>
          <w:highlight w:val="none"/>
        </w:rPr>
        <w:t>三、</w:t>
      </w:r>
      <w:r>
        <w:rPr>
          <w:color w:val="auto"/>
          <w:sz w:val="28"/>
          <w:szCs w:val="28"/>
          <w:highlight w:val="none"/>
        </w:rPr>
        <w:t>成果文件要求</w:t>
      </w:r>
    </w:p>
    <w:p w14:paraId="1305C979">
      <w:pPr>
        <w:snapToGrid w:val="0"/>
        <w:spacing w:line="360" w:lineRule="auto"/>
        <w:ind w:firstLine="480" w:firstLineChars="200"/>
        <w:rPr>
          <w:rFonts w:ascii="宋体" w:hAnsi="宋体"/>
          <w:color w:val="auto"/>
          <w:highlight w:val="none"/>
        </w:rPr>
      </w:pPr>
      <w:r>
        <w:rPr>
          <w:rFonts w:hint="eastAsia" w:ascii="宋体" w:hAnsi="宋体"/>
          <w:color w:val="auto"/>
          <w:highlight w:val="none"/>
        </w:rPr>
        <w:t>按《建设工程监理规范》（</w:t>
      </w:r>
      <w:r>
        <w:rPr>
          <w:rFonts w:ascii="宋体" w:hAnsi="宋体"/>
          <w:color w:val="auto"/>
          <w:highlight w:val="none"/>
        </w:rPr>
        <w:t>GB/T50319-2013</w:t>
      </w:r>
      <w:r>
        <w:rPr>
          <w:rFonts w:hint="eastAsia" w:ascii="宋体" w:hAnsi="宋体"/>
          <w:color w:val="auto"/>
          <w:highlight w:val="none"/>
        </w:rPr>
        <w:t>）和招标人要求</w:t>
      </w:r>
    </w:p>
    <w:p w14:paraId="6D6CC2FC">
      <w:pPr>
        <w:spacing w:line="360" w:lineRule="auto"/>
        <w:ind w:firstLine="480" w:firstLineChars="200"/>
        <w:rPr>
          <w:rFonts w:ascii="宋体" w:hAnsi="宋体"/>
          <w:color w:val="auto"/>
          <w:highlight w:val="none"/>
        </w:rPr>
      </w:pPr>
      <w:r>
        <w:rPr>
          <w:rFonts w:ascii="宋体" w:hAnsi="宋体"/>
          <w:color w:val="auto"/>
          <w:highlight w:val="none"/>
        </w:rPr>
        <w:t>1. 成果文件的组成</w:t>
      </w:r>
    </w:p>
    <w:p w14:paraId="189FC990">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(1)勘察设计文件、建设工程监理合同及其他合同文件；</w:t>
      </w:r>
    </w:p>
    <w:p w14:paraId="3D4FB2E0">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(2)监理规划、监理实施细则；</w:t>
      </w:r>
    </w:p>
    <w:p w14:paraId="0C968657">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(3)设计交底和图纸会审会议纪要；</w:t>
      </w:r>
    </w:p>
    <w:p w14:paraId="48187B70">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(4)施工组织设计、（专项）施工方案、施工进度计划报审文件资料；</w:t>
      </w:r>
    </w:p>
    <w:p w14:paraId="5DC0CDA8">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(5)分包单位资格报审文件资料；</w:t>
      </w:r>
    </w:p>
    <w:p w14:paraId="59EB1CA4">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(6)施工控制测量成果报验文件资料；</w:t>
      </w:r>
    </w:p>
    <w:p w14:paraId="238969A8">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(7)总监理工程师任命书、工程开工令、暂停令、复工令、开工或复工报审文件资料；</w:t>
      </w:r>
    </w:p>
    <w:p w14:paraId="388F047D">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(8)工程材料、设备、构配件报验文件资料；</w:t>
      </w:r>
    </w:p>
    <w:p w14:paraId="54DB5072">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(9)见证取样和平行检验文件资料；</w:t>
      </w:r>
    </w:p>
    <w:p w14:paraId="08C3F54A">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(10)工程质量检查报验资料及工程有关验收资料；</w:t>
      </w:r>
    </w:p>
    <w:p w14:paraId="643CC3F5">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(11)工程变更、费用索赔及工程延期文件资料；</w:t>
      </w:r>
    </w:p>
    <w:p w14:paraId="0395737C">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(12)工程计量、工程款支付文件资料；</w:t>
      </w:r>
    </w:p>
    <w:p w14:paraId="0CF5E50F">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(13)监理通知单、工作联系单与监理报告；</w:t>
      </w:r>
    </w:p>
    <w:p w14:paraId="75B24824">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(14)第一次工地会议、监理例会、专题会议等会议纪要；</w:t>
      </w:r>
    </w:p>
    <w:p w14:paraId="781DCF79">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(15)监理月报、监理日志、旁站记录；</w:t>
      </w:r>
    </w:p>
    <w:p w14:paraId="29B607CF">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(16)工程质量或生产安全事故处理文件资料；</w:t>
      </w:r>
    </w:p>
    <w:p w14:paraId="1A9B479C">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(17)工程质量评估报告及竣工验收监理文件资料；</w:t>
      </w:r>
    </w:p>
    <w:p w14:paraId="1D3FACE6">
      <w:pPr>
        <w:tabs>
          <w:tab w:val="left" w:pos="680"/>
        </w:tabs>
        <w:snapToGrid w:val="0"/>
        <w:spacing w:after="200" w:line="360" w:lineRule="auto"/>
        <w:ind w:firstLine="480" w:firstLineChars="200"/>
        <w:rPr>
          <w:rFonts w:ascii="宋体" w:hAnsi="宋体"/>
          <w:color w:val="auto"/>
          <w:highlight w:val="none"/>
          <w:u w:val="single"/>
        </w:rPr>
      </w:pPr>
      <w:r>
        <w:rPr>
          <w:rFonts w:hint="eastAsia" w:ascii="宋体" w:hAnsi="宋体"/>
          <w:color w:val="auto"/>
          <w:highlight w:val="none"/>
          <w:u w:val="single"/>
        </w:rPr>
        <w:t>(18)监理工作总结。</w:t>
      </w:r>
      <w:r>
        <w:rPr>
          <w:rFonts w:ascii="宋体" w:hAnsi="宋体"/>
          <w:color w:val="auto"/>
          <w:highlight w:val="none"/>
          <w:u w:val="single"/>
        </w:rPr>
        <w:t xml:space="preserve"> </w:t>
      </w:r>
    </w:p>
    <w:p w14:paraId="04985888">
      <w:pPr>
        <w:spacing w:line="360" w:lineRule="auto"/>
        <w:ind w:firstLine="480" w:firstLineChars="200"/>
        <w:rPr>
          <w:rFonts w:ascii="宋体" w:hAnsi="宋体"/>
          <w:color w:val="auto"/>
          <w:highlight w:val="none"/>
        </w:rPr>
      </w:pPr>
      <w:r>
        <w:rPr>
          <w:rFonts w:ascii="宋体" w:hAnsi="宋体"/>
          <w:color w:val="auto"/>
          <w:highlight w:val="none"/>
        </w:rPr>
        <w:t>2. 成果文件的深度</w:t>
      </w:r>
      <w:r>
        <w:rPr>
          <w:rFonts w:hint="eastAsia" w:ascii="宋体" w:hAnsi="宋体"/>
          <w:color w:val="auto"/>
          <w:highlight w:val="none"/>
        </w:rPr>
        <w:t>:</w:t>
      </w:r>
      <w:r>
        <w:rPr>
          <w:rFonts w:hint="eastAsia" w:ascii="宋体" w:hAnsi="宋体"/>
          <w:color w:val="auto"/>
          <w:highlight w:val="none"/>
          <w:u w:val="single"/>
        </w:rPr>
        <w:t xml:space="preserve"> 满足本项目监理服务要求。</w:t>
      </w:r>
    </w:p>
    <w:p w14:paraId="0F180C48">
      <w:pPr>
        <w:spacing w:line="360" w:lineRule="auto"/>
        <w:ind w:firstLine="480" w:firstLineChars="200"/>
        <w:rPr>
          <w:rFonts w:ascii="宋体" w:hAnsi="宋体"/>
          <w:color w:val="auto"/>
          <w:highlight w:val="none"/>
        </w:rPr>
      </w:pPr>
      <w:r>
        <w:rPr>
          <w:rFonts w:ascii="宋体" w:hAnsi="宋体"/>
          <w:color w:val="auto"/>
          <w:highlight w:val="none"/>
        </w:rPr>
        <w:t>3. 成果文件的格式要求</w:t>
      </w:r>
      <w:r>
        <w:rPr>
          <w:rFonts w:hint="eastAsia" w:ascii="宋体" w:hAnsi="宋体"/>
          <w:color w:val="auto"/>
          <w:highlight w:val="none"/>
        </w:rPr>
        <w:t>:</w:t>
      </w:r>
      <w:r>
        <w:rPr>
          <w:rFonts w:hint="eastAsia" w:ascii="宋体" w:hAnsi="宋体"/>
          <w:color w:val="auto"/>
          <w:highlight w:val="none"/>
          <w:u w:val="single"/>
        </w:rPr>
        <w:t xml:space="preserve"> 满足本项目监理服务要求。</w:t>
      </w:r>
    </w:p>
    <w:p w14:paraId="6EF5B03A">
      <w:pPr>
        <w:spacing w:line="360" w:lineRule="auto"/>
        <w:ind w:firstLine="480" w:firstLineChars="200"/>
        <w:rPr>
          <w:rFonts w:ascii="宋体" w:hAnsi="宋体"/>
          <w:color w:val="auto"/>
          <w:highlight w:val="none"/>
        </w:rPr>
      </w:pPr>
      <w:r>
        <w:rPr>
          <w:rFonts w:ascii="宋体" w:hAnsi="宋体"/>
          <w:color w:val="auto"/>
          <w:highlight w:val="none"/>
        </w:rPr>
        <w:t>4. 成果文件的份数要求</w:t>
      </w:r>
      <w:r>
        <w:rPr>
          <w:rFonts w:hint="eastAsia" w:ascii="宋体" w:hAnsi="宋体"/>
          <w:color w:val="auto"/>
          <w:highlight w:val="none"/>
        </w:rPr>
        <w:t>:</w:t>
      </w:r>
      <w:r>
        <w:rPr>
          <w:rFonts w:hint="eastAsia" w:ascii="宋体" w:hAnsi="宋体"/>
          <w:color w:val="auto"/>
          <w:highlight w:val="none"/>
          <w:u w:val="single"/>
        </w:rPr>
        <w:t xml:space="preserve"> 一式六份。</w:t>
      </w:r>
    </w:p>
    <w:p w14:paraId="030F0D07">
      <w:pPr>
        <w:spacing w:line="360" w:lineRule="auto"/>
        <w:ind w:firstLine="480" w:firstLineChars="200"/>
        <w:rPr>
          <w:rFonts w:ascii="宋体" w:hAnsi="宋体"/>
          <w:color w:val="auto"/>
          <w:highlight w:val="none"/>
        </w:rPr>
      </w:pPr>
      <w:r>
        <w:rPr>
          <w:rFonts w:ascii="宋体" w:hAnsi="宋体"/>
          <w:color w:val="auto"/>
          <w:highlight w:val="none"/>
        </w:rPr>
        <w:t>5. 成果文件的载体要求</w:t>
      </w:r>
    </w:p>
    <w:p w14:paraId="183375CC">
      <w:pPr>
        <w:spacing w:line="360" w:lineRule="auto"/>
        <w:ind w:firstLine="480" w:firstLineChars="200"/>
        <w:rPr>
          <w:rFonts w:ascii="宋体" w:hAnsi="宋体"/>
          <w:color w:val="auto"/>
          <w:highlight w:val="none"/>
        </w:rPr>
      </w:pPr>
      <w:r>
        <w:rPr>
          <w:rFonts w:ascii="宋体" w:hAnsi="宋体"/>
          <w:color w:val="auto"/>
          <w:highlight w:val="none"/>
        </w:rPr>
        <w:t>（1）纸质版的要求</w:t>
      </w:r>
      <w:r>
        <w:rPr>
          <w:rFonts w:hint="eastAsia" w:ascii="宋体" w:hAnsi="宋体"/>
          <w:color w:val="auto"/>
          <w:highlight w:val="none"/>
        </w:rPr>
        <w:t>：</w:t>
      </w:r>
      <w:r>
        <w:rPr>
          <w:rFonts w:hint="eastAsia" w:ascii="宋体" w:hAnsi="宋体"/>
          <w:color w:val="auto"/>
          <w:highlight w:val="none"/>
          <w:u w:val="single"/>
        </w:rPr>
        <w:t>一式六份。</w:t>
      </w:r>
    </w:p>
    <w:p w14:paraId="3BDD7710">
      <w:pPr>
        <w:spacing w:line="360" w:lineRule="auto"/>
        <w:ind w:firstLine="480" w:firstLineChars="200"/>
        <w:rPr>
          <w:rFonts w:ascii="宋体" w:hAnsi="宋体"/>
          <w:color w:val="auto"/>
          <w:highlight w:val="none"/>
        </w:rPr>
      </w:pPr>
      <w:r>
        <w:rPr>
          <w:rFonts w:ascii="宋体" w:hAnsi="宋体"/>
          <w:color w:val="auto"/>
          <w:highlight w:val="none"/>
        </w:rPr>
        <w:t>（2）电子版的要求</w:t>
      </w:r>
      <w:r>
        <w:rPr>
          <w:rFonts w:hint="eastAsia" w:ascii="宋体" w:hAnsi="宋体"/>
          <w:color w:val="auto"/>
          <w:highlight w:val="none"/>
        </w:rPr>
        <w:t>：</w:t>
      </w:r>
      <w:r>
        <w:rPr>
          <w:rFonts w:hint="eastAsia" w:ascii="宋体" w:hAnsi="宋体"/>
          <w:color w:val="auto"/>
          <w:highlight w:val="none"/>
          <w:u w:val="single"/>
        </w:rPr>
        <w:t>与纸质版一致的电子版文件。</w:t>
      </w:r>
    </w:p>
    <w:p w14:paraId="1E8DAB8D">
      <w:pPr>
        <w:spacing w:line="360" w:lineRule="auto"/>
        <w:ind w:firstLine="480" w:firstLineChars="200"/>
        <w:rPr>
          <w:rFonts w:ascii="宋体" w:hAnsi="宋体"/>
          <w:color w:val="auto"/>
          <w:highlight w:val="none"/>
        </w:rPr>
      </w:pPr>
      <w:r>
        <w:rPr>
          <w:rFonts w:ascii="宋体" w:hAnsi="宋体"/>
          <w:color w:val="auto"/>
          <w:highlight w:val="none"/>
        </w:rPr>
        <w:t>（3）其他要求。</w:t>
      </w:r>
    </w:p>
    <w:p w14:paraId="6331F303">
      <w:pPr>
        <w:spacing w:line="360" w:lineRule="auto"/>
        <w:ind w:firstLine="480" w:firstLineChars="200"/>
        <w:rPr>
          <w:rFonts w:ascii="宋体" w:hAnsi="宋体"/>
          <w:color w:val="auto"/>
          <w:highlight w:val="none"/>
        </w:rPr>
      </w:pPr>
      <w:r>
        <w:rPr>
          <w:rFonts w:ascii="宋体" w:hAnsi="宋体"/>
          <w:color w:val="auto"/>
          <w:highlight w:val="none"/>
        </w:rPr>
        <w:t>6. 成果文件的其他要求</w:t>
      </w:r>
      <w:r>
        <w:rPr>
          <w:rFonts w:hint="eastAsia" w:ascii="宋体" w:hAnsi="宋体"/>
          <w:color w:val="auto"/>
          <w:highlight w:val="none"/>
        </w:rPr>
        <w:t>:</w:t>
      </w:r>
      <w:r>
        <w:rPr>
          <w:rFonts w:hint="eastAsia" w:ascii="宋体" w:hAnsi="宋体"/>
          <w:color w:val="auto"/>
          <w:highlight w:val="none"/>
          <w:u w:val="single"/>
        </w:rPr>
        <w:t>满足本项目监理服务要求。</w:t>
      </w:r>
    </w:p>
    <w:p w14:paraId="137998B7">
      <w:pPr>
        <w:pStyle w:val="4"/>
        <w:jc w:val="both"/>
        <w:rPr>
          <w:color w:val="auto"/>
          <w:sz w:val="28"/>
          <w:szCs w:val="28"/>
          <w:highlight w:val="none"/>
        </w:rPr>
      </w:pPr>
      <w:bookmarkStart w:id="122" w:name="_Toc519100227"/>
      <w:bookmarkStart w:id="123" w:name="_Toc522264577"/>
      <w:bookmarkStart w:id="124" w:name="_Toc482188640"/>
      <w:bookmarkStart w:id="125" w:name="_Toc511557113"/>
      <w:bookmarkStart w:id="126" w:name="_Toc514099711"/>
      <w:r>
        <w:rPr>
          <w:color w:val="auto"/>
          <w:sz w:val="28"/>
          <w:szCs w:val="28"/>
          <w:highlight w:val="none"/>
        </w:rPr>
        <w:t>四、委托人财产清单</w:t>
      </w:r>
      <w:bookmarkEnd w:id="122"/>
      <w:bookmarkEnd w:id="123"/>
      <w:bookmarkEnd w:id="124"/>
      <w:bookmarkEnd w:id="125"/>
      <w:bookmarkEnd w:id="126"/>
    </w:p>
    <w:p w14:paraId="5ABBBE18">
      <w:pPr>
        <w:pStyle w:val="5"/>
        <w:spacing w:before="120" w:after="120"/>
        <w:ind w:firstLine="118"/>
        <w:rPr>
          <w:color w:val="auto"/>
          <w:highlight w:val="none"/>
        </w:rPr>
      </w:pPr>
      <w:bookmarkStart w:id="127" w:name="_Toc482188641"/>
      <w:bookmarkStart w:id="128" w:name="_Toc522264578"/>
      <w:bookmarkStart w:id="129" w:name="_Toc514099712"/>
      <w:bookmarkStart w:id="130" w:name="_Toc519100228"/>
      <w:bookmarkStart w:id="131" w:name="_Toc511557114"/>
      <w:r>
        <w:rPr>
          <w:color w:val="auto"/>
          <w:highlight w:val="none"/>
        </w:rPr>
        <w:t>（一）委托人提供的设备、设施</w:t>
      </w:r>
      <w:bookmarkEnd w:id="127"/>
      <w:bookmarkEnd w:id="128"/>
      <w:bookmarkEnd w:id="129"/>
      <w:bookmarkEnd w:id="130"/>
      <w:bookmarkEnd w:id="131"/>
    </w:p>
    <w:p w14:paraId="2FB54567">
      <w:pPr>
        <w:spacing w:line="360" w:lineRule="auto"/>
        <w:ind w:firstLine="480" w:firstLineChars="200"/>
        <w:rPr>
          <w:rFonts w:ascii="宋体" w:hAnsi="宋体"/>
          <w:color w:val="auto"/>
          <w:highlight w:val="none"/>
          <w:u w:val="single"/>
        </w:rPr>
      </w:pPr>
      <w:r>
        <w:rPr>
          <w:rFonts w:ascii="宋体" w:hAnsi="宋体"/>
          <w:color w:val="auto"/>
          <w:highlight w:val="none"/>
        </w:rPr>
        <w:t>1. 委托人提供的办公房屋及冷暖设施：</w:t>
      </w:r>
      <w:r>
        <w:rPr>
          <w:rFonts w:hint="eastAsia" w:ascii="宋体" w:hAnsi="宋体"/>
          <w:color w:val="auto"/>
          <w:highlight w:val="none"/>
          <w:u w:val="single"/>
        </w:rPr>
        <w:t>由监理人自行解决，含在投标报价中；</w:t>
      </w:r>
    </w:p>
    <w:p w14:paraId="34754813">
      <w:pPr>
        <w:spacing w:line="360" w:lineRule="auto"/>
        <w:ind w:firstLine="480" w:firstLineChars="200"/>
        <w:rPr>
          <w:rFonts w:ascii="宋体" w:hAnsi="宋体"/>
          <w:color w:val="auto"/>
          <w:highlight w:val="none"/>
          <w:u w:val="single"/>
        </w:rPr>
      </w:pPr>
      <w:r>
        <w:rPr>
          <w:rFonts w:ascii="宋体" w:hAnsi="宋体"/>
          <w:color w:val="auto"/>
          <w:highlight w:val="none"/>
        </w:rPr>
        <w:t>2. 委托人提供的设备清单：</w:t>
      </w:r>
      <w:r>
        <w:rPr>
          <w:rFonts w:hint="eastAsia" w:ascii="宋体" w:hAnsi="宋体"/>
          <w:color w:val="auto"/>
          <w:highlight w:val="none"/>
          <w:u w:val="single"/>
        </w:rPr>
        <w:t>无；</w:t>
      </w:r>
    </w:p>
    <w:p w14:paraId="060D0B78">
      <w:pPr>
        <w:spacing w:line="360" w:lineRule="auto"/>
        <w:ind w:firstLine="480" w:firstLineChars="200"/>
        <w:rPr>
          <w:rFonts w:ascii="宋体" w:hAnsi="宋体"/>
          <w:color w:val="auto"/>
          <w:highlight w:val="none"/>
          <w:u w:val="single"/>
        </w:rPr>
      </w:pPr>
      <w:r>
        <w:rPr>
          <w:rFonts w:ascii="宋体" w:hAnsi="宋体"/>
          <w:color w:val="auto"/>
          <w:highlight w:val="none"/>
        </w:rPr>
        <w:t>3. 委托人提供的设施清单：</w:t>
      </w:r>
      <w:bookmarkStart w:id="132" w:name="_Toc511557115"/>
      <w:bookmarkStart w:id="133" w:name="_Toc514099713"/>
      <w:bookmarkStart w:id="134" w:name="_Toc482188642"/>
      <w:r>
        <w:rPr>
          <w:rFonts w:hint="eastAsia" w:ascii="宋体" w:hAnsi="宋体"/>
          <w:color w:val="auto"/>
          <w:highlight w:val="none"/>
          <w:u w:val="single"/>
        </w:rPr>
        <w:t>无。</w:t>
      </w:r>
    </w:p>
    <w:p w14:paraId="40941EC9">
      <w:pPr>
        <w:pStyle w:val="5"/>
        <w:spacing w:before="120" w:after="120"/>
        <w:ind w:firstLine="118"/>
        <w:rPr>
          <w:color w:val="auto"/>
          <w:highlight w:val="none"/>
        </w:rPr>
      </w:pPr>
      <w:bookmarkStart w:id="135" w:name="_Toc522264579"/>
      <w:bookmarkStart w:id="136" w:name="_Toc519100229"/>
      <w:r>
        <w:rPr>
          <w:color w:val="auto"/>
          <w:highlight w:val="none"/>
        </w:rPr>
        <w:t>（二）委托人提供的资料</w:t>
      </w:r>
      <w:bookmarkEnd w:id="132"/>
      <w:bookmarkEnd w:id="133"/>
      <w:bookmarkEnd w:id="134"/>
      <w:bookmarkEnd w:id="135"/>
      <w:bookmarkEnd w:id="136"/>
    </w:p>
    <w:p w14:paraId="66A012ED">
      <w:pPr>
        <w:spacing w:line="360" w:lineRule="auto"/>
        <w:ind w:firstLine="480" w:firstLineChars="200"/>
        <w:rPr>
          <w:rFonts w:ascii="宋体" w:hAnsi="宋体"/>
          <w:color w:val="auto"/>
          <w:highlight w:val="none"/>
        </w:rPr>
      </w:pPr>
      <w:r>
        <w:rPr>
          <w:rFonts w:ascii="宋体" w:hAnsi="宋体"/>
          <w:color w:val="auto"/>
          <w:highlight w:val="none"/>
        </w:rPr>
        <w:t>1. 施工场地及毗邻区域内的供水、排水、供电、供气、供热、通信、广播电视等地下管线资料、气象和水文观测资料，相邻建筑物和构筑物、地下工程的有关资料，以及其他与建设工程有关的原始资料</w:t>
      </w:r>
      <w:r>
        <w:rPr>
          <w:rFonts w:hint="eastAsia" w:ascii="宋体" w:hAnsi="宋体"/>
          <w:color w:val="auto"/>
          <w:highlight w:val="none"/>
        </w:rPr>
        <w:t>；</w:t>
      </w:r>
    </w:p>
    <w:p w14:paraId="29E14DB4">
      <w:pPr>
        <w:spacing w:line="360" w:lineRule="auto"/>
        <w:ind w:firstLine="480" w:firstLineChars="200"/>
        <w:rPr>
          <w:rFonts w:ascii="宋体" w:hAnsi="宋体"/>
          <w:color w:val="auto"/>
          <w:highlight w:val="none"/>
        </w:rPr>
      </w:pPr>
      <w:r>
        <w:rPr>
          <w:rFonts w:ascii="宋体" w:hAnsi="宋体"/>
          <w:color w:val="auto"/>
          <w:highlight w:val="none"/>
        </w:rPr>
        <w:t>2. 定位放线的基准点、基准线和基准标高</w:t>
      </w:r>
      <w:r>
        <w:rPr>
          <w:rFonts w:hint="eastAsia" w:ascii="宋体" w:hAnsi="宋体"/>
          <w:color w:val="auto"/>
          <w:highlight w:val="none"/>
        </w:rPr>
        <w:t>；</w:t>
      </w:r>
    </w:p>
    <w:p w14:paraId="76C4027D">
      <w:pPr>
        <w:spacing w:line="360" w:lineRule="auto"/>
        <w:ind w:firstLine="480" w:firstLineChars="200"/>
        <w:rPr>
          <w:rFonts w:ascii="宋体" w:hAnsi="宋体"/>
          <w:color w:val="auto"/>
          <w:highlight w:val="none"/>
        </w:rPr>
      </w:pPr>
      <w:r>
        <w:rPr>
          <w:rFonts w:ascii="宋体" w:hAnsi="宋体"/>
          <w:color w:val="auto"/>
          <w:highlight w:val="none"/>
        </w:rPr>
        <w:t>3. 委托人取得的有关审批、核准和备案材料</w:t>
      </w:r>
      <w:r>
        <w:rPr>
          <w:rFonts w:hint="eastAsia" w:ascii="宋体" w:hAnsi="宋体"/>
          <w:color w:val="auto"/>
          <w:highlight w:val="none"/>
        </w:rPr>
        <w:t>；</w:t>
      </w:r>
    </w:p>
    <w:p w14:paraId="63F32250">
      <w:pPr>
        <w:spacing w:line="360" w:lineRule="auto"/>
        <w:ind w:firstLine="480" w:firstLineChars="200"/>
        <w:rPr>
          <w:rFonts w:ascii="宋体" w:hAnsi="宋体"/>
          <w:color w:val="auto"/>
          <w:highlight w:val="none"/>
        </w:rPr>
      </w:pPr>
      <w:r>
        <w:rPr>
          <w:rFonts w:ascii="宋体" w:hAnsi="宋体"/>
          <w:color w:val="auto"/>
          <w:highlight w:val="none"/>
        </w:rPr>
        <w:t>4. 勘察文件、设计文件等资料</w:t>
      </w:r>
      <w:r>
        <w:rPr>
          <w:rFonts w:hint="eastAsia" w:ascii="宋体" w:hAnsi="宋体"/>
          <w:color w:val="auto"/>
          <w:highlight w:val="none"/>
        </w:rPr>
        <w:t>；</w:t>
      </w:r>
    </w:p>
    <w:p w14:paraId="0FFDCABF">
      <w:pPr>
        <w:spacing w:line="360" w:lineRule="auto"/>
        <w:ind w:firstLine="480" w:firstLineChars="200"/>
        <w:rPr>
          <w:rFonts w:ascii="宋体" w:hAnsi="宋体"/>
          <w:color w:val="auto"/>
          <w:highlight w:val="none"/>
        </w:rPr>
      </w:pPr>
      <w:r>
        <w:rPr>
          <w:rFonts w:ascii="宋体" w:hAnsi="宋体"/>
          <w:color w:val="auto"/>
          <w:highlight w:val="none"/>
        </w:rPr>
        <w:t>5. 技术标准、规范</w:t>
      </w:r>
      <w:r>
        <w:rPr>
          <w:rFonts w:hint="eastAsia" w:ascii="宋体" w:hAnsi="宋体"/>
          <w:color w:val="auto"/>
          <w:highlight w:val="none"/>
        </w:rPr>
        <w:t>；</w:t>
      </w:r>
    </w:p>
    <w:p w14:paraId="134682E6">
      <w:pPr>
        <w:spacing w:line="360" w:lineRule="auto"/>
        <w:ind w:firstLine="480" w:firstLineChars="200"/>
        <w:rPr>
          <w:rFonts w:ascii="宋体" w:hAnsi="宋体"/>
          <w:color w:val="auto"/>
          <w:highlight w:val="none"/>
        </w:rPr>
      </w:pPr>
      <w:r>
        <w:rPr>
          <w:rFonts w:ascii="宋体" w:hAnsi="宋体"/>
          <w:color w:val="auto"/>
          <w:highlight w:val="none"/>
        </w:rPr>
        <w:t>6. 工程承包合同及其他相关合同</w:t>
      </w:r>
      <w:r>
        <w:rPr>
          <w:rFonts w:hint="eastAsia" w:ascii="宋体" w:hAnsi="宋体"/>
          <w:color w:val="auto"/>
          <w:highlight w:val="none"/>
        </w:rPr>
        <w:t>；</w:t>
      </w:r>
    </w:p>
    <w:p w14:paraId="24B07501">
      <w:pPr>
        <w:spacing w:line="360" w:lineRule="auto"/>
        <w:ind w:firstLine="480" w:firstLineChars="200"/>
        <w:rPr>
          <w:rFonts w:ascii="宋体" w:hAnsi="宋体"/>
          <w:color w:val="auto"/>
          <w:highlight w:val="none"/>
        </w:rPr>
      </w:pPr>
      <w:r>
        <w:rPr>
          <w:rFonts w:ascii="宋体" w:hAnsi="宋体"/>
          <w:color w:val="auto"/>
          <w:highlight w:val="none"/>
        </w:rPr>
        <w:t>7. 其他资料</w:t>
      </w:r>
      <w:r>
        <w:rPr>
          <w:rFonts w:hint="eastAsia" w:ascii="宋体" w:hAnsi="宋体"/>
          <w:color w:val="auto"/>
          <w:highlight w:val="none"/>
        </w:rPr>
        <w:t>。</w:t>
      </w:r>
    </w:p>
    <w:p w14:paraId="064373A4">
      <w:pPr>
        <w:pStyle w:val="5"/>
        <w:spacing w:before="120" w:after="120"/>
        <w:ind w:firstLine="118"/>
        <w:rPr>
          <w:color w:val="auto"/>
          <w:highlight w:val="none"/>
        </w:rPr>
      </w:pPr>
      <w:bookmarkStart w:id="137" w:name="_Toc514099714"/>
      <w:bookmarkStart w:id="138" w:name="_Toc482188643"/>
      <w:bookmarkStart w:id="139" w:name="_Toc522264580"/>
      <w:bookmarkStart w:id="140" w:name="_Toc519100230"/>
      <w:bookmarkStart w:id="141" w:name="_Toc511557116"/>
      <w:r>
        <w:rPr>
          <w:color w:val="auto"/>
          <w:highlight w:val="none"/>
        </w:rPr>
        <w:t>（三）委托人财产使用要求及退还要求</w:t>
      </w:r>
      <w:bookmarkEnd w:id="137"/>
      <w:bookmarkEnd w:id="138"/>
      <w:bookmarkEnd w:id="139"/>
      <w:bookmarkEnd w:id="140"/>
      <w:bookmarkEnd w:id="141"/>
    </w:p>
    <w:p w14:paraId="29139BF9">
      <w:pPr>
        <w:spacing w:line="360" w:lineRule="auto"/>
        <w:ind w:firstLine="480" w:firstLineChars="200"/>
        <w:rPr>
          <w:rFonts w:ascii="宋体" w:hAnsi="宋体"/>
          <w:color w:val="auto"/>
          <w:highlight w:val="none"/>
        </w:rPr>
      </w:pPr>
      <w:r>
        <w:rPr>
          <w:rFonts w:ascii="宋体" w:hAnsi="宋体"/>
          <w:color w:val="auto"/>
          <w:highlight w:val="none"/>
        </w:rPr>
        <w:t>1. 委托人财产使用要求</w:t>
      </w:r>
      <w:r>
        <w:rPr>
          <w:rFonts w:hint="eastAsia" w:ascii="宋体" w:hAnsi="宋体"/>
          <w:color w:val="auto"/>
          <w:highlight w:val="none"/>
        </w:rPr>
        <w:t>：</w:t>
      </w:r>
      <w:r>
        <w:rPr>
          <w:rFonts w:hint="eastAsia" w:ascii="宋体" w:hAnsi="宋体"/>
          <w:color w:val="auto"/>
          <w:highlight w:val="none"/>
          <w:u w:val="single"/>
        </w:rPr>
        <w:t>监理人对委托人财产保存完好，避免有损坏或丢失等情况发生；</w:t>
      </w:r>
    </w:p>
    <w:p w14:paraId="69CFAEA6">
      <w:pPr>
        <w:spacing w:line="360" w:lineRule="auto"/>
        <w:ind w:firstLine="480" w:firstLineChars="200"/>
        <w:rPr>
          <w:rFonts w:ascii="宋体" w:hAnsi="宋体"/>
          <w:color w:val="auto"/>
          <w:highlight w:val="none"/>
        </w:rPr>
      </w:pPr>
      <w:r>
        <w:rPr>
          <w:rFonts w:ascii="宋体" w:hAnsi="宋体"/>
          <w:color w:val="auto"/>
          <w:highlight w:val="none"/>
        </w:rPr>
        <w:t>2. 委托人财产退还要求</w:t>
      </w:r>
      <w:r>
        <w:rPr>
          <w:rFonts w:hint="eastAsia" w:ascii="宋体" w:hAnsi="宋体"/>
          <w:color w:val="auto"/>
          <w:highlight w:val="none"/>
        </w:rPr>
        <w:t>：</w:t>
      </w:r>
      <w:r>
        <w:rPr>
          <w:rFonts w:hint="eastAsia" w:ascii="宋体" w:hAnsi="宋体"/>
          <w:color w:val="auto"/>
          <w:highlight w:val="none"/>
          <w:u w:val="single"/>
        </w:rPr>
        <w:t>工程完工后监理人将委托人财产全数完好地退还给委托人。</w:t>
      </w:r>
    </w:p>
    <w:p w14:paraId="76C4F207">
      <w:pPr>
        <w:spacing w:line="360" w:lineRule="auto"/>
        <w:ind w:firstLine="480" w:firstLineChars="200"/>
        <w:rPr>
          <w:rFonts w:ascii="宋体" w:hAnsi="宋体"/>
          <w:color w:val="auto"/>
          <w:highlight w:val="none"/>
        </w:rPr>
      </w:pPr>
      <w:bookmarkStart w:id="142" w:name="_Toc482188644"/>
      <w:r>
        <w:rPr>
          <w:rFonts w:ascii="宋体" w:hAnsi="宋体"/>
          <w:color w:val="auto"/>
          <w:highlight w:val="none"/>
        </w:rPr>
        <w:t>……</w:t>
      </w:r>
    </w:p>
    <w:p w14:paraId="49C41CE3">
      <w:pPr>
        <w:pStyle w:val="4"/>
        <w:jc w:val="both"/>
        <w:rPr>
          <w:color w:val="auto"/>
          <w:sz w:val="28"/>
          <w:szCs w:val="28"/>
          <w:highlight w:val="none"/>
        </w:rPr>
      </w:pPr>
      <w:bookmarkStart w:id="143" w:name="_Toc514099715"/>
      <w:bookmarkStart w:id="144" w:name="_Toc511557117"/>
      <w:bookmarkStart w:id="145" w:name="_Toc519100231"/>
      <w:bookmarkStart w:id="146" w:name="_Toc522264581"/>
      <w:r>
        <w:rPr>
          <w:color w:val="auto"/>
          <w:sz w:val="28"/>
          <w:szCs w:val="28"/>
          <w:highlight w:val="none"/>
        </w:rPr>
        <w:t>五、委托人提供的便利条件</w:t>
      </w:r>
      <w:bookmarkEnd w:id="142"/>
      <w:bookmarkEnd w:id="143"/>
      <w:bookmarkEnd w:id="144"/>
      <w:bookmarkEnd w:id="145"/>
      <w:bookmarkEnd w:id="146"/>
    </w:p>
    <w:p w14:paraId="6338205D">
      <w:pPr>
        <w:spacing w:line="360" w:lineRule="auto"/>
        <w:ind w:firstLine="480" w:firstLineChars="200"/>
        <w:rPr>
          <w:rFonts w:ascii="宋体" w:hAnsi="宋体"/>
          <w:color w:val="auto"/>
          <w:highlight w:val="none"/>
          <w:u w:val="single"/>
        </w:rPr>
      </w:pPr>
      <w:r>
        <w:rPr>
          <w:rFonts w:ascii="宋体" w:hAnsi="宋体"/>
          <w:color w:val="auto"/>
          <w:highlight w:val="none"/>
        </w:rPr>
        <w:t>1. 委托人提供的生活条件</w:t>
      </w:r>
      <w:r>
        <w:rPr>
          <w:rFonts w:hint="eastAsia" w:ascii="宋体" w:hAnsi="宋体"/>
          <w:color w:val="auto"/>
          <w:highlight w:val="none"/>
        </w:rPr>
        <w:t>：</w:t>
      </w:r>
      <w:r>
        <w:rPr>
          <w:rFonts w:hint="eastAsia" w:ascii="宋体" w:hAnsi="宋体"/>
          <w:color w:val="auto"/>
          <w:highlight w:val="none"/>
          <w:u w:val="single"/>
        </w:rPr>
        <w:t>由监理人自行解决，含在投标报价中；</w:t>
      </w:r>
    </w:p>
    <w:p w14:paraId="0C6BEEC9">
      <w:pPr>
        <w:spacing w:line="360" w:lineRule="auto"/>
        <w:ind w:firstLine="480" w:firstLineChars="200"/>
        <w:rPr>
          <w:rFonts w:ascii="宋体" w:hAnsi="宋体"/>
          <w:color w:val="auto"/>
          <w:highlight w:val="none"/>
        </w:rPr>
      </w:pPr>
      <w:r>
        <w:rPr>
          <w:rFonts w:ascii="宋体" w:hAnsi="宋体"/>
          <w:color w:val="auto"/>
          <w:highlight w:val="none"/>
        </w:rPr>
        <w:t>2. 委托人提供的交通条件</w:t>
      </w:r>
      <w:r>
        <w:rPr>
          <w:rFonts w:hint="eastAsia" w:ascii="宋体" w:hAnsi="宋体"/>
          <w:color w:val="auto"/>
          <w:highlight w:val="none"/>
        </w:rPr>
        <w:t>：</w:t>
      </w:r>
      <w:r>
        <w:rPr>
          <w:rFonts w:hint="eastAsia" w:ascii="宋体" w:hAnsi="宋体"/>
          <w:color w:val="auto"/>
          <w:highlight w:val="none"/>
          <w:u w:val="single"/>
        </w:rPr>
        <w:t>无；</w:t>
      </w:r>
    </w:p>
    <w:p w14:paraId="4D99A0BA">
      <w:pPr>
        <w:spacing w:line="360" w:lineRule="auto"/>
        <w:ind w:firstLine="480" w:firstLineChars="200"/>
        <w:rPr>
          <w:rFonts w:ascii="宋体" w:hAnsi="宋体"/>
          <w:color w:val="auto"/>
          <w:highlight w:val="none"/>
        </w:rPr>
      </w:pPr>
      <w:r>
        <w:rPr>
          <w:rFonts w:ascii="宋体" w:hAnsi="宋体"/>
          <w:color w:val="auto"/>
          <w:highlight w:val="none"/>
        </w:rPr>
        <w:t>3. 委托人提供的网络、通讯条件</w:t>
      </w:r>
      <w:r>
        <w:rPr>
          <w:rFonts w:hint="eastAsia" w:ascii="宋体" w:hAnsi="宋体"/>
          <w:color w:val="auto"/>
          <w:highlight w:val="none"/>
        </w:rPr>
        <w:t>：</w:t>
      </w:r>
      <w:r>
        <w:rPr>
          <w:rFonts w:hint="eastAsia" w:ascii="宋体" w:hAnsi="宋体"/>
          <w:color w:val="auto"/>
          <w:highlight w:val="none"/>
          <w:u w:val="single"/>
        </w:rPr>
        <w:t>无；</w:t>
      </w:r>
    </w:p>
    <w:p w14:paraId="664CB110">
      <w:pPr>
        <w:spacing w:line="360" w:lineRule="auto"/>
        <w:ind w:firstLine="480" w:firstLineChars="200"/>
        <w:rPr>
          <w:rFonts w:ascii="宋体" w:hAnsi="宋体"/>
          <w:color w:val="auto"/>
          <w:highlight w:val="none"/>
        </w:rPr>
      </w:pPr>
      <w:r>
        <w:rPr>
          <w:rFonts w:ascii="宋体" w:hAnsi="宋体"/>
          <w:color w:val="auto"/>
          <w:highlight w:val="none"/>
        </w:rPr>
        <w:t>4. 委托人提供的协助人员</w:t>
      </w:r>
      <w:r>
        <w:rPr>
          <w:rFonts w:hint="eastAsia" w:ascii="宋体" w:hAnsi="宋体"/>
          <w:color w:val="auto"/>
          <w:highlight w:val="none"/>
        </w:rPr>
        <w:t>：</w:t>
      </w:r>
      <w:r>
        <w:rPr>
          <w:rFonts w:hint="eastAsia" w:ascii="宋体" w:hAnsi="宋体"/>
          <w:color w:val="auto"/>
          <w:highlight w:val="none"/>
          <w:u w:val="single"/>
        </w:rPr>
        <w:t>无</w:t>
      </w:r>
      <w:bookmarkStart w:id="147" w:name="_Toc482188645"/>
      <w:r>
        <w:rPr>
          <w:rFonts w:hint="eastAsia" w:ascii="宋体" w:hAnsi="宋体"/>
          <w:color w:val="auto"/>
          <w:highlight w:val="none"/>
          <w:u w:val="single"/>
        </w:rPr>
        <w:t>。</w:t>
      </w:r>
    </w:p>
    <w:p w14:paraId="15F6E80B">
      <w:pPr>
        <w:pStyle w:val="4"/>
        <w:jc w:val="both"/>
        <w:rPr>
          <w:color w:val="auto"/>
          <w:sz w:val="28"/>
          <w:szCs w:val="28"/>
          <w:highlight w:val="none"/>
        </w:rPr>
      </w:pPr>
      <w:bookmarkStart w:id="148" w:name="_Toc514099716"/>
      <w:bookmarkStart w:id="149" w:name="_Toc511557118"/>
      <w:bookmarkStart w:id="150" w:name="_Toc519100232"/>
      <w:bookmarkStart w:id="151" w:name="_Toc522264582"/>
      <w:r>
        <w:rPr>
          <w:color w:val="auto"/>
          <w:sz w:val="28"/>
          <w:szCs w:val="28"/>
          <w:highlight w:val="none"/>
        </w:rPr>
        <w:t>六、监理人需要自备的工作条件</w:t>
      </w:r>
      <w:bookmarkEnd w:id="147"/>
      <w:bookmarkEnd w:id="148"/>
      <w:bookmarkEnd w:id="149"/>
      <w:bookmarkEnd w:id="150"/>
      <w:bookmarkEnd w:id="151"/>
    </w:p>
    <w:p w14:paraId="062A5859">
      <w:pPr>
        <w:spacing w:line="360" w:lineRule="auto"/>
        <w:ind w:firstLine="480" w:firstLineChars="200"/>
        <w:rPr>
          <w:rFonts w:ascii="宋体" w:hAnsi="宋体"/>
          <w:color w:val="auto"/>
          <w:highlight w:val="none"/>
        </w:rPr>
      </w:pPr>
      <w:r>
        <w:rPr>
          <w:rFonts w:ascii="宋体" w:hAnsi="宋体"/>
          <w:color w:val="auto"/>
          <w:highlight w:val="none"/>
        </w:rPr>
        <w:t>1. 监理人自备的工作手册：</w:t>
      </w:r>
      <w:r>
        <w:rPr>
          <w:rFonts w:hint="eastAsia" w:ascii="宋体" w:hAnsi="宋体"/>
          <w:color w:val="auto"/>
          <w:highlight w:val="none"/>
          <w:u w:val="single"/>
        </w:rPr>
        <w:t>本项目必备的规范标准、图集等。</w:t>
      </w:r>
    </w:p>
    <w:p w14:paraId="45F7D164">
      <w:pPr>
        <w:spacing w:line="360" w:lineRule="auto"/>
        <w:ind w:firstLine="480" w:firstLineChars="200"/>
        <w:rPr>
          <w:rFonts w:ascii="宋体" w:hAnsi="宋体"/>
          <w:color w:val="auto"/>
          <w:highlight w:val="none"/>
        </w:rPr>
      </w:pPr>
      <w:r>
        <w:rPr>
          <w:rFonts w:ascii="宋体" w:hAnsi="宋体"/>
          <w:color w:val="auto"/>
          <w:highlight w:val="none"/>
        </w:rPr>
        <w:t>2. 监理人自备的办公设备：</w:t>
      </w:r>
      <w:r>
        <w:rPr>
          <w:rFonts w:hint="eastAsia" w:ascii="宋体" w:hAnsi="宋体"/>
          <w:color w:val="auto"/>
          <w:highlight w:val="none"/>
          <w:u w:val="single"/>
        </w:rPr>
        <w:t>电脑、软件、投影、打印机、复印机、照相机等。</w:t>
      </w:r>
    </w:p>
    <w:p w14:paraId="5579E261">
      <w:pPr>
        <w:spacing w:line="360" w:lineRule="auto"/>
        <w:ind w:firstLine="480" w:firstLineChars="200"/>
        <w:rPr>
          <w:rFonts w:ascii="宋体" w:hAnsi="宋体"/>
          <w:color w:val="auto"/>
          <w:highlight w:val="none"/>
        </w:rPr>
      </w:pPr>
      <w:r>
        <w:rPr>
          <w:rFonts w:ascii="宋体" w:hAnsi="宋体"/>
          <w:color w:val="auto"/>
          <w:highlight w:val="none"/>
        </w:rPr>
        <w:t>3. 监理人自备的交通工具：</w:t>
      </w:r>
      <w:r>
        <w:rPr>
          <w:rFonts w:hint="eastAsia" w:ascii="宋体" w:hAnsi="宋体"/>
          <w:color w:val="auto"/>
          <w:highlight w:val="none"/>
          <w:u w:val="single"/>
        </w:rPr>
        <w:t>出行车辆等。</w:t>
      </w:r>
    </w:p>
    <w:p w14:paraId="30D9A769">
      <w:pPr>
        <w:spacing w:line="360" w:lineRule="auto"/>
        <w:ind w:firstLine="480" w:firstLineChars="200"/>
        <w:rPr>
          <w:rFonts w:ascii="宋体" w:hAnsi="宋体"/>
          <w:color w:val="auto"/>
          <w:highlight w:val="none"/>
        </w:rPr>
      </w:pPr>
      <w:r>
        <w:rPr>
          <w:rFonts w:ascii="宋体" w:hAnsi="宋体"/>
          <w:color w:val="auto"/>
          <w:highlight w:val="none"/>
        </w:rPr>
        <w:t>4. 监理人自备的现场办公设施：</w:t>
      </w:r>
      <w:r>
        <w:rPr>
          <w:rFonts w:hint="eastAsia" w:ascii="宋体" w:hAnsi="宋体"/>
          <w:color w:val="auto"/>
          <w:highlight w:val="none"/>
          <w:u w:val="single"/>
        </w:rPr>
        <w:t>办公桌椅、文件柜等。</w:t>
      </w:r>
    </w:p>
    <w:p w14:paraId="7A4A3D1F">
      <w:pPr>
        <w:spacing w:line="360" w:lineRule="auto"/>
        <w:ind w:firstLine="480" w:firstLineChars="200"/>
        <w:rPr>
          <w:rFonts w:ascii="宋体" w:hAnsi="宋体"/>
          <w:color w:val="auto"/>
          <w:highlight w:val="none"/>
        </w:rPr>
      </w:pPr>
      <w:r>
        <w:rPr>
          <w:rFonts w:ascii="宋体" w:hAnsi="宋体"/>
          <w:color w:val="auto"/>
          <w:highlight w:val="none"/>
        </w:rPr>
        <w:t>5. 监理人自备的安全设施：</w:t>
      </w:r>
      <w:r>
        <w:rPr>
          <w:rFonts w:hint="eastAsia" w:ascii="宋体" w:hAnsi="宋体"/>
          <w:color w:val="auto"/>
          <w:highlight w:val="none"/>
          <w:u w:val="single"/>
        </w:rPr>
        <w:t>安全帽、安全鞋、手电筒等。</w:t>
      </w:r>
    </w:p>
    <w:p w14:paraId="5540A31A">
      <w:pPr>
        <w:spacing w:line="360" w:lineRule="auto"/>
        <w:ind w:firstLine="480" w:firstLineChars="200"/>
        <w:rPr>
          <w:rFonts w:ascii="宋体" w:hAnsi="宋体"/>
          <w:color w:val="auto"/>
          <w:highlight w:val="none"/>
        </w:rPr>
      </w:pPr>
      <w:r>
        <w:rPr>
          <w:rFonts w:ascii="宋体" w:hAnsi="宋体"/>
          <w:color w:val="auto"/>
          <w:highlight w:val="none"/>
        </w:rPr>
        <w:t>6. 监理人自备的试验检测仪器、设备、工具</w:t>
      </w:r>
      <w:r>
        <w:rPr>
          <w:rFonts w:hint="eastAsia" w:ascii="宋体" w:hAnsi="宋体"/>
          <w:color w:val="auto"/>
          <w:highlight w:val="none"/>
        </w:rPr>
        <w:t>：</w:t>
      </w:r>
      <w:r>
        <w:rPr>
          <w:rFonts w:hint="eastAsia" w:ascii="宋体" w:hAnsi="宋体"/>
          <w:color w:val="auto"/>
          <w:highlight w:val="none"/>
          <w:u w:val="single"/>
        </w:rPr>
        <w:t>满足本项目监理服务要求。</w:t>
      </w:r>
    </w:p>
    <w:p w14:paraId="64507F5B">
      <w:pPr>
        <w:spacing w:line="360" w:lineRule="auto"/>
        <w:ind w:firstLine="480" w:firstLineChars="200"/>
        <w:rPr>
          <w:rFonts w:ascii="宋体" w:hAnsi="宋体"/>
          <w:color w:val="auto"/>
          <w:highlight w:val="none"/>
        </w:rPr>
      </w:pPr>
      <w:r>
        <w:rPr>
          <w:rFonts w:ascii="宋体" w:hAnsi="宋体"/>
          <w:color w:val="auto"/>
          <w:highlight w:val="none"/>
        </w:rPr>
        <w:t>7. 监理人自备的试验用房、样品用房</w:t>
      </w:r>
      <w:r>
        <w:rPr>
          <w:rFonts w:hint="eastAsia"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w:t>
      </w:r>
      <w:r>
        <w:rPr>
          <w:rFonts w:ascii="宋体" w:hAnsi="宋体"/>
          <w:color w:val="auto"/>
          <w:highlight w:val="none"/>
          <w:u w:val="single"/>
        </w:rPr>
        <w:t xml:space="preserve">      </w:t>
      </w:r>
    </w:p>
    <w:p w14:paraId="5CF3EBED">
      <w:pPr>
        <w:pStyle w:val="4"/>
        <w:jc w:val="both"/>
        <w:rPr>
          <w:color w:val="auto"/>
          <w:sz w:val="28"/>
          <w:szCs w:val="28"/>
          <w:highlight w:val="none"/>
        </w:rPr>
      </w:pPr>
      <w:bookmarkStart w:id="152" w:name="_Toc511557119"/>
      <w:bookmarkStart w:id="153" w:name="_Toc522264583"/>
      <w:bookmarkStart w:id="154" w:name="_Toc482188646"/>
      <w:bookmarkStart w:id="155" w:name="_Toc514099717"/>
      <w:bookmarkStart w:id="156" w:name="_Toc519100233"/>
      <w:r>
        <w:rPr>
          <w:color w:val="auto"/>
          <w:sz w:val="28"/>
          <w:szCs w:val="28"/>
          <w:highlight w:val="none"/>
        </w:rPr>
        <w:t>七、委托人的其他要求</w:t>
      </w:r>
      <w:bookmarkEnd w:id="152"/>
      <w:bookmarkEnd w:id="153"/>
      <w:bookmarkEnd w:id="154"/>
      <w:bookmarkEnd w:id="155"/>
      <w:bookmarkEnd w:id="156"/>
    </w:p>
    <w:p w14:paraId="4338138B">
      <w:pPr>
        <w:pStyle w:val="5"/>
        <w:spacing w:before="120" w:after="120"/>
        <w:ind w:firstLine="482" w:firstLineChars="200"/>
        <w:rPr>
          <w:color w:val="auto"/>
          <w:highlight w:val="none"/>
        </w:rPr>
      </w:pPr>
      <w:r>
        <w:rPr>
          <w:color w:val="auto"/>
          <w:highlight w:val="none"/>
        </w:rPr>
        <w:t>委托人的其他要求</w:t>
      </w:r>
      <w:r>
        <w:rPr>
          <w:rFonts w:hint="eastAsia"/>
          <w:color w:val="auto"/>
          <w:highlight w:val="none"/>
        </w:rPr>
        <w:t>：</w:t>
      </w:r>
      <w:r>
        <w:rPr>
          <w:rFonts w:hint="eastAsia"/>
          <w:color w:val="auto"/>
          <w:highlight w:val="none"/>
          <w:u w:val="single"/>
        </w:rPr>
        <w:t>其他要求详见监理合同。</w:t>
      </w:r>
      <w:bookmarkEnd w:id="121"/>
    </w:p>
    <w:p w14:paraId="6647C046">
      <w:pPr>
        <w:pStyle w:val="2"/>
        <w:kinsoku w:val="0"/>
        <w:overflowPunct w:val="0"/>
        <w:spacing w:before="8"/>
        <w:ind w:left="0"/>
        <w:rPr>
          <w:color w:val="auto"/>
          <w:sz w:val="20"/>
          <w:highlight w:val="none"/>
        </w:rPr>
      </w:pPr>
    </w:p>
    <w:p w14:paraId="7BC099BC">
      <w:pPr>
        <w:pStyle w:val="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color w:val="auto"/>
          <w:sz w:val="24"/>
          <w:highlight w:val="none"/>
        </w:rPr>
        <w:sectPr>
          <w:pgSz w:w="11905" w:h="16838"/>
          <w:pgMar w:top="1417" w:right="1417" w:bottom="1417" w:left="1417" w:header="992" w:footer="992" w:gutter="0"/>
          <w:cols w:space="720" w:num="1"/>
        </w:sectPr>
      </w:pPr>
    </w:p>
    <w:p w14:paraId="441E0A58">
      <w:pPr>
        <w:pStyle w:val="2"/>
        <w:kinsoku w:val="0"/>
        <w:overflowPunct w:val="0"/>
        <w:ind w:left="0"/>
        <w:rPr>
          <w:rFonts w:ascii="Times New Roman" w:hAnsi="Times New Roman" w:eastAsia="Times New Roman"/>
          <w:color w:val="auto"/>
          <w:sz w:val="20"/>
          <w:highlight w:val="none"/>
        </w:rPr>
      </w:pPr>
    </w:p>
    <w:p w14:paraId="3CCFF1B6">
      <w:pPr>
        <w:pStyle w:val="3"/>
        <w:spacing w:before="4800" w:beforeLines="2000"/>
        <w:rPr>
          <w:rFonts w:hint="default"/>
          <w:color w:val="auto"/>
          <w:sz w:val="52"/>
          <w:szCs w:val="52"/>
          <w:highlight w:val="none"/>
        </w:rPr>
      </w:pPr>
      <w:bookmarkStart w:id="157" w:name="bookmark173"/>
      <w:bookmarkEnd w:id="157"/>
      <w:bookmarkStart w:id="158" w:name="_Toc12210"/>
      <w:r>
        <w:rPr>
          <w:color w:val="auto"/>
          <w:sz w:val="52"/>
          <w:szCs w:val="52"/>
          <w:highlight w:val="none"/>
        </w:rPr>
        <w:t>第三卷</w:t>
      </w:r>
      <w:bookmarkEnd w:id="158"/>
    </w:p>
    <w:p w14:paraId="2263952B">
      <w:pPr>
        <w:pStyle w:val="3"/>
        <w:spacing w:before="4800" w:beforeLines="2000"/>
        <w:rPr>
          <w:rFonts w:hint="default"/>
          <w:color w:val="auto"/>
          <w:sz w:val="52"/>
          <w:szCs w:val="52"/>
          <w:highlight w:val="none"/>
        </w:rPr>
        <w:sectPr>
          <w:pgSz w:w="11905" w:h="16838"/>
          <w:pgMar w:top="1417" w:right="1417" w:bottom="1417" w:left="1417" w:header="992" w:footer="992" w:gutter="0"/>
          <w:cols w:space="720" w:num="1"/>
        </w:sectPr>
      </w:pPr>
    </w:p>
    <w:p w14:paraId="3485C2F9">
      <w:pPr>
        <w:pStyle w:val="4"/>
        <w:rPr>
          <w:color w:val="auto"/>
          <w:sz w:val="44"/>
          <w:highlight w:val="none"/>
        </w:rPr>
      </w:pPr>
      <w:bookmarkStart w:id="159" w:name="bookmark174"/>
      <w:bookmarkEnd w:id="159"/>
      <w:bookmarkStart w:id="160" w:name="_Toc26661"/>
      <w:r>
        <w:rPr>
          <w:color w:val="auto"/>
          <w:sz w:val="44"/>
          <w:highlight w:val="none"/>
        </w:rPr>
        <w:t>第六章 投标文件格式</w:t>
      </w:r>
      <w:bookmarkEnd w:id="160"/>
    </w:p>
    <w:p w14:paraId="7EF6EADF">
      <w:pPr>
        <w:pStyle w:val="4"/>
        <w:rPr>
          <w:color w:val="auto"/>
          <w:highlight w:val="none"/>
        </w:rPr>
        <w:sectPr>
          <w:pgSz w:w="11905" w:h="16838"/>
          <w:pgMar w:top="1417" w:right="1417" w:bottom="1417" w:left="1417" w:header="992" w:footer="992" w:gutter="0"/>
          <w:cols w:space="720" w:num="1"/>
        </w:sectPr>
      </w:pPr>
    </w:p>
    <w:p w14:paraId="001E7690">
      <w:pPr>
        <w:pStyle w:val="2"/>
        <w:kinsoku w:val="0"/>
        <w:overflowPunct w:val="0"/>
        <w:ind w:left="0"/>
        <w:rPr>
          <w:rFonts w:ascii="Microsoft JhengHei" w:hAnsi="Microsoft JhengHei" w:eastAsia="Microsoft JhengHei"/>
          <w:b/>
          <w:color w:val="auto"/>
          <w:sz w:val="20"/>
          <w:highlight w:val="none"/>
        </w:rPr>
      </w:pPr>
    </w:p>
    <w:p w14:paraId="0267E938">
      <w:pPr>
        <w:pStyle w:val="2"/>
        <w:kinsoku w:val="0"/>
        <w:overflowPunct w:val="0"/>
        <w:ind w:left="0"/>
        <w:rPr>
          <w:rFonts w:ascii="Microsoft JhengHei" w:hAnsi="Microsoft JhengHei" w:eastAsia="Microsoft JhengHei"/>
          <w:b/>
          <w:color w:val="auto"/>
          <w:sz w:val="20"/>
          <w:highlight w:val="none"/>
        </w:rPr>
      </w:pPr>
    </w:p>
    <w:p w14:paraId="4C7FC763">
      <w:pPr>
        <w:pStyle w:val="2"/>
        <w:kinsoku w:val="0"/>
        <w:overflowPunct w:val="0"/>
        <w:spacing w:before="1"/>
        <w:ind w:left="0"/>
        <w:rPr>
          <w:rFonts w:ascii="Microsoft JhengHei" w:hAnsi="Microsoft JhengHei" w:eastAsia="Microsoft JhengHei"/>
          <w:b/>
          <w:color w:val="auto"/>
          <w:sz w:val="22"/>
          <w:highlight w:val="none"/>
        </w:rPr>
      </w:pPr>
    </w:p>
    <w:p w14:paraId="00B390EC">
      <w:pPr>
        <w:jc w:val="center"/>
        <w:rPr>
          <w:rFonts w:ascii="宋体"/>
          <w:color w:val="auto"/>
          <w:sz w:val="36"/>
          <w:highlight w:val="none"/>
        </w:rPr>
      </w:pPr>
      <w:r>
        <w:rPr>
          <w:color w:val="auto"/>
          <w:sz w:val="36"/>
          <w:highlight w:val="none"/>
          <w:u w:val="single"/>
        </w:rPr>
        <w:t xml:space="preserve">                 </w:t>
      </w:r>
      <w:r>
        <w:rPr>
          <w:rFonts w:ascii="宋体"/>
          <w:color w:val="auto"/>
          <w:sz w:val="36"/>
          <w:highlight w:val="none"/>
          <w:u w:val="single"/>
        </w:rPr>
        <w:t>（项目名称）</w:t>
      </w:r>
      <w:r>
        <w:rPr>
          <w:rFonts w:ascii="宋体"/>
          <w:color w:val="auto"/>
          <w:sz w:val="36"/>
          <w:highlight w:val="none"/>
        </w:rPr>
        <w:t xml:space="preserve"> </w:t>
      </w:r>
    </w:p>
    <w:p w14:paraId="69547948">
      <w:pPr>
        <w:pStyle w:val="2"/>
        <w:kinsoku w:val="0"/>
        <w:overflowPunct w:val="0"/>
        <w:ind w:left="0"/>
        <w:rPr>
          <w:color w:val="auto"/>
          <w:sz w:val="20"/>
          <w:highlight w:val="none"/>
        </w:rPr>
      </w:pPr>
    </w:p>
    <w:p w14:paraId="28831DAA">
      <w:pPr>
        <w:pStyle w:val="2"/>
        <w:kinsoku w:val="0"/>
        <w:overflowPunct w:val="0"/>
        <w:spacing w:before="9"/>
        <w:ind w:left="0"/>
        <w:rPr>
          <w:color w:val="auto"/>
          <w:sz w:val="15"/>
          <w:highlight w:val="none"/>
        </w:rPr>
      </w:pPr>
    </w:p>
    <w:p w14:paraId="328E7AA0">
      <w:pPr>
        <w:pStyle w:val="2"/>
        <w:kinsoku w:val="0"/>
        <w:overflowPunct w:val="0"/>
        <w:spacing w:line="539" w:lineRule="exact"/>
        <w:ind w:left="3" w:right="1"/>
        <w:jc w:val="center"/>
        <w:rPr>
          <w:color w:val="auto"/>
          <w:sz w:val="44"/>
          <w:highlight w:val="none"/>
        </w:rPr>
      </w:pPr>
    </w:p>
    <w:p w14:paraId="6EA3DC3B">
      <w:pPr>
        <w:pStyle w:val="2"/>
        <w:kinsoku w:val="0"/>
        <w:overflowPunct w:val="0"/>
        <w:spacing w:line="539" w:lineRule="exact"/>
        <w:ind w:left="3" w:right="1"/>
        <w:jc w:val="center"/>
        <w:rPr>
          <w:color w:val="auto"/>
          <w:sz w:val="44"/>
          <w:highlight w:val="none"/>
        </w:rPr>
      </w:pPr>
    </w:p>
    <w:p w14:paraId="70A1C417">
      <w:pPr>
        <w:pStyle w:val="2"/>
        <w:kinsoku w:val="0"/>
        <w:overflowPunct w:val="0"/>
        <w:ind w:left="0"/>
        <w:jc w:val="center"/>
        <w:rPr>
          <w:color w:val="auto"/>
          <w:sz w:val="44"/>
          <w:highlight w:val="none"/>
        </w:rPr>
      </w:pPr>
      <w:r>
        <w:rPr>
          <w:rFonts w:cs="宋体"/>
          <w:color w:val="auto"/>
          <w:sz w:val="84"/>
          <w:szCs w:val="84"/>
          <w:highlight w:val="none"/>
        </w:rPr>
        <w:t>投标文件</w:t>
      </w:r>
    </w:p>
    <w:p w14:paraId="18B9155F">
      <w:pPr>
        <w:pStyle w:val="2"/>
        <w:kinsoku w:val="0"/>
        <w:overflowPunct w:val="0"/>
        <w:ind w:left="0"/>
        <w:rPr>
          <w:color w:val="auto"/>
          <w:sz w:val="44"/>
          <w:highlight w:val="none"/>
        </w:rPr>
      </w:pPr>
    </w:p>
    <w:p w14:paraId="40A81C41">
      <w:pPr>
        <w:pStyle w:val="2"/>
        <w:kinsoku w:val="0"/>
        <w:overflowPunct w:val="0"/>
        <w:ind w:left="0"/>
        <w:rPr>
          <w:color w:val="auto"/>
          <w:sz w:val="44"/>
          <w:highlight w:val="none"/>
        </w:rPr>
      </w:pPr>
    </w:p>
    <w:p w14:paraId="0CFAA003">
      <w:pPr>
        <w:pStyle w:val="2"/>
        <w:kinsoku w:val="0"/>
        <w:overflowPunct w:val="0"/>
        <w:ind w:left="0"/>
        <w:rPr>
          <w:color w:val="auto"/>
          <w:sz w:val="44"/>
          <w:highlight w:val="none"/>
        </w:rPr>
      </w:pPr>
    </w:p>
    <w:p w14:paraId="442FEF74">
      <w:pPr>
        <w:pStyle w:val="2"/>
        <w:kinsoku w:val="0"/>
        <w:overflowPunct w:val="0"/>
        <w:ind w:left="0"/>
        <w:rPr>
          <w:color w:val="auto"/>
          <w:sz w:val="44"/>
          <w:highlight w:val="none"/>
        </w:rPr>
      </w:pPr>
    </w:p>
    <w:p w14:paraId="3A2F6E1C">
      <w:pPr>
        <w:pStyle w:val="2"/>
        <w:kinsoku w:val="0"/>
        <w:overflowPunct w:val="0"/>
        <w:ind w:left="0"/>
        <w:rPr>
          <w:color w:val="auto"/>
          <w:sz w:val="44"/>
          <w:highlight w:val="none"/>
        </w:rPr>
      </w:pPr>
    </w:p>
    <w:p w14:paraId="32B85414">
      <w:pPr>
        <w:pStyle w:val="2"/>
        <w:kinsoku w:val="0"/>
        <w:overflowPunct w:val="0"/>
        <w:ind w:left="0"/>
        <w:rPr>
          <w:color w:val="auto"/>
          <w:sz w:val="44"/>
          <w:highlight w:val="none"/>
        </w:rPr>
      </w:pPr>
    </w:p>
    <w:p w14:paraId="21C19146">
      <w:pPr>
        <w:pStyle w:val="2"/>
        <w:kinsoku w:val="0"/>
        <w:overflowPunct w:val="0"/>
        <w:ind w:left="0"/>
        <w:rPr>
          <w:color w:val="auto"/>
          <w:sz w:val="44"/>
          <w:highlight w:val="none"/>
        </w:rPr>
      </w:pPr>
    </w:p>
    <w:p w14:paraId="42403A74">
      <w:pPr>
        <w:pStyle w:val="2"/>
        <w:kinsoku w:val="0"/>
        <w:overflowPunct w:val="0"/>
        <w:ind w:left="0"/>
        <w:rPr>
          <w:color w:val="auto"/>
          <w:sz w:val="44"/>
          <w:highlight w:val="none"/>
        </w:rPr>
      </w:pPr>
    </w:p>
    <w:p w14:paraId="0E087B73">
      <w:pPr>
        <w:pStyle w:val="2"/>
        <w:kinsoku w:val="0"/>
        <w:overflowPunct w:val="0"/>
        <w:ind w:left="0"/>
        <w:rPr>
          <w:color w:val="auto"/>
          <w:sz w:val="44"/>
          <w:highlight w:val="none"/>
        </w:rPr>
      </w:pPr>
    </w:p>
    <w:p w14:paraId="2A07FC5C">
      <w:pPr>
        <w:pStyle w:val="2"/>
        <w:kinsoku w:val="0"/>
        <w:overflowPunct w:val="0"/>
        <w:spacing w:before="3"/>
        <w:ind w:left="0"/>
        <w:rPr>
          <w:color w:val="auto"/>
          <w:sz w:val="41"/>
          <w:highlight w:val="none"/>
        </w:rPr>
      </w:pPr>
    </w:p>
    <w:p w14:paraId="69D68F2B">
      <w:pPr>
        <w:pStyle w:val="2"/>
        <w:tabs>
          <w:tab w:val="left" w:pos="5577"/>
          <w:tab w:val="left" w:pos="6942"/>
        </w:tabs>
        <w:kinsoku w:val="0"/>
        <w:overflowPunct w:val="0"/>
        <w:spacing w:line="357" w:lineRule="auto"/>
        <w:ind w:left="1201" w:right="175"/>
        <w:rPr>
          <w:color w:val="auto"/>
          <w:spacing w:val="-1"/>
          <w:sz w:val="28"/>
          <w:highlight w:val="none"/>
        </w:rPr>
      </w:pPr>
      <w:r>
        <w:rPr>
          <w:color w:val="auto"/>
          <w:sz w:val="28"/>
          <w:highlight w:val="none"/>
        </w:rPr>
        <w:t>投标人：</w:t>
      </w:r>
      <w:r>
        <w:rPr>
          <w:rFonts w:hint="eastAsia" w:ascii="Times New Roman" w:hAnsi="Times New Roman" w:eastAsia="Times New Roman"/>
          <w:color w:val="auto"/>
          <w:sz w:val="28"/>
          <w:highlight w:val="none"/>
          <w:u w:val="single"/>
        </w:rPr>
        <w:tab/>
      </w:r>
      <w:r>
        <w:rPr>
          <w:rFonts w:hint="eastAsia" w:ascii="Times New Roman" w:hAnsi="Times New Roman" w:eastAsia="Times New Roman"/>
          <w:color w:val="auto"/>
          <w:sz w:val="28"/>
          <w:highlight w:val="none"/>
          <w:u w:val="single"/>
        </w:rPr>
        <w:tab/>
      </w:r>
      <w:r>
        <w:rPr>
          <w:color w:val="auto"/>
          <w:spacing w:val="-1"/>
          <w:sz w:val="28"/>
          <w:highlight w:val="none"/>
        </w:rPr>
        <w:t>（盖单位章）</w:t>
      </w:r>
      <w:r>
        <w:rPr>
          <w:color w:val="auto"/>
          <w:spacing w:val="-136"/>
          <w:sz w:val="28"/>
          <w:highlight w:val="none"/>
        </w:rPr>
        <w:t xml:space="preserve"> </w:t>
      </w:r>
      <w:r>
        <w:rPr>
          <w:color w:val="auto"/>
          <w:spacing w:val="-1"/>
          <w:sz w:val="28"/>
          <w:highlight w:val="none"/>
        </w:rPr>
        <w:t>法定代表人或其委托代理人：</w:t>
      </w:r>
      <w:r>
        <w:rPr>
          <w:rFonts w:hint="eastAsia" w:ascii="Times New Roman" w:hAnsi="Times New Roman" w:eastAsia="Times New Roman"/>
          <w:color w:val="auto"/>
          <w:spacing w:val="-1"/>
          <w:sz w:val="28"/>
          <w:highlight w:val="none"/>
          <w:u w:val="single"/>
        </w:rPr>
        <w:tab/>
      </w:r>
      <w:r>
        <w:rPr>
          <w:color w:val="auto"/>
          <w:spacing w:val="-1"/>
          <w:sz w:val="28"/>
          <w:highlight w:val="none"/>
        </w:rPr>
        <w:t>（签字）</w:t>
      </w:r>
    </w:p>
    <w:p w14:paraId="26D9EBBB">
      <w:pPr>
        <w:pStyle w:val="2"/>
        <w:kinsoku w:val="0"/>
        <w:overflowPunct w:val="0"/>
        <w:spacing w:before="10"/>
        <w:ind w:left="0"/>
        <w:rPr>
          <w:color w:val="auto"/>
          <w:sz w:val="29"/>
          <w:highlight w:val="none"/>
        </w:rPr>
      </w:pPr>
    </w:p>
    <w:p w14:paraId="1080500E">
      <w:pPr>
        <w:pStyle w:val="2"/>
        <w:tabs>
          <w:tab w:val="left" w:pos="3611"/>
          <w:tab w:val="left" w:pos="4626"/>
          <w:tab w:val="left" w:pos="5642"/>
        </w:tabs>
        <w:kinsoku w:val="0"/>
        <w:overflowPunct w:val="0"/>
        <w:spacing w:before="14"/>
        <w:ind w:left="2877" w:right="175"/>
        <w:rPr>
          <w:color w:val="auto"/>
          <w:sz w:val="28"/>
          <w:highlight w:val="none"/>
        </w:rPr>
      </w:pPr>
      <w:r>
        <w:rPr>
          <w:rFonts w:hint="eastAsia" w:ascii="Times New Roman" w:hAnsi="Times New Roman" w:eastAsia="Times New Roman"/>
          <w:color w:val="auto"/>
          <w:sz w:val="28"/>
          <w:highlight w:val="none"/>
          <w:u w:val="single"/>
        </w:rPr>
        <w:t xml:space="preserve"> </w:t>
      </w:r>
      <w:r>
        <w:rPr>
          <w:rFonts w:hint="eastAsia" w:ascii="Times New Roman" w:hAnsi="Times New Roman" w:eastAsia="Times New Roman"/>
          <w:color w:val="auto"/>
          <w:sz w:val="28"/>
          <w:highlight w:val="none"/>
          <w:u w:val="single"/>
        </w:rPr>
        <w:tab/>
      </w:r>
      <w:r>
        <w:rPr>
          <w:color w:val="auto"/>
          <w:sz w:val="28"/>
          <w:highlight w:val="none"/>
        </w:rPr>
        <w:t>年</w:t>
      </w:r>
      <w:r>
        <w:rPr>
          <w:rFonts w:hint="eastAsia" w:ascii="Times New Roman" w:hAnsi="Times New Roman" w:eastAsia="Times New Roman"/>
          <w:color w:val="auto"/>
          <w:sz w:val="28"/>
          <w:highlight w:val="none"/>
          <w:u w:val="single"/>
        </w:rPr>
        <w:tab/>
      </w:r>
      <w:r>
        <w:rPr>
          <w:color w:val="auto"/>
          <w:sz w:val="28"/>
          <w:highlight w:val="none"/>
        </w:rPr>
        <w:t>月</w:t>
      </w:r>
      <w:r>
        <w:rPr>
          <w:rFonts w:hint="eastAsia" w:ascii="Times New Roman" w:hAnsi="Times New Roman" w:eastAsia="Times New Roman"/>
          <w:color w:val="auto"/>
          <w:sz w:val="28"/>
          <w:highlight w:val="none"/>
          <w:u w:val="single"/>
        </w:rPr>
        <w:tab/>
      </w:r>
      <w:r>
        <w:rPr>
          <w:color w:val="auto"/>
          <w:sz w:val="28"/>
          <w:highlight w:val="none"/>
        </w:rPr>
        <w:t>日</w:t>
      </w:r>
    </w:p>
    <w:p w14:paraId="360EEBAD">
      <w:pPr>
        <w:pStyle w:val="2"/>
        <w:tabs>
          <w:tab w:val="left" w:pos="3611"/>
          <w:tab w:val="left" w:pos="4626"/>
          <w:tab w:val="left" w:pos="5642"/>
        </w:tabs>
        <w:kinsoku w:val="0"/>
        <w:overflowPunct w:val="0"/>
        <w:spacing w:before="14"/>
        <w:ind w:left="2877" w:right="175"/>
        <w:rPr>
          <w:color w:val="auto"/>
          <w:sz w:val="28"/>
          <w:highlight w:val="none"/>
        </w:rPr>
        <w:sectPr>
          <w:pgSz w:w="11905" w:h="16838"/>
          <w:pgMar w:top="1417" w:right="1417" w:bottom="1417" w:left="1417" w:header="992" w:footer="992" w:gutter="0"/>
          <w:cols w:space="720" w:num="1"/>
        </w:sectPr>
      </w:pPr>
    </w:p>
    <w:p w14:paraId="4189F338">
      <w:pPr>
        <w:pStyle w:val="2"/>
        <w:kinsoku w:val="0"/>
        <w:overflowPunct w:val="0"/>
        <w:spacing w:line="443" w:lineRule="exact"/>
        <w:ind w:left="1244" w:right="1222"/>
        <w:jc w:val="center"/>
        <w:rPr>
          <w:rFonts w:ascii="Microsoft JhengHei" w:hAnsi="Microsoft JhengHei" w:eastAsia="Microsoft JhengHei"/>
          <w:color w:val="auto"/>
          <w:sz w:val="32"/>
          <w:highlight w:val="none"/>
        </w:rPr>
      </w:pPr>
      <w:bookmarkStart w:id="161" w:name="bookmark175"/>
      <w:bookmarkEnd w:id="161"/>
      <w:r>
        <w:rPr>
          <w:rFonts w:hint="eastAsia" w:ascii="Microsoft JhengHei" w:hAnsi="Microsoft JhengHei" w:eastAsia="Microsoft JhengHei"/>
          <w:b/>
          <w:color w:val="auto"/>
          <w:sz w:val="32"/>
          <w:highlight w:val="none"/>
        </w:rPr>
        <w:t>目录</w:t>
      </w:r>
    </w:p>
    <w:p w14:paraId="11118B3B">
      <w:pPr>
        <w:pStyle w:val="2"/>
        <w:kinsoku w:val="0"/>
        <w:overflowPunct w:val="0"/>
        <w:ind w:left="0"/>
        <w:rPr>
          <w:rFonts w:ascii="Microsoft JhengHei" w:hAnsi="Microsoft JhengHei" w:eastAsia="Microsoft JhengHei"/>
          <w:b/>
          <w:color w:val="auto"/>
          <w:sz w:val="20"/>
          <w:highlight w:val="none"/>
        </w:rPr>
      </w:pPr>
    </w:p>
    <w:p w14:paraId="40F6D4FC">
      <w:pPr>
        <w:pStyle w:val="2"/>
        <w:kinsoku w:val="0"/>
        <w:overflowPunct w:val="0"/>
        <w:ind w:left="0"/>
        <w:rPr>
          <w:rFonts w:ascii="Microsoft JhengHei" w:hAnsi="Microsoft JhengHei" w:eastAsia="Microsoft JhengHei"/>
          <w:b/>
          <w:color w:val="auto"/>
          <w:sz w:val="20"/>
          <w:highlight w:val="none"/>
        </w:rPr>
      </w:pPr>
    </w:p>
    <w:p w14:paraId="1A841C51">
      <w:pPr>
        <w:pStyle w:val="2"/>
        <w:kinsoku w:val="0"/>
        <w:overflowPunct w:val="0"/>
        <w:ind w:left="0"/>
        <w:rPr>
          <w:rFonts w:ascii="Microsoft JhengHei" w:hAnsi="Microsoft JhengHei" w:eastAsia="Microsoft JhengHei"/>
          <w:b/>
          <w:color w:val="auto"/>
          <w:sz w:val="20"/>
          <w:highlight w:val="none"/>
        </w:rPr>
      </w:pPr>
    </w:p>
    <w:p w14:paraId="1F26CBCD">
      <w:pPr>
        <w:pStyle w:val="2"/>
        <w:kinsoku w:val="0"/>
        <w:overflowPunct w:val="0"/>
        <w:spacing w:before="6"/>
        <w:ind w:left="0"/>
        <w:rPr>
          <w:rFonts w:ascii="Microsoft JhengHei" w:hAnsi="Microsoft JhengHei" w:eastAsia="Microsoft JhengHei"/>
          <w:b/>
          <w:color w:val="auto"/>
          <w:sz w:val="24"/>
          <w:highlight w:val="none"/>
        </w:rPr>
      </w:pPr>
    </w:p>
    <w:p w14:paraId="7191BBB7">
      <w:pPr>
        <w:pStyle w:val="2"/>
        <w:kinsoku w:val="0"/>
        <w:overflowPunct w:val="0"/>
        <w:spacing w:before="36" w:line="472" w:lineRule="auto"/>
        <w:ind w:left="0" w:right="2650"/>
        <w:rPr>
          <w:color w:val="auto"/>
          <w:sz w:val="24"/>
          <w:highlight w:val="none"/>
        </w:rPr>
      </w:pPr>
      <w:r>
        <w:rPr>
          <w:color w:val="auto"/>
          <w:sz w:val="24"/>
          <w:highlight w:val="none"/>
        </w:rPr>
        <w:t>一、投标函及投标函附录</w:t>
      </w:r>
    </w:p>
    <w:p w14:paraId="4F2B212B">
      <w:pPr>
        <w:pStyle w:val="2"/>
        <w:kinsoku w:val="0"/>
        <w:overflowPunct w:val="0"/>
        <w:spacing w:before="36" w:line="472" w:lineRule="auto"/>
        <w:ind w:left="0" w:right="2650"/>
        <w:rPr>
          <w:color w:val="auto"/>
          <w:sz w:val="24"/>
          <w:highlight w:val="none"/>
        </w:rPr>
      </w:pPr>
      <w:r>
        <w:rPr>
          <w:color w:val="auto"/>
          <w:spacing w:val="-2"/>
          <w:sz w:val="24"/>
          <w:highlight w:val="none"/>
        </w:rPr>
        <w:t>二、法定代表人身份证明</w:t>
      </w:r>
    </w:p>
    <w:p w14:paraId="24F1BA0E">
      <w:pPr>
        <w:pStyle w:val="2"/>
        <w:kinsoku w:val="0"/>
        <w:overflowPunct w:val="0"/>
        <w:spacing w:before="36" w:line="472" w:lineRule="auto"/>
        <w:ind w:left="0" w:right="2650"/>
        <w:rPr>
          <w:color w:val="auto"/>
          <w:sz w:val="24"/>
          <w:highlight w:val="none"/>
        </w:rPr>
      </w:pPr>
      <w:r>
        <w:rPr>
          <w:color w:val="auto"/>
          <w:sz w:val="24"/>
          <w:highlight w:val="none"/>
        </w:rPr>
        <w:t>二、授权委托书（适用于有委托代理人的情况）</w:t>
      </w:r>
    </w:p>
    <w:p w14:paraId="2496E47F">
      <w:pPr>
        <w:pStyle w:val="2"/>
        <w:kinsoku w:val="0"/>
        <w:overflowPunct w:val="0"/>
        <w:spacing w:before="36" w:line="472" w:lineRule="auto"/>
        <w:ind w:left="0" w:right="2650"/>
        <w:rPr>
          <w:strike w:val="0"/>
          <w:color w:val="auto"/>
          <w:sz w:val="24"/>
          <w:highlight w:val="none"/>
        </w:rPr>
      </w:pPr>
      <w:r>
        <w:rPr>
          <w:strike w:val="0"/>
          <w:color w:val="auto"/>
          <w:sz w:val="24"/>
          <w:highlight w:val="none"/>
        </w:rPr>
        <w:t>三、联合体协议书（若有）</w:t>
      </w:r>
    </w:p>
    <w:p w14:paraId="21C59102">
      <w:pPr>
        <w:spacing w:line="360" w:lineRule="auto"/>
        <w:rPr>
          <w:rFonts w:ascii="宋体" w:hAnsi="宋体"/>
          <w:color w:val="auto"/>
          <w:highlight w:val="none"/>
        </w:rPr>
      </w:pPr>
      <w:r>
        <w:rPr>
          <w:rFonts w:hint="eastAsia" w:ascii="宋体" w:hAnsi="宋体"/>
          <w:color w:val="auto"/>
          <w:highlight w:val="none"/>
        </w:rPr>
        <w:t>四、</w:t>
      </w:r>
      <w:r>
        <w:rPr>
          <w:rFonts w:hint="eastAsia" w:ascii="宋体" w:hAnsi="宋体"/>
          <w:color w:val="auto"/>
          <w:highlight w:val="none"/>
          <w:lang w:val="zh-CN"/>
        </w:rPr>
        <w:t>关于投标保证金的承诺</w:t>
      </w:r>
    </w:p>
    <w:p w14:paraId="64177949">
      <w:pPr>
        <w:pStyle w:val="2"/>
        <w:kinsoku w:val="0"/>
        <w:overflowPunct w:val="0"/>
        <w:spacing w:before="61" w:line="472" w:lineRule="auto"/>
        <w:ind w:left="0" w:right="6220"/>
        <w:rPr>
          <w:strike/>
          <w:color w:val="auto"/>
          <w:sz w:val="24"/>
          <w:highlight w:val="none"/>
        </w:rPr>
      </w:pPr>
      <w:r>
        <w:rPr>
          <w:strike/>
          <w:color w:val="auto"/>
          <w:spacing w:val="-2"/>
          <w:sz w:val="24"/>
          <w:highlight w:val="none"/>
        </w:rPr>
        <w:t>五、监理报酬清单</w:t>
      </w:r>
    </w:p>
    <w:p w14:paraId="0C91E9CB">
      <w:pPr>
        <w:pStyle w:val="2"/>
        <w:kinsoku w:val="0"/>
        <w:overflowPunct w:val="0"/>
        <w:spacing w:before="61" w:line="472" w:lineRule="auto"/>
        <w:ind w:left="0" w:right="6220"/>
        <w:rPr>
          <w:color w:val="auto"/>
          <w:sz w:val="24"/>
          <w:highlight w:val="none"/>
        </w:rPr>
      </w:pPr>
      <w:r>
        <w:rPr>
          <w:color w:val="auto"/>
          <w:spacing w:val="-90"/>
          <w:sz w:val="24"/>
          <w:highlight w:val="none"/>
        </w:rPr>
        <w:t xml:space="preserve"> </w:t>
      </w:r>
      <w:r>
        <w:rPr>
          <w:color w:val="auto"/>
          <w:spacing w:val="-2"/>
          <w:sz w:val="24"/>
          <w:highlight w:val="none"/>
        </w:rPr>
        <w:t>六、资格审查资料</w:t>
      </w:r>
    </w:p>
    <w:p w14:paraId="56F50FFE">
      <w:pPr>
        <w:pStyle w:val="2"/>
        <w:kinsoku w:val="0"/>
        <w:overflowPunct w:val="0"/>
        <w:spacing w:before="61" w:line="472" w:lineRule="auto"/>
        <w:ind w:left="0" w:right="6220"/>
        <w:rPr>
          <w:color w:val="auto"/>
          <w:sz w:val="24"/>
          <w:highlight w:val="none"/>
        </w:rPr>
      </w:pPr>
      <w:r>
        <w:rPr>
          <w:color w:val="auto"/>
          <w:spacing w:val="-90"/>
          <w:sz w:val="24"/>
          <w:highlight w:val="none"/>
        </w:rPr>
        <w:t xml:space="preserve"> </w:t>
      </w:r>
      <w:r>
        <w:rPr>
          <w:color w:val="auto"/>
          <w:sz w:val="24"/>
          <w:highlight w:val="none"/>
        </w:rPr>
        <w:t xml:space="preserve">七、监理大纲 </w:t>
      </w:r>
    </w:p>
    <w:p w14:paraId="2472DCDA">
      <w:pPr>
        <w:pStyle w:val="2"/>
        <w:kinsoku w:val="0"/>
        <w:overflowPunct w:val="0"/>
        <w:spacing w:before="61" w:line="472" w:lineRule="auto"/>
        <w:ind w:left="0" w:right="6220"/>
        <w:rPr>
          <w:color w:val="auto"/>
          <w:sz w:val="24"/>
          <w:highlight w:val="none"/>
        </w:rPr>
      </w:pPr>
      <w:r>
        <w:rPr>
          <w:color w:val="auto"/>
          <w:sz w:val="24"/>
          <w:highlight w:val="none"/>
        </w:rPr>
        <w:t>八、其他资料</w:t>
      </w:r>
    </w:p>
    <w:p w14:paraId="7494EE3C">
      <w:pPr>
        <w:pStyle w:val="2"/>
        <w:kinsoku w:val="0"/>
        <w:overflowPunct w:val="0"/>
        <w:spacing w:before="61" w:line="472" w:lineRule="auto"/>
        <w:ind w:left="100" w:right="6220"/>
        <w:rPr>
          <w:color w:val="auto"/>
          <w:sz w:val="24"/>
          <w:highlight w:val="none"/>
        </w:rPr>
        <w:sectPr>
          <w:pgSz w:w="11905" w:h="16838"/>
          <w:pgMar w:top="1417" w:right="1417" w:bottom="1417" w:left="1417" w:header="992" w:footer="992" w:gutter="0"/>
          <w:cols w:space="720" w:num="1"/>
        </w:sectPr>
      </w:pPr>
    </w:p>
    <w:p w14:paraId="749534D3">
      <w:pPr>
        <w:pStyle w:val="5"/>
        <w:spacing w:before="120" w:after="120"/>
        <w:jc w:val="center"/>
        <w:rPr>
          <w:color w:val="auto"/>
          <w:sz w:val="28"/>
          <w:highlight w:val="none"/>
        </w:rPr>
      </w:pPr>
      <w:bookmarkStart w:id="162" w:name="bookmark176"/>
      <w:bookmarkEnd w:id="162"/>
      <w:bookmarkStart w:id="163" w:name="_Toc5383"/>
      <w:r>
        <w:rPr>
          <w:color w:val="auto"/>
          <w:sz w:val="28"/>
          <w:highlight w:val="none"/>
        </w:rPr>
        <w:t>一、投标函及投标函附录</w:t>
      </w:r>
      <w:bookmarkEnd w:id="163"/>
    </w:p>
    <w:p w14:paraId="2CED1351">
      <w:pPr>
        <w:pStyle w:val="6"/>
        <w:rPr>
          <w:b/>
          <w:color w:val="auto"/>
          <w:highlight w:val="none"/>
        </w:rPr>
      </w:pPr>
      <w:bookmarkStart w:id="164" w:name="bookmark177"/>
      <w:bookmarkEnd w:id="164"/>
      <w:bookmarkStart w:id="165" w:name="_Toc9570"/>
      <w:r>
        <w:rPr>
          <w:b/>
          <w:color w:val="auto"/>
          <w:highlight w:val="none"/>
        </w:rPr>
        <w:t>（一）投标函</w:t>
      </w:r>
      <w:bookmarkEnd w:id="165"/>
    </w:p>
    <w:p w14:paraId="454E02EB">
      <w:pPr>
        <w:pStyle w:val="2"/>
        <w:kinsoku w:val="0"/>
        <w:overflowPunct w:val="0"/>
        <w:spacing w:before="1"/>
        <w:ind w:left="0"/>
        <w:rPr>
          <w:color w:val="auto"/>
          <w:sz w:val="23"/>
          <w:highlight w:val="none"/>
        </w:rPr>
      </w:pPr>
    </w:p>
    <w:p w14:paraId="6232D3AF">
      <w:pPr>
        <w:pStyle w:val="2"/>
        <w:tabs>
          <w:tab w:val="left" w:pos="1991"/>
        </w:tabs>
        <w:kinsoku w:val="0"/>
        <w:overflowPunct w:val="0"/>
        <w:ind w:left="100" w:right="113"/>
        <w:rPr>
          <w:color w:val="auto"/>
          <w:spacing w:val="-15"/>
          <w:highlight w:val="none"/>
        </w:rPr>
      </w:pPr>
      <w:r>
        <w:rPr>
          <w:rFonts w:hint="eastAsia" w:ascii="Times New Roman" w:hAnsi="Times New Roman" w:eastAsia="Times New Roman"/>
          <w:color w:val="auto"/>
          <w:highlight w:val="none"/>
          <w:u w:val="single"/>
        </w:rPr>
        <w:t xml:space="preserve"> </w:t>
      </w:r>
      <w:r>
        <w:rPr>
          <w:rFonts w:hint="eastAsia" w:ascii="Times New Roman" w:hAnsi="Times New Roman" w:eastAsia="Times New Roman"/>
          <w:color w:val="auto"/>
          <w:highlight w:val="none"/>
          <w:u w:val="single"/>
        </w:rPr>
        <w:tab/>
      </w:r>
      <w:r>
        <w:rPr>
          <w:color w:val="auto"/>
          <w:spacing w:val="-15"/>
          <w:highlight w:val="none"/>
        </w:rPr>
        <w:t>（招标人名称）：</w:t>
      </w:r>
    </w:p>
    <w:p w14:paraId="0A47D246">
      <w:pPr>
        <w:pStyle w:val="2"/>
        <w:kinsoku w:val="0"/>
        <w:overflowPunct w:val="0"/>
        <w:spacing w:before="13"/>
        <w:ind w:left="0"/>
        <w:rPr>
          <w:color w:val="auto"/>
          <w:highlight w:val="none"/>
        </w:rPr>
      </w:pPr>
    </w:p>
    <w:p w14:paraId="2A191778">
      <w:pPr>
        <w:autoSpaceDE/>
        <w:autoSpaceDN/>
        <w:adjustRightInd/>
        <w:spacing w:line="360" w:lineRule="auto"/>
        <w:ind w:firstLine="420" w:firstLineChars="200"/>
        <w:jc w:val="both"/>
        <w:rPr>
          <w:rFonts w:ascii="宋体" w:hAnsi="宋体" w:cs="宋体"/>
          <w:color w:val="auto"/>
          <w:kern w:val="2"/>
          <w:sz w:val="21"/>
          <w:szCs w:val="21"/>
          <w:highlight w:val="none"/>
        </w:rPr>
      </w:pPr>
      <w:r>
        <w:rPr>
          <w:rFonts w:ascii="宋体" w:hAnsi="宋体" w:cs="宋体"/>
          <w:color w:val="auto"/>
          <w:kern w:val="2"/>
          <w:sz w:val="21"/>
          <w:szCs w:val="21"/>
          <w:highlight w:val="none"/>
        </w:rPr>
        <w:t>1．我方已仔细研究了</w:t>
      </w:r>
      <w:r>
        <w:rPr>
          <w:rFonts w:ascii="宋体" w:hAnsi="宋体" w:cs="宋体"/>
          <w:color w:val="auto"/>
          <w:kern w:val="2"/>
          <w:sz w:val="21"/>
          <w:szCs w:val="21"/>
          <w:highlight w:val="none"/>
          <w:u w:val="single"/>
        </w:rPr>
        <w:tab/>
      </w:r>
      <w:r>
        <w:rPr>
          <w:rFonts w:ascii="宋体" w:hAnsi="宋体" w:cs="宋体"/>
          <w:color w:val="auto"/>
          <w:kern w:val="2"/>
          <w:sz w:val="21"/>
          <w:szCs w:val="21"/>
          <w:highlight w:val="none"/>
          <w:u w:val="single"/>
        </w:rPr>
        <w:tab/>
      </w:r>
      <w:r>
        <w:rPr>
          <w:rFonts w:ascii="宋体" w:hAnsi="宋体" w:cs="宋体"/>
          <w:color w:val="auto"/>
          <w:kern w:val="2"/>
          <w:sz w:val="21"/>
          <w:szCs w:val="21"/>
          <w:highlight w:val="none"/>
          <w:u w:val="single"/>
        </w:rPr>
        <w:t xml:space="preserve">（项目名称）  </w:t>
      </w:r>
      <w:r>
        <w:rPr>
          <w:rFonts w:ascii="宋体" w:hAnsi="宋体" w:cs="宋体"/>
          <w:color w:val="auto"/>
          <w:kern w:val="2"/>
          <w:sz w:val="21"/>
          <w:szCs w:val="21"/>
          <w:highlight w:val="none"/>
        </w:rPr>
        <w:t xml:space="preserve"> 招标项目招标文件的全部内容， 愿意以人民币（大写）</w:t>
      </w:r>
      <w:r>
        <w:rPr>
          <w:rFonts w:ascii="宋体" w:hAnsi="宋体" w:cs="宋体"/>
          <w:color w:val="auto"/>
          <w:kern w:val="2"/>
          <w:sz w:val="21"/>
          <w:szCs w:val="21"/>
          <w:highlight w:val="none"/>
          <w:u w:val="single"/>
        </w:rPr>
        <w:tab/>
      </w:r>
      <w:r>
        <w:rPr>
          <w:rFonts w:ascii="宋体" w:hAnsi="宋体" w:cs="宋体"/>
          <w:color w:val="auto"/>
          <w:kern w:val="2"/>
          <w:sz w:val="21"/>
          <w:szCs w:val="21"/>
          <w:highlight w:val="none"/>
          <w:u w:val="single"/>
        </w:rPr>
        <w:t xml:space="preserve">   </w:t>
      </w:r>
      <w:r>
        <w:rPr>
          <w:rFonts w:ascii="宋体" w:hAnsi="宋体" w:cs="宋体"/>
          <w:color w:val="auto"/>
          <w:kern w:val="2"/>
          <w:sz w:val="21"/>
          <w:szCs w:val="21"/>
          <w:highlight w:val="none"/>
        </w:rPr>
        <w:t>（¥</w:t>
      </w:r>
      <w:r>
        <w:rPr>
          <w:rFonts w:ascii="宋体" w:hAnsi="宋体" w:cs="宋体"/>
          <w:color w:val="auto"/>
          <w:kern w:val="2"/>
          <w:sz w:val="21"/>
          <w:szCs w:val="21"/>
          <w:highlight w:val="none"/>
          <w:u w:val="single"/>
        </w:rPr>
        <w:tab/>
      </w:r>
      <w:r>
        <w:rPr>
          <w:rFonts w:ascii="宋体" w:hAnsi="宋体" w:cs="宋体"/>
          <w:color w:val="auto"/>
          <w:kern w:val="2"/>
          <w:sz w:val="21"/>
          <w:szCs w:val="21"/>
          <w:highlight w:val="none"/>
          <w:u w:val="single"/>
        </w:rPr>
        <w:tab/>
      </w:r>
      <w:r>
        <w:rPr>
          <w:rFonts w:ascii="宋体" w:hAnsi="宋体" w:cs="宋体"/>
          <w:color w:val="auto"/>
          <w:kern w:val="2"/>
          <w:sz w:val="21"/>
          <w:szCs w:val="21"/>
          <w:highlight w:val="none"/>
        </w:rPr>
        <w:t>）的投标报价，监理服务期限：</w:t>
      </w:r>
      <w:r>
        <w:rPr>
          <w:rFonts w:ascii="宋体" w:hAnsi="宋体" w:cs="宋体"/>
          <w:color w:val="auto"/>
          <w:kern w:val="2"/>
          <w:sz w:val="21"/>
          <w:szCs w:val="21"/>
          <w:highlight w:val="none"/>
          <w:u w:val="single"/>
        </w:rPr>
        <w:t xml:space="preserve">  按招标文件要求</w:t>
      </w:r>
      <w:r>
        <w:rPr>
          <w:rFonts w:hint="eastAsia" w:ascii="宋体" w:hAnsi="宋体" w:cs="宋体"/>
          <w:color w:val="auto"/>
          <w:kern w:val="2"/>
          <w:sz w:val="21"/>
          <w:szCs w:val="21"/>
          <w:highlight w:val="none"/>
          <w:u w:val="single"/>
        </w:rPr>
        <w:t xml:space="preserve"> </w:t>
      </w:r>
      <w:r>
        <w:rPr>
          <w:rFonts w:ascii="宋体" w:hAnsi="宋体" w:cs="宋体"/>
          <w:color w:val="auto"/>
          <w:kern w:val="2"/>
          <w:sz w:val="21"/>
          <w:szCs w:val="21"/>
          <w:highlight w:val="none"/>
        </w:rPr>
        <w:t>，按合同约定完成监理工作。</w:t>
      </w:r>
    </w:p>
    <w:p w14:paraId="7F731749">
      <w:pPr>
        <w:autoSpaceDE/>
        <w:autoSpaceDN/>
        <w:adjustRightInd/>
        <w:spacing w:line="360" w:lineRule="auto"/>
        <w:ind w:firstLine="420" w:firstLineChars="200"/>
        <w:jc w:val="both"/>
        <w:rPr>
          <w:rFonts w:ascii="宋体" w:hAnsi="宋体" w:cs="宋体"/>
          <w:color w:val="auto"/>
          <w:kern w:val="2"/>
          <w:sz w:val="21"/>
          <w:szCs w:val="21"/>
          <w:highlight w:val="none"/>
        </w:rPr>
      </w:pPr>
      <w:r>
        <w:rPr>
          <w:rFonts w:ascii="宋体" w:hAnsi="宋体" w:cs="宋体"/>
          <w:color w:val="auto"/>
          <w:kern w:val="2"/>
          <w:sz w:val="21"/>
          <w:szCs w:val="21"/>
          <w:highlight w:val="none"/>
        </w:rPr>
        <w:t>2. 我方的投标文件包括下列内容：</w:t>
      </w:r>
    </w:p>
    <w:p w14:paraId="7BD16B4F">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（1）投标函及投标函附录；</w:t>
      </w:r>
    </w:p>
    <w:p w14:paraId="6DB85336">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（2）法定代表人身份证明</w:t>
      </w:r>
      <w:r>
        <w:rPr>
          <w:rFonts w:ascii="宋体" w:hAnsi="宋体" w:cs="宋体"/>
          <w:color w:val="auto"/>
          <w:spacing w:val="8"/>
          <w:sz w:val="21"/>
          <w:szCs w:val="21"/>
          <w:highlight w:val="none"/>
        </w:rPr>
        <w:t>或附有法定代表人身份证明的授权委托书</w:t>
      </w:r>
      <w:r>
        <w:rPr>
          <w:rFonts w:ascii="宋体" w:hAnsi="宋体" w:cs="宋体"/>
          <w:color w:val="auto"/>
          <w:kern w:val="2"/>
          <w:sz w:val="21"/>
          <w:szCs w:val="21"/>
          <w:highlight w:val="none"/>
        </w:rPr>
        <w:t>；</w:t>
      </w:r>
    </w:p>
    <w:p w14:paraId="74328D02">
      <w:pPr>
        <w:autoSpaceDE/>
        <w:autoSpaceDN/>
        <w:adjustRightInd/>
        <w:spacing w:line="360" w:lineRule="auto"/>
        <w:ind w:left="585" w:leftChars="200" w:hanging="105" w:hangingChars="50"/>
        <w:jc w:val="both"/>
        <w:rPr>
          <w:rFonts w:ascii="宋体" w:hAnsi="宋体" w:cs="宋体"/>
          <w:strike w:val="0"/>
          <w:color w:val="auto"/>
          <w:kern w:val="2"/>
          <w:sz w:val="21"/>
          <w:szCs w:val="21"/>
          <w:highlight w:val="none"/>
        </w:rPr>
      </w:pPr>
      <w:r>
        <w:rPr>
          <w:rFonts w:ascii="宋体" w:hAnsi="宋体" w:cs="宋体"/>
          <w:strike w:val="0"/>
          <w:color w:val="auto"/>
          <w:kern w:val="2"/>
          <w:sz w:val="21"/>
          <w:szCs w:val="21"/>
          <w:highlight w:val="none"/>
        </w:rPr>
        <w:t>（3）联合体协议书（如有）；</w:t>
      </w:r>
    </w:p>
    <w:p w14:paraId="25B5433F">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（4）</w:t>
      </w:r>
      <w:r>
        <w:rPr>
          <w:rFonts w:ascii="宋体" w:hAnsi="宋体" w:cs="宋体"/>
          <w:color w:val="auto"/>
          <w:kern w:val="2"/>
          <w:sz w:val="21"/>
          <w:szCs w:val="21"/>
          <w:highlight w:val="none"/>
          <w:u w:val="single"/>
        </w:rPr>
        <w:t>关于投标保证金的承诺</w:t>
      </w:r>
      <w:r>
        <w:rPr>
          <w:rFonts w:ascii="宋体" w:hAnsi="宋体" w:cs="宋体"/>
          <w:color w:val="auto"/>
          <w:kern w:val="2"/>
          <w:sz w:val="21"/>
          <w:szCs w:val="21"/>
          <w:highlight w:val="none"/>
        </w:rPr>
        <w:t>；</w:t>
      </w:r>
    </w:p>
    <w:p w14:paraId="6B373F57">
      <w:pPr>
        <w:autoSpaceDE/>
        <w:autoSpaceDN/>
        <w:adjustRightInd/>
        <w:spacing w:line="360" w:lineRule="auto"/>
        <w:ind w:left="585" w:leftChars="200" w:hanging="105" w:hangingChars="50"/>
        <w:jc w:val="both"/>
        <w:rPr>
          <w:rFonts w:ascii="宋体" w:hAnsi="宋体" w:cs="宋体"/>
          <w:strike/>
          <w:color w:val="auto"/>
          <w:kern w:val="2"/>
          <w:sz w:val="21"/>
          <w:szCs w:val="21"/>
          <w:highlight w:val="none"/>
        </w:rPr>
      </w:pPr>
      <w:r>
        <w:rPr>
          <w:rFonts w:ascii="宋体" w:hAnsi="宋体" w:cs="宋体"/>
          <w:strike/>
          <w:color w:val="auto"/>
          <w:kern w:val="2"/>
          <w:sz w:val="21"/>
          <w:szCs w:val="21"/>
          <w:highlight w:val="none"/>
        </w:rPr>
        <w:t>（5）监理报酬清单；</w:t>
      </w:r>
    </w:p>
    <w:p w14:paraId="7E919F3A">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（6）资格审查资料；</w:t>
      </w:r>
    </w:p>
    <w:p w14:paraId="06E375E1">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（7）监理大纲；</w:t>
      </w:r>
    </w:p>
    <w:p w14:paraId="62CDD149">
      <w:pPr>
        <w:autoSpaceDE/>
        <w:autoSpaceDN/>
        <w:adjustRightInd/>
        <w:spacing w:line="360" w:lineRule="auto"/>
        <w:ind w:left="585" w:leftChars="200" w:hanging="105" w:hangingChars="50"/>
        <w:rPr>
          <w:rFonts w:ascii="宋体" w:hAnsi="宋体" w:cs="宋体"/>
          <w:color w:val="auto"/>
          <w:kern w:val="2"/>
          <w:sz w:val="21"/>
          <w:szCs w:val="21"/>
          <w:highlight w:val="none"/>
        </w:rPr>
      </w:pPr>
      <w:r>
        <w:rPr>
          <w:rFonts w:ascii="宋体" w:hAnsi="宋体" w:cs="宋体"/>
          <w:color w:val="auto"/>
          <w:kern w:val="2"/>
          <w:sz w:val="21"/>
          <w:szCs w:val="21"/>
          <w:highlight w:val="none"/>
        </w:rPr>
        <w:t>（8）其他资料。</w:t>
      </w:r>
    </w:p>
    <w:p w14:paraId="32E9DEFB">
      <w:pPr>
        <w:pStyle w:val="2"/>
        <w:kinsoku w:val="0"/>
        <w:overflowPunct w:val="0"/>
        <w:spacing w:line="360" w:lineRule="auto"/>
        <w:ind w:left="522" w:right="2132" w:hanging="17"/>
        <w:rPr>
          <w:color w:val="auto"/>
          <w:spacing w:val="-2"/>
          <w:highlight w:val="none"/>
        </w:rPr>
      </w:pPr>
      <w:r>
        <w:rPr>
          <w:color w:val="auto"/>
          <w:spacing w:val="-2"/>
          <w:highlight w:val="none"/>
        </w:rPr>
        <w:t>投标文件的上述组成部分如存在内容不一致的，以投标函为准。</w:t>
      </w:r>
    </w:p>
    <w:p w14:paraId="58125A89">
      <w:pPr>
        <w:autoSpaceDE/>
        <w:autoSpaceDN/>
        <w:adjustRightInd/>
        <w:spacing w:line="360" w:lineRule="auto"/>
        <w:ind w:firstLine="420" w:firstLineChars="200"/>
        <w:jc w:val="both"/>
        <w:rPr>
          <w:rFonts w:ascii="宋体" w:hAnsi="宋体" w:cs="宋体"/>
          <w:color w:val="auto"/>
          <w:kern w:val="2"/>
          <w:sz w:val="21"/>
          <w:szCs w:val="21"/>
          <w:highlight w:val="none"/>
        </w:rPr>
      </w:pPr>
      <w:r>
        <w:rPr>
          <w:rFonts w:ascii="宋体" w:hAnsi="宋体" w:cs="宋体"/>
          <w:color w:val="auto"/>
          <w:kern w:val="2"/>
          <w:sz w:val="21"/>
          <w:szCs w:val="21"/>
          <w:highlight w:val="none"/>
        </w:rPr>
        <w:t>3．我方承诺在招标文件规定的投标有效期内不撤销投标文件。</w:t>
      </w:r>
    </w:p>
    <w:p w14:paraId="59CF94C0">
      <w:pPr>
        <w:autoSpaceDE/>
        <w:autoSpaceDN/>
        <w:adjustRightInd/>
        <w:spacing w:line="360" w:lineRule="auto"/>
        <w:ind w:firstLine="420" w:firstLineChars="200"/>
        <w:jc w:val="both"/>
        <w:rPr>
          <w:rFonts w:ascii="宋体" w:hAnsi="宋体" w:cs="宋体"/>
          <w:color w:val="auto"/>
          <w:kern w:val="2"/>
          <w:sz w:val="21"/>
          <w:szCs w:val="21"/>
          <w:highlight w:val="none"/>
        </w:rPr>
      </w:pPr>
      <w:r>
        <w:rPr>
          <w:rFonts w:ascii="宋体" w:hAnsi="宋体" w:cs="宋体"/>
          <w:color w:val="auto"/>
          <w:kern w:val="2"/>
          <w:sz w:val="21"/>
          <w:szCs w:val="21"/>
          <w:highlight w:val="none"/>
        </w:rPr>
        <w:t>4．如我方中标，我方承诺：</w:t>
      </w:r>
    </w:p>
    <w:p w14:paraId="51031CDC">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（1）在收到中标通知书后，在中标通知书规定的期限内与你方签订合同；</w:t>
      </w:r>
    </w:p>
    <w:p w14:paraId="4F6A4716">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（2）在签订合同时不向你方提出附加条件；</w:t>
      </w:r>
    </w:p>
    <w:p w14:paraId="7052B6CA">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（3）按照招标文件要求提交履约保证金；</w:t>
      </w:r>
    </w:p>
    <w:p w14:paraId="58967DF9">
      <w:pPr>
        <w:autoSpaceDE/>
        <w:autoSpaceDN/>
        <w:adjustRightInd/>
        <w:spacing w:line="360" w:lineRule="auto"/>
        <w:ind w:left="585" w:leftChars="200" w:hanging="105" w:hangingChars="50"/>
        <w:jc w:val="both"/>
        <w:rPr>
          <w:rFonts w:ascii="宋体" w:hAnsi="宋体" w:cs="宋体"/>
          <w:color w:val="auto"/>
          <w:kern w:val="2"/>
          <w:sz w:val="21"/>
          <w:szCs w:val="21"/>
          <w:highlight w:val="none"/>
        </w:rPr>
      </w:pPr>
      <w:r>
        <w:rPr>
          <w:rFonts w:ascii="宋体" w:hAnsi="宋体" w:cs="宋体"/>
          <w:color w:val="auto"/>
          <w:kern w:val="2"/>
          <w:sz w:val="21"/>
          <w:szCs w:val="21"/>
          <w:highlight w:val="none"/>
        </w:rPr>
        <w:t>（4）在合同约定的期限内完成合同规定的全部义务。</w:t>
      </w:r>
    </w:p>
    <w:p w14:paraId="36CB0CB6">
      <w:pPr>
        <w:autoSpaceDE/>
        <w:autoSpaceDN/>
        <w:adjustRightInd/>
        <w:spacing w:line="360" w:lineRule="auto"/>
        <w:ind w:firstLine="420" w:firstLineChars="200"/>
        <w:jc w:val="both"/>
        <w:rPr>
          <w:rFonts w:ascii="宋体" w:hAnsi="宋体" w:cs="宋体"/>
          <w:color w:val="auto"/>
          <w:kern w:val="2"/>
          <w:sz w:val="21"/>
          <w:szCs w:val="21"/>
          <w:highlight w:val="none"/>
        </w:rPr>
      </w:pPr>
      <w:r>
        <w:rPr>
          <w:rFonts w:ascii="宋体" w:hAnsi="宋体" w:cs="宋体"/>
          <w:color w:val="auto"/>
          <w:kern w:val="2"/>
          <w:sz w:val="21"/>
          <w:szCs w:val="21"/>
          <w:highlight w:val="none"/>
        </w:rPr>
        <w:t>5．我方在此声明，所递交的投标文件及有关资料内容完整、真实和准确，且不存在第二章 “投标人须知”第 1.4.3 项规定的任何一种情形。</w:t>
      </w:r>
    </w:p>
    <w:p w14:paraId="7336BC92">
      <w:pPr>
        <w:autoSpaceDE/>
        <w:autoSpaceDN/>
        <w:adjustRightInd/>
        <w:spacing w:line="360" w:lineRule="auto"/>
        <w:ind w:firstLine="420" w:firstLineChars="200"/>
        <w:jc w:val="both"/>
        <w:rPr>
          <w:rFonts w:ascii="宋体" w:hAnsi="宋体" w:cs="宋体"/>
          <w:color w:val="auto"/>
          <w:kern w:val="2"/>
          <w:sz w:val="21"/>
          <w:szCs w:val="21"/>
          <w:highlight w:val="none"/>
        </w:rPr>
      </w:pPr>
      <w:r>
        <w:rPr>
          <w:rFonts w:ascii="宋体" w:hAnsi="宋体" w:cs="宋体"/>
          <w:color w:val="auto"/>
          <w:kern w:val="2"/>
          <w:sz w:val="21"/>
          <w:szCs w:val="21"/>
          <w:highlight w:val="none"/>
        </w:rPr>
        <w:t>6．</w:t>
      </w:r>
      <w:r>
        <w:rPr>
          <w:rFonts w:ascii="宋体" w:hAnsi="宋体" w:cs="宋体"/>
          <w:color w:val="auto"/>
          <w:kern w:val="2"/>
          <w:sz w:val="21"/>
          <w:szCs w:val="21"/>
          <w:highlight w:val="none"/>
          <w:u w:val="single"/>
        </w:rPr>
        <w:tab/>
      </w:r>
      <w:r>
        <w:rPr>
          <w:rFonts w:ascii="宋体" w:hAnsi="宋体" w:cs="宋体"/>
          <w:color w:val="auto"/>
          <w:kern w:val="2"/>
          <w:sz w:val="21"/>
          <w:szCs w:val="21"/>
          <w:highlight w:val="none"/>
        </w:rPr>
        <w:t>（其他补充说明）。</w:t>
      </w:r>
    </w:p>
    <w:p w14:paraId="43277491">
      <w:pPr>
        <w:pStyle w:val="2"/>
        <w:tabs>
          <w:tab w:val="left" w:pos="7241"/>
        </w:tabs>
        <w:kinsoku w:val="0"/>
        <w:overflowPunct w:val="0"/>
        <w:spacing w:before="36" w:line="360" w:lineRule="auto"/>
        <w:ind w:left="2621" w:right="113" w:firstLine="1260" w:firstLineChars="600"/>
        <w:rPr>
          <w:color w:val="auto"/>
          <w:highlight w:val="none"/>
        </w:rPr>
      </w:pPr>
    </w:p>
    <w:p w14:paraId="24D3C93D">
      <w:pPr>
        <w:pStyle w:val="2"/>
        <w:tabs>
          <w:tab w:val="left" w:pos="7241"/>
        </w:tabs>
        <w:kinsoku w:val="0"/>
        <w:overflowPunct w:val="0"/>
        <w:spacing w:before="36"/>
        <w:ind w:left="2621" w:right="113" w:firstLine="1260" w:firstLineChars="600"/>
        <w:rPr>
          <w:color w:val="auto"/>
          <w:highlight w:val="none"/>
        </w:rPr>
      </w:pPr>
      <w:r>
        <w:rPr>
          <w:color w:val="auto"/>
          <w:highlight w:val="none"/>
        </w:rPr>
        <w:t>投 标</w:t>
      </w:r>
      <w:r>
        <w:rPr>
          <w:color w:val="auto"/>
          <w:spacing w:val="-1"/>
          <w:highlight w:val="none"/>
        </w:rPr>
        <w:t xml:space="preserve"> </w:t>
      </w:r>
      <w:r>
        <w:rPr>
          <w:color w:val="auto"/>
          <w:highlight w:val="none"/>
        </w:rPr>
        <w:t>人：</w:t>
      </w:r>
      <w:r>
        <w:rPr>
          <w:color w:val="auto"/>
          <w:highlight w:val="none"/>
          <w:u w:val="single"/>
        </w:rPr>
        <w:t xml:space="preserve">                 </w:t>
      </w:r>
      <w:r>
        <w:rPr>
          <w:rFonts w:hAnsi="Times New Roman"/>
          <w:color w:val="auto"/>
          <w:highlight w:val="none"/>
          <w:u w:val="single"/>
        </w:rPr>
        <w:t xml:space="preserve">       </w:t>
      </w:r>
      <w:r>
        <w:rPr>
          <w:color w:val="auto"/>
          <w:highlight w:val="none"/>
        </w:rPr>
        <w:t>（盖单位章）</w:t>
      </w:r>
    </w:p>
    <w:p w14:paraId="08F21346">
      <w:pPr>
        <w:widowControl/>
        <w:kinsoku w:val="0"/>
        <w:snapToGrid w:val="0"/>
        <w:ind w:left="3840" w:leftChars="1600" w:right="253"/>
        <w:textAlignment w:val="baseline"/>
        <w:rPr>
          <w:rFonts w:ascii="宋体" w:hAnsi="宋体" w:cs="宋体"/>
          <w:color w:val="auto"/>
          <w:spacing w:val="-4"/>
          <w:sz w:val="21"/>
          <w:szCs w:val="21"/>
          <w:highlight w:val="none"/>
        </w:rPr>
      </w:pPr>
      <w:r>
        <w:rPr>
          <w:rFonts w:ascii="宋体" w:hAnsi="宋体" w:cs="宋体"/>
          <w:color w:val="auto"/>
          <w:spacing w:val="-8"/>
          <w:sz w:val="21"/>
          <w:szCs w:val="21"/>
          <w:highlight w:val="none"/>
        </w:rPr>
        <w:t>法定</w:t>
      </w:r>
      <w:r>
        <w:rPr>
          <w:rFonts w:ascii="宋体" w:hAnsi="宋体" w:cs="宋体"/>
          <w:color w:val="auto"/>
          <w:spacing w:val="-4"/>
          <w:sz w:val="21"/>
          <w:szCs w:val="21"/>
          <w:highlight w:val="none"/>
        </w:rPr>
        <w:t>代表人：</w:t>
      </w:r>
      <w:r>
        <w:rPr>
          <w:rFonts w:ascii="宋体" w:hAnsi="宋体" w:cs="宋体"/>
          <w:color w:val="auto"/>
          <w:spacing w:val="-4"/>
          <w:sz w:val="21"/>
          <w:szCs w:val="21"/>
          <w:highlight w:val="none"/>
          <w:u w:val="single"/>
        </w:rPr>
        <w:t xml:space="preserve">            </w:t>
      </w:r>
      <w:r>
        <w:rPr>
          <w:rFonts w:ascii="宋体" w:hAnsi="宋体" w:cs="宋体"/>
          <w:color w:val="auto"/>
          <w:spacing w:val="-4"/>
          <w:sz w:val="21"/>
          <w:szCs w:val="21"/>
          <w:highlight w:val="none"/>
        </w:rPr>
        <w:t>(签字或盖章)</w:t>
      </w:r>
    </w:p>
    <w:p w14:paraId="6FBDDB18">
      <w:pPr>
        <w:widowControl/>
        <w:kinsoku w:val="0"/>
        <w:snapToGrid w:val="0"/>
        <w:ind w:left="3840" w:leftChars="1600" w:right="253"/>
        <w:textAlignment w:val="baseline"/>
        <w:rPr>
          <w:rFonts w:ascii="宋体" w:hAnsi="宋体" w:cs="宋体"/>
          <w:color w:val="auto"/>
          <w:spacing w:val="-4"/>
          <w:sz w:val="21"/>
          <w:szCs w:val="21"/>
          <w:highlight w:val="none"/>
        </w:rPr>
      </w:pPr>
      <w:r>
        <w:rPr>
          <w:rFonts w:ascii="宋体" w:hAnsi="宋体" w:cs="宋体"/>
          <w:color w:val="auto"/>
          <w:spacing w:val="-4"/>
          <w:sz w:val="21"/>
          <w:szCs w:val="21"/>
          <w:highlight w:val="none"/>
        </w:rPr>
        <w:t>委托代理人：</w:t>
      </w:r>
      <w:r>
        <w:rPr>
          <w:rFonts w:ascii="宋体" w:hAnsi="宋体" w:cs="宋体"/>
          <w:color w:val="auto"/>
          <w:spacing w:val="-4"/>
          <w:sz w:val="21"/>
          <w:szCs w:val="21"/>
          <w:highlight w:val="none"/>
          <w:u w:val="single"/>
        </w:rPr>
        <w:t xml:space="preserve">            </w:t>
      </w:r>
      <w:r>
        <w:rPr>
          <w:rFonts w:ascii="宋体" w:hAnsi="宋体" w:cs="宋体"/>
          <w:color w:val="auto"/>
          <w:spacing w:val="-4"/>
          <w:sz w:val="21"/>
          <w:szCs w:val="21"/>
          <w:highlight w:val="none"/>
        </w:rPr>
        <w:t>(签字)</w:t>
      </w:r>
    </w:p>
    <w:p w14:paraId="10A8B8A5">
      <w:pPr>
        <w:pStyle w:val="38"/>
        <w:widowControl/>
        <w:kinsoku w:val="0"/>
        <w:snapToGrid w:val="0"/>
        <w:ind w:left="3840" w:leftChars="1600"/>
        <w:jc w:val="left"/>
        <w:textAlignment w:val="baseline"/>
        <w:rPr>
          <w:rFonts w:ascii="宋体" w:hAnsi="宋体" w:cs="宋体"/>
          <w:b w:val="0"/>
          <w:snapToGrid w:val="0"/>
          <w:color w:val="auto"/>
          <w:spacing w:val="-4"/>
          <w:sz w:val="21"/>
          <w:szCs w:val="21"/>
          <w:highlight w:val="none"/>
        </w:rPr>
      </w:pPr>
      <w:r>
        <w:rPr>
          <w:rFonts w:ascii="宋体" w:hAnsi="宋体" w:cs="宋体"/>
          <w:b w:val="0"/>
          <w:snapToGrid w:val="0"/>
          <w:color w:val="auto"/>
          <w:spacing w:val="-4"/>
          <w:sz w:val="21"/>
          <w:szCs w:val="21"/>
          <w:highlight w:val="none"/>
        </w:rPr>
        <w:t>项目负责人</w:t>
      </w:r>
      <w:r>
        <w:rPr>
          <w:rFonts w:hint="eastAsia" w:ascii="宋体" w:hAnsi="宋体" w:cs="宋体"/>
          <w:b w:val="0"/>
          <w:snapToGrid w:val="0"/>
          <w:color w:val="auto"/>
          <w:spacing w:val="-4"/>
          <w:sz w:val="21"/>
          <w:szCs w:val="21"/>
          <w:highlight w:val="none"/>
        </w:rPr>
        <w:t>（总监理工程师）</w:t>
      </w:r>
      <w:r>
        <w:rPr>
          <w:rFonts w:ascii="宋体" w:hAnsi="宋体" w:cs="宋体"/>
          <w:b w:val="0"/>
          <w:snapToGrid w:val="0"/>
          <w:color w:val="auto"/>
          <w:spacing w:val="-4"/>
          <w:sz w:val="21"/>
          <w:szCs w:val="21"/>
          <w:highlight w:val="none"/>
        </w:rPr>
        <w:t>：</w:t>
      </w:r>
      <w:r>
        <w:rPr>
          <w:rFonts w:ascii="宋体" w:hAnsi="宋体" w:cs="宋体"/>
          <w:color w:val="auto"/>
          <w:spacing w:val="-4"/>
          <w:sz w:val="21"/>
          <w:szCs w:val="21"/>
          <w:highlight w:val="none"/>
          <w:u w:val="single"/>
        </w:rPr>
        <w:t xml:space="preserve">            </w:t>
      </w:r>
      <w:r>
        <w:rPr>
          <w:rFonts w:ascii="宋体" w:hAnsi="宋体" w:cs="宋体"/>
          <w:b w:val="0"/>
          <w:color w:val="auto"/>
          <w:spacing w:val="-4"/>
          <w:sz w:val="21"/>
          <w:szCs w:val="21"/>
          <w:highlight w:val="none"/>
        </w:rPr>
        <w:t>(签字)</w:t>
      </w:r>
    </w:p>
    <w:p w14:paraId="2248D6CD">
      <w:pPr>
        <w:pStyle w:val="2"/>
        <w:tabs>
          <w:tab w:val="left" w:pos="3232"/>
          <w:tab w:val="left" w:pos="8529"/>
        </w:tabs>
        <w:kinsoku w:val="0"/>
        <w:overflowPunct w:val="0"/>
        <w:spacing w:before="36"/>
        <w:ind w:left="2601" w:firstLine="1260" w:firstLineChars="600"/>
        <w:rPr>
          <w:rFonts w:ascii="Times New Roman" w:hAnsi="Times New Roman" w:eastAsia="Times New Roman"/>
          <w:color w:val="auto"/>
          <w:highlight w:val="none"/>
        </w:rPr>
      </w:pPr>
      <w:r>
        <w:rPr>
          <w:color w:val="auto"/>
          <w:highlight w:val="none"/>
        </w:rPr>
        <w:t>地    址：</w:t>
      </w:r>
      <w:r>
        <w:rPr>
          <w:rFonts w:hint="eastAsia" w:ascii="Times New Roman" w:hAnsi="Times New Roman" w:eastAsia="Times New Roman"/>
          <w:color w:val="auto"/>
          <w:highlight w:val="none"/>
          <w:u w:val="single"/>
        </w:rPr>
        <w:t xml:space="preserve"> </w:t>
      </w:r>
      <w:r>
        <w:rPr>
          <w:rFonts w:hAnsi="Times New Roman"/>
          <w:color w:val="auto"/>
          <w:highlight w:val="none"/>
          <w:u w:val="single"/>
        </w:rPr>
        <w:t xml:space="preserve">                                                  </w:t>
      </w:r>
    </w:p>
    <w:p w14:paraId="4BB94671">
      <w:pPr>
        <w:pStyle w:val="2"/>
        <w:tabs>
          <w:tab w:val="left" w:pos="3232"/>
          <w:tab w:val="left" w:pos="8529"/>
        </w:tabs>
        <w:kinsoku w:val="0"/>
        <w:overflowPunct w:val="0"/>
        <w:spacing w:before="36"/>
        <w:ind w:firstLine="3360" w:firstLineChars="1600"/>
        <w:rPr>
          <w:rFonts w:ascii="Times New Roman" w:hAnsi="Times New Roman" w:eastAsia="Times New Roman"/>
          <w:color w:val="auto"/>
          <w:highlight w:val="none"/>
        </w:rPr>
      </w:pPr>
      <w:r>
        <w:rPr>
          <w:color w:val="auto"/>
          <w:highlight w:val="none"/>
        </w:rPr>
        <w:t>网    址：</w:t>
      </w:r>
      <w:r>
        <w:rPr>
          <w:rFonts w:hint="eastAsia" w:ascii="Times New Roman" w:hAnsi="Times New Roman" w:eastAsia="Times New Roman"/>
          <w:color w:val="auto"/>
          <w:highlight w:val="none"/>
          <w:u w:val="single"/>
        </w:rPr>
        <w:t xml:space="preserve"> </w:t>
      </w:r>
      <w:r>
        <w:rPr>
          <w:rFonts w:hAnsi="Times New Roman"/>
          <w:color w:val="auto"/>
          <w:highlight w:val="none"/>
          <w:u w:val="single"/>
        </w:rPr>
        <w:t xml:space="preserve">                                                   </w:t>
      </w:r>
    </w:p>
    <w:p w14:paraId="6C7EF5A7">
      <w:pPr>
        <w:pStyle w:val="2"/>
        <w:tabs>
          <w:tab w:val="left" w:pos="3232"/>
          <w:tab w:val="left" w:pos="8529"/>
        </w:tabs>
        <w:kinsoku w:val="0"/>
        <w:overflowPunct w:val="0"/>
        <w:spacing w:before="36"/>
        <w:ind w:firstLine="3360" w:firstLineChars="1600"/>
        <w:rPr>
          <w:rFonts w:ascii="Times New Roman" w:hAnsi="Times New Roman" w:eastAsia="Times New Roman"/>
          <w:color w:val="auto"/>
          <w:highlight w:val="none"/>
          <w:u w:val="single"/>
        </w:rPr>
      </w:pPr>
      <w:r>
        <w:rPr>
          <w:color w:val="auto"/>
          <w:highlight w:val="none"/>
        </w:rPr>
        <w:t>电    话：</w:t>
      </w:r>
      <w:r>
        <w:rPr>
          <w:color w:val="auto"/>
          <w:highlight w:val="none"/>
          <w:u w:val="single"/>
        </w:rPr>
        <w:t xml:space="preserve">                          </w:t>
      </w:r>
    </w:p>
    <w:p w14:paraId="07F3FBF3">
      <w:pPr>
        <w:pStyle w:val="2"/>
        <w:tabs>
          <w:tab w:val="left" w:pos="3232"/>
          <w:tab w:val="left" w:pos="8529"/>
        </w:tabs>
        <w:kinsoku w:val="0"/>
        <w:overflowPunct w:val="0"/>
        <w:spacing w:before="36"/>
        <w:ind w:firstLine="3360" w:firstLineChars="1600"/>
        <w:rPr>
          <w:rFonts w:ascii="Times New Roman" w:hAnsi="Times New Roman" w:eastAsia="Times New Roman"/>
          <w:color w:val="auto"/>
          <w:highlight w:val="none"/>
          <w:u w:val="single"/>
        </w:rPr>
      </w:pPr>
      <w:r>
        <w:rPr>
          <w:color w:val="auto"/>
          <w:highlight w:val="none"/>
        </w:rPr>
        <w:t>传    真：</w:t>
      </w:r>
      <w:r>
        <w:rPr>
          <w:color w:val="auto"/>
          <w:highlight w:val="none"/>
          <w:u w:val="single"/>
        </w:rPr>
        <w:t xml:space="preserve">                          </w:t>
      </w:r>
    </w:p>
    <w:p w14:paraId="68F3BE36">
      <w:pPr>
        <w:pStyle w:val="2"/>
        <w:tabs>
          <w:tab w:val="left" w:pos="8529"/>
        </w:tabs>
        <w:kinsoku w:val="0"/>
        <w:overflowPunct w:val="0"/>
        <w:spacing w:before="36"/>
        <w:ind w:left="2601" w:firstLine="1260" w:firstLineChars="600"/>
        <w:rPr>
          <w:rFonts w:ascii="Times New Roman" w:hAnsi="Times New Roman" w:eastAsia="Times New Roman"/>
          <w:color w:val="auto"/>
          <w:highlight w:val="none"/>
          <w:u w:val="single"/>
        </w:rPr>
      </w:pPr>
      <w:r>
        <w:rPr>
          <w:color w:val="auto"/>
          <w:highlight w:val="none"/>
        </w:rPr>
        <w:t>邮政编码：</w:t>
      </w:r>
      <w:r>
        <w:rPr>
          <w:rFonts w:hint="eastAsia" w:ascii="Times New Roman" w:hAnsi="Times New Roman" w:eastAsia="Times New Roman"/>
          <w:color w:val="auto"/>
          <w:highlight w:val="none"/>
          <w:u w:val="single"/>
        </w:rPr>
        <w:t xml:space="preserve"> </w:t>
      </w:r>
      <w:r>
        <w:rPr>
          <w:rFonts w:hAnsi="Times New Roman"/>
          <w:color w:val="auto"/>
          <w:highlight w:val="none"/>
          <w:u w:val="single"/>
        </w:rPr>
        <w:t xml:space="preserve">                                                   </w:t>
      </w:r>
    </w:p>
    <w:p w14:paraId="39406E8C">
      <w:pPr>
        <w:pStyle w:val="2"/>
        <w:tabs>
          <w:tab w:val="left" w:pos="8529"/>
        </w:tabs>
        <w:kinsoku w:val="0"/>
        <w:overflowPunct w:val="0"/>
        <w:spacing w:before="36"/>
        <w:ind w:left="2601"/>
        <w:rPr>
          <w:rFonts w:ascii="Times New Roman" w:hAnsi="Times New Roman" w:eastAsia="Times New Roman"/>
          <w:color w:val="auto"/>
          <w:highlight w:val="none"/>
          <w:u w:val="single"/>
        </w:rPr>
      </w:pPr>
      <w:r>
        <w:rPr>
          <w:rFonts w:hAnsi="Times New Roman"/>
          <w:color w:val="auto"/>
          <w:highlight w:val="none"/>
        </w:rPr>
        <w:t xml:space="preserve">                  </w:t>
      </w:r>
      <w:r>
        <w:rPr>
          <w:rFonts w:hAnsi="Times New Roman"/>
          <w:color w:val="auto"/>
          <w:highlight w:val="none"/>
          <w:u w:val="single"/>
        </w:rPr>
        <w:t xml:space="preserve">       </w:t>
      </w:r>
      <w:r>
        <w:rPr>
          <w:rFonts w:hAnsi="Times New Roman"/>
          <w:color w:val="auto"/>
          <w:highlight w:val="none"/>
        </w:rPr>
        <w:t>年</w:t>
      </w:r>
      <w:r>
        <w:rPr>
          <w:rFonts w:hAnsi="Times New Roman"/>
          <w:color w:val="auto"/>
          <w:highlight w:val="none"/>
          <w:u w:val="single"/>
        </w:rPr>
        <w:t xml:space="preserve">       </w:t>
      </w:r>
      <w:r>
        <w:rPr>
          <w:rFonts w:hAnsi="Times New Roman"/>
          <w:color w:val="auto"/>
          <w:highlight w:val="none"/>
        </w:rPr>
        <w:t>月</w:t>
      </w:r>
      <w:r>
        <w:rPr>
          <w:rFonts w:hAnsi="Times New Roman"/>
          <w:color w:val="auto"/>
          <w:highlight w:val="none"/>
          <w:u w:val="single"/>
        </w:rPr>
        <w:t xml:space="preserve">      </w:t>
      </w:r>
      <w:r>
        <w:rPr>
          <w:rFonts w:hAnsi="Times New Roman"/>
          <w:color w:val="auto"/>
          <w:highlight w:val="none"/>
        </w:rPr>
        <w:t>日</w:t>
      </w:r>
    </w:p>
    <w:p w14:paraId="39585DD5">
      <w:pPr>
        <w:pStyle w:val="2"/>
        <w:tabs>
          <w:tab w:val="left" w:pos="631"/>
          <w:tab w:val="left" w:pos="1471"/>
          <w:tab w:val="left" w:pos="2311"/>
        </w:tabs>
        <w:kinsoku w:val="0"/>
        <w:overflowPunct w:val="0"/>
        <w:spacing w:before="36"/>
        <w:ind w:left="0" w:right="117"/>
        <w:jc w:val="right"/>
        <w:rPr>
          <w:color w:val="auto"/>
          <w:highlight w:val="none"/>
        </w:rPr>
        <w:sectPr>
          <w:footerReference r:id="rId11" w:type="default"/>
          <w:pgSz w:w="11905" w:h="16838"/>
          <w:pgMar w:top="1134" w:right="1417" w:bottom="1134" w:left="1417" w:header="992" w:footer="992" w:gutter="0"/>
          <w:cols w:space="720" w:num="1"/>
        </w:sectPr>
      </w:pPr>
    </w:p>
    <w:p w14:paraId="1F8A1052">
      <w:pPr>
        <w:pStyle w:val="6"/>
        <w:rPr>
          <w:b/>
          <w:color w:val="auto"/>
          <w:highlight w:val="none"/>
        </w:rPr>
      </w:pPr>
      <w:bookmarkStart w:id="166" w:name="bookmark178"/>
      <w:bookmarkEnd w:id="166"/>
      <w:bookmarkStart w:id="167" w:name="_Toc8767"/>
      <w:r>
        <w:rPr>
          <w:b/>
          <w:color w:val="auto"/>
          <w:highlight w:val="none"/>
        </w:rPr>
        <w:t>（二）投标函附录</w:t>
      </w:r>
      <w:bookmarkEnd w:id="167"/>
    </w:p>
    <w:p w14:paraId="611A27B4">
      <w:pPr>
        <w:pStyle w:val="2"/>
        <w:kinsoku w:val="0"/>
        <w:overflowPunct w:val="0"/>
        <w:ind w:left="0"/>
        <w:rPr>
          <w:color w:val="auto"/>
          <w:sz w:val="20"/>
          <w:highlight w:val="none"/>
        </w:rPr>
      </w:pPr>
    </w:p>
    <w:p w14:paraId="20245BC7">
      <w:pPr>
        <w:pStyle w:val="2"/>
        <w:kinsoku w:val="0"/>
        <w:overflowPunct w:val="0"/>
        <w:spacing w:before="11"/>
        <w:ind w:left="0"/>
        <w:rPr>
          <w:color w:val="auto"/>
          <w:sz w:val="22"/>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92"/>
        <w:gridCol w:w="5471"/>
        <w:gridCol w:w="978"/>
      </w:tblGrid>
      <w:tr w14:paraId="105C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11A307D3">
            <w:pPr>
              <w:jc w:val="center"/>
              <w:rPr>
                <w:rFonts w:ascii="宋体" w:hAnsi="宋体"/>
                <w:b/>
                <w:bCs/>
                <w:color w:val="auto"/>
                <w:highlight w:val="none"/>
              </w:rPr>
            </w:pPr>
            <w:r>
              <w:rPr>
                <w:rFonts w:hint="eastAsia" w:ascii="宋体" w:hAnsi="宋体"/>
                <w:b/>
                <w:bCs/>
                <w:color w:val="auto"/>
                <w:highlight w:val="none"/>
              </w:rPr>
              <w:t>序号</w:t>
            </w:r>
          </w:p>
        </w:tc>
        <w:tc>
          <w:tcPr>
            <w:tcW w:w="1692" w:type="dxa"/>
            <w:tcBorders>
              <w:top w:val="single" w:color="auto" w:sz="4" w:space="0"/>
              <w:left w:val="nil"/>
              <w:bottom w:val="single" w:color="auto" w:sz="4" w:space="0"/>
              <w:right w:val="single" w:color="auto" w:sz="4" w:space="0"/>
            </w:tcBorders>
            <w:vAlign w:val="center"/>
          </w:tcPr>
          <w:p w14:paraId="13AB8D7D">
            <w:pPr>
              <w:jc w:val="center"/>
              <w:rPr>
                <w:rFonts w:ascii="宋体" w:hAnsi="宋体"/>
                <w:b/>
                <w:bCs/>
                <w:color w:val="auto"/>
                <w:highlight w:val="none"/>
              </w:rPr>
            </w:pPr>
            <w:r>
              <w:rPr>
                <w:rFonts w:hint="eastAsia" w:ascii="宋体" w:hAnsi="宋体"/>
                <w:b/>
                <w:bCs/>
                <w:color w:val="auto"/>
                <w:highlight w:val="none"/>
              </w:rPr>
              <w:t>条款名称</w:t>
            </w:r>
          </w:p>
        </w:tc>
        <w:tc>
          <w:tcPr>
            <w:tcW w:w="5471" w:type="dxa"/>
            <w:tcBorders>
              <w:top w:val="single" w:color="auto" w:sz="4" w:space="0"/>
              <w:left w:val="nil"/>
              <w:bottom w:val="single" w:color="auto" w:sz="4" w:space="0"/>
              <w:right w:val="single" w:color="auto" w:sz="4" w:space="0"/>
            </w:tcBorders>
            <w:vAlign w:val="center"/>
          </w:tcPr>
          <w:p w14:paraId="7379062F">
            <w:pPr>
              <w:jc w:val="center"/>
              <w:rPr>
                <w:rFonts w:ascii="宋体" w:hAnsi="宋体"/>
                <w:b/>
                <w:bCs/>
                <w:color w:val="auto"/>
                <w:highlight w:val="none"/>
              </w:rPr>
            </w:pPr>
            <w:r>
              <w:rPr>
                <w:rFonts w:hint="eastAsia" w:ascii="宋体" w:hAnsi="宋体"/>
                <w:b/>
                <w:bCs/>
                <w:color w:val="auto"/>
                <w:highlight w:val="none"/>
              </w:rPr>
              <w:t>约定内容</w:t>
            </w:r>
          </w:p>
        </w:tc>
        <w:tc>
          <w:tcPr>
            <w:tcW w:w="978" w:type="dxa"/>
            <w:tcBorders>
              <w:top w:val="single" w:color="auto" w:sz="4" w:space="0"/>
              <w:left w:val="nil"/>
              <w:bottom w:val="single" w:color="auto" w:sz="4" w:space="0"/>
              <w:right w:val="single" w:color="auto" w:sz="4" w:space="0"/>
            </w:tcBorders>
            <w:vAlign w:val="center"/>
          </w:tcPr>
          <w:p w14:paraId="265639DE">
            <w:pPr>
              <w:jc w:val="center"/>
              <w:rPr>
                <w:rFonts w:ascii="宋体" w:hAnsi="宋体"/>
                <w:b/>
                <w:bCs/>
                <w:color w:val="auto"/>
                <w:highlight w:val="none"/>
              </w:rPr>
            </w:pPr>
            <w:r>
              <w:rPr>
                <w:rFonts w:hint="eastAsia" w:ascii="宋体" w:hAnsi="宋体"/>
                <w:b/>
                <w:bCs/>
                <w:color w:val="auto"/>
                <w:highlight w:val="none"/>
              </w:rPr>
              <w:t>备注</w:t>
            </w:r>
          </w:p>
        </w:tc>
      </w:tr>
      <w:tr w14:paraId="1AE9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08E29AC">
            <w:pPr>
              <w:jc w:val="center"/>
              <w:rPr>
                <w:rFonts w:ascii="宋体" w:hAnsi="宋体"/>
                <w:color w:val="auto"/>
                <w:highlight w:val="none"/>
              </w:rPr>
            </w:pPr>
            <w:r>
              <w:rPr>
                <w:rFonts w:hint="eastAsia" w:ascii="宋体" w:hAnsi="宋体"/>
                <w:color w:val="auto"/>
                <w:highlight w:val="none"/>
              </w:rPr>
              <w:t>1</w:t>
            </w:r>
          </w:p>
        </w:tc>
        <w:tc>
          <w:tcPr>
            <w:tcW w:w="1692" w:type="dxa"/>
            <w:tcBorders>
              <w:top w:val="single" w:color="auto" w:sz="4" w:space="0"/>
              <w:left w:val="nil"/>
              <w:bottom w:val="single" w:color="auto" w:sz="4" w:space="0"/>
              <w:right w:val="single" w:color="auto" w:sz="4" w:space="0"/>
            </w:tcBorders>
            <w:vAlign w:val="center"/>
          </w:tcPr>
          <w:p w14:paraId="6964A48E">
            <w:pPr>
              <w:jc w:val="center"/>
              <w:rPr>
                <w:rFonts w:ascii="宋体" w:hAnsi="宋体"/>
                <w:color w:val="auto"/>
                <w:highlight w:val="none"/>
              </w:rPr>
            </w:pPr>
            <w:r>
              <w:rPr>
                <w:rFonts w:hint="eastAsia" w:ascii="宋体" w:hAnsi="宋体"/>
                <w:color w:val="auto"/>
                <w:highlight w:val="none"/>
              </w:rPr>
              <w:t>总监理工程师</w:t>
            </w:r>
          </w:p>
        </w:tc>
        <w:tc>
          <w:tcPr>
            <w:tcW w:w="5471" w:type="dxa"/>
            <w:tcBorders>
              <w:top w:val="single" w:color="auto" w:sz="4" w:space="0"/>
              <w:left w:val="nil"/>
              <w:bottom w:val="single" w:color="auto" w:sz="4" w:space="0"/>
              <w:right w:val="single" w:color="auto" w:sz="4" w:space="0"/>
            </w:tcBorders>
            <w:vAlign w:val="center"/>
          </w:tcPr>
          <w:p w14:paraId="0EBD0BEB">
            <w:pPr>
              <w:rPr>
                <w:rFonts w:ascii="宋体" w:hAnsi="宋体"/>
                <w:color w:val="auto"/>
                <w:highlight w:val="none"/>
                <w:u w:val="single"/>
              </w:rPr>
            </w:pPr>
            <w:r>
              <w:rPr>
                <w:rFonts w:hint="eastAsia" w:ascii="宋体" w:hAnsi="宋体"/>
                <w:color w:val="auto"/>
                <w:highlight w:val="none"/>
              </w:rPr>
              <w:t>姓名：</w:t>
            </w:r>
            <w:r>
              <w:rPr>
                <w:rFonts w:hint="eastAsia" w:ascii="宋体" w:hAnsi="宋体"/>
                <w:color w:val="auto"/>
                <w:highlight w:val="none"/>
                <w:u w:val="single"/>
              </w:rPr>
              <w:t xml:space="preserve">               </w:t>
            </w:r>
          </w:p>
          <w:p w14:paraId="736FB90B">
            <w:pPr>
              <w:rPr>
                <w:rFonts w:ascii="宋体" w:hAnsi="宋体"/>
                <w:color w:val="auto"/>
                <w:highlight w:val="none"/>
              </w:rPr>
            </w:pPr>
            <w:r>
              <w:rPr>
                <w:rFonts w:hint="eastAsia" w:ascii="宋体" w:hAnsi="宋体"/>
                <w:color w:val="auto"/>
                <w:highlight w:val="none"/>
              </w:rPr>
              <w:t>技术职称：</w:t>
            </w:r>
            <w:r>
              <w:rPr>
                <w:rFonts w:hint="eastAsia" w:ascii="宋体" w:hAnsi="宋体"/>
                <w:color w:val="auto"/>
                <w:highlight w:val="none"/>
                <w:u w:val="single"/>
              </w:rPr>
              <w:t xml:space="preserve">           </w:t>
            </w:r>
          </w:p>
          <w:p w14:paraId="66965FC8">
            <w:pPr>
              <w:rPr>
                <w:rFonts w:ascii="宋体" w:hAnsi="宋体"/>
                <w:color w:val="auto"/>
                <w:highlight w:val="none"/>
              </w:rPr>
            </w:pPr>
            <w:r>
              <w:rPr>
                <w:rFonts w:hint="eastAsia" w:ascii="宋体" w:hAnsi="宋体"/>
                <w:color w:val="auto"/>
                <w:highlight w:val="none"/>
              </w:rPr>
              <w:t>注册证号：</w:t>
            </w:r>
            <w:r>
              <w:rPr>
                <w:rFonts w:hint="eastAsia" w:ascii="宋体" w:hAnsi="宋体"/>
                <w:color w:val="auto"/>
                <w:highlight w:val="none"/>
                <w:u w:val="single"/>
              </w:rPr>
              <w:t xml:space="preserve">           </w:t>
            </w:r>
          </w:p>
        </w:tc>
        <w:tc>
          <w:tcPr>
            <w:tcW w:w="978" w:type="dxa"/>
            <w:tcBorders>
              <w:top w:val="single" w:color="auto" w:sz="4" w:space="0"/>
              <w:left w:val="nil"/>
              <w:bottom w:val="single" w:color="auto" w:sz="4" w:space="0"/>
              <w:right w:val="single" w:color="auto" w:sz="4" w:space="0"/>
            </w:tcBorders>
            <w:vAlign w:val="center"/>
          </w:tcPr>
          <w:p w14:paraId="192D4B3A">
            <w:pPr>
              <w:jc w:val="center"/>
              <w:rPr>
                <w:rFonts w:ascii="宋体" w:hAnsi="宋体"/>
                <w:b/>
                <w:bCs/>
                <w:color w:val="auto"/>
                <w:highlight w:val="none"/>
              </w:rPr>
            </w:pPr>
          </w:p>
        </w:tc>
      </w:tr>
      <w:tr w14:paraId="2BA7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1DDB4DCC">
            <w:pPr>
              <w:jc w:val="center"/>
              <w:rPr>
                <w:rFonts w:ascii="宋体" w:hAnsi="宋体"/>
                <w:color w:val="auto"/>
                <w:highlight w:val="none"/>
              </w:rPr>
            </w:pPr>
            <w:r>
              <w:rPr>
                <w:rFonts w:hint="eastAsia" w:ascii="宋体" w:hAnsi="宋体"/>
                <w:color w:val="auto"/>
                <w:highlight w:val="none"/>
              </w:rPr>
              <w:t>2</w:t>
            </w:r>
          </w:p>
        </w:tc>
        <w:tc>
          <w:tcPr>
            <w:tcW w:w="1692" w:type="dxa"/>
            <w:tcBorders>
              <w:top w:val="single" w:color="auto" w:sz="4" w:space="0"/>
              <w:left w:val="nil"/>
              <w:bottom w:val="single" w:color="auto" w:sz="4" w:space="0"/>
              <w:right w:val="single" w:color="auto" w:sz="4" w:space="0"/>
            </w:tcBorders>
            <w:vAlign w:val="center"/>
          </w:tcPr>
          <w:p w14:paraId="63D163BB">
            <w:pPr>
              <w:jc w:val="center"/>
              <w:rPr>
                <w:rFonts w:ascii="宋体" w:hAnsi="宋体"/>
                <w:color w:val="auto"/>
                <w:highlight w:val="none"/>
              </w:rPr>
            </w:pPr>
            <w:r>
              <w:rPr>
                <w:rFonts w:hint="eastAsia" w:ascii="宋体" w:hAnsi="宋体"/>
                <w:color w:val="auto"/>
                <w:highlight w:val="none"/>
              </w:rPr>
              <w:t>工程监理服务期限</w:t>
            </w:r>
          </w:p>
        </w:tc>
        <w:tc>
          <w:tcPr>
            <w:tcW w:w="5471" w:type="dxa"/>
            <w:tcBorders>
              <w:top w:val="single" w:color="auto" w:sz="4" w:space="0"/>
              <w:left w:val="nil"/>
              <w:bottom w:val="single" w:color="auto" w:sz="4" w:space="0"/>
              <w:right w:val="single" w:color="auto" w:sz="4" w:space="0"/>
            </w:tcBorders>
            <w:vAlign w:val="center"/>
          </w:tcPr>
          <w:p w14:paraId="38977A77">
            <w:pPr>
              <w:rPr>
                <w:rFonts w:ascii="宋体" w:hAnsi="宋体"/>
                <w:color w:val="auto"/>
                <w:highlight w:val="none"/>
              </w:rPr>
            </w:pPr>
            <w:r>
              <w:rPr>
                <w:rFonts w:hint="eastAsia" w:ascii="宋体" w:hAnsi="宋体"/>
                <w:color w:val="auto"/>
                <w:highlight w:val="none"/>
              </w:rPr>
              <w:t>按招标文件要求</w:t>
            </w:r>
          </w:p>
        </w:tc>
        <w:tc>
          <w:tcPr>
            <w:tcW w:w="978" w:type="dxa"/>
            <w:tcBorders>
              <w:top w:val="single" w:color="auto" w:sz="4" w:space="0"/>
              <w:left w:val="nil"/>
              <w:bottom w:val="single" w:color="auto" w:sz="4" w:space="0"/>
              <w:right w:val="single" w:color="auto" w:sz="4" w:space="0"/>
            </w:tcBorders>
            <w:vAlign w:val="center"/>
          </w:tcPr>
          <w:p w14:paraId="3BD2E923">
            <w:pPr>
              <w:jc w:val="center"/>
              <w:rPr>
                <w:rFonts w:ascii="宋体" w:hAnsi="宋体"/>
                <w:b/>
                <w:bCs/>
                <w:color w:val="auto"/>
                <w:highlight w:val="none"/>
              </w:rPr>
            </w:pPr>
          </w:p>
        </w:tc>
      </w:tr>
      <w:tr w14:paraId="738E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B9ED10B">
            <w:pPr>
              <w:jc w:val="center"/>
              <w:rPr>
                <w:rFonts w:ascii="宋体" w:hAnsi="宋体"/>
                <w:color w:val="auto"/>
                <w:highlight w:val="none"/>
              </w:rPr>
            </w:pPr>
            <w:r>
              <w:rPr>
                <w:rFonts w:hint="eastAsia" w:ascii="宋体" w:hAnsi="宋体"/>
                <w:color w:val="auto"/>
                <w:highlight w:val="none"/>
              </w:rPr>
              <w:t>3</w:t>
            </w:r>
          </w:p>
        </w:tc>
        <w:tc>
          <w:tcPr>
            <w:tcW w:w="1692" w:type="dxa"/>
            <w:tcBorders>
              <w:top w:val="single" w:color="auto" w:sz="4" w:space="0"/>
              <w:left w:val="nil"/>
              <w:bottom w:val="single" w:color="auto" w:sz="4" w:space="0"/>
              <w:right w:val="single" w:color="auto" w:sz="4" w:space="0"/>
            </w:tcBorders>
            <w:vAlign w:val="center"/>
          </w:tcPr>
          <w:p w14:paraId="7D92FAE5">
            <w:pPr>
              <w:jc w:val="center"/>
              <w:rPr>
                <w:rFonts w:ascii="宋体" w:hAnsi="宋体"/>
                <w:color w:val="auto"/>
                <w:highlight w:val="none"/>
              </w:rPr>
            </w:pPr>
            <w:r>
              <w:rPr>
                <w:rFonts w:hint="eastAsia" w:ascii="宋体" w:hAnsi="宋体"/>
                <w:color w:val="auto"/>
                <w:highlight w:val="none"/>
              </w:rPr>
              <w:t>合同价款确定方式</w:t>
            </w:r>
          </w:p>
        </w:tc>
        <w:tc>
          <w:tcPr>
            <w:tcW w:w="5471" w:type="dxa"/>
            <w:tcBorders>
              <w:top w:val="single" w:color="auto" w:sz="4" w:space="0"/>
              <w:left w:val="nil"/>
              <w:bottom w:val="single" w:color="auto" w:sz="4" w:space="0"/>
              <w:right w:val="single" w:color="auto" w:sz="4" w:space="0"/>
            </w:tcBorders>
            <w:vAlign w:val="center"/>
          </w:tcPr>
          <w:p w14:paraId="3B2844A6">
            <w:pPr>
              <w:rPr>
                <w:rFonts w:ascii="宋体" w:hAnsi="宋体"/>
                <w:color w:val="auto"/>
                <w:highlight w:val="none"/>
              </w:rPr>
            </w:pPr>
            <w:r>
              <w:rPr>
                <w:rFonts w:hint="eastAsia" w:ascii="宋体" w:hAnsi="宋体"/>
                <w:color w:val="auto"/>
                <w:highlight w:val="none"/>
              </w:rPr>
              <w:t>按招标文件要求</w:t>
            </w:r>
          </w:p>
        </w:tc>
        <w:tc>
          <w:tcPr>
            <w:tcW w:w="978" w:type="dxa"/>
            <w:tcBorders>
              <w:top w:val="single" w:color="auto" w:sz="4" w:space="0"/>
              <w:left w:val="nil"/>
              <w:bottom w:val="single" w:color="auto" w:sz="4" w:space="0"/>
              <w:right w:val="single" w:color="auto" w:sz="4" w:space="0"/>
            </w:tcBorders>
            <w:vAlign w:val="center"/>
          </w:tcPr>
          <w:p w14:paraId="572A6B57">
            <w:pPr>
              <w:jc w:val="center"/>
              <w:rPr>
                <w:rFonts w:ascii="宋体" w:hAnsi="宋体"/>
                <w:b/>
                <w:bCs/>
                <w:color w:val="auto"/>
                <w:highlight w:val="none"/>
              </w:rPr>
            </w:pPr>
          </w:p>
        </w:tc>
      </w:tr>
      <w:tr w14:paraId="1650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5743F0B5">
            <w:pPr>
              <w:jc w:val="center"/>
              <w:rPr>
                <w:rFonts w:ascii="宋体" w:hAnsi="宋体"/>
                <w:color w:val="auto"/>
                <w:highlight w:val="none"/>
              </w:rPr>
            </w:pPr>
            <w:r>
              <w:rPr>
                <w:rFonts w:hint="eastAsia" w:ascii="宋体" w:hAnsi="宋体"/>
                <w:color w:val="auto"/>
                <w:highlight w:val="none"/>
              </w:rPr>
              <w:t>4</w:t>
            </w:r>
          </w:p>
        </w:tc>
        <w:tc>
          <w:tcPr>
            <w:tcW w:w="1692" w:type="dxa"/>
            <w:tcBorders>
              <w:top w:val="single" w:color="auto" w:sz="4" w:space="0"/>
              <w:left w:val="nil"/>
              <w:bottom w:val="single" w:color="auto" w:sz="4" w:space="0"/>
              <w:right w:val="single" w:color="auto" w:sz="4" w:space="0"/>
            </w:tcBorders>
            <w:vAlign w:val="center"/>
          </w:tcPr>
          <w:p w14:paraId="5793087F">
            <w:pPr>
              <w:jc w:val="center"/>
              <w:rPr>
                <w:rFonts w:ascii="宋体" w:hAnsi="宋体"/>
                <w:color w:val="auto"/>
                <w:highlight w:val="none"/>
              </w:rPr>
            </w:pPr>
            <w:r>
              <w:rPr>
                <w:rFonts w:hint="eastAsia" w:ascii="宋体" w:hAnsi="宋体"/>
                <w:color w:val="auto"/>
                <w:highlight w:val="none"/>
              </w:rPr>
              <w:t>质量标准</w:t>
            </w:r>
          </w:p>
        </w:tc>
        <w:tc>
          <w:tcPr>
            <w:tcW w:w="5471" w:type="dxa"/>
            <w:tcBorders>
              <w:top w:val="single" w:color="auto" w:sz="4" w:space="0"/>
              <w:left w:val="nil"/>
              <w:bottom w:val="single" w:color="auto" w:sz="4" w:space="0"/>
              <w:right w:val="single" w:color="auto" w:sz="4" w:space="0"/>
            </w:tcBorders>
            <w:vAlign w:val="center"/>
          </w:tcPr>
          <w:p w14:paraId="5C3F367C">
            <w:pPr>
              <w:rPr>
                <w:rFonts w:ascii="宋体" w:hAnsi="宋体"/>
                <w:color w:val="auto"/>
                <w:highlight w:val="none"/>
              </w:rPr>
            </w:pPr>
            <w:r>
              <w:rPr>
                <w:rFonts w:hint="eastAsia" w:ascii="宋体" w:hAnsi="宋体"/>
                <w:color w:val="auto"/>
                <w:highlight w:val="none"/>
              </w:rPr>
              <w:t>合格</w:t>
            </w:r>
          </w:p>
        </w:tc>
        <w:tc>
          <w:tcPr>
            <w:tcW w:w="978" w:type="dxa"/>
            <w:tcBorders>
              <w:top w:val="single" w:color="auto" w:sz="4" w:space="0"/>
              <w:left w:val="nil"/>
              <w:bottom w:val="single" w:color="auto" w:sz="4" w:space="0"/>
              <w:right w:val="single" w:color="auto" w:sz="4" w:space="0"/>
            </w:tcBorders>
            <w:vAlign w:val="center"/>
          </w:tcPr>
          <w:p w14:paraId="10947431">
            <w:pPr>
              <w:jc w:val="center"/>
              <w:rPr>
                <w:rFonts w:ascii="宋体" w:hAnsi="宋体"/>
                <w:b/>
                <w:bCs/>
                <w:color w:val="auto"/>
                <w:highlight w:val="none"/>
              </w:rPr>
            </w:pPr>
          </w:p>
        </w:tc>
      </w:tr>
      <w:tr w14:paraId="1C32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B16DAE2">
            <w:pPr>
              <w:jc w:val="center"/>
              <w:rPr>
                <w:rFonts w:ascii="宋体" w:hAnsi="宋体"/>
                <w:color w:val="auto"/>
                <w:highlight w:val="none"/>
              </w:rPr>
            </w:pPr>
            <w:r>
              <w:rPr>
                <w:rFonts w:hint="eastAsia" w:ascii="宋体" w:hAnsi="宋体"/>
                <w:color w:val="auto"/>
                <w:highlight w:val="none"/>
              </w:rPr>
              <w:t>5</w:t>
            </w:r>
          </w:p>
        </w:tc>
        <w:tc>
          <w:tcPr>
            <w:tcW w:w="1692" w:type="dxa"/>
            <w:tcBorders>
              <w:top w:val="single" w:color="auto" w:sz="4" w:space="0"/>
              <w:left w:val="nil"/>
              <w:bottom w:val="single" w:color="auto" w:sz="4" w:space="0"/>
              <w:right w:val="single" w:color="auto" w:sz="4" w:space="0"/>
            </w:tcBorders>
            <w:vAlign w:val="center"/>
          </w:tcPr>
          <w:p w14:paraId="373392E8">
            <w:pPr>
              <w:jc w:val="center"/>
              <w:rPr>
                <w:rFonts w:ascii="宋体" w:hAnsi="宋体"/>
                <w:color w:val="auto"/>
                <w:highlight w:val="none"/>
              </w:rPr>
            </w:pPr>
            <w:r>
              <w:rPr>
                <w:rFonts w:hint="eastAsia" w:ascii="宋体" w:hAnsi="宋体"/>
                <w:color w:val="auto"/>
                <w:highlight w:val="none"/>
              </w:rPr>
              <w:t>暂定工程费（万元）</w:t>
            </w:r>
          </w:p>
        </w:tc>
        <w:tc>
          <w:tcPr>
            <w:tcW w:w="5471" w:type="dxa"/>
            <w:tcBorders>
              <w:top w:val="single" w:color="auto" w:sz="4" w:space="0"/>
              <w:left w:val="nil"/>
              <w:bottom w:val="single" w:color="auto" w:sz="4" w:space="0"/>
              <w:right w:val="single" w:color="auto" w:sz="4" w:space="0"/>
            </w:tcBorders>
            <w:vAlign w:val="center"/>
          </w:tcPr>
          <w:p w14:paraId="63E20228">
            <w:pPr>
              <w:jc w:val="center"/>
              <w:rPr>
                <w:rFonts w:ascii="宋体" w:hAnsi="宋体"/>
                <w:color w:val="auto"/>
                <w:highlight w:val="none"/>
              </w:rPr>
            </w:pPr>
            <w:r>
              <w:rPr>
                <w:rFonts w:hint="eastAsia" w:ascii="宋体" w:hAnsi="宋体"/>
                <w:color w:val="auto"/>
                <w:highlight w:val="none"/>
              </w:rPr>
              <w:t xml:space="preserve">        万元</w:t>
            </w:r>
          </w:p>
        </w:tc>
        <w:tc>
          <w:tcPr>
            <w:tcW w:w="978" w:type="dxa"/>
            <w:tcBorders>
              <w:top w:val="single" w:color="auto" w:sz="4" w:space="0"/>
              <w:left w:val="nil"/>
              <w:bottom w:val="single" w:color="auto" w:sz="4" w:space="0"/>
              <w:right w:val="single" w:color="auto" w:sz="4" w:space="0"/>
            </w:tcBorders>
            <w:vAlign w:val="center"/>
          </w:tcPr>
          <w:p w14:paraId="425E6DDD">
            <w:pPr>
              <w:jc w:val="center"/>
              <w:rPr>
                <w:rFonts w:ascii="宋体" w:hAnsi="宋体"/>
                <w:b/>
                <w:bCs/>
                <w:color w:val="auto"/>
                <w:highlight w:val="none"/>
              </w:rPr>
            </w:pPr>
          </w:p>
        </w:tc>
      </w:tr>
      <w:tr w14:paraId="559C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57" w:type="dxa"/>
            <w:tcBorders>
              <w:top w:val="single" w:color="auto" w:sz="4" w:space="0"/>
              <w:left w:val="single" w:color="auto" w:sz="4" w:space="0"/>
              <w:right w:val="single" w:color="auto" w:sz="4" w:space="0"/>
            </w:tcBorders>
            <w:vAlign w:val="center"/>
          </w:tcPr>
          <w:p w14:paraId="2400EAD6">
            <w:pPr>
              <w:jc w:val="center"/>
              <w:rPr>
                <w:rFonts w:ascii="宋体" w:hAnsi="宋体"/>
                <w:color w:val="auto"/>
                <w:highlight w:val="none"/>
              </w:rPr>
            </w:pPr>
            <w:r>
              <w:rPr>
                <w:rFonts w:hint="eastAsia" w:ascii="宋体" w:hAnsi="宋体"/>
                <w:color w:val="auto"/>
                <w:highlight w:val="none"/>
              </w:rPr>
              <w:t>6</w:t>
            </w:r>
          </w:p>
        </w:tc>
        <w:tc>
          <w:tcPr>
            <w:tcW w:w="1692" w:type="dxa"/>
            <w:tcBorders>
              <w:top w:val="single" w:color="auto" w:sz="4" w:space="0"/>
              <w:left w:val="nil"/>
              <w:right w:val="single" w:color="auto" w:sz="4" w:space="0"/>
            </w:tcBorders>
            <w:vAlign w:val="center"/>
          </w:tcPr>
          <w:p w14:paraId="3D120AFC">
            <w:pPr>
              <w:jc w:val="center"/>
              <w:rPr>
                <w:rFonts w:ascii="宋体" w:hAnsi="宋体"/>
                <w:color w:val="auto"/>
                <w:highlight w:val="none"/>
              </w:rPr>
            </w:pPr>
            <w:r>
              <w:rPr>
                <w:rFonts w:hint="eastAsia" w:ascii="宋体" w:hAnsi="宋体"/>
                <w:color w:val="auto"/>
                <w:highlight w:val="none"/>
              </w:rPr>
              <w:t>投标总报价</w:t>
            </w:r>
          </w:p>
          <w:p w14:paraId="6B391AAC">
            <w:pPr>
              <w:jc w:val="center"/>
              <w:rPr>
                <w:rFonts w:ascii="宋体" w:hAnsi="宋体"/>
                <w:color w:val="auto"/>
                <w:highlight w:val="none"/>
              </w:rPr>
            </w:pPr>
            <w:r>
              <w:rPr>
                <w:rFonts w:hint="eastAsia" w:ascii="宋体" w:hAnsi="宋体"/>
                <w:color w:val="auto"/>
                <w:highlight w:val="none"/>
              </w:rPr>
              <w:t>（元）</w:t>
            </w:r>
          </w:p>
        </w:tc>
        <w:tc>
          <w:tcPr>
            <w:tcW w:w="5471" w:type="dxa"/>
            <w:tcBorders>
              <w:top w:val="single" w:color="auto" w:sz="4" w:space="0"/>
              <w:left w:val="nil"/>
              <w:right w:val="single" w:color="auto" w:sz="4" w:space="0"/>
            </w:tcBorders>
            <w:vAlign w:val="center"/>
          </w:tcPr>
          <w:p w14:paraId="0C01F0F5">
            <w:pPr>
              <w:rPr>
                <w:rFonts w:ascii="宋体" w:hAnsi="宋体"/>
                <w:color w:val="auto"/>
                <w:highlight w:val="none"/>
              </w:rPr>
            </w:pPr>
          </w:p>
          <w:p w14:paraId="3D84EF5C">
            <w:pPr>
              <w:rPr>
                <w:rFonts w:ascii="宋体" w:hAnsi="宋体"/>
                <w:color w:val="auto"/>
                <w:highlight w:val="none"/>
              </w:rPr>
            </w:pPr>
            <w:r>
              <w:rPr>
                <w:rFonts w:hint="eastAsia" w:ascii="宋体" w:hAnsi="宋体"/>
                <w:color w:val="auto"/>
                <w:highlight w:val="none"/>
              </w:rPr>
              <w:t>人民币：（小写）</w:t>
            </w:r>
            <w:r>
              <w:rPr>
                <w:rFonts w:hint="eastAsia" w:ascii="宋体" w:hAnsi="宋体"/>
                <w:color w:val="auto"/>
                <w:highlight w:val="none"/>
                <w:u w:val="single"/>
              </w:rPr>
              <w:t xml:space="preserve">             </w:t>
            </w:r>
            <w:r>
              <w:rPr>
                <w:rFonts w:hint="eastAsia" w:ascii="宋体" w:hAnsi="宋体"/>
                <w:color w:val="auto"/>
                <w:highlight w:val="none"/>
              </w:rPr>
              <w:t>元。</w:t>
            </w:r>
          </w:p>
          <w:p w14:paraId="6FD07F06">
            <w:pPr>
              <w:rPr>
                <w:rFonts w:ascii="宋体" w:hAnsi="宋体" w:cs="宋体"/>
                <w:color w:val="auto"/>
                <w:highlight w:val="none"/>
              </w:rPr>
            </w:pPr>
            <w:r>
              <w:rPr>
                <w:rFonts w:hint="eastAsia" w:ascii="宋体" w:hAnsi="宋体"/>
                <w:color w:val="auto"/>
                <w:highlight w:val="none"/>
              </w:rPr>
              <w:t>人民币：（大写）</w:t>
            </w:r>
            <w:r>
              <w:rPr>
                <w:rFonts w:hint="eastAsia" w:ascii="宋体" w:hAnsi="宋体"/>
                <w:color w:val="auto"/>
                <w:highlight w:val="none"/>
                <w:u w:val="single"/>
              </w:rPr>
              <w:t xml:space="preserve">                         </w:t>
            </w:r>
            <w:r>
              <w:rPr>
                <w:rFonts w:hint="eastAsia" w:ascii="宋体" w:hAnsi="宋体"/>
                <w:color w:val="auto"/>
                <w:highlight w:val="none"/>
              </w:rPr>
              <w:t>。</w:t>
            </w:r>
          </w:p>
        </w:tc>
        <w:tc>
          <w:tcPr>
            <w:tcW w:w="978" w:type="dxa"/>
            <w:tcBorders>
              <w:top w:val="single" w:color="auto" w:sz="4" w:space="0"/>
              <w:left w:val="nil"/>
              <w:bottom w:val="single" w:color="auto" w:sz="4" w:space="0"/>
              <w:right w:val="single" w:color="auto" w:sz="4" w:space="0"/>
            </w:tcBorders>
            <w:vAlign w:val="center"/>
          </w:tcPr>
          <w:p w14:paraId="374DAAB3">
            <w:pPr>
              <w:jc w:val="center"/>
              <w:rPr>
                <w:rFonts w:ascii="宋体" w:hAnsi="宋体"/>
                <w:b/>
                <w:bCs/>
                <w:color w:val="auto"/>
                <w:highlight w:val="none"/>
              </w:rPr>
            </w:pPr>
          </w:p>
        </w:tc>
      </w:tr>
      <w:tr w14:paraId="33DE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57" w:type="dxa"/>
            <w:tcBorders>
              <w:top w:val="single" w:color="auto" w:sz="4" w:space="0"/>
              <w:left w:val="single" w:color="auto" w:sz="4" w:space="0"/>
              <w:right w:val="single" w:color="auto" w:sz="4" w:space="0"/>
            </w:tcBorders>
            <w:vAlign w:val="center"/>
          </w:tcPr>
          <w:p w14:paraId="06897FFA">
            <w:pPr>
              <w:spacing w:line="480" w:lineRule="exact"/>
              <w:jc w:val="center"/>
              <w:rPr>
                <w:rFonts w:ascii="宋体" w:hAnsi="宋体"/>
                <w:color w:val="auto"/>
                <w:highlight w:val="none"/>
              </w:rPr>
            </w:pPr>
            <w:r>
              <w:rPr>
                <w:rFonts w:hint="eastAsia" w:ascii="宋体" w:hAnsi="宋体"/>
                <w:color w:val="auto"/>
                <w:highlight w:val="none"/>
              </w:rPr>
              <w:t>7</w:t>
            </w:r>
          </w:p>
        </w:tc>
        <w:tc>
          <w:tcPr>
            <w:tcW w:w="1692" w:type="dxa"/>
            <w:tcBorders>
              <w:top w:val="single" w:color="auto" w:sz="4" w:space="0"/>
              <w:left w:val="nil"/>
              <w:right w:val="single" w:color="auto" w:sz="4" w:space="0"/>
            </w:tcBorders>
            <w:vAlign w:val="center"/>
          </w:tcPr>
          <w:p w14:paraId="6E7437A8">
            <w:pPr>
              <w:jc w:val="center"/>
              <w:rPr>
                <w:rFonts w:ascii="宋体" w:hAnsi="宋体"/>
                <w:color w:val="auto"/>
                <w:highlight w:val="none"/>
              </w:rPr>
            </w:pPr>
            <w:r>
              <w:rPr>
                <w:rFonts w:hint="eastAsia" w:ascii="宋体" w:hAnsi="宋体"/>
                <w:color w:val="auto"/>
                <w:highlight w:val="none"/>
              </w:rPr>
              <w:t>监理费投标下浮率（%）</w:t>
            </w:r>
          </w:p>
        </w:tc>
        <w:tc>
          <w:tcPr>
            <w:tcW w:w="5471" w:type="dxa"/>
            <w:tcBorders>
              <w:top w:val="single" w:color="auto" w:sz="4" w:space="0"/>
              <w:left w:val="nil"/>
              <w:right w:val="single" w:color="auto" w:sz="4" w:space="0"/>
            </w:tcBorders>
            <w:vAlign w:val="center"/>
          </w:tcPr>
          <w:p w14:paraId="57F957D3">
            <w:pPr>
              <w:rPr>
                <w:rFonts w:ascii="宋体" w:hAnsi="宋体"/>
                <w:color w:val="auto"/>
                <w:highlight w:val="none"/>
              </w:rPr>
            </w:pPr>
            <w:r>
              <w:rPr>
                <w:rFonts w:hint="eastAsia" w:ascii="宋体" w:hAnsi="宋体"/>
                <w:color w:val="auto"/>
                <w:highlight w:val="none"/>
              </w:rPr>
              <w:t>监理费投标下浮率（%)：</w:t>
            </w:r>
          </w:p>
        </w:tc>
        <w:tc>
          <w:tcPr>
            <w:tcW w:w="978" w:type="dxa"/>
            <w:tcBorders>
              <w:top w:val="single" w:color="auto" w:sz="4" w:space="0"/>
              <w:left w:val="nil"/>
              <w:bottom w:val="single" w:color="auto" w:sz="4" w:space="0"/>
              <w:right w:val="single" w:color="auto" w:sz="4" w:space="0"/>
            </w:tcBorders>
            <w:vAlign w:val="center"/>
          </w:tcPr>
          <w:p w14:paraId="66C3C2C0">
            <w:pPr>
              <w:jc w:val="center"/>
              <w:rPr>
                <w:rFonts w:ascii="宋体" w:hAnsi="宋体"/>
                <w:b/>
                <w:bCs/>
                <w:color w:val="auto"/>
                <w:highlight w:val="none"/>
              </w:rPr>
            </w:pPr>
          </w:p>
        </w:tc>
      </w:tr>
      <w:tr w14:paraId="6F7E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75E4218E">
            <w:pPr>
              <w:spacing w:line="480" w:lineRule="exact"/>
              <w:jc w:val="center"/>
              <w:rPr>
                <w:rFonts w:ascii="宋体" w:hAnsi="宋体"/>
                <w:color w:val="auto"/>
                <w:highlight w:val="none"/>
              </w:rPr>
            </w:pPr>
            <w:r>
              <w:rPr>
                <w:rFonts w:hint="eastAsia" w:ascii="宋体" w:hAnsi="宋体"/>
                <w:color w:val="auto"/>
                <w:highlight w:val="none"/>
              </w:rPr>
              <w:t>8</w:t>
            </w:r>
          </w:p>
        </w:tc>
        <w:tc>
          <w:tcPr>
            <w:tcW w:w="1692" w:type="dxa"/>
            <w:tcBorders>
              <w:top w:val="single" w:color="auto" w:sz="4" w:space="0"/>
              <w:left w:val="nil"/>
              <w:bottom w:val="single" w:color="auto" w:sz="4" w:space="0"/>
              <w:right w:val="single" w:color="auto" w:sz="4" w:space="0"/>
            </w:tcBorders>
            <w:vAlign w:val="center"/>
          </w:tcPr>
          <w:p w14:paraId="728F38EE">
            <w:pPr>
              <w:spacing w:line="480" w:lineRule="exact"/>
              <w:rPr>
                <w:rFonts w:ascii="宋体" w:hAnsi="宋体"/>
                <w:color w:val="auto"/>
                <w:highlight w:val="none"/>
              </w:rPr>
            </w:pPr>
            <w:r>
              <w:rPr>
                <w:rFonts w:hint="eastAsia" w:ascii="宋体" w:hAnsi="宋体"/>
                <w:color w:val="auto"/>
                <w:highlight w:val="none"/>
              </w:rPr>
              <w:t>投标有效期</w:t>
            </w:r>
          </w:p>
        </w:tc>
        <w:tc>
          <w:tcPr>
            <w:tcW w:w="5471" w:type="dxa"/>
            <w:tcBorders>
              <w:top w:val="single" w:color="auto" w:sz="4" w:space="0"/>
              <w:left w:val="nil"/>
              <w:bottom w:val="single" w:color="auto" w:sz="4" w:space="0"/>
              <w:right w:val="single" w:color="auto" w:sz="4" w:space="0"/>
            </w:tcBorders>
            <w:vAlign w:val="center"/>
          </w:tcPr>
          <w:p w14:paraId="5825F4A7">
            <w:pPr>
              <w:spacing w:line="480" w:lineRule="exact"/>
              <w:rPr>
                <w:rFonts w:ascii="宋体" w:hAnsi="宋体"/>
                <w:color w:val="auto"/>
                <w:highlight w:val="none"/>
              </w:rPr>
            </w:pPr>
            <w:r>
              <w:rPr>
                <w:rFonts w:hint="eastAsia" w:ascii="宋体" w:hAnsi="宋体"/>
                <w:color w:val="auto"/>
                <w:highlight w:val="none"/>
              </w:rPr>
              <w:t>按招标文件要求</w:t>
            </w:r>
          </w:p>
        </w:tc>
        <w:tc>
          <w:tcPr>
            <w:tcW w:w="978" w:type="dxa"/>
            <w:tcBorders>
              <w:top w:val="single" w:color="auto" w:sz="4" w:space="0"/>
              <w:left w:val="nil"/>
              <w:bottom w:val="single" w:color="auto" w:sz="4" w:space="0"/>
              <w:right w:val="single" w:color="auto" w:sz="4" w:space="0"/>
            </w:tcBorders>
            <w:vAlign w:val="center"/>
          </w:tcPr>
          <w:p w14:paraId="6073F544">
            <w:pPr>
              <w:spacing w:line="480" w:lineRule="exact"/>
              <w:jc w:val="center"/>
              <w:rPr>
                <w:rFonts w:ascii="宋体" w:hAnsi="宋体"/>
                <w:b/>
                <w:bCs/>
                <w:color w:val="auto"/>
                <w:highlight w:val="none"/>
              </w:rPr>
            </w:pPr>
          </w:p>
        </w:tc>
      </w:tr>
    </w:tbl>
    <w:p w14:paraId="115380AE">
      <w:pPr>
        <w:spacing w:line="480" w:lineRule="exact"/>
        <w:rPr>
          <w:rFonts w:ascii="宋体" w:hAnsi="宋体"/>
          <w:color w:val="auto"/>
          <w:highlight w:val="none"/>
        </w:rPr>
      </w:pPr>
      <w:r>
        <w:rPr>
          <w:rFonts w:hint="eastAsia" w:ascii="宋体" w:hAnsi="宋体"/>
          <w:color w:val="auto"/>
          <w:highlight w:val="none"/>
        </w:rPr>
        <w:t>注：</w:t>
      </w:r>
    </w:p>
    <w:p w14:paraId="3DB1633E">
      <w:pPr>
        <w:spacing w:line="480" w:lineRule="exact"/>
        <w:rPr>
          <w:rFonts w:ascii="宋体" w:hAnsi="宋体"/>
          <w:color w:val="auto"/>
          <w:highlight w:val="none"/>
        </w:rPr>
      </w:pPr>
      <w:r>
        <w:rPr>
          <w:rFonts w:hint="eastAsia" w:ascii="宋体" w:hAnsi="宋体"/>
          <w:color w:val="auto"/>
          <w:highlight w:val="none"/>
        </w:rPr>
        <w:t>1.监理费下浮率=（最高投标限价-投标报价）/最高投标限价*100%（以%为单位，精确到小数点后2位）。</w:t>
      </w:r>
    </w:p>
    <w:p w14:paraId="3C69D122">
      <w:pPr>
        <w:spacing w:line="480" w:lineRule="exact"/>
        <w:rPr>
          <w:rFonts w:ascii="宋体" w:hAnsi="宋体"/>
          <w:color w:val="auto"/>
          <w:highlight w:val="none"/>
        </w:rPr>
      </w:pPr>
      <w:r>
        <w:rPr>
          <w:rFonts w:hint="eastAsia" w:ascii="宋体" w:hAnsi="宋体"/>
          <w:color w:val="auto"/>
          <w:highlight w:val="none"/>
        </w:rPr>
        <w:t>2.监理费下浮率填报为正数，投标报价填报保留小数点后2位。</w:t>
      </w:r>
    </w:p>
    <w:p w14:paraId="0A3511D6">
      <w:pPr>
        <w:spacing w:line="480" w:lineRule="exact"/>
        <w:rPr>
          <w:rFonts w:ascii="宋体" w:hAnsi="宋体"/>
          <w:color w:val="auto"/>
          <w:highlight w:val="none"/>
        </w:rPr>
      </w:pPr>
    </w:p>
    <w:p w14:paraId="480983FE">
      <w:pPr>
        <w:pStyle w:val="2"/>
        <w:kinsoku w:val="0"/>
        <w:overflowPunct w:val="0"/>
        <w:ind w:left="0"/>
        <w:rPr>
          <w:color w:val="auto"/>
          <w:sz w:val="19"/>
          <w:highlight w:val="none"/>
        </w:rPr>
      </w:pPr>
    </w:p>
    <w:p w14:paraId="1D38E17D">
      <w:pPr>
        <w:kinsoku w:val="0"/>
        <w:overflowPunct w:val="0"/>
        <w:rPr>
          <w:color w:val="auto"/>
          <w:sz w:val="19"/>
          <w:highlight w:val="none"/>
        </w:rPr>
      </w:pPr>
      <w:r>
        <w:rPr>
          <w:color w:val="auto"/>
          <w:sz w:val="19"/>
          <w:highlight w:val="none"/>
        </w:rPr>
        <w:br w:type="page"/>
      </w:r>
    </w:p>
    <w:p w14:paraId="27FC1D04">
      <w:pPr>
        <w:pStyle w:val="5"/>
        <w:spacing w:before="120" w:after="120"/>
        <w:jc w:val="center"/>
        <w:rPr>
          <w:color w:val="auto"/>
          <w:sz w:val="28"/>
          <w:highlight w:val="none"/>
        </w:rPr>
      </w:pPr>
      <w:bookmarkStart w:id="168" w:name="bookmark179"/>
      <w:bookmarkEnd w:id="168"/>
      <w:bookmarkStart w:id="169" w:name="_Toc2313"/>
      <w:r>
        <w:rPr>
          <w:color w:val="auto"/>
          <w:sz w:val="28"/>
          <w:highlight w:val="none"/>
        </w:rPr>
        <w:t>二、法定代表人身份证明</w:t>
      </w:r>
      <w:bookmarkEnd w:id="169"/>
    </w:p>
    <w:p w14:paraId="3795F524">
      <w:pPr>
        <w:pStyle w:val="2"/>
        <w:kinsoku w:val="0"/>
        <w:overflowPunct w:val="0"/>
        <w:ind w:left="0"/>
        <w:rPr>
          <w:rFonts w:ascii="Microsoft JhengHei" w:hAnsi="Microsoft JhengHei" w:eastAsia="Microsoft JhengHei"/>
          <w:b/>
          <w:color w:val="auto"/>
          <w:sz w:val="32"/>
          <w:highlight w:val="none"/>
        </w:rPr>
      </w:pPr>
    </w:p>
    <w:p w14:paraId="5B05ADA5">
      <w:pPr>
        <w:pStyle w:val="2"/>
        <w:kinsoku w:val="0"/>
        <w:overflowPunct w:val="0"/>
        <w:ind w:left="0"/>
        <w:rPr>
          <w:rFonts w:ascii="Microsoft JhengHei" w:hAnsi="Microsoft JhengHei" w:eastAsia="Microsoft JhengHei"/>
          <w:b/>
          <w:color w:val="auto"/>
          <w:sz w:val="32"/>
          <w:highlight w:val="none"/>
        </w:rPr>
      </w:pPr>
    </w:p>
    <w:p w14:paraId="16C788C9">
      <w:pPr>
        <w:pStyle w:val="2"/>
        <w:kinsoku w:val="0"/>
        <w:overflowPunct w:val="0"/>
        <w:spacing w:before="8"/>
        <w:ind w:left="0"/>
        <w:rPr>
          <w:rFonts w:ascii="Microsoft JhengHei" w:hAnsi="Microsoft JhengHei" w:eastAsia="Microsoft JhengHei"/>
          <w:b/>
          <w:color w:val="auto"/>
          <w:sz w:val="25"/>
          <w:highlight w:val="none"/>
        </w:rPr>
      </w:pPr>
    </w:p>
    <w:p w14:paraId="2E277CB8">
      <w:pPr>
        <w:pStyle w:val="2"/>
        <w:tabs>
          <w:tab w:val="left" w:pos="3928"/>
        </w:tabs>
        <w:kinsoku w:val="0"/>
        <w:overflowPunct w:val="0"/>
        <w:ind w:left="100"/>
        <w:rPr>
          <w:rFonts w:ascii="Times New Roman" w:hAnsi="Times New Roman" w:eastAsia="Times New Roman"/>
          <w:color w:val="auto"/>
          <w:sz w:val="24"/>
          <w:highlight w:val="none"/>
        </w:rPr>
      </w:pPr>
      <w:r>
        <w:rPr>
          <w:color w:val="auto"/>
          <w:sz w:val="24"/>
          <w:highlight w:val="none"/>
        </w:rPr>
        <w:t>投标人名称：</w:t>
      </w:r>
      <w:r>
        <w:rPr>
          <w:rFonts w:hint="eastAsia" w:ascii="Times New Roman" w:hAnsi="Times New Roman" w:eastAsia="Times New Roman"/>
          <w:color w:val="auto"/>
          <w:sz w:val="24"/>
          <w:highlight w:val="none"/>
          <w:u w:val="single"/>
        </w:rPr>
        <w:t xml:space="preserve"> </w:t>
      </w:r>
      <w:r>
        <w:rPr>
          <w:rFonts w:hint="eastAsia" w:ascii="Times New Roman" w:hAnsi="Times New Roman" w:eastAsia="Times New Roman"/>
          <w:color w:val="auto"/>
          <w:sz w:val="24"/>
          <w:highlight w:val="none"/>
          <w:u w:val="single"/>
        </w:rPr>
        <w:tab/>
      </w:r>
    </w:p>
    <w:p w14:paraId="1C740584">
      <w:pPr>
        <w:pStyle w:val="2"/>
        <w:kinsoku w:val="0"/>
        <w:overflowPunct w:val="0"/>
        <w:spacing w:before="2"/>
        <w:ind w:left="0"/>
        <w:rPr>
          <w:rFonts w:ascii="Times New Roman" w:hAnsi="Times New Roman" w:eastAsia="Times New Roman"/>
          <w:color w:val="auto"/>
          <w:sz w:val="24"/>
          <w:highlight w:val="none"/>
        </w:rPr>
      </w:pPr>
    </w:p>
    <w:p w14:paraId="7A23A7FE">
      <w:pPr>
        <w:pStyle w:val="2"/>
        <w:tabs>
          <w:tab w:val="left" w:pos="2412"/>
          <w:tab w:val="left" w:pos="3883"/>
          <w:tab w:val="left" w:pos="5352"/>
          <w:tab w:val="left" w:pos="6869"/>
        </w:tabs>
        <w:kinsoku w:val="0"/>
        <w:overflowPunct w:val="0"/>
        <w:spacing w:before="36"/>
        <w:ind w:left="100"/>
        <w:rPr>
          <w:rFonts w:ascii="Times New Roman" w:hAnsi="Times New Roman" w:eastAsia="Times New Roman"/>
          <w:color w:val="auto"/>
          <w:sz w:val="24"/>
          <w:highlight w:val="none"/>
        </w:rPr>
      </w:pPr>
      <w:r>
        <w:rPr>
          <w:color w:val="auto"/>
          <w:spacing w:val="-1"/>
          <w:sz w:val="24"/>
          <w:highlight w:val="none"/>
        </w:rPr>
        <w:t>姓名：</w:t>
      </w:r>
      <w:r>
        <w:rPr>
          <w:rFonts w:hint="eastAsia" w:ascii="Times New Roman" w:hAnsi="Times New Roman" w:eastAsia="Times New Roman"/>
          <w:color w:val="auto"/>
          <w:spacing w:val="-1"/>
          <w:sz w:val="24"/>
          <w:highlight w:val="none"/>
          <w:u w:val="single"/>
        </w:rPr>
        <w:tab/>
      </w:r>
      <w:r>
        <w:rPr>
          <w:color w:val="auto"/>
          <w:spacing w:val="-1"/>
          <w:sz w:val="24"/>
          <w:highlight w:val="none"/>
        </w:rPr>
        <w:t>性别：</w:t>
      </w:r>
      <w:r>
        <w:rPr>
          <w:rFonts w:hint="eastAsia" w:ascii="Times New Roman" w:hAnsi="Times New Roman" w:eastAsia="Times New Roman"/>
          <w:color w:val="auto"/>
          <w:spacing w:val="-1"/>
          <w:sz w:val="24"/>
          <w:highlight w:val="none"/>
          <w:u w:val="single"/>
        </w:rPr>
        <w:tab/>
      </w:r>
      <w:r>
        <w:rPr>
          <w:color w:val="auto"/>
          <w:spacing w:val="-2"/>
          <w:sz w:val="24"/>
          <w:highlight w:val="none"/>
        </w:rPr>
        <w:t>年龄：</w:t>
      </w:r>
      <w:r>
        <w:rPr>
          <w:rFonts w:hint="eastAsia" w:ascii="Times New Roman" w:hAnsi="Times New Roman" w:eastAsia="Times New Roman"/>
          <w:color w:val="auto"/>
          <w:spacing w:val="-2"/>
          <w:sz w:val="24"/>
          <w:highlight w:val="none"/>
          <w:u w:val="single"/>
        </w:rPr>
        <w:tab/>
      </w:r>
      <w:r>
        <w:rPr>
          <w:color w:val="auto"/>
          <w:spacing w:val="-2"/>
          <w:sz w:val="24"/>
          <w:highlight w:val="none"/>
        </w:rPr>
        <w:t>职务：</w:t>
      </w:r>
      <w:r>
        <w:rPr>
          <w:rFonts w:hint="eastAsia" w:ascii="Times New Roman" w:hAnsi="Times New Roman" w:eastAsia="Times New Roman"/>
          <w:color w:val="auto"/>
          <w:sz w:val="24"/>
          <w:highlight w:val="none"/>
          <w:u w:val="single"/>
        </w:rPr>
        <w:t xml:space="preserve"> </w:t>
      </w:r>
      <w:r>
        <w:rPr>
          <w:rFonts w:hint="eastAsia" w:ascii="Times New Roman" w:hAnsi="Times New Roman" w:eastAsia="Times New Roman"/>
          <w:color w:val="auto"/>
          <w:sz w:val="24"/>
          <w:highlight w:val="none"/>
          <w:u w:val="single"/>
        </w:rPr>
        <w:tab/>
      </w:r>
    </w:p>
    <w:p w14:paraId="4AB02A13">
      <w:pPr>
        <w:pStyle w:val="2"/>
        <w:kinsoku w:val="0"/>
        <w:overflowPunct w:val="0"/>
        <w:spacing w:before="5"/>
        <w:ind w:left="0"/>
        <w:rPr>
          <w:rFonts w:ascii="Times New Roman" w:hAnsi="Times New Roman" w:eastAsia="Times New Roman"/>
          <w:color w:val="auto"/>
          <w:sz w:val="24"/>
          <w:highlight w:val="none"/>
        </w:rPr>
      </w:pPr>
    </w:p>
    <w:p w14:paraId="62D25832">
      <w:pPr>
        <w:pStyle w:val="2"/>
        <w:tabs>
          <w:tab w:val="left" w:pos="2832"/>
        </w:tabs>
        <w:kinsoku w:val="0"/>
        <w:overflowPunct w:val="0"/>
        <w:spacing w:before="36"/>
        <w:ind w:left="100"/>
        <w:rPr>
          <w:color w:val="auto"/>
          <w:spacing w:val="-2"/>
          <w:sz w:val="24"/>
          <w:highlight w:val="none"/>
        </w:rPr>
      </w:pPr>
      <w:r>
        <w:rPr>
          <w:color w:val="auto"/>
          <w:spacing w:val="-1"/>
          <w:sz w:val="24"/>
          <w:highlight w:val="none"/>
        </w:rPr>
        <w:t>系</w:t>
      </w:r>
      <w:r>
        <w:rPr>
          <w:rFonts w:hint="eastAsia" w:ascii="Times New Roman" w:hAnsi="Times New Roman" w:eastAsia="Times New Roman"/>
          <w:color w:val="auto"/>
          <w:spacing w:val="-1"/>
          <w:sz w:val="24"/>
          <w:highlight w:val="none"/>
          <w:u w:val="single"/>
        </w:rPr>
        <w:tab/>
      </w:r>
      <w:r>
        <w:rPr>
          <w:color w:val="auto"/>
          <w:spacing w:val="-2"/>
          <w:sz w:val="24"/>
          <w:highlight w:val="none"/>
        </w:rPr>
        <w:t>（投标人名称）的法定代表人。</w:t>
      </w:r>
    </w:p>
    <w:p w14:paraId="3013382D">
      <w:pPr>
        <w:pStyle w:val="2"/>
        <w:kinsoku w:val="0"/>
        <w:overflowPunct w:val="0"/>
        <w:spacing w:before="10"/>
        <w:ind w:left="0"/>
        <w:rPr>
          <w:color w:val="auto"/>
          <w:sz w:val="24"/>
          <w:highlight w:val="none"/>
        </w:rPr>
      </w:pPr>
    </w:p>
    <w:p w14:paraId="586614EF">
      <w:pPr>
        <w:pStyle w:val="2"/>
        <w:kinsoku w:val="0"/>
        <w:overflowPunct w:val="0"/>
        <w:spacing w:before="36"/>
        <w:ind w:left="100" w:firstLine="419"/>
        <w:rPr>
          <w:color w:val="auto"/>
          <w:sz w:val="24"/>
          <w:highlight w:val="none"/>
        </w:rPr>
      </w:pPr>
      <w:r>
        <w:rPr>
          <w:color w:val="auto"/>
          <w:sz w:val="24"/>
          <w:highlight w:val="none"/>
        </w:rPr>
        <w:t>特此证明。</w:t>
      </w:r>
    </w:p>
    <w:p w14:paraId="46E43241">
      <w:pPr>
        <w:pStyle w:val="2"/>
        <w:kinsoku w:val="0"/>
        <w:overflowPunct w:val="0"/>
        <w:ind w:left="0"/>
        <w:rPr>
          <w:color w:val="auto"/>
          <w:sz w:val="24"/>
          <w:highlight w:val="none"/>
        </w:rPr>
      </w:pPr>
    </w:p>
    <w:p w14:paraId="4510BBA0">
      <w:pPr>
        <w:pStyle w:val="2"/>
        <w:kinsoku w:val="0"/>
        <w:overflowPunct w:val="0"/>
        <w:spacing w:before="4"/>
        <w:ind w:left="0"/>
        <w:rPr>
          <w:color w:val="auto"/>
          <w:sz w:val="24"/>
          <w:highlight w:val="none"/>
        </w:rPr>
      </w:pPr>
    </w:p>
    <w:p w14:paraId="4AED1A25">
      <w:pPr>
        <w:pStyle w:val="2"/>
        <w:kinsoku w:val="0"/>
        <w:overflowPunct w:val="0"/>
        <w:ind w:left="100"/>
        <w:rPr>
          <w:color w:val="auto"/>
          <w:sz w:val="24"/>
          <w:highlight w:val="none"/>
        </w:rPr>
      </w:pPr>
      <w:r>
        <w:rPr>
          <w:color w:val="auto"/>
          <w:sz w:val="24"/>
          <w:highlight w:val="none"/>
        </w:rPr>
        <w:t>附：法定代表人身份证正反面扫描件。</w:t>
      </w:r>
    </w:p>
    <w:p w14:paraId="2F35ED65">
      <w:pPr>
        <w:pStyle w:val="2"/>
        <w:kinsoku w:val="0"/>
        <w:overflowPunct w:val="0"/>
        <w:ind w:left="0"/>
        <w:rPr>
          <w:color w:val="auto"/>
          <w:sz w:val="24"/>
          <w:highlight w:val="none"/>
        </w:rPr>
      </w:pPr>
    </w:p>
    <w:p w14:paraId="334E2AC5">
      <w:pPr>
        <w:pStyle w:val="2"/>
        <w:kinsoku w:val="0"/>
        <w:overflowPunct w:val="0"/>
        <w:spacing w:before="2"/>
        <w:ind w:left="0"/>
        <w:rPr>
          <w:color w:val="auto"/>
          <w:sz w:val="24"/>
          <w:highlight w:val="none"/>
        </w:rPr>
      </w:pPr>
    </w:p>
    <w:p w14:paraId="20E7662F">
      <w:pPr>
        <w:pStyle w:val="2"/>
        <w:kinsoku w:val="0"/>
        <w:overflowPunct w:val="0"/>
        <w:ind w:left="0"/>
        <w:rPr>
          <w:color w:val="auto"/>
          <w:sz w:val="24"/>
          <w:highlight w:val="none"/>
        </w:rPr>
      </w:pPr>
    </w:p>
    <w:p w14:paraId="5EFDFE13">
      <w:pPr>
        <w:pStyle w:val="2"/>
        <w:kinsoku w:val="0"/>
        <w:overflowPunct w:val="0"/>
        <w:ind w:left="0"/>
        <w:rPr>
          <w:color w:val="auto"/>
          <w:sz w:val="24"/>
          <w:highlight w:val="none"/>
        </w:rPr>
      </w:pPr>
    </w:p>
    <w:p w14:paraId="12ADEC43">
      <w:pPr>
        <w:pStyle w:val="2"/>
        <w:kinsoku w:val="0"/>
        <w:overflowPunct w:val="0"/>
        <w:ind w:left="0"/>
        <w:rPr>
          <w:color w:val="auto"/>
          <w:sz w:val="24"/>
          <w:highlight w:val="none"/>
        </w:rPr>
      </w:pPr>
    </w:p>
    <w:p w14:paraId="71BA0AA7">
      <w:pPr>
        <w:pStyle w:val="2"/>
        <w:kinsoku w:val="0"/>
        <w:overflowPunct w:val="0"/>
        <w:spacing w:before="2"/>
        <w:ind w:left="0"/>
        <w:rPr>
          <w:color w:val="auto"/>
          <w:sz w:val="24"/>
          <w:highlight w:val="none"/>
        </w:rPr>
      </w:pPr>
    </w:p>
    <w:p w14:paraId="1BEF5CEC">
      <w:pPr>
        <w:pStyle w:val="2"/>
        <w:tabs>
          <w:tab w:val="left" w:pos="6521"/>
        </w:tabs>
        <w:kinsoku w:val="0"/>
        <w:overflowPunct w:val="0"/>
        <w:spacing w:before="36"/>
        <w:ind w:left="4212"/>
        <w:rPr>
          <w:color w:val="auto"/>
          <w:spacing w:val="-1"/>
          <w:sz w:val="24"/>
          <w:highlight w:val="none"/>
        </w:rPr>
      </w:pPr>
      <w:r>
        <w:rPr>
          <w:color w:val="auto"/>
          <w:spacing w:val="-2"/>
          <w:sz w:val="24"/>
          <w:highlight w:val="none"/>
        </w:rPr>
        <w:t>投标人：</w:t>
      </w:r>
      <w:r>
        <w:rPr>
          <w:rFonts w:hint="eastAsia" w:ascii="Times New Roman" w:hAnsi="Times New Roman" w:eastAsia="Times New Roman"/>
          <w:color w:val="auto"/>
          <w:spacing w:val="-2"/>
          <w:sz w:val="24"/>
          <w:highlight w:val="none"/>
          <w:u w:val="single"/>
        </w:rPr>
        <w:tab/>
      </w:r>
      <w:r>
        <w:rPr>
          <w:color w:val="auto"/>
          <w:spacing w:val="-1"/>
          <w:sz w:val="24"/>
          <w:highlight w:val="none"/>
        </w:rPr>
        <w:t>（盖单位章）</w:t>
      </w:r>
    </w:p>
    <w:p w14:paraId="07ACEB20">
      <w:pPr>
        <w:pStyle w:val="2"/>
        <w:kinsoku w:val="0"/>
        <w:overflowPunct w:val="0"/>
        <w:ind w:left="0"/>
        <w:rPr>
          <w:color w:val="auto"/>
          <w:sz w:val="24"/>
          <w:highlight w:val="none"/>
        </w:rPr>
      </w:pPr>
    </w:p>
    <w:p w14:paraId="6690B035">
      <w:pPr>
        <w:pStyle w:val="2"/>
        <w:kinsoku w:val="0"/>
        <w:overflowPunct w:val="0"/>
        <w:spacing w:before="7"/>
        <w:ind w:left="0"/>
        <w:rPr>
          <w:color w:val="auto"/>
          <w:sz w:val="24"/>
          <w:highlight w:val="none"/>
        </w:rPr>
      </w:pPr>
    </w:p>
    <w:p w14:paraId="25CB6BBF">
      <w:pPr>
        <w:pStyle w:val="2"/>
        <w:tabs>
          <w:tab w:val="left" w:pos="5352"/>
          <w:tab w:val="left" w:pos="6192"/>
          <w:tab w:val="left" w:pos="7032"/>
        </w:tabs>
        <w:kinsoku w:val="0"/>
        <w:overflowPunct w:val="0"/>
        <w:spacing w:before="36"/>
        <w:ind w:left="4721"/>
        <w:rPr>
          <w:color w:val="auto"/>
          <w:sz w:val="24"/>
          <w:highlight w:val="none"/>
        </w:rPr>
      </w:pPr>
      <w:r>
        <w:rPr>
          <w:rFonts w:hint="eastAsia" w:ascii="Times New Roman" w:hAnsi="Times New Roman" w:eastAsia="Times New Roman"/>
          <w:color w:val="auto"/>
          <w:sz w:val="24"/>
          <w:highlight w:val="none"/>
          <w:u w:val="single"/>
        </w:rPr>
        <w:t xml:space="preserve"> </w:t>
      </w:r>
      <w:r>
        <w:rPr>
          <w:rFonts w:hint="eastAsia" w:ascii="Times New Roman" w:hAnsi="Times New Roman" w:eastAsia="Times New Roman"/>
          <w:color w:val="auto"/>
          <w:sz w:val="24"/>
          <w:highlight w:val="none"/>
          <w:u w:val="single"/>
        </w:rPr>
        <w:tab/>
      </w:r>
      <w:r>
        <w:rPr>
          <w:color w:val="auto"/>
          <w:sz w:val="24"/>
          <w:highlight w:val="none"/>
        </w:rPr>
        <w:t>年</w:t>
      </w:r>
      <w:r>
        <w:rPr>
          <w:rFonts w:hint="eastAsia" w:ascii="Times New Roman" w:hAnsi="Times New Roman" w:eastAsia="Times New Roman"/>
          <w:color w:val="auto"/>
          <w:sz w:val="24"/>
          <w:highlight w:val="none"/>
          <w:u w:val="single"/>
        </w:rPr>
        <w:tab/>
      </w:r>
      <w:r>
        <w:rPr>
          <w:color w:val="auto"/>
          <w:sz w:val="24"/>
          <w:highlight w:val="none"/>
        </w:rPr>
        <w:t>月</w:t>
      </w:r>
      <w:r>
        <w:rPr>
          <w:rFonts w:hint="eastAsia" w:ascii="Times New Roman" w:hAnsi="Times New Roman" w:eastAsia="Times New Roman"/>
          <w:color w:val="auto"/>
          <w:sz w:val="24"/>
          <w:highlight w:val="none"/>
          <w:u w:val="single"/>
        </w:rPr>
        <w:tab/>
      </w:r>
      <w:r>
        <w:rPr>
          <w:color w:val="auto"/>
          <w:sz w:val="24"/>
          <w:highlight w:val="none"/>
        </w:rPr>
        <w:t>日</w:t>
      </w:r>
    </w:p>
    <w:p w14:paraId="4C6D7ACC">
      <w:pPr>
        <w:rPr>
          <w:b/>
          <w:bCs/>
          <w:color w:val="auto"/>
          <w:highlight w:val="none"/>
        </w:rPr>
      </w:pPr>
      <w:r>
        <w:rPr>
          <w:rFonts w:hint="eastAsia" w:ascii="宋体" w:hAnsi="宋体"/>
          <w:b/>
          <w:bCs/>
          <w:color w:val="auto"/>
          <w:szCs w:val="21"/>
          <w:highlight w:val="none"/>
        </w:rPr>
        <w:t>注：如联合体投标的，由联合体主办方提供。</w:t>
      </w:r>
    </w:p>
    <w:p w14:paraId="720CD1F7">
      <w:pPr>
        <w:pStyle w:val="2"/>
        <w:tabs>
          <w:tab w:val="left" w:pos="5352"/>
          <w:tab w:val="left" w:pos="6192"/>
          <w:tab w:val="left" w:pos="7032"/>
        </w:tabs>
        <w:kinsoku w:val="0"/>
        <w:overflowPunct w:val="0"/>
        <w:spacing w:before="36"/>
        <w:ind w:left="4721"/>
        <w:rPr>
          <w:color w:val="auto"/>
          <w:sz w:val="24"/>
          <w:highlight w:val="none"/>
        </w:rPr>
        <w:sectPr>
          <w:pgSz w:w="11905" w:h="16838"/>
          <w:pgMar w:top="1417" w:right="1417" w:bottom="1417" w:left="1417" w:header="992" w:footer="992" w:gutter="0"/>
          <w:cols w:space="720" w:num="1"/>
        </w:sectPr>
      </w:pPr>
    </w:p>
    <w:p w14:paraId="637C4C0F">
      <w:pPr>
        <w:pStyle w:val="5"/>
        <w:spacing w:before="120" w:after="120"/>
        <w:jc w:val="center"/>
        <w:rPr>
          <w:color w:val="auto"/>
          <w:sz w:val="28"/>
          <w:highlight w:val="none"/>
        </w:rPr>
      </w:pPr>
      <w:bookmarkStart w:id="170" w:name="bookmark180"/>
      <w:bookmarkEnd w:id="170"/>
      <w:bookmarkStart w:id="171" w:name="_Toc18172"/>
      <w:r>
        <w:rPr>
          <w:color w:val="auto"/>
          <w:sz w:val="28"/>
          <w:highlight w:val="none"/>
        </w:rPr>
        <w:t>二、授权委托书</w:t>
      </w:r>
      <w:bookmarkEnd w:id="171"/>
    </w:p>
    <w:p w14:paraId="040F3B2C">
      <w:pPr>
        <w:pStyle w:val="2"/>
        <w:kinsoku w:val="0"/>
        <w:overflowPunct w:val="0"/>
        <w:ind w:left="0"/>
        <w:rPr>
          <w:rFonts w:ascii="Microsoft JhengHei" w:hAnsi="Microsoft JhengHei" w:eastAsia="Microsoft JhengHei"/>
          <w:b/>
          <w:color w:val="auto"/>
          <w:sz w:val="32"/>
          <w:highlight w:val="none"/>
        </w:rPr>
      </w:pPr>
    </w:p>
    <w:p w14:paraId="13AA64AF">
      <w:pPr>
        <w:pStyle w:val="2"/>
        <w:kinsoku w:val="0"/>
        <w:overflowPunct w:val="0"/>
        <w:spacing w:before="4"/>
        <w:ind w:left="0"/>
        <w:rPr>
          <w:rFonts w:ascii="Microsoft JhengHei" w:hAnsi="Microsoft JhengHei" w:eastAsia="Microsoft JhengHei"/>
          <w:b/>
          <w:color w:val="auto"/>
          <w:sz w:val="32"/>
          <w:highlight w:val="none"/>
        </w:rPr>
      </w:pPr>
    </w:p>
    <w:p w14:paraId="5333CBEB">
      <w:pPr>
        <w:pStyle w:val="2"/>
        <w:tabs>
          <w:tab w:val="left" w:pos="3928"/>
        </w:tabs>
        <w:kinsoku w:val="0"/>
        <w:overflowPunct w:val="0"/>
        <w:spacing w:line="360" w:lineRule="auto"/>
        <w:ind w:left="0" w:firstLine="480" w:firstLineChars="200"/>
        <w:rPr>
          <w:color w:val="auto"/>
          <w:sz w:val="24"/>
          <w:highlight w:val="none"/>
        </w:rPr>
      </w:pPr>
      <w:r>
        <w:rPr>
          <w:color w:val="auto"/>
          <w:sz w:val="24"/>
          <w:highlight w:val="none"/>
        </w:rPr>
        <w:t>本人</w:t>
      </w:r>
      <w:r>
        <w:rPr>
          <w:color w:val="auto"/>
          <w:sz w:val="24"/>
          <w:highlight w:val="none"/>
          <w:u w:val="single"/>
        </w:rPr>
        <w:t xml:space="preserve">   </w:t>
      </w:r>
      <w:r>
        <w:rPr>
          <w:color w:val="auto"/>
          <w:sz w:val="24"/>
          <w:highlight w:val="none"/>
        </w:rPr>
        <w:t xml:space="preserve">（姓名）系 </w:t>
      </w:r>
      <w:r>
        <w:rPr>
          <w:color w:val="auto"/>
          <w:sz w:val="24"/>
          <w:highlight w:val="none"/>
          <w:u w:val="single"/>
        </w:rPr>
        <w:t xml:space="preserve">    </w:t>
      </w:r>
      <w:r>
        <w:rPr>
          <w:color w:val="auto"/>
          <w:sz w:val="24"/>
          <w:highlight w:val="none"/>
        </w:rPr>
        <w:t>（投标人名称）的法定代表人，现委托</w:t>
      </w:r>
      <w:r>
        <w:rPr>
          <w:color w:val="auto"/>
          <w:sz w:val="24"/>
          <w:highlight w:val="none"/>
          <w:u w:val="single"/>
        </w:rPr>
        <w:tab/>
      </w:r>
      <w:r>
        <w:rPr>
          <w:color w:val="auto"/>
          <w:sz w:val="24"/>
          <w:highlight w:val="none"/>
          <w:u w:val="single"/>
        </w:rPr>
        <w:t xml:space="preserve"> </w:t>
      </w:r>
      <w:r>
        <w:rPr>
          <w:color w:val="auto"/>
          <w:sz w:val="24"/>
          <w:highlight w:val="none"/>
        </w:rPr>
        <w:t xml:space="preserve">（姓名）为我方代理人。代理人根据授权，以我方名义签署、澄清确认、递交、撤回、修改监理招标项目投标文件、签订合同和处理有关事宜，其法律后果由我方承担。 </w:t>
      </w:r>
    </w:p>
    <w:p w14:paraId="6E5AC4EF">
      <w:pPr>
        <w:pStyle w:val="2"/>
        <w:tabs>
          <w:tab w:val="left" w:pos="3928"/>
        </w:tabs>
        <w:kinsoku w:val="0"/>
        <w:overflowPunct w:val="0"/>
        <w:spacing w:line="360" w:lineRule="auto"/>
        <w:ind w:left="0"/>
        <w:rPr>
          <w:color w:val="auto"/>
          <w:sz w:val="24"/>
          <w:highlight w:val="none"/>
        </w:rPr>
      </w:pPr>
      <w:r>
        <w:rPr>
          <w:color w:val="auto"/>
          <w:sz w:val="24"/>
          <w:highlight w:val="none"/>
        </w:rPr>
        <w:t>委托期限：</w:t>
      </w:r>
      <w:r>
        <w:rPr>
          <w:color w:val="auto"/>
          <w:sz w:val="24"/>
          <w:highlight w:val="none"/>
          <w:u w:val="single"/>
        </w:rPr>
        <w:tab/>
      </w:r>
      <w:r>
        <w:rPr>
          <w:color w:val="auto"/>
          <w:sz w:val="24"/>
          <w:highlight w:val="none"/>
        </w:rPr>
        <w:t>。</w:t>
      </w:r>
    </w:p>
    <w:p w14:paraId="253854B8">
      <w:pPr>
        <w:pStyle w:val="2"/>
        <w:tabs>
          <w:tab w:val="left" w:pos="3928"/>
        </w:tabs>
        <w:kinsoku w:val="0"/>
        <w:overflowPunct w:val="0"/>
        <w:spacing w:line="360" w:lineRule="auto"/>
        <w:ind w:left="0" w:firstLine="480" w:firstLineChars="200"/>
        <w:rPr>
          <w:color w:val="auto"/>
          <w:sz w:val="24"/>
          <w:highlight w:val="none"/>
        </w:rPr>
      </w:pPr>
      <w:r>
        <w:rPr>
          <w:color w:val="auto"/>
          <w:sz w:val="24"/>
          <w:highlight w:val="none"/>
        </w:rPr>
        <w:t>代理人无转委托权。代理人为投标人正式职工</w:t>
      </w:r>
      <w:r>
        <w:rPr>
          <w:rFonts w:hint="eastAsia"/>
          <w:color w:val="auto"/>
          <w:sz w:val="24"/>
          <w:highlight w:val="none"/>
        </w:rPr>
        <w:t>，必须具有离投标截止时间最近的至少1个月（2025年</w:t>
      </w:r>
      <w:r>
        <w:rPr>
          <w:rFonts w:hint="eastAsia"/>
          <w:color w:val="auto"/>
          <w:sz w:val="24"/>
          <w:highlight w:val="none"/>
          <w:lang w:val="en-US" w:eastAsia="zh-CN"/>
        </w:rPr>
        <w:t>7</w:t>
      </w:r>
      <w:r>
        <w:rPr>
          <w:rFonts w:hint="eastAsia"/>
          <w:color w:val="auto"/>
          <w:sz w:val="24"/>
          <w:highlight w:val="none"/>
        </w:rPr>
        <w:t>月）在本单位缴纳的社保证明文件。</w:t>
      </w:r>
    </w:p>
    <w:p w14:paraId="000A4F04">
      <w:pPr>
        <w:pStyle w:val="2"/>
        <w:tabs>
          <w:tab w:val="left" w:pos="3928"/>
        </w:tabs>
        <w:kinsoku w:val="0"/>
        <w:overflowPunct w:val="0"/>
        <w:spacing w:line="360" w:lineRule="auto"/>
        <w:ind w:left="100"/>
        <w:rPr>
          <w:color w:val="auto"/>
          <w:sz w:val="24"/>
          <w:highlight w:val="none"/>
        </w:rPr>
      </w:pPr>
    </w:p>
    <w:p w14:paraId="257F6264">
      <w:pPr>
        <w:pStyle w:val="2"/>
        <w:kinsoku w:val="0"/>
        <w:overflowPunct w:val="0"/>
        <w:spacing w:before="4"/>
        <w:ind w:left="0"/>
        <w:rPr>
          <w:color w:val="auto"/>
          <w:sz w:val="24"/>
          <w:highlight w:val="none"/>
        </w:rPr>
      </w:pPr>
    </w:p>
    <w:p w14:paraId="2C979773">
      <w:pPr>
        <w:pStyle w:val="2"/>
        <w:kinsoku w:val="0"/>
        <w:overflowPunct w:val="0"/>
        <w:ind w:left="100" w:right="113"/>
        <w:rPr>
          <w:color w:val="auto"/>
          <w:sz w:val="24"/>
          <w:highlight w:val="none"/>
        </w:rPr>
      </w:pPr>
      <w:r>
        <w:rPr>
          <w:color w:val="auto"/>
          <w:sz w:val="24"/>
          <w:highlight w:val="none"/>
        </w:rPr>
        <w:t>附：委托代理人身份证正反面和社保证明扫描件。</w:t>
      </w:r>
    </w:p>
    <w:p w14:paraId="49129B54">
      <w:pPr>
        <w:pStyle w:val="2"/>
        <w:kinsoku w:val="0"/>
        <w:overflowPunct w:val="0"/>
        <w:ind w:left="0"/>
        <w:rPr>
          <w:color w:val="auto"/>
          <w:sz w:val="24"/>
          <w:highlight w:val="none"/>
        </w:rPr>
      </w:pPr>
    </w:p>
    <w:p w14:paraId="6262627B">
      <w:pPr>
        <w:pStyle w:val="2"/>
        <w:kinsoku w:val="0"/>
        <w:overflowPunct w:val="0"/>
        <w:spacing w:before="2"/>
        <w:ind w:left="0"/>
        <w:rPr>
          <w:color w:val="auto"/>
          <w:sz w:val="24"/>
          <w:highlight w:val="none"/>
        </w:rPr>
      </w:pPr>
    </w:p>
    <w:p w14:paraId="00552F51">
      <w:pPr>
        <w:pStyle w:val="2"/>
        <w:kinsoku w:val="0"/>
        <w:overflowPunct w:val="0"/>
        <w:ind w:left="0"/>
        <w:rPr>
          <w:color w:val="auto"/>
          <w:sz w:val="24"/>
          <w:highlight w:val="none"/>
        </w:rPr>
      </w:pPr>
    </w:p>
    <w:p w14:paraId="14CF77C6">
      <w:pPr>
        <w:pStyle w:val="2"/>
        <w:kinsoku w:val="0"/>
        <w:overflowPunct w:val="0"/>
        <w:spacing w:before="4"/>
        <w:ind w:left="0"/>
        <w:rPr>
          <w:color w:val="auto"/>
          <w:sz w:val="24"/>
          <w:highlight w:val="none"/>
        </w:rPr>
      </w:pPr>
    </w:p>
    <w:p w14:paraId="142BF4B2">
      <w:pPr>
        <w:pStyle w:val="2"/>
        <w:tabs>
          <w:tab w:val="left" w:pos="3216"/>
          <w:tab w:val="left" w:pos="3636"/>
          <w:tab w:val="left" w:pos="7241"/>
        </w:tabs>
        <w:kinsoku w:val="0"/>
        <w:overflowPunct w:val="0"/>
        <w:ind w:left="2793" w:right="113"/>
        <w:rPr>
          <w:color w:val="auto"/>
          <w:sz w:val="24"/>
          <w:highlight w:val="none"/>
        </w:rPr>
      </w:pPr>
      <w:r>
        <w:rPr>
          <w:color w:val="auto"/>
          <w:sz w:val="24"/>
          <w:highlight w:val="none"/>
        </w:rPr>
        <w:t>投</w:t>
      </w:r>
      <w:r>
        <w:rPr>
          <w:color w:val="auto"/>
          <w:sz w:val="24"/>
          <w:highlight w:val="none"/>
        </w:rPr>
        <w:tab/>
      </w:r>
      <w:r>
        <w:rPr>
          <w:color w:val="auto"/>
          <w:sz w:val="24"/>
          <w:highlight w:val="none"/>
        </w:rPr>
        <w:t>标</w:t>
      </w:r>
      <w:r>
        <w:rPr>
          <w:color w:val="auto"/>
          <w:sz w:val="24"/>
          <w:highlight w:val="none"/>
        </w:rPr>
        <w:tab/>
      </w:r>
      <w:r>
        <w:rPr>
          <w:color w:val="auto"/>
          <w:spacing w:val="-3"/>
          <w:sz w:val="24"/>
          <w:highlight w:val="none"/>
        </w:rPr>
        <w:t>人：</w:t>
      </w:r>
      <w:r>
        <w:rPr>
          <w:rFonts w:hAnsi="Times New Roman"/>
          <w:color w:val="auto"/>
          <w:spacing w:val="-3"/>
          <w:sz w:val="24"/>
          <w:highlight w:val="none"/>
          <w:u w:val="single"/>
        </w:rPr>
        <w:t xml:space="preserve">                       </w:t>
      </w:r>
      <w:r>
        <w:rPr>
          <w:color w:val="auto"/>
          <w:sz w:val="24"/>
          <w:highlight w:val="none"/>
        </w:rPr>
        <w:t>（盖单位章）</w:t>
      </w:r>
    </w:p>
    <w:p w14:paraId="2E1F0AAD">
      <w:pPr>
        <w:pStyle w:val="2"/>
        <w:kinsoku w:val="0"/>
        <w:overflowPunct w:val="0"/>
        <w:ind w:left="0"/>
        <w:rPr>
          <w:color w:val="auto"/>
          <w:sz w:val="24"/>
          <w:highlight w:val="none"/>
        </w:rPr>
      </w:pPr>
    </w:p>
    <w:p w14:paraId="08A00EA8">
      <w:pPr>
        <w:pStyle w:val="2"/>
        <w:tabs>
          <w:tab w:val="left" w:pos="6401"/>
        </w:tabs>
        <w:kinsoku w:val="0"/>
        <w:overflowPunct w:val="0"/>
        <w:spacing w:before="36"/>
        <w:ind w:left="2791" w:right="113"/>
        <w:rPr>
          <w:color w:val="auto"/>
          <w:spacing w:val="-1"/>
          <w:sz w:val="24"/>
          <w:highlight w:val="none"/>
        </w:rPr>
      </w:pPr>
      <w:r>
        <w:rPr>
          <w:color w:val="auto"/>
          <w:spacing w:val="-2"/>
          <w:sz w:val="24"/>
          <w:highlight w:val="none"/>
        </w:rPr>
        <w:t>法定代表人：</w:t>
      </w:r>
      <w:r>
        <w:rPr>
          <w:rFonts w:hint="eastAsia" w:ascii="Times New Roman" w:hAnsi="Times New Roman" w:eastAsia="Times New Roman"/>
          <w:color w:val="auto"/>
          <w:spacing w:val="-2"/>
          <w:sz w:val="24"/>
          <w:highlight w:val="none"/>
          <w:u w:val="single"/>
        </w:rPr>
        <w:tab/>
      </w:r>
      <w:r>
        <w:rPr>
          <w:rFonts w:hAnsi="Times New Roman"/>
          <w:color w:val="auto"/>
          <w:spacing w:val="-2"/>
          <w:sz w:val="24"/>
          <w:highlight w:val="none"/>
          <w:u w:val="single"/>
        </w:rPr>
        <w:t xml:space="preserve">    </w:t>
      </w:r>
      <w:r>
        <w:rPr>
          <w:color w:val="auto"/>
          <w:spacing w:val="-1"/>
          <w:sz w:val="24"/>
          <w:highlight w:val="none"/>
        </w:rPr>
        <w:t>（签字）</w:t>
      </w:r>
    </w:p>
    <w:p w14:paraId="6B298183">
      <w:pPr>
        <w:pStyle w:val="2"/>
        <w:kinsoku w:val="0"/>
        <w:overflowPunct w:val="0"/>
        <w:ind w:left="0"/>
        <w:rPr>
          <w:color w:val="auto"/>
          <w:sz w:val="24"/>
          <w:highlight w:val="none"/>
        </w:rPr>
      </w:pPr>
    </w:p>
    <w:p w14:paraId="574FEFF8">
      <w:pPr>
        <w:pStyle w:val="2"/>
        <w:tabs>
          <w:tab w:val="left" w:pos="8549"/>
        </w:tabs>
        <w:kinsoku w:val="0"/>
        <w:overflowPunct w:val="0"/>
        <w:spacing w:before="36"/>
        <w:ind w:left="2793" w:right="113"/>
        <w:rPr>
          <w:rFonts w:ascii="Times New Roman" w:hAnsi="Times New Roman" w:eastAsia="Times New Roman"/>
          <w:color w:val="auto"/>
          <w:sz w:val="24"/>
          <w:highlight w:val="none"/>
        </w:rPr>
      </w:pPr>
      <w:r>
        <w:rPr>
          <w:color w:val="auto"/>
          <w:sz w:val="24"/>
          <w:highlight w:val="none"/>
        </w:rPr>
        <w:t>身份证号码：</w:t>
      </w:r>
      <w:r>
        <w:rPr>
          <w:rFonts w:hint="eastAsia" w:ascii="Times New Roman" w:hAnsi="Times New Roman" w:eastAsia="Times New Roman"/>
          <w:color w:val="auto"/>
          <w:sz w:val="24"/>
          <w:highlight w:val="none"/>
          <w:u w:val="single"/>
        </w:rPr>
        <w:t xml:space="preserve"> </w:t>
      </w:r>
      <w:r>
        <w:rPr>
          <w:rFonts w:hAnsi="Times New Roman"/>
          <w:color w:val="auto"/>
          <w:sz w:val="24"/>
          <w:highlight w:val="none"/>
          <w:u w:val="single"/>
        </w:rPr>
        <w:t xml:space="preserve">                        </w:t>
      </w:r>
      <w:r>
        <w:rPr>
          <w:rFonts w:hAnsi="Times New Roman"/>
          <w:color w:val="auto"/>
          <w:sz w:val="24"/>
          <w:highlight w:val="none"/>
        </w:rPr>
        <w:t xml:space="preserve">               </w:t>
      </w:r>
    </w:p>
    <w:p w14:paraId="6DC41447">
      <w:pPr>
        <w:pStyle w:val="2"/>
        <w:kinsoku w:val="0"/>
        <w:overflowPunct w:val="0"/>
        <w:ind w:left="0"/>
        <w:rPr>
          <w:rFonts w:ascii="Times New Roman" w:hAnsi="Times New Roman" w:eastAsia="Times New Roman"/>
          <w:color w:val="auto"/>
          <w:sz w:val="24"/>
          <w:highlight w:val="none"/>
        </w:rPr>
      </w:pPr>
    </w:p>
    <w:p w14:paraId="72D68DE2">
      <w:pPr>
        <w:pStyle w:val="2"/>
        <w:tabs>
          <w:tab w:val="left" w:pos="7661"/>
        </w:tabs>
        <w:kinsoku w:val="0"/>
        <w:overflowPunct w:val="0"/>
        <w:spacing w:before="36"/>
        <w:ind w:left="2793" w:right="113"/>
        <w:rPr>
          <w:color w:val="auto"/>
          <w:spacing w:val="-1"/>
          <w:sz w:val="24"/>
          <w:highlight w:val="none"/>
        </w:rPr>
      </w:pPr>
      <w:r>
        <w:rPr>
          <w:color w:val="auto"/>
          <w:spacing w:val="-2"/>
          <w:sz w:val="24"/>
          <w:highlight w:val="none"/>
        </w:rPr>
        <w:t>委托代理人：</w:t>
      </w:r>
      <w:r>
        <w:rPr>
          <w:color w:val="auto"/>
          <w:spacing w:val="-2"/>
          <w:sz w:val="24"/>
          <w:highlight w:val="none"/>
          <w:u w:val="single"/>
        </w:rPr>
        <w:t xml:space="preserve">                         </w:t>
      </w:r>
      <w:r>
        <w:rPr>
          <w:color w:val="auto"/>
          <w:spacing w:val="-1"/>
          <w:sz w:val="24"/>
          <w:highlight w:val="none"/>
        </w:rPr>
        <w:t>（签字）</w:t>
      </w:r>
    </w:p>
    <w:p w14:paraId="1CBBCC86">
      <w:pPr>
        <w:pStyle w:val="2"/>
        <w:kinsoku w:val="0"/>
        <w:overflowPunct w:val="0"/>
        <w:ind w:left="0"/>
        <w:rPr>
          <w:color w:val="auto"/>
          <w:sz w:val="24"/>
          <w:highlight w:val="none"/>
        </w:rPr>
      </w:pPr>
    </w:p>
    <w:p w14:paraId="691F9245">
      <w:pPr>
        <w:pStyle w:val="2"/>
        <w:tabs>
          <w:tab w:val="left" w:pos="8549"/>
        </w:tabs>
        <w:kinsoku w:val="0"/>
        <w:overflowPunct w:val="0"/>
        <w:spacing w:before="36"/>
        <w:ind w:left="2793" w:right="113"/>
        <w:rPr>
          <w:rFonts w:ascii="Times New Roman" w:hAnsi="Times New Roman" w:eastAsia="Times New Roman"/>
          <w:color w:val="auto"/>
          <w:sz w:val="24"/>
          <w:highlight w:val="none"/>
          <w:u w:val="single"/>
        </w:rPr>
      </w:pPr>
      <w:r>
        <w:rPr>
          <w:color w:val="auto"/>
          <w:sz w:val="24"/>
          <w:highlight w:val="none"/>
        </w:rPr>
        <w:t>身份证号码：</w:t>
      </w:r>
      <w:r>
        <w:rPr>
          <w:rFonts w:hint="eastAsia" w:ascii="Times New Roman" w:hAnsi="Times New Roman" w:eastAsia="Times New Roman"/>
          <w:color w:val="auto"/>
          <w:sz w:val="24"/>
          <w:highlight w:val="none"/>
          <w:u w:val="single"/>
        </w:rPr>
        <w:t xml:space="preserve"> </w:t>
      </w:r>
      <w:r>
        <w:rPr>
          <w:rFonts w:hAnsi="Times New Roman"/>
          <w:color w:val="auto"/>
          <w:sz w:val="24"/>
          <w:highlight w:val="none"/>
          <w:u w:val="single"/>
        </w:rPr>
        <w:t xml:space="preserve">                        </w:t>
      </w:r>
      <w:r>
        <w:rPr>
          <w:rFonts w:hAnsi="Times New Roman"/>
          <w:color w:val="auto"/>
          <w:sz w:val="24"/>
          <w:highlight w:val="none"/>
        </w:rPr>
        <w:t xml:space="preserve">               </w:t>
      </w:r>
    </w:p>
    <w:p w14:paraId="0F4422FF">
      <w:pPr>
        <w:pStyle w:val="2"/>
        <w:kinsoku w:val="0"/>
        <w:overflowPunct w:val="0"/>
        <w:spacing w:before="9"/>
        <w:ind w:left="0"/>
        <w:rPr>
          <w:rFonts w:ascii="Times New Roman" w:hAnsi="Times New Roman" w:eastAsia="Times New Roman"/>
          <w:color w:val="auto"/>
          <w:sz w:val="24"/>
          <w:highlight w:val="none"/>
        </w:rPr>
      </w:pPr>
    </w:p>
    <w:p w14:paraId="09D9CE93">
      <w:pPr>
        <w:pStyle w:val="2"/>
        <w:tabs>
          <w:tab w:val="left" w:pos="736"/>
          <w:tab w:val="left" w:pos="1682"/>
          <w:tab w:val="left" w:pos="2626"/>
        </w:tabs>
        <w:kinsoku w:val="0"/>
        <w:overflowPunct w:val="0"/>
        <w:spacing w:before="36"/>
        <w:ind w:left="0" w:right="113"/>
        <w:jc w:val="both"/>
        <w:rPr>
          <w:color w:val="auto"/>
          <w:sz w:val="24"/>
          <w:highlight w:val="none"/>
          <w:u w:val="single"/>
        </w:rPr>
      </w:pPr>
      <w:r>
        <w:rPr>
          <w:color w:val="auto"/>
          <w:sz w:val="24"/>
          <w:highlight w:val="non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213D75C0">
      <w:pPr>
        <w:rPr>
          <w:b/>
          <w:bCs/>
          <w:color w:val="auto"/>
          <w:highlight w:val="none"/>
        </w:rPr>
      </w:pPr>
      <w:r>
        <w:rPr>
          <w:rFonts w:hint="eastAsia" w:ascii="宋体" w:hAnsi="宋体"/>
          <w:b/>
          <w:bCs/>
          <w:color w:val="auto"/>
          <w:szCs w:val="21"/>
          <w:highlight w:val="none"/>
        </w:rPr>
        <w:t>注：如联合体投标的，由联合体主办方提供。</w:t>
      </w:r>
    </w:p>
    <w:p w14:paraId="1B4D391A">
      <w:pPr>
        <w:pStyle w:val="2"/>
        <w:tabs>
          <w:tab w:val="left" w:pos="736"/>
          <w:tab w:val="left" w:pos="1682"/>
          <w:tab w:val="left" w:pos="2626"/>
        </w:tabs>
        <w:kinsoku w:val="0"/>
        <w:overflowPunct w:val="0"/>
        <w:spacing w:before="36"/>
        <w:ind w:left="0"/>
        <w:jc w:val="right"/>
        <w:rPr>
          <w:color w:val="auto"/>
          <w:sz w:val="24"/>
          <w:highlight w:val="none"/>
        </w:rPr>
        <w:sectPr>
          <w:pgSz w:w="11905" w:h="16838"/>
          <w:pgMar w:top="1417" w:right="1417" w:bottom="1417" w:left="1417" w:header="992" w:footer="992" w:gutter="0"/>
          <w:cols w:space="720" w:num="1"/>
        </w:sectPr>
      </w:pPr>
    </w:p>
    <w:p w14:paraId="6A197CF3">
      <w:pPr>
        <w:pStyle w:val="5"/>
        <w:spacing w:before="120" w:after="120"/>
        <w:jc w:val="center"/>
        <w:rPr>
          <w:strike w:val="0"/>
          <w:color w:val="auto"/>
          <w:sz w:val="28"/>
          <w:highlight w:val="none"/>
        </w:rPr>
      </w:pPr>
      <w:bookmarkStart w:id="172" w:name="bookmark181"/>
      <w:bookmarkEnd w:id="172"/>
      <w:bookmarkStart w:id="173" w:name="_Toc22240"/>
      <w:r>
        <w:rPr>
          <w:strike w:val="0"/>
          <w:color w:val="auto"/>
          <w:sz w:val="28"/>
          <w:highlight w:val="none"/>
        </w:rPr>
        <w:t>三、联合体协议书</w:t>
      </w:r>
      <w:bookmarkEnd w:id="173"/>
    </w:p>
    <w:p w14:paraId="42292A50">
      <w:pPr>
        <w:pStyle w:val="2"/>
        <w:tabs>
          <w:tab w:val="left" w:pos="2202"/>
          <w:tab w:val="left" w:pos="6000"/>
        </w:tabs>
        <w:kinsoku w:val="0"/>
        <w:overflowPunct w:val="0"/>
        <w:spacing w:line="360" w:lineRule="auto"/>
        <w:ind w:left="0" w:firstLine="420" w:firstLineChars="200"/>
        <w:rPr>
          <w:strike w:val="0"/>
          <w:color w:val="auto"/>
          <w:spacing w:val="-1"/>
          <w:highlight w:val="none"/>
        </w:rPr>
      </w:pPr>
      <w:r>
        <w:rPr>
          <w:rFonts w:hint="eastAsia" w:ascii="Times New Roman" w:hAnsi="Times New Roman" w:eastAsia="Times New Roman"/>
          <w:strike w:val="0"/>
          <w:color w:val="auto"/>
          <w:highlight w:val="none"/>
          <w:u w:val="single"/>
        </w:rPr>
        <w:t xml:space="preserve"> </w:t>
      </w:r>
      <w:r>
        <w:rPr>
          <w:rFonts w:hint="eastAsia" w:ascii="Times New Roman" w:hAnsi="Times New Roman" w:eastAsia="Times New Roman"/>
          <w:strike w:val="0"/>
          <w:color w:val="auto"/>
          <w:highlight w:val="none"/>
          <w:u w:val="single"/>
        </w:rPr>
        <w:tab/>
      </w:r>
      <w:r>
        <w:rPr>
          <w:strike w:val="0"/>
          <w:color w:val="auto"/>
          <w:spacing w:val="-1"/>
          <w:highlight w:val="none"/>
        </w:rPr>
        <w:t>（所有成员单位名称）自愿组成</w:t>
      </w:r>
      <w:r>
        <w:rPr>
          <w:rFonts w:hint="eastAsia" w:ascii="Times New Roman" w:hAnsi="Times New Roman" w:eastAsia="Times New Roman"/>
          <w:strike w:val="0"/>
          <w:color w:val="auto"/>
          <w:spacing w:val="-1"/>
          <w:highlight w:val="none"/>
          <w:u w:val="single"/>
        </w:rPr>
        <w:tab/>
      </w:r>
      <w:r>
        <w:rPr>
          <w:strike w:val="0"/>
          <w:color w:val="auto"/>
          <w:highlight w:val="none"/>
        </w:rPr>
        <w:t>（联合体名称）联合体，共同</w:t>
      </w:r>
      <w:r>
        <w:rPr>
          <w:strike w:val="0"/>
          <w:color w:val="auto"/>
          <w:spacing w:val="-1"/>
          <w:highlight w:val="none"/>
        </w:rPr>
        <w:t>参加</w:t>
      </w:r>
      <w:r>
        <w:rPr>
          <w:rFonts w:hint="eastAsia" w:ascii="Times New Roman" w:hAnsi="Times New Roman" w:eastAsia="Times New Roman"/>
          <w:strike w:val="0"/>
          <w:color w:val="auto"/>
          <w:spacing w:val="-1"/>
          <w:highlight w:val="none"/>
          <w:u w:val="single"/>
        </w:rPr>
        <w:tab/>
      </w:r>
      <w:r>
        <w:rPr>
          <w:strike w:val="0"/>
          <w:color w:val="auto"/>
          <w:spacing w:val="-1"/>
          <w:highlight w:val="none"/>
        </w:rPr>
        <w:t>（项目名称）监理招标项目投标。现就联合体投标事宜订立如下协议。</w:t>
      </w:r>
    </w:p>
    <w:p w14:paraId="5B34EF8F">
      <w:pPr>
        <w:pStyle w:val="2"/>
        <w:tabs>
          <w:tab w:val="left" w:pos="2673"/>
          <w:tab w:val="left" w:pos="5614"/>
        </w:tabs>
        <w:kinsoku w:val="0"/>
        <w:overflowPunct w:val="0"/>
        <w:spacing w:before="36" w:line="360" w:lineRule="auto"/>
        <w:rPr>
          <w:strike w:val="0"/>
          <w:color w:val="auto"/>
          <w:spacing w:val="-2"/>
          <w:highlight w:val="none"/>
        </w:rPr>
      </w:pPr>
      <w:r>
        <w:rPr>
          <w:rFonts w:hint="eastAsia" w:ascii="Times New Roman" w:hAnsi="Times New Roman" w:eastAsia="Times New Roman"/>
          <w:strike w:val="0"/>
          <w:color w:val="auto"/>
          <w:highlight w:val="none"/>
        </w:rPr>
        <w:t>1.</w:t>
      </w:r>
      <w:r>
        <w:rPr>
          <w:rFonts w:hint="eastAsia" w:ascii="Times New Roman" w:hAnsi="Times New Roman" w:eastAsia="Times New Roman"/>
          <w:strike w:val="0"/>
          <w:color w:val="auto"/>
          <w:highlight w:val="none"/>
          <w:u w:val="single"/>
        </w:rPr>
        <w:tab/>
      </w:r>
      <w:r>
        <w:rPr>
          <w:strike w:val="0"/>
          <w:color w:val="auto"/>
          <w:spacing w:val="-2"/>
          <w:highlight w:val="none"/>
        </w:rPr>
        <w:t>（某成员单位名称）为</w:t>
      </w:r>
      <w:r>
        <w:rPr>
          <w:rFonts w:hint="eastAsia" w:ascii="Times New Roman" w:hAnsi="Times New Roman" w:eastAsia="Times New Roman"/>
          <w:strike w:val="0"/>
          <w:color w:val="auto"/>
          <w:spacing w:val="-2"/>
          <w:highlight w:val="none"/>
          <w:u w:val="single"/>
        </w:rPr>
        <w:tab/>
      </w:r>
      <w:r>
        <w:rPr>
          <w:strike w:val="0"/>
          <w:color w:val="auto"/>
          <w:spacing w:val="-2"/>
          <w:highlight w:val="none"/>
        </w:rPr>
        <w:t>（联合体名称）主办方。</w:t>
      </w:r>
    </w:p>
    <w:p w14:paraId="4342D480">
      <w:pPr>
        <w:pStyle w:val="2"/>
        <w:kinsoku w:val="0"/>
        <w:overflowPunct w:val="0"/>
        <w:spacing w:before="148" w:line="360" w:lineRule="auto"/>
        <w:ind w:left="100" w:firstLine="419"/>
        <w:rPr>
          <w:strike w:val="0"/>
          <w:color w:val="auto"/>
          <w:highlight w:val="none"/>
        </w:rPr>
      </w:pPr>
      <w:r>
        <w:rPr>
          <w:rFonts w:hint="eastAsia" w:ascii="Times New Roman" w:hAnsi="Times New Roman" w:eastAsia="Times New Roman"/>
          <w:strike w:val="0"/>
          <w:color w:val="auto"/>
          <w:highlight w:val="none"/>
        </w:rPr>
        <w:t>2.</w:t>
      </w:r>
      <w:r>
        <w:rPr>
          <w:rFonts w:hint="eastAsia" w:ascii="Times New Roman" w:hAnsi="Times New Roman" w:eastAsia="Times New Roman"/>
          <w:strike w:val="0"/>
          <w:color w:val="auto"/>
          <w:spacing w:val="50"/>
          <w:highlight w:val="none"/>
        </w:rPr>
        <w:t xml:space="preserve"> </w:t>
      </w:r>
      <w:r>
        <w:rPr>
          <w:strike w:val="0"/>
          <w:color w:val="auto"/>
          <w:spacing w:val="-5"/>
          <w:highlight w:val="none"/>
        </w:rPr>
        <w:t>联合体各成员授权</w:t>
      </w:r>
      <w:r>
        <w:rPr>
          <w:strike w:val="0"/>
          <w:color w:val="auto"/>
          <w:spacing w:val="-2"/>
          <w:highlight w:val="none"/>
        </w:rPr>
        <w:t>主办方</w:t>
      </w:r>
      <w:r>
        <w:rPr>
          <w:strike w:val="0"/>
          <w:color w:val="auto"/>
          <w:spacing w:val="-5"/>
          <w:highlight w:val="none"/>
        </w:rPr>
        <w:t>代表联合体参加投标活动，签署文件，提交和接收相关的资料、</w:t>
      </w:r>
      <w:r>
        <w:rPr>
          <w:strike w:val="0"/>
          <w:color w:val="auto"/>
          <w:highlight w:val="none"/>
        </w:rPr>
        <w:t xml:space="preserve"> 信息及指示，进行合同谈判活动，负责合同实施阶段的组织和协调工作，以及处理与本招标项</w:t>
      </w:r>
      <w:r>
        <w:rPr>
          <w:strike w:val="0"/>
          <w:color w:val="auto"/>
          <w:spacing w:val="-78"/>
          <w:highlight w:val="none"/>
        </w:rPr>
        <w:t xml:space="preserve"> </w:t>
      </w:r>
      <w:r>
        <w:rPr>
          <w:strike w:val="0"/>
          <w:color w:val="auto"/>
          <w:highlight w:val="none"/>
        </w:rPr>
        <w:t>目有关的一切事宜。</w:t>
      </w:r>
    </w:p>
    <w:p w14:paraId="244E351D">
      <w:pPr>
        <w:pStyle w:val="2"/>
        <w:kinsoku w:val="0"/>
        <w:overflowPunct w:val="0"/>
        <w:spacing w:before="46" w:line="360" w:lineRule="auto"/>
        <w:ind w:left="100" w:firstLine="419"/>
        <w:rPr>
          <w:strike w:val="0"/>
          <w:color w:val="auto"/>
          <w:highlight w:val="none"/>
        </w:rPr>
      </w:pPr>
      <w:r>
        <w:rPr>
          <w:rFonts w:hint="eastAsia" w:ascii="Times New Roman" w:hAnsi="Times New Roman" w:eastAsia="Times New Roman"/>
          <w:strike w:val="0"/>
          <w:color w:val="auto"/>
          <w:highlight w:val="none"/>
        </w:rPr>
        <w:t>3.</w:t>
      </w:r>
      <w:r>
        <w:rPr>
          <w:rFonts w:hint="eastAsia" w:ascii="Times New Roman" w:hAnsi="Times New Roman" w:eastAsia="Times New Roman"/>
          <w:strike w:val="0"/>
          <w:color w:val="auto"/>
          <w:spacing w:val="20"/>
          <w:highlight w:val="none"/>
        </w:rPr>
        <w:t xml:space="preserve"> </w:t>
      </w:r>
      <w:r>
        <w:rPr>
          <w:strike w:val="0"/>
          <w:color w:val="auto"/>
          <w:spacing w:val="-3"/>
          <w:highlight w:val="none"/>
        </w:rPr>
        <w:t>联合体</w:t>
      </w:r>
      <w:r>
        <w:rPr>
          <w:strike w:val="0"/>
          <w:color w:val="auto"/>
          <w:spacing w:val="-2"/>
          <w:highlight w:val="none"/>
        </w:rPr>
        <w:t>主办方</w:t>
      </w:r>
      <w:r>
        <w:rPr>
          <w:strike w:val="0"/>
          <w:color w:val="auto"/>
          <w:spacing w:val="-3"/>
          <w:highlight w:val="none"/>
        </w:rPr>
        <w:t>在本项目中签署的一切文件和处理的一切事宜，联合体各成员均予以承认。</w:t>
      </w:r>
      <w:r>
        <w:rPr>
          <w:strike w:val="0"/>
          <w:color w:val="auto"/>
          <w:highlight w:val="none"/>
        </w:rPr>
        <w:t xml:space="preserve"> 联合体各成员将严格按照招标文件、投标文件和合同的要求全面履行义务，并向招标人承担连</w:t>
      </w:r>
      <w:r>
        <w:rPr>
          <w:strike w:val="0"/>
          <w:color w:val="auto"/>
          <w:spacing w:val="-77"/>
          <w:highlight w:val="none"/>
        </w:rPr>
        <w:t xml:space="preserve"> </w:t>
      </w:r>
      <w:r>
        <w:rPr>
          <w:strike w:val="0"/>
          <w:color w:val="auto"/>
          <w:highlight w:val="none"/>
        </w:rPr>
        <w:t>带责任。</w:t>
      </w:r>
    </w:p>
    <w:p w14:paraId="0A4380ED">
      <w:pPr>
        <w:pStyle w:val="2"/>
        <w:kinsoku w:val="0"/>
        <w:overflowPunct w:val="0"/>
        <w:spacing w:before="46" w:line="360" w:lineRule="auto"/>
        <w:ind w:left="100" w:firstLine="419"/>
        <w:rPr>
          <w:strike w:val="0"/>
          <w:color w:val="auto"/>
          <w:spacing w:val="-3"/>
          <w:highlight w:val="none"/>
        </w:rPr>
      </w:pPr>
      <w:bookmarkStart w:id="174" w:name="_Toc29760"/>
      <w:r>
        <w:rPr>
          <w:rFonts w:hint="eastAsia"/>
          <w:strike w:val="0"/>
          <w:color w:val="auto"/>
          <w:spacing w:val="-3"/>
          <w:highlight w:val="none"/>
        </w:rPr>
        <w:t>4.</w:t>
      </w:r>
      <w:r>
        <w:rPr>
          <w:strike w:val="0"/>
          <w:color w:val="auto"/>
          <w:spacing w:val="-3"/>
          <w:highlight w:val="none"/>
        </w:rPr>
        <w:t>联合体各成员单位内部的职责分工如下：</w:t>
      </w:r>
      <w:r>
        <w:rPr>
          <w:rFonts w:hint="eastAsia"/>
          <w:strike w:val="0"/>
          <w:color w:val="auto"/>
          <w:spacing w:val="-3"/>
          <w:highlight w:val="none"/>
          <w:u w:val="single"/>
        </w:rPr>
        <w:t xml:space="preserve">                     </w:t>
      </w:r>
      <w:r>
        <w:rPr>
          <w:rFonts w:hint="eastAsia"/>
          <w:strike w:val="0"/>
          <w:color w:val="auto"/>
          <w:spacing w:val="-3"/>
          <w:highlight w:val="none"/>
          <w:u w:val="single"/>
        </w:rPr>
        <w:tab/>
      </w:r>
      <w:r>
        <w:rPr>
          <w:strike w:val="0"/>
          <w:color w:val="auto"/>
          <w:spacing w:val="-3"/>
          <w:highlight w:val="none"/>
        </w:rPr>
        <w:t>。</w:t>
      </w:r>
      <w:bookmarkEnd w:id="174"/>
    </w:p>
    <w:p w14:paraId="54085C7C">
      <w:pPr>
        <w:pStyle w:val="2"/>
        <w:kinsoku w:val="0"/>
        <w:overflowPunct w:val="0"/>
        <w:spacing w:before="151" w:line="360" w:lineRule="auto"/>
        <w:ind w:left="100" w:firstLine="419"/>
        <w:rPr>
          <w:strike w:val="0"/>
          <w:color w:val="auto"/>
          <w:highlight w:val="none"/>
        </w:rPr>
      </w:pPr>
      <w:r>
        <w:rPr>
          <w:rFonts w:hint="eastAsia" w:ascii="Times New Roman" w:hAnsi="Times New Roman" w:eastAsia="Times New Roman"/>
          <w:strike w:val="0"/>
          <w:color w:val="auto"/>
          <w:highlight w:val="none"/>
        </w:rPr>
        <w:t>5.</w:t>
      </w:r>
      <w:r>
        <w:rPr>
          <w:rFonts w:hint="eastAsia" w:ascii="Times New Roman" w:hAnsi="Times New Roman" w:eastAsia="Times New Roman"/>
          <w:strike w:val="0"/>
          <w:color w:val="auto"/>
          <w:spacing w:val="27"/>
          <w:highlight w:val="none"/>
        </w:rPr>
        <w:t xml:space="preserve"> </w:t>
      </w:r>
      <w:r>
        <w:rPr>
          <w:strike w:val="0"/>
          <w:color w:val="auto"/>
          <w:highlight w:val="none"/>
        </w:rPr>
        <w:t>本协议书自所有成员单位法定代表人或其委托代理人签字或盖单位章之日起生效，合同 履行完毕后自动失效。</w:t>
      </w:r>
    </w:p>
    <w:p w14:paraId="77E92CAE">
      <w:pPr>
        <w:pStyle w:val="2"/>
        <w:tabs>
          <w:tab w:val="left" w:pos="2464"/>
        </w:tabs>
        <w:kinsoku w:val="0"/>
        <w:overflowPunct w:val="0"/>
        <w:spacing w:before="57" w:line="360" w:lineRule="auto"/>
        <w:rPr>
          <w:strike w:val="0"/>
          <w:color w:val="auto"/>
          <w:highlight w:val="none"/>
        </w:rPr>
      </w:pPr>
      <w:r>
        <w:rPr>
          <w:rFonts w:hint="eastAsia" w:ascii="Times New Roman" w:hAnsi="Times New Roman" w:eastAsia="Times New Roman"/>
          <w:strike w:val="0"/>
          <w:color w:val="auto"/>
          <w:highlight w:val="none"/>
        </w:rPr>
        <w:t>6.</w:t>
      </w:r>
      <w:r>
        <w:rPr>
          <w:rFonts w:hint="eastAsia" w:ascii="Times New Roman" w:hAnsi="Times New Roman" w:eastAsia="Times New Roman"/>
          <w:strike w:val="0"/>
          <w:color w:val="auto"/>
          <w:spacing w:val="50"/>
          <w:highlight w:val="none"/>
        </w:rPr>
        <w:t xml:space="preserve"> </w:t>
      </w:r>
      <w:r>
        <w:rPr>
          <w:strike w:val="0"/>
          <w:color w:val="auto"/>
          <w:highlight w:val="none"/>
        </w:rPr>
        <w:t>本协议书一式</w:t>
      </w:r>
      <w:r>
        <w:rPr>
          <w:rFonts w:hint="eastAsia" w:ascii="Times New Roman" w:hAnsi="Times New Roman" w:eastAsia="Times New Roman"/>
          <w:strike w:val="0"/>
          <w:color w:val="auto"/>
          <w:highlight w:val="none"/>
          <w:u w:val="single"/>
        </w:rPr>
        <w:tab/>
      </w:r>
      <w:r>
        <w:rPr>
          <w:rFonts w:hAnsi="Times New Roman"/>
          <w:strike w:val="0"/>
          <w:color w:val="auto"/>
          <w:highlight w:val="none"/>
          <w:u w:val="single"/>
        </w:rPr>
        <w:t xml:space="preserve">     </w:t>
      </w:r>
      <w:r>
        <w:rPr>
          <w:strike w:val="0"/>
          <w:color w:val="auto"/>
          <w:highlight w:val="none"/>
        </w:rPr>
        <w:t>份，联合体成员和招标人各执一份。</w:t>
      </w:r>
    </w:p>
    <w:p w14:paraId="45F93C56">
      <w:pPr>
        <w:pStyle w:val="2"/>
        <w:kinsoku w:val="0"/>
        <w:overflowPunct w:val="0"/>
        <w:spacing w:before="36" w:line="360" w:lineRule="auto"/>
        <w:ind w:left="100" w:firstLine="419"/>
        <w:rPr>
          <w:strike w:val="0"/>
          <w:color w:val="auto"/>
          <w:highlight w:val="none"/>
        </w:rPr>
      </w:pPr>
      <w:r>
        <w:rPr>
          <w:strike w:val="0"/>
          <w:color w:val="auto"/>
          <w:spacing w:val="-1"/>
          <w:highlight w:val="none"/>
        </w:rPr>
        <w:t>注：本协议书由法定代表人签字的，应附法定代表人身份证明；由委托代理人签字的，应附法定代表人身份证明和</w:t>
      </w:r>
      <w:r>
        <w:rPr>
          <w:strike w:val="0"/>
          <w:color w:val="auto"/>
          <w:highlight w:val="none"/>
        </w:rPr>
        <w:t>授权委托书。</w:t>
      </w:r>
    </w:p>
    <w:p w14:paraId="37775DDC">
      <w:pPr>
        <w:pStyle w:val="2"/>
        <w:kinsoku w:val="0"/>
        <w:overflowPunct w:val="0"/>
        <w:spacing w:before="36" w:line="360" w:lineRule="auto"/>
        <w:ind w:left="100" w:firstLine="419"/>
        <w:rPr>
          <w:strike w:val="0"/>
          <w:color w:val="auto"/>
          <w:highlight w:val="none"/>
        </w:rPr>
      </w:pPr>
    </w:p>
    <w:p w14:paraId="39C8D7BC">
      <w:pPr>
        <w:pStyle w:val="2"/>
        <w:tabs>
          <w:tab w:val="left" w:pos="7241"/>
        </w:tabs>
        <w:kinsoku w:val="0"/>
        <w:overflowPunct w:val="0"/>
        <w:spacing w:line="360" w:lineRule="auto"/>
        <w:ind w:left="2510"/>
        <w:rPr>
          <w:strike w:val="0"/>
          <w:color w:val="auto"/>
          <w:highlight w:val="none"/>
        </w:rPr>
      </w:pPr>
      <w:r>
        <w:rPr>
          <w:strike w:val="0"/>
          <w:color w:val="auto"/>
          <w:spacing w:val="-2"/>
          <w:highlight w:val="none"/>
        </w:rPr>
        <w:t>联合体主办方名称：</w:t>
      </w:r>
      <w:r>
        <w:rPr>
          <w:rFonts w:hint="eastAsia" w:ascii="Times New Roman" w:hAnsi="Times New Roman" w:eastAsia="Times New Roman"/>
          <w:strike w:val="0"/>
          <w:color w:val="auto"/>
          <w:spacing w:val="-2"/>
          <w:highlight w:val="none"/>
          <w:u w:val="single"/>
        </w:rPr>
        <w:tab/>
      </w:r>
      <w:r>
        <w:rPr>
          <w:strike w:val="0"/>
          <w:color w:val="auto"/>
          <w:spacing w:val="-1"/>
          <w:highlight w:val="none"/>
        </w:rPr>
        <w:t>（盖单位章）</w:t>
      </w:r>
    </w:p>
    <w:p w14:paraId="0246100D">
      <w:pPr>
        <w:pStyle w:val="2"/>
        <w:tabs>
          <w:tab w:val="left" w:pos="6401"/>
        </w:tabs>
        <w:kinsoku w:val="0"/>
        <w:overflowPunct w:val="0"/>
        <w:spacing w:before="36" w:line="360" w:lineRule="auto"/>
        <w:ind w:left="2510"/>
        <w:rPr>
          <w:strike w:val="0"/>
          <w:color w:val="auto"/>
          <w:highlight w:val="none"/>
        </w:rPr>
      </w:pPr>
      <w:r>
        <w:rPr>
          <w:strike w:val="0"/>
          <w:color w:val="auto"/>
          <w:spacing w:val="-2"/>
          <w:highlight w:val="none"/>
        </w:rPr>
        <w:t>法定代表人或其委托代理人：</w:t>
      </w:r>
      <w:r>
        <w:rPr>
          <w:rFonts w:hint="eastAsia" w:ascii="Times New Roman" w:hAnsi="Times New Roman" w:eastAsia="Times New Roman"/>
          <w:strike w:val="0"/>
          <w:color w:val="auto"/>
          <w:spacing w:val="-2"/>
          <w:highlight w:val="none"/>
          <w:u w:val="single"/>
        </w:rPr>
        <w:tab/>
      </w:r>
      <w:r>
        <w:rPr>
          <w:rFonts w:hAnsi="Times New Roman"/>
          <w:strike w:val="0"/>
          <w:color w:val="auto"/>
          <w:spacing w:val="-2"/>
          <w:highlight w:val="none"/>
          <w:u w:val="single"/>
        </w:rPr>
        <w:t xml:space="preserve">       </w:t>
      </w:r>
      <w:r>
        <w:rPr>
          <w:strike w:val="0"/>
          <w:color w:val="auto"/>
          <w:spacing w:val="-1"/>
          <w:highlight w:val="none"/>
        </w:rPr>
        <w:t>（签字）</w:t>
      </w:r>
    </w:p>
    <w:p w14:paraId="20561D6F">
      <w:pPr>
        <w:pStyle w:val="2"/>
        <w:tabs>
          <w:tab w:val="left" w:pos="7241"/>
        </w:tabs>
        <w:kinsoku w:val="0"/>
        <w:overflowPunct w:val="0"/>
        <w:spacing w:before="36" w:line="360" w:lineRule="auto"/>
        <w:ind w:left="2510"/>
        <w:rPr>
          <w:strike w:val="0"/>
          <w:color w:val="auto"/>
          <w:highlight w:val="none"/>
        </w:rPr>
      </w:pPr>
      <w:r>
        <w:rPr>
          <w:strike w:val="0"/>
          <w:color w:val="auto"/>
          <w:spacing w:val="-2"/>
          <w:highlight w:val="none"/>
        </w:rPr>
        <w:t>联合体成员名称：</w:t>
      </w:r>
      <w:r>
        <w:rPr>
          <w:rFonts w:hint="eastAsia" w:ascii="Times New Roman" w:hAnsi="Times New Roman" w:eastAsia="Times New Roman"/>
          <w:strike w:val="0"/>
          <w:color w:val="auto"/>
          <w:spacing w:val="-2"/>
          <w:highlight w:val="none"/>
          <w:u w:val="single"/>
        </w:rPr>
        <w:tab/>
      </w:r>
      <w:r>
        <w:rPr>
          <w:strike w:val="0"/>
          <w:color w:val="auto"/>
          <w:spacing w:val="-1"/>
          <w:highlight w:val="none"/>
        </w:rPr>
        <w:t>（盖单位章）</w:t>
      </w:r>
    </w:p>
    <w:p w14:paraId="71D4433F">
      <w:pPr>
        <w:pStyle w:val="2"/>
        <w:tabs>
          <w:tab w:val="left" w:pos="6187"/>
        </w:tabs>
        <w:kinsoku w:val="0"/>
        <w:overflowPunct w:val="0"/>
        <w:spacing w:before="36" w:line="360" w:lineRule="auto"/>
        <w:ind w:left="2510"/>
        <w:rPr>
          <w:strike w:val="0"/>
          <w:color w:val="auto"/>
          <w:highlight w:val="none"/>
        </w:rPr>
      </w:pPr>
      <w:r>
        <w:rPr>
          <w:strike w:val="0"/>
          <w:color w:val="auto"/>
          <w:spacing w:val="-2"/>
          <w:highlight w:val="none"/>
        </w:rPr>
        <w:t>法定代表人或其委托代理人：</w:t>
      </w:r>
      <w:r>
        <w:rPr>
          <w:rFonts w:hint="eastAsia" w:ascii="Times New Roman" w:hAnsi="Times New Roman" w:eastAsia="Times New Roman"/>
          <w:strike w:val="0"/>
          <w:color w:val="auto"/>
          <w:spacing w:val="-2"/>
          <w:highlight w:val="none"/>
          <w:u w:val="single"/>
        </w:rPr>
        <w:tab/>
      </w:r>
      <w:r>
        <w:rPr>
          <w:rFonts w:hAnsi="Times New Roman"/>
          <w:strike w:val="0"/>
          <w:color w:val="auto"/>
          <w:spacing w:val="-2"/>
          <w:highlight w:val="none"/>
          <w:u w:val="single"/>
        </w:rPr>
        <w:t xml:space="preserve">         </w:t>
      </w:r>
      <w:r>
        <w:rPr>
          <w:strike w:val="0"/>
          <w:color w:val="auto"/>
          <w:spacing w:val="-1"/>
          <w:highlight w:val="none"/>
        </w:rPr>
        <w:t>（签字）</w:t>
      </w:r>
    </w:p>
    <w:p w14:paraId="268ED597">
      <w:pPr>
        <w:pStyle w:val="2"/>
        <w:tabs>
          <w:tab w:val="left" w:pos="7241"/>
        </w:tabs>
        <w:kinsoku w:val="0"/>
        <w:overflowPunct w:val="0"/>
        <w:spacing w:before="36" w:line="360" w:lineRule="auto"/>
        <w:ind w:left="2510"/>
        <w:rPr>
          <w:strike w:val="0"/>
          <w:color w:val="auto"/>
          <w:highlight w:val="none"/>
        </w:rPr>
      </w:pPr>
      <w:r>
        <w:rPr>
          <w:strike w:val="0"/>
          <w:color w:val="auto"/>
          <w:spacing w:val="-2"/>
          <w:highlight w:val="none"/>
        </w:rPr>
        <w:t>联合体成员名称：</w:t>
      </w:r>
      <w:r>
        <w:rPr>
          <w:rFonts w:hint="eastAsia" w:ascii="Times New Roman" w:hAnsi="Times New Roman" w:eastAsia="Times New Roman"/>
          <w:strike w:val="0"/>
          <w:color w:val="auto"/>
          <w:spacing w:val="-2"/>
          <w:highlight w:val="none"/>
          <w:u w:val="single"/>
        </w:rPr>
        <w:tab/>
      </w:r>
      <w:r>
        <w:rPr>
          <w:strike w:val="0"/>
          <w:color w:val="auto"/>
          <w:spacing w:val="-1"/>
          <w:highlight w:val="none"/>
        </w:rPr>
        <w:t>（盖单位章）</w:t>
      </w:r>
    </w:p>
    <w:p w14:paraId="2142887D">
      <w:pPr>
        <w:pStyle w:val="2"/>
        <w:tabs>
          <w:tab w:val="left" w:pos="6187"/>
        </w:tabs>
        <w:kinsoku w:val="0"/>
        <w:overflowPunct w:val="0"/>
        <w:spacing w:before="36" w:line="360" w:lineRule="auto"/>
        <w:ind w:left="2510"/>
        <w:rPr>
          <w:strike w:val="0"/>
          <w:color w:val="auto"/>
          <w:spacing w:val="-1"/>
          <w:highlight w:val="none"/>
        </w:rPr>
      </w:pPr>
      <w:r>
        <w:rPr>
          <w:strike w:val="0"/>
          <w:color w:val="auto"/>
          <w:spacing w:val="-2"/>
          <w:highlight w:val="none"/>
        </w:rPr>
        <w:t>法定代表人或其委托代理人：</w:t>
      </w:r>
      <w:r>
        <w:rPr>
          <w:rFonts w:hint="eastAsia" w:ascii="Times New Roman" w:hAnsi="Times New Roman" w:eastAsia="Times New Roman"/>
          <w:strike w:val="0"/>
          <w:color w:val="auto"/>
          <w:spacing w:val="-2"/>
          <w:highlight w:val="none"/>
          <w:u w:val="single"/>
        </w:rPr>
        <w:tab/>
      </w:r>
      <w:r>
        <w:rPr>
          <w:rFonts w:hAnsi="Times New Roman"/>
          <w:strike w:val="0"/>
          <w:color w:val="auto"/>
          <w:spacing w:val="-2"/>
          <w:highlight w:val="none"/>
          <w:u w:val="single"/>
        </w:rPr>
        <w:t xml:space="preserve">         </w:t>
      </w:r>
      <w:r>
        <w:rPr>
          <w:strike w:val="0"/>
          <w:color w:val="auto"/>
          <w:spacing w:val="-1"/>
          <w:highlight w:val="none"/>
        </w:rPr>
        <w:t>（签字）</w:t>
      </w:r>
    </w:p>
    <w:p w14:paraId="6BB00E96">
      <w:pPr>
        <w:pStyle w:val="2"/>
        <w:kinsoku w:val="0"/>
        <w:overflowPunct w:val="0"/>
        <w:spacing w:before="12"/>
        <w:ind w:left="0"/>
        <w:rPr>
          <w:strike w:val="0"/>
          <w:color w:val="auto"/>
          <w:highlight w:val="none"/>
        </w:rPr>
      </w:pPr>
    </w:p>
    <w:p w14:paraId="7EE91E50">
      <w:pPr>
        <w:pStyle w:val="2"/>
        <w:tabs>
          <w:tab w:val="left" w:pos="4538"/>
          <w:tab w:val="left" w:pos="5484"/>
          <w:tab w:val="left" w:pos="6427"/>
        </w:tabs>
        <w:kinsoku w:val="0"/>
        <w:overflowPunct w:val="0"/>
        <w:spacing w:before="36"/>
        <w:ind w:left="3801"/>
        <w:rPr>
          <w:strike/>
          <w:color w:val="auto"/>
          <w:highlight w:val="none"/>
        </w:rPr>
      </w:pPr>
      <w:r>
        <w:rPr>
          <w:rFonts w:hint="eastAsia" w:ascii="Times New Roman" w:hAnsi="Times New Roman" w:eastAsia="Times New Roman"/>
          <w:strike w:val="0"/>
          <w:color w:val="auto"/>
          <w:highlight w:val="none"/>
          <w:u w:val="single"/>
        </w:rPr>
        <w:t xml:space="preserve"> </w:t>
      </w:r>
      <w:r>
        <w:rPr>
          <w:rFonts w:hint="eastAsia" w:ascii="Times New Roman" w:hAnsi="Times New Roman" w:eastAsia="Times New Roman"/>
          <w:strike w:val="0"/>
          <w:color w:val="auto"/>
          <w:highlight w:val="none"/>
          <w:u w:val="single"/>
        </w:rPr>
        <w:tab/>
      </w:r>
      <w:r>
        <w:rPr>
          <w:strike w:val="0"/>
          <w:color w:val="auto"/>
          <w:highlight w:val="none"/>
        </w:rPr>
        <w:t>年</w:t>
      </w:r>
      <w:r>
        <w:rPr>
          <w:rFonts w:hint="eastAsia" w:ascii="Times New Roman" w:hAnsi="Times New Roman" w:eastAsia="Times New Roman"/>
          <w:strike w:val="0"/>
          <w:color w:val="auto"/>
          <w:highlight w:val="none"/>
          <w:u w:val="single"/>
        </w:rPr>
        <w:tab/>
      </w:r>
      <w:r>
        <w:rPr>
          <w:strike w:val="0"/>
          <w:color w:val="auto"/>
          <w:spacing w:val="-3"/>
          <w:highlight w:val="none"/>
        </w:rPr>
        <w:t>月</w:t>
      </w:r>
      <w:r>
        <w:rPr>
          <w:rFonts w:hint="eastAsia" w:ascii="Times New Roman" w:hAnsi="Times New Roman" w:eastAsia="Times New Roman"/>
          <w:strike w:val="0"/>
          <w:color w:val="auto"/>
          <w:spacing w:val="-3"/>
          <w:highlight w:val="none"/>
          <w:u w:val="single"/>
        </w:rPr>
        <w:tab/>
      </w:r>
      <w:r>
        <w:rPr>
          <w:strike w:val="0"/>
          <w:color w:val="auto"/>
          <w:highlight w:val="none"/>
        </w:rPr>
        <w:t>日</w:t>
      </w:r>
    </w:p>
    <w:p w14:paraId="3774B97B">
      <w:pPr>
        <w:pStyle w:val="2"/>
        <w:tabs>
          <w:tab w:val="left" w:pos="4538"/>
          <w:tab w:val="left" w:pos="5484"/>
          <w:tab w:val="left" w:pos="6427"/>
        </w:tabs>
        <w:kinsoku w:val="0"/>
        <w:overflowPunct w:val="0"/>
        <w:spacing w:before="36"/>
        <w:ind w:left="3801"/>
        <w:rPr>
          <w:strike/>
          <w:color w:val="auto"/>
          <w:highlight w:val="none"/>
        </w:rPr>
        <w:sectPr>
          <w:pgSz w:w="11905" w:h="16838"/>
          <w:pgMar w:top="1417" w:right="1417" w:bottom="1417" w:left="1417" w:header="992" w:footer="992" w:gutter="0"/>
          <w:cols w:space="720" w:num="1"/>
        </w:sectPr>
      </w:pPr>
    </w:p>
    <w:p w14:paraId="7760203F">
      <w:pPr>
        <w:pStyle w:val="15"/>
        <w:spacing w:line="560" w:lineRule="exact"/>
        <w:ind w:firstLine="643" w:firstLineChars="200"/>
        <w:jc w:val="center"/>
        <w:rPr>
          <w:rFonts w:hAnsi="宋体" w:cs="宋体"/>
          <w:b/>
          <w:bCs/>
          <w:color w:val="auto"/>
          <w:sz w:val="36"/>
          <w:szCs w:val="36"/>
          <w:highlight w:val="none"/>
        </w:rPr>
      </w:pPr>
      <w:bookmarkStart w:id="175" w:name="bookmark182"/>
      <w:bookmarkEnd w:id="175"/>
      <w:bookmarkStart w:id="176" w:name="_Toc10216"/>
      <w:r>
        <w:rPr>
          <w:rFonts w:hint="eastAsia" w:hAnsi="宋体" w:cs="宋体"/>
          <w:b/>
          <w:bCs/>
          <w:color w:val="auto"/>
          <w:sz w:val="32"/>
          <w:szCs w:val="32"/>
          <w:highlight w:val="none"/>
          <w:lang w:val="zh-CN"/>
        </w:rPr>
        <w:t>四、关于投标保证金的承诺</w:t>
      </w:r>
    </w:p>
    <w:p w14:paraId="53B03FF9">
      <w:pPr>
        <w:pStyle w:val="15"/>
        <w:spacing w:line="560" w:lineRule="exact"/>
        <w:ind w:firstLine="640" w:firstLineChars="200"/>
        <w:rPr>
          <w:rFonts w:hAnsi="宋体" w:cs="宋体"/>
          <w:strike/>
          <w:color w:val="auto"/>
          <w:sz w:val="32"/>
          <w:szCs w:val="32"/>
          <w:highlight w:val="none"/>
        </w:rPr>
      </w:pPr>
    </w:p>
    <w:p w14:paraId="313696C7">
      <w:pPr>
        <w:spacing w:line="360" w:lineRule="auto"/>
        <w:rPr>
          <w:rFonts w:ascii="宋体" w:hAnsi="宋体" w:cs="宋体"/>
          <w:color w:val="auto"/>
          <w:highlight w:val="none"/>
        </w:rPr>
      </w:pPr>
      <w:r>
        <w:rPr>
          <w:rFonts w:hint="eastAsia" w:ascii="宋体" w:hAnsi="宋体" w:cs="宋体"/>
          <w:color w:val="auto"/>
          <w:highlight w:val="none"/>
        </w:rPr>
        <w:t>本招标项目招标人及招标监管机构：</w:t>
      </w:r>
    </w:p>
    <w:p w14:paraId="5B16E12D">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本公司就参加</w:t>
      </w:r>
      <w:r>
        <w:rPr>
          <w:rFonts w:hint="eastAsia" w:ascii="宋体" w:hAnsi="宋体" w:cs="宋体"/>
          <w:color w:val="auto"/>
          <w:highlight w:val="none"/>
          <w:u w:val="single"/>
        </w:rPr>
        <w:t xml:space="preserve">      （项目名称）     </w:t>
      </w:r>
      <w:r>
        <w:rPr>
          <w:rFonts w:hint="eastAsia" w:ascii="宋体" w:hAnsi="宋体" w:cs="宋体"/>
          <w:color w:val="auto"/>
          <w:highlight w:val="none"/>
        </w:rPr>
        <w:t>项目的投标工作，作出郑重声明：</w:t>
      </w:r>
    </w:p>
    <w:p w14:paraId="64822FF1">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color w:val="auto"/>
          <w:highlight w:val="none"/>
          <w:lang w:val="zh-CN"/>
        </w:rPr>
        <w:t>一旦发生符合招标文件规定的不予退还投标保证金情形的，将</w:t>
      </w:r>
      <w:r>
        <w:rPr>
          <w:rFonts w:hint="eastAsia" w:ascii="宋体" w:hAnsi="宋体" w:cs="宋体"/>
          <w:color w:val="auto"/>
          <w:highlight w:val="none"/>
        </w:rPr>
        <w:t>按照招标人的要求，在规定的时间内向招标人足额补交投标保证金。</w:t>
      </w:r>
    </w:p>
    <w:p w14:paraId="7CE429C1">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本公司违反上述保证的，将被视为虚假承诺，按相关规定进行信用记录。本公司对失信行为产生的一切后果已知悉，并承担由此产生的相应责任。</w:t>
      </w:r>
    </w:p>
    <w:p w14:paraId="6EEDF47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7F3BC775">
      <w:pPr>
        <w:spacing w:line="360" w:lineRule="auto"/>
        <w:ind w:firstLine="480" w:firstLineChars="200"/>
        <w:rPr>
          <w:rFonts w:ascii="宋体" w:hAnsi="宋体" w:cs="宋体"/>
          <w:color w:val="auto"/>
          <w:highlight w:val="none"/>
        </w:rPr>
      </w:pPr>
    </w:p>
    <w:p w14:paraId="0C23F688">
      <w:pPr>
        <w:spacing w:line="360" w:lineRule="auto"/>
        <w:rPr>
          <w:rFonts w:ascii="宋体" w:hAnsi="宋体" w:cs="宋体"/>
          <w:color w:val="auto"/>
          <w:highlight w:val="none"/>
        </w:rPr>
      </w:pPr>
    </w:p>
    <w:p w14:paraId="5D259D53">
      <w:pPr>
        <w:spacing w:line="360" w:lineRule="auto"/>
        <w:ind w:firstLine="3120" w:firstLineChars="1300"/>
        <w:rPr>
          <w:rFonts w:ascii="宋体" w:hAnsi="宋体" w:cs="宋体"/>
          <w:color w:val="auto"/>
          <w:highlight w:val="none"/>
        </w:rPr>
      </w:pPr>
      <w:r>
        <w:rPr>
          <w:rFonts w:hint="eastAsia" w:ascii="宋体" w:hAnsi="宋体" w:cs="宋体"/>
          <w:color w:val="auto"/>
          <w:highlight w:val="none"/>
        </w:rPr>
        <w:t>投标人：　　（盖章）</w:t>
      </w:r>
    </w:p>
    <w:p w14:paraId="3B2AE806">
      <w:pPr>
        <w:pStyle w:val="5"/>
        <w:spacing w:before="120" w:after="120"/>
        <w:jc w:val="center"/>
        <w:rPr>
          <w:b w:val="0"/>
          <w:color w:val="auto"/>
          <w:sz w:val="28"/>
          <w:highlight w:val="none"/>
        </w:rPr>
      </w:pPr>
      <w:r>
        <w:rPr>
          <w:rFonts w:hint="eastAsia" w:cs="宋体"/>
          <w:b w:val="0"/>
          <w:color w:val="auto"/>
          <w:highlight w:val="none"/>
        </w:rPr>
        <w:t>日  期：</w:t>
      </w:r>
      <w:bookmarkEnd w:id="176"/>
    </w:p>
    <w:p w14:paraId="78B7E5F9">
      <w:pPr>
        <w:pStyle w:val="2"/>
        <w:kinsoku w:val="0"/>
        <w:overflowPunct w:val="0"/>
        <w:spacing w:before="15" w:line="360" w:lineRule="auto"/>
        <w:ind w:left="0"/>
        <w:rPr>
          <w:rFonts w:cs="宋体"/>
          <w:b/>
          <w:color w:val="auto"/>
          <w:szCs w:val="21"/>
          <w:highlight w:val="none"/>
        </w:rPr>
      </w:pPr>
    </w:p>
    <w:p w14:paraId="24927DCC">
      <w:pPr>
        <w:pStyle w:val="5"/>
        <w:spacing w:before="120" w:after="120"/>
        <w:jc w:val="center"/>
        <w:rPr>
          <w:color w:val="auto"/>
          <w:highlight w:val="none"/>
        </w:rPr>
        <w:sectPr>
          <w:pgSz w:w="11905" w:h="16838"/>
          <w:pgMar w:top="1417" w:right="1417" w:bottom="1417" w:left="1417" w:header="992" w:footer="992" w:gutter="0"/>
          <w:cols w:space="720" w:num="1"/>
        </w:sectPr>
      </w:pPr>
      <w:bookmarkStart w:id="177" w:name="bookmark183"/>
      <w:bookmarkEnd w:id="177"/>
    </w:p>
    <w:p w14:paraId="06A88724">
      <w:pPr>
        <w:pStyle w:val="5"/>
        <w:spacing w:before="120" w:after="120"/>
        <w:jc w:val="center"/>
        <w:rPr>
          <w:strike/>
          <w:color w:val="auto"/>
          <w:sz w:val="28"/>
          <w:highlight w:val="none"/>
        </w:rPr>
      </w:pPr>
      <w:bookmarkStart w:id="178" w:name="_Toc22758"/>
      <w:r>
        <w:rPr>
          <w:strike/>
          <w:color w:val="auto"/>
          <w:sz w:val="28"/>
          <w:highlight w:val="none"/>
        </w:rPr>
        <w:t>五、监理报酬清单</w:t>
      </w:r>
      <w:bookmarkEnd w:id="178"/>
    </w:p>
    <w:p w14:paraId="52D3261E">
      <w:pPr>
        <w:pStyle w:val="2"/>
        <w:kinsoku w:val="0"/>
        <w:overflowPunct w:val="0"/>
        <w:ind w:left="0"/>
        <w:rPr>
          <w:color w:val="auto"/>
          <w:sz w:val="20"/>
          <w:highlight w:val="none"/>
        </w:rPr>
      </w:pPr>
    </w:p>
    <w:p w14:paraId="503737A4">
      <w:pPr>
        <w:pStyle w:val="37"/>
        <w:ind w:firstLine="428"/>
        <w:rPr>
          <w:rFonts w:ascii="宋体" w:hAnsi="宋体" w:cs="宋体"/>
          <w:color w:val="auto"/>
          <w:sz w:val="21"/>
          <w:szCs w:val="21"/>
          <w:highlight w:val="none"/>
        </w:rPr>
        <w:sectPr>
          <w:pgSz w:w="11905" w:h="16838"/>
          <w:pgMar w:top="1417" w:right="1417" w:bottom="1417" w:left="1417" w:header="992" w:footer="992" w:gutter="0"/>
          <w:cols w:space="720" w:num="1"/>
        </w:sectPr>
      </w:pPr>
    </w:p>
    <w:p w14:paraId="11C6EFD1">
      <w:pPr>
        <w:pStyle w:val="5"/>
        <w:kinsoku w:val="0"/>
        <w:overflowPunct w:val="0"/>
        <w:spacing w:before="120" w:after="120" w:line="456" w:lineRule="exact"/>
        <w:ind w:right="1"/>
        <w:jc w:val="center"/>
        <w:rPr>
          <w:b w:val="0"/>
          <w:color w:val="auto"/>
          <w:sz w:val="28"/>
          <w:highlight w:val="none"/>
        </w:rPr>
      </w:pPr>
      <w:bookmarkStart w:id="179" w:name="bookmark184"/>
      <w:bookmarkEnd w:id="179"/>
      <w:bookmarkStart w:id="180" w:name="_Toc10013"/>
      <w:r>
        <w:rPr>
          <w:color w:val="auto"/>
          <w:sz w:val="28"/>
          <w:highlight w:val="none"/>
        </w:rPr>
        <w:t>六、资格审查资料</w:t>
      </w:r>
      <w:bookmarkEnd w:id="180"/>
    </w:p>
    <w:p w14:paraId="58DFAEEE">
      <w:pPr>
        <w:pStyle w:val="2"/>
        <w:kinsoku w:val="0"/>
        <w:overflowPunct w:val="0"/>
        <w:spacing w:before="10"/>
        <w:ind w:left="0"/>
        <w:rPr>
          <w:rFonts w:ascii="Microsoft JhengHei" w:hAnsi="Microsoft JhengHei" w:eastAsia="Microsoft JhengHei"/>
          <w:b/>
          <w:color w:val="auto"/>
          <w:sz w:val="15"/>
          <w:highlight w:val="none"/>
        </w:rPr>
      </w:pPr>
    </w:p>
    <w:p w14:paraId="0903E0B7">
      <w:pPr>
        <w:pStyle w:val="6"/>
        <w:rPr>
          <w:b/>
          <w:color w:val="auto"/>
          <w:sz w:val="24"/>
          <w:highlight w:val="none"/>
        </w:rPr>
      </w:pPr>
      <w:bookmarkStart w:id="181" w:name="bookmark185"/>
      <w:bookmarkEnd w:id="181"/>
      <w:bookmarkStart w:id="182" w:name="_Toc28818"/>
      <w:r>
        <w:rPr>
          <w:b/>
          <w:color w:val="auto"/>
          <w:sz w:val="24"/>
          <w:highlight w:val="none"/>
        </w:rPr>
        <w:t>（一）基本情况表</w:t>
      </w:r>
      <w:bookmarkEnd w:id="182"/>
    </w:p>
    <w:p w14:paraId="0FFBDBFD">
      <w:pPr>
        <w:pStyle w:val="2"/>
        <w:kinsoku w:val="0"/>
        <w:overflowPunct w:val="0"/>
        <w:ind w:left="0"/>
        <w:rPr>
          <w:color w:val="auto"/>
          <w:sz w:val="23"/>
          <w:highlight w:val="none"/>
        </w:rPr>
      </w:pPr>
    </w:p>
    <w:tbl>
      <w:tblPr>
        <w:tblStyle w:val="26"/>
        <w:tblW w:w="9212" w:type="dxa"/>
        <w:tblInd w:w="-104" w:type="dxa"/>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61AF5B96">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596A3DB2">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1D50AD8C">
            <w:pPr>
              <w:rPr>
                <w:rFonts w:ascii="宋体" w:hAnsi="宋体" w:cs="宋体"/>
                <w:color w:val="auto"/>
                <w:sz w:val="21"/>
                <w:szCs w:val="21"/>
                <w:highlight w:val="none"/>
              </w:rPr>
            </w:pPr>
          </w:p>
        </w:tc>
      </w:tr>
      <w:tr w14:paraId="11911063">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76978F76">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18AC90EF">
            <w:pPr>
              <w:rPr>
                <w:rFonts w:ascii="宋体" w:hAnsi="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17D32FCD">
            <w:pPr>
              <w:pStyle w:val="33"/>
              <w:kinsoku w:val="0"/>
              <w:overflowPunct w:val="0"/>
              <w:spacing w:before="107"/>
              <w:ind w:left="218"/>
              <w:rPr>
                <w:rFonts w:ascii="宋体" w:hAnsi="宋体" w:cs="宋体"/>
                <w:color w:val="auto"/>
                <w:sz w:val="21"/>
                <w:szCs w:val="21"/>
                <w:highlight w:val="none"/>
              </w:rPr>
            </w:pPr>
            <w:r>
              <w:rPr>
                <w:rFonts w:ascii="宋体" w:hAnsi="宋体" w:cs="宋体"/>
                <w:color w:val="auto"/>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46254066">
            <w:pPr>
              <w:rPr>
                <w:rFonts w:ascii="宋体" w:hAnsi="宋体" w:cs="宋体"/>
                <w:color w:val="auto"/>
                <w:sz w:val="21"/>
                <w:szCs w:val="21"/>
                <w:highlight w:val="none"/>
              </w:rPr>
            </w:pPr>
          </w:p>
        </w:tc>
      </w:tr>
      <w:tr w14:paraId="1D5448EE">
        <w:tblPrEx>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AF9EC94">
            <w:pPr>
              <w:pStyle w:val="33"/>
              <w:kinsoku w:val="0"/>
              <w:overflowPunct w:val="0"/>
              <w:jc w:val="center"/>
              <w:rPr>
                <w:rFonts w:ascii="宋体" w:hAnsi="宋体" w:cs="宋体"/>
                <w:color w:val="auto"/>
                <w:sz w:val="21"/>
                <w:szCs w:val="21"/>
                <w:highlight w:val="none"/>
              </w:rPr>
            </w:pPr>
          </w:p>
          <w:p w14:paraId="4DD4F0E8">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5CA80E67">
            <w:pPr>
              <w:pStyle w:val="33"/>
              <w:kinsoku w:val="0"/>
              <w:overflowPunct w:val="0"/>
              <w:spacing w:before="107"/>
              <w:jc w:val="center"/>
              <w:rPr>
                <w:rFonts w:ascii="宋体" w:hAnsi="宋体" w:cs="宋体"/>
                <w:color w:val="auto"/>
                <w:sz w:val="21"/>
                <w:szCs w:val="21"/>
                <w:highlight w:val="none"/>
              </w:rPr>
            </w:pPr>
            <w:r>
              <w:rPr>
                <w:rFonts w:ascii="宋体" w:hAnsi="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tcPr>
          <w:p w14:paraId="495A7150">
            <w:pPr>
              <w:rPr>
                <w:rFonts w:ascii="宋体" w:hAnsi="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53E30ED0">
            <w:pPr>
              <w:pStyle w:val="33"/>
              <w:kinsoku w:val="0"/>
              <w:overflowPunct w:val="0"/>
              <w:spacing w:before="107"/>
              <w:ind w:left="374"/>
              <w:rPr>
                <w:rFonts w:ascii="宋体" w:hAnsi="宋体" w:cs="宋体"/>
                <w:color w:val="auto"/>
                <w:sz w:val="21"/>
                <w:szCs w:val="21"/>
                <w:highlight w:val="none"/>
              </w:rPr>
            </w:pPr>
            <w:r>
              <w:rPr>
                <w:rFonts w:ascii="宋体" w:hAnsi="宋体" w:cs="宋体"/>
                <w:color w:val="auto"/>
                <w:sz w:val="21"/>
                <w:szCs w:val="21"/>
                <w:highlight w:val="none"/>
              </w:rPr>
              <w:t>电</w:t>
            </w:r>
            <w:r>
              <w:rPr>
                <w:rFonts w:ascii="宋体" w:hAnsi="宋体" w:cs="宋体"/>
                <w:color w:val="auto"/>
                <w:spacing w:val="2"/>
                <w:sz w:val="21"/>
                <w:szCs w:val="21"/>
                <w:highlight w:val="none"/>
              </w:rPr>
              <w:t xml:space="preserve"> </w:t>
            </w:r>
            <w:r>
              <w:rPr>
                <w:rFonts w:ascii="宋体" w:hAnsi="宋体" w:cs="宋体"/>
                <w:color w:val="auto"/>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3E545282">
            <w:pPr>
              <w:rPr>
                <w:rFonts w:ascii="宋体" w:hAnsi="宋体" w:cs="宋体"/>
                <w:color w:val="auto"/>
                <w:sz w:val="21"/>
                <w:szCs w:val="21"/>
                <w:highlight w:val="none"/>
              </w:rPr>
            </w:pPr>
          </w:p>
        </w:tc>
      </w:tr>
      <w:tr w14:paraId="1719B46C">
        <w:tblPrEx>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4CBE415">
            <w:pPr>
              <w:jc w:val="center"/>
              <w:rPr>
                <w:rFonts w:ascii="宋体" w:hAnsi="宋体" w:cs="宋体"/>
                <w:color w:val="auto"/>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6B539B0B">
            <w:pPr>
              <w:pStyle w:val="33"/>
              <w:tabs>
                <w:tab w:val="left" w:pos="550"/>
              </w:tabs>
              <w:kinsoku w:val="0"/>
              <w:overflowPunct w:val="0"/>
              <w:spacing w:before="108"/>
              <w:jc w:val="center"/>
              <w:rPr>
                <w:rFonts w:ascii="宋体" w:hAnsi="宋体" w:cs="宋体"/>
                <w:color w:val="auto"/>
                <w:sz w:val="21"/>
                <w:szCs w:val="21"/>
                <w:highlight w:val="none"/>
              </w:rPr>
            </w:pPr>
            <w:r>
              <w:rPr>
                <w:rFonts w:ascii="宋体" w:hAnsi="宋体" w:cs="宋体"/>
                <w:color w:val="auto"/>
                <w:sz w:val="21"/>
                <w:szCs w:val="21"/>
                <w:highlight w:val="none"/>
              </w:rPr>
              <w:t>传真</w:t>
            </w:r>
            <w:r>
              <w:rPr>
                <w:rFonts w:ascii="宋体" w:hAnsi="宋体" w:cs="宋体"/>
                <w:color w:val="auto"/>
                <w:sz w:val="21"/>
                <w:szCs w:val="21"/>
                <w:highlight w:val="none"/>
              </w:rPr>
              <w:tab/>
            </w:r>
            <w:r>
              <w:rPr>
                <w:rFonts w:ascii="宋体" w:hAnsi="宋体" w:cs="宋体"/>
                <w:color w:val="auto"/>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tcPr>
          <w:p w14:paraId="04967453">
            <w:pPr>
              <w:rPr>
                <w:rFonts w:ascii="宋体" w:hAnsi="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1A28428A">
            <w:pPr>
              <w:pStyle w:val="33"/>
              <w:kinsoku w:val="0"/>
              <w:overflowPunct w:val="0"/>
              <w:spacing w:before="108"/>
              <w:ind w:left="374"/>
              <w:rPr>
                <w:rFonts w:ascii="宋体" w:hAnsi="宋体" w:cs="宋体"/>
                <w:color w:val="auto"/>
                <w:sz w:val="21"/>
                <w:szCs w:val="21"/>
                <w:highlight w:val="none"/>
              </w:rPr>
            </w:pPr>
            <w:r>
              <w:rPr>
                <w:rFonts w:ascii="宋体" w:hAnsi="宋体" w:cs="宋体"/>
                <w:color w:val="auto"/>
                <w:sz w:val="21"/>
                <w:szCs w:val="21"/>
                <w:highlight w:val="none"/>
              </w:rPr>
              <w:t>网</w:t>
            </w:r>
            <w:r>
              <w:rPr>
                <w:rFonts w:ascii="宋体" w:hAnsi="宋体" w:cs="宋体"/>
                <w:color w:val="auto"/>
                <w:spacing w:val="2"/>
                <w:sz w:val="21"/>
                <w:szCs w:val="21"/>
                <w:highlight w:val="none"/>
              </w:rPr>
              <w:t xml:space="preserve"> </w:t>
            </w:r>
            <w:r>
              <w:rPr>
                <w:rFonts w:ascii="宋体" w:hAnsi="宋体" w:cs="宋体"/>
                <w:color w:val="auto"/>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2EC700CF">
            <w:pPr>
              <w:rPr>
                <w:rFonts w:ascii="宋体" w:hAnsi="宋体" w:cs="宋体"/>
                <w:color w:val="auto"/>
                <w:sz w:val="21"/>
                <w:szCs w:val="21"/>
                <w:highlight w:val="none"/>
              </w:rPr>
            </w:pPr>
          </w:p>
        </w:tc>
      </w:tr>
      <w:tr w14:paraId="26A159AB">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90DB505">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6E9AB8D8">
            <w:pPr>
              <w:pStyle w:val="33"/>
              <w:kinsoku w:val="0"/>
              <w:overflowPunct w:val="0"/>
              <w:spacing w:before="107"/>
              <w:jc w:val="center"/>
              <w:rPr>
                <w:rFonts w:ascii="宋体" w:hAnsi="宋体" w:cs="宋体"/>
                <w:color w:val="auto"/>
                <w:sz w:val="21"/>
                <w:szCs w:val="21"/>
                <w:highlight w:val="none"/>
              </w:rPr>
            </w:pPr>
            <w:r>
              <w:rPr>
                <w:rFonts w:ascii="宋体" w:hAnsi="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5527B379">
            <w:pPr>
              <w:rPr>
                <w:rFonts w:ascii="宋体" w:hAnsi="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389D982E">
            <w:pPr>
              <w:pStyle w:val="33"/>
              <w:kinsoku w:val="0"/>
              <w:overflowPunct w:val="0"/>
              <w:spacing w:before="107"/>
              <w:rPr>
                <w:rFonts w:ascii="宋体" w:hAnsi="宋体" w:cs="宋体"/>
                <w:color w:val="auto"/>
                <w:sz w:val="21"/>
                <w:szCs w:val="21"/>
                <w:highlight w:val="none"/>
              </w:rPr>
            </w:pPr>
            <w:r>
              <w:rPr>
                <w:rFonts w:ascii="宋体" w:hAnsi="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0DB7B208">
            <w:pPr>
              <w:rPr>
                <w:rFonts w:ascii="宋体" w:hAnsi="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tcPr>
          <w:p w14:paraId="422CA6B2">
            <w:pPr>
              <w:pStyle w:val="33"/>
              <w:kinsoku w:val="0"/>
              <w:overflowPunct w:val="0"/>
              <w:spacing w:before="107"/>
              <w:rPr>
                <w:rFonts w:ascii="宋体" w:hAnsi="宋体" w:cs="宋体"/>
                <w:color w:val="auto"/>
                <w:sz w:val="21"/>
                <w:szCs w:val="21"/>
                <w:highlight w:val="none"/>
              </w:rPr>
            </w:pPr>
            <w:r>
              <w:rPr>
                <w:rFonts w:ascii="宋体" w:hAnsi="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1D4A70CE">
            <w:pPr>
              <w:rPr>
                <w:rFonts w:ascii="宋体" w:hAnsi="宋体" w:cs="宋体"/>
                <w:color w:val="auto"/>
                <w:sz w:val="21"/>
                <w:szCs w:val="21"/>
                <w:highlight w:val="none"/>
              </w:rPr>
            </w:pPr>
          </w:p>
        </w:tc>
      </w:tr>
      <w:tr w14:paraId="1049A34D">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77BA986">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6415C423">
            <w:pPr>
              <w:pStyle w:val="33"/>
              <w:kinsoku w:val="0"/>
              <w:overflowPunct w:val="0"/>
              <w:spacing w:before="107"/>
              <w:jc w:val="center"/>
              <w:rPr>
                <w:rFonts w:ascii="宋体" w:hAnsi="宋体" w:cs="宋体"/>
                <w:color w:val="auto"/>
                <w:sz w:val="21"/>
                <w:szCs w:val="21"/>
                <w:highlight w:val="none"/>
              </w:rPr>
            </w:pPr>
            <w:r>
              <w:rPr>
                <w:rFonts w:ascii="宋体" w:hAnsi="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0EE0BC76">
            <w:pPr>
              <w:rPr>
                <w:rFonts w:ascii="宋体" w:hAnsi="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7F8EC58B">
            <w:pPr>
              <w:pStyle w:val="33"/>
              <w:kinsoku w:val="0"/>
              <w:overflowPunct w:val="0"/>
              <w:spacing w:before="107"/>
              <w:rPr>
                <w:rFonts w:ascii="宋体" w:hAnsi="宋体" w:cs="宋体"/>
                <w:color w:val="auto"/>
                <w:sz w:val="21"/>
                <w:szCs w:val="21"/>
                <w:highlight w:val="none"/>
              </w:rPr>
            </w:pPr>
            <w:r>
              <w:rPr>
                <w:rFonts w:ascii="宋体" w:hAnsi="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3EF737C8">
            <w:pPr>
              <w:rPr>
                <w:rFonts w:ascii="宋体" w:hAnsi="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tcPr>
          <w:p w14:paraId="03B9FAB0">
            <w:pPr>
              <w:pStyle w:val="33"/>
              <w:kinsoku w:val="0"/>
              <w:overflowPunct w:val="0"/>
              <w:spacing w:before="107"/>
              <w:rPr>
                <w:rFonts w:ascii="宋体" w:hAnsi="宋体" w:cs="宋体"/>
                <w:color w:val="auto"/>
                <w:sz w:val="21"/>
                <w:szCs w:val="21"/>
                <w:highlight w:val="none"/>
              </w:rPr>
            </w:pPr>
            <w:r>
              <w:rPr>
                <w:rFonts w:ascii="宋体" w:hAnsi="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3FF0EBDA">
            <w:pPr>
              <w:rPr>
                <w:rFonts w:ascii="宋体" w:hAnsi="宋体" w:cs="宋体"/>
                <w:color w:val="auto"/>
                <w:sz w:val="21"/>
                <w:szCs w:val="21"/>
                <w:highlight w:val="none"/>
              </w:rPr>
            </w:pPr>
          </w:p>
        </w:tc>
      </w:tr>
      <w:tr w14:paraId="47BFC1D7">
        <w:tblPrEx>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2C5CBD1">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13AF64B5">
            <w:pPr>
              <w:pStyle w:val="33"/>
              <w:tabs>
                <w:tab w:val="left" w:pos="3785"/>
                <w:tab w:val="left" w:pos="5045"/>
              </w:tabs>
              <w:kinsoku w:val="0"/>
              <w:overflowPunct w:val="0"/>
              <w:spacing w:before="107"/>
              <w:ind w:left="1054"/>
              <w:rPr>
                <w:rFonts w:ascii="宋体" w:hAnsi="宋体" w:cs="宋体"/>
                <w:color w:val="auto"/>
                <w:sz w:val="21"/>
                <w:szCs w:val="21"/>
                <w:highlight w:val="none"/>
              </w:rPr>
            </w:pPr>
            <w:r>
              <w:rPr>
                <w:rFonts w:ascii="宋体" w:hAnsi="宋体" w:cs="宋体"/>
                <w:color w:val="auto"/>
                <w:sz w:val="21"/>
                <w:szCs w:val="21"/>
                <w:highlight w:val="none"/>
              </w:rPr>
              <w:t>类型：</w:t>
            </w:r>
            <w:r>
              <w:rPr>
                <w:rFonts w:ascii="宋体" w:hAnsi="宋体" w:cs="宋体"/>
                <w:color w:val="auto"/>
                <w:sz w:val="21"/>
                <w:szCs w:val="21"/>
                <w:highlight w:val="none"/>
              </w:rPr>
              <w:tab/>
            </w:r>
            <w:r>
              <w:rPr>
                <w:rFonts w:ascii="宋体" w:hAnsi="宋体" w:cs="宋体"/>
                <w:color w:val="auto"/>
                <w:spacing w:val="-1"/>
                <w:sz w:val="21"/>
                <w:szCs w:val="21"/>
                <w:highlight w:val="none"/>
              </w:rPr>
              <w:t>等级：</w:t>
            </w:r>
            <w:r>
              <w:rPr>
                <w:rFonts w:ascii="宋体" w:hAnsi="宋体" w:cs="宋体"/>
                <w:color w:val="auto"/>
                <w:spacing w:val="-1"/>
                <w:sz w:val="21"/>
                <w:szCs w:val="21"/>
                <w:highlight w:val="none"/>
              </w:rPr>
              <w:tab/>
            </w:r>
            <w:r>
              <w:rPr>
                <w:rFonts w:ascii="宋体" w:hAnsi="宋体" w:cs="宋体"/>
                <w:color w:val="auto"/>
                <w:spacing w:val="-2"/>
                <w:sz w:val="21"/>
                <w:szCs w:val="21"/>
                <w:highlight w:val="none"/>
              </w:rPr>
              <w:t>证书号：</w:t>
            </w:r>
          </w:p>
        </w:tc>
      </w:tr>
      <w:tr w14:paraId="6D90AC11">
        <w:tblPrEx>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5ACACB3E">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质量管理体系证书</w:t>
            </w:r>
          </w:p>
          <w:p w14:paraId="3820B3BA">
            <w:pPr>
              <w:pStyle w:val="33"/>
              <w:kinsoku w:val="0"/>
              <w:overflowPunct w:val="0"/>
              <w:ind w:right="101"/>
              <w:jc w:val="center"/>
              <w:rPr>
                <w:rFonts w:ascii="宋体" w:hAnsi="宋体" w:cs="宋体"/>
                <w:color w:val="auto"/>
                <w:sz w:val="21"/>
                <w:szCs w:val="21"/>
                <w:highlight w:val="none"/>
              </w:rPr>
            </w:pPr>
            <w:r>
              <w:rPr>
                <w:rFonts w:ascii="宋体" w:hAnsi="宋体" w:cs="宋体"/>
                <w:color w:val="auto"/>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23D98A9A">
            <w:pPr>
              <w:pStyle w:val="33"/>
              <w:kinsoku w:val="0"/>
              <w:overflowPunct w:val="0"/>
              <w:spacing w:before="1"/>
              <w:rPr>
                <w:rFonts w:ascii="宋体" w:hAnsi="宋体" w:cs="宋体"/>
                <w:color w:val="auto"/>
                <w:sz w:val="21"/>
                <w:szCs w:val="21"/>
                <w:highlight w:val="none"/>
              </w:rPr>
            </w:pPr>
          </w:p>
          <w:p w14:paraId="62DFD73A">
            <w:pPr>
              <w:pStyle w:val="33"/>
              <w:tabs>
                <w:tab w:val="left" w:pos="3785"/>
                <w:tab w:val="left" w:pos="5045"/>
              </w:tabs>
              <w:kinsoku w:val="0"/>
              <w:overflowPunct w:val="0"/>
              <w:ind w:left="1054"/>
              <w:rPr>
                <w:rFonts w:ascii="宋体" w:hAnsi="宋体" w:cs="宋体"/>
                <w:color w:val="auto"/>
                <w:sz w:val="21"/>
                <w:szCs w:val="21"/>
                <w:highlight w:val="none"/>
              </w:rPr>
            </w:pPr>
            <w:r>
              <w:rPr>
                <w:rFonts w:ascii="宋体" w:hAnsi="宋体" w:cs="宋体"/>
                <w:color w:val="auto"/>
                <w:sz w:val="21"/>
                <w:szCs w:val="21"/>
                <w:highlight w:val="none"/>
              </w:rPr>
              <w:t>类型：</w:t>
            </w:r>
            <w:r>
              <w:rPr>
                <w:rFonts w:ascii="宋体" w:hAnsi="宋体" w:cs="宋体"/>
                <w:color w:val="auto"/>
                <w:sz w:val="21"/>
                <w:szCs w:val="21"/>
                <w:highlight w:val="none"/>
              </w:rPr>
              <w:tab/>
            </w:r>
            <w:r>
              <w:rPr>
                <w:rFonts w:ascii="宋体" w:hAnsi="宋体" w:cs="宋体"/>
                <w:color w:val="auto"/>
                <w:spacing w:val="-1"/>
                <w:sz w:val="21"/>
                <w:szCs w:val="21"/>
                <w:highlight w:val="none"/>
              </w:rPr>
              <w:t>等级：</w:t>
            </w:r>
            <w:r>
              <w:rPr>
                <w:rFonts w:ascii="宋体" w:hAnsi="宋体" w:cs="宋体"/>
                <w:color w:val="auto"/>
                <w:spacing w:val="-1"/>
                <w:sz w:val="21"/>
                <w:szCs w:val="21"/>
                <w:highlight w:val="none"/>
              </w:rPr>
              <w:tab/>
            </w:r>
            <w:r>
              <w:rPr>
                <w:rFonts w:ascii="宋体" w:hAnsi="宋体" w:cs="宋体"/>
                <w:color w:val="auto"/>
                <w:spacing w:val="-2"/>
                <w:sz w:val="21"/>
                <w:szCs w:val="21"/>
                <w:highlight w:val="none"/>
              </w:rPr>
              <w:t>证书号：</w:t>
            </w:r>
          </w:p>
        </w:tc>
      </w:tr>
      <w:tr w14:paraId="61356D84">
        <w:tblPrEx>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1232FCB">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70CEBF14">
            <w:pPr>
              <w:rPr>
                <w:rFonts w:ascii="宋体" w:hAnsi="宋体" w:cs="宋体"/>
                <w:color w:val="auto"/>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tcPr>
          <w:p w14:paraId="12729E60">
            <w:pPr>
              <w:pStyle w:val="33"/>
              <w:kinsoku w:val="0"/>
              <w:overflowPunct w:val="0"/>
              <w:spacing w:before="107"/>
              <w:ind w:left="1178"/>
              <w:rPr>
                <w:rFonts w:ascii="宋体" w:hAnsi="宋体" w:cs="宋体"/>
                <w:color w:val="auto"/>
                <w:sz w:val="21"/>
                <w:szCs w:val="21"/>
                <w:highlight w:val="none"/>
              </w:rPr>
            </w:pPr>
            <w:r>
              <w:rPr>
                <w:rFonts w:ascii="宋体" w:hAnsi="宋体" w:cs="宋体"/>
                <w:color w:val="auto"/>
                <w:sz w:val="21"/>
                <w:szCs w:val="21"/>
                <w:highlight w:val="none"/>
              </w:rPr>
              <w:t>员工总人数：</w:t>
            </w:r>
          </w:p>
        </w:tc>
      </w:tr>
      <w:tr w14:paraId="189D518C">
        <w:tblPrEx>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033B9665">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5A226BC6">
            <w:pPr>
              <w:rPr>
                <w:rFonts w:ascii="宋体" w:hAnsi="宋体" w:cs="宋体"/>
                <w:color w:val="auto"/>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6CDEFD2">
            <w:pPr>
              <w:pStyle w:val="33"/>
              <w:kinsoku w:val="0"/>
              <w:overflowPunct w:val="0"/>
              <w:spacing w:line="384" w:lineRule="auto"/>
              <w:ind w:right="89"/>
              <w:jc w:val="center"/>
              <w:rPr>
                <w:rFonts w:ascii="宋体" w:hAnsi="宋体" w:cs="宋体"/>
                <w:color w:val="auto"/>
                <w:sz w:val="21"/>
                <w:szCs w:val="21"/>
                <w:highlight w:val="none"/>
              </w:rPr>
            </w:pPr>
            <w:r>
              <w:rPr>
                <w:rFonts w:ascii="宋体" w:hAnsi="宋体" w:cs="宋体"/>
                <w:color w:val="auto"/>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0F1C94C">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3D1EC4C2">
            <w:pPr>
              <w:rPr>
                <w:rFonts w:ascii="宋体" w:hAnsi="宋体" w:cs="宋体"/>
                <w:color w:val="auto"/>
                <w:sz w:val="21"/>
                <w:szCs w:val="21"/>
                <w:highlight w:val="none"/>
              </w:rPr>
            </w:pPr>
          </w:p>
        </w:tc>
      </w:tr>
      <w:tr w14:paraId="71A30606">
        <w:tblPrEx>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39AB8C22">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06F99BD7">
            <w:pPr>
              <w:rPr>
                <w:rFonts w:ascii="宋体" w:hAnsi="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5B076149">
            <w:pPr>
              <w:rPr>
                <w:rFonts w:ascii="宋体" w:hAnsi="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AB9DF1A">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4CA80BA9">
            <w:pPr>
              <w:rPr>
                <w:rFonts w:ascii="宋体" w:hAnsi="宋体" w:cs="宋体"/>
                <w:color w:val="auto"/>
                <w:sz w:val="21"/>
                <w:szCs w:val="21"/>
                <w:highlight w:val="none"/>
              </w:rPr>
            </w:pPr>
          </w:p>
        </w:tc>
      </w:tr>
      <w:tr w14:paraId="1C74EBB2">
        <w:tblPrEx>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2484D83">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1A1631FF">
            <w:pPr>
              <w:rPr>
                <w:rFonts w:ascii="宋体" w:hAnsi="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17157B9B">
            <w:pPr>
              <w:rPr>
                <w:rFonts w:ascii="宋体" w:hAnsi="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BF6A306">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7B9BCE8F">
            <w:pPr>
              <w:rPr>
                <w:rFonts w:ascii="宋体" w:hAnsi="宋体" w:cs="宋体"/>
                <w:color w:val="auto"/>
                <w:sz w:val="21"/>
                <w:szCs w:val="21"/>
                <w:highlight w:val="none"/>
              </w:rPr>
            </w:pPr>
          </w:p>
        </w:tc>
      </w:tr>
      <w:tr w14:paraId="3218275D">
        <w:tblPrEx>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11296E7F">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25723DF5">
            <w:pPr>
              <w:rPr>
                <w:rFonts w:ascii="宋体" w:hAnsi="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148996B4">
            <w:pPr>
              <w:rPr>
                <w:rFonts w:ascii="宋体" w:hAnsi="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0BEB511">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238285F1">
            <w:pPr>
              <w:rPr>
                <w:rFonts w:ascii="宋体" w:hAnsi="宋体" w:cs="宋体"/>
                <w:color w:val="auto"/>
                <w:sz w:val="21"/>
                <w:szCs w:val="21"/>
                <w:highlight w:val="none"/>
              </w:rPr>
            </w:pPr>
          </w:p>
        </w:tc>
      </w:tr>
      <w:tr w14:paraId="0391406A">
        <w:tblPrEx>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62FE59F1">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5B0F4BB3">
            <w:pPr>
              <w:rPr>
                <w:rFonts w:ascii="宋体" w:hAnsi="宋体" w:cs="宋体"/>
                <w:color w:val="auto"/>
                <w:sz w:val="21"/>
                <w:szCs w:val="21"/>
                <w:highlight w:val="none"/>
              </w:rPr>
            </w:pPr>
          </w:p>
        </w:tc>
      </w:tr>
      <w:tr w14:paraId="3AE73A4E">
        <w:tblPrEx>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34373363">
            <w:pPr>
              <w:pStyle w:val="33"/>
              <w:kinsoku w:val="0"/>
              <w:overflowPunct w:val="0"/>
              <w:ind w:right="96"/>
              <w:jc w:val="center"/>
              <w:rPr>
                <w:rFonts w:ascii="宋体" w:hAnsi="宋体" w:cs="宋体"/>
                <w:color w:val="auto"/>
                <w:sz w:val="21"/>
                <w:szCs w:val="21"/>
                <w:highlight w:val="none"/>
              </w:rPr>
            </w:pPr>
            <w:r>
              <w:rPr>
                <w:rFonts w:ascii="宋体" w:hAnsi="宋体" w:cs="宋体"/>
                <w:color w:val="auto"/>
                <w:sz w:val="21"/>
                <w:szCs w:val="21"/>
                <w:highlight w:val="none"/>
              </w:rPr>
              <w:t>投标人关联企业情</w:t>
            </w:r>
            <w:r>
              <w:rPr>
                <w:rFonts w:ascii="宋体" w:hAnsi="宋体" w:cs="宋体"/>
                <w:color w:val="auto"/>
                <w:spacing w:val="-8"/>
                <w:sz w:val="21"/>
                <w:szCs w:val="21"/>
                <w:highlight w:val="none"/>
              </w:rPr>
              <w:t>况（包括但不限于与</w:t>
            </w:r>
            <w:r>
              <w:rPr>
                <w:rFonts w:ascii="宋体" w:hAnsi="宋体" w:cs="宋体"/>
                <w:color w:val="auto"/>
                <w:spacing w:val="-102"/>
                <w:sz w:val="21"/>
                <w:szCs w:val="21"/>
                <w:highlight w:val="none"/>
              </w:rPr>
              <w:t xml:space="preserve"> </w:t>
            </w:r>
            <w:r>
              <w:rPr>
                <w:rFonts w:ascii="宋体" w:hAnsi="宋体" w:cs="宋体"/>
                <w:color w:val="auto"/>
                <w:sz w:val="21"/>
                <w:szCs w:val="21"/>
                <w:highlight w:val="none"/>
              </w:rPr>
              <w:t>投标人法定代表人为同一人或者存在</w:t>
            </w:r>
            <w:r>
              <w:rPr>
                <w:rFonts w:ascii="宋体" w:hAnsi="宋体" w:cs="宋体"/>
                <w:color w:val="auto"/>
                <w:spacing w:val="-8"/>
                <w:sz w:val="21"/>
                <w:szCs w:val="21"/>
                <w:highlight w:val="none"/>
              </w:rPr>
              <w:t>控股、管理关系的不</w:t>
            </w:r>
            <w:r>
              <w:rPr>
                <w:rFonts w:ascii="宋体" w:hAnsi="宋体" w:cs="宋体"/>
                <w:color w:val="auto"/>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750471A8">
            <w:pPr>
              <w:rPr>
                <w:rFonts w:ascii="宋体" w:hAnsi="宋体" w:cs="宋体"/>
                <w:color w:val="auto"/>
                <w:sz w:val="21"/>
                <w:szCs w:val="21"/>
                <w:highlight w:val="none"/>
              </w:rPr>
            </w:pPr>
          </w:p>
        </w:tc>
      </w:tr>
      <w:tr w14:paraId="051FACA6">
        <w:tblPrEx>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593CD46D">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0A8245D0">
            <w:pPr>
              <w:rPr>
                <w:rFonts w:ascii="宋体" w:hAnsi="宋体" w:cs="宋体"/>
                <w:color w:val="auto"/>
                <w:sz w:val="21"/>
                <w:szCs w:val="21"/>
                <w:highlight w:val="none"/>
              </w:rPr>
            </w:pPr>
          </w:p>
        </w:tc>
      </w:tr>
    </w:tbl>
    <w:p w14:paraId="59490282">
      <w:pPr>
        <w:pStyle w:val="2"/>
        <w:kinsoku w:val="0"/>
        <w:overflowPunct w:val="0"/>
        <w:spacing w:before="74" w:line="331" w:lineRule="auto"/>
        <w:ind w:left="240"/>
        <w:rPr>
          <w:rFonts w:cs="宋体"/>
          <w:color w:val="auto"/>
          <w:szCs w:val="21"/>
          <w:highlight w:val="none"/>
        </w:rPr>
      </w:pPr>
      <w:r>
        <w:rPr>
          <w:rFonts w:cs="宋体"/>
          <w:color w:val="auto"/>
          <w:spacing w:val="-5"/>
          <w:szCs w:val="21"/>
          <w:highlight w:val="none"/>
        </w:rPr>
        <w:t>注：</w:t>
      </w:r>
      <w:r>
        <w:rPr>
          <w:rFonts w:cs="宋体"/>
          <w:color w:val="auto"/>
          <w:highlight w:val="none"/>
        </w:rPr>
        <w:t>投标人应附营业执照、资质证书等相关证明材料。</w:t>
      </w:r>
    </w:p>
    <w:p w14:paraId="76C53740">
      <w:pPr>
        <w:pStyle w:val="2"/>
        <w:kinsoku w:val="0"/>
        <w:overflowPunct w:val="0"/>
        <w:spacing w:before="74" w:line="331" w:lineRule="auto"/>
        <w:ind w:left="240"/>
        <w:rPr>
          <w:color w:val="auto"/>
          <w:highlight w:val="none"/>
        </w:rPr>
        <w:sectPr>
          <w:footerReference r:id="rId12" w:type="default"/>
          <w:pgSz w:w="11905" w:h="16838"/>
          <w:pgMar w:top="1417" w:right="1417" w:bottom="1417" w:left="1417" w:header="992" w:footer="992" w:gutter="0"/>
          <w:cols w:space="720" w:num="1"/>
        </w:sectPr>
      </w:pPr>
    </w:p>
    <w:p w14:paraId="08C17C25">
      <w:pPr>
        <w:pStyle w:val="6"/>
        <w:rPr>
          <w:b/>
          <w:color w:val="auto"/>
          <w:sz w:val="24"/>
          <w:highlight w:val="none"/>
        </w:rPr>
      </w:pPr>
      <w:bookmarkStart w:id="183" w:name="bookmark187"/>
      <w:bookmarkEnd w:id="183"/>
      <w:bookmarkStart w:id="184" w:name="bookmark186"/>
      <w:bookmarkEnd w:id="184"/>
      <w:bookmarkStart w:id="185" w:name="_Toc12503"/>
      <w:r>
        <w:rPr>
          <w:b/>
          <w:color w:val="auto"/>
          <w:sz w:val="24"/>
          <w:highlight w:val="none"/>
        </w:rPr>
        <w:t>（二）近年完成的类似项目情况表</w:t>
      </w:r>
      <w:bookmarkEnd w:id="185"/>
    </w:p>
    <w:p w14:paraId="4AFC5F51">
      <w:pPr>
        <w:pStyle w:val="2"/>
        <w:kinsoku w:val="0"/>
        <w:overflowPunct w:val="0"/>
        <w:ind w:left="0"/>
        <w:rPr>
          <w:color w:val="auto"/>
          <w:sz w:val="20"/>
          <w:highlight w:val="none"/>
        </w:rPr>
      </w:pPr>
    </w:p>
    <w:p w14:paraId="35A1D260">
      <w:pPr>
        <w:pStyle w:val="2"/>
        <w:kinsoku w:val="0"/>
        <w:overflowPunct w:val="0"/>
        <w:spacing w:before="11"/>
        <w:ind w:left="0"/>
        <w:rPr>
          <w:color w:val="auto"/>
          <w:sz w:val="22"/>
          <w:highlight w:val="none"/>
        </w:rPr>
      </w:pPr>
    </w:p>
    <w:tbl>
      <w:tblPr>
        <w:tblStyle w:val="26"/>
        <w:tblW w:w="8521" w:type="dxa"/>
        <w:tblInd w:w="264" w:type="dxa"/>
        <w:tblLayout w:type="fixed"/>
        <w:tblCellMar>
          <w:top w:w="0" w:type="dxa"/>
          <w:left w:w="108" w:type="dxa"/>
          <w:bottom w:w="0" w:type="dxa"/>
          <w:right w:w="108" w:type="dxa"/>
        </w:tblCellMar>
      </w:tblPr>
      <w:tblGrid>
        <w:gridCol w:w="2268"/>
        <w:gridCol w:w="6253"/>
      </w:tblGrid>
      <w:tr w14:paraId="006FBDEE">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50811CC9">
            <w:pPr>
              <w:pStyle w:val="33"/>
              <w:kinsoku w:val="0"/>
              <w:overflowPunct w:val="0"/>
              <w:jc w:val="center"/>
              <w:rPr>
                <w:color w:val="auto"/>
                <w:sz w:val="21"/>
                <w:highlight w:val="none"/>
              </w:rPr>
            </w:pPr>
            <w:r>
              <w:rPr>
                <w:rFonts w:ascii="宋体" w:hAnsi="宋体"/>
                <w:color w:val="auto"/>
                <w:sz w:val="21"/>
                <w:highlight w:val="none"/>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03589F9">
            <w:pPr>
              <w:rPr>
                <w:color w:val="auto"/>
                <w:sz w:val="21"/>
                <w:highlight w:val="none"/>
              </w:rPr>
            </w:pPr>
          </w:p>
        </w:tc>
      </w:tr>
      <w:tr w14:paraId="076B027E">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015DB73C">
            <w:pPr>
              <w:pStyle w:val="33"/>
              <w:kinsoku w:val="0"/>
              <w:overflowPunct w:val="0"/>
              <w:jc w:val="center"/>
              <w:rPr>
                <w:color w:val="auto"/>
                <w:sz w:val="21"/>
                <w:highlight w:val="none"/>
              </w:rPr>
            </w:pPr>
            <w:r>
              <w:rPr>
                <w:rFonts w:ascii="宋体" w:hAnsi="宋体"/>
                <w:color w:val="auto"/>
                <w:sz w:val="21"/>
                <w:highlight w:val="none"/>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4D642474">
            <w:pPr>
              <w:rPr>
                <w:color w:val="auto"/>
                <w:sz w:val="21"/>
                <w:highlight w:val="none"/>
              </w:rPr>
            </w:pPr>
          </w:p>
        </w:tc>
      </w:tr>
      <w:tr w14:paraId="0A108779">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6FCC587A">
            <w:pPr>
              <w:pStyle w:val="33"/>
              <w:kinsoku w:val="0"/>
              <w:overflowPunct w:val="0"/>
              <w:jc w:val="center"/>
              <w:rPr>
                <w:color w:val="auto"/>
                <w:sz w:val="21"/>
                <w:highlight w:val="none"/>
              </w:rPr>
            </w:pPr>
            <w:r>
              <w:rPr>
                <w:rFonts w:ascii="宋体" w:hAnsi="宋体"/>
                <w:color w:val="auto"/>
                <w:sz w:val="21"/>
                <w:highlight w:val="none"/>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1A8B2EBE">
            <w:pPr>
              <w:rPr>
                <w:color w:val="auto"/>
                <w:sz w:val="21"/>
                <w:highlight w:val="none"/>
              </w:rPr>
            </w:pPr>
          </w:p>
        </w:tc>
      </w:tr>
      <w:tr w14:paraId="52DBBE6A">
        <w:tblPrEx>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0286E6A1">
            <w:pPr>
              <w:pStyle w:val="33"/>
              <w:tabs>
                <w:tab w:val="left" w:pos="668"/>
                <w:tab w:val="center" w:pos="1387"/>
              </w:tabs>
              <w:kinsoku w:val="0"/>
              <w:overflowPunct w:val="0"/>
              <w:jc w:val="center"/>
              <w:rPr>
                <w:color w:val="auto"/>
                <w:sz w:val="21"/>
                <w:highlight w:val="none"/>
              </w:rPr>
            </w:pPr>
            <w:r>
              <w:rPr>
                <w:rFonts w:ascii="宋体" w:hAnsi="宋体"/>
                <w:color w:val="auto"/>
                <w:sz w:val="21"/>
                <w:highlight w:val="none"/>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1B7165A">
            <w:pPr>
              <w:rPr>
                <w:color w:val="auto"/>
                <w:sz w:val="21"/>
                <w:highlight w:val="none"/>
              </w:rPr>
            </w:pPr>
          </w:p>
        </w:tc>
      </w:tr>
      <w:tr w14:paraId="6F8FCCAD">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6B06CDCB">
            <w:pPr>
              <w:pStyle w:val="33"/>
              <w:kinsoku w:val="0"/>
              <w:overflowPunct w:val="0"/>
              <w:jc w:val="center"/>
              <w:rPr>
                <w:color w:val="auto"/>
                <w:sz w:val="21"/>
                <w:highlight w:val="none"/>
              </w:rPr>
            </w:pPr>
            <w:r>
              <w:rPr>
                <w:rFonts w:ascii="宋体" w:hAnsi="宋体"/>
                <w:color w:val="auto"/>
                <w:sz w:val="21"/>
                <w:highlight w:val="none"/>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5694E738">
            <w:pPr>
              <w:rPr>
                <w:color w:val="auto"/>
                <w:sz w:val="21"/>
                <w:highlight w:val="none"/>
              </w:rPr>
            </w:pPr>
          </w:p>
        </w:tc>
      </w:tr>
      <w:tr w14:paraId="7990F22D">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5DB4C786">
            <w:pPr>
              <w:pStyle w:val="33"/>
              <w:kinsoku w:val="0"/>
              <w:overflowPunct w:val="0"/>
              <w:jc w:val="center"/>
              <w:rPr>
                <w:color w:val="auto"/>
                <w:sz w:val="21"/>
                <w:highlight w:val="none"/>
              </w:rPr>
            </w:pPr>
            <w:r>
              <w:rPr>
                <w:rFonts w:ascii="宋体" w:hAnsi="宋体"/>
                <w:color w:val="auto"/>
                <w:sz w:val="21"/>
                <w:highlight w:val="none"/>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6438C2FA">
            <w:pPr>
              <w:rPr>
                <w:color w:val="auto"/>
                <w:sz w:val="21"/>
                <w:highlight w:val="none"/>
              </w:rPr>
            </w:pPr>
          </w:p>
        </w:tc>
      </w:tr>
      <w:tr w14:paraId="50AB4048">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12CB7BD3">
            <w:pPr>
              <w:pStyle w:val="33"/>
              <w:kinsoku w:val="0"/>
              <w:overflowPunct w:val="0"/>
              <w:jc w:val="center"/>
              <w:rPr>
                <w:color w:val="auto"/>
                <w:sz w:val="21"/>
                <w:highlight w:val="none"/>
              </w:rPr>
            </w:pPr>
            <w:r>
              <w:rPr>
                <w:rFonts w:ascii="宋体" w:hAnsi="宋体"/>
                <w:color w:val="auto"/>
                <w:sz w:val="21"/>
                <w:highlight w:val="none"/>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4F9F029">
            <w:pPr>
              <w:rPr>
                <w:color w:val="auto"/>
                <w:sz w:val="21"/>
                <w:highlight w:val="none"/>
              </w:rPr>
            </w:pPr>
          </w:p>
        </w:tc>
      </w:tr>
      <w:tr w14:paraId="37A1CDB7">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7F454F87">
            <w:pPr>
              <w:pStyle w:val="33"/>
              <w:kinsoku w:val="0"/>
              <w:overflowPunct w:val="0"/>
              <w:jc w:val="center"/>
              <w:rPr>
                <w:color w:val="auto"/>
                <w:sz w:val="21"/>
                <w:highlight w:val="none"/>
              </w:rPr>
            </w:pPr>
            <w:r>
              <w:rPr>
                <w:rFonts w:ascii="宋体" w:hAnsi="宋体"/>
                <w:color w:val="auto"/>
                <w:sz w:val="21"/>
                <w:highlight w:val="none"/>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37C6BE96">
            <w:pPr>
              <w:rPr>
                <w:color w:val="auto"/>
                <w:sz w:val="21"/>
                <w:highlight w:val="none"/>
              </w:rPr>
            </w:pPr>
          </w:p>
        </w:tc>
      </w:tr>
      <w:tr w14:paraId="571E9AA0">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042B677F">
            <w:pPr>
              <w:pStyle w:val="33"/>
              <w:kinsoku w:val="0"/>
              <w:overflowPunct w:val="0"/>
              <w:jc w:val="center"/>
              <w:rPr>
                <w:color w:val="auto"/>
                <w:sz w:val="21"/>
                <w:highlight w:val="none"/>
              </w:rPr>
            </w:pPr>
            <w:r>
              <w:rPr>
                <w:rFonts w:ascii="宋体" w:hAnsi="宋体"/>
                <w:color w:val="auto"/>
                <w:sz w:val="21"/>
                <w:highlight w:val="none"/>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6F63F0C9">
            <w:pPr>
              <w:rPr>
                <w:color w:val="auto"/>
                <w:sz w:val="21"/>
                <w:highlight w:val="none"/>
              </w:rPr>
            </w:pPr>
          </w:p>
        </w:tc>
      </w:tr>
      <w:tr w14:paraId="681956EB">
        <w:tblPrEx>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228476BA">
            <w:pPr>
              <w:pStyle w:val="33"/>
              <w:kinsoku w:val="0"/>
              <w:overflowPunct w:val="0"/>
              <w:jc w:val="center"/>
              <w:rPr>
                <w:color w:val="auto"/>
                <w:sz w:val="21"/>
                <w:highlight w:val="none"/>
              </w:rPr>
            </w:pPr>
            <w:r>
              <w:rPr>
                <w:rFonts w:ascii="宋体" w:hAnsi="宋体"/>
                <w:color w:val="auto"/>
                <w:sz w:val="21"/>
                <w:highlight w:val="none"/>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5834350">
            <w:pPr>
              <w:rPr>
                <w:color w:val="auto"/>
                <w:sz w:val="21"/>
                <w:highlight w:val="none"/>
              </w:rPr>
            </w:pPr>
          </w:p>
        </w:tc>
      </w:tr>
      <w:tr w14:paraId="0B93672B">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287E86D9">
            <w:pPr>
              <w:pStyle w:val="33"/>
              <w:kinsoku w:val="0"/>
              <w:overflowPunct w:val="0"/>
              <w:jc w:val="center"/>
              <w:rPr>
                <w:color w:val="auto"/>
                <w:sz w:val="21"/>
                <w:highlight w:val="none"/>
              </w:rPr>
            </w:pPr>
            <w:r>
              <w:rPr>
                <w:rFonts w:ascii="宋体" w:hAnsi="宋体"/>
                <w:color w:val="auto"/>
                <w:sz w:val="21"/>
                <w:highlight w:val="none"/>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72D3753D">
            <w:pPr>
              <w:rPr>
                <w:color w:val="auto"/>
                <w:sz w:val="21"/>
                <w:highlight w:val="none"/>
              </w:rPr>
            </w:pPr>
          </w:p>
        </w:tc>
      </w:tr>
    </w:tbl>
    <w:p w14:paraId="6F6138D8">
      <w:pPr>
        <w:pStyle w:val="2"/>
        <w:kinsoku w:val="0"/>
        <w:overflowPunct w:val="0"/>
        <w:spacing w:before="6"/>
        <w:ind w:left="0"/>
        <w:rPr>
          <w:color w:val="auto"/>
          <w:sz w:val="24"/>
          <w:highlight w:val="none"/>
        </w:rPr>
      </w:pPr>
    </w:p>
    <w:p w14:paraId="1A46DD6D">
      <w:pPr>
        <w:pStyle w:val="2"/>
        <w:kinsoku w:val="0"/>
        <w:overflowPunct w:val="0"/>
        <w:spacing w:before="36"/>
        <w:ind w:left="100"/>
        <w:rPr>
          <w:color w:val="auto"/>
          <w:sz w:val="24"/>
          <w:highlight w:val="none"/>
        </w:rPr>
      </w:pPr>
    </w:p>
    <w:p w14:paraId="4DFFBD25">
      <w:pPr>
        <w:pStyle w:val="2"/>
        <w:kinsoku w:val="0"/>
        <w:overflowPunct w:val="0"/>
        <w:spacing w:before="36"/>
        <w:ind w:left="100"/>
        <w:rPr>
          <w:color w:val="auto"/>
          <w:highlight w:val="none"/>
        </w:rPr>
        <w:sectPr>
          <w:headerReference r:id="rId13" w:type="default"/>
          <w:footerReference r:id="rId14" w:type="default"/>
          <w:pgSz w:w="11905" w:h="16838"/>
          <w:pgMar w:top="1417" w:right="1417" w:bottom="1417" w:left="1417" w:header="992" w:footer="992" w:gutter="0"/>
          <w:cols w:space="720" w:num="1"/>
        </w:sectPr>
      </w:pPr>
    </w:p>
    <w:p w14:paraId="4D5F44A9">
      <w:pPr>
        <w:pStyle w:val="6"/>
        <w:rPr>
          <w:b/>
          <w:color w:val="auto"/>
          <w:sz w:val="24"/>
          <w:highlight w:val="none"/>
        </w:rPr>
      </w:pPr>
      <w:bookmarkStart w:id="186" w:name="bookmark189"/>
      <w:bookmarkEnd w:id="186"/>
      <w:bookmarkStart w:id="187" w:name="bookmark190"/>
      <w:bookmarkEnd w:id="187"/>
      <w:bookmarkStart w:id="188" w:name="bookmark188"/>
      <w:bookmarkEnd w:id="188"/>
      <w:bookmarkStart w:id="189" w:name="_Toc12109"/>
      <w:r>
        <w:rPr>
          <w:b/>
          <w:color w:val="auto"/>
          <w:sz w:val="24"/>
          <w:highlight w:val="none"/>
        </w:rPr>
        <w:t>（三）拟委任的主要人员汇总表</w:t>
      </w:r>
      <w:bookmarkEnd w:id="189"/>
    </w:p>
    <w:p w14:paraId="18AFFD16">
      <w:pPr>
        <w:pStyle w:val="2"/>
        <w:kinsoku w:val="0"/>
        <w:overflowPunct w:val="0"/>
        <w:ind w:left="0"/>
        <w:rPr>
          <w:color w:val="auto"/>
          <w:sz w:val="20"/>
          <w:highlight w:val="none"/>
        </w:rPr>
      </w:pPr>
    </w:p>
    <w:p w14:paraId="7905E957">
      <w:pPr>
        <w:pStyle w:val="2"/>
        <w:kinsoku w:val="0"/>
        <w:overflowPunct w:val="0"/>
        <w:spacing w:before="11"/>
        <w:ind w:left="0"/>
        <w:rPr>
          <w:color w:val="auto"/>
          <w:sz w:val="22"/>
          <w:highlight w:val="none"/>
        </w:rPr>
      </w:pPr>
    </w:p>
    <w:tbl>
      <w:tblPr>
        <w:tblStyle w:val="26"/>
        <w:tblW w:w="8777" w:type="dxa"/>
        <w:jc w:val="center"/>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167A0413">
        <w:tblPrEx>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263CFD4">
            <w:pPr>
              <w:pStyle w:val="33"/>
              <w:kinsoku w:val="0"/>
              <w:overflowPunct w:val="0"/>
              <w:spacing w:line="240" w:lineRule="atLeast"/>
              <w:jc w:val="center"/>
              <w:rPr>
                <w:color w:val="auto"/>
                <w:sz w:val="21"/>
                <w:highlight w:val="none"/>
              </w:rPr>
            </w:pPr>
            <w:r>
              <w:rPr>
                <w:rFonts w:ascii="宋体" w:hAnsi="宋体"/>
                <w:color w:val="auto"/>
                <w:sz w:val="21"/>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BD532DA">
            <w:pPr>
              <w:pStyle w:val="33"/>
              <w:kinsoku w:val="0"/>
              <w:overflowPunct w:val="0"/>
              <w:spacing w:line="240" w:lineRule="atLeast"/>
              <w:jc w:val="center"/>
              <w:rPr>
                <w:color w:val="auto"/>
                <w:sz w:val="21"/>
                <w:highlight w:val="none"/>
              </w:rPr>
            </w:pPr>
            <w:r>
              <w:rPr>
                <w:rFonts w:ascii="宋体" w:hAnsi="宋体"/>
                <w:color w:val="auto"/>
                <w:sz w:val="21"/>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267AEC5">
            <w:pPr>
              <w:pStyle w:val="33"/>
              <w:kinsoku w:val="0"/>
              <w:overflowPunct w:val="0"/>
              <w:spacing w:line="240" w:lineRule="atLeast"/>
              <w:jc w:val="center"/>
              <w:rPr>
                <w:color w:val="auto"/>
                <w:sz w:val="21"/>
                <w:highlight w:val="none"/>
              </w:rPr>
            </w:pPr>
            <w:r>
              <w:rPr>
                <w:rFonts w:ascii="宋体" w:hAnsi="宋体"/>
                <w:color w:val="auto"/>
                <w:sz w:val="21"/>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70797FB">
            <w:pPr>
              <w:pStyle w:val="33"/>
              <w:kinsoku w:val="0"/>
              <w:overflowPunct w:val="0"/>
              <w:spacing w:line="240" w:lineRule="atLeast"/>
              <w:jc w:val="center"/>
              <w:rPr>
                <w:color w:val="auto"/>
                <w:sz w:val="21"/>
                <w:highlight w:val="none"/>
              </w:rPr>
            </w:pPr>
            <w:r>
              <w:rPr>
                <w:rFonts w:ascii="宋体" w:hAnsi="宋体"/>
                <w:color w:val="auto"/>
                <w:sz w:val="21"/>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01D8B00">
            <w:pPr>
              <w:pStyle w:val="33"/>
              <w:kinsoku w:val="0"/>
              <w:overflowPunct w:val="0"/>
              <w:spacing w:line="240" w:lineRule="atLeast"/>
              <w:jc w:val="center"/>
              <w:rPr>
                <w:color w:val="auto"/>
                <w:sz w:val="21"/>
                <w:highlight w:val="none"/>
              </w:rPr>
            </w:pPr>
            <w:r>
              <w:rPr>
                <w:rFonts w:ascii="宋体" w:hAnsi="宋体"/>
                <w:color w:val="auto"/>
                <w:sz w:val="21"/>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234BEC30">
            <w:pPr>
              <w:pStyle w:val="33"/>
              <w:kinsoku w:val="0"/>
              <w:overflowPunct w:val="0"/>
              <w:spacing w:line="240" w:lineRule="atLeast"/>
              <w:jc w:val="center"/>
              <w:rPr>
                <w:color w:val="auto"/>
                <w:sz w:val="21"/>
                <w:highlight w:val="none"/>
              </w:rPr>
            </w:pPr>
            <w:r>
              <w:rPr>
                <w:rFonts w:ascii="宋体" w:hAnsi="宋体"/>
                <w:color w:val="auto"/>
                <w:sz w:val="21"/>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071C8BD4">
            <w:pPr>
              <w:pStyle w:val="33"/>
              <w:kinsoku w:val="0"/>
              <w:overflowPunct w:val="0"/>
              <w:spacing w:line="240" w:lineRule="atLeast"/>
              <w:jc w:val="center"/>
              <w:rPr>
                <w:color w:val="auto"/>
                <w:sz w:val="21"/>
                <w:highlight w:val="none"/>
              </w:rPr>
            </w:pPr>
            <w:r>
              <w:rPr>
                <w:rFonts w:ascii="宋体" w:hAnsi="宋体"/>
                <w:color w:val="auto"/>
                <w:sz w:val="21"/>
                <w:highlight w:val="none"/>
              </w:rPr>
              <w:t>备注</w:t>
            </w:r>
          </w:p>
        </w:tc>
      </w:tr>
      <w:tr w14:paraId="2CEB4AD0">
        <w:tblPrEx>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14858B9">
            <w:pPr>
              <w:pStyle w:val="33"/>
              <w:kinsoku w:val="0"/>
              <w:overflowPunct w:val="0"/>
              <w:spacing w:line="240" w:lineRule="atLeast"/>
              <w:jc w:val="center"/>
              <w:rPr>
                <w:color w:val="auto"/>
                <w:sz w:val="21"/>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F5E7389">
            <w:pPr>
              <w:pStyle w:val="33"/>
              <w:kinsoku w:val="0"/>
              <w:overflowPunct w:val="0"/>
              <w:spacing w:line="240" w:lineRule="atLeast"/>
              <w:jc w:val="center"/>
              <w:rPr>
                <w:color w:val="auto"/>
                <w:sz w:val="21"/>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12D9F15">
            <w:pPr>
              <w:pStyle w:val="33"/>
              <w:kinsoku w:val="0"/>
              <w:overflowPunct w:val="0"/>
              <w:spacing w:line="240" w:lineRule="atLeast"/>
              <w:jc w:val="center"/>
              <w:rPr>
                <w:color w:val="auto"/>
                <w:sz w:val="21"/>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3261DFCE">
            <w:pPr>
              <w:pStyle w:val="33"/>
              <w:kinsoku w:val="0"/>
              <w:overflowPunct w:val="0"/>
              <w:spacing w:line="240" w:lineRule="atLeast"/>
              <w:jc w:val="center"/>
              <w:rPr>
                <w:color w:val="auto"/>
                <w:sz w:val="21"/>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8CC7F70">
            <w:pPr>
              <w:pStyle w:val="33"/>
              <w:kinsoku w:val="0"/>
              <w:overflowPunct w:val="0"/>
              <w:spacing w:line="240" w:lineRule="atLeast"/>
              <w:jc w:val="center"/>
              <w:rPr>
                <w:color w:val="auto"/>
                <w:sz w:val="21"/>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vAlign w:val="center"/>
          </w:tcPr>
          <w:p w14:paraId="4477C87B">
            <w:pPr>
              <w:pStyle w:val="33"/>
              <w:kinsoku w:val="0"/>
              <w:overflowPunct w:val="0"/>
              <w:spacing w:line="240" w:lineRule="atLeast"/>
              <w:jc w:val="center"/>
              <w:rPr>
                <w:color w:val="auto"/>
                <w:sz w:val="21"/>
                <w:highlight w:val="none"/>
              </w:rPr>
            </w:pPr>
            <w:r>
              <w:rPr>
                <w:rFonts w:ascii="宋体" w:hAnsi="宋体"/>
                <w:color w:val="auto"/>
                <w:sz w:val="21"/>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14:paraId="16B5DB48">
            <w:pPr>
              <w:pStyle w:val="33"/>
              <w:kinsoku w:val="0"/>
              <w:overflowPunct w:val="0"/>
              <w:spacing w:line="240" w:lineRule="atLeast"/>
              <w:jc w:val="center"/>
              <w:rPr>
                <w:color w:val="auto"/>
                <w:sz w:val="21"/>
                <w:highlight w:val="none"/>
              </w:rPr>
            </w:pPr>
            <w:r>
              <w:rPr>
                <w:rFonts w:ascii="宋体" w:hAnsi="宋体"/>
                <w:color w:val="auto"/>
                <w:sz w:val="21"/>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vAlign w:val="center"/>
          </w:tcPr>
          <w:p w14:paraId="59E7C785">
            <w:pPr>
              <w:pStyle w:val="33"/>
              <w:kinsoku w:val="0"/>
              <w:overflowPunct w:val="0"/>
              <w:spacing w:line="240" w:lineRule="atLeast"/>
              <w:jc w:val="center"/>
              <w:rPr>
                <w:color w:val="auto"/>
                <w:sz w:val="21"/>
                <w:highlight w:val="none"/>
              </w:rPr>
            </w:pPr>
            <w:r>
              <w:rPr>
                <w:rFonts w:ascii="宋体" w:hAnsi="宋体"/>
                <w:color w:val="auto"/>
                <w:sz w:val="21"/>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25258E38">
            <w:pPr>
              <w:spacing w:line="240" w:lineRule="atLeast"/>
              <w:jc w:val="center"/>
              <w:rPr>
                <w:color w:val="auto"/>
                <w:sz w:val="21"/>
                <w:highlight w:val="none"/>
              </w:rPr>
            </w:pPr>
          </w:p>
        </w:tc>
      </w:tr>
      <w:tr w14:paraId="3EEBC1A6">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B13C21B">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868BF82">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D6F1EA8">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0B18D9A">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5E375A3">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591C9623">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EA2A3CB">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169F4A0E">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1B003BF">
            <w:pPr>
              <w:rPr>
                <w:color w:val="auto"/>
                <w:highlight w:val="none"/>
              </w:rPr>
            </w:pPr>
          </w:p>
        </w:tc>
      </w:tr>
      <w:tr w14:paraId="0B17AFC4">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FEB5895">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B4D433A">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F72FC28">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6648020B">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F9891BC">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6A7297A">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1753E49">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C63E972">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0D80C21">
            <w:pPr>
              <w:rPr>
                <w:color w:val="auto"/>
                <w:highlight w:val="none"/>
              </w:rPr>
            </w:pPr>
          </w:p>
        </w:tc>
      </w:tr>
      <w:tr w14:paraId="1268740A">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8B02BBE">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BC08DB9">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7CCDED12">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C621B27">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681921D2">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ADAEE6E">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E70C0C7">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8C62D02">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DA04EA9">
            <w:pPr>
              <w:rPr>
                <w:color w:val="auto"/>
                <w:highlight w:val="none"/>
              </w:rPr>
            </w:pPr>
          </w:p>
        </w:tc>
      </w:tr>
      <w:tr w14:paraId="46D01D61">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A100D85">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44632AA">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0B28CBE">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A382E2B">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1859FE1F">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12CEDEF9">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10D5BA5">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0199439A">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AB77101">
            <w:pPr>
              <w:rPr>
                <w:color w:val="auto"/>
                <w:highlight w:val="none"/>
              </w:rPr>
            </w:pPr>
          </w:p>
        </w:tc>
      </w:tr>
      <w:tr w14:paraId="72E4D2C9">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6EC52D5">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3752068">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FFF1DCC">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A28CE07">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2FB8855">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4F45DFB">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DC7741C">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FA1D991">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9EE34FD">
            <w:pPr>
              <w:rPr>
                <w:color w:val="auto"/>
                <w:highlight w:val="none"/>
              </w:rPr>
            </w:pPr>
          </w:p>
        </w:tc>
      </w:tr>
      <w:tr w14:paraId="45FB6257">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8E3FA37">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28C0C0D">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51BDBA8B">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E7DD0FD">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6B40858D">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191D07A0">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EE87520">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16EF1D7">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30B1B8D">
            <w:pPr>
              <w:rPr>
                <w:color w:val="auto"/>
                <w:highlight w:val="none"/>
              </w:rPr>
            </w:pPr>
          </w:p>
        </w:tc>
      </w:tr>
      <w:tr w14:paraId="7DAF9A73">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7CB03CD2">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ADCC845">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0442A46">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0746089">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D0DF786">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F8ABC6F">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2D78915">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3744B6B">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1A2A13E">
            <w:pPr>
              <w:rPr>
                <w:color w:val="auto"/>
                <w:highlight w:val="none"/>
              </w:rPr>
            </w:pPr>
          </w:p>
        </w:tc>
      </w:tr>
      <w:tr w14:paraId="5489EFD2">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A0EA4B2">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7F25AF8">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55E49339">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915D2B3">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3017CA0">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3DBD79B">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C9892EB">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6D17516">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AACD44B">
            <w:pPr>
              <w:rPr>
                <w:color w:val="auto"/>
                <w:highlight w:val="none"/>
              </w:rPr>
            </w:pPr>
          </w:p>
        </w:tc>
      </w:tr>
      <w:tr w14:paraId="10D55145">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3464499">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5F82869">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340A712">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10A35C7">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0F14CFA">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D4204BE">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C8D6863">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08A00ECC">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540AA77">
            <w:pPr>
              <w:rPr>
                <w:color w:val="auto"/>
                <w:highlight w:val="none"/>
              </w:rPr>
            </w:pPr>
          </w:p>
        </w:tc>
      </w:tr>
      <w:tr w14:paraId="690C2F4C">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4C39065">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E4E2818">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5BF75735">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58C57BB4">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61CA866">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63E8E6C">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BAF6E87">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DCB7C6A">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656A783">
            <w:pPr>
              <w:rPr>
                <w:color w:val="auto"/>
                <w:highlight w:val="none"/>
              </w:rPr>
            </w:pPr>
          </w:p>
        </w:tc>
      </w:tr>
      <w:tr w14:paraId="651AC9C1">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2F90A8C4">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6EE60AA">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A73FC7A">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B8446A5">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D26724E">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5EA7CC0">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5C2D6CB4">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C261F91">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CCAFA49">
            <w:pPr>
              <w:rPr>
                <w:color w:val="auto"/>
                <w:highlight w:val="none"/>
              </w:rPr>
            </w:pPr>
          </w:p>
        </w:tc>
      </w:tr>
      <w:tr w14:paraId="053B56AB">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295B581">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865BDE6">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8C5A7D5">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C4A8176">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A716086">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711B7F04">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1E62C38">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56ABB5A">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CA6AB1A">
            <w:pPr>
              <w:rPr>
                <w:color w:val="auto"/>
                <w:highlight w:val="none"/>
              </w:rPr>
            </w:pPr>
          </w:p>
        </w:tc>
      </w:tr>
      <w:tr w14:paraId="6A0579B6">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8508EFB">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900A147">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37965E2">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28F9C74">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12147296">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5EEF77A">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262249F">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1F157A9">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EA3E33E">
            <w:pPr>
              <w:rPr>
                <w:color w:val="auto"/>
                <w:highlight w:val="none"/>
              </w:rPr>
            </w:pPr>
          </w:p>
        </w:tc>
      </w:tr>
      <w:tr w14:paraId="0B557EC2">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8F46F26">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600F845">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C205870">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D6D6073">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39D14A9">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E1D73DE">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53738914">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E616B24">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BFB4B71">
            <w:pPr>
              <w:rPr>
                <w:color w:val="auto"/>
                <w:highlight w:val="none"/>
              </w:rPr>
            </w:pPr>
          </w:p>
        </w:tc>
      </w:tr>
      <w:tr w14:paraId="18BFD0CC">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8408111">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0A4331F">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C178D8E">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F7E1ED9">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31D350C0">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6BFCBB8">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E370D40">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D22277A">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591DAC1">
            <w:pPr>
              <w:rPr>
                <w:color w:val="auto"/>
                <w:highlight w:val="none"/>
              </w:rPr>
            </w:pPr>
          </w:p>
        </w:tc>
      </w:tr>
      <w:tr w14:paraId="47B94068">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D629BC2">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1BE2DBC">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3B4CA2E">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BDB4AAE">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103EC02">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1A02757">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31612972">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88382C3">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36E8640">
            <w:pPr>
              <w:rPr>
                <w:color w:val="auto"/>
                <w:highlight w:val="none"/>
              </w:rPr>
            </w:pPr>
          </w:p>
        </w:tc>
      </w:tr>
      <w:tr w14:paraId="3CA24195">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32C7ED3">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A525849">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22BFC673">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4CF65D3">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EF8049F">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FB30782">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6477E773">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5DFAFDC2">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CEF1E8F">
            <w:pPr>
              <w:rPr>
                <w:color w:val="auto"/>
                <w:highlight w:val="none"/>
              </w:rPr>
            </w:pPr>
          </w:p>
        </w:tc>
      </w:tr>
      <w:tr w14:paraId="459E5623">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77DDE03">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3F5DFE8">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144E3090">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5173ECE">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FB4FA88">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17FFF84">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695EC60">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02859BDA">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46C5ECF">
            <w:pPr>
              <w:rPr>
                <w:color w:val="auto"/>
                <w:highlight w:val="none"/>
              </w:rPr>
            </w:pPr>
          </w:p>
        </w:tc>
      </w:tr>
      <w:tr w14:paraId="29AFABD0">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78143F1A">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EBACD67">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FF82CEB">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1E10878">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BE4C814">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DF4F73D">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8913893">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3CB5A58">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A620535">
            <w:pPr>
              <w:rPr>
                <w:color w:val="auto"/>
                <w:highlight w:val="none"/>
              </w:rPr>
            </w:pPr>
          </w:p>
        </w:tc>
      </w:tr>
      <w:tr w14:paraId="00CB0184">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3176993">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FE7DFCA">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52462C30">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FAD4631">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C34C8C6">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6CE74F8">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E808535">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42AA442">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C1C83DD">
            <w:pPr>
              <w:rPr>
                <w:color w:val="auto"/>
                <w:highlight w:val="none"/>
              </w:rPr>
            </w:pPr>
          </w:p>
        </w:tc>
      </w:tr>
      <w:tr w14:paraId="2E1DCC24">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06CCD75">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A2016CE">
            <w:pPr>
              <w:rPr>
                <w:color w:val="auto"/>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05A5C62">
            <w:pPr>
              <w:rPr>
                <w:color w:val="auto"/>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608EBE4">
            <w:pPr>
              <w:rPr>
                <w:color w:val="auto"/>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AF93A95">
            <w:pPr>
              <w:rPr>
                <w:color w:val="auto"/>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966702A">
            <w:pPr>
              <w:rPr>
                <w:color w:val="auto"/>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2F08EC0">
            <w:pPr>
              <w:rPr>
                <w:color w:val="auto"/>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3C78545">
            <w:pPr>
              <w:rPr>
                <w:color w:val="auto"/>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1743B57">
            <w:pPr>
              <w:rPr>
                <w:color w:val="auto"/>
                <w:highlight w:val="none"/>
              </w:rPr>
            </w:pPr>
          </w:p>
        </w:tc>
      </w:tr>
    </w:tbl>
    <w:p w14:paraId="1FDB165E">
      <w:pPr>
        <w:rPr>
          <w:color w:val="auto"/>
          <w:highlight w:val="none"/>
        </w:rPr>
        <w:sectPr>
          <w:headerReference r:id="rId15" w:type="default"/>
          <w:footerReference r:id="rId16" w:type="default"/>
          <w:pgSz w:w="11905" w:h="16838"/>
          <w:pgMar w:top="1417" w:right="1417" w:bottom="1417" w:left="1417" w:header="992" w:footer="992" w:gutter="0"/>
          <w:cols w:space="720" w:num="1"/>
        </w:sectPr>
      </w:pPr>
    </w:p>
    <w:p w14:paraId="09F0E8F5">
      <w:pPr>
        <w:pStyle w:val="6"/>
        <w:rPr>
          <w:b/>
          <w:color w:val="auto"/>
          <w:sz w:val="24"/>
          <w:highlight w:val="none"/>
        </w:rPr>
      </w:pPr>
      <w:bookmarkStart w:id="190" w:name="bookmark191"/>
      <w:bookmarkEnd w:id="190"/>
      <w:bookmarkStart w:id="191" w:name="_Toc30346"/>
      <w:r>
        <w:rPr>
          <w:b/>
          <w:color w:val="auto"/>
          <w:sz w:val="24"/>
          <w:highlight w:val="none"/>
        </w:rPr>
        <w:t>（四）主要人员简历表</w:t>
      </w:r>
      <w:bookmarkEnd w:id="191"/>
    </w:p>
    <w:p w14:paraId="7AD36E99">
      <w:pPr>
        <w:pStyle w:val="2"/>
        <w:kinsoku w:val="0"/>
        <w:overflowPunct w:val="0"/>
        <w:ind w:left="0"/>
        <w:rPr>
          <w:b/>
          <w:color w:val="auto"/>
          <w:sz w:val="24"/>
          <w:highlight w:val="none"/>
        </w:rPr>
      </w:pPr>
    </w:p>
    <w:p w14:paraId="4FB1BA98">
      <w:pPr>
        <w:pStyle w:val="2"/>
        <w:kinsoku w:val="0"/>
        <w:overflowPunct w:val="0"/>
        <w:spacing w:before="5"/>
        <w:ind w:left="0"/>
        <w:rPr>
          <w:color w:val="auto"/>
          <w:sz w:val="16"/>
          <w:highlight w:val="none"/>
        </w:rPr>
      </w:pPr>
    </w:p>
    <w:tbl>
      <w:tblPr>
        <w:tblStyle w:val="26"/>
        <w:tblW w:w="8521" w:type="dxa"/>
        <w:tblInd w:w="264" w:type="dxa"/>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3F3180F1">
        <w:tblPrEx>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05E8C849">
            <w:pPr>
              <w:pStyle w:val="33"/>
              <w:tabs>
                <w:tab w:val="left" w:pos="695"/>
              </w:tabs>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tcPr>
          <w:p w14:paraId="5AC52AFF">
            <w:pPr>
              <w:rPr>
                <w:rFonts w:ascii="宋体" w:hAnsi="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vAlign w:val="center"/>
          </w:tcPr>
          <w:p w14:paraId="3FD34375">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tcPr>
          <w:p w14:paraId="610410FF">
            <w:pPr>
              <w:rPr>
                <w:rFonts w:ascii="宋体" w:hAnsi="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3FB942CF">
            <w:pPr>
              <w:pStyle w:val="33"/>
              <w:kinsoku w:val="0"/>
              <w:overflowPunct w:val="0"/>
              <w:spacing w:before="3" w:line="440" w:lineRule="exact"/>
              <w:ind w:right="122"/>
              <w:jc w:val="center"/>
              <w:rPr>
                <w:rFonts w:ascii="宋体" w:hAnsi="宋体" w:cs="宋体"/>
                <w:color w:val="auto"/>
                <w:sz w:val="21"/>
                <w:szCs w:val="21"/>
                <w:highlight w:val="none"/>
              </w:rPr>
            </w:pPr>
            <w:r>
              <w:rPr>
                <w:rFonts w:ascii="宋体" w:hAnsi="宋体" w:cs="宋体"/>
                <w:color w:val="auto"/>
                <w:spacing w:val="-2"/>
                <w:sz w:val="21"/>
                <w:szCs w:val="21"/>
                <w:highlight w:val="none"/>
              </w:rPr>
              <w:t>执业资格证书（或上岗</w:t>
            </w:r>
            <w:r>
              <w:rPr>
                <w:rFonts w:ascii="宋体" w:hAnsi="宋体" w:cs="宋体"/>
                <w:color w:val="auto"/>
                <w:spacing w:val="-85"/>
                <w:sz w:val="21"/>
                <w:szCs w:val="21"/>
                <w:highlight w:val="none"/>
              </w:rPr>
              <w:t xml:space="preserve"> </w:t>
            </w:r>
            <w:r>
              <w:rPr>
                <w:rFonts w:ascii="宋体" w:hAnsi="宋体" w:cs="宋体"/>
                <w:color w:val="auto"/>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4F542A2F">
            <w:pPr>
              <w:rPr>
                <w:rFonts w:ascii="宋体" w:hAnsi="宋体" w:cs="宋体"/>
                <w:color w:val="auto"/>
                <w:sz w:val="21"/>
                <w:szCs w:val="21"/>
                <w:highlight w:val="none"/>
              </w:rPr>
            </w:pPr>
          </w:p>
        </w:tc>
      </w:tr>
      <w:tr w14:paraId="27E7A320">
        <w:tblPrEx>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3C2D9BAB">
            <w:pPr>
              <w:pStyle w:val="33"/>
              <w:tabs>
                <w:tab w:val="left" w:pos="695"/>
              </w:tabs>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tcPr>
          <w:p w14:paraId="37B9FE20">
            <w:pPr>
              <w:rPr>
                <w:rFonts w:ascii="宋体" w:hAnsi="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vAlign w:val="center"/>
          </w:tcPr>
          <w:p w14:paraId="0CD81575">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tcPr>
          <w:p w14:paraId="6C1390C8">
            <w:pPr>
              <w:rPr>
                <w:rFonts w:ascii="宋体" w:hAnsi="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783F0A22">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62051BEB">
            <w:pPr>
              <w:rPr>
                <w:rFonts w:ascii="宋体" w:hAnsi="宋体" w:cs="宋体"/>
                <w:color w:val="auto"/>
                <w:sz w:val="21"/>
                <w:szCs w:val="21"/>
                <w:highlight w:val="none"/>
              </w:rPr>
            </w:pPr>
          </w:p>
        </w:tc>
      </w:tr>
      <w:tr w14:paraId="706D5824">
        <w:tblPrEx>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3C9CAB82">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tcPr>
          <w:p w14:paraId="6EFFE1A4">
            <w:pPr>
              <w:rPr>
                <w:rFonts w:ascii="宋体" w:hAnsi="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7218C168">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4A1C145D">
            <w:pPr>
              <w:rPr>
                <w:rFonts w:ascii="宋体" w:hAnsi="宋体" w:cs="宋体"/>
                <w:color w:val="auto"/>
                <w:sz w:val="21"/>
                <w:szCs w:val="21"/>
                <w:highlight w:val="none"/>
              </w:rPr>
            </w:pPr>
          </w:p>
        </w:tc>
      </w:tr>
      <w:tr w14:paraId="654BBF85">
        <w:tblPrEx>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vAlign w:val="center"/>
          </w:tcPr>
          <w:p w14:paraId="3ADDB367">
            <w:pPr>
              <w:pStyle w:val="33"/>
              <w:kinsoku w:val="0"/>
              <w:overflowPunct w:val="0"/>
              <w:jc w:val="both"/>
              <w:rPr>
                <w:rFonts w:ascii="宋体" w:hAnsi="宋体" w:cs="宋体"/>
                <w:color w:val="auto"/>
                <w:sz w:val="21"/>
                <w:szCs w:val="21"/>
                <w:highlight w:val="none"/>
              </w:rPr>
            </w:pPr>
            <w:r>
              <w:rPr>
                <w:rFonts w:ascii="宋体" w:hAnsi="宋体" w:cs="宋体"/>
                <w:color w:val="auto"/>
                <w:sz w:val="21"/>
                <w:szCs w:val="21"/>
                <w:highlight w:val="none"/>
              </w:rPr>
              <w:t>主要工作经历</w:t>
            </w:r>
          </w:p>
        </w:tc>
      </w:tr>
      <w:tr w14:paraId="2354606C">
        <w:tblPrEx>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0C7891A">
            <w:pPr>
              <w:pStyle w:val="33"/>
              <w:tabs>
                <w:tab w:val="left" w:pos="873"/>
              </w:tabs>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时</w:t>
            </w:r>
            <w:r>
              <w:rPr>
                <w:rFonts w:ascii="宋体" w:hAnsi="宋体" w:cs="宋体"/>
                <w:color w:val="auto"/>
                <w:sz w:val="21"/>
                <w:szCs w:val="21"/>
                <w:highlight w:val="none"/>
              </w:rPr>
              <w:tab/>
            </w:r>
            <w:r>
              <w:rPr>
                <w:rFonts w:ascii="宋体" w:hAnsi="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4876178">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3236D431">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5A047FE">
            <w:pPr>
              <w:pStyle w:val="33"/>
              <w:kinsoku w:val="0"/>
              <w:overflowPunct w:val="0"/>
              <w:jc w:val="center"/>
              <w:rPr>
                <w:rFonts w:ascii="宋体" w:hAnsi="宋体" w:cs="宋体"/>
                <w:color w:val="auto"/>
                <w:sz w:val="21"/>
                <w:szCs w:val="21"/>
                <w:highlight w:val="none"/>
              </w:rPr>
            </w:pPr>
            <w:r>
              <w:rPr>
                <w:rFonts w:ascii="宋体" w:hAnsi="宋体" w:cs="宋体"/>
                <w:color w:val="auto"/>
                <w:sz w:val="21"/>
                <w:szCs w:val="21"/>
                <w:highlight w:val="none"/>
              </w:rPr>
              <w:t>委托人及联系电话</w:t>
            </w:r>
          </w:p>
        </w:tc>
      </w:tr>
      <w:tr w14:paraId="23855F61">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D9A79D2">
            <w:pPr>
              <w:jc w:val="center"/>
              <w:rPr>
                <w:rFonts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499CBA93">
            <w:pPr>
              <w:jc w:val="center"/>
              <w:rPr>
                <w:rFonts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01AE1B86">
            <w:pPr>
              <w:jc w:val="center"/>
              <w:rPr>
                <w:rFonts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23470F5">
            <w:pPr>
              <w:jc w:val="center"/>
              <w:rPr>
                <w:rFonts w:ascii="宋体" w:hAnsi="宋体" w:cs="宋体"/>
                <w:color w:val="auto"/>
                <w:sz w:val="21"/>
                <w:szCs w:val="21"/>
                <w:highlight w:val="none"/>
              </w:rPr>
            </w:pPr>
          </w:p>
        </w:tc>
      </w:tr>
      <w:tr w14:paraId="4AEDA8EE">
        <w:tblPrEx>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67485A7">
            <w:pPr>
              <w:jc w:val="center"/>
              <w:rPr>
                <w:rFonts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76AF7BA1">
            <w:pPr>
              <w:jc w:val="center"/>
              <w:rPr>
                <w:rFonts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59F115E8">
            <w:pPr>
              <w:jc w:val="center"/>
              <w:rPr>
                <w:rFonts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6C75E94">
            <w:pPr>
              <w:jc w:val="center"/>
              <w:rPr>
                <w:rFonts w:ascii="宋体" w:hAnsi="宋体" w:cs="宋体"/>
                <w:color w:val="auto"/>
                <w:sz w:val="21"/>
                <w:szCs w:val="21"/>
                <w:highlight w:val="none"/>
              </w:rPr>
            </w:pPr>
          </w:p>
        </w:tc>
      </w:tr>
      <w:tr w14:paraId="7338D800">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EA67564">
            <w:pPr>
              <w:jc w:val="center"/>
              <w:rPr>
                <w:rFonts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9E0C58C">
            <w:pPr>
              <w:jc w:val="center"/>
              <w:rPr>
                <w:rFonts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4FC555F9">
            <w:pPr>
              <w:jc w:val="center"/>
              <w:rPr>
                <w:rFonts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8909049">
            <w:pPr>
              <w:jc w:val="center"/>
              <w:rPr>
                <w:rFonts w:ascii="宋体" w:hAnsi="宋体" w:cs="宋体"/>
                <w:color w:val="auto"/>
                <w:sz w:val="21"/>
                <w:szCs w:val="21"/>
                <w:highlight w:val="none"/>
              </w:rPr>
            </w:pPr>
          </w:p>
        </w:tc>
      </w:tr>
      <w:tr w14:paraId="42A4AD04">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357FEE1">
            <w:pPr>
              <w:jc w:val="center"/>
              <w:rPr>
                <w:rFonts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2E53C1D5">
            <w:pPr>
              <w:jc w:val="center"/>
              <w:rPr>
                <w:rFonts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0A1494EA">
            <w:pPr>
              <w:jc w:val="center"/>
              <w:rPr>
                <w:rFonts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21E4CDB">
            <w:pPr>
              <w:jc w:val="center"/>
              <w:rPr>
                <w:rFonts w:ascii="宋体" w:hAnsi="宋体" w:cs="宋体"/>
                <w:color w:val="auto"/>
                <w:sz w:val="21"/>
                <w:szCs w:val="21"/>
                <w:highlight w:val="none"/>
              </w:rPr>
            </w:pPr>
          </w:p>
        </w:tc>
      </w:tr>
      <w:tr w14:paraId="3B6CA18B">
        <w:tblPrEx>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6D41F06">
            <w:pPr>
              <w:jc w:val="center"/>
              <w:rPr>
                <w:rFonts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5C237A82">
            <w:pPr>
              <w:jc w:val="center"/>
              <w:rPr>
                <w:rFonts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0D157ABF">
            <w:pPr>
              <w:jc w:val="center"/>
              <w:rPr>
                <w:rFonts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EA6BBA3">
            <w:pPr>
              <w:jc w:val="center"/>
              <w:rPr>
                <w:rFonts w:ascii="宋体" w:hAnsi="宋体" w:cs="宋体"/>
                <w:color w:val="auto"/>
                <w:sz w:val="21"/>
                <w:szCs w:val="21"/>
                <w:highlight w:val="none"/>
              </w:rPr>
            </w:pPr>
          </w:p>
        </w:tc>
      </w:tr>
      <w:tr w14:paraId="5B43508A">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959B5BC">
            <w:pPr>
              <w:jc w:val="center"/>
              <w:rPr>
                <w:rFonts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63BB374E">
            <w:pPr>
              <w:jc w:val="center"/>
              <w:rPr>
                <w:rFonts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1A48C111">
            <w:pPr>
              <w:jc w:val="center"/>
              <w:rPr>
                <w:rFonts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340BC3AE">
            <w:pPr>
              <w:jc w:val="center"/>
              <w:rPr>
                <w:rFonts w:ascii="宋体" w:hAnsi="宋体" w:cs="宋体"/>
                <w:color w:val="auto"/>
                <w:sz w:val="21"/>
                <w:szCs w:val="21"/>
                <w:highlight w:val="none"/>
              </w:rPr>
            </w:pPr>
          </w:p>
        </w:tc>
      </w:tr>
      <w:tr w14:paraId="68E0F132">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3BA4305">
            <w:pPr>
              <w:jc w:val="center"/>
              <w:rPr>
                <w:rFonts w:ascii="宋体" w:hAnsi="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4C741AD5">
            <w:pPr>
              <w:jc w:val="center"/>
              <w:rPr>
                <w:rFonts w:ascii="宋体" w:hAnsi="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678A0058">
            <w:pPr>
              <w:jc w:val="center"/>
              <w:rPr>
                <w:rFonts w:ascii="宋体" w:hAnsi="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3B6A1DC">
            <w:pPr>
              <w:jc w:val="center"/>
              <w:rPr>
                <w:rFonts w:ascii="宋体" w:hAnsi="宋体" w:cs="宋体"/>
                <w:color w:val="auto"/>
                <w:sz w:val="21"/>
                <w:szCs w:val="21"/>
                <w:highlight w:val="none"/>
              </w:rPr>
            </w:pPr>
          </w:p>
        </w:tc>
      </w:tr>
    </w:tbl>
    <w:p w14:paraId="1B412C66">
      <w:pPr>
        <w:pStyle w:val="2"/>
        <w:kinsoku w:val="0"/>
        <w:overflowPunct w:val="0"/>
        <w:spacing w:before="6"/>
        <w:ind w:left="0"/>
        <w:rPr>
          <w:rFonts w:cs="宋体"/>
          <w:color w:val="auto"/>
          <w:sz w:val="24"/>
          <w:highlight w:val="none"/>
        </w:rPr>
      </w:pPr>
    </w:p>
    <w:p w14:paraId="63173B5A">
      <w:pPr>
        <w:pStyle w:val="2"/>
        <w:kinsoku w:val="0"/>
        <w:overflowPunct w:val="0"/>
        <w:spacing w:before="36"/>
        <w:ind w:left="100"/>
        <w:rPr>
          <w:rFonts w:cs="宋体"/>
          <w:color w:val="auto"/>
          <w:sz w:val="24"/>
          <w:highlight w:val="none"/>
        </w:rPr>
      </w:pPr>
    </w:p>
    <w:p w14:paraId="28CA111A">
      <w:pPr>
        <w:pStyle w:val="2"/>
        <w:kinsoku w:val="0"/>
        <w:overflowPunct w:val="0"/>
        <w:spacing w:before="36"/>
        <w:ind w:left="100"/>
        <w:rPr>
          <w:color w:val="auto"/>
          <w:sz w:val="24"/>
          <w:highlight w:val="none"/>
        </w:rPr>
        <w:sectPr>
          <w:headerReference r:id="rId17" w:type="default"/>
          <w:footerReference r:id="rId18" w:type="default"/>
          <w:pgSz w:w="11905" w:h="16838"/>
          <w:pgMar w:top="1417" w:right="1417" w:bottom="1417" w:left="1417" w:header="992" w:footer="992" w:gutter="0"/>
          <w:cols w:space="720" w:num="1"/>
        </w:sectPr>
      </w:pPr>
    </w:p>
    <w:p w14:paraId="290C696A">
      <w:pPr>
        <w:pStyle w:val="6"/>
        <w:rPr>
          <w:b/>
          <w:strike/>
          <w:color w:val="auto"/>
          <w:sz w:val="24"/>
          <w:highlight w:val="none"/>
        </w:rPr>
      </w:pPr>
      <w:bookmarkStart w:id="192" w:name="bookmark192"/>
      <w:bookmarkEnd w:id="192"/>
      <w:bookmarkStart w:id="193" w:name="_Toc6052"/>
      <w:r>
        <w:rPr>
          <w:b/>
          <w:strike/>
          <w:color w:val="auto"/>
          <w:sz w:val="24"/>
          <w:highlight w:val="none"/>
        </w:rPr>
        <w:t>（五）拟投入本项目的主要试验检测仪器设备表</w:t>
      </w:r>
      <w:bookmarkEnd w:id="193"/>
    </w:p>
    <w:p w14:paraId="6C5AAA15">
      <w:pPr>
        <w:pStyle w:val="2"/>
        <w:kinsoku w:val="0"/>
        <w:overflowPunct w:val="0"/>
        <w:ind w:left="0"/>
        <w:rPr>
          <w:strike/>
          <w:color w:val="auto"/>
          <w:sz w:val="20"/>
          <w:highlight w:val="none"/>
        </w:rPr>
      </w:pPr>
    </w:p>
    <w:p w14:paraId="0961B902">
      <w:pPr>
        <w:pStyle w:val="2"/>
        <w:kinsoku w:val="0"/>
        <w:overflowPunct w:val="0"/>
        <w:spacing w:before="11"/>
        <w:ind w:left="0"/>
        <w:rPr>
          <w:strike/>
          <w:color w:val="auto"/>
          <w:sz w:val="22"/>
          <w:highlight w:val="none"/>
        </w:rPr>
      </w:pPr>
    </w:p>
    <w:tbl>
      <w:tblPr>
        <w:tblStyle w:val="26"/>
        <w:tblW w:w="8594" w:type="dxa"/>
        <w:tblInd w:w="448" w:type="dxa"/>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650C4FE1">
        <w:tblPrEx>
          <w:tblCellMar>
            <w:top w:w="0" w:type="dxa"/>
            <w:left w:w="108" w:type="dxa"/>
            <w:bottom w:w="0" w:type="dxa"/>
            <w:right w:w="108" w:type="dxa"/>
          </w:tblCellMar>
        </w:tblPrEx>
        <w:trPr>
          <w:trHeight w:val="941" w:hRule="exact"/>
        </w:trPr>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14:paraId="0231E4CC">
            <w:pPr>
              <w:pStyle w:val="33"/>
              <w:kinsoku w:val="0"/>
              <w:overflowPunct w:val="0"/>
              <w:spacing w:line="240" w:lineRule="atLeast"/>
              <w:jc w:val="center"/>
              <w:rPr>
                <w:strike/>
                <w:color w:val="auto"/>
                <w:sz w:val="21"/>
                <w:highlight w:val="none"/>
              </w:rPr>
            </w:pPr>
            <w:r>
              <w:rPr>
                <w:rFonts w:ascii="宋体" w:hAnsi="宋体"/>
                <w:strike/>
                <w:color w:val="auto"/>
                <w:sz w:val="21"/>
                <w:highlight w:val="none"/>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vAlign w:val="center"/>
          </w:tcPr>
          <w:p w14:paraId="25C8FAFB">
            <w:pPr>
              <w:pStyle w:val="33"/>
              <w:kinsoku w:val="0"/>
              <w:overflowPunct w:val="0"/>
              <w:spacing w:line="240" w:lineRule="atLeast"/>
              <w:jc w:val="center"/>
              <w:rPr>
                <w:strike/>
                <w:color w:val="auto"/>
                <w:sz w:val="21"/>
                <w:highlight w:val="none"/>
              </w:rPr>
            </w:pPr>
            <w:r>
              <w:rPr>
                <w:rFonts w:ascii="宋体" w:hAnsi="宋体"/>
                <w:strike/>
                <w:color w:val="auto"/>
                <w:sz w:val="21"/>
                <w:highlight w:val="none"/>
              </w:rPr>
              <w:t>仪器设备名称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498B7995">
            <w:pPr>
              <w:pStyle w:val="33"/>
              <w:kinsoku w:val="0"/>
              <w:overflowPunct w:val="0"/>
              <w:spacing w:line="240" w:lineRule="atLeast"/>
              <w:jc w:val="center"/>
              <w:rPr>
                <w:strike/>
                <w:color w:val="auto"/>
                <w:sz w:val="21"/>
                <w:highlight w:val="none"/>
              </w:rPr>
            </w:pPr>
            <w:r>
              <w:rPr>
                <w:rFonts w:ascii="宋体" w:hAnsi="宋体"/>
                <w:strike/>
                <w:color w:val="auto"/>
                <w:sz w:val="21"/>
                <w:highlight w:val="none"/>
              </w:rPr>
              <w:t>型号</w:t>
            </w:r>
            <w:r>
              <w:rPr>
                <w:rFonts w:ascii="宋体" w:hAnsi="宋体"/>
                <w:strike/>
                <w:color w:val="auto"/>
                <w:spacing w:val="-103"/>
                <w:sz w:val="21"/>
                <w:highlight w:val="none"/>
              </w:rPr>
              <w:t xml:space="preserve"> </w:t>
            </w:r>
            <w:r>
              <w:rPr>
                <w:rFonts w:ascii="宋体" w:hAnsi="宋体"/>
                <w:strike/>
                <w:color w:val="auto"/>
                <w:sz w:val="21"/>
                <w:highlight w:val="none"/>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55A95471">
            <w:pPr>
              <w:pStyle w:val="33"/>
              <w:kinsoku w:val="0"/>
              <w:overflowPunct w:val="0"/>
              <w:spacing w:line="240" w:lineRule="atLeast"/>
              <w:jc w:val="center"/>
              <w:rPr>
                <w:strike/>
                <w:color w:val="auto"/>
                <w:sz w:val="21"/>
                <w:highlight w:val="none"/>
              </w:rPr>
            </w:pPr>
            <w:r>
              <w:rPr>
                <w:rFonts w:ascii="宋体" w:hAnsi="宋体"/>
                <w:strike/>
                <w:color w:val="auto"/>
                <w:sz w:val="21"/>
                <w:highlight w:val="none"/>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14:paraId="0B74CD67">
            <w:pPr>
              <w:pStyle w:val="33"/>
              <w:kinsoku w:val="0"/>
              <w:overflowPunct w:val="0"/>
              <w:spacing w:line="240" w:lineRule="atLeast"/>
              <w:jc w:val="center"/>
              <w:rPr>
                <w:strike/>
                <w:color w:val="auto"/>
                <w:sz w:val="21"/>
                <w:highlight w:val="none"/>
              </w:rPr>
            </w:pPr>
            <w:r>
              <w:rPr>
                <w:rFonts w:ascii="宋体" w:hAnsi="宋体"/>
                <w:strike/>
                <w:color w:val="auto"/>
                <w:sz w:val="21"/>
                <w:highlight w:val="none"/>
              </w:rPr>
              <w:t>国别</w:t>
            </w:r>
            <w:r>
              <w:rPr>
                <w:rFonts w:ascii="宋体" w:hAnsi="宋体"/>
                <w:strike/>
                <w:color w:val="auto"/>
                <w:spacing w:val="-103"/>
                <w:sz w:val="21"/>
                <w:highlight w:val="none"/>
              </w:rPr>
              <w:t xml:space="preserve"> </w:t>
            </w:r>
            <w:r>
              <w:rPr>
                <w:rFonts w:ascii="宋体" w:hAnsi="宋体"/>
                <w:strike/>
                <w:color w:val="auto"/>
                <w:sz w:val="21"/>
                <w:highlight w:val="none"/>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14:paraId="221CCDBA">
            <w:pPr>
              <w:pStyle w:val="33"/>
              <w:kinsoku w:val="0"/>
              <w:overflowPunct w:val="0"/>
              <w:spacing w:line="240" w:lineRule="atLeast"/>
              <w:jc w:val="center"/>
              <w:rPr>
                <w:strike/>
                <w:color w:val="auto"/>
                <w:sz w:val="21"/>
                <w:highlight w:val="none"/>
              </w:rPr>
            </w:pPr>
            <w:r>
              <w:rPr>
                <w:rFonts w:ascii="宋体" w:hAnsi="宋体"/>
                <w:strike/>
                <w:color w:val="auto"/>
                <w:sz w:val="21"/>
                <w:highlight w:val="none"/>
              </w:rPr>
              <w:t>制造</w:t>
            </w:r>
            <w:r>
              <w:rPr>
                <w:rFonts w:ascii="宋体" w:hAnsi="宋体"/>
                <w:strike/>
                <w:color w:val="auto"/>
                <w:spacing w:val="-103"/>
                <w:sz w:val="21"/>
                <w:highlight w:val="none"/>
              </w:rPr>
              <w:t xml:space="preserve"> </w:t>
            </w:r>
            <w:r>
              <w:rPr>
                <w:rFonts w:ascii="宋体" w:hAnsi="宋体"/>
                <w:strike/>
                <w:color w:val="auto"/>
                <w:sz w:val="21"/>
                <w:highlight w:val="none"/>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14:paraId="67E89B85">
            <w:pPr>
              <w:pStyle w:val="33"/>
              <w:kinsoku w:val="0"/>
              <w:overflowPunct w:val="0"/>
              <w:spacing w:line="240" w:lineRule="atLeast"/>
              <w:jc w:val="center"/>
              <w:rPr>
                <w:strike/>
                <w:color w:val="auto"/>
                <w:sz w:val="21"/>
                <w:highlight w:val="none"/>
              </w:rPr>
            </w:pPr>
            <w:r>
              <w:rPr>
                <w:rFonts w:ascii="宋体" w:hAnsi="宋体"/>
                <w:strike/>
                <w:color w:val="auto"/>
                <w:sz w:val="21"/>
                <w:highlight w:val="none"/>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vAlign w:val="center"/>
          </w:tcPr>
          <w:p w14:paraId="7ADB00A3">
            <w:pPr>
              <w:pStyle w:val="33"/>
              <w:kinsoku w:val="0"/>
              <w:overflowPunct w:val="0"/>
              <w:spacing w:line="240" w:lineRule="atLeast"/>
              <w:jc w:val="center"/>
              <w:rPr>
                <w:strike/>
                <w:color w:val="auto"/>
                <w:sz w:val="21"/>
                <w:highlight w:val="none"/>
              </w:rPr>
            </w:pPr>
            <w:r>
              <w:rPr>
                <w:rFonts w:ascii="宋体" w:hAnsi="宋体"/>
                <w:strike/>
                <w:color w:val="auto"/>
                <w:sz w:val="21"/>
                <w:highlight w:val="none"/>
              </w:rPr>
              <w:t>备注</w:t>
            </w:r>
          </w:p>
        </w:tc>
      </w:tr>
      <w:tr w14:paraId="1466B817">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70DDF55">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7946982A">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2881C81">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2793063">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406CB7F7">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ADC3C13">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B9D2DEA">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4C31BE12">
            <w:pPr>
              <w:rPr>
                <w:strike/>
                <w:color w:val="auto"/>
                <w:highlight w:val="none"/>
              </w:rPr>
            </w:pPr>
          </w:p>
        </w:tc>
      </w:tr>
      <w:tr w14:paraId="5EE4610A">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B370185">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10F4628C">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9C1F21F">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84185F1">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C9E6E1B">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99EB673">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148204D">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78491B4B">
            <w:pPr>
              <w:rPr>
                <w:strike/>
                <w:color w:val="auto"/>
                <w:highlight w:val="none"/>
              </w:rPr>
            </w:pPr>
          </w:p>
        </w:tc>
      </w:tr>
      <w:tr w14:paraId="001761F3">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1D097EB">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C9D67FD">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13BC171">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155BFBB">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C6BFD3D">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A6E1D43">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EBEF1C0">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DF54A9A">
            <w:pPr>
              <w:rPr>
                <w:strike/>
                <w:color w:val="auto"/>
                <w:highlight w:val="none"/>
              </w:rPr>
            </w:pPr>
          </w:p>
        </w:tc>
      </w:tr>
      <w:tr w14:paraId="2BC7DDE0">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B6CF4EB">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1F46D04">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7687B848">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2BA89D9">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F8F1CC3">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6A5B9EB">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B4CAE3E">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5B11DC9A">
            <w:pPr>
              <w:rPr>
                <w:strike/>
                <w:color w:val="auto"/>
                <w:highlight w:val="none"/>
              </w:rPr>
            </w:pPr>
          </w:p>
        </w:tc>
      </w:tr>
      <w:tr w14:paraId="5130D0B3">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9D997CE">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61205C25">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C930E89">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058558B">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688F359">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C6B24E0">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DA63693">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021C5C53">
            <w:pPr>
              <w:rPr>
                <w:strike/>
                <w:color w:val="auto"/>
                <w:highlight w:val="none"/>
              </w:rPr>
            </w:pPr>
          </w:p>
        </w:tc>
      </w:tr>
      <w:tr w14:paraId="2B6742B7">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F4147F6">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7E056DAB">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53062603">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81A3730">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0063AF0">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BC60AD3">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EA7D46B">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044BC73">
            <w:pPr>
              <w:rPr>
                <w:strike/>
                <w:color w:val="auto"/>
                <w:highlight w:val="none"/>
              </w:rPr>
            </w:pPr>
          </w:p>
        </w:tc>
      </w:tr>
      <w:tr w14:paraId="49F6C90B">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68B0D09A">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BDE5517">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78BA481">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B150D7E">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621F74D">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D70951D">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278D4EF">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E64F01E">
            <w:pPr>
              <w:rPr>
                <w:strike/>
                <w:color w:val="auto"/>
                <w:highlight w:val="none"/>
              </w:rPr>
            </w:pPr>
          </w:p>
        </w:tc>
      </w:tr>
      <w:tr w14:paraId="4EAD72D6">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1ABFE7E">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0B5E927">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8B3B173">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956426D">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1C60DBA0">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72A3D36">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21E330D1">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0BD7CF94">
            <w:pPr>
              <w:rPr>
                <w:strike/>
                <w:color w:val="auto"/>
                <w:highlight w:val="none"/>
              </w:rPr>
            </w:pPr>
          </w:p>
        </w:tc>
      </w:tr>
      <w:tr w14:paraId="2EE8526E">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316CC925">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9379C50">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4C356E4B">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661EEF7E">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F1F95D6">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8B92F89">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A8C9408">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B21EDE8">
            <w:pPr>
              <w:rPr>
                <w:strike/>
                <w:color w:val="auto"/>
                <w:highlight w:val="none"/>
              </w:rPr>
            </w:pPr>
          </w:p>
        </w:tc>
      </w:tr>
      <w:tr w14:paraId="2EDF5632">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0B49A97F">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6B13A92C">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4B24F9F7">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65731641">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15DA875">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1F7F720">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2126AC5">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57C8627">
            <w:pPr>
              <w:rPr>
                <w:strike/>
                <w:color w:val="auto"/>
                <w:highlight w:val="none"/>
              </w:rPr>
            </w:pPr>
          </w:p>
        </w:tc>
      </w:tr>
      <w:tr w14:paraId="1B3346B1">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82DAD92">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48961069">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5D5B997E">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BA517F7">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50664F0">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13EACD1">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D84A56E">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F904EB1">
            <w:pPr>
              <w:rPr>
                <w:strike/>
                <w:color w:val="auto"/>
                <w:highlight w:val="none"/>
              </w:rPr>
            </w:pPr>
          </w:p>
        </w:tc>
      </w:tr>
      <w:tr w14:paraId="045F00DC">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708DF4C5">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7EA91234">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09BA091">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CB1C250">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F7F3B8E">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0701BE3A">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1950E5F">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3760063">
            <w:pPr>
              <w:rPr>
                <w:strike/>
                <w:color w:val="auto"/>
                <w:highlight w:val="none"/>
              </w:rPr>
            </w:pPr>
          </w:p>
        </w:tc>
      </w:tr>
      <w:tr w14:paraId="3886B67C">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0076017">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55CF908">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7ECC6CE1">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41248F76">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A2894A2">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7ACD40F">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EDB599A">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4CE640C2">
            <w:pPr>
              <w:rPr>
                <w:strike/>
                <w:color w:val="auto"/>
                <w:highlight w:val="none"/>
              </w:rPr>
            </w:pPr>
          </w:p>
        </w:tc>
      </w:tr>
      <w:tr w14:paraId="020609CC">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7F3CED0A">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4341D100">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236FCBE0">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2D59355">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57080A8F">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2C98ED5">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F52FE08">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3A9CFE94">
            <w:pPr>
              <w:rPr>
                <w:strike/>
                <w:color w:val="auto"/>
                <w:highlight w:val="none"/>
              </w:rPr>
            </w:pPr>
          </w:p>
        </w:tc>
      </w:tr>
      <w:tr w14:paraId="4E174708">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EB85042">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8A39FAA">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01FE512">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BD63506">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36D59A9">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34B5C8F">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DD31BCA">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B2DAAA7">
            <w:pPr>
              <w:rPr>
                <w:strike/>
                <w:color w:val="auto"/>
                <w:highlight w:val="none"/>
              </w:rPr>
            </w:pPr>
          </w:p>
        </w:tc>
      </w:tr>
      <w:tr w14:paraId="3C7AA5AC">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1C79B3C">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430E18B9">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72C7438">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ECBD182">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102E08A">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F65D71A">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5EC2601">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471749D">
            <w:pPr>
              <w:rPr>
                <w:strike/>
                <w:color w:val="auto"/>
                <w:highlight w:val="none"/>
              </w:rPr>
            </w:pPr>
          </w:p>
        </w:tc>
      </w:tr>
      <w:tr w14:paraId="6333CA58">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7F218850">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2B3BDF37">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948A227">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F8C29F3">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00FC0350">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3664BA20">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673ABE8">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3296621E">
            <w:pPr>
              <w:rPr>
                <w:strike/>
                <w:color w:val="auto"/>
                <w:highlight w:val="none"/>
              </w:rPr>
            </w:pPr>
          </w:p>
        </w:tc>
      </w:tr>
      <w:tr w14:paraId="550CA449">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2F7D085">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5DD22398">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0D18D2E0">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1D69C394">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E81B8CF">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3709C6E">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03DC9A84">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53AD3B80">
            <w:pPr>
              <w:rPr>
                <w:strike/>
                <w:color w:val="auto"/>
                <w:highlight w:val="none"/>
              </w:rPr>
            </w:pPr>
          </w:p>
        </w:tc>
      </w:tr>
      <w:tr w14:paraId="60823816">
        <w:tblPrEx>
          <w:tblCellMar>
            <w:top w:w="0" w:type="dxa"/>
            <w:left w:w="108" w:type="dxa"/>
            <w:bottom w:w="0" w:type="dxa"/>
            <w:right w:w="108" w:type="dxa"/>
          </w:tblCellMar>
        </w:tblPrEx>
        <w:trPr>
          <w:trHeight w:val="47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30D45F34">
            <w:pPr>
              <w:rPr>
                <w:strike/>
                <w:color w:val="auto"/>
                <w:highlight w:val="none"/>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B872976">
            <w:pPr>
              <w:rPr>
                <w:strike/>
                <w:color w:val="auto"/>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4C157B4">
            <w:pPr>
              <w:rPr>
                <w:strike/>
                <w:color w:val="auto"/>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17BCB8A">
            <w:pPr>
              <w:rPr>
                <w:strike/>
                <w:color w:val="auto"/>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4851623">
            <w:pPr>
              <w:rPr>
                <w:strike/>
                <w:color w:val="auto"/>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15EDD3A9">
            <w:pPr>
              <w:rPr>
                <w:strike/>
                <w:color w:val="auto"/>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8CDBEA8">
            <w:pPr>
              <w:rPr>
                <w:strike/>
                <w:color w:val="auto"/>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3BB85687">
            <w:pPr>
              <w:rPr>
                <w:strike/>
                <w:color w:val="auto"/>
                <w:highlight w:val="none"/>
              </w:rPr>
            </w:pPr>
          </w:p>
        </w:tc>
      </w:tr>
    </w:tbl>
    <w:p w14:paraId="5FC2D987">
      <w:pPr>
        <w:rPr>
          <w:strike/>
          <w:color w:val="auto"/>
          <w:highlight w:val="none"/>
        </w:rPr>
        <w:sectPr>
          <w:headerReference r:id="rId19" w:type="default"/>
          <w:footerReference r:id="rId20" w:type="default"/>
          <w:pgSz w:w="11905" w:h="16838"/>
          <w:pgMar w:top="1417" w:right="1417" w:bottom="1417" w:left="1417" w:header="992" w:footer="992" w:gutter="0"/>
          <w:cols w:space="720" w:num="1"/>
        </w:sectPr>
      </w:pPr>
    </w:p>
    <w:p w14:paraId="7AAADD7D">
      <w:pPr>
        <w:pStyle w:val="6"/>
        <w:rPr>
          <w:b/>
          <w:color w:val="auto"/>
          <w:sz w:val="24"/>
          <w:highlight w:val="none"/>
        </w:rPr>
      </w:pPr>
      <w:bookmarkStart w:id="194" w:name="_Toc21460"/>
      <w:r>
        <w:rPr>
          <w:b/>
          <w:color w:val="auto"/>
          <w:sz w:val="24"/>
          <w:highlight w:val="none"/>
        </w:rPr>
        <w:t>（六）投标人声明格式</w:t>
      </w:r>
      <w:bookmarkEnd w:id="194"/>
    </w:p>
    <w:p w14:paraId="1912D2D8">
      <w:pPr>
        <w:jc w:val="center"/>
        <w:rPr>
          <w:b/>
          <w:bCs/>
          <w:color w:val="auto"/>
          <w:sz w:val="32"/>
          <w:szCs w:val="32"/>
          <w:highlight w:val="none"/>
        </w:rPr>
      </w:pPr>
      <w:bookmarkStart w:id="195" w:name="_Toc7353"/>
      <w:r>
        <w:rPr>
          <w:b/>
          <w:bCs/>
          <w:color w:val="auto"/>
          <w:sz w:val="32"/>
          <w:szCs w:val="32"/>
          <w:highlight w:val="none"/>
        </w:rPr>
        <w:t>投标人声明</w:t>
      </w:r>
      <w:bookmarkEnd w:id="195"/>
    </w:p>
    <w:p w14:paraId="7F11E6E5">
      <w:pPr>
        <w:snapToGrid w:val="0"/>
        <w:spacing w:line="360" w:lineRule="auto"/>
        <w:rPr>
          <w:rFonts w:ascii="宋体" w:hAnsi="宋体" w:cs="宋体"/>
          <w:color w:val="auto"/>
          <w:sz w:val="21"/>
          <w:szCs w:val="21"/>
          <w:highlight w:val="none"/>
        </w:rPr>
      </w:pPr>
    </w:p>
    <w:p w14:paraId="466DBA26">
      <w:pPr>
        <w:snapToGrid w:val="0"/>
        <w:spacing w:line="360" w:lineRule="auto"/>
        <w:rPr>
          <w:rFonts w:ascii="宋体" w:hAnsi="宋体" w:cs="宋体"/>
          <w:color w:val="auto"/>
          <w:sz w:val="21"/>
          <w:szCs w:val="21"/>
          <w:highlight w:val="none"/>
        </w:rPr>
      </w:pPr>
      <w:r>
        <w:rPr>
          <w:rFonts w:ascii="宋体" w:hAnsi="宋体" w:cs="宋体"/>
          <w:color w:val="auto"/>
          <w:sz w:val="21"/>
          <w:szCs w:val="21"/>
          <w:highlight w:val="none"/>
        </w:rPr>
        <w:t>本招标项目招标人及招标监管机构：</w:t>
      </w:r>
    </w:p>
    <w:p w14:paraId="52030481">
      <w:pPr>
        <w:snapToGrid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本公司就参加</w:t>
      </w:r>
      <w:r>
        <w:rPr>
          <w:rFonts w:ascii="宋体" w:hAnsi="宋体" w:cs="宋体"/>
          <w:color w:val="auto"/>
          <w:sz w:val="21"/>
          <w:szCs w:val="21"/>
          <w:highlight w:val="none"/>
          <w:u w:val="single"/>
        </w:rPr>
        <w:t>    （项目名称）    </w:t>
      </w:r>
      <w:r>
        <w:rPr>
          <w:rFonts w:ascii="宋体" w:hAnsi="宋体" w:cs="宋体"/>
          <w:color w:val="auto"/>
          <w:sz w:val="21"/>
          <w:szCs w:val="21"/>
          <w:highlight w:val="none"/>
        </w:rPr>
        <w:t>项目投标工作，作出郑重声明：</w:t>
      </w:r>
    </w:p>
    <w:p w14:paraId="45C39A18">
      <w:pPr>
        <w:snapToGrid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4B112967">
      <w:pPr>
        <w:snapToGrid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二、本公司保证不与其他单位围标、串标，不出让投标资格，不向招标人或评标委员会成员行贿。</w:t>
      </w:r>
    </w:p>
    <w:p w14:paraId="40F1FAEE">
      <w:pPr>
        <w:snapToGrid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三、本公司不存在招标文件第二章投标人须知第1.4.3项所规定的任何一种情形。</w:t>
      </w:r>
    </w:p>
    <w:p w14:paraId="72DBBBCB">
      <w:pPr>
        <w:snapToGrid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四、本公司及其有隶属关系的机构，没有参加本项目招标文件的编写工作；本公司与本次招标的招标代理机构没有隶属关系或其他利害关系。</w:t>
      </w:r>
    </w:p>
    <w:p w14:paraId="2403E9A7">
      <w:pPr>
        <w:snapToGrid w:val="0"/>
        <w:spacing w:line="360" w:lineRule="auto"/>
        <w:ind w:firstLine="420" w:firstLineChars="200"/>
        <w:rPr>
          <w:rFonts w:ascii="宋体" w:hAnsi="宋体" w:cs="宋体"/>
          <w:color w:val="auto"/>
          <w:sz w:val="21"/>
          <w:szCs w:val="21"/>
          <w:highlight w:val="none"/>
        </w:rPr>
      </w:pPr>
      <w:bookmarkStart w:id="196" w:name="_Toc14569"/>
      <w:bookmarkStart w:id="197" w:name="_Toc29942"/>
      <w:r>
        <w:rPr>
          <w:rFonts w:ascii="宋体" w:hAnsi="宋体" w:cs="宋体"/>
          <w:color w:val="auto"/>
          <w:sz w:val="21"/>
          <w:szCs w:val="21"/>
          <w:highlight w:val="none"/>
        </w:rPr>
        <w:t>五、本公司承诺，中标后严格执行安全生产相关管理规定。</w:t>
      </w:r>
      <w:bookmarkEnd w:id="196"/>
      <w:bookmarkEnd w:id="197"/>
    </w:p>
    <w:p w14:paraId="0D7C4B03">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六、本公司积极响应广州市关于投身“百千万工程”的号召，主动参与政府投资类建设工程施工项目的建筑业结对帮扶等活动（市属国有企业投资项目参照执行）。</w:t>
      </w:r>
    </w:p>
    <w:p w14:paraId="64EF61C5">
      <w:pPr>
        <w:snapToGrid w:val="0"/>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本公司违反上述保证，或本声明陈述与事实不符，经查实，本公司愿意接受公开通报，承担由此带来的法律后果。</w:t>
      </w:r>
    </w:p>
    <w:p w14:paraId="0CC90723">
      <w:pPr>
        <w:widowControl/>
        <w:shd w:val="clear" w:color="auto" w:fill="FFFFFF"/>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特此声明。</w:t>
      </w:r>
    </w:p>
    <w:p w14:paraId="4A5E37D1">
      <w:pPr>
        <w:pStyle w:val="39"/>
        <w:ind w:right="1449" w:firstLine="420" w:firstLineChars="200"/>
        <w:rPr>
          <w:rFonts w:hint="default" w:ascii="宋体" w:eastAsia="宋体" w:cs="宋体"/>
          <w:color w:val="auto"/>
          <w:sz w:val="21"/>
          <w:szCs w:val="21"/>
          <w:highlight w:val="none"/>
        </w:rPr>
      </w:pPr>
    </w:p>
    <w:p w14:paraId="1E04CDFA">
      <w:pPr>
        <w:pStyle w:val="39"/>
        <w:spacing w:line="600" w:lineRule="exact"/>
        <w:ind w:left="629" w:right="1449" w:firstLine="420" w:firstLineChars="200"/>
        <w:rPr>
          <w:rFonts w:hint="default" w:ascii="宋体" w:eastAsia="宋体" w:cs="宋体"/>
          <w:color w:val="auto"/>
          <w:sz w:val="21"/>
          <w:szCs w:val="21"/>
          <w:highlight w:val="none"/>
        </w:rPr>
      </w:pPr>
      <w:r>
        <w:rPr>
          <w:rFonts w:hint="default" w:ascii="宋体" w:eastAsia="宋体" w:cs="宋体"/>
          <w:color w:val="auto"/>
          <w:sz w:val="21"/>
          <w:szCs w:val="21"/>
          <w:highlight w:val="none"/>
        </w:rPr>
        <w:t xml:space="preserve">                                           声明企业：</w:t>
      </w:r>
    </w:p>
    <w:p w14:paraId="7E888366">
      <w:pPr>
        <w:pStyle w:val="34"/>
        <w:spacing w:line="600" w:lineRule="exact"/>
        <w:ind w:right="1779" w:firstLine="473"/>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法定代表人（签字）：</w:t>
      </w:r>
    </w:p>
    <w:p w14:paraId="1A19AE96">
      <w:pPr>
        <w:pStyle w:val="34"/>
        <w:spacing w:line="600" w:lineRule="exact"/>
        <w:ind w:right="1779" w:firstLine="473"/>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总监理工程师（签字）：</w:t>
      </w:r>
    </w:p>
    <w:p w14:paraId="39E8940A">
      <w:pPr>
        <w:pStyle w:val="34"/>
        <w:spacing w:line="600" w:lineRule="exact"/>
        <w:ind w:right="879" w:firstLine="420" w:firstLineChars="20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（企业公章）</w:t>
      </w:r>
    </w:p>
    <w:p w14:paraId="73E21860">
      <w:pPr>
        <w:pStyle w:val="34"/>
        <w:ind w:right="879" w:firstLine="420" w:firstLineChars="200"/>
        <w:jc w:val="right"/>
        <w:rPr>
          <w:rFonts w:hint="default" w:ascii="宋体" w:eastAsia="宋体" w:cs="宋体"/>
          <w:color w:val="auto"/>
          <w:sz w:val="21"/>
          <w:szCs w:val="21"/>
          <w:highlight w:val="none"/>
        </w:rPr>
      </w:pPr>
      <w:r>
        <w:rPr>
          <w:rFonts w:hint="default" w:ascii="宋体" w:eastAsia="宋体" w:cs="宋体"/>
          <w:color w:val="auto"/>
          <w:sz w:val="21"/>
          <w:szCs w:val="21"/>
          <w:highlight w:val="none"/>
        </w:rPr>
        <w:t>年  月  日</w:t>
      </w:r>
    </w:p>
    <w:p w14:paraId="70CCB149">
      <w:pPr>
        <w:pStyle w:val="30"/>
        <w:ind w:firstLine="0" w:firstLineChars="0"/>
        <w:rPr>
          <w:rFonts w:hint="default"/>
          <w:color w:val="auto"/>
          <w:szCs w:val="24"/>
          <w:highlight w:val="none"/>
        </w:rPr>
        <w:sectPr>
          <w:pgSz w:w="11905" w:h="16838"/>
          <w:pgMar w:top="1417" w:right="1417" w:bottom="1417" w:left="1417" w:header="992" w:footer="992" w:gutter="0"/>
          <w:cols w:space="720" w:num="1"/>
        </w:sectPr>
      </w:pPr>
    </w:p>
    <w:p w14:paraId="0A250266">
      <w:pPr>
        <w:pStyle w:val="6"/>
        <w:pageBreakBefore/>
        <w:rPr>
          <w:b/>
          <w:color w:val="auto"/>
          <w:sz w:val="24"/>
          <w:highlight w:val="none"/>
        </w:rPr>
      </w:pPr>
      <w:r>
        <w:rPr>
          <w:rFonts w:hint="eastAsia"/>
          <w:b/>
          <w:bCs/>
          <w:color w:val="auto"/>
          <w:sz w:val="24"/>
          <w:highlight w:val="none"/>
        </w:rPr>
        <w:t>（七）</w:t>
      </w:r>
      <w:r>
        <w:rPr>
          <w:rFonts w:hint="eastAsia"/>
          <w:b/>
          <w:color w:val="auto"/>
          <w:sz w:val="24"/>
          <w:highlight w:val="none"/>
        </w:rPr>
        <w:t>投标人廉洁承诺书（格式）</w:t>
      </w:r>
    </w:p>
    <w:p w14:paraId="383B26C8">
      <w:pPr>
        <w:pStyle w:val="22"/>
        <w:spacing w:before="120" w:beforeLines="50" w:beforeAutospacing="0" w:after="120" w:afterLines="50" w:afterAutospacing="0" w:line="360" w:lineRule="auto"/>
        <w:jc w:val="center"/>
        <w:rPr>
          <w:rFonts w:hint="default" w:ascii="宋体" w:hAnsi="宋体" w:cs="宋体"/>
          <w:b/>
          <w:bCs/>
          <w:color w:val="auto"/>
          <w:sz w:val="32"/>
          <w:szCs w:val="32"/>
          <w:highlight w:val="none"/>
        </w:rPr>
      </w:pPr>
      <w:r>
        <w:rPr>
          <w:rFonts w:ascii="宋体" w:hAnsi="宋体" w:eastAsia="宋体" w:cs="宋体"/>
          <w:b/>
          <w:bCs/>
          <w:color w:val="auto"/>
          <w:sz w:val="32"/>
          <w:szCs w:val="32"/>
          <w:highlight w:val="none"/>
        </w:rPr>
        <w:t>投标人廉洁承诺书</w:t>
      </w:r>
    </w:p>
    <w:p w14:paraId="2C173657">
      <w:pPr>
        <w:pStyle w:val="22"/>
        <w:spacing w:before="0" w:beforeAutospacing="0" w:after="0" w:afterAutospacing="0" w:line="360" w:lineRule="auto"/>
        <w:rPr>
          <w:rFonts w:hint="default" w:ascii="宋体" w:hAnsi="宋体" w:cs="宋体"/>
          <w:color w:val="auto"/>
          <w:highlight w:val="none"/>
        </w:rPr>
      </w:pPr>
      <w:r>
        <w:rPr>
          <w:rFonts w:ascii="宋体" w:hAnsi="宋体" w:eastAsia="宋体" w:cs="宋体"/>
          <w:color w:val="auto"/>
          <w:highlight w:val="none"/>
        </w:rPr>
        <w:t>广州市水务局、本招标项目招标人及招标监管机构：</w:t>
      </w:r>
    </w:p>
    <w:p w14:paraId="5618FC74">
      <w:pPr>
        <w:pStyle w:val="15"/>
        <w:spacing w:line="360" w:lineRule="auto"/>
        <w:ind w:right="420" w:firstLine="480" w:firstLineChars="200"/>
        <w:jc w:val="both"/>
        <w:rPr>
          <w:rFonts w:hAnsi="宋体" w:cs="宋体"/>
          <w:color w:val="auto"/>
          <w:highlight w:val="none"/>
        </w:rPr>
      </w:pPr>
      <w:r>
        <w:rPr>
          <w:rFonts w:hint="eastAsia" w:hAnsi="宋体" w:cs="宋体"/>
          <w:color w:val="auto"/>
          <w:highlight w:val="none"/>
        </w:rPr>
        <w:t>本公司参加了</w:t>
      </w:r>
      <w:r>
        <w:rPr>
          <w:rFonts w:hint="eastAsia" w:hAnsi="宋体" w:cs="宋体"/>
          <w:color w:val="auto"/>
          <w:highlight w:val="none"/>
          <w:u w:val="single"/>
        </w:rPr>
        <w:t xml:space="preserve">   （项目名称）    </w:t>
      </w:r>
      <w:r>
        <w:rPr>
          <w:rFonts w:hint="eastAsia" w:hAnsi="宋体" w:cs="宋体"/>
          <w:color w:val="auto"/>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26D8AE08">
      <w:pPr>
        <w:pStyle w:val="15"/>
        <w:spacing w:line="360" w:lineRule="auto"/>
        <w:ind w:right="420" w:firstLine="480" w:firstLineChars="200"/>
        <w:rPr>
          <w:rFonts w:hAnsi="宋体" w:cs="宋体"/>
          <w:color w:val="auto"/>
          <w:highlight w:val="none"/>
        </w:rPr>
      </w:pPr>
      <w:r>
        <w:rPr>
          <w:rFonts w:hint="eastAsia" w:hAnsi="宋体" w:cs="宋体"/>
          <w:color w:val="auto"/>
          <w:highlight w:val="none"/>
        </w:rPr>
        <w:t>一、自觉遵守国家有关法律法规及廉洁规定。</w:t>
      </w:r>
    </w:p>
    <w:p w14:paraId="197A11AD">
      <w:pPr>
        <w:pStyle w:val="15"/>
        <w:spacing w:line="360" w:lineRule="auto"/>
        <w:ind w:right="420" w:firstLine="480" w:firstLineChars="200"/>
        <w:jc w:val="both"/>
        <w:rPr>
          <w:rFonts w:hAnsi="宋体" w:cs="宋体"/>
          <w:color w:val="auto"/>
          <w:highlight w:val="none"/>
        </w:rPr>
      </w:pPr>
      <w:r>
        <w:rPr>
          <w:rFonts w:hint="eastAsia" w:hAnsi="宋体" w:cs="宋体"/>
          <w:color w:val="auto"/>
          <w:highlight w:val="none"/>
        </w:rPr>
        <w:t>二、不与招标单位工作人员串通投标，损害国家利益、企业利益以及他人的合法利益；</w:t>
      </w:r>
    </w:p>
    <w:p w14:paraId="11113B60">
      <w:pPr>
        <w:pStyle w:val="15"/>
        <w:spacing w:line="360" w:lineRule="auto"/>
        <w:ind w:right="420" w:firstLine="480" w:firstLineChars="200"/>
        <w:jc w:val="both"/>
        <w:rPr>
          <w:rFonts w:hAnsi="宋体" w:cs="宋体"/>
          <w:color w:val="auto"/>
          <w:highlight w:val="none"/>
        </w:rPr>
      </w:pPr>
      <w:r>
        <w:rPr>
          <w:rFonts w:hint="eastAsia" w:hAnsi="宋体" w:cs="宋体"/>
          <w:color w:val="auto"/>
          <w:highlight w:val="none"/>
        </w:rPr>
        <w:t>三、不与其他单位围标、串标，不出让投标资格，不向招标人或评标委员会成员行贿。</w:t>
      </w:r>
    </w:p>
    <w:p w14:paraId="124AB471">
      <w:pPr>
        <w:pStyle w:val="15"/>
        <w:spacing w:line="360" w:lineRule="auto"/>
        <w:ind w:right="420" w:firstLine="480" w:firstLineChars="200"/>
        <w:jc w:val="both"/>
        <w:rPr>
          <w:rFonts w:hAnsi="宋体" w:cs="宋体"/>
          <w:color w:val="auto"/>
          <w:highlight w:val="none"/>
        </w:rPr>
      </w:pPr>
      <w:r>
        <w:rPr>
          <w:rFonts w:hint="eastAsia" w:hAnsi="宋体" w:cs="宋体"/>
          <w:color w:val="auto"/>
          <w:highlight w:val="none"/>
        </w:rPr>
        <w:t xml:space="preserve">四、不以任何名义向参与招标、评标工作的有关人员提供高消费宴请及娱乐活动和赠送回扣、红包、礼金、购物卡、有价证券、贵重物品和好处费、感谢费等； </w:t>
      </w:r>
    </w:p>
    <w:p w14:paraId="69D97C6C">
      <w:pPr>
        <w:pStyle w:val="15"/>
        <w:spacing w:line="360" w:lineRule="auto"/>
        <w:ind w:right="420" w:firstLine="480" w:firstLineChars="200"/>
        <w:jc w:val="both"/>
        <w:rPr>
          <w:rFonts w:hAnsi="宋体" w:cs="宋体"/>
          <w:color w:val="auto"/>
          <w:highlight w:val="none"/>
        </w:rPr>
      </w:pPr>
      <w:r>
        <w:rPr>
          <w:rFonts w:hint="eastAsia" w:hAnsi="宋体" w:cs="宋体"/>
          <w:color w:val="auto"/>
          <w:highlight w:val="none"/>
        </w:rPr>
        <w:t>五、不以任何名义为参与招标、评标工作的有关人员装修住房、婚丧嫁取、配偶子女的工作安排以及境内外旅游等提供方便；</w:t>
      </w:r>
    </w:p>
    <w:p w14:paraId="1E744A80">
      <w:pPr>
        <w:pStyle w:val="15"/>
        <w:spacing w:line="360" w:lineRule="auto"/>
        <w:ind w:right="420" w:firstLine="480" w:firstLineChars="200"/>
        <w:rPr>
          <w:rFonts w:hAnsi="宋体" w:cs="宋体"/>
          <w:color w:val="auto"/>
          <w:highlight w:val="none"/>
        </w:rPr>
      </w:pPr>
      <w:r>
        <w:rPr>
          <w:rFonts w:hint="eastAsia" w:hAnsi="宋体" w:cs="宋体"/>
          <w:color w:val="auto"/>
          <w:highlight w:val="none"/>
        </w:rPr>
        <w:t>六、不以谋取非正当利益为目的，擅自与参与招标、评标工作的有关人员就业务问题进行私下商谈或者达成利益默契。</w:t>
      </w:r>
    </w:p>
    <w:p w14:paraId="59BAA06D">
      <w:pPr>
        <w:pStyle w:val="15"/>
        <w:autoSpaceDE/>
        <w:autoSpaceDN/>
        <w:spacing w:line="360" w:lineRule="auto"/>
        <w:ind w:right="420" w:firstLine="480" w:firstLineChars="200"/>
        <w:rPr>
          <w:color w:val="auto"/>
          <w:highlight w:val="none"/>
        </w:rPr>
      </w:pPr>
      <w:r>
        <w:rPr>
          <w:rFonts w:hint="eastAsia"/>
          <w:color w:val="auto"/>
          <w:highlight w:val="none"/>
        </w:rPr>
        <w:t>本公司违反上述承诺，或本承诺陈述与事实不符，经查实，本公司愿意接受公开通报，承担由此带来的法律后果。</w:t>
      </w:r>
    </w:p>
    <w:p w14:paraId="0272F53E">
      <w:pPr>
        <w:pStyle w:val="15"/>
        <w:autoSpaceDE/>
        <w:autoSpaceDN/>
        <w:spacing w:line="360" w:lineRule="auto"/>
        <w:ind w:right="420" w:firstLine="480" w:firstLineChars="200"/>
        <w:rPr>
          <w:color w:val="auto"/>
          <w:highlight w:val="none"/>
        </w:rPr>
      </w:pPr>
      <w:r>
        <w:rPr>
          <w:rFonts w:hint="eastAsia"/>
          <w:color w:val="auto"/>
          <w:highlight w:val="none"/>
        </w:rPr>
        <w:t>特此承诺</w:t>
      </w:r>
      <w:r>
        <w:rPr>
          <w:color w:val="auto"/>
          <w:highlight w:val="none"/>
        </w:rPr>
        <w:t>。</w:t>
      </w:r>
    </w:p>
    <w:p w14:paraId="5C38EB66">
      <w:pPr>
        <w:pStyle w:val="22"/>
        <w:spacing w:before="0" w:beforeAutospacing="0" w:after="0" w:afterAutospacing="0" w:line="360" w:lineRule="auto"/>
        <w:ind w:right="1455" w:firstLine="2880"/>
        <w:jc w:val="right"/>
        <w:rPr>
          <w:rFonts w:hint="default" w:ascii="宋体" w:hAnsi="宋体" w:cs="宋体"/>
          <w:color w:val="auto"/>
          <w:highlight w:val="none"/>
        </w:rPr>
      </w:pPr>
      <w:r>
        <w:rPr>
          <w:rFonts w:ascii="宋体" w:hAnsi="宋体" w:eastAsia="宋体" w:cs="宋体"/>
          <w:color w:val="auto"/>
          <w:highlight w:val="none"/>
        </w:rPr>
        <w:t>承诺企业（</w:t>
      </w:r>
      <w:r>
        <w:rPr>
          <w:rFonts w:ascii="宋体" w:hAnsi="宋体" w:cs="宋体"/>
          <w:color w:val="auto"/>
          <w:highlight w:val="none"/>
        </w:rPr>
        <w:t>盖</w:t>
      </w:r>
      <w:r>
        <w:rPr>
          <w:rFonts w:ascii="宋体" w:hAnsi="宋体" w:eastAsia="宋体" w:cs="宋体"/>
          <w:color w:val="auto"/>
          <w:highlight w:val="none"/>
        </w:rPr>
        <w:t>单位章）：      </w:t>
      </w:r>
    </w:p>
    <w:p w14:paraId="0B9CD21A">
      <w:pPr>
        <w:pStyle w:val="22"/>
        <w:spacing w:before="0" w:beforeAutospacing="0" w:after="0" w:afterAutospacing="0" w:line="360" w:lineRule="auto"/>
        <w:ind w:firstLine="480"/>
        <w:jc w:val="right"/>
        <w:rPr>
          <w:rFonts w:hint="default" w:ascii="宋体" w:hAnsi="宋体" w:cs="宋体"/>
          <w:color w:val="auto"/>
          <w:highlight w:val="none"/>
        </w:rPr>
      </w:pPr>
      <w:r>
        <w:rPr>
          <w:rFonts w:ascii="宋体" w:hAnsi="宋体" w:eastAsia="宋体" w:cs="宋体"/>
          <w:color w:val="auto"/>
          <w:highlight w:val="none"/>
        </w:rPr>
        <w:t>法定代表人签字：</w:t>
      </w:r>
      <w:r>
        <w:rPr>
          <w:rFonts w:ascii="宋体" w:hAnsi="宋体" w:cs="宋体"/>
          <w:color w:val="auto"/>
          <w:highlight w:val="none"/>
        </w:rPr>
        <w:t xml:space="preserve">           </w:t>
      </w:r>
    </w:p>
    <w:p w14:paraId="48403D75">
      <w:pPr>
        <w:pStyle w:val="22"/>
        <w:spacing w:before="0" w:after="0"/>
        <w:ind w:firstLine="480"/>
        <w:jc w:val="right"/>
        <w:rPr>
          <w:rFonts w:hint="default"/>
          <w:color w:val="auto"/>
          <w:sz w:val="28"/>
          <w:highlight w:val="none"/>
        </w:rPr>
        <w:sectPr>
          <w:pgSz w:w="11905" w:h="16838"/>
          <w:pgMar w:top="1417" w:right="1417" w:bottom="1417" w:left="1417" w:header="992" w:footer="992" w:gutter="0"/>
          <w:cols w:space="720" w:num="1"/>
        </w:sectPr>
      </w:pPr>
      <w:r>
        <w:rPr>
          <w:rFonts w:ascii="宋体" w:hAnsi="宋体" w:eastAsia="宋体" w:cs="宋体"/>
          <w:color w:val="auto"/>
          <w:highlight w:val="none"/>
        </w:rPr>
        <w:t>年   月   日</w:t>
      </w:r>
      <w:bookmarkStart w:id="198" w:name="bookmark193"/>
      <w:bookmarkEnd w:id="198"/>
      <w:bookmarkStart w:id="199" w:name="_Toc13291"/>
    </w:p>
    <w:p w14:paraId="1421479A">
      <w:pPr>
        <w:pStyle w:val="5"/>
        <w:spacing w:before="120" w:after="120"/>
        <w:jc w:val="center"/>
        <w:rPr>
          <w:color w:val="auto"/>
          <w:sz w:val="28"/>
          <w:highlight w:val="none"/>
        </w:rPr>
      </w:pPr>
      <w:r>
        <w:rPr>
          <w:color w:val="auto"/>
          <w:sz w:val="28"/>
          <w:highlight w:val="none"/>
        </w:rPr>
        <w:t>七、监理大纲</w:t>
      </w:r>
      <w:bookmarkEnd w:id="199"/>
    </w:p>
    <w:p w14:paraId="76AF50F7">
      <w:pPr>
        <w:pStyle w:val="2"/>
        <w:kinsoku w:val="0"/>
        <w:overflowPunct w:val="0"/>
        <w:spacing w:before="240" w:beforeLines="100" w:line="360" w:lineRule="auto"/>
        <w:ind w:left="0" w:firstLine="480" w:firstLineChars="200"/>
        <w:rPr>
          <w:color w:val="auto"/>
          <w:sz w:val="24"/>
          <w:highlight w:val="none"/>
        </w:rPr>
      </w:pPr>
      <w:r>
        <w:rPr>
          <w:color w:val="auto"/>
          <w:sz w:val="24"/>
          <w:highlight w:val="none"/>
        </w:rPr>
        <w:t>监理大纲应包括（但不限于）下列内容：</w:t>
      </w:r>
    </w:p>
    <w:p w14:paraId="2911F84D">
      <w:pPr>
        <w:pStyle w:val="2"/>
        <w:kinsoku w:val="0"/>
        <w:overflowPunct w:val="0"/>
        <w:spacing w:line="360" w:lineRule="auto"/>
        <w:ind w:left="480"/>
        <w:rPr>
          <w:color w:val="auto"/>
          <w:sz w:val="24"/>
          <w:highlight w:val="none"/>
        </w:rPr>
      </w:pPr>
      <w:r>
        <w:rPr>
          <w:color w:val="auto"/>
          <w:sz w:val="24"/>
          <w:highlight w:val="none"/>
        </w:rPr>
        <w:t>一、监理工程概况；</w:t>
      </w:r>
    </w:p>
    <w:p w14:paraId="259FF316">
      <w:pPr>
        <w:pStyle w:val="2"/>
        <w:kinsoku w:val="0"/>
        <w:overflowPunct w:val="0"/>
        <w:spacing w:line="360" w:lineRule="auto"/>
        <w:ind w:left="480"/>
        <w:rPr>
          <w:color w:val="auto"/>
          <w:sz w:val="24"/>
          <w:highlight w:val="none"/>
        </w:rPr>
      </w:pPr>
      <w:r>
        <w:rPr>
          <w:color w:val="auto"/>
          <w:sz w:val="24"/>
          <w:highlight w:val="none"/>
        </w:rPr>
        <w:t xml:space="preserve">二、监理范围、监理内容； </w:t>
      </w:r>
    </w:p>
    <w:p w14:paraId="3D5EE715">
      <w:pPr>
        <w:pStyle w:val="2"/>
        <w:kinsoku w:val="0"/>
        <w:overflowPunct w:val="0"/>
        <w:spacing w:line="360" w:lineRule="auto"/>
        <w:ind w:left="480"/>
        <w:rPr>
          <w:color w:val="auto"/>
          <w:sz w:val="24"/>
          <w:highlight w:val="none"/>
        </w:rPr>
      </w:pPr>
      <w:r>
        <w:rPr>
          <w:color w:val="auto"/>
          <w:sz w:val="24"/>
          <w:highlight w:val="none"/>
        </w:rPr>
        <w:t>三、监理依据、监理工作目标；</w:t>
      </w:r>
    </w:p>
    <w:p w14:paraId="67C02B5F">
      <w:pPr>
        <w:pStyle w:val="2"/>
        <w:kinsoku w:val="0"/>
        <w:overflowPunct w:val="0"/>
        <w:spacing w:line="360" w:lineRule="auto"/>
        <w:ind w:left="480"/>
        <w:rPr>
          <w:color w:val="auto"/>
          <w:sz w:val="24"/>
          <w:highlight w:val="none"/>
        </w:rPr>
      </w:pPr>
      <w:r>
        <w:rPr>
          <w:color w:val="auto"/>
          <w:spacing w:val="-8"/>
          <w:sz w:val="24"/>
          <w:highlight w:val="none"/>
        </w:rPr>
        <w:t>四、监理机构设置（框图）、岗位职责；</w:t>
      </w:r>
      <w:r>
        <w:rPr>
          <w:color w:val="auto"/>
          <w:spacing w:val="-69"/>
          <w:sz w:val="24"/>
          <w:highlight w:val="none"/>
        </w:rPr>
        <w:t xml:space="preserve"> </w:t>
      </w:r>
    </w:p>
    <w:p w14:paraId="79C76714">
      <w:pPr>
        <w:pStyle w:val="2"/>
        <w:kinsoku w:val="0"/>
        <w:overflowPunct w:val="0"/>
        <w:spacing w:line="360" w:lineRule="auto"/>
        <w:ind w:left="0" w:firstLine="480" w:firstLineChars="200"/>
        <w:rPr>
          <w:color w:val="auto"/>
          <w:sz w:val="24"/>
          <w:highlight w:val="none"/>
        </w:rPr>
      </w:pPr>
      <w:r>
        <w:rPr>
          <w:color w:val="auto"/>
          <w:sz w:val="24"/>
          <w:highlight w:val="none"/>
        </w:rPr>
        <w:t xml:space="preserve">五、监理工作程序、方法和制度； </w:t>
      </w:r>
    </w:p>
    <w:p w14:paraId="3C7AF2DA">
      <w:pPr>
        <w:pStyle w:val="2"/>
        <w:kinsoku w:val="0"/>
        <w:overflowPunct w:val="0"/>
        <w:spacing w:line="360" w:lineRule="auto"/>
        <w:ind w:left="480"/>
        <w:rPr>
          <w:color w:val="auto"/>
          <w:sz w:val="24"/>
          <w:highlight w:val="none"/>
        </w:rPr>
      </w:pPr>
      <w:r>
        <w:rPr>
          <w:color w:val="auto"/>
          <w:sz w:val="24"/>
          <w:highlight w:val="none"/>
        </w:rPr>
        <w:t xml:space="preserve">六、拟投入的监理人员、试验检测仪器设备； </w:t>
      </w:r>
    </w:p>
    <w:p w14:paraId="61EC027C">
      <w:pPr>
        <w:pStyle w:val="2"/>
        <w:kinsoku w:val="0"/>
        <w:overflowPunct w:val="0"/>
        <w:spacing w:line="360" w:lineRule="auto"/>
        <w:ind w:left="480"/>
        <w:rPr>
          <w:color w:val="auto"/>
          <w:sz w:val="24"/>
          <w:highlight w:val="none"/>
        </w:rPr>
      </w:pPr>
      <w:r>
        <w:rPr>
          <w:color w:val="auto"/>
          <w:spacing w:val="-2"/>
          <w:sz w:val="24"/>
          <w:highlight w:val="none"/>
        </w:rPr>
        <w:t>七、质量、进度、造价、安全、环保监理措施；</w:t>
      </w:r>
      <w:r>
        <w:rPr>
          <w:color w:val="auto"/>
          <w:spacing w:val="-66"/>
          <w:sz w:val="24"/>
          <w:highlight w:val="none"/>
        </w:rPr>
        <w:t xml:space="preserve"> </w:t>
      </w:r>
    </w:p>
    <w:p w14:paraId="699D6C24">
      <w:pPr>
        <w:pStyle w:val="2"/>
        <w:kinsoku w:val="0"/>
        <w:overflowPunct w:val="0"/>
        <w:spacing w:line="360" w:lineRule="auto"/>
        <w:ind w:left="480"/>
        <w:rPr>
          <w:color w:val="auto"/>
          <w:sz w:val="24"/>
          <w:highlight w:val="none"/>
        </w:rPr>
      </w:pPr>
      <w:r>
        <w:rPr>
          <w:color w:val="auto"/>
          <w:sz w:val="24"/>
          <w:highlight w:val="none"/>
        </w:rPr>
        <w:t>八、合同、信息管理方案；</w:t>
      </w:r>
    </w:p>
    <w:p w14:paraId="498BF060">
      <w:pPr>
        <w:pStyle w:val="2"/>
        <w:kinsoku w:val="0"/>
        <w:overflowPunct w:val="0"/>
        <w:spacing w:line="360" w:lineRule="auto"/>
        <w:ind w:left="480"/>
        <w:rPr>
          <w:color w:val="auto"/>
          <w:sz w:val="24"/>
          <w:highlight w:val="none"/>
        </w:rPr>
      </w:pPr>
      <w:r>
        <w:rPr>
          <w:color w:val="auto"/>
          <w:sz w:val="24"/>
          <w:highlight w:val="none"/>
        </w:rPr>
        <w:t xml:space="preserve">九、组织协调内容及措施； </w:t>
      </w:r>
    </w:p>
    <w:p w14:paraId="768AB72E">
      <w:pPr>
        <w:pStyle w:val="2"/>
        <w:kinsoku w:val="0"/>
        <w:overflowPunct w:val="0"/>
        <w:spacing w:line="360" w:lineRule="auto"/>
        <w:ind w:left="480"/>
        <w:rPr>
          <w:color w:val="auto"/>
          <w:sz w:val="24"/>
          <w:highlight w:val="none"/>
        </w:rPr>
      </w:pPr>
      <w:r>
        <w:rPr>
          <w:color w:val="auto"/>
          <w:sz w:val="24"/>
          <w:highlight w:val="none"/>
        </w:rPr>
        <w:t xml:space="preserve">十、监理工作重点、难点分析； </w:t>
      </w:r>
    </w:p>
    <w:p w14:paraId="1EC5F541">
      <w:pPr>
        <w:pStyle w:val="2"/>
        <w:kinsoku w:val="0"/>
        <w:overflowPunct w:val="0"/>
        <w:spacing w:line="360" w:lineRule="auto"/>
        <w:ind w:left="480"/>
        <w:rPr>
          <w:color w:val="auto"/>
          <w:sz w:val="24"/>
          <w:highlight w:val="none"/>
        </w:rPr>
      </w:pPr>
      <w:r>
        <w:rPr>
          <w:color w:val="auto"/>
          <w:sz w:val="24"/>
          <w:highlight w:val="none"/>
        </w:rPr>
        <w:t>十一、对本工程监理的合理化建议。</w:t>
      </w:r>
    </w:p>
    <w:p w14:paraId="638DF161">
      <w:pPr>
        <w:pStyle w:val="2"/>
        <w:kinsoku w:val="0"/>
        <w:overflowPunct w:val="0"/>
        <w:spacing w:before="275" w:line="357" w:lineRule="auto"/>
        <w:ind w:left="555" w:right="3835"/>
        <w:rPr>
          <w:color w:val="auto"/>
          <w:sz w:val="24"/>
          <w:highlight w:val="none"/>
        </w:rPr>
        <w:sectPr>
          <w:pgSz w:w="11905" w:h="16838"/>
          <w:pgMar w:top="1417" w:right="1417" w:bottom="1417" w:left="1417" w:header="992" w:footer="992" w:gutter="0"/>
          <w:cols w:space="720" w:num="1"/>
        </w:sectPr>
      </w:pPr>
    </w:p>
    <w:p w14:paraId="708A6BDC">
      <w:pPr>
        <w:pStyle w:val="5"/>
        <w:spacing w:before="120" w:after="120"/>
        <w:jc w:val="center"/>
        <w:rPr>
          <w:color w:val="auto"/>
          <w:sz w:val="28"/>
          <w:highlight w:val="none"/>
        </w:rPr>
        <w:sectPr>
          <w:headerReference r:id="rId21" w:type="default"/>
          <w:footerReference r:id="rId22" w:type="default"/>
          <w:pgSz w:w="11905" w:h="16838"/>
          <w:pgMar w:top="1417" w:right="1417" w:bottom="1417" w:left="1417" w:header="992" w:footer="992" w:gutter="0"/>
          <w:cols w:space="720" w:num="1"/>
        </w:sectPr>
      </w:pPr>
      <w:bookmarkStart w:id="200" w:name="bookmark194"/>
      <w:bookmarkEnd w:id="200"/>
      <w:bookmarkStart w:id="201" w:name="_Toc26031"/>
      <w:r>
        <w:rPr>
          <w:color w:val="auto"/>
          <w:sz w:val="28"/>
          <w:highlight w:val="none"/>
        </w:rPr>
        <w:t>八、其他资料</w:t>
      </w:r>
      <w:bookmarkEnd w:id="201"/>
    </w:p>
    <w:p w14:paraId="6DAEEADD">
      <w:pPr>
        <w:pStyle w:val="4"/>
        <w:rPr>
          <w:color w:val="auto"/>
          <w:sz w:val="44"/>
          <w:szCs w:val="44"/>
          <w:highlight w:val="none"/>
        </w:rPr>
      </w:pPr>
      <w:bookmarkStart w:id="202" w:name="_Toc17258"/>
      <w:r>
        <w:rPr>
          <w:color w:val="auto"/>
          <w:sz w:val="44"/>
          <w:szCs w:val="44"/>
          <w:highlight w:val="none"/>
        </w:rPr>
        <w:t>第七章 投标人须知前附表规定的其他资料。</w:t>
      </w:r>
      <w:bookmarkEnd w:id="202"/>
    </w:p>
    <w:p w14:paraId="6B9AC125">
      <w:pPr>
        <w:rPr>
          <w:color w:val="auto"/>
          <w:highlight w:val="none"/>
        </w:rPr>
      </w:pPr>
    </w:p>
    <w:p w14:paraId="3333C029">
      <w:pPr>
        <w:pStyle w:val="5"/>
        <w:spacing w:before="120" w:after="120"/>
        <w:jc w:val="center"/>
        <w:rPr>
          <w:color w:val="auto"/>
          <w:sz w:val="30"/>
          <w:highlight w:val="none"/>
        </w:rPr>
      </w:pPr>
      <w:bookmarkStart w:id="203" w:name="_Toc21589"/>
      <w:r>
        <w:rPr>
          <w:color w:val="auto"/>
          <w:sz w:val="30"/>
          <w:highlight w:val="none"/>
        </w:rPr>
        <w:t>否决性条款汇总</w:t>
      </w:r>
      <w:bookmarkEnd w:id="203"/>
    </w:p>
    <w:p w14:paraId="63365E79">
      <w:pPr>
        <w:widowControl/>
        <w:ind w:firstLine="482"/>
        <w:jc w:val="center"/>
        <w:rPr>
          <w:rFonts w:ascii="宋体" w:hAnsi="宋体" w:cs="宋体"/>
          <w:color w:val="auto"/>
          <w:highlight w:val="none"/>
        </w:rPr>
      </w:pPr>
      <w:r>
        <w:rPr>
          <w:rFonts w:hint="eastAsia" w:ascii="宋体" w:hAnsi="宋体" w:cs="宋体"/>
          <w:b/>
          <w:bCs/>
          <w:color w:val="auto"/>
          <w:highlight w:val="none"/>
        </w:rPr>
        <w:t>否决性条款单列参考格式</w:t>
      </w:r>
    </w:p>
    <w:p w14:paraId="75F5BA3C">
      <w:pPr>
        <w:widowControl/>
        <w:spacing w:after="135" w:line="585" w:lineRule="atLeast"/>
        <w:ind w:firstLine="480"/>
        <w:jc w:val="center"/>
        <w:rPr>
          <w:rFonts w:ascii="宋体" w:hAnsi="宋体" w:cs="宋体"/>
          <w:color w:val="auto"/>
          <w:highlight w:val="none"/>
        </w:rPr>
      </w:pPr>
      <w:r>
        <w:rPr>
          <w:rFonts w:hint="eastAsia" w:ascii="宋体" w:hAnsi="宋体" w:cs="宋体"/>
          <w:b/>
          <w:bCs/>
          <w:color w:val="auto"/>
          <w:highlight w:val="none"/>
        </w:rPr>
        <w:t>（*格式仅供参考，条款的实际内容应与招标文件条款相对应）</w:t>
      </w:r>
    </w:p>
    <w:p w14:paraId="2EA3321E">
      <w:pPr>
        <w:widowControl/>
        <w:autoSpaceDE/>
        <w:autoSpaceDN/>
        <w:adjustRightInd/>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6A90FFE8">
      <w:pPr>
        <w:widowControl/>
        <w:autoSpaceDE/>
        <w:autoSpaceDN/>
        <w:adjustRightInd/>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567A23C8">
      <w:pPr>
        <w:widowControl/>
        <w:autoSpaceDE/>
        <w:autoSpaceDN/>
        <w:adjustRightInd/>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A3C22AE">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一、开标时，出现下列情形之一的，不参与资格审查和评标</w:t>
      </w:r>
    </w:p>
    <w:p w14:paraId="2BAA4286">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1.未成功递交投标文件的；</w:t>
      </w:r>
    </w:p>
    <w:p w14:paraId="0358F16E">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2.因投标人原因造成投标文件未解密的；</w:t>
      </w:r>
    </w:p>
    <w:p w14:paraId="65415431">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3.两个（含两个）以上的投标人加密打包投标文件电脑机器特征码一致的；</w:t>
      </w:r>
    </w:p>
    <w:p w14:paraId="1A19304F">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4.电子投标文件未在投标截止时间前完整上传并保存在广州公共资源交易中心电子评标系统且取得回执的；</w:t>
      </w:r>
    </w:p>
    <w:p w14:paraId="3D711A9E">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5.投标文件未按招标文件要求进行电子签章，并进行加密的；</w:t>
      </w:r>
    </w:p>
    <w:p w14:paraId="392EFEC1">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6.电子投标文件损坏或格式不正确的；</w:t>
      </w:r>
    </w:p>
    <w:p w14:paraId="37D38F95">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7.电子投标文件未加密的；</w:t>
      </w:r>
    </w:p>
    <w:p w14:paraId="50347F15">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8.投标文件以纸质形式提供的。</w:t>
      </w:r>
    </w:p>
    <w:p w14:paraId="1711C85C">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二、作无效投标的情形</w:t>
      </w:r>
    </w:p>
    <w:p w14:paraId="5DDD84B4">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 投标文件不符合招标文件评标办法中形式评审标准、资格评审标准、响应性评审标准、技术评审标准（若有）的要求；</w:t>
      </w:r>
    </w:p>
    <w:p w14:paraId="73804C75">
      <w:pPr>
        <w:widowControl/>
        <w:spacing w:after="135" w:line="360" w:lineRule="auto"/>
        <w:ind w:firstLine="480" w:firstLineChars="200"/>
        <w:jc w:val="both"/>
        <w:rPr>
          <w:rFonts w:ascii="宋体" w:hAnsi="宋体" w:cs="宋体"/>
          <w:color w:val="auto"/>
          <w:highlight w:val="none"/>
        </w:rPr>
      </w:pPr>
      <w:r>
        <w:rPr>
          <w:rFonts w:hint="eastAsia" w:ascii="宋体" w:hAnsi="宋体" w:cs="宋体"/>
          <w:color w:val="auto"/>
          <w:highlight w:val="none"/>
        </w:rPr>
        <w:t>三、作不合格标处理的情形</w:t>
      </w:r>
    </w:p>
    <w:p w14:paraId="759CCB5C">
      <w:pP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1.投标人的报价明显低于其他投标报价或者低于成本警示价，使得其投标报价可能低于其个别成本的，应当要求该投标人作出书面说明并提供相关证明材料。投标人不能合理说明或者不能提供相关证明材料的；</w:t>
      </w:r>
    </w:p>
    <w:p w14:paraId="32E796DD">
      <w:pP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2.投标报价有算术错误的，评标委员会按以下原则对投标报价进行修正，修正的价格经投标人书面确认后具有约束力。投标人不接受修正价格的，评标委员会应当否决其投标；</w:t>
      </w:r>
    </w:p>
    <w:p w14:paraId="675932C5">
      <w:pPr>
        <w:spacing w:line="360" w:lineRule="auto"/>
        <w:ind w:firstLine="480"/>
        <w:jc w:val="both"/>
        <w:rPr>
          <w:rFonts w:ascii="宋体" w:hAnsi="宋体" w:cs="宋体"/>
          <w:color w:val="auto"/>
          <w:highlight w:val="none"/>
        </w:rPr>
      </w:pPr>
      <w:r>
        <w:rPr>
          <w:rFonts w:hint="eastAsia" w:ascii="宋体" w:hAnsi="宋体" w:cs="宋体"/>
          <w:color w:val="auto"/>
          <w:highlight w:val="none"/>
        </w:rPr>
        <w:t>3.投标文件有不符合招标文件评标办法初步评审标准中任何一项情形的；</w:t>
      </w:r>
    </w:p>
    <w:p w14:paraId="6B770C5A">
      <w:pPr>
        <w:spacing w:line="360" w:lineRule="auto"/>
        <w:ind w:firstLine="480"/>
        <w:jc w:val="both"/>
        <w:rPr>
          <w:rFonts w:ascii="宋体" w:hAnsi="宋体" w:cs="宋体"/>
          <w:color w:val="auto"/>
          <w:highlight w:val="none"/>
        </w:rPr>
      </w:pPr>
      <w:r>
        <w:rPr>
          <w:rFonts w:hint="eastAsia" w:ascii="宋体" w:hAnsi="宋体" w:cs="宋体"/>
          <w:color w:val="auto"/>
          <w:highlight w:val="none"/>
        </w:rPr>
        <w:t>4.投标人存在第二章“投标人须知”第1.4.3项规定的任何一种情形的；</w:t>
      </w:r>
    </w:p>
    <w:p w14:paraId="339E4E1D">
      <w:pPr>
        <w:spacing w:line="360" w:lineRule="auto"/>
        <w:ind w:firstLine="480"/>
        <w:jc w:val="both"/>
        <w:rPr>
          <w:rFonts w:ascii="宋体" w:hAnsi="宋体" w:cs="宋体"/>
          <w:color w:val="auto"/>
          <w:highlight w:val="none"/>
        </w:rPr>
      </w:pPr>
      <w:r>
        <w:rPr>
          <w:rFonts w:hint="eastAsia" w:ascii="宋体" w:hAnsi="宋体" w:cs="宋体"/>
          <w:color w:val="auto"/>
          <w:highlight w:val="none"/>
        </w:rPr>
        <w:t>5.投标人存在串通投标或弄虚作假或有其他违法行为的；</w:t>
      </w:r>
    </w:p>
    <w:p w14:paraId="231CBF94">
      <w:pPr>
        <w:spacing w:line="360" w:lineRule="auto"/>
        <w:ind w:firstLine="480"/>
        <w:jc w:val="both"/>
        <w:rPr>
          <w:rFonts w:ascii="宋体" w:hAnsi="宋体" w:cs="宋体"/>
          <w:color w:val="auto"/>
          <w:highlight w:val="none"/>
        </w:rPr>
      </w:pPr>
      <w:r>
        <w:rPr>
          <w:rFonts w:hint="eastAsia" w:ascii="宋体" w:hAnsi="宋体" w:cs="宋体"/>
          <w:color w:val="auto"/>
          <w:highlight w:val="none"/>
        </w:rPr>
        <w:t>6.不按评标委员会要求澄清、说明或补正的。</w:t>
      </w:r>
    </w:p>
    <w:p w14:paraId="45087025">
      <w:pPr>
        <w:widowControl/>
        <w:autoSpaceDE/>
        <w:autoSpaceDN/>
        <w:adjustRightInd/>
        <w:spacing w:after="135" w:line="360" w:lineRule="auto"/>
        <w:ind w:firstLine="480" w:firstLineChars="200"/>
        <w:rPr>
          <w:rFonts w:ascii="宋体" w:hAnsi="宋体" w:cs="宋体"/>
          <w:color w:val="auto"/>
          <w:highlight w:val="none"/>
        </w:rPr>
      </w:pPr>
    </w:p>
    <w:p w14:paraId="1FEAA15D">
      <w:pPr>
        <w:spacing w:line="360" w:lineRule="auto"/>
        <w:ind w:firstLine="484" w:firstLineChars="202"/>
        <w:rPr>
          <w:rFonts w:ascii="宋体" w:hAnsi="宋体" w:cs="宋体"/>
          <w:color w:val="auto"/>
          <w:kern w:val="21"/>
          <w:highlight w:val="none"/>
        </w:rPr>
      </w:pPr>
    </w:p>
    <w:p w14:paraId="674C4E23">
      <w:pPr>
        <w:rPr>
          <w:color w:val="auto"/>
          <w:highlight w:val="none"/>
        </w:rPr>
      </w:pPr>
    </w:p>
    <w:sectPr>
      <w:pgSz w:w="11905" w:h="16838"/>
      <w:pgMar w:top="1417" w:right="1417" w:bottom="1417" w:left="1417"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B5D6A">
    <w:pPr>
      <w:pStyle w:val="17"/>
      <w:jc w:val="center"/>
    </w:pPr>
  </w:p>
  <w:p w14:paraId="0DDD6424">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3C38">
    <w:pPr>
      <w:pStyle w:val="2"/>
      <w:kinsoku w:val="0"/>
      <w:overflowPunct w:val="0"/>
      <w:spacing w:line="14" w:lineRule="auto"/>
      <w:ind w:left="0"/>
      <w:rPr>
        <w:sz w:val="2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8AC732A">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63</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48AC732A">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63</w:t>
                    </w:r>
                    <w:r>
                      <w:rPr>
                        <w:rFonts w:ascii="Calibri" w:hAnsi="Calibri" w:eastAsia="Calibri"/>
                        <w:w w:val="99"/>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B1F5">
    <w:pPr>
      <w:pStyle w:val="2"/>
      <w:kinsoku w:val="0"/>
      <w:overflowPunct w:val="0"/>
      <w:spacing w:line="14" w:lineRule="auto"/>
      <w:ind w:left="0"/>
      <w:rPr>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C00B812">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67</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0C00B812">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67</w:t>
                    </w:r>
                    <w:r>
                      <w:rPr>
                        <w:rFonts w:ascii="Calibri" w:hAnsi="Calibri" w:eastAsia="Calibri"/>
                        <w:w w:val="99"/>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E4EC">
    <w:pPr>
      <w:pStyle w:val="2"/>
      <w:kinsoku w:val="0"/>
      <w:overflowPunct w:val="0"/>
      <w:spacing w:line="14" w:lineRule="auto"/>
      <w:ind w:left="0"/>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D175739">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70</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7D175739">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70</w:t>
                    </w:r>
                    <w:r>
                      <w:rPr>
                        <w:rFonts w:ascii="Calibri" w:hAnsi="Calibri" w:eastAsia="Calibri"/>
                        <w:w w:val="99"/>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07A2">
    <w:pPr>
      <w:pStyle w:val="2"/>
      <w:kinsoku w:val="0"/>
      <w:overflowPunct w:val="0"/>
      <w:spacing w:line="14" w:lineRule="auto"/>
      <w:ind w:left="0"/>
      <w:rPr>
        <w:sz w:val="18"/>
      </w:rPr>
    </w:pPr>
    <w:r>
      <w:rPr>
        <w:rFonts w:ascii="Calibri" w:hAnsi="Calibri" w:eastAsia="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44EA1289">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44EA1289">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w:t>
                    </w:r>
                    <w:r>
                      <w:rPr>
                        <w:rFonts w:ascii="Calibri" w:hAnsi="Calibri" w:eastAsia="Calibri"/>
                        <w:w w:val="99"/>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1ABEA">
    <w:pPr>
      <w:pStyle w:val="2"/>
      <w:kinsoku w:val="0"/>
      <w:overflowPunct w:val="0"/>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889BE67">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29</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2889BE67">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29</w:t>
                    </w:r>
                    <w:r>
                      <w:rPr>
                        <w:rFonts w:ascii="Calibri" w:hAnsi="Calibri" w:eastAsia="Calibri"/>
                        <w:w w:val="99"/>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D1ED">
    <w:pPr>
      <w:pStyle w:val="2"/>
      <w:kinsoku w:val="0"/>
      <w:overflowPunct w:val="0"/>
      <w:spacing w:line="14" w:lineRule="auto"/>
      <w:ind w:left="0"/>
      <w:rPr>
        <w:sz w:val="18"/>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ABD6F7B">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40</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438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3ABD6F7B">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40</w:t>
                    </w:r>
                    <w:r>
                      <w:rPr>
                        <w:rFonts w:ascii="Calibri" w:hAnsi="Calibri" w:eastAsia="Calibri"/>
                        <w:w w:val="99"/>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68E6">
    <w:pPr>
      <w:pStyle w:val="2"/>
      <w:kinsoku w:val="0"/>
      <w:overflowPunct w:val="0"/>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C879F88">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52</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0C879F88">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52</w:t>
                    </w:r>
                    <w:r>
                      <w:rPr>
                        <w:rFonts w:ascii="Calibri" w:hAnsi="Calibri" w:eastAsia="Calibri"/>
                        <w:w w:val="99"/>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44DA">
    <w:pPr>
      <w:pStyle w:val="2"/>
      <w:kinsoku w:val="0"/>
      <w:overflowPunct w:val="0"/>
      <w:spacing w:line="14" w:lineRule="auto"/>
      <w:ind w:left="0"/>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871700C">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59</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6871700C">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59</w:t>
                    </w:r>
                    <w:r>
                      <w:rPr>
                        <w:rFonts w:ascii="Calibri" w:hAnsi="Calibri" w:eastAsia="Calibri"/>
                        <w:w w:val="99"/>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AF30">
    <w:pPr>
      <w:pStyle w:val="2"/>
      <w:kinsoku w:val="0"/>
      <w:overflowPunct w:val="0"/>
      <w:spacing w:line="14" w:lineRule="auto"/>
      <w:ind w:left="0"/>
      <w:rPr>
        <w:sz w:val="2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2E4D5EB">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60</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950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Xys1VcMBAACBAwAADgAAAAAAAAABACAAAAAiAQAAZHJzL2Uyb0RvYy54&#10;bWxQSwUGAAAAAAYABgBZAQAAVwUAAAAA&#10;">
              <v:fill on="f" focussize="0,0"/>
              <v:stroke on="f"/>
              <v:imagedata o:title=""/>
              <o:lock v:ext="edit" aspectratio="f"/>
              <v:textbox inset="0mm,0mm,0mm,0mm">
                <w:txbxContent>
                  <w:p w14:paraId="42E4D5EB">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60</w:t>
                    </w:r>
                    <w:r>
                      <w:rPr>
                        <w:rFonts w:ascii="Calibri" w:hAnsi="Calibri" w:eastAsia="Calibri"/>
                        <w:w w:val="99"/>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5047">
    <w:pPr>
      <w:pStyle w:val="2"/>
      <w:kinsoku w:val="0"/>
      <w:overflowPunct w:val="0"/>
      <w:spacing w:line="14" w:lineRule="auto"/>
      <w:ind w:left="0"/>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11EC1C">
                          <w:pPr>
                            <w:pStyle w:val="17"/>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EbYd8BAAC/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aEpYGff/08//57/vOD&#10;vZwnfboAK0q7CZSI/Vvf09ZMfiBnot030aY/EWIUJ3VPF3VVj0ymS8vFcllSSFJsOhB+cXc9RMD3&#10;yluWjIpHGl9WVRw/Ag6pU0qq5vy1NiaP0Lj/HISZPEXqfegxWdjv+pHQztcn4kPvgOq0Pn7nrKMt&#10;qLijpefMfHAkclqYyYiTsZsM4SRdrDhyNpjvcFisQ4h63xLuPDcP4c0BqdNMILUx1B67o7lmCcYd&#10;TIvz7zln3b27z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aEbYd8BAAC/AwAADgAAAAAA&#10;AAABACAAAAAeAQAAZHJzL2Uyb0RvYy54bWxQSwUGAAAAAAYABgBZAQAAbwUAAAAA&#10;">
              <v:fill on="f" focussize="0,0"/>
              <v:stroke on="f"/>
              <v:imagedata o:title=""/>
              <o:lock v:ext="edit" aspectratio="f"/>
              <v:textbox inset="0mm,0mm,0mm,0mm" style="mso-fit-shape-to-text:t;">
                <w:txbxContent>
                  <w:p w14:paraId="6F11EC1C">
                    <w:pPr>
                      <w:pStyle w:val="1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202A">
    <w:pPr>
      <w:pStyle w:val="2"/>
      <w:kinsoku w:val="0"/>
      <w:overflowPunct w:val="0"/>
      <w:spacing w:line="14" w:lineRule="auto"/>
      <w:ind w:left="0"/>
      <w:rPr>
        <w:sz w:val="20"/>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8EF8E86">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62</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68EF8E86">
                    <w:pPr>
                      <w:pStyle w:val="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62</w:t>
                    </w:r>
                    <w:r>
                      <w:rPr>
                        <w:rFonts w:ascii="Calibri" w:hAnsi="Calibri" w:eastAsia="Calibri"/>
                        <w:w w:val="99"/>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7D94">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D6AF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1A6AA">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5AE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72A9">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175A0">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9B55">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BE70A">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ECFD1"/>
    <w:multiLevelType w:val="singleLevel"/>
    <w:tmpl w:val="0FFECFD1"/>
    <w:lvl w:ilvl="0" w:tentative="0">
      <w:start w:val="1"/>
      <w:numFmt w:val="chineseCounting"/>
      <w:suff w:val="space"/>
      <w:lvlText w:val="第%1章"/>
      <w:lvlJc w:val="left"/>
      <w:rPr>
        <w:rFonts w:hint="eastAsia"/>
      </w:rPr>
    </w:lvl>
  </w:abstractNum>
  <w:abstractNum w:abstractNumId="1">
    <w:nsid w:val="1D7CAC94"/>
    <w:multiLevelType w:val="singleLevel"/>
    <w:tmpl w:val="1D7CAC94"/>
    <w:lvl w:ilvl="0" w:tentative="0">
      <w:start w:val="2"/>
      <w:numFmt w:val="decimal"/>
      <w:suff w:val="nothing"/>
      <w:lvlText w:val="（%1）"/>
      <w:lvlJc w:val="left"/>
      <w:pPr>
        <w:ind w:left="70"/>
      </w:pPr>
    </w:lvl>
  </w:abstractNum>
  <w:abstractNum w:abstractNumId="2">
    <w:nsid w:val="53C93D7D"/>
    <w:multiLevelType w:val="singleLevel"/>
    <w:tmpl w:val="53C93D7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WQzYTBiZDAzODI2YmViZmE2N2FmOWI0NTQ3NzcifQ=="/>
  </w:docVars>
  <w:rsids>
    <w:rsidRoot w:val="00172A27"/>
    <w:rsid w:val="00172A27"/>
    <w:rsid w:val="003B601A"/>
    <w:rsid w:val="00432C75"/>
    <w:rsid w:val="004B0B39"/>
    <w:rsid w:val="0092162A"/>
    <w:rsid w:val="009248E9"/>
    <w:rsid w:val="00942C66"/>
    <w:rsid w:val="00EF263F"/>
    <w:rsid w:val="015F5C05"/>
    <w:rsid w:val="01875C90"/>
    <w:rsid w:val="01BE653E"/>
    <w:rsid w:val="020F624B"/>
    <w:rsid w:val="0258568F"/>
    <w:rsid w:val="02FB1D51"/>
    <w:rsid w:val="0365456D"/>
    <w:rsid w:val="04590E88"/>
    <w:rsid w:val="04DD2AEE"/>
    <w:rsid w:val="04FF212C"/>
    <w:rsid w:val="050B6D23"/>
    <w:rsid w:val="055A6E6C"/>
    <w:rsid w:val="05776993"/>
    <w:rsid w:val="064C75F3"/>
    <w:rsid w:val="0686143A"/>
    <w:rsid w:val="06DC0977"/>
    <w:rsid w:val="06E24777"/>
    <w:rsid w:val="070204F3"/>
    <w:rsid w:val="079D30DF"/>
    <w:rsid w:val="07F817E1"/>
    <w:rsid w:val="08252F21"/>
    <w:rsid w:val="08964EF7"/>
    <w:rsid w:val="08C473E5"/>
    <w:rsid w:val="09452310"/>
    <w:rsid w:val="09C27272"/>
    <w:rsid w:val="0BBA0517"/>
    <w:rsid w:val="0BED0F30"/>
    <w:rsid w:val="0C380268"/>
    <w:rsid w:val="0C50756D"/>
    <w:rsid w:val="0C807FF6"/>
    <w:rsid w:val="0C997CA3"/>
    <w:rsid w:val="0CA35E79"/>
    <w:rsid w:val="0CAF268A"/>
    <w:rsid w:val="0D3D2A28"/>
    <w:rsid w:val="0D4754A7"/>
    <w:rsid w:val="0D737EF8"/>
    <w:rsid w:val="113373E5"/>
    <w:rsid w:val="11702C8D"/>
    <w:rsid w:val="117D2D56"/>
    <w:rsid w:val="11E02E4A"/>
    <w:rsid w:val="13F74FAE"/>
    <w:rsid w:val="154C4FDF"/>
    <w:rsid w:val="157825E6"/>
    <w:rsid w:val="15FA071C"/>
    <w:rsid w:val="16115C17"/>
    <w:rsid w:val="16893F4C"/>
    <w:rsid w:val="17425182"/>
    <w:rsid w:val="184711C8"/>
    <w:rsid w:val="187237A6"/>
    <w:rsid w:val="189B1E31"/>
    <w:rsid w:val="1A156DF2"/>
    <w:rsid w:val="1A1964F2"/>
    <w:rsid w:val="1AE533CB"/>
    <w:rsid w:val="1AE837D0"/>
    <w:rsid w:val="1B2A6C04"/>
    <w:rsid w:val="1B7156DA"/>
    <w:rsid w:val="1B8A22F8"/>
    <w:rsid w:val="1BDB6FF7"/>
    <w:rsid w:val="1CA550CD"/>
    <w:rsid w:val="1CDF72B4"/>
    <w:rsid w:val="1D021D8E"/>
    <w:rsid w:val="1D8B6EF6"/>
    <w:rsid w:val="1E44175B"/>
    <w:rsid w:val="1E4A3FC0"/>
    <w:rsid w:val="1E584178"/>
    <w:rsid w:val="1EAE2913"/>
    <w:rsid w:val="1F0B44C1"/>
    <w:rsid w:val="1F493040"/>
    <w:rsid w:val="1FB76ED1"/>
    <w:rsid w:val="1FF649E6"/>
    <w:rsid w:val="207C2C81"/>
    <w:rsid w:val="20992E00"/>
    <w:rsid w:val="20CE3F4B"/>
    <w:rsid w:val="21A27D50"/>
    <w:rsid w:val="21CF2AFB"/>
    <w:rsid w:val="221729FA"/>
    <w:rsid w:val="22254CDF"/>
    <w:rsid w:val="22285F7D"/>
    <w:rsid w:val="228B48B1"/>
    <w:rsid w:val="2338257F"/>
    <w:rsid w:val="24846A98"/>
    <w:rsid w:val="24AF7273"/>
    <w:rsid w:val="25A44C59"/>
    <w:rsid w:val="25BD05B3"/>
    <w:rsid w:val="25EB6089"/>
    <w:rsid w:val="25F53FAC"/>
    <w:rsid w:val="26B63AE6"/>
    <w:rsid w:val="26CF6181"/>
    <w:rsid w:val="274F0BC7"/>
    <w:rsid w:val="282B77B5"/>
    <w:rsid w:val="283F6BE7"/>
    <w:rsid w:val="288B74C9"/>
    <w:rsid w:val="29D66917"/>
    <w:rsid w:val="2AF57974"/>
    <w:rsid w:val="2AFA459F"/>
    <w:rsid w:val="2BA07916"/>
    <w:rsid w:val="2C19797C"/>
    <w:rsid w:val="2C2417F8"/>
    <w:rsid w:val="2CA35449"/>
    <w:rsid w:val="2CA6495A"/>
    <w:rsid w:val="2D07305C"/>
    <w:rsid w:val="2D5C5ABE"/>
    <w:rsid w:val="2E6508F1"/>
    <w:rsid w:val="2EA96AE1"/>
    <w:rsid w:val="2EAD14DA"/>
    <w:rsid w:val="2EF12886"/>
    <w:rsid w:val="2F2B1545"/>
    <w:rsid w:val="2F4A16AB"/>
    <w:rsid w:val="2FF80C51"/>
    <w:rsid w:val="300375DA"/>
    <w:rsid w:val="30894E1C"/>
    <w:rsid w:val="31B76C2E"/>
    <w:rsid w:val="322B758E"/>
    <w:rsid w:val="324A2A66"/>
    <w:rsid w:val="32D57EA5"/>
    <w:rsid w:val="34C67AE0"/>
    <w:rsid w:val="35A020D9"/>
    <w:rsid w:val="36115F43"/>
    <w:rsid w:val="368816D2"/>
    <w:rsid w:val="37090E2F"/>
    <w:rsid w:val="374750E9"/>
    <w:rsid w:val="37865B8C"/>
    <w:rsid w:val="389D47E5"/>
    <w:rsid w:val="39037C61"/>
    <w:rsid w:val="39750026"/>
    <w:rsid w:val="39CE2A82"/>
    <w:rsid w:val="3A960DB6"/>
    <w:rsid w:val="3AC86541"/>
    <w:rsid w:val="3AE64F8C"/>
    <w:rsid w:val="3AF47336"/>
    <w:rsid w:val="3B5E2228"/>
    <w:rsid w:val="3C643983"/>
    <w:rsid w:val="3C8D1B49"/>
    <w:rsid w:val="3CB1566E"/>
    <w:rsid w:val="3CC701F0"/>
    <w:rsid w:val="3DED6688"/>
    <w:rsid w:val="3DF94CB1"/>
    <w:rsid w:val="3E23065E"/>
    <w:rsid w:val="3E530817"/>
    <w:rsid w:val="41542873"/>
    <w:rsid w:val="41B30504"/>
    <w:rsid w:val="41CC104C"/>
    <w:rsid w:val="41D76FCF"/>
    <w:rsid w:val="42814D0F"/>
    <w:rsid w:val="42FA621E"/>
    <w:rsid w:val="433D3F20"/>
    <w:rsid w:val="43845741"/>
    <w:rsid w:val="44040DFF"/>
    <w:rsid w:val="453C3DB3"/>
    <w:rsid w:val="45CA0893"/>
    <w:rsid w:val="460D5750"/>
    <w:rsid w:val="462A4554"/>
    <w:rsid w:val="46494CE3"/>
    <w:rsid w:val="46524AE4"/>
    <w:rsid w:val="47786A0C"/>
    <w:rsid w:val="47B67BBB"/>
    <w:rsid w:val="489C6820"/>
    <w:rsid w:val="48E35BA9"/>
    <w:rsid w:val="49247828"/>
    <w:rsid w:val="4A1C1F30"/>
    <w:rsid w:val="4A742A58"/>
    <w:rsid w:val="4AB1638A"/>
    <w:rsid w:val="4B3E45F3"/>
    <w:rsid w:val="4BAD2039"/>
    <w:rsid w:val="4BCF16F1"/>
    <w:rsid w:val="4C6433A5"/>
    <w:rsid w:val="4C8A3891"/>
    <w:rsid w:val="4CA03513"/>
    <w:rsid w:val="4CB6115A"/>
    <w:rsid w:val="4D0369F0"/>
    <w:rsid w:val="4D457367"/>
    <w:rsid w:val="4D903A6C"/>
    <w:rsid w:val="4E7A004E"/>
    <w:rsid w:val="4F922E95"/>
    <w:rsid w:val="50027092"/>
    <w:rsid w:val="50B92434"/>
    <w:rsid w:val="50F6575E"/>
    <w:rsid w:val="5223443E"/>
    <w:rsid w:val="522C3C23"/>
    <w:rsid w:val="52A929CD"/>
    <w:rsid w:val="531F613B"/>
    <w:rsid w:val="532365B3"/>
    <w:rsid w:val="53EF77F2"/>
    <w:rsid w:val="5463135D"/>
    <w:rsid w:val="547E3FDD"/>
    <w:rsid w:val="54AB2D04"/>
    <w:rsid w:val="55096426"/>
    <w:rsid w:val="55E53FF3"/>
    <w:rsid w:val="573174F0"/>
    <w:rsid w:val="575C6418"/>
    <w:rsid w:val="57AD25BF"/>
    <w:rsid w:val="57E70337"/>
    <w:rsid w:val="58E533AC"/>
    <w:rsid w:val="58EF1712"/>
    <w:rsid w:val="59373176"/>
    <w:rsid w:val="5A722B5D"/>
    <w:rsid w:val="5B7B562C"/>
    <w:rsid w:val="5BE669AD"/>
    <w:rsid w:val="5D6323CD"/>
    <w:rsid w:val="5E100706"/>
    <w:rsid w:val="5E33395B"/>
    <w:rsid w:val="5E4F0C95"/>
    <w:rsid w:val="5EC83B4D"/>
    <w:rsid w:val="5F1B0097"/>
    <w:rsid w:val="606F4BE5"/>
    <w:rsid w:val="608C23DE"/>
    <w:rsid w:val="60E6759D"/>
    <w:rsid w:val="61EA613C"/>
    <w:rsid w:val="62AB097F"/>
    <w:rsid w:val="62C12D55"/>
    <w:rsid w:val="63984453"/>
    <w:rsid w:val="63DB2CB0"/>
    <w:rsid w:val="63F57AF7"/>
    <w:rsid w:val="647B1300"/>
    <w:rsid w:val="64F739D4"/>
    <w:rsid w:val="654A3E4B"/>
    <w:rsid w:val="65840E4C"/>
    <w:rsid w:val="65D76672"/>
    <w:rsid w:val="65EE47FE"/>
    <w:rsid w:val="66CA3897"/>
    <w:rsid w:val="67851681"/>
    <w:rsid w:val="6797276F"/>
    <w:rsid w:val="68884270"/>
    <w:rsid w:val="68F47EC6"/>
    <w:rsid w:val="692F08B6"/>
    <w:rsid w:val="69307669"/>
    <w:rsid w:val="69B47845"/>
    <w:rsid w:val="6A4E3ABD"/>
    <w:rsid w:val="6ABB01AD"/>
    <w:rsid w:val="6AC8299D"/>
    <w:rsid w:val="6B195FD2"/>
    <w:rsid w:val="6BB22C3E"/>
    <w:rsid w:val="6BC512BE"/>
    <w:rsid w:val="6BC856BE"/>
    <w:rsid w:val="6C886152"/>
    <w:rsid w:val="6CCE6362"/>
    <w:rsid w:val="6CDB6C18"/>
    <w:rsid w:val="6D611B33"/>
    <w:rsid w:val="6DCC4D79"/>
    <w:rsid w:val="6DE7022A"/>
    <w:rsid w:val="6E0E021D"/>
    <w:rsid w:val="6E211E03"/>
    <w:rsid w:val="6E70494A"/>
    <w:rsid w:val="6E742452"/>
    <w:rsid w:val="6E91710D"/>
    <w:rsid w:val="6F585C48"/>
    <w:rsid w:val="6FB6545E"/>
    <w:rsid w:val="6FDC5A0F"/>
    <w:rsid w:val="702B37BF"/>
    <w:rsid w:val="704E0CBB"/>
    <w:rsid w:val="70E44F01"/>
    <w:rsid w:val="716F713B"/>
    <w:rsid w:val="717464FF"/>
    <w:rsid w:val="71D7668A"/>
    <w:rsid w:val="726A4A36"/>
    <w:rsid w:val="72E01BB0"/>
    <w:rsid w:val="731E0F50"/>
    <w:rsid w:val="75567E24"/>
    <w:rsid w:val="757635DC"/>
    <w:rsid w:val="75E06B2B"/>
    <w:rsid w:val="76750369"/>
    <w:rsid w:val="76A25114"/>
    <w:rsid w:val="7734735D"/>
    <w:rsid w:val="77563D2B"/>
    <w:rsid w:val="77F34C42"/>
    <w:rsid w:val="7811525D"/>
    <w:rsid w:val="781778AC"/>
    <w:rsid w:val="7838546B"/>
    <w:rsid w:val="784210E3"/>
    <w:rsid w:val="788506C7"/>
    <w:rsid w:val="78DB50B6"/>
    <w:rsid w:val="793A652F"/>
    <w:rsid w:val="798553D8"/>
    <w:rsid w:val="79BF259A"/>
    <w:rsid w:val="79CA0FE0"/>
    <w:rsid w:val="79E50853"/>
    <w:rsid w:val="79F173AE"/>
    <w:rsid w:val="7A6605A1"/>
    <w:rsid w:val="7AA65250"/>
    <w:rsid w:val="7B8A5777"/>
    <w:rsid w:val="7BE249A0"/>
    <w:rsid w:val="7D4B3C28"/>
    <w:rsid w:val="7D521B00"/>
    <w:rsid w:val="7DCE4049"/>
    <w:rsid w:val="7E2056E4"/>
    <w:rsid w:val="7E8D2B2E"/>
    <w:rsid w:val="7EBC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1"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1"/>
    <w:next w:val="1"/>
    <w:unhideWhenUsed/>
    <w:qFormat/>
    <w:uiPriority w:val="1"/>
    <w:pPr>
      <w:ind w:left="3"/>
      <w:jc w:val="center"/>
      <w:outlineLvl w:val="0"/>
    </w:pPr>
    <w:rPr>
      <w:rFonts w:hint="eastAsia" w:ascii="Microsoft JhengHei" w:hAnsi="Microsoft JhengHei" w:eastAsia="Microsoft JhengHei"/>
      <w:b/>
      <w:sz w:val="44"/>
    </w:rPr>
  </w:style>
  <w:style w:type="paragraph" w:styleId="4">
    <w:name w:val="heading 2"/>
    <w:basedOn w:val="1"/>
    <w:next w:val="1"/>
    <w:link w:val="40"/>
    <w:unhideWhenUsed/>
    <w:qFormat/>
    <w:uiPriority w:val="1"/>
    <w:pPr>
      <w:ind w:left="3"/>
      <w:jc w:val="center"/>
      <w:outlineLvl w:val="1"/>
    </w:pPr>
    <w:rPr>
      <w:rFonts w:ascii="宋体" w:hAnsi="宋体"/>
      <w:sz w:val="30"/>
    </w:rPr>
  </w:style>
  <w:style w:type="paragraph" w:styleId="5">
    <w:name w:val="heading 3"/>
    <w:basedOn w:val="1"/>
    <w:next w:val="1"/>
    <w:link w:val="32"/>
    <w:unhideWhenUsed/>
    <w:qFormat/>
    <w:uiPriority w:val="1"/>
    <w:pPr>
      <w:spacing w:before="50" w:beforeLines="50" w:after="50" w:afterLines="50" w:line="360" w:lineRule="auto"/>
      <w:outlineLvl w:val="2"/>
    </w:pPr>
    <w:rPr>
      <w:rFonts w:ascii="宋体" w:hAnsi="宋体"/>
      <w:b/>
    </w:rPr>
  </w:style>
  <w:style w:type="paragraph" w:styleId="6">
    <w:name w:val="heading 4"/>
    <w:basedOn w:val="1"/>
    <w:next w:val="1"/>
    <w:unhideWhenUsed/>
    <w:qFormat/>
    <w:uiPriority w:val="1"/>
    <w:pPr>
      <w:outlineLvl w:val="3"/>
    </w:pPr>
    <w:rPr>
      <w:rFonts w:ascii="宋体" w:hAnsi="宋体"/>
      <w:sz w:val="28"/>
    </w:rPr>
  </w:style>
  <w:style w:type="paragraph" w:styleId="7">
    <w:name w:val="heading 5"/>
    <w:basedOn w:val="1"/>
    <w:next w:val="1"/>
    <w:unhideWhenUsed/>
    <w:qFormat/>
    <w:uiPriority w:val="1"/>
    <w:pPr>
      <w:ind w:left="237"/>
      <w:outlineLvl w:val="4"/>
    </w:pPr>
    <w:rPr>
      <w:rFonts w:ascii="宋体" w:hAnsi="宋体"/>
      <w:sz w:val="28"/>
    </w:rPr>
  </w:style>
  <w:style w:type="paragraph" w:styleId="8">
    <w:name w:val="heading 6"/>
    <w:basedOn w:val="1"/>
    <w:next w:val="1"/>
    <w:autoRedefine/>
    <w:unhideWhenUsed/>
    <w:qFormat/>
    <w:uiPriority w:val="1"/>
    <w:pPr>
      <w:ind w:left="513"/>
      <w:outlineLvl w:val="5"/>
    </w:pPr>
    <w:rPr>
      <w:rFonts w:hint="eastAsia" w:eastAsia="Times New Roman"/>
      <w:b/>
      <w:sz w:val="21"/>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1"/>
    <w:pPr>
      <w:ind w:left="520"/>
    </w:pPr>
    <w:rPr>
      <w:rFonts w:ascii="宋体" w:hAnsi="宋体"/>
      <w:sz w:val="21"/>
    </w:rPr>
  </w:style>
  <w:style w:type="paragraph" w:styleId="9">
    <w:name w:val="Normal Indent"/>
    <w:basedOn w:val="1"/>
    <w:next w:val="1"/>
    <w:qFormat/>
    <w:uiPriority w:val="0"/>
    <w:pPr>
      <w:ind w:firstLine="420"/>
    </w:pPr>
    <w:rPr>
      <w:rFonts w:ascii="Times New Roman" w:hAnsi="Times New Roman"/>
      <w:szCs w:val="20"/>
    </w:rPr>
  </w:style>
  <w:style w:type="paragraph" w:styleId="10">
    <w:name w:val="annotation text"/>
    <w:basedOn w:val="1"/>
    <w:link w:val="47"/>
    <w:unhideWhenUsed/>
    <w:qFormat/>
    <w:uiPriority w:val="99"/>
  </w:style>
  <w:style w:type="paragraph" w:styleId="11">
    <w:name w:val="Body Text 3"/>
    <w:autoRedefine/>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12">
    <w:name w:val="Body Text Indent"/>
    <w:basedOn w:val="1"/>
    <w:next w:val="13"/>
    <w:qFormat/>
    <w:uiPriority w:val="0"/>
    <w:pPr>
      <w:spacing w:after="120"/>
      <w:ind w:left="420" w:leftChars="200"/>
    </w:pPr>
    <w:rPr>
      <w:szCs w:val="20"/>
    </w:r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99"/>
    <w:pPr>
      <w:ind w:left="840" w:leftChars="400"/>
    </w:pPr>
  </w:style>
  <w:style w:type="paragraph" w:styleId="15">
    <w:name w:val="Plain Text"/>
    <w:basedOn w:val="1"/>
    <w:next w:val="1"/>
    <w:unhideWhenUsed/>
    <w:qFormat/>
    <w:uiPriority w:val="0"/>
    <w:rPr>
      <w:rFonts w:ascii="宋体" w:hAnsi="Courier New"/>
    </w:rPr>
  </w:style>
  <w:style w:type="paragraph" w:styleId="16">
    <w:name w:val="Balloon Text"/>
    <w:basedOn w:val="1"/>
    <w:link w:val="46"/>
    <w:qFormat/>
    <w:uiPriority w:val="99"/>
    <w:rPr>
      <w:sz w:val="18"/>
      <w:szCs w:val="18"/>
    </w:rPr>
  </w:style>
  <w:style w:type="paragraph" w:styleId="17">
    <w:name w:val="footer"/>
    <w:basedOn w:val="1"/>
    <w:autoRedefine/>
    <w:unhideWhenUsed/>
    <w:qFormat/>
    <w:uiPriority w:val="99"/>
    <w:pPr>
      <w:tabs>
        <w:tab w:val="center" w:pos="4153"/>
        <w:tab w:val="right" w:pos="8306"/>
      </w:tabs>
      <w:snapToGrid w:val="0"/>
    </w:pPr>
    <w:rPr>
      <w:sz w:val="18"/>
    </w:rPr>
  </w:style>
  <w:style w:type="paragraph" w:styleId="18">
    <w:name w:val="header"/>
    <w:basedOn w:val="1"/>
    <w:autoRedefine/>
    <w:unhideWhenUsed/>
    <w:qFormat/>
    <w:uiPriority w:val="99"/>
    <w:pPr>
      <w:tabs>
        <w:tab w:val="center" w:pos="4153"/>
        <w:tab w:val="right" w:pos="8306"/>
      </w:tabs>
      <w:snapToGrid w:val="0"/>
      <w:jc w:val="both"/>
    </w:pPr>
    <w:rPr>
      <w:sz w:val="18"/>
    </w:rPr>
  </w:style>
  <w:style w:type="paragraph" w:styleId="19">
    <w:name w:val="toc 1"/>
    <w:basedOn w:val="1"/>
    <w:next w:val="1"/>
    <w:qFormat/>
    <w:uiPriority w:val="99"/>
  </w:style>
  <w:style w:type="paragraph" w:styleId="20">
    <w:name w:val="toc 2"/>
    <w:basedOn w:val="1"/>
    <w:next w:val="1"/>
    <w:qFormat/>
    <w:uiPriority w:val="99"/>
    <w:pPr>
      <w:ind w:left="420" w:leftChars="200"/>
    </w:pPr>
  </w:style>
  <w:style w:type="paragraph" w:styleId="21">
    <w:name w:val="Body Text 2"/>
    <w:basedOn w:val="1"/>
    <w:qFormat/>
    <w:uiPriority w:val="0"/>
    <w:rPr>
      <w:rFonts w:ascii="宋体" w:hAnsi="宋体"/>
      <w:sz w:val="20"/>
      <w:u w:val="single"/>
    </w:rPr>
  </w:style>
  <w:style w:type="paragraph" w:styleId="22">
    <w:name w:val="Normal (Web)"/>
    <w:basedOn w:val="1"/>
    <w:unhideWhenUsed/>
    <w:qFormat/>
    <w:uiPriority w:val="99"/>
    <w:pPr>
      <w:widowControl/>
      <w:spacing w:before="100" w:beforeAutospacing="1" w:after="100" w:afterAutospacing="1"/>
    </w:pPr>
    <w:rPr>
      <w:rFonts w:hint="eastAsia" w:eastAsia="Times New Roman"/>
    </w:rPr>
  </w:style>
  <w:style w:type="paragraph" w:styleId="23">
    <w:name w:val="Body Text First Indent"/>
    <w:basedOn w:val="2"/>
    <w:next w:val="24"/>
    <w:autoRedefine/>
    <w:unhideWhenUsed/>
    <w:qFormat/>
    <w:uiPriority w:val="0"/>
    <w:pPr>
      <w:ind w:firstLine="420"/>
    </w:pPr>
    <w:rPr>
      <w:rFonts w:hint="eastAsia" w:ascii="Times New Roman" w:hAnsi="Times New Roman" w:eastAsia="楷体_GB2312"/>
      <w:sz w:val="20"/>
    </w:rPr>
  </w:style>
  <w:style w:type="paragraph" w:styleId="24">
    <w:name w:val="Body Text First Indent 2"/>
    <w:basedOn w:val="12"/>
    <w:next w:val="25"/>
    <w:autoRedefine/>
    <w:qFormat/>
    <w:uiPriority w:val="0"/>
    <w:pPr>
      <w:ind w:firstLine="420" w:firstLineChars="200"/>
      <w:jc w:val="both"/>
    </w:pPr>
    <w:rPr>
      <w:rFonts w:ascii="Calibri" w:hAnsi="Calibri"/>
      <w:kern w:val="2"/>
      <w:sz w:val="21"/>
      <w:szCs w:val="24"/>
    </w:rPr>
  </w:style>
  <w:style w:type="paragraph" w:customStyle="1" w:styleId="25">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character" w:styleId="28">
    <w:name w:val="Hyperlink"/>
    <w:autoRedefine/>
    <w:unhideWhenUsed/>
    <w:qFormat/>
    <w:uiPriority w:val="99"/>
    <w:rPr>
      <w:rFonts w:hint="default" w:ascii="Arial" w:hAnsi="Arial" w:eastAsia="黑体"/>
      <w:color w:val="0000FF"/>
      <w:kern w:val="2"/>
      <w:sz w:val="21"/>
      <w:szCs w:val="24"/>
      <w:u w:val="single"/>
      <w:lang w:val="en-US" w:eastAsia="zh-CN" w:bidi="ar-SA"/>
    </w:rPr>
  </w:style>
  <w:style w:type="character" w:styleId="29">
    <w:name w:val="annotation reference"/>
    <w:basedOn w:val="27"/>
    <w:qFormat/>
    <w:uiPriority w:val="99"/>
    <w:rPr>
      <w:sz w:val="21"/>
      <w:szCs w:val="21"/>
    </w:rPr>
  </w:style>
  <w:style w:type="paragraph" w:customStyle="1" w:styleId="30">
    <w:name w:val="正文缩进1"/>
    <w:basedOn w:val="31"/>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31">
    <w:name w:val="正文1"/>
    <w:basedOn w:val="1"/>
    <w:autoRedefine/>
    <w:unhideWhenUsed/>
    <w:qFormat/>
    <w:uiPriority w:val="0"/>
    <w:pPr>
      <w:spacing w:line="240" w:lineRule="atLeast"/>
      <w:jc w:val="center"/>
      <w:textAlignment w:val="baseline"/>
    </w:pPr>
    <w:rPr>
      <w:rFonts w:ascii="Tahoma" w:hAnsi="Tahoma"/>
    </w:rPr>
  </w:style>
  <w:style w:type="character" w:customStyle="1" w:styleId="32">
    <w:name w:val="标题 3 Char"/>
    <w:link w:val="5"/>
    <w:autoRedefine/>
    <w:unhideWhenUsed/>
    <w:qFormat/>
    <w:uiPriority w:val="1"/>
    <w:rPr>
      <w:rFonts w:hint="default" w:ascii="宋体" w:hAnsi="宋体" w:eastAsia="宋体"/>
      <w:b/>
      <w:sz w:val="24"/>
      <w:szCs w:val="24"/>
    </w:rPr>
  </w:style>
  <w:style w:type="paragraph" w:customStyle="1" w:styleId="33">
    <w:name w:val="Table Paragraph"/>
    <w:basedOn w:val="1"/>
    <w:autoRedefine/>
    <w:unhideWhenUsed/>
    <w:qFormat/>
    <w:uiPriority w:val="1"/>
  </w:style>
  <w:style w:type="paragraph" w:customStyle="1" w:styleId="34">
    <w:name w:val="公文正文"/>
    <w:autoRedefine/>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5">
    <w:name w:val="p0"/>
    <w:basedOn w:val="1"/>
    <w:autoRedefine/>
    <w:unhideWhenUsed/>
    <w:qFormat/>
    <w:uiPriority w:val="0"/>
    <w:pPr>
      <w:widowControl/>
      <w:spacing w:before="75" w:after="75"/>
    </w:pPr>
    <w:rPr>
      <w:rFonts w:ascii="宋体" w:hAnsi="宋体" w:cs="宋体"/>
    </w:rPr>
  </w:style>
  <w:style w:type="paragraph" w:styleId="36">
    <w:name w:val="List Paragraph"/>
    <w:basedOn w:val="1"/>
    <w:autoRedefine/>
    <w:unhideWhenUsed/>
    <w:qFormat/>
    <w:uiPriority w:val="1"/>
  </w:style>
  <w:style w:type="paragraph" w:customStyle="1" w:styleId="37">
    <w:name w:val="文一"/>
    <w:basedOn w:val="1"/>
    <w:autoRedefine/>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38">
    <w:name w:val="样式 宋体 行距: 1.5 倍行距"/>
    <w:basedOn w:val="1"/>
    <w:autoRedefine/>
    <w:unhideWhenUsed/>
    <w:qFormat/>
    <w:uiPriority w:val="0"/>
    <w:pPr>
      <w:jc w:val="center"/>
    </w:pPr>
    <w:rPr>
      <w:b/>
    </w:rPr>
  </w:style>
  <w:style w:type="paragraph" w:customStyle="1" w:styleId="39">
    <w:name w:val="发文落款"/>
    <w:basedOn w:val="34"/>
    <w:autoRedefine/>
    <w:unhideWhenUsed/>
    <w:qFormat/>
    <w:uiPriority w:val="99"/>
    <w:pPr>
      <w:ind w:left="4094" w:right="607" w:firstLine="0"/>
      <w:jc w:val="center"/>
    </w:pPr>
    <w:rPr>
      <w:rFonts w:cs="仿宋_GB2312"/>
      <w:szCs w:val="32"/>
    </w:rPr>
  </w:style>
  <w:style w:type="character" w:customStyle="1" w:styleId="40">
    <w:name w:val="标题 2 Char"/>
    <w:link w:val="4"/>
    <w:autoRedefine/>
    <w:unhideWhenUsed/>
    <w:qFormat/>
    <w:uiPriority w:val="1"/>
    <w:rPr>
      <w:rFonts w:hint="default" w:ascii="宋体" w:hAnsi="宋体" w:eastAsia="宋体"/>
      <w:b/>
      <w:sz w:val="30"/>
      <w:szCs w:val="24"/>
    </w:rPr>
  </w:style>
  <w:style w:type="character" w:customStyle="1" w:styleId="41">
    <w:name w:val="NormalCharacter"/>
    <w:autoRedefine/>
    <w:unhideWhenUsed/>
    <w:qFormat/>
    <w:uiPriority w:val="0"/>
    <w:rPr>
      <w:rFonts w:hint="default"/>
      <w:sz w:val="24"/>
      <w:szCs w:val="24"/>
    </w:rPr>
  </w:style>
  <w:style w:type="paragraph" w:customStyle="1" w:styleId="42">
    <w:name w:val="WPSOffice手动目录 1"/>
    <w:autoRedefine/>
    <w:qFormat/>
    <w:uiPriority w:val="0"/>
    <w:rPr>
      <w:rFonts w:ascii="Times New Roman" w:hAnsi="Times New Roman" w:eastAsia="宋体" w:cs="Times New Roman"/>
      <w:lang w:val="en-US" w:eastAsia="zh-CN" w:bidi="ar-SA"/>
    </w:rPr>
  </w:style>
  <w:style w:type="paragraph" w:customStyle="1" w:styleId="4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5">
    <w:name w:val="文二"/>
    <w:basedOn w:val="1"/>
    <w:qFormat/>
    <w:uiPriority w:val="0"/>
    <w:rPr>
      <w:rFonts w:ascii="宋体" w:hAnsi="宋体"/>
      <w:szCs w:val="21"/>
    </w:rPr>
  </w:style>
  <w:style w:type="character" w:customStyle="1" w:styleId="46">
    <w:name w:val="批注框文本 Char"/>
    <w:basedOn w:val="27"/>
    <w:link w:val="16"/>
    <w:qFormat/>
    <w:uiPriority w:val="99"/>
    <w:rPr>
      <w:sz w:val="18"/>
      <w:szCs w:val="18"/>
    </w:rPr>
  </w:style>
  <w:style w:type="character" w:customStyle="1" w:styleId="47">
    <w:name w:val="批注文字 Char"/>
    <w:basedOn w:val="27"/>
    <w:link w:val="10"/>
    <w:qFormat/>
    <w:uiPriority w:val="99"/>
    <w:rPr>
      <w:sz w:val="24"/>
      <w:szCs w:val="24"/>
    </w:rPr>
  </w:style>
  <w:style w:type="paragraph" w:customStyle="1" w:styleId="48">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955</Words>
  <Characters>1089</Characters>
  <Lines>261</Lines>
  <Paragraphs>73</Paragraphs>
  <TotalTime>31</TotalTime>
  <ScaleCrop>false</ScaleCrop>
  <LinksUpToDate>false</LinksUpToDate>
  <CharactersWithSpaces>1135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Administrator</cp:lastModifiedBy>
  <cp:lastPrinted>2025-05-22T09:29:00Z</cp:lastPrinted>
  <dcterms:modified xsi:type="dcterms:W3CDTF">2025-08-25T03:41:27Z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6C27D8F7A8AA457B811713D09B3122D7_13</vt:lpwstr>
  </property>
  <property fmtid="{D5CDD505-2E9C-101B-9397-08002B2CF9AE}" pid="4" name="KSOTemplateDocerSaveRecord">
    <vt:lpwstr>eyJoZGlkIjoiMmJhMmY2YWFkMGViNjBiMDJiNGUwNDhiMzA2NzBlYWQiLCJ1c2VySWQiOiIxMDIzNzk0NDAzIn0=</vt:lpwstr>
  </property>
</Properties>
</file>