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bCs/>
          <w:color w:val="FF0000"/>
          <w:szCs w:val="21"/>
        </w:rPr>
      </w:pPr>
    </w:p>
    <w:p>
      <w:pPr>
        <w:spacing w:line="400" w:lineRule="exact"/>
        <w:jc w:val="center"/>
        <w:rPr>
          <w:rFonts w:ascii="宋体" w:hAnsi="宋体"/>
          <w:b/>
          <w:bCs/>
          <w:sz w:val="30"/>
          <w:szCs w:val="30"/>
        </w:rPr>
      </w:pPr>
      <w:r>
        <w:rPr>
          <w:rFonts w:hint="eastAsia" w:ascii="宋体" w:hAnsi="宋体"/>
          <w:b/>
          <w:bCs/>
          <w:sz w:val="30"/>
          <w:szCs w:val="30"/>
        </w:rPr>
        <w:t>清 单 总 说 明</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“暂列金额”投标人应按“最高投标限价公布函”中相应金额填写，不得修改。</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“绿色施工安全防护措施费”</w:t>
      </w:r>
      <w:r>
        <w:rPr>
          <w:rFonts w:hint="eastAsia"/>
        </w:rPr>
        <w:t xml:space="preserve"> </w:t>
      </w:r>
      <w:r>
        <w:rPr>
          <w:rFonts w:hint="eastAsia" w:ascii="宋体" w:hAnsi="宋体"/>
          <w:szCs w:val="21"/>
        </w:rPr>
        <w:t>投标人应按“最高投标限价公布函”中相应金额填写，不得修改。</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招标文件的单价和合价均用人民币表示。</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增值税销项税额根据有关文件计取。</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本次投标报价工程量清单按照广东省住房和城乡建设厅《广东省建设工程计价依据（2018）》、中华人民共和国国家标准《建设工程工程量清单计价规范》（GB50500-2013）设置，投标文件需根据上述规范、办法要求填写，并提供分部分项工程量清单综合单价分析表（须列明子目工机料消耗量）、措施项目费用分析表</w:t>
      </w:r>
      <w:r>
        <w:rPr>
          <w:rFonts w:hint="eastAsia" w:ascii="宋体" w:hAnsi="宋体"/>
          <w:b/>
          <w:bCs/>
          <w:szCs w:val="21"/>
        </w:rPr>
        <w:t>（</w:t>
      </w:r>
      <w:r>
        <w:rPr>
          <w:rFonts w:hint="eastAsia" w:ascii="宋体" w:hAnsi="宋体"/>
          <w:szCs w:val="21"/>
        </w:rPr>
        <w:t>除按系数计算的绿色施工安全防护措施费</w:t>
      </w:r>
      <w:r>
        <w:rPr>
          <w:rFonts w:hint="eastAsia" w:ascii="宋体" w:hAnsi="宋体"/>
          <w:b/>
          <w:bCs/>
          <w:szCs w:val="21"/>
        </w:rPr>
        <w:t>）</w:t>
      </w:r>
      <w:r>
        <w:rPr>
          <w:rFonts w:hint="eastAsia" w:ascii="宋体" w:hAnsi="宋体"/>
          <w:szCs w:val="21"/>
        </w:rPr>
        <w:t>及设备材料价格表。</w:t>
      </w:r>
    </w:p>
    <w:p>
      <w:pPr>
        <w:pStyle w:val="11"/>
        <w:numPr>
          <w:ilvl w:val="0"/>
          <w:numId w:val="1"/>
        </w:numPr>
        <w:snapToGrid w:val="0"/>
        <w:spacing w:line="460" w:lineRule="exact"/>
        <w:ind w:firstLineChars="0"/>
        <w:rPr>
          <w:rFonts w:ascii="宋体" w:hAnsi="宋体"/>
          <w:b w:val="0"/>
          <w:bCs w:val="0"/>
          <w:szCs w:val="21"/>
        </w:rPr>
      </w:pPr>
      <w:r>
        <w:rPr>
          <w:rFonts w:hint="eastAsia" w:ascii="宋体" w:hAnsi="宋体"/>
          <w:szCs w:val="21"/>
        </w:rPr>
        <w:t>分部分项工程项目的材料消耗量应满足实体用</w:t>
      </w:r>
      <w:r>
        <w:rPr>
          <w:rFonts w:hint="eastAsia" w:ascii="宋体" w:hAnsi="宋体"/>
          <w:b w:val="0"/>
          <w:bCs w:val="0"/>
          <w:szCs w:val="21"/>
        </w:rPr>
        <w:t>量，市政定额、安装定额、建筑装饰定额及相应定额作分析。单价分析子项出现缺项或不清晰的，视该子项费用已包含在其他项目中，结算时不予调整。所提供的单价分析表或措施费用分析表中管理费或利润超过有关定额文件、规范规定的，则投标人在签订合同前，必须按招标人的要求，在中标价不变的前提下，按有关定额文件，规范的规定进行调整。</w:t>
      </w:r>
    </w:p>
    <w:p>
      <w:pPr>
        <w:pStyle w:val="11"/>
        <w:numPr>
          <w:ilvl w:val="0"/>
          <w:numId w:val="1"/>
        </w:numPr>
        <w:snapToGrid w:val="0"/>
        <w:spacing w:line="460" w:lineRule="exact"/>
        <w:ind w:firstLineChars="0"/>
        <w:rPr>
          <w:rFonts w:ascii="宋体" w:hAnsi="宋体"/>
          <w:szCs w:val="21"/>
        </w:rPr>
      </w:pPr>
      <w:r>
        <w:rPr>
          <w:rFonts w:hint="eastAsia" w:ascii="宋体" w:hAnsi="宋体"/>
          <w:b w:val="0"/>
          <w:bCs w:val="0"/>
          <w:szCs w:val="21"/>
        </w:rPr>
        <w:t>投标报价应以清单工程量为准（项目、顺序、格式、计量单位、数量），工程量清单计价格式中列明的所有需要填报的单价和合价，投标人均应填报；未填报单</w:t>
      </w:r>
      <w:r>
        <w:rPr>
          <w:rFonts w:hint="eastAsia" w:ascii="宋体" w:hAnsi="宋体"/>
          <w:szCs w:val="21"/>
        </w:rPr>
        <w:t>价和合价的视为该费用已包含在工程量清单的其他单价和合价中，增项的项目无效，该项目单价不作为结算依据。</w:t>
      </w:r>
    </w:p>
    <w:p>
      <w:pPr>
        <w:pStyle w:val="11"/>
        <w:numPr>
          <w:ilvl w:val="0"/>
          <w:numId w:val="1"/>
        </w:numPr>
        <w:snapToGrid w:val="0"/>
        <w:spacing w:line="460" w:lineRule="exact"/>
        <w:ind w:firstLineChars="0"/>
        <w:rPr>
          <w:rFonts w:ascii="宋体" w:hAnsi="宋体"/>
          <w:b w:val="0"/>
          <w:bCs/>
          <w:szCs w:val="21"/>
        </w:rPr>
      </w:pPr>
      <w:r>
        <w:rPr>
          <w:rFonts w:hint="eastAsia" w:ascii="宋体" w:hAnsi="宋体"/>
          <w:szCs w:val="21"/>
        </w:rPr>
        <w:t>工程量清单应连同图纸、合同条款、技术规范及质量验收规范、本总说明的所有条款、答疑纪要、问题澄清、</w:t>
      </w:r>
      <w:r>
        <w:rPr>
          <w:rFonts w:hint="eastAsia" w:ascii="宋体" w:hAnsi="宋体"/>
          <w:b w:val="0"/>
          <w:bCs/>
          <w:szCs w:val="21"/>
        </w:rPr>
        <w:t>中华人民共和国国家标准《建设工程工程量清单计价规范》（GB50500-2013）、《广东省建设工程计价依据（2018）》及《广东省市政工程综合定额（2018）》、《广东省通用安装工程综合定额（2018）》、《广东省房屋建筑与装饰工程综合定额（2018）》等有关规范、规定同时阅读、理解或解释。工程量清单中的工程细目应与相应技术规范条款及本编制说明有关条款结合理解。</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投标人应对施工现场进行充分考察后，按照招标文件的有关规定，依据招标人提供的工程量清单，施工设计图纸，地质勘查报告，施工现场实际情况，</w:t>
      </w:r>
      <w:r>
        <w:rPr>
          <w:rFonts w:hint="eastAsia" w:ascii="宋体" w:hAnsi="宋体"/>
          <w:szCs w:val="21"/>
          <w:lang w:val="en-US" w:eastAsia="zh-CN"/>
        </w:rPr>
        <w:t>拟定的</w:t>
      </w:r>
      <w:r>
        <w:rPr>
          <w:rFonts w:hint="eastAsia" w:ascii="宋体" w:hAnsi="宋体"/>
          <w:szCs w:val="21"/>
        </w:rPr>
        <w:t>施工方案，企业定额及市场价格或《广东省建设工程计价依据（2018）》，建设行政主管部门和工程造价主管机构的有关规定及发布的人工、材料、机械参考价，并自行考虑风险综合报价。投标报价不能低于企业的成本价和高于招标人编制的投标限价，也不能脱离</w:t>
      </w:r>
      <w:r>
        <w:rPr>
          <w:rFonts w:hint="eastAsia" w:ascii="宋体" w:hAnsi="宋体"/>
          <w:szCs w:val="21"/>
          <w:lang w:val="en-US" w:eastAsia="zh-CN"/>
        </w:rPr>
        <w:t>拟定的</w:t>
      </w:r>
      <w:r>
        <w:rPr>
          <w:rFonts w:hint="eastAsia" w:ascii="宋体" w:hAnsi="宋体"/>
          <w:szCs w:val="21"/>
        </w:rPr>
        <w:t>施工方案、指导价、市场价进行不合理的报价。</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绿色施工安全防护措施费：招标文件、合同约定、计价说明可调整范围外，按费率标准系数计算的其他绿色施工安全防护措施费合价包干；按项计算的绿色施工安全防护措施费部分，以项为单位合价包干，未计价的项目视为该费用已包含在其它费用内，工程结算时不</w:t>
      </w:r>
    </w:p>
    <w:p>
      <w:pPr>
        <w:pStyle w:val="11"/>
        <w:snapToGrid w:val="0"/>
        <w:spacing w:line="460" w:lineRule="exact"/>
        <w:ind w:left="840" w:firstLine="0" w:firstLineChars="0"/>
        <w:rPr>
          <w:rFonts w:ascii="宋体" w:hAnsi="宋体"/>
          <w:szCs w:val="21"/>
        </w:rPr>
      </w:pPr>
      <w:r>
        <w:rPr>
          <w:rFonts w:hint="eastAsia" w:ascii="宋体" w:hAnsi="宋体"/>
          <w:szCs w:val="21"/>
        </w:rPr>
        <w:t>予调整；按计量单位计算的绿色施工安全防护措施费部分，工程量按实计量结算。</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措施其他项目费：措施项目费以项计算的，除招标文件、合同约定可调整范围外，作为该项目包干价，投标人没有计算或少计的措施项目费用，视为该费用已包含在其它费用内，工程结算时不予调整；措施项目费以计量单位计算的，除招标文件、合同约定、计价说明约定包干外，工程量按实计量结算。</w:t>
      </w:r>
    </w:p>
    <w:p>
      <w:pPr>
        <w:pStyle w:val="11"/>
        <w:numPr>
          <w:ilvl w:val="0"/>
          <w:numId w:val="1"/>
        </w:numPr>
        <w:snapToGrid w:val="0"/>
        <w:spacing w:line="460" w:lineRule="exact"/>
        <w:ind w:firstLineChars="0"/>
        <w:rPr>
          <w:rFonts w:ascii="宋体" w:hAnsi="宋体"/>
          <w:b w:val="0"/>
          <w:bCs w:val="0"/>
          <w:szCs w:val="21"/>
        </w:rPr>
      </w:pPr>
      <w:bookmarkStart w:id="0" w:name="_GoBack"/>
      <w:bookmarkEnd w:id="0"/>
      <w:r>
        <w:rPr>
          <w:rFonts w:hint="eastAsia" w:ascii="宋体" w:hAnsi="宋体"/>
          <w:szCs w:val="21"/>
        </w:rPr>
        <w:t>工程量清单列明的数量是根据设</w:t>
      </w:r>
      <w:r>
        <w:rPr>
          <w:rFonts w:hint="eastAsia" w:ascii="宋体" w:hAnsi="宋体"/>
          <w:b w:val="0"/>
          <w:bCs w:val="0"/>
          <w:szCs w:val="21"/>
        </w:rPr>
        <w:t>计图纸及《建设工程工程量清单计价规范》（GB50500-2013）中工程量计算规则、《广东省建设工程计价依据（2018）》等有关规定进行计算的，它是招标文件的组成部分，只是为投标提供的一个共同基础，不能完全作为最后对承包人进行支付的依据。支付应以施工图纸和监理工程师及发包人认可的、并按技术规范要求完成的实际工程数量为依据。完成的实际工程数量应由承包人按工程师认可的尺寸或断面进行计算，经工程师确认，最终按照《建设工程工程量清单计价规范》（GB50500-2013）中工程量计算规则、《广东省建设工程计价依据（2018）》等有关规定、工程量清单的单价和费用或合同条款有关规定对单价和费用进行调整后给予计量支付。</w:t>
      </w:r>
    </w:p>
    <w:p>
      <w:pPr>
        <w:pStyle w:val="11"/>
        <w:numPr>
          <w:ilvl w:val="0"/>
          <w:numId w:val="1"/>
        </w:numPr>
        <w:snapToGrid w:val="0"/>
        <w:spacing w:line="460" w:lineRule="exact"/>
        <w:ind w:firstLineChars="0"/>
        <w:rPr>
          <w:rFonts w:ascii="宋体" w:hAnsi="宋体"/>
          <w:b w:val="0"/>
          <w:bCs w:val="0"/>
          <w:szCs w:val="21"/>
        </w:rPr>
      </w:pPr>
      <w:r>
        <w:rPr>
          <w:rFonts w:hint="eastAsia" w:ascii="宋体" w:hAnsi="宋体"/>
          <w:b w:val="0"/>
          <w:bCs w:val="0"/>
          <w:szCs w:val="21"/>
        </w:rPr>
        <w:t>中标的投标报价结算的调整方法按照合同文件专用条款的相关规定执行。</w:t>
      </w:r>
    </w:p>
    <w:p>
      <w:pPr>
        <w:snapToGrid w:val="0"/>
        <w:spacing w:line="460" w:lineRule="exact"/>
        <w:ind w:left="850" w:leftChars="405"/>
        <w:rPr>
          <w:rFonts w:ascii="宋体" w:hAnsi="宋体"/>
          <w:szCs w:val="21"/>
        </w:rPr>
      </w:pPr>
      <w:r>
        <w:rPr>
          <w:rFonts w:hint="eastAsia" w:ascii="宋体" w:hAnsi="宋体"/>
          <w:b w:val="0"/>
          <w:bCs w:val="0"/>
          <w:szCs w:val="21"/>
        </w:rPr>
        <w:t>中标的投标报价除发包人同意的设计变更和招标文件、招标答疑会议纪要、合同条</w:t>
      </w:r>
      <w:r>
        <w:rPr>
          <w:rFonts w:hint="eastAsia" w:ascii="宋体" w:hAnsi="宋体"/>
          <w:szCs w:val="21"/>
        </w:rPr>
        <w:t>款中允许的调整范围外，其余不因市场价格变化、人员工资福利调整而调整（建设行政主管部门文件下达可调整的除外）。</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图纸中所列的工程数量汇总表仅为提供资料，不应视为工程量清单的扩大或延伸。清单所列工程量在工程实施过程中发生的变动，丝毫不会使合同条款无效或降低，也不免除承包人按要求的标准进行施工或缺陷修复的责任。</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除非合同另有规定，工程量清单中有标价的单价与合价应包含但不限于中华人民共和国国家标准《建设工程工程量清单计价规范》中项目编码所对应的工程内容以及分部分项工程量清单中备注所包含的内容，同时包括了所有施工设备费、设施费、劳务费、材料费、检验试验费（由建设单位依法委托业务除外）（桩类检测费、土方密实度试验费、弯沉试验费、测量监测费等）、施工方的基坑监测费、安装费、管理费、利润以及合同明示暗示的所有一般风险、责任和业务等一切费用；总价措施项目清单与计价表中所有措施项目费可按招标人提供的指引项目报价，也可在指引项目的基础上结合施工方案增加项目报价，如：大型机械设备进出场及安拆、建（构）筑物保护费、排水措施费等，措施项目如以宗(或项)计算的，除招标文件约定可调整范围外，作为该项目包干价。</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用于本工程的承包人各种装备的提供、运输及拆卸费用的支付，应包括在工程量清单的单价与价格中。除非另有说明，本工程所使用的主材、其他材料、半成品、成品等由承包人自行采购，并在综合单价中考虑制作安装、场内外搅拌及运输、弃物的场内运输、装卸、采保及临时场地征用、平整等费用。但使用前须把材料试验单、出厂证明等按时交监理验收。</w:t>
      </w:r>
    </w:p>
    <w:p>
      <w:pPr>
        <w:pStyle w:val="11"/>
        <w:numPr>
          <w:ilvl w:val="0"/>
          <w:numId w:val="1"/>
        </w:numPr>
        <w:snapToGrid w:val="0"/>
        <w:spacing w:line="460" w:lineRule="exact"/>
        <w:ind w:firstLineChars="0"/>
        <w:rPr>
          <w:rFonts w:ascii="宋体" w:hAnsi="宋体"/>
          <w:szCs w:val="21"/>
          <w:highlight w:val="none"/>
        </w:rPr>
      </w:pPr>
      <w:r>
        <w:rPr>
          <w:rFonts w:hint="eastAsia" w:ascii="宋体" w:hAnsi="宋体"/>
          <w:szCs w:val="21"/>
          <w:highlight w:val="none"/>
        </w:rPr>
        <w:t>工程量清单中除设计有特殊要求外，基坑、管坑、路床回填单价由投标人根据土质情况及设计技术规范要求，综合考虑回填材料（如回填场内</w:t>
      </w:r>
      <w:r>
        <w:rPr>
          <w:rFonts w:hint="eastAsia" w:ascii="宋体" w:hAnsi="宋体"/>
          <w:szCs w:val="21"/>
          <w:highlight w:val="none"/>
          <w:lang w:val="en-US" w:eastAsia="zh-CN"/>
        </w:rPr>
        <w:t>开挖土方</w:t>
      </w:r>
      <w:r>
        <w:rPr>
          <w:rFonts w:hint="eastAsia" w:ascii="宋体" w:hAnsi="宋体"/>
          <w:szCs w:val="21"/>
          <w:highlight w:val="none"/>
        </w:rPr>
        <w:t>或</w:t>
      </w:r>
      <w:r>
        <w:rPr>
          <w:rFonts w:hint="eastAsia" w:ascii="宋体" w:hAnsi="宋体"/>
          <w:szCs w:val="21"/>
          <w:highlight w:val="none"/>
          <w:lang w:val="en-US" w:eastAsia="zh-CN"/>
        </w:rPr>
        <w:t>外购</w:t>
      </w:r>
      <w:r>
        <w:rPr>
          <w:rFonts w:hint="eastAsia" w:ascii="宋体" w:hAnsi="宋体"/>
          <w:szCs w:val="21"/>
          <w:highlight w:val="none"/>
        </w:rPr>
        <w:t>土、填土砂、中砂、石屑、碎石等材料，回填材料及密实度必须符合设计及规范要求），填方的综合单价应包含</w:t>
      </w:r>
      <w:r>
        <w:rPr>
          <w:rFonts w:hint="eastAsia" w:ascii="宋体" w:hAnsi="宋体"/>
          <w:szCs w:val="21"/>
          <w:highlight w:val="none"/>
          <w:lang w:val="en-US" w:eastAsia="zh-CN"/>
        </w:rPr>
        <w:t>回填料</w:t>
      </w:r>
      <w:r>
        <w:rPr>
          <w:rFonts w:hint="eastAsia" w:ascii="宋体" w:hAnsi="宋体"/>
          <w:szCs w:val="21"/>
          <w:highlight w:val="none"/>
        </w:rPr>
        <w:t>压实及工作坑回填，结算时单价不作调整。</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投标文件的施工方案经确定后不得修改，发包人要求修改，则按方案优化等处理，但因此而增加费用结算不予增加（经发包人同意的变更除外）。非发包人原因造成的施工方案修改综合单价不得改变。相关的前期工作、管线的迁改配合工作不另外报价，费用在相关措施项目费中考虑。</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投标人报价应充分考虑管线下或涵洞内施工、不同施工深度及高度要求、周边场地条件、环境限制、材料或构件场内外运输及损耗、施工场地障碍条件、现场各种不利条件发生的可能性以及施工中各种不利因素导致的降效损失等所带来的风险及增加的费用。投标人应仔细阅读和理解招标文件中有关承包范围、技术标准、施工要求、质量目标、安全文明施工目标、工程进度计划、合同义务和费用条款，并充分考察施工现场情况和条件（包括可知地下情况、交通条件、水电条件、场地条件、协调报批事项等），结合企业自身条件进行报价。发包人原则上不再对因以上原因引起的签证、变更进行延长工期或增加结算费用。</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施工过程中，现场应设置必要的路障和明显的安全标志，夜间需设置防止交通事故的保安措施，以确保施工安全及行人车辆的安全。</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业主不提供临时设施的场地，报价需考虑相应的费用。</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可知的地下构筑物、地下障碍物等因素对施工造成的费用及影响，以及投标前后投标人对其进行勘探的费用，应综合考虑在投标报价中，发包人原则上不再对以上原因进行签证、变更或延长工期。</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施工期间，对施工范围及附近的堤岸、民居、厂房等建构筑物应采取措施进行保护、修复；应保证施工现场及周边居民生活、工程生产作业等出入交通不受影响。发生的费用在相应的措施项目报价中考虑。</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项目是区域内的内涝点，投标单位有责任解决项目红线范围内的积水，费用在项目措施费中包干考虑。</w:t>
      </w:r>
    </w:p>
    <w:p>
      <w:pPr>
        <w:pStyle w:val="11"/>
        <w:numPr>
          <w:ilvl w:val="0"/>
          <w:numId w:val="1"/>
        </w:numPr>
        <w:snapToGrid w:val="0"/>
        <w:spacing w:line="460" w:lineRule="exact"/>
        <w:ind w:firstLineChars="0"/>
        <w:rPr>
          <w:rFonts w:ascii="宋体" w:hAnsi="宋体"/>
          <w:szCs w:val="21"/>
        </w:rPr>
      </w:pPr>
      <w:r>
        <w:rPr>
          <w:rFonts w:ascii="宋体" w:hAnsi="宋体"/>
          <w:szCs w:val="21"/>
        </w:rPr>
        <w:t>临时用电、用水驳接</w:t>
      </w:r>
      <w:r>
        <w:rPr>
          <w:rFonts w:hint="eastAsia" w:ascii="宋体" w:hAnsi="宋体"/>
          <w:szCs w:val="21"/>
        </w:rPr>
        <w:t>及费用</w:t>
      </w:r>
      <w:r>
        <w:rPr>
          <w:rFonts w:ascii="宋体" w:hAnsi="宋体"/>
          <w:szCs w:val="21"/>
        </w:rPr>
        <w:t>由投标人自行考虑</w:t>
      </w:r>
      <w:r>
        <w:rPr>
          <w:rFonts w:hint="eastAsia" w:ascii="宋体" w:hAnsi="宋体"/>
          <w:szCs w:val="21"/>
        </w:rPr>
        <w:t>。外电工程需考虑外电接入、施工、申报方案审批等费用，以及配合外电设计等工作内容所产生的费用。</w:t>
      </w:r>
    </w:p>
    <w:p>
      <w:pPr>
        <w:pStyle w:val="11"/>
        <w:numPr>
          <w:ilvl w:val="0"/>
          <w:numId w:val="1"/>
        </w:numPr>
        <w:snapToGrid w:val="0"/>
        <w:spacing w:line="460" w:lineRule="exact"/>
        <w:ind w:firstLineChars="0"/>
        <w:rPr>
          <w:rFonts w:ascii="宋体" w:hAnsi="宋体"/>
          <w:szCs w:val="21"/>
        </w:rPr>
      </w:pPr>
      <w:r>
        <w:rPr>
          <w:rFonts w:hint="eastAsia" w:ascii="宋体" w:hAnsi="宋体"/>
          <w:szCs w:val="21"/>
        </w:rPr>
        <w:t>投标文件需根据招标要求填写所有相关表格，并提供综合单价分析表，分析表需按表格的内容提供分析。</w:t>
      </w:r>
    </w:p>
    <w:p>
      <w:pPr>
        <w:pStyle w:val="11"/>
        <w:numPr>
          <w:ilvl w:val="0"/>
          <w:numId w:val="1"/>
        </w:numPr>
        <w:snapToGrid w:val="0"/>
        <w:spacing w:line="460" w:lineRule="exact"/>
        <w:ind w:firstLineChars="0"/>
        <w:rPr>
          <w:rFonts w:ascii="宋体" w:hAnsi="宋体"/>
          <w:szCs w:val="21"/>
          <w:highlight w:val="none"/>
        </w:rPr>
      </w:pPr>
      <w:r>
        <w:rPr>
          <w:rFonts w:hint="eastAsia" w:ascii="宋体" w:hAnsi="宋体"/>
          <w:szCs w:val="21"/>
        </w:rPr>
        <w:t>承包人应严格按照经监理单位及本项目发包人审批的土方转堆方案处置土方堆放及外运，发包人对本工程范围内多余土石方拥有优先处置权，本工程与其它工程间的土方的调配要服从发包人安排。</w:t>
      </w:r>
    </w:p>
    <w:p>
      <w:pPr>
        <w:pStyle w:val="11"/>
        <w:numPr>
          <w:ilvl w:val="0"/>
          <w:numId w:val="1"/>
        </w:numPr>
        <w:snapToGrid w:val="0"/>
        <w:spacing w:line="460" w:lineRule="exact"/>
        <w:ind w:firstLineChars="0"/>
        <w:rPr>
          <w:rFonts w:ascii="宋体" w:hAnsi="宋体"/>
          <w:szCs w:val="21"/>
          <w:highlight w:val="none"/>
        </w:rPr>
      </w:pPr>
      <w:r>
        <w:rPr>
          <w:rFonts w:hint="eastAsia" w:ascii="宋体" w:hAnsi="宋体"/>
          <w:szCs w:val="21"/>
          <w:highlight w:val="none"/>
          <w:lang w:val="en-US" w:eastAsia="zh-CN"/>
        </w:rPr>
        <w:t>“余方弃置”土石方（含淤泥）结算</w:t>
      </w:r>
      <w:r>
        <w:rPr>
          <w:rFonts w:hint="eastAsia" w:ascii="宋体" w:hAnsi="宋体"/>
          <w:szCs w:val="21"/>
          <w:highlight w:val="none"/>
        </w:rPr>
        <w:t>按投标报价，工程量按实际发生计算</w:t>
      </w:r>
      <w:r>
        <w:rPr>
          <w:rFonts w:hint="eastAsia" w:ascii="宋体" w:hAnsi="宋体"/>
          <w:szCs w:val="21"/>
          <w:highlight w:val="none"/>
          <w:lang w:val="en-US" w:eastAsia="zh-CN"/>
        </w:rPr>
        <w:t>。</w:t>
      </w:r>
    </w:p>
    <w:p>
      <w:pPr>
        <w:pStyle w:val="11"/>
        <w:numPr>
          <w:ilvl w:val="0"/>
          <w:numId w:val="1"/>
        </w:numPr>
        <w:snapToGrid w:val="0"/>
        <w:spacing w:line="460" w:lineRule="exact"/>
        <w:ind w:firstLineChars="0"/>
      </w:pPr>
      <w:r>
        <w:rPr>
          <w:rFonts w:hint="eastAsia" w:ascii="宋体" w:hAnsi="宋体"/>
          <w:szCs w:val="21"/>
          <w:highlight w:val="none"/>
        </w:rPr>
        <w:t>“余泥渣土收纳费”结算时，消纳费单价按投标报价，工程量按实际发生计算。</w:t>
      </w:r>
    </w:p>
    <w:p>
      <w:pPr>
        <w:pStyle w:val="11"/>
        <w:numPr>
          <w:ilvl w:val="0"/>
          <w:numId w:val="0"/>
        </w:numPr>
        <w:snapToGrid w:val="0"/>
        <w:spacing w:line="460" w:lineRule="exact"/>
        <w:ind w:left="412" w:leftChars="0"/>
      </w:pPr>
    </w:p>
    <w:sectPr>
      <w:footerReference r:id="rId3" w:type="default"/>
      <w:pgSz w:w="11906" w:h="16838"/>
      <w:pgMar w:top="1440" w:right="1416" w:bottom="1440" w:left="1418" w:header="851" w:footer="5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6080379"/>
      <w:docPartObj>
        <w:docPartGallery w:val="autotext"/>
      </w:docPartObj>
    </w:sdtPr>
    <w:sdtContent>
      <w:sdt>
        <w:sdtPr>
          <w:id w:val="-1669238322"/>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snapToGrid w:val="0"/>
      <w:spacing w:line="460" w:lineRule="exact"/>
      <w:ind w:firstLine="420" w:firstLineChars="20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045BA"/>
    <w:multiLevelType w:val="multilevel"/>
    <w:tmpl w:val="0AF045BA"/>
    <w:lvl w:ilvl="0" w:tentative="0">
      <w:start w:val="1"/>
      <w:numFmt w:val="decimal"/>
      <w:lvlText w:val="%1."/>
      <w:lvlJc w:val="left"/>
      <w:pPr>
        <w:ind w:left="832" w:hanging="420"/>
      </w:p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NTdiYWJmYWE3NmI0OTA3ODBlY2ViZDllZGFiNjAifQ=="/>
  </w:docVars>
  <w:rsids>
    <w:rsidRoot w:val="007541F0"/>
    <w:rsid w:val="0004125F"/>
    <w:rsid w:val="000C614E"/>
    <w:rsid w:val="0011407C"/>
    <w:rsid w:val="001144A3"/>
    <w:rsid w:val="00146D9A"/>
    <w:rsid w:val="001D4E9F"/>
    <w:rsid w:val="00253F09"/>
    <w:rsid w:val="002F4B48"/>
    <w:rsid w:val="003356B1"/>
    <w:rsid w:val="00357AEB"/>
    <w:rsid w:val="00373DE9"/>
    <w:rsid w:val="00413A52"/>
    <w:rsid w:val="00433A9E"/>
    <w:rsid w:val="00537A72"/>
    <w:rsid w:val="00573299"/>
    <w:rsid w:val="006D5B78"/>
    <w:rsid w:val="0071203D"/>
    <w:rsid w:val="00715385"/>
    <w:rsid w:val="0072749C"/>
    <w:rsid w:val="007541F0"/>
    <w:rsid w:val="0076137F"/>
    <w:rsid w:val="007667A2"/>
    <w:rsid w:val="00793F0B"/>
    <w:rsid w:val="007F27CC"/>
    <w:rsid w:val="00867A90"/>
    <w:rsid w:val="00A0578B"/>
    <w:rsid w:val="00A81962"/>
    <w:rsid w:val="00B16B9C"/>
    <w:rsid w:val="00B92357"/>
    <w:rsid w:val="00BC64CE"/>
    <w:rsid w:val="00BD0DA1"/>
    <w:rsid w:val="00BE043F"/>
    <w:rsid w:val="00C055A1"/>
    <w:rsid w:val="00C17A17"/>
    <w:rsid w:val="00C55077"/>
    <w:rsid w:val="00C829A4"/>
    <w:rsid w:val="00CA2763"/>
    <w:rsid w:val="00D32D87"/>
    <w:rsid w:val="00D3410E"/>
    <w:rsid w:val="00D5307D"/>
    <w:rsid w:val="00E9571B"/>
    <w:rsid w:val="00F162E8"/>
    <w:rsid w:val="00F937E8"/>
    <w:rsid w:val="07485CF6"/>
    <w:rsid w:val="0A943853"/>
    <w:rsid w:val="10F442DE"/>
    <w:rsid w:val="147A6644"/>
    <w:rsid w:val="18DE0C8B"/>
    <w:rsid w:val="20A226FD"/>
    <w:rsid w:val="215157C7"/>
    <w:rsid w:val="2203702E"/>
    <w:rsid w:val="2206238E"/>
    <w:rsid w:val="272A7C22"/>
    <w:rsid w:val="285E1238"/>
    <w:rsid w:val="299B1414"/>
    <w:rsid w:val="2AB86482"/>
    <w:rsid w:val="2D850B71"/>
    <w:rsid w:val="2F0234B2"/>
    <w:rsid w:val="31003EF4"/>
    <w:rsid w:val="318F4B64"/>
    <w:rsid w:val="31C943A4"/>
    <w:rsid w:val="325F5BF8"/>
    <w:rsid w:val="3315179B"/>
    <w:rsid w:val="38295699"/>
    <w:rsid w:val="3AE829BA"/>
    <w:rsid w:val="444B6E1C"/>
    <w:rsid w:val="44EE65AD"/>
    <w:rsid w:val="457429A5"/>
    <w:rsid w:val="463E6333"/>
    <w:rsid w:val="4BF266E9"/>
    <w:rsid w:val="4D980E7A"/>
    <w:rsid w:val="5B001768"/>
    <w:rsid w:val="5F5C315F"/>
    <w:rsid w:val="6C4C2408"/>
    <w:rsid w:val="70684B55"/>
    <w:rsid w:val="73026221"/>
    <w:rsid w:val="7A9A3469"/>
    <w:rsid w:val="7ABC050F"/>
    <w:rsid w:val="7F074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8"/>
    <w:semiHidden/>
    <w:unhideWhenUsed/>
    <w:qFormat/>
    <w:uiPriority w:val="99"/>
    <w:pPr>
      <w:spacing w:after="120" w:line="480" w:lineRule="auto"/>
      <w:ind w:left="420" w:leftChars="2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正文文本缩进 2 Char"/>
    <w:basedOn w:val="7"/>
    <w:link w:val="2"/>
    <w:semiHidden/>
    <w:qFormat/>
    <w:uiPriority w:val="99"/>
    <w:rPr>
      <w:rFonts w:ascii="Times New Roman" w:hAnsi="Times New Roman" w:eastAsia="宋体" w:cs="Times New Roman"/>
      <w:szCs w:val="24"/>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5</Pages>
  <Words>4475</Words>
  <Characters>4640</Characters>
  <Lines>31</Lines>
  <Paragraphs>8</Paragraphs>
  <TotalTime>4</TotalTime>
  <ScaleCrop>false</ScaleCrop>
  <LinksUpToDate>false</LinksUpToDate>
  <CharactersWithSpaces>4647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2019-10-10T07:59:00Z</dcterms:created>
  <dc:creator>XiaZaiMa.COM</dc:creator>
  <cp:lastModifiedBy>王振宇</cp:lastModifiedBy>
  <cp:lastPrinted>2023-03-02T07:43:00Z</cp:lastPrinted>
  <dcterms:modified xsi:type="dcterms:W3CDTF">2025-08-22T08:01:18Z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F6B8D7E1B8594DFBA7A40B4ED75184CE</vt:lpwstr>
  </property>
</Properties>
</file>