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EC175">
      <w:pPr>
        <w:jc w:val="center"/>
        <w:rPr>
          <w:rFonts w:hint="eastAsia" w:ascii="仿宋" w:hAnsi="仿宋" w:eastAsia="仿宋" w:cs="仿宋"/>
          <w:b/>
          <w:bCs/>
          <w:color w:val="auto"/>
          <w:sz w:val="48"/>
          <w:szCs w:val="48"/>
          <w:lang w:val="en-US" w:eastAsia="zh-CN"/>
        </w:rPr>
      </w:pPr>
    </w:p>
    <w:p w14:paraId="0B08F073">
      <w:pPr>
        <w:jc w:val="center"/>
        <w:rPr>
          <w:rFonts w:hint="eastAsia" w:ascii="仿宋" w:hAnsi="仿宋" w:eastAsia="仿宋" w:cs="仿宋"/>
          <w:b/>
          <w:bCs/>
          <w:color w:val="auto"/>
          <w:sz w:val="48"/>
          <w:szCs w:val="48"/>
        </w:rPr>
      </w:pPr>
      <w:r>
        <w:rPr>
          <w:rFonts w:hint="eastAsia" w:ascii="仿宋" w:hAnsi="仿宋" w:eastAsia="仿宋" w:cs="仿宋"/>
          <w:b/>
          <w:bCs/>
          <w:color w:val="auto"/>
          <w:sz w:val="48"/>
          <w:szCs w:val="48"/>
          <w:lang w:val="en-US" w:eastAsia="zh-CN"/>
        </w:rPr>
        <w:t>广东舞蹈戏剧职业学院粤剧教育实训中心大楼项目招标控制价</w:t>
      </w:r>
      <w:r>
        <w:rPr>
          <w:rFonts w:hint="eastAsia" w:ascii="仿宋" w:hAnsi="仿宋" w:eastAsia="仿宋" w:cs="仿宋"/>
          <w:b/>
          <w:bCs/>
          <w:color w:val="auto"/>
          <w:sz w:val="48"/>
          <w:szCs w:val="48"/>
        </w:rPr>
        <w:t>编制报告</w:t>
      </w:r>
    </w:p>
    <w:p w14:paraId="4C1190AB">
      <w:pPr>
        <w:jc w:val="center"/>
        <w:rPr>
          <w:rFonts w:hint="eastAsia" w:ascii="仿宋" w:hAnsi="仿宋" w:eastAsia="仿宋" w:cs="仿宋"/>
          <w:color w:val="auto"/>
          <w:sz w:val="48"/>
          <w:szCs w:val="48"/>
        </w:rPr>
      </w:pPr>
    </w:p>
    <w:p w14:paraId="45A88A91">
      <w:pPr>
        <w:jc w:val="center"/>
        <w:rPr>
          <w:rFonts w:hint="eastAsia" w:ascii="仿宋" w:hAnsi="仿宋" w:eastAsia="仿宋" w:cs="仿宋"/>
          <w:color w:val="auto"/>
          <w:sz w:val="48"/>
          <w:szCs w:val="48"/>
        </w:rPr>
      </w:pPr>
    </w:p>
    <w:p w14:paraId="0699F861">
      <w:pPr>
        <w:jc w:val="center"/>
        <w:rPr>
          <w:rFonts w:hint="eastAsia" w:ascii="仿宋" w:hAnsi="仿宋" w:eastAsia="仿宋" w:cs="仿宋"/>
          <w:color w:val="auto"/>
          <w:sz w:val="48"/>
          <w:szCs w:val="48"/>
        </w:rPr>
      </w:pPr>
    </w:p>
    <w:p w14:paraId="74C7C446">
      <w:pPr>
        <w:jc w:val="center"/>
        <w:rPr>
          <w:rFonts w:hint="eastAsia" w:ascii="仿宋" w:hAnsi="仿宋" w:eastAsia="仿宋" w:cs="仿宋"/>
          <w:color w:val="auto"/>
          <w:sz w:val="48"/>
          <w:szCs w:val="48"/>
        </w:rPr>
      </w:pPr>
    </w:p>
    <w:p w14:paraId="223E5BE9">
      <w:pPr>
        <w:jc w:val="center"/>
        <w:rPr>
          <w:color w:val="auto"/>
          <w:sz w:val="36"/>
          <w:szCs w:val="36"/>
        </w:rPr>
      </w:pPr>
      <w:r>
        <w:rPr>
          <w:rFonts w:hint="eastAsia" w:asciiTheme="minorEastAsia" w:hAnsiTheme="minorEastAsia" w:eastAsiaTheme="minorEastAsia" w:cstheme="minorEastAsia"/>
          <w:color w:val="auto"/>
          <w:sz w:val="36"/>
          <w:szCs w:val="36"/>
        </w:rPr>
        <w:t xml:space="preserve">第 一 册  共 </w:t>
      </w:r>
      <w:r>
        <w:rPr>
          <w:rFonts w:hint="eastAsia" w:asciiTheme="minorEastAsia" w:hAnsiTheme="minorEastAsia" w:eastAsiaTheme="minorEastAsia" w:cstheme="minorEastAsia"/>
          <w:color w:val="auto"/>
          <w:sz w:val="36"/>
          <w:szCs w:val="36"/>
          <w:lang w:val="en-US" w:eastAsia="zh-CN"/>
        </w:rPr>
        <w:t>一</w:t>
      </w:r>
      <w:r>
        <w:rPr>
          <w:rFonts w:hint="eastAsia" w:asciiTheme="minorEastAsia" w:hAnsiTheme="minorEastAsia" w:eastAsiaTheme="minorEastAsia" w:cstheme="minorEastAsia"/>
          <w:color w:val="auto"/>
          <w:sz w:val="36"/>
          <w:szCs w:val="36"/>
        </w:rPr>
        <w:t xml:space="preserve"> 册</w:t>
      </w:r>
    </w:p>
    <w:p w14:paraId="20341AED">
      <w:pPr>
        <w:jc w:val="center"/>
        <w:rPr>
          <w:color w:val="auto"/>
          <w:sz w:val="36"/>
          <w:szCs w:val="36"/>
        </w:rPr>
      </w:pPr>
    </w:p>
    <w:p w14:paraId="64598079">
      <w:pPr>
        <w:jc w:val="center"/>
        <w:rPr>
          <w:color w:val="auto"/>
          <w:sz w:val="36"/>
          <w:szCs w:val="36"/>
        </w:rPr>
      </w:pPr>
    </w:p>
    <w:p w14:paraId="2995CED8">
      <w:pPr>
        <w:jc w:val="center"/>
        <w:rPr>
          <w:color w:val="auto"/>
          <w:sz w:val="36"/>
          <w:szCs w:val="36"/>
        </w:rPr>
      </w:pPr>
    </w:p>
    <w:p w14:paraId="7F07FD6D">
      <w:pPr>
        <w:jc w:val="center"/>
        <w:rPr>
          <w:color w:val="auto"/>
          <w:sz w:val="36"/>
          <w:szCs w:val="36"/>
        </w:rPr>
      </w:pPr>
    </w:p>
    <w:p w14:paraId="34CBEA38">
      <w:pPr>
        <w:jc w:val="center"/>
        <w:rPr>
          <w:color w:val="auto"/>
          <w:sz w:val="36"/>
          <w:szCs w:val="36"/>
        </w:rPr>
      </w:pPr>
    </w:p>
    <w:p w14:paraId="7156A7F5">
      <w:pPr>
        <w:jc w:val="center"/>
        <w:rPr>
          <w:color w:val="auto"/>
          <w:sz w:val="36"/>
          <w:szCs w:val="36"/>
        </w:rPr>
      </w:pPr>
    </w:p>
    <w:p w14:paraId="33011258">
      <w:pPr>
        <w:jc w:val="center"/>
        <w:rPr>
          <w:color w:val="auto"/>
          <w:sz w:val="36"/>
          <w:szCs w:val="36"/>
        </w:rPr>
      </w:pPr>
    </w:p>
    <w:p w14:paraId="69C79381">
      <w:pPr>
        <w:jc w:val="center"/>
        <w:rPr>
          <w:color w:val="auto"/>
          <w:sz w:val="36"/>
          <w:szCs w:val="36"/>
        </w:rPr>
      </w:pPr>
    </w:p>
    <w:p w14:paraId="22E2E806">
      <w:pPr>
        <w:jc w:val="center"/>
        <w:rPr>
          <w:color w:val="auto"/>
          <w:sz w:val="36"/>
          <w:szCs w:val="36"/>
        </w:rPr>
      </w:pPr>
    </w:p>
    <w:p w14:paraId="313CF7D4">
      <w:p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建设单位：</w:t>
      </w:r>
      <w:r>
        <w:rPr>
          <w:rFonts w:hint="eastAsia" w:ascii="仿宋" w:hAnsi="仿宋" w:eastAsia="仿宋" w:cs="仿宋"/>
          <w:b/>
          <w:bCs/>
          <w:color w:val="auto"/>
          <w:sz w:val="36"/>
          <w:szCs w:val="36"/>
        </w:rPr>
        <w:t>广东省代建项目管理局</w:t>
      </w:r>
    </w:p>
    <w:p w14:paraId="6DF297B0">
      <w:pPr>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编制单位：广东拓腾工程造价咨询有限公司</w:t>
      </w:r>
    </w:p>
    <w:p w14:paraId="66855879">
      <w:pPr>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2025年8月</w:t>
      </w:r>
    </w:p>
    <w:p w14:paraId="615ED15C">
      <w:pPr>
        <w:jc w:val="center"/>
        <w:rPr>
          <w:rFonts w:hint="eastAsia" w:ascii="仿宋" w:hAnsi="仿宋" w:eastAsia="仿宋" w:cs="仿宋"/>
          <w:b/>
          <w:bCs/>
          <w:color w:val="auto"/>
          <w:sz w:val="36"/>
          <w:szCs w:val="36"/>
          <w:lang w:val="en-US" w:eastAsia="zh-CN"/>
        </w:rPr>
      </w:pPr>
    </w:p>
    <w:p w14:paraId="73640418">
      <w:pPr>
        <w:pStyle w:val="2"/>
        <w:spacing w:before="338" w:after="169"/>
        <w:rPr>
          <w:color w:val="auto"/>
        </w:rPr>
      </w:pPr>
      <w:r>
        <w:rPr>
          <w:rFonts w:hint="eastAsia"/>
          <w:color w:val="auto"/>
        </w:rPr>
        <w:t>编制说明</w:t>
      </w:r>
    </w:p>
    <w:p w14:paraId="15F7AA7F">
      <w:pPr>
        <w:pStyle w:val="3"/>
        <w:ind w:left="0" w:leftChars="0" w:firstLine="562"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一、工程概况</w:t>
      </w:r>
    </w:p>
    <w:p w14:paraId="5E336012">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1.工程名称：广东舞蹈戏剧职业学院粤剧教育实训中心大楼项目</w:t>
      </w:r>
    </w:p>
    <w:p w14:paraId="214A75D6">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2.工程地点：</w:t>
      </w:r>
      <w:r>
        <w:rPr>
          <w:rFonts w:hint="eastAsia" w:ascii="仿宋" w:hAnsi="仿宋" w:eastAsia="仿宋" w:cs="仿宋"/>
          <w:color w:val="auto"/>
          <w:sz w:val="28"/>
          <w:szCs w:val="28"/>
          <w:lang w:val="en-US" w:eastAsia="zh-CN"/>
        </w:rPr>
        <w:t>广东省佛山市南海区大沥高尔夫路</w:t>
      </w:r>
    </w:p>
    <w:p w14:paraId="2AFD917B">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3.</w:t>
      </w:r>
      <w:r>
        <w:rPr>
          <w:rFonts w:hint="eastAsia" w:ascii="仿宋" w:hAnsi="仿宋" w:eastAsia="仿宋" w:cs="仿宋"/>
          <w:color w:val="auto"/>
          <w:kern w:val="2"/>
          <w:sz w:val="28"/>
          <w:szCs w:val="28"/>
          <w:lang w:val="en-US" w:eastAsia="zh-CN" w:bidi="ar-SA"/>
        </w:rPr>
        <w:t>工程概况：</w:t>
      </w:r>
      <w:r>
        <w:rPr>
          <w:rFonts w:hint="eastAsia" w:ascii="仿宋" w:hAnsi="仿宋" w:eastAsia="仿宋" w:cs="仿宋"/>
          <w:color w:val="auto"/>
          <w:sz w:val="28"/>
          <w:szCs w:val="28"/>
          <w:lang w:val="en-US" w:eastAsia="zh"/>
        </w:rPr>
        <w:t>本项目总建筑面积44175.47平方米，建设内容主要包括新建1栋粤剧教育实训中心大楼，包括教学实训区、展览展示区、实践表演区、地下室及配套工程</w:t>
      </w:r>
      <w:r>
        <w:rPr>
          <w:rFonts w:hint="eastAsia" w:ascii="仿宋" w:hAnsi="仿宋" w:eastAsia="仿宋" w:cs="仿宋"/>
          <w:color w:val="auto"/>
          <w:sz w:val="28"/>
          <w:szCs w:val="28"/>
          <w:lang w:val="en-US" w:eastAsia="zh-CN"/>
        </w:rPr>
        <w:t>。</w:t>
      </w:r>
    </w:p>
    <w:p w14:paraId="2F80D6A4">
      <w:pPr>
        <w:pStyle w:val="3"/>
        <w:ind w:firstLine="562"/>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二、</w:t>
      </w:r>
      <w:r>
        <w:rPr>
          <w:rFonts w:hint="eastAsia" w:ascii="仿宋" w:hAnsi="仿宋" w:eastAsia="仿宋" w:cs="仿宋"/>
          <w:color w:val="auto"/>
          <w:sz w:val="28"/>
          <w:szCs w:val="28"/>
          <w:lang w:val="en-US" w:eastAsia="zh-CN"/>
        </w:rPr>
        <w:t>编制情况及依据</w:t>
      </w:r>
    </w:p>
    <w:p w14:paraId="6FB84274">
      <w:pPr>
        <w:ind w:firstLine="560"/>
        <w:rPr>
          <w:rFonts w:hint="eastAsia" w:ascii="仿宋" w:hAnsi="仿宋" w:eastAsia="仿宋" w:cs="仿宋"/>
          <w:color w:val="auto"/>
          <w:sz w:val="28"/>
          <w:szCs w:val="28"/>
        </w:rPr>
      </w:pPr>
      <w:r>
        <w:rPr>
          <w:rFonts w:hint="eastAsia" w:ascii="仿宋" w:hAnsi="仿宋" w:eastAsia="仿宋" w:cs="仿宋"/>
          <w:color w:val="auto"/>
          <w:sz w:val="28"/>
          <w:szCs w:val="28"/>
        </w:rPr>
        <w:t>1.图纸依据：</w:t>
      </w:r>
      <w:r>
        <w:rPr>
          <w:rFonts w:hint="eastAsia" w:ascii="仿宋" w:hAnsi="仿宋" w:eastAsia="仿宋" w:cs="仿宋"/>
          <w:color w:val="auto"/>
          <w:sz w:val="28"/>
          <w:szCs w:val="28"/>
          <w:lang w:val="en-US" w:eastAsia="zh-CN"/>
        </w:rPr>
        <w:t>2025年6月广东省建筑设计研究院有限公司图纸</w:t>
      </w:r>
      <w:r>
        <w:rPr>
          <w:rFonts w:hint="eastAsia" w:ascii="仿宋" w:hAnsi="仿宋" w:eastAsia="仿宋" w:cs="仿宋"/>
          <w:color w:val="auto"/>
          <w:sz w:val="28"/>
          <w:szCs w:val="28"/>
        </w:rPr>
        <w:t>。</w:t>
      </w:r>
    </w:p>
    <w:p w14:paraId="08759D0E">
      <w:pPr>
        <w:pStyle w:val="7"/>
        <w:keepNext w:val="0"/>
        <w:keepLines w:val="0"/>
        <w:widowControl/>
        <w:suppressLineNumbers w:val="0"/>
        <w:spacing w:before="0" w:beforeAutospacing="0" w:after="0" w:afterAutospacing="0"/>
        <w:ind w:left="0" w:right="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.清单依据：《建设工程工程量清单计价规范》（GB 50500-2013）</w:t>
      </w:r>
      <w:r>
        <w:rPr>
          <w:rFonts w:hint="eastAsia" w:ascii="仿宋" w:hAnsi="仿宋" w:eastAsia="仿宋" w:cs="仿宋"/>
          <w:color w:val="auto"/>
          <w:sz w:val="28"/>
          <w:szCs w:val="28"/>
          <w:lang w:eastAsia="zh-CN"/>
        </w:rPr>
        <w:t>、《市政工程工程量计算规范》（GB5</w:t>
      </w:r>
      <w:r>
        <w:rPr>
          <w:rFonts w:hint="eastAsia" w:ascii="仿宋" w:hAnsi="仿宋" w:eastAsia="仿宋" w:cs="仿宋"/>
          <w:color w:val="auto"/>
          <w:kern w:val="2"/>
          <w:sz w:val="28"/>
          <w:szCs w:val="28"/>
          <w:lang w:val="en-US" w:eastAsia="zh-CN" w:bidi="ar-SA"/>
        </w:rPr>
        <w:t>0857-2013）、《通用安装工程工程量计算规范》（GB50856-2013）、《房屋建筑与装饰工程工程量计算规范》（GB50854-2013）。</w:t>
      </w:r>
    </w:p>
    <w:p w14:paraId="24594714">
      <w:pPr>
        <w:pStyle w:val="7"/>
        <w:keepNext w:val="0"/>
        <w:keepLines w:val="0"/>
        <w:widowControl/>
        <w:suppressLineNumbers w:val="0"/>
        <w:spacing w:before="0" w:beforeAutospacing="0" w:after="0" w:afterAutospacing="0"/>
        <w:ind w:left="0" w:right="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w:t>
      </w:r>
      <w:r>
        <w:rPr>
          <w:rFonts w:hint="eastAsia" w:ascii="仿宋" w:hAnsi="仿宋" w:eastAsia="仿宋" w:cs="仿宋"/>
          <w:color w:val="auto"/>
          <w:sz w:val="28"/>
          <w:szCs w:val="28"/>
        </w:rPr>
        <w:t>定额依据：包</w:t>
      </w:r>
      <w:r>
        <w:rPr>
          <w:rFonts w:hint="eastAsia" w:ascii="仿宋" w:hAnsi="仿宋" w:eastAsia="仿宋" w:cs="仿宋"/>
          <w:color w:val="auto"/>
          <w:sz w:val="28"/>
          <w:szCs w:val="28"/>
          <w:lang w:val="en-US" w:eastAsia="zh-CN"/>
        </w:rPr>
        <w:t>括</w:t>
      </w:r>
      <w:r>
        <w:rPr>
          <w:rFonts w:hint="eastAsia" w:ascii="仿宋" w:hAnsi="仿宋" w:eastAsia="仿宋" w:cs="仿宋"/>
          <w:color w:val="auto"/>
          <w:kern w:val="2"/>
          <w:sz w:val="28"/>
          <w:szCs w:val="28"/>
          <w:lang w:val="en-US" w:eastAsia="zh-CN" w:bidi="ar-SA"/>
        </w:rPr>
        <w:t>《广东省房屋建筑与装饰工程综合定额（2018）》、《广东省通用安装工程综合定额（2018）》、《广东省市政工程综合定额（2018）》、《广东省园林绿化工程综合定额(2018)》。</w:t>
      </w:r>
    </w:p>
    <w:p w14:paraId="6694A1F9">
      <w:pPr>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取费标准：执行《广东省住房和城乡建设厅关于印发〈广东省建设工程计价依据（2018）〉的通知》（粤建市〔2019〕6号）及广东省住房和城乡建设厅《广东省住房和城乡建设厅关于调整广东省建设工程计价依据增值税税率的通知》（粤建标函〔2019〕819号），其中增值税销项税额按9%计算。</w:t>
      </w:r>
    </w:p>
    <w:p w14:paraId="3B57CAC8">
      <w:pPr>
        <w:bidi w:val="0"/>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sz w:val="28"/>
          <w:szCs w:val="28"/>
          <w:highlight w:val="none"/>
          <w:lang w:val="en-US" w:eastAsia="zh-CN"/>
        </w:rPr>
        <w:t>人工、主要材料和设备、机械台班价格依据：执行佛山2025年6月信息价，缺项部分参考广州市2025年6月建设工程人工、材料、机具台班综合价及周边地区信息价或结合市场价。未考虑工料机涨跌风险因素。</w:t>
      </w:r>
    </w:p>
    <w:p w14:paraId="7A7070C6">
      <w:pPr>
        <w:bidi w:val="0"/>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其他文件依据：建设单位提供的《广东舞蹈戏剧职业学院粤剧教育实训中心大楼项目可行性研究报告》、广东省发展改革委2025年6月16日批复的《广东省发展改革委关于广东舞蹈戏剧职业学院粤剧教育实训中心大楼项目初步设计概算的批复》、《广东舞蹈戏剧职业学院粤剧教育实训中心大楼项目岩土工程勘察报告》。</w:t>
      </w:r>
    </w:p>
    <w:p w14:paraId="6FB16482">
      <w:pPr>
        <w:bidi w:val="0"/>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7.招标控制价中余方弃置根据佛山市城市管理和综合执法局公布的《2025年佛山市建筑垃圾消纳场公示清单（第一轮）》进行运距测算</w:t>
      </w:r>
      <w:bookmarkStart w:id="0" w:name="_GoBack"/>
      <w:bookmarkEnd w:id="0"/>
      <w:r>
        <w:rPr>
          <w:rFonts w:hint="eastAsia" w:ascii="仿宋" w:hAnsi="仿宋" w:eastAsia="仿宋" w:cs="仿宋"/>
          <w:sz w:val="28"/>
          <w:szCs w:val="28"/>
          <w:highlight w:val="none"/>
          <w:lang w:val="en-US" w:eastAsia="zh-CN"/>
        </w:rPr>
        <w:t>。</w:t>
      </w:r>
    </w:p>
    <w:p w14:paraId="71A01192">
      <w:pPr>
        <w:bidi w:val="0"/>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8.余方及废料弃置等消纳费列入措施其他项目费用，招标控制价消纳费暂按15元/m</w:t>
      </w:r>
      <w:r>
        <w:rPr>
          <w:rFonts w:hint="eastAsia" w:ascii="仿宋" w:hAnsi="仿宋" w:eastAsia="仿宋" w:cs="仿宋"/>
          <w:sz w:val="28"/>
          <w:szCs w:val="28"/>
          <w:highlight w:val="none"/>
          <w:vertAlign w:val="superscript"/>
          <w:lang w:val="en-US" w:eastAsia="zh-CN"/>
        </w:rPr>
        <w:t>3</w:t>
      </w:r>
      <w:r>
        <w:rPr>
          <w:rFonts w:hint="eastAsia" w:ascii="仿宋" w:hAnsi="仿宋" w:eastAsia="仿宋" w:cs="仿宋"/>
          <w:sz w:val="28"/>
          <w:szCs w:val="28"/>
          <w:highlight w:val="none"/>
          <w:lang w:val="en-US" w:eastAsia="zh-CN"/>
        </w:rPr>
        <w:t>考虑，结算时需提供相应工程量签证单、消纳证明及发票凭证作为结算依据，弃置时间限制的功效损失风险不予调整。</w:t>
      </w:r>
    </w:p>
    <w:p w14:paraId="2DDB9DFF">
      <w:pPr>
        <w:pStyle w:val="3"/>
        <w:ind w:firstLine="562"/>
        <w:rPr>
          <w:rFonts w:hint="eastAsia" w:ascii="仿宋" w:hAnsi="仿宋" w:eastAsia="仿宋" w:cs="仿宋"/>
          <w:color w:val="auto"/>
          <w:sz w:val="28"/>
          <w:szCs w:val="28"/>
        </w:rPr>
      </w:pPr>
      <w:r>
        <w:rPr>
          <w:rFonts w:hint="eastAsia" w:ascii="仿宋" w:hAnsi="仿宋" w:eastAsia="仿宋" w:cs="仿宋"/>
          <w:color w:val="auto"/>
          <w:sz w:val="28"/>
          <w:szCs w:val="28"/>
        </w:rPr>
        <w:t>三、编制范围</w:t>
      </w:r>
    </w:p>
    <w:p w14:paraId="60318E8A">
      <w:pPr>
        <w:pStyle w:val="4"/>
        <w:ind w:firstLine="562"/>
        <w:rPr>
          <w:rFonts w:hint="eastAsia" w:ascii="仿宋" w:hAnsi="仿宋" w:eastAsia="仿宋" w:cs="仿宋"/>
          <w:color w:val="auto"/>
          <w:sz w:val="28"/>
          <w:szCs w:val="28"/>
        </w:rPr>
      </w:pPr>
      <w:r>
        <w:rPr>
          <w:rFonts w:hint="eastAsia" w:ascii="仿宋" w:hAnsi="仿宋" w:eastAsia="仿宋" w:cs="仿宋"/>
          <w:color w:val="auto"/>
          <w:sz w:val="28"/>
          <w:szCs w:val="28"/>
        </w:rPr>
        <w:t>（一）包含范围及内容</w:t>
      </w:r>
    </w:p>
    <w:p w14:paraId="1470E6C9">
      <w:pPr>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包括地下室及人防工程、地上土建工程、装修工程（不含剧院舞台区及观众区精装修）、幕墙工程、标识工程、安装工程（含电气、给排水、消防、通风空调、防雷接地、弱电智能化、永久用电、通信室内分布、抗震支架）、室外及配套工程等。</w:t>
      </w:r>
    </w:p>
    <w:p w14:paraId="4CF2DC29">
      <w:pPr>
        <w:pStyle w:val="3"/>
        <w:ind w:firstLine="562"/>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、费用计取标准及说明</w:t>
      </w:r>
    </w:p>
    <w:p w14:paraId="2EBB0D00">
      <w:pPr>
        <w:pStyle w:val="3"/>
        <w:ind w:firstLine="562"/>
        <w:rPr>
          <w:rFonts w:hint="eastAsia" w:ascii="仿宋" w:hAnsi="仿宋" w:eastAsia="仿宋" w:cs="仿宋"/>
          <w:color w:val="auto"/>
          <w:sz w:val="28"/>
          <w:szCs w:val="28"/>
        </w:rPr>
      </w:pPr>
      <w:r>
        <w:rPr>
          <w:rFonts w:hint="eastAsia" w:ascii="仿宋" w:hAnsi="仿宋" w:eastAsia="仿宋" w:cs="仿宋"/>
          <w:color w:val="auto"/>
          <w:sz w:val="28"/>
          <w:szCs w:val="28"/>
        </w:rPr>
        <w:t>（一）按定额计价建安工程费取费标准</w:t>
      </w:r>
    </w:p>
    <w:p w14:paraId="5D34BD94">
      <w:pPr>
        <w:ind w:firstLine="560"/>
        <w:rPr>
          <w:rFonts w:hint="eastAsia" w:ascii="仿宋" w:hAnsi="仿宋" w:eastAsia="仿宋" w:cs="仿宋"/>
          <w:color w:val="auto"/>
          <w:sz w:val="28"/>
          <w:szCs w:val="28"/>
        </w:rPr>
      </w:pPr>
      <w:r>
        <w:rPr>
          <w:rFonts w:hint="eastAsia" w:ascii="仿宋" w:hAnsi="仿宋" w:eastAsia="仿宋" w:cs="仿宋"/>
          <w:color w:val="auto"/>
          <w:sz w:val="28"/>
          <w:szCs w:val="28"/>
        </w:rPr>
        <w:t>1.绿色施工安全防护措施费：以分部分项的人工费与施工机具费之和为计算基础，其中建筑工程按19%、安装工程按35.77%、园林建筑按19%、绿化按10%。</w:t>
      </w:r>
    </w:p>
    <w:p w14:paraId="450476A6">
      <w:pPr>
        <w:ind w:firstLine="560"/>
        <w:rPr>
          <w:rFonts w:hint="eastAsia" w:ascii="仿宋" w:hAnsi="仿宋" w:eastAsia="仿宋" w:cs="仿宋"/>
          <w:color w:val="auto"/>
          <w:sz w:val="28"/>
          <w:szCs w:val="28"/>
        </w:rPr>
      </w:pPr>
      <w:r>
        <w:rPr>
          <w:rFonts w:hint="eastAsia" w:ascii="仿宋" w:hAnsi="仿宋" w:eastAsia="仿宋" w:cs="仿宋"/>
          <w:color w:val="auto"/>
          <w:sz w:val="28"/>
          <w:szCs w:val="28"/>
        </w:rPr>
        <w:t>2.暂列金额：以分部分项工程费</w:t>
      </w:r>
      <w:r>
        <w:rPr>
          <w:rFonts w:hint="eastAsia" w:ascii="仿宋" w:hAnsi="仿宋" w:eastAsia="仿宋" w:cs="仿宋"/>
          <w:color w:val="auto"/>
          <w:sz w:val="28"/>
          <w:szCs w:val="28"/>
          <w:lang w:val="en-US" w:eastAsia="zh-CN"/>
        </w:rPr>
        <w:t>的10%计取</w:t>
      </w:r>
      <w:r>
        <w:rPr>
          <w:rFonts w:hint="eastAsia" w:ascii="仿宋" w:hAnsi="仿宋" w:eastAsia="仿宋" w:cs="仿宋"/>
          <w:color w:val="auto"/>
          <w:sz w:val="28"/>
          <w:szCs w:val="28"/>
        </w:rPr>
        <w:t>。</w:t>
      </w:r>
    </w:p>
    <w:p w14:paraId="21F1B30A">
      <w:pPr>
        <w:ind w:firstLine="560"/>
        <w:rPr>
          <w:rFonts w:hint="eastAsia" w:ascii="仿宋" w:hAnsi="仿宋" w:eastAsia="仿宋" w:cs="仿宋"/>
          <w:color w:val="auto"/>
          <w:sz w:val="28"/>
          <w:szCs w:val="28"/>
        </w:rPr>
      </w:pPr>
      <w:r>
        <w:rPr>
          <w:rFonts w:hint="eastAsia" w:ascii="仿宋" w:hAnsi="仿宋" w:eastAsia="仿宋" w:cs="仿宋"/>
          <w:color w:val="auto"/>
          <w:sz w:val="28"/>
          <w:szCs w:val="28"/>
        </w:rPr>
        <w:t>3.预算包干费：以分部分项的人工费与施工机具费之和为计算基础，其中建筑工程按7%、安装工程按10%、市政工程按6%、绿化工程按6%。</w:t>
      </w:r>
    </w:p>
    <w:p w14:paraId="7FDB40E0">
      <w:pPr>
        <w:tabs>
          <w:tab w:val="left" w:pos="8680"/>
        </w:tabs>
        <w:ind w:firstLine="560"/>
        <w:rPr>
          <w:rFonts w:hint="eastAsia" w:ascii="仿宋" w:hAnsi="仿宋" w:eastAsia="仿宋" w:cs="仿宋"/>
          <w:color w:val="auto"/>
          <w:sz w:val="28"/>
          <w:szCs w:val="28"/>
        </w:rPr>
      </w:pPr>
      <w:r>
        <w:rPr>
          <w:rFonts w:hint="eastAsia" w:ascii="仿宋" w:hAnsi="仿宋" w:eastAsia="仿宋" w:cs="仿宋"/>
          <w:color w:val="auto"/>
          <w:sz w:val="28"/>
          <w:szCs w:val="28"/>
        </w:rPr>
        <w:t>4.概算幅度差：</w:t>
      </w:r>
      <w:r>
        <w:rPr>
          <w:rFonts w:hint="eastAsia" w:ascii="仿宋" w:hAnsi="仿宋" w:eastAsia="仿宋" w:cs="仿宋"/>
          <w:color w:val="auto"/>
          <w:sz w:val="28"/>
          <w:szCs w:val="28"/>
          <w:lang w:val="en-US" w:eastAsia="zh-CN"/>
        </w:rPr>
        <w:t>暂不计取</w:t>
      </w:r>
      <w:r>
        <w:rPr>
          <w:rFonts w:hint="eastAsia" w:ascii="仿宋" w:hAnsi="仿宋" w:eastAsia="仿宋" w:cs="仿宋"/>
          <w:color w:val="auto"/>
          <w:sz w:val="28"/>
          <w:szCs w:val="28"/>
        </w:rPr>
        <w:t>。</w:t>
      </w:r>
    </w:p>
    <w:p w14:paraId="6C55E5EF">
      <w:pPr>
        <w:ind w:firstLine="560"/>
        <w:rPr>
          <w:rFonts w:hint="eastAsia" w:ascii="仿宋" w:hAnsi="仿宋" w:eastAsia="仿宋" w:cs="仿宋"/>
          <w:color w:val="auto"/>
          <w:sz w:val="28"/>
          <w:szCs w:val="28"/>
        </w:rPr>
      </w:pPr>
      <w:r>
        <w:rPr>
          <w:rFonts w:hint="eastAsia" w:ascii="仿宋" w:hAnsi="仿宋" w:eastAsia="仿宋" w:cs="仿宋"/>
          <w:color w:val="auto"/>
          <w:sz w:val="28"/>
          <w:szCs w:val="28"/>
        </w:rPr>
        <w:t>5.税金：增值税按9%计取。</w:t>
      </w:r>
    </w:p>
    <w:p w14:paraId="225230DB">
      <w:pPr>
        <w:ind w:firstLine="560"/>
        <w:rPr>
          <w:rFonts w:hint="eastAsia" w:ascii="仿宋" w:hAnsi="仿宋" w:eastAsia="仿宋" w:cs="仿宋"/>
          <w:color w:val="auto"/>
          <w:sz w:val="28"/>
          <w:szCs w:val="28"/>
        </w:rPr>
      </w:pPr>
      <w:r>
        <w:rPr>
          <w:rFonts w:hint="eastAsia" w:ascii="仿宋" w:hAnsi="仿宋" w:eastAsia="仿宋" w:cs="仿宋"/>
          <w:color w:val="auto"/>
          <w:sz w:val="28"/>
          <w:szCs w:val="28"/>
        </w:rPr>
        <w:t>6.文明工地增加费：暂不计取。</w:t>
      </w:r>
    </w:p>
    <w:p w14:paraId="40EDD1F7">
      <w:pPr>
        <w:ind w:firstLine="560"/>
        <w:rPr>
          <w:rFonts w:hint="eastAsia" w:ascii="仿宋" w:hAnsi="仿宋" w:eastAsia="仿宋" w:cs="仿宋"/>
          <w:color w:val="auto"/>
          <w:sz w:val="28"/>
          <w:szCs w:val="28"/>
        </w:rPr>
      </w:pPr>
      <w:r>
        <w:rPr>
          <w:rFonts w:hint="eastAsia" w:ascii="仿宋" w:hAnsi="仿宋" w:eastAsia="仿宋" w:cs="仿宋"/>
          <w:color w:val="auto"/>
          <w:sz w:val="28"/>
          <w:szCs w:val="28"/>
        </w:rPr>
        <w:t>7.夜间施工增加费：暂不计取。</w:t>
      </w:r>
    </w:p>
    <w:p w14:paraId="390D5DE4">
      <w:pPr>
        <w:ind w:firstLine="560"/>
        <w:rPr>
          <w:rFonts w:hint="eastAsia" w:ascii="仿宋" w:hAnsi="仿宋" w:eastAsia="仿宋" w:cs="仿宋"/>
          <w:color w:val="auto"/>
          <w:sz w:val="28"/>
          <w:szCs w:val="28"/>
        </w:rPr>
      </w:pPr>
      <w:r>
        <w:rPr>
          <w:rFonts w:hint="eastAsia" w:ascii="仿宋" w:hAnsi="仿宋" w:eastAsia="仿宋" w:cs="仿宋"/>
          <w:color w:val="auto"/>
          <w:sz w:val="28"/>
          <w:szCs w:val="28"/>
        </w:rPr>
        <w:t>8.赶工措施费：暂不计取。</w:t>
      </w:r>
    </w:p>
    <w:p w14:paraId="52014A64">
      <w:pPr>
        <w:ind w:firstLine="560"/>
        <w:rPr>
          <w:rFonts w:hint="eastAsia" w:ascii="仿宋" w:hAnsi="仿宋" w:eastAsia="仿宋" w:cs="仿宋"/>
          <w:b/>
          <w:bCs/>
          <w:color w:val="auto"/>
          <w:sz w:val="36"/>
          <w:szCs w:val="36"/>
          <w:lang w:val="en-US" w:eastAsia="zh-CN"/>
        </w:rPr>
      </w:pPr>
      <w:r>
        <w:rPr>
          <w:rFonts w:hint="eastAsia" w:ascii="仿宋" w:hAnsi="仿宋" w:eastAsia="仿宋" w:cs="仿宋"/>
          <w:color w:val="auto"/>
          <w:sz w:val="28"/>
          <w:szCs w:val="28"/>
        </w:rPr>
        <w:t>9.工程优质费：暂不计取。</w:t>
      </w:r>
    </w:p>
    <w:p w14:paraId="7FA1AC05">
      <w:pPr>
        <w:numPr>
          <w:ilvl w:val="0"/>
          <w:numId w:val="0"/>
        </w:numPr>
        <w:ind w:firstLine="562" w:firstLineChars="20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五、编制结果</w:t>
      </w:r>
    </w:p>
    <w:p w14:paraId="0F094DEC">
      <w:pPr>
        <w:widowControl w:val="0"/>
        <w:numPr>
          <w:ilvl w:val="0"/>
          <w:numId w:val="0"/>
        </w:numPr>
        <w:ind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本次编制招标控制价为155,472,774.90元（含暂列金10,907,600.96元，占分部分项比例为10%），招标控制价没有超出初步设计概算批复金额。</w:t>
      </w:r>
    </w:p>
    <w:p w14:paraId="2B52ED20">
      <w:pPr>
        <w:widowControl w:val="0"/>
        <w:numPr>
          <w:ilvl w:val="0"/>
          <w:numId w:val="0"/>
        </w:numPr>
        <w:ind w:firstLine="562" w:firstLineChars="200"/>
        <w:jc w:val="both"/>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六、风险提示</w:t>
      </w:r>
    </w:p>
    <w:p w14:paraId="27EA8995">
      <w:pPr>
        <w:widowControl w:val="0"/>
        <w:numPr>
          <w:ilvl w:val="0"/>
          <w:numId w:val="0"/>
        </w:numPr>
        <w:ind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 招标控制价中已综合考虑余方弃置的运距，一旦中标，结算时的综合单价将不再进行调整。</w:t>
      </w:r>
    </w:p>
    <w:p w14:paraId="7CBE00CD">
      <w:pPr>
        <w:widowControl w:val="0"/>
        <w:numPr>
          <w:ilvl w:val="0"/>
          <w:numId w:val="0"/>
        </w:numPr>
        <w:ind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2.余方及废料弃置等消纳费列入其他项目费用，结算时需提供相应工程量签证单、消纳证明及发票凭证作为结算依据，弃置时间限制的功效损失风险不予调整。</w:t>
      </w:r>
    </w:p>
    <w:p w14:paraId="74EC16E0">
      <w:pPr>
        <w:widowControl w:val="0"/>
        <w:numPr>
          <w:ilvl w:val="0"/>
          <w:numId w:val="0"/>
        </w:numPr>
        <w:ind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 本项目校内可场内堆土，堆方量9231.87m3，场内运距综合考虑，结算综合单价不因场内运距增减而调整。</w:t>
      </w:r>
    </w:p>
    <w:p w14:paraId="0F027E0F">
      <w:pPr>
        <w:widowControl w:val="0"/>
        <w:numPr>
          <w:ilvl w:val="0"/>
          <w:numId w:val="0"/>
        </w:numPr>
        <w:ind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项目已充分考虑了土石比、干湿比例、卸车、垂直运输、场内外运输及场内外道路条件等因素，工作内容广泛包括土石方的场内外运输、排障、协调等所有必要环节。中标后，结算时的综合单价同样不予调整。</w:t>
      </w:r>
    </w:p>
    <w:p w14:paraId="47BA4CF0">
      <w:pPr>
        <w:widowControl w:val="0"/>
        <w:numPr>
          <w:ilvl w:val="0"/>
          <w:numId w:val="0"/>
        </w:numPr>
        <w:ind w:firstLine="560" w:firstLineChars="200"/>
        <w:jc w:val="both"/>
        <w:rPr>
          <w:rFonts w:hint="eastAsia" w:ascii="仿宋" w:hAnsi="仿宋" w:eastAsia="仿宋" w:cs="仿宋"/>
          <w:b w:val="0"/>
          <w:bCs w:val="0"/>
          <w:color w:val="auto"/>
          <w:sz w:val="28"/>
          <w:szCs w:val="28"/>
          <w:lang w:val="en-US" w:eastAsia="zh-CN"/>
        </w:rPr>
      </w:pPr>
    </w:p>
    <w:p w14:paraId="7D336134">
      <w:pPr>
        <w:widowControl w:val="0"/>
        <w:numPr>
          <w:ilvl w:val="0"/>
          <w:numId w:val="0"/>
        </w:numPr>
        <w:ind w:firstLine="560" w:firstLineChars="200"/>
        <w:jc w:val="both"/>
        <w:rPr>
          <w:rFonts w:hint="eastAsia" w:ascii="仿宋" w:hAnsi="仿宋" w:eastAsia="仿宋" w:cs="仿宋"/>
          <w:b w:val="0"/>
          <w:bCs w:val="0"/>
          <w:color w:val="auto"/>
          <w:sz w:val="28"/>
          <w:szCs w:val="28"/>
          <w:lang w:val="en-US" w:eastAsia="zh-CN"/>
        </w:rPr>
      </w:pPr>
    </w:p>
    <w:p w14:paraId="68E920C5">
      <w:pPr>
        <w:widowControl w:val="0"/>
        <w:numPr>
          <w:ilvl w:val="0"/>
          <w:numId w:val="0"/>
        </w:numPr>
        <w:ind w:firstLine="560" w:firstLineChars="200"/>
        <w:jc w:val="both"/>
        <w:rPr>
          <w:rFonts w:hint="eastAsia" w:ascii="仿宋" w:hAnsi="仿宋" w:eastAsia="仿宋" w:cs="仿宋"/>
          <w:b w:val="0"/>
          <w:bCs w:val="0"/>
          <w:color w:val="auto"/>
          <w:sz w:val="28"/>
          <w:szCs w:val="28"/>
          <w:lang w:val="en-US" w:eastAsia="zh-CN"/>
        </w:rPr>
      </w:pPr>
    </w:p>
    <w:p w14:paraId="344D4AB5">
      <w:pPr>
        <w:widowControl w:val="0"/>
        <w:numPr>
          <w:ilvl w:val="0"/>
          <w:numId w:val="0"/>
        </w:numPr>
        <w:ind w:firstLine="560" w:firstLineChars="200"/>
        <w:jc w:val="both"/>
        <w:rPr>
          <w:rFonts w:hint="eastAsia" w:ascii="仿宋" w:hAnsi="仿宋" w:eastAsia="仿宋" w:cs="仿宋"/>
          <w:b w:val="0"/>
          <w:bCs w:val="0"/>
          <w:color w:val="auto"/>
          <w:sz w:val="28"/>
          <w:szCs w:val="28"/>
          <w:lang w:val="en-US" w:eastAsia="zh-CN"/>
        </w:rPr>
      </w:pPr>
    </w:p>
    <w:p w14:paraId="1EC5F13E">
      <w:pPr>
        <w:widowControl w:val="0"/>
        <w:numPr>
          <w:ilvl w:val="0"/>
          <w:numId w:val="0"/>
        </w:numPr>
        <w:ind w:firstLine="560" w:firstLineChars="200"/>
        <w:jc w:val="both"/>
        <w:rPr>
          <w:rFonts w:hint="eastAsia" w:ascii="仿宋" w:hAnsi="仿宋" w:eastAsia="仿宋" w:cs="仿宋"/>
          <w:b w:val="0"/>
          <w:bCs w:val="0"/>
          <w:color w:val="auto"/>
          <w:sz w:val="28"/>
          <w:szCs w:val="28"/>
          <w:lang w:val="en-US" w:eastAsia="zh-CN"/>
        </w:rPr>
      </w:pPr>
    </w:p>
    <w:p w14:paraId="15B055CE">
      <w:pPr>
        <w:widowControl w:val="0"/>
        <w:numPr>
          <w:ilvl w:val="0"/>
          <w:numId w:val="0"/>
        </w:numPr>
        <w:ind w:firstLine="560" w:firstLineChars="200"/>
        <w:jc w:val="both"/>
        <w:rPr>
          <w:rFonts w:hint="eastAsia" w:ascii="仿宋" w:hAnsi="仿宋" w:eastAsia="仿宋" w:cs="仿宋"/>
          <w:b w:val="0"/>
          <w:bCs w:val="0"/>
          <w:color w:val="auto"/>
          <w:sz w:val="28"/>
          <w:szCs w:val="28"/>
          <w:lang w:val="en-US" w:eastAsia="zh-CN"/>
        </w:rPr>
      </w:pPr>
    </w:p>
    <w:p w14:paraId="660B3253">
      <w:pPr>
        <w:widowControl w:val="0"/>
        <w:numPr>
          <w:ilvl w:val="0"/>
          <w:numId w:val="0"/>
        </w:numPr>
        <w:ind w:firstLine="560" w:firstLineChars="200"/>
        <w:jc w:val="both"/>
        <w:rPr>
          <w:rFonts w:hint="eastAsia" w:ascii="仿宋" w:hAnsi="仿宋" w:eastAsia="仿宋" w:cs="仿宋"/>
          <w:b w:val="0"/>
          <w:bCs w:val="0"/>
          <w:color w:val="auto"/>
          <w:sz w:val="28"/>
          <w:szCs w:val="28"/>
          <w:lang w:val="en-US" w:eastAsia="zh-CN"/>
        </w:rPr>
      </w:pPr>
    </w:p>
    <w:p w14:paraId="40AF695F">
      <w:pPr>
        <w:widowControl w:val="0"/>
        <w:numPr>
          <w:ilvl w:val="0"/>
          <w:numId w:val="0"/>
        </w:numPr>
        <w:ind w:firstLine="560" w:firstLineChars="200"/>
        <w:jc w:val="both"/>
        <w:rPr>
          <w:rFonts w:hint="eastAsia" w:ascii="仿宋" w:hAnsi="仿宋" w:eastAsia="仿宋" w:cs="仿宋"/>
          <w:b w:val="0"/>
          <w:bCs w:val="0"/>
          <w:color w:val="auto"/>
          <w:sz w:val="28"/>
          <w:szCs w:val="28"/>
          <w:lang w:val="en-US" w:eastAsia="zh-CN"/>
        </w:rPr>
      </w:pPr>
    </w:p>
    <w:p w14:paraId="752CC57F">
      <w:pPr>
        <w:widowControl w:val="0"/>
        <w:numPr>
          <w:ilvl w:val="0"/>
          <w:numId w:val="0"/>
        </w:numPr>
        <w:ind w:firstLine="560" w:firstLineChars="200"/>
        <w:jc w:val="both"/>
        <w:rPr>
          <w:rFonts w:hint="eastAsia" w:ascii="仿宋" w:hAnsi="仿宋" w:eastAsia="仿宋" w:cs="仿宋"/>
          <w:b w:val="0"/>
          <w:bCs w:val="0"/>
          <w:color w:val="auto"/>
          <w:sz w:val="28"/>
          <w:szCs w:val="28"/>
          <w:lang w:val="en-US" w:eastAsia="zh-CN"/>
        </w:rPr>
      </w:pPr>
    </w:p>
    <w:p w14:paraId="6E243B55">
      <w:pPr>
        <w:widowControl w:val="0"/>
        <w:numPr>
          <w:ilvl w:val="0"/>
          <w:numId w:val="0"/>
        </w:numPr>
        <w:ind w:firstLine="560" w:firstLineChars="200"/>
        <w:jc w:val="righ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广东拓腾工程造价咨询有限公司</w:t>
      </w:r>
    </w:p>
    <w:p w14:paraId="6048EA98">
      <w:pPr>
        <w:widowControl w:val="0"/>
        <w:numPr>
          <w:ilvl w:val="0"/>
          <w:numId w:val="0"/>
        </w:numPr>
        <w:ind w:firstLine="560" w:firstLineChars="200"/>
        <w:jc w:val="right"/>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2025年8月15日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6117F"/>
    <w:rsid w:val="029E534D"/>
    <w:rsid w:val="04905DFA"/>
    <w:rsid w:val="0A701C53"/>
    <w:rsid w:val="0BB169A5"/>
    <w:rsid w:val="0D8E5E20"/>
    <w:rsid w:val="138B5D00"/>
    <w:rsid w:val="25C70923"/>
    <w:rsid w:val="2E36764C"/>
    <w:rsid w:val="335F33B8"/>
    <w:rsid w:val="3456117F"/>
    <w:rsid w:val="40883051"/>
    <w:rsid w:val="44B0003B"/>
    <w:rsid w:val="576360F7"/>
    <w:rsid w:val="585C7A82"/>
    <w:rsid w:val="59535F1E"/>
    <w:rsid w:val="61522441"/>
    <w:rsid w:val="63433313"/>
    <w:rsid w:val="754555EF"/>
    <w:rsid w:val="79400323"/>
    <w:rsid w:val="7D12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100" w:beforeLines="100" w:after="50" w:afterLines="50"/>
      <w:ind w:firstLine="0" w:firstLineChars="0"/>
      <w:jc w:val="center"/>
      <w:outlineLvl w:val="0"/>
    </w:pPr>
    <w:rPr>
      <w:rFonts w:eastAsia="仿宋GB2312"/>
      <w:b/>
      <w:kern w:val="44"/>
      <w:sz w:val="36"/>
    </w:rPr>
  </w:style>
  <w:style w:type="paragraph" w:styleId="3">
    <w:name w:val="heading 2"/>
    <w:basedOn w:val="1"/>
    <w:next w:val="1"/>
    <w:unhideWhenUsed/>
    <w:qFormat/>
    <w:uiPriority w:val="9"/>
    <w:pPr>
      <w:keepNext/>
      <w:keepLines/>
      <w:ind w:firstLine="780"/>
      <w:outlineLvl w:val="1"/>
    </w:pPr>
    <w:rPr>
      <w:rFonts w:eastAsia="仿宋GB2312"/>
      <w:b/>
    </w:rPr>
  </w:style>
  <w:style w:type="paragraph" w:styleId="4">
    <w:name w:val="heading 3"/>
    <w:basedOn w:val="1"/>
    <w:next w:val="1"/>
    <w:unhideWhenUsed/>
    <w:qFormat/>
    <w:uiPriority w:val="9"/>
    <w:pPr>
      <w:keepNext/>
      <w:keepLines/>
      <w:ind w:firstLine="780"/>
      <w:jc w:val="left"/>
      <w:outlineLvl w:val="2"/>
    </w:pPr>
    <w:rPr>
      <w:rFonts w:eastAsia="仿宋GB2312"/>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autoSpaceDN/>
      <w:adjustRightInd/>
      <w:ind w:firstLine="420"/>
      <w:jc w:val="both"/>
    </w:pPr>
    <w:rPr>
      <w:rFonts w:ascii="Times New Roman"/>
      <w:kern w:val="2"/>
      <w:sz w:val="21"/>
    </w:rPr>
  </w:style>
  <w:style w:type="paragraph" w:styleId="6">
    <w:name w:val="footer"/>
    <w:basedOn w:val="1"/>
    <w:qFormat/>
    <w:uiPriority w:val="0"/>
    <w:pPr>
      <w:tabs>
        <w:tab w:val="center" w:pos="4153"/>
        <w:tab w:val="right" w:pos="8306"/>
      </w:tabs>
      <w:snapToGrid w:val="0"/>
      <w:ind w:firstLine="0" w:firstLineChars="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Emphasis"/>
    <w:basedOn w:val="9"/>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1626</Words>
  <Characters>1807</Characters>
  <Lines>0</Lines>
  <Paragraphs>0</Paragraphs>
  <TotalTime>73</TotalTime>
  <ScaleCrop>false</ScaleCrop>
  <LinksUpToDate>false</LinksUpToDate>
  <CharactersWithSpaces>1816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2025-05-06T10:39:00Z</dcterms:created>
  <dc:creator>Banana</dc:creator>
  <cp:lastModifiedBy>Banana</cp:lastModifiedBy>
  <dcterms:modified xsi:type="dcterms:W3CDTF">2025-08-18T01:01:04Z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9933155B5781442FB40B28A24F392179_13</vt:lpwstr>
  </property>
  <property fmtid="{D5CDD505-2E9C-101B-9397-08002B2CF9AE}" pid="4" name="KSOTemplateDocerSaveRecord">
    <vt:lpwstr>eyJoZGlkIjoiNDM4ZGFiMGM3ZGIyOTk0YjRkMTliMzNhOGE5N2I0NjkiLCJ1c2VySWQiOiIyOTAyMzMxNjMifQ==</vt:lpwstr>
  </property>
</Properties>
</file>