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AB61A">
      <w:pPr>
        <w:spacing w:before="2" w:line="276" w:lineRule="auto"/>
        <w:jc w:val="center"/>
        <w:rPr>
          <w:rFonts w:hint="eastAsia" w:ascii="宋体" w:hAnsi="宋体" w:eastAsia="宋体"/>
          <w:b/>
          <w:color w:val="auto"/>
          <w:kern w:val="2"/>
          <w:sz w:val="40"/>
          <w:szCs w:val="60"/>
          <w:lang w:eastAsia="zh-CN"/>
        </w:rPr>
      </w:pPr>
    </w:p>
    <w:p w14:paraId="770653A2">
      <w:pPr>
        <w:spacing w:before="2" w:line="276" w:lineRule="auto"/>
        <w:jc w:val="center"/>
        <w:rPr>
          <w:rFonts w:ascii="宋体" w:hAnsi="宋体" w:eastAsia="宋体"/>
          <w:b/>
          <w:color w:val="auto"/>
          <w:kern w:val="2"/>
          <w:sz w:val="40"/>
          <w:szCs w:val="60"/>
          <w:lang w:eastAsia="zh-CN"/>
        </w:rPr>
      </w:pPr>
    </w:p>
    <w:p w14:paraId="29A9BBF9">
      <w:pPr>
        <w:spacing w:before="2" w:line="276" w:lineRule="auto"/>
        <w:jc w:val="center"/>
        <w:rPr>
          <w:rFonts w:hint="default" w:ascii="宋体" w:hAnsi="宋体" w:eastAsia="宋体"/>
          <w:b/>
          <w:color w:val="auto"/>
          <w:kern w:val="2"/>
          <w:sz w:val="36"/>
          <w:szCs w:val="56"/>
          <w:lang w:val="en-US" w:eastAsia="zh-CN"/>
        </w:rPr>
      </w:pPr>
      <w:r>
        <w:rPr>
          <w:rFonts w:hint="eastAsia" w:ascii="宋体" w:hAnsi="宋体" w:eastAsia="宋体"/>
          <w:b/>
          <w:bCs/>
          <w:color w:val="auto"/>
          <w:spacing w:val="26"/>
          <w:sz w:val="44"/>
          <w:szCs w:val="44"/>
          <w:lang w:eastAsia="zh-CN"/>
        </w:rPr>
        <w:t>广州市黄埔区新业路48号扩建项目</w:t>
      </w:r>
      <w:r>
        <w:rPr>
          <w:rFonts w:hint="eastAsia" w:ascii="宋体" w:hAnsi="宋体" w:eastAsia="宋体"/>
          <w:b/>
          <w:bCs/>
          <w:color w:val="auto"/>
          <w:spacing w:val="26"/>
          <w:sz w:val="44"/>
          <w:szCs w:val="44"/>
          <w:lang w:val="en-US" w:eastAsia="zh-CN"/>
        </w:rPr>
        <w:t>设计</w:t>
      </w:r>
    </w:p>
    <w:p w14:paraId="6AE19A4E">
      <w:pPr>
        <w:rPr>
          <w:rFonts w:ascii="宋体" w:hAnsi="宋体" w:eastAsia="宋体" w:cs="宋体"/>
          <w:b/>
          <w:bCs/>
          <w:color w:val="auto"/>
          <w:sz w:val="20"/>
          <w:szCs w:val="20"/>
          <w:lang w:eastAsia="zh-CN"/>
        </w:rPr>
      </w:pPr>
    </w:p>
    <w:p w14:paraId="1B3FAFC7">
      <w:pPr>
        <w:rPr>
          <w:rFonts w:ascii="宋体" w:hAnsi="宋体" w:eastAsia="宋体" w:cs="宋体"/>
          <w:b/>
          <w:bCs/>
          <w:color w:val="auto"/>
          <w:sz w:val="20"/>
          <w:szCs w:val="20"/>
          <w:lang w:eastAsia="zh-CN"/>
        </w:rPr>
      </w:pPr>
    </w:p>
    <w:p w14:paraId="25CB8352">
      <w:pPr>
        <w:rPr>
          <w:rFonts w:ascii="宋体" w:hAnsi="宋体" w:eastAsia="宋体" w:cs="宋体"/>
          <w:b/>
          <w:bCs/>
          <w:color w:val="auto"/>
          <w:sz w:val="20"/>
          <w:szCs w:val="20"/>
          <w:lang w:eastAsia="zh-CN"/>
        </w:rPr>
      </w:pPr>
    </w:p>
    <w:p w14:paraId="7E0A8C76">
      <w:pPr>
        <w:rPr>
          <w:rFonts w:ascii="宋体" w:hAnsi="宋体" w:eastAsia="宋体" w:cs="宋体"/>
          <w:b/>
          <w:bCs/>
          <w:color w:val="auto"/>
          <w:sz w:val="20"/>
          <w:szCs w:val="20"/>
          <w:lang w:eastAsia="zh-CN"/>
        </w:rPr>
      </w:pPr>
    </w:p>
    <w:p w14:paraId="434893F0">
      <w:pPr>
        <w:rPr>
          <w:rFonts w:ascii="宋体" w:hAnsi="宋体" w:eastAsia="宋体" w:cs="宋体"/>
          <w:b/>
          <w:bCs/>
          <w:color w:val="auto"/>
          <w:sz w:val="20"/>
          <w:szCs w:val="20"/>
          <w:lang w:eastAsia="zh-CN"/>
        </w:rPr>
      </w:pPr>
    </w:p>
    <w:p w14:paraId="72A39CC4">
      <w:pPr>
        <w:jc w:val="center"/>
        <w:rPr>
          <w:rFonts w:ascii="宋体" w:hAnsi="宋体" w:eastAsia="宋体"/>
          <w:b/>
          <w:color w:val="auto"/>
          <w:kern w:val="2"/>
          <w:sz w:val="96"/>
          <w:szCs w:val="84"/>
          <w:lang w:eastAsia="zh-CN"/>
        </w:rPr>
      </w:pPr>
    </w:p>
    <w:p w14:paraId="3B92F02B">
      <w:pPr>
        <w:jc w:val="center"/>
        <w:rPr>
          <w:rFonts w:ascii="宋体" w:hAnsi="宋体" w:eastAsia="宋体"/>
          <w:b/>
          <w:color w:val="auto"/>
          <w:kern w:val="2"/>
          <w:sz w:val="96"/>
          <w:szCs w:val="84"/>
          <w:lang w:eastAsia="zh-CN"/>
        </w:rPr>
      </w:pPr>
      <w:r>
        <w:rPr>
          <w:rFonts w:ascii="宋体" w:hAnsi="宋体" w:eastAsia="宋体"/>
          <w:b/>
          <w:color w:val="auto"/>
          <w:kern w:val="2"/>
          <w:sz w:val="96"/>
          <w:szCs w:val="84"/>
          <w:lang w:eastAsia="zh-CN"/>
        </w:rPr>
        <w:t>招标文件</w:t>
      </w:r>
    </w:p>
    <w:p w14:paraId="2B390311">
      <w:pPr>
        <w:rPr>
          <w:rFonts w:ascii="宋体" w:hAnsi="宋体" w:eastAsia="宋体" w:cs="宋体"/>
          <w:color w:val="auto"/>
          <w:sz w:val="44"/>
          <w:szCs w:val="44"/>
          <w:lang w:eastAsia="zh-CN"/>
        </w:rPr>
      </w:pPr>
    </w:p>
    <w:p w14:paraId="776C6132">
      <w:pPr>
        <w:rPr>
          <w:rFonts w:ascii="宋体" w:hAnsi="宋体" w:eastAsia="宋体" w:cs="宋体"/>
          <w:color w:val="auto"/>
          <w:sz w:val="44"/>
          <w:szCs w:val="44"/>
          <w:lang w:eastAsia="zh-CN"/>
        </w:rPr>
      </w:pPr>
    </w:p>
    <w:p w14:paraId="46FBD221">
      <w:pPr>
        <w:rPr>
          <w:rFonts w:ascii="宋体" w:hAnsi="宋体" w:eastAsia="宋体" w:cs="宋体"/>
          <w:color w:val="auto"/>
          <w:sz w:val="44"/>
          <w:szCs w:val="44"/>
          <w:lang w:eastAsia="zh-CN"/>
        </w:rPr>
      </w:pPr>
    </w:p>
    <w:p w14:paraId="2E52BD21">
      <w:pPr>
        <w:rPr>
          <w:rFonts w:ascii="宋体" w:hAnsi="宋体" w:eastAsia="宋体" w:cs="宋体"/>
          <w:color w:val="auto"/>
          <w:sz w:val="44"/>
          <w:szCs w:val="44"/>
          <w:lang w:eastAsia="zh-CN"/>
        </w:rPr>
      </w:pPr>
    </w:p>
    <w:p w14:paraId="3C93911E">
      <w:pPr>
        <w:rPr>
          <w:rFonts w:ascii="宋体" w:hAnsi="宋体" w:eastAsia="宋体" w:cs="宋体"/>
          <w:color w:val="auto"/>
          <w:sz w:val="44"/>
          <w:szCs w:val="44"/>
          <w:lang w:eastAsia="zh-CN"/>
        </w:rPr>
      </w:pPr>
    </w:p>
    <w:p w14:paraId="42D401D0">
      <w:pPr>
        <w:spacing w:before="8"/>
        <w:rPr>
          <w:rFonts w:ascii="宋体" w:hAnsi="宋体" w:eastAsia="宋体" w:cs="宋体"/>
          <w:color w:val="auto"/>
          <w:sz w:val="33"/>
          <w:szCs w:val="33"/>
          <w:lang w:eastAsia="zh-CN"/>
        </w:rPr>
      </w:pPr>
    </w:p>
    <w:p w14:paraId="6FF7551C">
      <w:pPr>
        <w:spacing w:before="8"/>
        <w:rPr>
          <w:rFonts w:ascii="宋体" w:hAnsi="宋体" w:eastAsia="宋体" w:cs="宋体"/>
          <w:color w:val="auto"/>
          <w:sz w:val="33"/>
          <w:szCs w:val="33"/>
          <w:lang w:eastAsia="zh-CN"/>
        </w:rPr>
      </w:pPr>
    </w:p>
    <w:p w14:paraId="31904138">
      <w:pPr>
        <w:spacing w:line="360" w:lineRule="auto"/>
        <w:ind w:firstLine="964" w:firstLineChars="300"/>
        <w:rPr>
          <w:rFonts w:ascii="宋体" w:hAnsi="宋体" w:eastAsia="宋体"/>
          <w:b/>
          <w:color w:val="auto"/>
          <w:sz w:val="32"/>
          <w:szCs w:val="32"/>
          <w:lang w:eastAsia="zh-CN"/>
        </w:rPr>
      </w:pPr>
      <w:r>
        <w:rPr>
          <w:rFonts w:hint="eastAsia" w:ascii="宋体" w:hAnsi="宋体" w:eastAsia="宋体"/>
          <w:b/>
          <w:color w:val="auto"/>
          <w:sz w:val="32"/>
          <w:szCs w:val="32"/>
          <w:lang w:eastAsia="zh-CN"/>
        </w:rPr>
        <w:t>招   标   人: 广州市奥宝物业管理有限公司</w:t>
      </w:r>
    </w:p>
    <w:p w14:paraId="6AD2BD61">
      <w:pPr>
        <w:spacing w:line="360" w:lineRule="auto"/>
        <w:ind w:firstLine="964" w:firstLineChars="300"/>
        <w:rPr>
          <w:rFonts w:ascii="宋体" w:hAnsi="宋体" w:eastAsia="宋体"/>
          <w:b/>
          <w:color w:val="auto"/>
          <w:sz w:val="32"/>
          <w:szCs w:val="32"/>
          <w:lang w:eastAsia="zh-CN"/>
        </w:rPr>
      </w:pPr>
      <w:r>
        <w:rPr>
          <w:rFonts w:hint="eastAsia" w:ascii="宋体" w:hAnsi="宋体" w:eastAsia="宋体"/>
          <w:b/>
          <w:color w:val="auto"/>
          <w:sz w:val="32"/>
          <w:szCs w:val="32"/>
          <w:lang w:eastAsia="zh-CN"/>
        </w:rPr>
        <w:t>招标代理机构：广州工建工程咨询有限公司</w:t>
      </w:r>
    </w:p>
    <w:p w14:paraId="7751C19F">
      <w:pPr>
        <w:tabs>
          <w:tab w:val="left" w:pos="561"/>
        </w:tabs>
        <w:spacing w:line="360" w:lineRule="auto"/>
        <w:ind w:firstLine="964" w:firstLineChars="300"/>
        <w:rPr>
          <w:rFonts w:ascii="宋体" w:hAnsi="宋体" w:eastAsia="宋体"/>
          <w:b/>
          <w:color w:val="auto"/>
          <w:sz w:val="32"/>
          <w:szCs w:val="32"/>
          <w:lang w:eastAsia="zh-CN"/>
        </w:rPr>
      </w:pPr>
      <w:r>
        <w:rPr>
          <w:rFonts w:hint="eastAsia" w:ascii="宋体" w:hAnsi="宋体" w:eastAsia="宋体"/>
          <w:b/>
          <w:color w:val="auto"/>
          <w:sz w:val="32"/>
          <w:szCs w:val="32"/>
          <w:lang w:eastAsia="zh-CN"/>
        </w:rPr>
        <w:t>日        期：2025年</w:t>
      </w:r>
      <w:r>
        <w:rPr>
          <w:rFonts w:hint="eastAsia" w:ascii="宋体" w:hAnsi="宋体" w:eastAsia="宋体"/>
          <w:b/>
          <w:color w:val="auto"/>
          <w:sz w:val="32"/>
          <w:szCs w:val="32"/>
          <w:lang w:val="en-US" w:eastAsia="zh-CN"/>
        </w:rPr>
        <w:t>8</w:t>
      </w:r>
      <w:r>
        <w:rPr>
          <w:rFonts w:hint="eastAsia" w:ascii="宋体" w:hAnsi="宋体" w:eastAsia="宋体"/>
          <w:b/>
          <w:color w:val="auto"/>
          <w:sz w:val="32"/>
          <w:szCs w:val="32"/>
          <w:lang w:eastAsia="zh-CN"/>
        </w:rPr>
        <w:t>月</w:t>
      </w:r>
    </w:p>
    <w:p w14:paraId="1C74054D">
      <w:pPr>
        <w:tabs>
          <w:tab w:val="left" w:pos="561"/>
          <w:tab w:val="center" w:pos="4513"/>
          <w:tab w:val="left" w:pos="5723"/>
        </w:tabs>
        <w:spacing w:line="360" w:lineRule="auto"/>
        <w:jc w:val="center"/>
        <w:rPr>
          <w:rFonts w:ascii="宋体" w:hAnsi="宋体" w:eastAsia="宋体" w:cs="宋体"/>
          <w:b/>
          <w:bCs/>
          <w:color w:val="auto"/>
          <w:sz w:val="28"/>
          <w:szCs w:val="28"/>
          <w:lang w:eastAsia="zh-CN"/>
        </w:rPr>
        <w:sectPr>
          <w:footerReference r:id="rId3" w:type="default"/>
          <w:pgSz w:w="11907" w:h="16839"/>
          <w:pgMar w:top="1440" w:right="1440" w:bottom="1440" w:left="1440" w:header="0" w:footer="919" w:gutter="0"/>
          <w:cols w:space="720" w:num="1"/>
        </w:sectPr>
      </w:pPr>
    </w:p>
    <w:p w14:paraId="74DD9ABD">
      <w:pPr>
        <w:tabs>
          <w:tab w:val="left" w:pos="561"/>
          <w:tab w:val="center" w:pos="4513"/>
          <w:tab w:val="left" w:pos="5723"/>
        </w:tabs>
        <w:spacing w:line="360" w:lineRule="auto"/>
        <w:jc w:val="center"/>
        <w:rPr>
          <w:rFonts w:ascii="宋体" w:hAnsi="宋体" w:eastAsia="宋体"/>
          <w:color w:val="auto"/>
          <w:sz w:val="24"/>
          <w:szCs w:val="24"/>
        </w:rPr>
      </w:pPr>
      <w:r>
        <w:rPr>
          <w:rFonts w:ascii="宋体" w:hAnsi="宋体" w:eastAsia="宋体" w:cs="宋体"/>
          <w:b/>
          <w:bCs/>
          <w:color w:val="auto"/>
          <w:sz w:val="28"/>
          <w:szCs w:val="28"/>
          <w:lang w:eastAsia="zh-CN"/>
        </w:rPr>
        <w:t>目</w:t>
      </w:r>
      <w:r>
        <w:rPr>
          <w:rFonts w:ascii="宋体" w:hAnsi="宋体" w:eastAsia="宋体" w:cs="宋体"/>
          <w:b/>
          <w:bCs/>
          <w:color w:val="auto"/>
          <w:sz w:val="28"/>
          <w:szCs w:val="28"/>
          <w:lang w:eastAsia="zh-CN"/>
        </w:rPr>
        <w:tab/>
      </w:r>
      <w:r>
        <w:rPr>
          <w:rFonts w:ascii="宋体" w:hAnsi="宋体" w:eastAsia="宋体" w:cs="宋体"/>
          <w:b/>
          <w:bCs/>
          <w:color w:val="auto"/>
          <w:sz w:val="28"/>
          <w:szCs w:val="28"/>
          <w:lang w:eastAsia="zh-CN"/>
        </w:rPr>
        <w:t>录</w:t>
      </w:r>
      <w:r>
        <w:rPr>
          <w:rFonts w:ascii="宋体" w:hAnsi="宋体" w:eastAsia="宋体" w:cs="宋体"/>
          <w:color w:val="auto"/>
          <w:sz w:val="24"/>
          <w:szCs w:val="24"/>
          <w:lang w:eastAsia="zh-CN"/>
        </w:rPr>
        <w:fldChar w:fldCharType="begin"/>
      </w:r>
      <w:r>
        <w:rPr>
          <w:rFonts w:ascii="宋体" w:hAnsi="宋体" w:eastAsia="宋体" w:cs="宋体"/>
          <w:color w:val="auto"/>
          <w:sz w:val="24"/>
          <w:szCs w:val="24"/>
          <w:lang w:eastAsia="zh-CN"/>
        </w:rPr>
        <w:instrText xml:space="preserve"> TOC \o "1-3" \h \z \u </w:instrText>
      </w:r>
      <w:r>
        <w:rPr>
          <w:rFonts w:ascii="宋体" w:hAnsi="宋体" w:eastAsia="宋体" w:cs="宋体"/>
          <w:color w:val="auto"/>
          <w:sz w:val="24"/>
          <w:szCs w:val="24"/>
          <w:lang w:eastAsia="zh-CN"/>
        </w:rPr>
        <w:fldChar w:fldCharType="separate"/>
      </w:r>
    </w:p>
    <w:p w14:paraId="5A21884F">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"_Toc25152728" </w:instrText>
      </w:r>
      <w:r>
        <w:rPr>
          <w:color w:val="auto"/>
        </w:rPr>
        <w:fldChar w:fldCharType="separate"/>
      </w:r>
      <w:r>
        <w:rPr>
          <w:rStyle w:val="27"/>
          <w:rFonts w:hint="eastAsia"/>
          <w:color w:val="auto"/>
          <w:sz w:val="24"/>
          <w:szCs w:val="24"/>
          <w:lang w:eastAsia="zh-CN"/>
        </w:rPr>
        <w:t>第一卷</w:t>
      </w:r>
      <w:r>
        <w:rPr>
          <w:color w:val="auto"/>
          <w:sz w:val="24"/>
          <w:szCs w:val="24"/>
        </w:rPr>
        <w:tab/>
      </w:r>
      <w:r>
        <w:rPr>
          <w:color w:val="auto"/>
          <w:sz w:val="24"/>
          <w:szCs w:val="24"/>
        </w:rPr>
        <w:fldChar w:fldCharType="begin"/>
      </w:r>
      <w:r>
        <w:rPr>
          <w:color w:val="auto"/>
          <w:sz w:val="24"/>
          <w:szCs w:val="24"/>
        </w:rPr>
        <w:instrText xml:space="preserve"> PAGEREF _Toc25152728 \h </w:instrText>
      </w:r>
      <w:r>
        <w:rPr>
          <w:color w:val="auto"/>
          <w:sz w:val="24"/>
          <w:szCs w:val="24"/>
        </w:rPr>
        <w:fldChar w:fldCharType="separate"/>
      </w:r>
      <w:r>
        <w:rPr>
          <w:color w:val="auto"/>
          <w:sz w:val="24"/>
          <w:szCs w:val="24"/>
        </w:rPr>
        <w:t>2</w:t>
      </w:r>
      <w:r>
        <w:rPr>
          <w:color w:val="auto"/>
          <w:sz w:val="24"/>
          <w:szCs w:val="24"/>
        </w:rPr>
        <w:fldChar w:fldCharType="end"/>
      </w:r>
      <w:r>
        <w:rPr>
          <w:color w:val="auto"/>
          <w:sz w:val="24"/>
          <w:szCs w:val="24"/>
        </w:rPr>
        <w:fldChar w:fldCharType="end"/>
      </w:r>
    </w:p>
    <w:p w14:paraId="15372164">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"_Toc25152729" </w:instrText>
      </w:r>
      <w:r>
        <w:rPr>
          <w:color w:val="auto"/>
        </w:rPr>
        <w:fldChar w:fldCharType="separate"/>
      </w:r>
      <w:r>
        <w:rPr>
          <w:rStyle w:val="27"/>
          <w:rFonts w:hint="eastAsia"/>
          <w:color w:val="auto"/>
          <w:sz w:val="24"/>
          <w:szCs w:val="24"/>
          <w:lang w:eastAsia="zh-CN"/>
        </w:rPr>
        <w:t>第一章</w:t>
      </w:r>
      <w:r>
        <w:rPr>
          <w:rStyle w:val="27"/>
          <w:color w:val="auto"/>
          <w:sz w:val="24"/>
          <w:szCs w:val="24"/>
          <w:lang w:eastAsia="zh-CN"/>
        </w:rPr>
        <w:t xml:space="preserve">  </w:t>
      </w:r>
      <w:r>
        <w:rPr>
          <w:rStyle w:val="27"/>
          <w:rFonts w:hint="eastAsia"/>
          <w:color w:val="auto"/>
          <w:sz w:val="24"/>
          <w:szCs w:val="24"/>
          <w:lang w:eastAsia="zh-CN"/>
        </w:rPr>
        <w:t>招标公告</w:t>
      </w:r>
      <w:r>
        <w:rPr>
          <w:color w:val="auto"/>
          <w:sz w:val="24"/>
          <w:szCs w:val="24"/>
        </w:rPr>
        <w:tab/>
      </w:r>
      <w:r>
        <w:rPr>
          <w:color w:val="auto"/>
          <w:sz w:val="24"/>
          <w:szCs w:val="24"/>
        </w:rPr>
        <w:fldChar w:fldCharType="begin"/>
      </w:r>
      <w:r>
        <w:rPr>
          <w:color w:val="auto"/>
          <w:sz w:val="24"/>
          <w:szCs w:val="24"/>
        </w:rPr>
        <w:instrText xml:space="preserve"> PAGEREF _Toc25152729 \h </w:instrText>
      </w:r>
      <w:r>
        <w:rPr>
          <w:color w:val="auto"/>
          <w:sz w:val="24"/>
          <w:szCs w:val="24"/>
        </w:rPr>
        <w:fldChar w:fldCharType="separate"/>
      </w:r>
      <w:r>
        <w:rPr>
          <w:color w:val="auto"/>
          <w:sz w:val="24"/>
          <w:szCs w:val="24"/>
        </w:rPr>
        <w:t>3</w:t>
      </w:r>
      <w:r>
        <w:rPr>
          <w:color w:val="auto"/>
          <w:sz w:val="24"/>
          <w:szCs w:val="24"/>
        </w:rPr>
        <w:fldChar w:fldCharType="end"/>
      </w:r>
      <w:r>
        <w:rPr>
          <w:color w:val="auto"/>
          <w:sz w:val="24"/>
          <w:szCs w:val="24"/>
        </w:rPr>
        <w:fldChar w:fldCharType="end"/>
      </w:r>
    </w:p>
    <w:p w14:paraId="621CB004">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"_Toc25152730" </w:instrText>
      </w:r>
      <w:r>
        <w:rPr>
          <w:color w:val="auto"/>
        </w:rPr>
        <w:fldChar w:fldCharType="separate"/>
      </w:r>
      <w:r>
        <w:rPr>
          <w:rStyle w:val="27"/>
          <w:rFonts w:hint="eastAsia"/>
          <w:color w:val="auto"/>
          <w:sz w:val="24"/>
          <w:szCs w:val="24"/>
          <w:lang w:eastAsia="zh-CN"/>
        </w:rPr>
        <w:t>第二章</w:t>
      </w:r>
      <w:r>
        <w:rPr>
          <w:rStyle w:val="27"/>
          <w:color w:val="auto"/>
          <w:sz w:val="24"/>
          <w:szCs w:val="24"/>
          <w:lang w:eastAsia="zh-CN"/>
        </w:rPr>
        <w:t xml:space="preserve">  </w:t>
      </w:r>
      <w:r>
        <w:rPr>
          <w:rStyle w:val="27"/>
          <w:rFonts w:hint="eastAsia"/>
          <w:color w:val="auto"/>
          <w:sz w:val="24"/>
          <w:szCs w:val="24"/>
          <w:lang w:eastAsia="zh-CN"/>
        </w:rPr>
        <w:t>投标人须知</w:t>
      </w:r>
      <w:r>
        <w:rPr>
          <w:color w:val="auto"/>
          <w:sz w:val="24"/>
          <w:szCs w:val="24"/>
        </w:rPr>
        <w:tab/>
      </w:r>
      <w:r>
        <w:rPr>
          <w:rFonts w:hint="eastAsia"/>
          <w:color w:val="auto"/>
          <w:sz w:val="24"/>
          <w:szCs w:val="24"/>
          <w:lang w:eastAsia="zh-CN"/>
        </w:rPr>
        <w:t>5</w:t>
      </w:r>
      <w:r>
        <w:rPr>
          <w:rFonts w:hint="eastAsia"/>
          <w:color w:val="auto"/>
          <w:sz w:val="24"/>
          <w:szCs w:val="24"/>
          <w:lang w:eastAsia="zh-CN"/>
        </w:rPr>
        <w:fldChar w:fldCharType="end"/>
      </w:r>
    </w:p>
    <w:p w14:paraId="0946AAE6">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"_Toc25152731" </w:instrText>
      </w:r>
      <w:r>
        <w:rPr>
          <w:color w:val="auto"/>
        </w:rPr>
        <w:fldChar w:fldCharType="separate"/>
      </w:r>
      <w:r>
        <w:rPr>
          <w:rStyle w:val="27"/>
          <w:rFonts w:hint="eastAsia"/>
          <w:color w:val="auto"/>
          <w:sz w:val="24"/>
          <w:szCs w:val="24"/>
          <w:lang w:eastAsia="zh-CN"/>
        </w:rPr>
        <w:t>投标人须知前附表</w:t>
      </w:r>
      <w:r>
        <w:rPr>
          <w:color w:val="auto"/>
          <w:sz w:val="24"/>
          <w:szCs w:val="24"/>
        </w:rPr>
        <w:tab/>
      </w:r>
      <w:r>
        <w:rPr>
          <w:color w:val="auto"/>
          <w:sz w:val="24"/>
          <w:szCs w:val="24"/>
        </w:rPr>
        <w:fldChar w:fldCharType="begin"/>
      </w:r>
      <w:r>
        <w:rPr>
          <w:color w:val="auto"/>
          <w:sz w:val="24"/>
          <w:szCs w:val="24"/>
        </w:rPr>
        <w:instrText xml:space="preserve"> PAGEREF _Toc25152731 \h </w:instrText>
      </w:r>
      <w:r>
        <w:rPr>
          <w:color w:val="auto"/>
          <w:sz w:val="24"/>
          <w:szCs w:val="24"/>
        </w:rPr>
        <w:fldChar w:fldCharType="separate"/>
      </w:r>
      <w:r>
        <w:rPr>
          <w:color w:val="auto"/>
          <w:sz w:val="24"/>
          <w:szCs w:val="24"/>
        </w:rPr>
        <w:t>4</w:t>
      </w:r>
      <w:r>
        <w:rPr>
          <w:color w:val="auto"/>
          <w:sz w:val="24"/>
          <w:szCs w:val="24"/>
        </w:rPr>
        <w:fldChar w:fldCharType="end"/>
      </w:r>
      <w:r>
        <w:rPr>
          <w:color w:val="auto"/>
          <w:sz w:val="24"/>
          <w:szCs w:val="24"/>
        </w:rPr>
        <w:fldChar w:fldCharType="end"/>
      </w:r>
    </w:p>
    <w:p w14:paraId="34998015">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"_Toc25152732" </w:instrText>
      </w:r>
      <w:r>
        <w:rPr>
          <w:color w:val="auto"/>
        </w:rPr>
        <w:fldChar w:fldCharType="separate"/>
      </w:r>
      <w:r>
        <w:rPr>
          <w:rStyle w:val="27"/>
          <w:color w:val="auto"/>
          <w:sz w:val="24"/>
          <w:szCs w:val="24"/>
        </w:rPr>
        <w:t xml:space="preserve">1. </w:t>
      </w:r>
      <w:r>
        <w:rPr>
          <w:rStyle w:val="27"/>
          <w:rFonts w:hint="eastAsia"/>
          <w:color w:val="auto"/>
          <w:sz w:val="24"/>
          <w:szCs w:val="24"/>
        </w:rPr>
        <w:t>总则</w:t>
      </w:r>
      <w:r>
        <w:rPr>
          <w:color w:val="auto"/>
          <w:sz w:val="24"/>
          <w:szCs w:val="24"/>
        </w:rPr>
        <w:tab/>
      </w:r>
      <w:r>
        <w:rPr>
          <w:color w:val="auto"/>
          <w:sz w:val="24"/>
          <w:szCs w:val="24"/>
        </w:rPr>
        <w:fldChar w:fldCharType="begin"/>
      </w:r>
      <w:r>
        <w:rPr>
          <w:color w:val="auto"/>
          <w:sz w:val="24"/>
          <w:szCs w:val="24"/>
        </w:rPr>
        <w:instrText xml:space="preserve"> PAGEREF _Toc25152732 \h </w:instrText>
      </w:r>
      <w:r>
        <w:rPr>
          <w:color w:val="auto"/>
          <w:sz w:val="24"/>
          <w:szCs w:val="24"/>
        </w:rPr>
        <w:fldChar w:fldCharType="separate"/>
      </w:r>
      <w:r>
        <w:rPr>
          <w:color w:val="auto"/>
          <w:sz w:val="24"/>
          <w:szCs w:val="24"/>
        </w:rPr>
        <w:t>18</w:t>
      </w:r>
      <w:r>
        <w:rPr>
          <w:color w:val="auto"/>
          <w:sz w:val="24"/>
          <w:szCs w:val="24"/>
        </w:rPr>
        <w:fldChar w:fldCharType="end"/>
      </w:r>
      <w:r>
        <w:rPr>
          <w:color w:val="auto"/>
          <w:sz w:val="24"/>
          <w:szCs w:val="24"/>
        </w:rPr>
        <w:fldChar w:fldCharType="end"/>
      </w:r>
    </w:p>
    <w:p w14:paraId="2EE930DE">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"_Toc25152733" </w:instrText>
      </w:r>
      <w:r>
        <w:rPr>
          <w:color w:val="auto"/>
        </w:rPr>
        <w:fldChar w:fldCharType="separate"/>
      </w:r>
      <w:r>
        <w:rPr>
          <w:rStyle w:val="27"/>
          <w:color w:val="auto"/>
          <w:sz w:val="24"/>
          <w:szCs w:val="24"/>
        </w:rPr>
        <w:t xml:space="preserve">2. </w:t>
      </w:r>
      <w:r>
        <w:rPr>
          <w:rStyle w:val="27"/>
          <w:rFonts w:hint="eastAsia"/>
          <w:color w:val="auto"/>
          <w:sz w:val="24"/>
          <w:szCs w:val="24"/>
        </w:rPr>
        <w:t>招标文件</w:t>
      </w:r>
      <w:r>
        <w:rPr>
          <w:color w:val="auto"/>
          <w:sz w:val="24"/>
          <w:szCs w:val="24"/>
        </w:rPr>
        <w:tab/>
      </w:r>
      <w:r>
        <w:rPr>
          <w:color w:val="auto"/>
          <w:sz w:val="24"/>
          <w:szCs w:val="24"/>
        </w:rPr>
        <w:fldChar w:fldCharType="begin"/>
      </w:r>
      <w:r>
        <w:rPr>
          <w:color w:val="auto"/>
          <w:sz w:val="24"/>
          <w:szCs w:val="24"/>
        </w:rPr>
        <w:instrText xml:space="preserve"> PAGEREF _Toc25152733 \h </w:instrText>
      </w:r>
      <w:r>
        <w:rPr>
          <w:color w:val="auto"/>
          <w:sz w:val="24"/>
          <w:szCs w:val="24"/>
        </w:rPr>
        <w:fldChar w:fldCharType="separate"/>
      </w:r>
      <w:r>
        <w:rPr>
          <w:color w:val="auto"/>
          <w:sz w:val="24"/>
          <w:szCs w:val="24"/>
        </w:rPr>
        <w:t>22</w:t>
      </w:r>
      <w:r>
        <w:rPr>
          <w:color w:val="auto"/>
          <w:sz w:val="24"/>
          <w:szCs w:val="24"/>
        </w:rPr>
        <w:fldChar w:fldCharType="end"/>
      </w:r>
      <w:r>
        <w:rPr>
          <w:color w:val="auto"/>
          <w:sz w:val="24"/>
          <w:szCs w:val="24"/>
        </w:rPr>
        <w:fldChar w:fldCharType="end"/>
      </w:r>
    </w:p>
    <w:p w14:paraId="0E1625C5">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"_Toc25152734" </w:instrText>
      </w:r>
      <w:r>
        <w:rPr>
          <w:color w:val="auto"/>
        </w:rPr>
        <w:fldChar w:fldCharType="separate"/>
      </w:r>
      <w:r>
        <w:rPr>
          <w:rStyle w:val="27"/>
          <w:color w:val="auto"/>
          <w:sz w:val="24"/>
          <w:szCs w:val="24"/>
        </w:rPr>
        <w:t xml:space="preserve">3. </w:t>
      </w:r>
      <w:r>
        <w:rPr>
          <w:rStyle w:val="27"/>
          <w:rFonts w:hint="eastAsia"/>
          <w:color w:val="auto"/>
          <w:sz w:val="24"/>
          <w:szCs w:val="24"/>
        </w:rPr>
        <w:t>投标文件</w:t>
      </w:r>
      <w:r>
        <w:rPr>
          <w:color w:val="auto"/>
          <w:sz w:val="24"/>
          <w:szCs w:val="24"/>
        </w:rPr>
        <w:tab/>
      </w:r>
      <w:r>
        <w:rPr>
          <w:color w:val="auto"/>
          <w:sz w:val="24"/>
          <w:szCs w:val="24"/>
        </w:rPr>
        <w:fldChar w:fldCharType="begin"/>
      </w:r>
      <w:r>
        <w:rPr>
          <w:color w:val="auto"/>
          <w:sz w:val="24"/>
          <w:szCs w:val="24"/>
        </w:rPr>
        <w:instrText xml:space="preserve"> PAGEREF _Toc25152734 \h </w:instrText>
      </w:r>
      <w:r>
        <w:rPr>
          <w:color w:val="auto"/>
          <w:sz w:val="24"/>
          <w:szCs w:val="24"/>
        </w:rPr>
        <w:fldChar w:fldCharType="separate"/>
      </w:r>
      <w:r>
        <w:rPr>
          <w:color w:val="auto"/>
          <w:sz w:val="24"/>
          <w:szCs w:val="24"/>
        </w:rPr>
        <w:t>23</w:t>
      </w:r>
      <w:r>
        <w:rPr>
          <w:color w:val="auto"/>
          <w:sz w:val="24"/>
          <w:szCs w:val="24"/>
        </w:rPr>
        <w:fldChar w:fldCharType="end"/>
      </w:r>
      <w:r>
        <w:rPr>
          <w:color w:val="auto"/>
          <w:sz w:val="24"/>
          <w:szCs w:val="24"/>
        </w:rPr>
        <w:fldChar w:fldCharType="end"/>
      </w:r>
    </w:p>
    <w:p w14:paraId="13CFBB8E">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"_Toc25152735" </w:instrText>
      </w:r>
      <w:r>
        <w:rPr>
          <w:color w:val="auto"/>
        </w:rPr>
        <w:fldChar w:fldCharType="separate"/>
      </w:r>
      <w:r>
        <w:rPr>
          <w:rStyle w:val="27"/>
          <w:color w:val="auto"/>
          <w:sz w:val="24"/>
          <w:szCs w:val="24"/>
        </w:rPr>
        <w:t xml:space="preserve">4. </w:t>
      </w:r>
      <w:r>
        <w:rPr>
          <w:rStyle w:val="27"/>
          <w:rFonts w:hint="eastAsia"/>
          <w:color w:val="auto"/>
          <w:sz w:val="24"/>
          <w:szCs w:val="24"/>
        </w:rPr>
        <w:t>投标</w:t>
      </w:r>
      <w:r>
        <w:rPr>
          <w:color w:val="auto"/>
          <w:sz w:val="24"/>
          <w:szCs w:val="24"/>
        </w:rPr>
        <w:tab/>
      </w:r>
      <w:r>
        <w:rPr>
          <w:color w:val="auto"/>
          <w:sz w:val="24"/>
          <w:szCs w:val="24"/>
        </w:rPr>
        <w:fldChar w:fldCharType="begin"/>
      </w:r>
      <w:r>
        <w:rPr>
          <w:color w:val="auto"/>
          <w:sz w:val="24"/>
          <w:szCs w:val="24"/>
        </w:rPr>
        <w:instrText xml:space="preserve"> PAGEREF _Toc25152735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14:paraId="663085EC">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"_Toc25152736" </w:instrText>
      </w:r>
      <w:r>
        <w:rPr>
          <w:color w:val="auto"/>
        </w:rPr>
        <w:fldChar w:fldCharType="separate"/>
      </w:r>
      <w:r>
        <w:rPr>
          <w:rStyle w:val="27"/>
          <w:color w:val="auto"/>
          <w:sz w:val="24"/>
          <w:szCs w:val="24"/>
        </w:rPr>
        <w:t xml:space="preserve">5. </w:t>
      </w:r>
      <w:r>
        <w:rPr>
          <w:rStyle w:val="27"/>
          <w:rFonts w:hint="eastAsia"/>
          <w:color w:val="auto"/>
          <w:sz w:val="24"/>
          <w:szCs w:val="24"/>
        </w:rPr>
        <w:t>开标</w:t>
      </w:r>
      <w:r>
        <w:rPr>
          <w:color w:val="auto"/>
          <w:sz w:val="24"/>
          <w:szCs w:val="24"/>
        </w:rPr>
        <w:tab/>
      </w:r>
      <w:r>
        <w:rPr>
          <w:color w:val="auto"/>
          <w:sz w:val="24"/>
          <w:szCs w:val="24"/>
        </w:rPr>
        <w:fldChar w:fldCharType="begin"/>
      </w:r>
      <w:r>
        <w:rPr>
          <w:color w:val="auto"/>
          <w:sz w:val="24"/>
          <w:szCs w:val="24"/>
        </w:rPr>
        <w:instrText xml:space="preserve"> PAGEREF _Toc25152736 \h </w:instrText>
      </w:r>
      <w:r>
        <w:rPr>
          <w:color w:val="auto"/>
          <w:sz w:val="24"/>
          <w:szCs w:val="24"/>
        </w:rPr>
        <w:fldChar w:fldCharType="separate"/>
      </w:r>
      <w:r>
        <w:rPr>
          <w:color w:val="auto"/>
          <w:sz w:val="24"/>
          <w:szCs w:val="24"/>
        </w:rPr>
        <w:t>28</w:t>
      </w:r>
      <w:r>
        <w:rPr>
          <w:color w:val="auto"/>
          <w:sz w:val="24"/>
          <w:szCs w:val="24"/>
        </w:rPr>
        <w:fldChar w:fldCharType="end"/>
      </w:r>
      <w:r>
        <w:rPr>
          <w:color w:val="auto"/>
          <w:sz w:val="24"/>
          <w:szCs w:val="24"/>
        </w:rPr>
        <w:fldChar w:fldCharType="end"/>
      </w:r>
    </w:p>
    <w:p w14:paraId="788F1F8C">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"_Toc25152737" </w:instrText>
      </w:r>
      <w:r>
        <w:rPr>
          <w:color w:val="auto"/>
        </w:rPr>
        <w:fldChar w:fldCharType="separate"/>
      </w:r>
      <w:r>
        <w:rPr>
          <w:rStyle w:val="27"/>
          <w:color w:val="auto"/>
          <w:sz w:val="24"/>
          <w:szCs w:val="24"/>
        </w:rPr>
        <w:t xml:space="preserve">6. </w:t>
      </w:r>
      <w:r>
        <w:rPr>
          <w:rStyle w:val="27"/>
          <w:rFonts w:hint="eastAsia"/>
          <w:color w:val="auto"/>
          <w:sz w:val="24"/>
          <w:szCs w:val="24"/>
        </w:rPr>
        <w:t>评标</w:t>
      </w:r>
      <w:r>
        <w:rPr>
          <w:color w:val="auto"/>
          <w:sz w:val="24"/>
          <w:szCs w:val="24"/>
        </w:rPr>
        <w:tab/>
      </w:r>
      <w:r>
        <w:rPr>
          <w:color w:val="auto"/>
          <w:sz w:val="24"/>
          <w:szCs w:val="24"/>
        </w:rPr>
        <w:fldChar w:fldCharType="begin"/>
      </w:r>
      <w:r>
        <w:rPr>
          <w:color w:val="auto"/>
          <w:sz w:val="24"/>
          <w:szCs w:val="24"/>
        </w:rPr>
        <w:instrText xml:space="preserve"> PAGEREF _Toc25152737 \h </w:instrText>
      </w:r>
      <w:r>
        <w:rPr>
          <w:color w:val="auto"/>
          <w:sz w:val="24"/>
          <w:szCs w:val="24"/>
        </w:rPr>
        <w:fldChar w:fldCharType="separate"/>
      </w:r>
      <w:r>
        <w:rPr>
          <w:color w:val="auto"/>
          <w:sz w:val="24"/>
          <w:szCs w:val="24"/>
        </w:rPr>
        <w:t>30</w:t>
      </w:r>
      <w:r>
        <w:rPr>
          <w:color w:val="auto"/>
          <w:sz w:val="24"/>
          <w:szCs w:val="24"/>
        </w:rPr>
        <w:fldChar w:fldCharType="end"/>
      </w:r>
      <w:r>
        <w:rPr>
          <w:color w:val="auto"/>
          <w:sz w:val="24"/>
          <w:szCs w:val="24"/>
        </w:rPr>
        <w:fldChar w:fldCharType="end"/>
      </w:r>
    </w:p>
    <w:p w14:paraId="0CE866CA">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"_Toc25152738" </w:instrText>
      </w:r>
      <w:r>
        <w:rPr>
          <w:color w:val="auto"/>
        </w:rPr>
        <w:fldChar w:fldCharType="separate"/>
      </w:r>
      <w:r>
        <w:rPr>
          <w:rStyle w:val="27"/>
          <w:color w:val="auto"/>
          <w:sz w:val="24"/>
          <w:szCs w:val="24"/>
        </w:rPr>
        <w:t xml:space="preserve">7. </w:t>
      </w:r>
      <w:r>
        <w:rPr>
          <w:rStyle w:val="27"/>
          <w:rFonts w:hint="eastAsia"/>
          <w:color w:val="auto"/>
          <w:sz w:val="24"/>
          <w:szCs w:val="24"/>
        </w:rPr>
        <w:t>合同授予</w:t>
      </w:r>
      <w:r>
        <w:rPr>
          <w:color w:val="auto"/>
          <w:sz w:val="24"/>
          <w:szCs w:val="24"/>
        </w:rPr>
        <w:tab/>
      </w:r>
      <w:r>
        <w:rPr>
          <w:color w:val="auto"/>
          <w:sz w:val="24"/>
          <w:szCs w:val="24"/>
        </w:rPr>
        <w:fldChar w:fldCharType="begin"/>
      </w:r>
      <w:r>
        <w:rPr>
          <w:color w:val="auto"/>
          <w:sz w:val="24"/>
          <w:szCs w:val="24"/>
        </w:rPr>
        <w:instrText xml:space="preserve"> PAGEREF _Toc25152738 \h </w:instrText>
      </w:r>
      <w:r>
        <w:rPr>
          <w:color w:val="auto"/>
          <w:sz w:val="24"/>
          <w:szCs w:val="24"/>
        </w:rPr>
        <w:fldChar w:fldCharType="separate"/>
      </w:r>
      <w:r>
        <w:rPr>
          <w:color w:val="auto"/>
          <w:sz w:val="24"/>
          <w:szCs w:val="24"/>
        </w:rPr>
        <w:t>31</w:t>
      </w:r>
      <w:r>
        <w:rPr>
          <w:color w:val="auto"/>
          <w:sz w:val="24"/>
          <w:szCs w:val="24"/>
        </w:rPr>
        <w:fldChar w:fldCharType="end"/>
      </w:r>
      <w:r>
        <w:rPr>
          <w:color w:val="auto"/>
          <w:sz w:val="24"/>
          <w:szCs w:val="24"/>
        </w:rPr>
        <w:fldChar w:fldCharType="end"/>
      </w:r>
    </w:p>
    <w:p w14:paraId="6F7E6957">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"_Toc25152739" </w:instrText>
      </w:r>
      <w:r>
        <w:rPr>
          <w:color w:val="auto"/>
        </w:rPr>
        <w:fldChar w:fldCharType="separate"/>
      </w:r>
      <w:r>
        <w:rPr>
          <w:rStyle w:val="27"/>
          <w:color w:val="auto"/>
          <w:sz w:val="24"/>
          <w:szCs w:val="24"/>
        </w:rPr>
        <w:t>8.</w:t>
      </w:r>
      <w:r>
        <w:rPr>
          <w:rStyle w:val="27"/>
          <w:color w:val="auto"/>
          <w:sz w:val="24"/>
          <w:szCs w:val="24"/>
          <w:lang w:eastAsia="zh-CN"/>
        </w:rPr>
        <w:t xml:space="preserve"> </w:t>
      </w:r>
      <w:r>
        <w:rPr>
          <w:rStyle w:val="27"/>
          <w:rFonts w:hint="eastAsia"/>
          <w:color w:val="auto"/>
          <w:sz w:val="24"/>
          <w:szCs w:val="24"/>
        </w:rPr>
        <w:t>纪律和监督</w:t>
      </w:r>
      <w:r>
        <w:rPr>
          <w:color w:val="auto"/>
          <w:sz w:val="24"/>
          <w:szCs w:val="24"/>
        </w:rPr>
        <w:tab/>
      </w:r>
      <w:r>
        <w:rPr>
          <w:color w:val="auto"/>
          <w:sz w:val="24"/>
          <w:szCs w:val="24"/>
        </w:rPr>
        <w:fldChar w:fldCharType="begin"/>
      </w:r>
      <w:r>
        <w:rPr>
          <w:color w:val="auto"/>
          <w:sz w:val="24"/>
          <w:szCs w:val="24"/>
        </w:rPr>
        <w:instrText xml:space="preserve"> PAGEREF _Toc25152739 \h </w:instrText>
      </w:r>
      <w:r>
        <w:rPr>
          <w:color w:val="auto"/>
          <w:sz w:val="24"/>
          <w:szCs w:val="24"/>
        </w:rPr>
        <w:fldChar w:fldCharType="separate"/>
      </w:r>
      <w:r>
        <w:rPr>
          <w:color w:val="auto"/>
          <w:sz w:val="24"/>
          <w:szCs w:val="24"/>
        </w:rPr>
        <w:t>33</w:t>
      </w:r>
      <w:r>
        <w:rPr>
          <w:color w:val="auto"/>
          <w:sz w:val="24"/>
          <w:szCs w:val="24"/>
        </w:rPr>
        <w:fldChar w:fldCharType="end"/>
      </w:r>
      <w:r>
        <w:rPr>
          <w:color w:val="auto"/>
          <w:sz w:val="24"/>
          <w:szCs w:val="24"/>
        </w:rPr>
        <w:fldChar w:fldCharType="end"/>
      </w:r>
    </w:p>
    <w:p w14:paraId="6D00B1F9">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"_Toc25152740" </w:instrText>
      </w:r>
      <w:r>
        <w:rPr>
          <w:color w:val="auto"/>
        </w:rPr>
        <w:fldChar w:fldCharType="separate"/>
      </w:r>
      <w:r>
        <w:rPr>
          <w:rStyle w:val="27"/>
          <w:color w:val="auto"/>
          <w:sz w:val="24"/>
          <w:szCs w:val="24"/>
          <w:lang w:eastAsia="zh-CN"/>
        </w:rPr>
        <w:t xml:space="preserve">9. </w:t>
      </w:r>
      <w:r>
        <w:rPr>
          <w:rStyle w:val="27"/>
          <w:rFonts w:hint="eastAsia"/>
          <w:color w:val="auto"/>
          <w:sz w:val="24"/>
          <w:szCs w:val="24"/>
          <w:lang w:eastAsia="zh-CN"/>
        </w:rPr>
        <w:t>是否采用电子招标投标</w:t>
      </w:r>
      <w:r>
        <w:rPr>
          <w:color w:val="auto"/>
          <w:sz w:val="24"/>
          <w:szCs w:val="24"/>
        </w:rPr>
        <w:tab/>
      </w:r>
      <w:r>
        <w:rPr>
          <w:color w:val="auto"/>
          <w:sz w:val="24"/>
          <w:szCs w:val="24"/>
        </w:rPr>
        <w:fldChar w:fldCharType="begin"/>
      </w:r>
      <w:r>
        <w:rPr>
          <w:color w:val="auto"/>
          <w:sz w:val="24"/>
          <w:szCs w:val="24"/>
        </w:rPr>
        <w:instrText xml:space="preserve"> PAGEREF _Toc25152740 \h </w:instrText>
      </w:r>
      <w:r>
        <w:rPr>
          <w:color w:val="auto"/>
          <w:sz w:val="24"/>
          <w:szCs w:val="24"/>
        </w:rPr>
        <w:fldChar w:fldCharType="separate"/>
      </w:r>
      <w:r>
        <w:rPr>
          <w:color w:val="auto"/>
          <w:sz w:val="24"/>
          <w:szCs w:val="24"/>
        </w:rPr>
        <w:t>34</w:t>
      </w:r>
      <w:r>
        <w:rPr>
          <w:color w:val="auto"/>
          <w:sz w:val="24"/>
          <w:szCs w:val="24"/>
        </w:rPr>
        <w:fldChar w:fldCharType="end"/>
      </w:r>
      <w:r>
        <w:rPr>
          <w:color w:val="auto"/>
          <w:sz w:val="24"/>
          <w:szCs w:val="24"/>
        </w:rPr>
        <w:fldChar w:fldCharType="end"/>
      </w:r>
    </w:p>
    <w:p w14:paraId="50775042">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"_Toc25152741" </w:instrText>
      </w:r>
      <w:r>
        <w:rPr>
          <w:color w:val="auto"/>
        </w:rPr>
        <w:fldChar w:fldCharType="separate"/>
      </w:r>
      <w:r>
        <w:rPr>
          <w:rStyle w:val="27"/>
          <w:color w:val="auto"/>
          <w:sz w:val="24"/>
          <w:szCs w:val="24"/>
        </w:rPr>
        <w:t xml:space="preserve">10. </w:t>
      </w:r>
      <w:r>
        <w:rPr>
          <w:rStyle w:val="27"/>
          <w:rFonts w:hint="eastAsia"/>
          <w:color w:val="auto"/>
          <w:sz w:val="24"/>
          <w:szCs w:val="24"/>
        </w:rPr>
        <w:t>需要补充的其他内容</w:t>
      </w:r>
      <w:r>
        <w:rPr>
          <w:color w:val="auto"/>
          <w:sz w:val="24"/>
          <w:szCs w:val="24"/>
        </w:rPr>
        <w:tab/>
      </w:r>
      <w:r>
        <w:rPr>
          <w:color w:val="auto"/>
          <w:sz w:val="24"/>
          <w:szCs w:val="24"/>
        </w:rPr>
        <w:fldChar w:fldCharType="begin"/>
      </w:r>
      <w:r>
        <w:rPr>
          <w:color w:val="auto"/>
          <w:sz w:val="24"/>
          <w:szCs w:val="24"/>
        </w:rPr>
        <w:instrText xml:space="preserve"> PAGEREF _Toc25152741 \h </w:instrText>
      </w:r>
      <w:r>
        <w:rPr>
          <w:color w:val="auto"/>
          <w:sz w:val="24"/>
          <w:szCs w:val="24"/>
        </w:rPr>
        <w:fldChar w:fldCharType="separate"/>
      </w:r>
      <w:r>
        <w:rPr>
          <w:color w:val="auto"/>
          <w:sz w:val="24"/>
          <w:szCs w:val="24"/>
        </w:rPr>
        <w:t>34</w:t>
      </w:r>
      <w:r>
        <w:rPr>
          <w:color w:val="auto"/>
          <w:sz w:val="24"/>
          <w:szCs w:val="24"/>
        </w:rPr>
        <w:fldChar w:fldCharType="end"/>
      </w:r>
      <w:r>
        <w:rPr>
          <w:color w:val="auto"/>
          <w:sz w:val="24"/>
          <w:szCs w:val="24"/>
        </w:rPr>
        <w:fldChar w:fldCharType="end"/>
      </w:r>
    </w:p>
    <w:p w14:paraId="3894DD97">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"_Toc25152742" </w:instrText>
      </w:r>
      <w:r>
        <w:rPr>
          <w:color w:val="auto"/>
        </w:rPr>
        <w:fldChar w:fldCharType="separate"/>
      </w:r>
      <w:r>
        <w:rPr>
          <w:rStyle w:val="27"/>
          <w:rFonts w:hint="eastAsia"/>
          <w:color w:val="auto"/>
          <w:spacing w:val="2"/>
          <w:sz w:val="24"/>
          <w:szCs w:val="24"/>
          <w:lang w:eastAsia="zh-CN"/>
        </w:rPr>
        <w:t>第三章评标办法（综合评估法）</w:t>
      </w:r>
      <w:r>
        <w:rPr>
          <w:color w:val="auto"/>
          <w:sz w:val="24"/>
          <w:szCs w:val="24"/>
        </w:rPr>
        <w:tab/>
      </w:r>
      <w:r>
        <w:rPr>
          <w:color w:val="auto"/>
          <w:sz w:val="24"/>
          <w:szCs w:val="24"/>
        </w:rPr>
        <w:fldChar w:fldCharType="begin"/>
      </w:r>
      <w:r>
        <w:rPr>
          <w:color w:val="auto"/>
          <w:sz w:val="24"/>
          <w:szCs w:val="24"/>
        </w:rPr>
        <w:instrText xml:space="preserve"> PAGEREF _Toc25152742 \h </w:instrText>
      </w:r>
      <w:r>
        <w:rPr>
          <w:color w:val="auto"/>
          <w:sz w:val="24"/>
          <w:szCs w:val="24"/>
        </w:rPr>
        <w:fldChar w:fldCharType="separate"/>
      </w:r>
      <w:r>
        <w:rPr>
          <w:color w:val="auto"/>
          <w:sz w:val="24"/>
          <w:szCs w:val="24"/>
        </w:rPr>
        <w:t>39</w:t>
      </w:r>
      <w:r>
        <w:rPr>
          <w:color w:val="auto"/>
          <w:sz w:val="24"/>
          <w:szCs w:val="24"/>
        </w:rPr>
        <w:fldChar w:fldCharType="end"/>
      </w:r>
      <w:r>
        <w:rPr>
          <w:color w:val="auto"/>
          <w:sz w:val="24"/>
          <w:szCs w:val="24"/>
        </w:rPr>
        <w:fldChar w:fldCharType="end"/>
      </w:r>
    </w:p>
    <w:p w14:paraId="37FFCB1A">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"_Toc25152743" </w:instrText>
      </w:r>
      <w:r>
        <w:rPr>
          <w:color w:val="auto"/>
        </w:rPr>
        <w:fldChar w:fldCharType="separate"/>
      </w:r>
      <w:r>
        <w:rPr>
          <w:rStyle w:val="27"/>
          <w:rFonts w:hint="eastAsia"/>
          <w:color w:val="auto"/>
          <w:sz w:val="24"/>
          <w:szCs w:val="24"/>
        </w:rPr>
        <w:t>评标办法前附表</w:t>
      </w:r>
      <w:r>
        <w:rPr>
          <w:color w:val="auto"/>
          <w:sz w:val="24"/>
          <w:szCs w:val="24"/>
        </w:rPr>
        <w:tab/>
      </w:r>
      <w:r>
        <w:rPr>
          <w:color w:val="auto"/>
          <w:sz w:val="24"/>
          <w:szCs w:val="24"/>
        </w:rPr>
        <w:fldChar w:fldCharType="begin"/>
      </w:r>
      <w:r>
        <w:rPr>
          <w:color w:val="auto"/>
          <w:sz w:val="24"/>
          <w:szCs w:val="24"/>
        </w:rPr>
        <w:instrText xml:space="preserve"> PAGEREF _Toc25152743 \h </w:instrText>
      </w:r>
      <w:r>
        <w:rPr>
          <w:color w:val="auto"/>
          <w:sz w:val="24"/>
          <w:szCs w:val="24"/>
        </w:rPr>
        <w:fldChar w:fldCharType="separate"/>
      </w:r>
      <w:r>
        <w:rPr>
          <w:color w:val="auto"/>
          <w:sz w:val="24"/>
          <w:szCs w:val="24"/>
        </w:rPr>
        <w:t>39</w:t>
      </w:r>
      <w:r>
        <w:rPr>
          <w:color w:val="auto"/>
          <w:sz w:val="24"/>
          <w:szCs w:val="24"/>
        </w:rPr>
        <w:fldChar w:fldCharType="end"/>
      </w:r>
      <w:r>
        <w:rPr>
          <w:color w:val="auto"/>
          <w:sz w:val="24"/>
          <w:szCs w:val="24"/>
        </w:rPr>
        <w:fldChar w:fldCharType="end"/>
      </w:r>
    </w:p>
    <w:p w14:paraId="2C30032E">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"_Toc25152744" </w:instrText>
      </w:r>
      <w:r>
        <w:rPr>
          <w:color w:val="auto"/>
        </w:rPr>
        <w:fldChar w:fldCharType="separate"/>
      </w:r>
      <w:r>
        <w:rPr>
          <w:rStyle w:val="27"/>
          <w:color w:val="auto"/>
          <w:sz w:val="24"/>
          <w:szCs w:val="24"/>
        </w:rPr>
        <w:t xml:space="preserve">1. </w:t>
      </w:r>
      <w:r>
        <w:rPr>
          <w:rStyle w:val="27"/>
          <w:rFonts w:hint="eastAsia"/>
          <w:color w:val="auto"/>
          <w:sz w:val="24"/>
          <w:szCs w:val="24"/>
        </w:rPr>
        <w:t>评标方法</w:t>
      </w:r>
      <w:r>
        <w:rPr>
          <w:color w:val="auto"/>
          <w:sz w:val="24"/>
          <w:szCs w:val="24"/>
        </w:rPr>
        <w:tab/>
      </w:r>
      <w:r>
        <w:rPr>
          <w:color w:val="auto"/>
          <w:sz w:val="24"/>
          <w:szCs w:val="24"/>
        </w:rPr>
        <w:fldChar w:fldCharType="begin"/>
      </w:r>
      <w:r>
        <w:rPr>
          <w:color w:val="auto"/>
          <w:sz w:val="24"/>
          <w:szCs w:val="24"/>
        </w:rPr>
        <w:instrText xml:space="preserve"> PAGEREF _Toc25152744 \h </w:instrText>
      </w:r>
      <w:r>
        <w:rPr>
          <w:color w:val="auto"/>
          <w:sz w:val="24"/>
          <w:szCs w:val="24"/>
        </w:rPr>
        <w:fldChar w:fldCharType="separate"/>
      </w:r>
      <w:r>
        <w:rPr>
          <w:color w:val="auto"/>
          <w:sz w:val="24"/>
          <w:szCs w:val="24"/>
        </w:rPr>
        <w:t>47</w:t>
      </w:r>
      <w:r>
        <w:rPr>
          <w:color w:val="auto"/>
          <w:sz w:val="24"/>
          <w:szCs w:val="24"/>
        </w:rPr>
        <w:fldChar w:fldCharType="end"/>
      </w:r>
      <w:r>
        <w:rPr>
          <w:color w:val="auto"/>
          <w:sz w:val="24"/>
          <w:szCs w:val="24"/>
        </w:rPr>
        <w:fldChar w:fldCharType="end"/>
      </w:r>
    </w:p>
    <w:p w14:paraId="34E61B7B">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"_Toc25152745" </w:instrText>
      </w:r>
      <w:r>
        <w:rPr>
          <w:color w:val="auto"/>
        </w:rPr>
        <w:fldChar w:fldCharType="separate"/>
      </w:r>
      <w:r>
        <w:rPr>
          <w:rStyle w:val="27"/>
          <w:color w:val="auto"/>
          <w:sz w:val="24"/>
          <w:szCs w:val="24"/>
        </w:rPr>
        <w:t xml:space="preserve">2. </w:t>
      </w:r>
      <w:r>
        <w:rPr>
          <w:rStyle w:val="27"/>
          <w:rFonts w:hint="eastAsia"/>
          <w:color w:val="auto"/>
          <w:sz w:val="24"/>
          <w:szCs w:val="24"/>
        </w:rPr>
        <w:t>评审标准</w:t>
      </w:r>
      <w:r>
        <w:rPr>
          <w:color w:val="auto"/>
          <w:sz w:val="24"/>
          <w:szCs w:val="24"/>
        </w:rPr>
        <w:tab/>
      </w:r>
      <w:r>
        <w:rPr>
          <w:color w:val="auto"/>
          <w:sz w:val="24"/>
          <w:szCs w:val="24"/>
        </w:rPr>
        <w:fldChar w:fldCharType="begin"/>
      </w:r>
      <w:r>
        <w:rPr>
          <w:color w:val="auto"/>
          <w:sz w:val="24"/>
          <w:szCs w:val="24"/>
        </w:rPr>
        <w:instrText xml:space="preserve"> PAGEREF _Toc25152745 \h </w:instrText>
      </w:r>
      <w:r>
        <w:rPr>
          <w:color w:val="auto"/>
          <w:sz w:val="24"/>
          <w:szCs w:val="24"/>
        </w:rPr>
        <w:fldChar w:fldCharType="separate"/>
      </w:r>
      <w:r>
        <w:rPr>
          <w:color w:val="auto"/>
          <w:sz w:val="24"/>
          <w:szCs w:val="24"/>
        </w:rPr>
        <w:t>47</w:t>
      </w:r>
      <w:r>
        <w:rPr>
          <w:color w:val="auto"/>
          <w:sz w:val="24"/>
          <w:szCs w:val="24"/>
        </w:rPr>
        <w:fldChar w:fldCharType="end"/>
      </w:r>
      <w:r>
        <w:rPr>
          <w:color w:val="auto"/>
          <w:sz w:val="24"/>
          <w:szCs w:val="24"/>
        </w:rPr>
        <w:fldChar w:fldCharType="end"/>
      </w:r>
    </w:p>
    <w:p w14:paraId="5F873139">
      <w:pPr>
        <w:pStyle w:val="12"/>
        <w:tabs>
          <w:tab w:val="right" w:leader="dot" w:pos="9350"/>
        </w:tabs>
        <w:spacing w:line="360" w:lineRule="auto"/>
        <w:ind w:left="0"/>
        <w:rPr>
          <w:color w:val="auto"/>
          <w:kern w:val="2"/>
          <w:sz w:val="24"/>
          <w:szCs w:val="24"/>
          <w:lang w:eastAsia="zh-CN"/>
        </w:rPr>
      </w:pPr>
      <w:r>
        <w:rPr>
          <w:color w:val="auto"/>
        </w:rPr>
        <w:fldChar w:fldCharType="begin"/>
      </w:r>
      <w:r>
        <w:rPr>
          <w:color w:val="auto"/>
        </w:rPr>
        <w:instrText xml:space="preserve"> HYPERLINK \l "_Toc25152746" </w:instrText>
      </w:r>
      <w:r>
        <w:rPr>
          <w:color w:val="auto"/>
        </w:rPr>
        <w:fldChar w:fldCharType="separate"/>
      </w:r>
      <w:r>
        <w:rPr>
          <w:rStyle w:val="27"/>
          <w:color w:val="auto"/>
          <w:sz w:val="24"/>
          <w:szCs w:val="24"/>
        </w:rPr>
        <w:t xml:space="preserve">3. </w:t>
      </w:r>
      <w:r>
        <w:rPr>
          <w:rStyle w:val="27"/>
          <w:rFonts w:hint="eastAsia"/>
          <w:color w:val="auto"/>
          <w:sz w:val="24"/>
          <w:szCs w:val="24"/>
        </w:rPr>
        <w:t>评标程序</w:t>
      </w:r>
      <w:r>
        <w:rPr>
          <w:color w:val="auto"/>
          <w:sz w:val="24"/>
          <w:szCs w:val="24"/>
        </w:rPr>
        <w:tab/>
      </w:r>
      <w:r>
        <w:rPr>
          <w:color w:val="auto"/>
          <w:sz w:val="24"/>
          <w:szCs w:val="24"/>
        </w:rPr>
        <w:fldChar w:fldCharType="begin"/>
      </w:r>
      <w:r>
        <w:rPr>
          <w:color w:val="auto"/>
          <w:sz w:val="24"/>
          <w:szCs w:val="24"/>
        </w:rPr>
        <w:instrText xml:space="preserve"> PAGEREF _Toc25152746 \h </w:instrText>
      </w:r>
      <w:r>
        <w:rPr>
          <w:color w:val="auto"/>
          <w:sz w:val="24"/>
          <w:szCs w:val="24"/>
        </w:rPr>
        <w:fldChar w:fldCharType="separate"/>
      </w:r>
      <w:r>
        <w:rPr>
          <w:color w:val="auto"/>
          <w:sz w:val="24"/>
          <w:szCs w:val="24"/>
        </w:rPr>
        <w:t>47</w:t>
      </w:r>
      <w:r>
        <w:rPr>
          <w:color w:val="auto"/>
          <w:sz w:val="24"/>
          <w:szCs w:val="24"/>
        </w:rPr>
        <w:fldChar w:fldCharType="end"/>
      </w:r>
      <w:r>
        <w:rPr>
          <w:color w:val="auto"/>
          <w:sz w:val="24"/>
          <w:szCs w:val="24"/>
        </w:rPr>
        <w:fldChar w:fldCharType="end"/>
      </w:r>
    </w:p>
    <w:p w14:paraId="46690370">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"_Toc25152747" </w:instrText>
      </w:r>
      <w:r>
        <w:rPr>
          <w:color w:val="auto"/>
        </w:rPr>
        <w:fldChar w:fldCharType="separate"/>
      </w:r>
      <w:r>
        <w:rPr>
          <w:rStyle w:val="27"/>
          <w:rFonts w:hint="eastAsia"/>
          <w:color w:val="auto"/>
          <w:sz w:val="24"/>
          <w:szCs w:val="24"/>
          <w:lang w:eastAsia="zh-CN"/>
        </w:rPr>
        <w:t>第四章</w:t>
      </w:r>
      <w:r>
        <w:rPr>
          <w:rStyle w:val="27"/>
          <w:color w:val="auto"/>
          <w:sz w:val="24"/>
          <w:szCs w:val="24"/>
          <w:lang w:eastAsia="zh-CN"/>
        </w:rPr>
        <w:t xml:space="preserve">  </w:t>
      </w:r>
      <w:r>
        <w:rPr>
          <w:rStyle w:val="27"/>
          <w:rFonts w:hint="eastAsia"/>
          <w:color w:val="auto"/>
          <w:sz w:val="24"/>
          <w:szCs w:val="24"/>
          <w:lang w:eastAsia="zh-CN"/>
        </w:rPr>
        <w:t>合同条款及格式</w:t>
      </w:r>
      <w:r>
        <w:rPr>
          <w:color w:val="auto"/>
          <w:sz w:val="24"/>
          <w:szCs w:val="24"/>
        </w:rPr>
        <w:tab/>
      </w:r>
      <w:r>
        <w:rPr>
          <w:color w:val="auto"/>
          <w:sz w:val="24"/>
          <w:szCs w:val="24"/>
        </w:rPr>
        <w:fldChar w:fldCharType="begin"/>
      </w:r>
      <w:r>
        <w:rPr>
          <w:color w:val="auto"/>
          <w:sz w:val="24"/>
          <w:szCs w:val="24"/>
        </w:rPr>
        <w:instrText xml:space="preserve"> PAGEREF _Toc25152747 \h </w:instrText>
      </w:r>
      <w:r>
        <w:rPr>
          <w:color w:val="auto"/>
          <w:sz w:val="24"/>
          <w:szCs w:val="24"/>
        </w:rPr>
        <w:fldChar w:fldCharType="separate"/>
      </w:r>
      <w:r>
        <w:rPr>
          <w:color w:val="auto"/>
          <w:sz w:val="24"/>
          <w:szCs w:val="24"/>
        </w:rPr>
        <w:t>50</w:t>
      </w:r>
      <w:r>
        <w:rPr>
          <w:color w:val="auto"/>
          <w:sz w:val="24"/>
          <w:szCs w:val="24"/>
        </w:rPr>
        <w:fldChar w:fldCharType="end"/>
      </w:r>
      <w:r>
        <w:rPr>
          <w:color w:val="auto"/>
          <w:sz w:val="24"/>
          <w:szCs w:val="24"/>
        </w:rPr>
        <w:fldChar w:fldCharType="end"/>
      </w:r>
    </w:p>
    <w:p w14:paraId="2D952A15">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"_Toc25152748" </w:instrText>
      </w:r>
      <w:r>
        <w:rPr>
          <w:color w:val="auto"/>
        </w:rPr>
        <w:fldChar w:fldCharType="separate"/>
      </w:r>
      <w:r>
        <w:rPr>
          <w:rStyle w:val="27"/>
          <w:rFonts w:hint="eastAsia"/>
          <w:color w:val="auto"/>
          <w:sz w:val="24"/>
          <w:szCs w:val="24"/>
          <w:lang w:eastAsia="zh-CN"/>
        </w:rPr>
        <w:t>第二</w:t>
      </w:r>
      <w:bookmarkStart w:id="0" w:name="_Hlt60074167"/>
      <w:r>
        <w:rPr>
          <w:rStyle w:val="27"/>
          <w:rFonts w:hint="eastAsia"/>
          <w:color w:val="auto"/>
          <w:sz w:val="24"/>
          <w:szCs w:val="24"/>
          <w:lang w:eastAsia="zh-CN"/>
        </w:rPr>
        <w:t>卷</w:t>
      </w:r>
      <w:bookmarkEnd w:id="0"/>
      <w:r>
        <w:rPr>
          <w:color w:val="auto"/>
          <w:sz w:val="24"/>
          <w:szCs w:val="24"/>
        </w:rPr>
        <w:tab/>
      </w:r>
      <w:r>
        <w:rPr>
          <w:color w:val="auto"/>
          <w:sz w:val="24"/>
          <w:szCs w:val="24"/>
        </w:rPr>
        <w:fldChar w:fldCharType="begin"/>
      </w:r>
      <w:r>
        <w:rPr>
          <w:color w:val="auto"/>
          <w:sz w:val="24"/>
          <w:szCs w:val="24"/>
        </w:rPr>
        <w:instrText xml:space="preserve"> PAGEREF _Toc25152748 \h </w:instrText>
      </w:r>
      <w:r>
        <w:rPr>
          <w:color w:val="auto"/>
          <w:sz w:val="24"/>
          <w:szCs w:val="24"/>
        </w:rPr>
        <w:fldChar w:fldCharType="separate"/>
      </w:r>
      <w:r>
        <w:rPr>
          <w:color w:val="auto"/>
          <w:sz w:val="24"/>
          <w:szCs w:val="24"/>
        </w:rPr>
        <w:t>51</w:t>
      </w:r>
      <w:r>
        <w:rPr>
          <w:color w:val="auto"/>
          <w:sz w:val="24"/>
          <w:szCs w:val="24"/>
        </w:rPr>
        <w:fldChar w:fldCharType="end"/>
      </w:r>
      <w:r>
        <w:rPr>
          <w:color w:val="auto"/>
          <w:sz w:val="24"/>
          <w:szCs w:val="24"/>
        </w:rPr>
        <w:fldChar w:fldCharType="end"/>
      </w:r>
    </w:p>
    <w:p w14:paraId="7B35BE55">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"_Toc25152749" </w:instrText>
      </w:r>
      <w:r>
        <w:rPr>
          <w:color w:val="auto"/>
        </w:rPr>
        <w:fldChar w:fldCharType="separate"/>
      </w:r>
      <w:r>
        <w:rPr>
          <w:rStyle w:val="27"/>
          <w:rFonts w:hint="eastAsia"/>
          <w:color w:val="auto"/>
          <w:sz w:val="24"/>
          <w:szCs w:val="24"/>
          <w:lang w:eastAsia="zh-CN"/>
        </w:rPr>
        <w:t>第五章</w:t>
      </w:r>
      <w:r>
        <w:rPr>
          <w:rStyle w:val="27"/>
          <w:color w:val="auto"/>
          <w:sz w:val="24"/>
          <w:szCs w:val="24"/>
          <w:lang w:eastAsia="zh-CN"/>
        </w:rPr>
        <w:t xml:space="preserve">  </w:t>
      </w:r>
      <w:r>
        <w:rPr>
          <w:rStyle w:val="27"/>
          <w:rFonts w:hint="eastAsia"/>
          <w:color w:val="auto"/>
          <w:sz w:val="24"/>
          <w:szCs w:val="24"/>
          <w:lang w:eastAsia="zh-CN"/>
        </w:rPr>
        <w:t>发包人要求</w:t>
      </w:r>
      <w:r>
        <w:rPr>
          <w:color w:val="auto"/>
          <w:sz w:val="24"/>
          <w:szCs w:val="24"/>
        </w:rPr>
        <w:tab/>
      </w:r>
      <w:r>
        <w:rPr>
          <w:color w:val="auto"/>
          <w:sz w:val="24"/>
          <w:szCs w:val="24"/>
        </w:rPr>
        <w:fldChar w:fldCharType="begin"/>
      </w:r>
      <w:r>
        <w:rPr>
          <w:color w:val="auto"/>
          <w:sz w:val="24"/>
          <w:szCs w:val="24"/>
        </w:rPr>
        <w:instrText xml:space="preserve"> PAGEREF _Toc25152749 \h </w:instrText>
      </w:r>
      <w:r>
        <w:rPr>
          <w:color w:val="auto"/>
          <w:sz w:val="24"/>
          <w:szCs w:val="24"/>
        </w:rPr>
        <w:fldChar w:fldCharType="separate"/>
      </w:r>
      <w:r>
        <w:rPr>
          <w:color w:val="auto"/>
          <w:sz w:val="24"/>
          <w:szCs w:val="24"/>
        </w:rPr>
        <w:t>52</w:t>
      </w:r>
      <w:r>
        <w:rPr>
          <w:color w:val="auto"/>
          <w:sz w:val="24"/>
          <w:szCs w:val="24"/>
        </w:rPr>
        <w:fldChar w:fldCharType="end"/>
      </w:r>
      <w:r>
        <w:rPr>
          <w:color w:val="auto"/>
          <w:sz w:val="24"/>
          <w:szCs w:val="24"/>
        </w:rPr>
        <w:fldChar w:fldCharType="end"/>
      </w:r>
    </w:p>
    <w:p w14:paraId="3E1C132F">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"_Toc25152751" </w:instrText>
      </w:r>
      <w:r>
        <w:rPr>
          <w:color w:val="auto"/>
        </w:rPr>
        <w:fldChar w:fldCharType="separate"/>
      </w:r>
      <w:r>
        <w:rPr>
          <w:rStyle w:val="27"/>
          <w:rFonts w:hint="eastAsia"/>
          <w:color w:val="auto"/>
          <w:sz w:val="24"/>
          <w:szCs w:val="24"/>
          <w:lang w:eastAsia="zh-CN"/>
        </w:rPr>
        <w:t>第三卷</w:t>
      </w:r>
      <w:r>
        <w:rPr>
          <w:color w:val="auto"/>
          <w:sz w:val="24"/>
          <w:szCs w:val="24"/>
        </w:rPr>
        <w:tab/>
      </w:r>
      <w:r>
        <w:rPr>
          <w:color w:val="auto"/>
          <w:sz w:val="24"/>
          <w:szCs w:val="24"/>
        </w:rPr>
        <w:fldChar w:fldCharType="begin"/>
      </w:r>
      <w:r>
        <w:rPr>
          <w:color w:val="auto"/>
          <w:sz w:val="24"/>
          <w:szCs w:val="24"/>
        </w:rPr>
        <w:instrText xml:space="preserve"> PAGEREF _Toc25152751 \h </w:instrText>
      </w:r>
      <w:r>
        <w:rPr>
          <w:color w:val="auto"/>
          <w:sz w:val="24"/>
          <w:szCs w:val="24"/>
        </w:rPr>
        <w:fldChar w:fldCharType="separate"/>
      </w:r>
      <w:r>
        <w:rPr>
          <w:color w:val="auto"/>
          <w:sz w:val="24"/>
          <w:szCs w:val="24"/>
        </w:rPr>
        <w:t>53</w:t>
      </w:r>
      <w:r>
        <w:rPr>
          <w:color w:val="auto"/>
          <w:sz w:val="24"/>
          <w:szCs w:val="24"/>
        </w:rPr>
        <w:fldChar w:fldCharType="end"/>
      </w:r>
      <w:r>
        <w:rPr>
          <w:color w:val="auto"/>
          <w:sz w:val="24"/>
          <w:szCs w:val="24"/>
        </w:rPr>
        <w:fldChar w:fldCharType="end"/>
      </w:r>
    </w:p>
    <w:p w14:paraId="64C45F59">
      <w:pPr>
        <w:pStyle w:val="17"/>
        <w:tabs>
          <w:tab w:val="right" w:leader="dot" w:pos="9350"/>
        </w:tabs>
        <w:spacing w:line="360" w:lineRule="auto"/>
        <w:rPr>
          <w:color w:val="auto"/>
          <w:kern w:val="2"/>
          <w:sz w:val="24"/>
          <w:szCs w:val="24"/>
          <w:lang w:eastAsia="zh-CN"/>
        </w:rPr>
      </w:pPr>
      <w:r>
        <w:rPr>
          <w:color w:val="auto"/>
        </w:rPr>
        <w:fldChar w:fldCharType="begin"/>
      </w:r>
      <w:r>
        <w:rPr>
          <w:color w:val="auto"/>
        </w:rPr>
        <w:instrText xml:space="preserve"> HYPERLINK \l "_Toc25152752" </w:instrText>
      </w:r>
      <w:r>
        <w:rPr>
          <w:color w:val="auto"/>
        </w:rPr>
        <w:fldChar w:fldCharType="separate"/>
      </w:r>
      <w:r>
        <w:rPr>
          <w:rStyle w:val="27"/>
          <w:rFonts w:hint="eastAsia"/>
          <w:color w:val="auto"/>
          <w:sz w:val="24"/>
          <w:szCs w:val="24"/>
          <w:lang w:eastAsia="zh-CN"/>
        </w:rPr>
        <w:t>第六章</w:t>
      </w:r>
      <w:r>
        <w:rPr>
          <w:rStyle w:val="27"/>
          <w:color w:val="auto"/>
          <w:sz w:val="24"/>
          <w:szCs w:val="24"/>
          <w:lang w:eastAsia="zh-CN"/>
        </w:rPr>
        <w:t xml:space="preserve">  </w:t>
      </w:r>
      <w:r>
        <w:rPr>
          <w:rStyle w:val="27"/>
          <w:rFonts w:hint="eastAsia"/>
          <w:color w:val="auto"/>
          <w:sz w:val="24"/>
          <w:szCs w:val="24"/>
          <w:lang w:eastAsia="zh-CN"/>
        </w:rPr>
        <w:t>投标文件格式</w:t>
      </w:r>
      <w:r>
        <w:rPr>
          <w:color w:val="auto"/>
          <w:sz w:val="24"/>
          <w:szCs w:val="24"/>
        </w:rPr>
        <w:tab/>
      </w:r>
      <w:r>
        <w:rPr>
          <w:color w:val="auto"/>
          <w:sz w:val="24"/>
          <w:szCs w:val="24"/>
        </w:rPr>
        <w:fldChar w:fldCharType="begin"/>
      </w:r>
      <w:r>
        <w:rPr>
          <w:color w:val="auto"/>
          <w:sz w:val="24"/>
          <w:szCs w:val="24"/>
        </w:rPr>
        <w:instrText xml:space="preserve"> PAGEREF _Toc25152752 \h </w:instrText>
      </w:r>
      <w:r>
        <w:rPr>
          <w:color w:val="auto"/>
          <w:sz w:val="24"/>
          <w:szCs w:val="24"/>
        </w:rPr>
        <w:fldChar w:fldCharType="separate"/>
      </w:r>
      <w:r>
        <w:rPr>
          <w:color w:val="auto"/>
          <w:sz w:val="24"/>
          <w:szCs w:val="24"/>
        </w:rPr>
        <w:t>54</w:t>
      </w:r>
      <w:r>
        <w:rPr>
          <w:color w:val="auto"/>
          <w:sz w:val="24"/>
          <w:szCs w:val="24"/>
        </w:rPr>
        <w:fldChar w:fldCharType="end"/>
      </w:r>
      <w:r>
        <w:rPr>
          <w:color w:val="auto"/>
          <w:sz w:val="24"/>
          <w:szCs w:val="24"/>
        </w:rPr>
        <w:fldChar w:fldCharType="end"/>
      </w:r>
    </w:p>
    <w:p w14:paraId="7140386E">
      <w:pPr>
        <w:tabs>
          <w:tab w:val="left" w:pos="561"/>
        </w:tabs>
        <w:spacing w:line="360" w:lineRule="auto"/>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fldChar w:fldCharType="end"/>
      </w:r>
    </w:p>
    <w:p w14:paraId="1C4BE985">
      <w:pPr>
        <w:rPr>
          <w:rFonts w:ascii="宋体" w:hAnsi="宋体" w:eastAsia="宋体" w:cs="宋体"/>
          <w:color w:val="auto"/>
          <w:sz w:val="20"/>
          <w:szCs w:val="20"/>
          <w:lang w:eastAsia="zh-CN"/>
        </w:rPr>
      </w:pPr>
      <w:r>
        <w:rPr>
          <w:rFonts w:ascii="宋体" w:hAnsi="宋体" w:eastAsia="宋体" w:cs="宋体"/>
          <w:color w:val="auto"/>
          <w:sz w:val="24"/>
          <w:szCs w:val="24"/>
          <w:lang w:eastAsia="zh-CN"/>
        </w:rPr>
        <w:br w:type="page"/>
      </w:r>
      <w:bookmarkStart w:id="1" w:name="_Toc25137978"/>
      <w:bookmarkStart w:id="2" w:name="_Toc25152728"/>
    </w:p>
    <w:p w14:paraId="20E93B50">
      <w:pPr>
        <w:rPr>
          <w:rFonts w:ascii="宋体" w:hAnsi="宋体" w:eastAsia="宋体" w:cs="宋体"/>
          <w:color w:val="auto"/>
          <w:sz w:val="20"/>
          <w:szCs w:val="20"/>
          <w:lang w:eastAsia="zh-CN"/>
        </w:rPr>
      </w:pPr>
    </w:p>
    <w:p w14:paraId="1C19EEE9">
      <w:pPr>
        <w:rPr>
          <w:rFonts w:ascii="宋体" w:hAnsi="宋体" w:eastAsia="宋体" w:cs="宋体"/>
          <w:color w:val="auto"/>
          <w:sz w:val="20"/>
          <w:szCs w:val="20"/>
          <w:lang w:eastAsia="zh-CN"/>
        </w:rPr>
      </w:pPr>
    </w:p>
    <w:p w14:paraId="449CF071">
      <w:pPr>
        <w:rPr>
          <w:rFonts w:ascii="宋体" w:hAnsi="宋体" w:eastAsia="宋体" w:cs="宋体"/>
          <w:color w:val="auto"/>
          <w:sz w:val="20"/>
          <w:szCs w:val="20"/>
          <w:lang w:eastAsia="zh-CN"/>
        </w:rPr>
      </w:pPr>
    </w:p>
    <w:p w14:paraId="17471F39">
      <w:pPr>
        <w:rPr>
          <w:rFonts w:ascii="宋体" w:hAnsi="宋体" w:eastAsia="宋体" w:cs="宋体"/>
          <w:color w:val="auto"/>
          <w:sz w:val="20"/>
          <w:szCs w:val="20"/>
          <w:lang w:eastAsia="zh-CN"/>
        </w:rPr>
      </w:pPr>
    </w:p>
    <w:p w14:paraId="3A34DF16">
      <w:pPr>
        <w:pStyle w:val="3"/>
        <w:spacing w:line="738" w:lineRule="exact"/>
        <w:ind w:right="3"/>
        <w:jc w:val="center"/>
        <w:rPr>
          <w:rFonts w:ascii="宋体" w:hAnsi="宋体" w:eastAsia="宋体"/>
          <w:color w:val="auto"/>
          <w:lang w:eastAsia="zh-CN"/>
        </w:rPr>
      </w:pPr>
      <w:r>
        <w:rPr>
          <w:rFonts w:ascii="宋体" w:hAnsi="宋体" w:eastAsia="宋体"/>
          <w:color w:val="auto"/>
          <w:lang w:eastAsia="zh-CN"/>
        </w:rPr>
        <w:t>第一卷</w:t>
      </w:r>
      <w:bookmarkEnd w:id="1"/>
      <w:bookmarkEnd w:id="2"/>
    </w:p>
    <w:p w14:paraId="7346DFDA">
      <w:pPr>
        <w:tabs>
          <w:tab w:val="left" w:pos="561"/>
        </w:tabs>
        <w:spacing w:line="360" w:lineRule="auto"/>
        <w:jc w:val="center"/>
        <w:rPr>
          <w:rFonts w:ascii="宋体" w:hAnsi="宋体" w:eastAsia="宋体"/>
          <w:color w:val="auto"/>
          <w:lang w:eastAsia="zh-CN"/>
        </w:rPr>
      </w:pPr>
      <w:r>
        <w:rPr>
          <w:rFonts w:ascii="宋体" w:hAnsi="宋体" w:eastAsia="宋体"/>
          <w:color w:val="auto"/>
          <w:lang w:eastAsia="zh-CN"/>
        </w:rPr>
        <w:br w:type="page"/>
      </w:r>
    </w:p>
    <w:p w14:paraId="7367592E">
      <w:pPr>
        <w:pStyle w:val="3"/>
        <w:jc w:val="center"/>
        <w:rPr>
          <w:rFonts w:ascii="宋体" w:hAnsi="宋体" w:eastAsia="宋体"/>
          <w:color w:val="auto"/>
          <w:lang w:eastAsia="zh-CN"/>
        </w:rPr>
      </w:pPr>
      <w:bookmarkStart w:id="3" w:name="_Toc25137979"/>
      <w:bookmarkStart w:id="4" w:name="_Toc25152729"/>
      <w:r>
        <w:rPr>
          <w:rFonts w:ascii="宋体" w:hAnsi="宋体" w:eastAsia="宋体"/>
          <w:color w:val="auto"/>
          <w:lang w:eastAsia="zh-CN"/>
        </w:rPr>
        <w:t>第一章</w:t>
      </w:r>
      <w:r>
        <w:rPr>
          <w:rFonts w:hint="eastAsia" w:ascii="宋体" w:hAnsi="宋体" w:eastAsia="宋体"/>
          <w:color w:val="auto"/>
          <w:lang w:eastAsia="zh-CN"/>
        </w:rPr>
        <w:t xml:space="preserve">  </w:t>
      </w:r>
      <w:r>
        <w:rPr>
          <w:rFonts w:ascii="宋体" w:hAnsi="宋体" w:eastAsia="宋体"/>
          <w:color w:val="auto"/>
          <w:lang w:eastAsia="zh-CN"/>
        </w:rPr>
        <w:t>招标公告</w:t>
      </w:r>
      <w:bookmarkEnd w:id="3"/>
      <w:bookmarkEnd w:id="4"/>
    </w:p>
    <w:p w14:paraId="18B135ED">
      <w:pPr>
        <w:widowControl/>
        <w:spacing w:line="360" w:lineRule="auto"/>
        <w:jc w:val="center"/>
        <w:rPr>
          <w:rFonts w:ascii="宋体" w:hAnsi="宋体" w:eastAsia="宋体"/>
          <w:color w:val="auto"/>
          <w:sz w:val="24"/>
          <w:szCs w:val="24"/>
          <w:lang w:eastAsia="zh-CN"/>
        </w:rPr>
      </w:pPr>
    </w:p>
    <w:p w14:paraId="15998747">
      <w:pPr>
        <w:pStyle w:val="3"/>
        <w:spacing w:after="240"/>
        <w:jc w:val="center"/>
        <w:rPr>
          <w:rFonts w:ascii="宋体" w:hAnsi="宋体" w:eastAsia="宋体"/>
          <w:color w:val="auto"/>
          <w:lang w:eastAsia="zh-CN"/>
        </w:rPr>
      </w:pPr>
      <w:r>
        <w:rPr>
          <w:rFonts w:hint="eastAsia" w:ascii="宋体" w:hAnsi="宋体" w:eastAsia="宋体"/>
          <w:color w:val="auto"/>
          <w:sz w:val="24"/>
          <w:szCs w:val="24"/>
          <w:lang w:eastAsia="zh-CN"/>
        </w:rPr>
        <w:t>(另册)</w:t>
      </w:r>
      <w:r>
        <w:rPr>
          <w:rFonts w:ascii="宋体" w:hAnsi="宋体" w:eastAsia="宋体"/>
          <w:color w:val="auto"/>
          <w:sz w:val="24"/>
          <w:szCs w:val="24"/>
          <w:lang w:eastAsia="zh-CN"/>
        </w:rPr>
        <w:br w:type="page"/>
      </w:r>
      <w:r>
        <w:rPr>
          <w:rFonts w:ascii="宋体" w:hAnsi="宋体" w:eastAsia="宋体"/>
          <w:color w:val="auto"/>
          <w:lang w:eastAsia="zh-CN"/>
        </w:rPr>
        <w:t>第二章</w:t>
      </w:r>
      <w:r>
        <w:rPr>
          <w:rFonts w:hint="eastAsia" w:ascii="宋体" w:hAnsi="宋体" w:eastAsia="宋体"/>
          <w:color w:val="auto"/>
          <w:lang w:eastAsia="zh-CN"/>
        </w:rPr>
        <w:t xml:space="preserve">  </w:t>
      </w:r>
      <w:r>
        <w:rPr>
          <w:rFonts w:ascii="宋体" w:hAnsi="宋体" w:eastAsia="宋体"/>
          <w:color w:val="auto"/>
          <w:lang w:eastAsia="zh-CN"/>
        </w:rPr>
        <w:t>投标人须知</w:t>
      </w:r>
    </w:p>
    <w:p w14:paraId="31A26426">
      <w:pPr>
        <w:pStyle w:val="5"/>
        <w:ind w:left="0"/>
        <w:jc w:val="center"/>
        <w:rPr>
          <w:rFonts w:ascii="宋体" w:hAnsi="宋体" w:eastAsia="宋体" w:cs="Microsoft JhengHei"/>
          <w:b w:val="0"/>
          <w:bCs w:val="0"/>
          <w:color w:val="auto"/>
          <w:sz w:val="20"/>
          <w:szCs w:val="20"/>
          <w:lang w:eastAsia="zh-CN"/>
        </w:rPr>
      </w:pPr>
      <w:bookmarkStart w:id="5" w:name="_Toc25152731"/>
      <w:bookmarkStart w:id="6" w:name="_Toc25137981"/>
      <w:r>
        <w:rPr>
          <w:rFonts w:ascii="宋体" w:hAnsi="宋体" w:eastAsia="宋体"/>
          <w:color w:val="auto"/>
          <w:lang w:eastAsia="zh-CN"/>
        </w:rPr>
        <w:t>投标人须知前附表</w:t>
      </w:r>
      <w:bookmarkEnd w:id="5"/>
      <w:bookmarkEnd w:id="6"/>
    </w:p>
    <w:p w14:paraId="56A89CF1">
      <w:pPr>
        <w:spacing w:before="12"/>
        <w:rPr>
          <w:rFonts w:ascii="宋体" w:hAnsi="宋体" w:eastAsia="宋体" w:cs="Microsoft JhengHei"/>
          <w:b/>
          <w:bCs/>
          <w:color w:val="auto"/>
          <w:sz w:val="12"/>
          <w:szCs w:val="12"/>
          <w:lang w:eastAsia="zh-CN"/>
        </w:rPr>
      </w:pPr>
    </w:p>
    <w:tbl>
      <w:tblPr>
        <w:tblStyle w:val="24"/>
        <w:tblW w:w="9387" w:type="dxa"/>
        <w:tblInd w:w="0" w:type="dxa"/>
        <w:tblLayout w:type="fixed"/>
        <w:tblCellMar>
          <w:top w:w="0" w:type="dxa"/>
          <w:left w:w="0" w:type="dxa"/>
          <w:bottom w:w="0" w:type="dxa"/>
          <w:right w:w="0" w:type="dxa"/>
        </w:tblCellMar>
      </w:tblPr>
      <w:tblGrid>
        <w:gridCol w:w="995"/>
        <w:gridCol w:w="2019"/>
        <w:gridCol w:w="6373"/>
      </w:tblGrid>
      <w:tr w14:paraId="2F75C9DE">
        <w:tblPrEx>
          <w:tblCellMar>
            <w:top w:w="0" w:type="dxa"/>
            <w:left w:w="0" w:type="dxa"/>
            <w:bottom w:w="0" w:type="dxa"/>
            <w:right w:w="0" w:type="dxa"/>
          </w:tblCellMar>
        </w:tblPrEx>
        <w:trPr>
          <w:tblHeader/>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475D1032">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条款号</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2F31AEC">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条款名称</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434DFF5">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编列内容</w:t>
            </w:r>
          </w:p>
        </w:tc>
      </w:tr>
      <w:tr w14:paraId="06D3F081">
        <w:tblPrEx>
          <w:tblCellMar>
            <w:top w:w="0" w:type="dxa"/>
            <w:left w:w="0" w:type="dxa"/>
            <w:bottom w:w="0" w:type="dxa"/>
            <w:right w:w="0" w:type="dxa"/>
          </w:tblCellMar>
        </w:tblPrEx>
        <w:trPr>
          <w:trHeight w:val="1406"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34F88F0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5665BE4">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D3E37B4">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名称：广州市奥宝物业管理有限公司</w:t>
            </w:r>
          </w:p>
          <w:p w14:paraId="6F93F2AD">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地址：广州市越秀区东风东路765、767、769号东宝大厦</w:t>
            </w:r>
          </w:p>
          <w:p w14:paraId="62F1B165">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邱工</w:t>
            </w:r>
            <w:r>
              <w:rPr>
                <w:rFonts w:hint="eastAsia" w:ascii="宋体" w:hAnsi="宋体" w:eastAsia="宋体" w:cs="宋体"/>
                <w:color w:val="auto"/>
                <w:sz w:val="21"/>
                <w:szCs w:val="21"/>
                <w:highlight w:val="none"/>
                <w:lang w:eastAsia="zh-CN"/>
              </w:rPr>
              <w:t xml:space="preserve"> </w:t>
            </w:r>
          </w:p>
          <w:p w14:paraId="57248CB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电话：020-38320188-1</w:t>
            </w:r>
            <w:r>
              <w:rPr>
                <w:rFonts w:hint="eastAsia" w:ascii="宋体" w:hAnsi="宋体" w:eastAsia="宋体" w:cs="宋体"/>
                <w:color w:val="auto"/>
                <w:sz w:val="21"/>
                <w:szCs w:val="21"/>
                <w:highlight w:val="none"/>
                <w:lang w:val="en-US" w:eastAsia="zh-CN"/>
              </w:rPr>
              <w:t>805</w:t>
            </w:r>
          </w:p>
        </w:tc>
      </w:tr>
      <w:tr w14:paraId="2F3035A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45764E9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4C751F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47D204D">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名称：广州工建工程咨询有限公司</w:t>
            </w:r>
          </w:p>
          <w:p w14:paraId="20AA71C3">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地址：广州市南沙区进港大道10号1706-1707-1708-1709</w:t>
            </w:r>
          </w:p>
          <w:p w14:paraId="4F540B41">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联系人：</w:t>
            </w:r>
            <w:r>
              <w:rPr>
                <w:rFonts w:hint="eastAsia" w:ascii="宋体" w:hAnsi="宋体" w:eastAsia="宋体" w:cs="宋体"/>
                <w:color w:val="auto"/>
                <w:sz w:val="21"/>
                <w:szCs w:val="21"/>
                <w:lang w:val="en-US" w:eastAsia="zh-CN"/>
              </w:rPr>
              <w:t>陈</w:t>
            </w:r>
            <w:r>
              <w:rPr>
                <w:rFonts w:hint="eastAsia" w:ascii="宋体" w:hAnsi="宋体" w:eastAsia="宋体" w:cs="宋体"/>
                <w:color w:val="auto"/>
                <w:sz w:val="21"/>
                <w:szCs w:val="21"/>
                <w:lang w:eastAsia="zh-CN"/>
              </w:rPr>
              <w:t>工</w:t>
            </w:r>
          </w:p>
          <w:p w14:paraId="16A1239C">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电话：020-88529135</w:t>
            </w:r>
          </w:p>
        </w:tc>
      </w:tr>
      <w:tr w14:paraId="38F8FC7B">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BF389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1.1.4</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1DDCA2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招标项目名称</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213B595">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广州市黄埔区新业路48号扩建项目设计</w:t>
            </w:r>
          </w:p>
        </w:tc>
      </w:tr>
      <w:tr w14:paraId="3C3B6A3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8204F4">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1.1.5</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4E9E2F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项目建设地点</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F2DE50C">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详见招标公告</w:t>
            </w:r>
          </w:p>
        </w:tc>
      </w:tr>
      <w:tr w14:paraId="73322C4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F426B1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1.1.6</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FCC000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项目建设规模</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CE7CBB6">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lang w:eastAsia="zh-CN"/>
              </w:rPr>
              <w:t>详见招标公告</w:t>
            </w:r>
          </w:p>
        </w:tc>
      </w:tr>
      <w:tr w14:paraId="6AB805B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57BF38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1.1.7</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3DFF10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项目投资估算</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E727114">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lang w:eastAsia="zh-CN"/>
              </w:rPr>
              <w:t>详见招标公告</w:t>
            </w:r>
          </w:p>
        </w:tc>
      </w:tr>
      <w:tr w14:paraId="3006AAB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173714C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1.2.1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06D8C7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资金来源及比例</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5F10503">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详见招标公告</w:t>
            </w:r>
          </w:p>
        </w:tc>
      </w:tr>
      <w:tr w14:paraId="0DE172E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7235C3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1.2.2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562602D">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DE1200A">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已落实</w:t>
            </w:r>
          </w:p>
        </w:tc>
      </w:tr>
      <w:tr w14:paraId="012DF3B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9793D4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1.3.1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56930C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招标范围</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3EADA05">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lang w:eastAsia="zh-CN"/>
              </w:rPr>
              <w:t>详见招标公告</w:t>
            </w:r>
          </w:p>
        </w:tc>
      </w:tr>
      <w:tr w14:paraId="50435FD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25EA78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1.3.2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CA3CE5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设计服务期限</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E4EC0CE">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lang w:eastAsia="zh-CN"/>
              </w:rPr>
              <w:t>详见招标公告</w:t>
            </w:r>
          </w:p>
        </w:tc>
      </w:tr>
      <w:tr w14:paraId="343FA231">
        <w:tblPrEx>
          <w:tblCellMar>
            <w:top w:w="0" w:type="dxa"/>
            <w:left w:w="0" w:type="dxa"/>
            <w:bottom w:w="0" w:type="dxa"/>
            <w:right w:w="0" w:type="dxa"/>
          </w:tblCellMar>
        </w:tblPrEx>
        <w:trPr>
          <w:trHeight w:val="438"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4FA0464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1.3.3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5927B3D">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质量标准</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40A1ABF8">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国家及地方有关工程设计管理法规和规章，达到行业相关规范技术标准等要求。</w:t>
            </w:r>
          </w:p>
        </w:tc>
      </w:tr>
      <w:tr w14:paraId="6128EAE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1F495EA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1.4.1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0873EE4">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投标人资质条件、能力、信誉</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1AF7C4E">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1、资质要求：详见招标公告第3条投标人资格要求</w:t>
            </w:r>
          </w:p>
          <w:p w14:paraId="02B51827">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2、财务要求：/</w:t>
            </w:r>
          </w:p>
          <w:p w14:paraId="1364D10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3、业绩要求：/</w:t>
            </w:r>
          </w:p>
          <w:p w14:paraId="20787B4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4、信誉要求：详见招标公告第3条投标人资格要求</w:t>
            </w:r>
          </w:p>
          <w:p w14:paraId="1A24C639">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5、项目负责人的资格要求：详见招标公告第3条投标人资格要求</w:t>
            </w:r>
          </w:p>
          <w:p w14:paraId="233C9FCF">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6、其他主要人员要求：/</w:t>
            </w:r>
          </w:p>
          <w:p w14:paraId="6E9545ED">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b/>
                <w:color w:val="auto"/>
                <w:sz w:val="21"/>
                <w:szCs w:val="21"/>
                <w:lang w:eastAsia="zh-CN"/>
              </w:rPr>
            </w:pPr>
            <w:r>
              <w:rPr>
                <w:rFonts w:hint="eastAsia" w:ascii="宋体" w:hAnsi="宋体" w:eastAsia="宋体" w:cs="宋体"/>
                <w:color w:val="auto"/>
                <w:sz w:val="21"/>
                <w:szCs w:val="21"/>
                <w:lang w:eastAsia="zh-CN"/>
              </w:rPr>
              <w:t>7、其他要求：详见招标公告第3条投标人资格要求</w:t>
            </w:r>
          </w:p>
        </w:tc>
      </w:tr>
      <w:tr w14:paraId="0EF7CFB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CA4C1A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1.4.2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E1FBF7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是否接受联合体投标</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F31FA39">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不接受联合体投标。</w:t>
            </w:r>
          </w:p>
          <w:p w14:paraId="22BCE13F">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Times New Roman"/>
                <w:color w:val="auto"/>
                <w:sz w:val="21"/>
                <w:szCs w:val="21"/>
                <w:lang w:eastAsia="zh-CN"/>
              </w:rPr>
              <w:t>■</w:t>
            </w:r>
            <w:r>
              <w:rPr>
                <w:rFonts w:hint="eastAsia" w:ascii="宋体" w:hAnsi="宋体" w:eastAsia="宋体" w:cs="宋体"/>
                <w:color w:val="auto"/>
                <w:sz w:val="21"/>
                <w:szCs w:val="21"/>
                <w:lang w:eastAsia="zh-CN"/>
              </w:rPr>
              <w:t>不接受</w:t>
            </w:r>
          </w:p>
          <w:p w14:paraId="4E57E8B5">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eastAsia="zh-CN"/>
              </w:rPr>
              <w:t>接受，应满足下列要求：</w:t>
            </w:r>
            <w:r>
              <w:rPr>
                <w:rFonts w:hint="eastAsia" w:ascii="宋体" w:hAnsi="宋体" w:eastAsia="宋体" w:cs="宋体"/>
                <w:color w:val="auto"/>
                <w:sz w:val="21"/>
                <w:szCs w:val="21"/>
                <w:lang w:val="en-US" w:eastAsia="zh-CN"/>
              </w:rPr>
              <w:t>/</w:t>
            </w:r>
          </w:p>
        </w:tc>
      </w:tr>
      <w:tr w14:paraId="59223C59">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4248AE4D">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1.4.3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B21C9F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投标人不得存在的其他情形</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AD91899">
            <w:pPr>
              <w:pStyle w:val="41"/>
              <w:keepNext w:val="0"/>
              <w:keepLines w:val="0"/>
              <w:suppressLineNumbers w:val="0"/>
              <w:spacing w:before="0" w:beforeAutospacing="0" w:after="0" w:afterAutospacing="0"/>
              <w:ind w:left="0" w:right="0"/>
              <w:jc w:val="both"/>
              <w:rPr>
                <w:rFonts w:hint="default" w:ascii="Times New Roman" w:hAnsi="Times New Roman" w:cs="Times New Roman"/>
                <w:color w:val="auto"/>
                <w:lang w:eastAsia="zh-CN"/>
              </w:rPr>
            </w:pPr>
            <w:r>
              <w:rPr>
                <w:rFonts w:hint="eastAsia" w:ascii="宋体" w:hAnsi="宋体" w:eastAsia="宋体" w:cs="宋体"/>
                <w:color w:val="auto"/>
                <w:sz w:val="21"/>
                <w:szCs w:val="21"/>
                <w:lang w:val="en-US" w:eastAsia="zh-CN"/>
              </w:rPr>
              <w:t>/</w:t>
            </w:r>
          </w:p>
        </w:tc>
      </w:tr>
      <w:tr w14:paraId="2198A59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AA215E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1.9.1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925B04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踏勘现场</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544019D">
            <w:pPr>
              <w:keepNext w:val="0"/>
              <w:keepLines w:val="0"/>
              <w:suppressLineNumbers w:val="0"/>
              <w:autoSpaceDE w:val="0"/>
              <w:autoSpaceDN w:val="0"/>
              <w:adjustRightInd w:val="0"/>
              <w:spacing w:before="0" w:beforeAutospacing="0" w:after="0" w:afterAutospacing="0" w:line="360" w:lineRule="exact"/>
              <w:ind w:left="103" w:right="-20"/>
              <w:rPr>
                <w:rFonts w:hint="default" w:ascii="宋体" w:hAnsi="宋体" w:cs="Calibri"/>
                <w:color w:val="auto"/>
                <w:szCs w:val="21"/>
                <w:lang w:eastAsia="zh-CN"/>
              </w:rPr>
            </w:pPr>
            <w:r>
              <w:rPr>
                <w:rFonts w:hint="eastAsia" w:ascii="宋体" w:hAnsi="宋体" w:cs="Arial"/>
                <w:color w:val="auto"/>
                <w:sz w:val="24"/>
                <w:lang w:eastAsia="zh-CN"/>
              </w:rPr>
              <w:t>■</w:t>
            </w:r>
            <w:r>
              <w:rPr>
                <w:rFonts w:hint="eastAsia" w:ascii="宋体" w:hAnsi="宋体" w:cs="Times New Roman"/>
                <w:color w:val="auto"/>
                <w:lang w:eastAsia="zh-CN"/>
              </w:rPr>
              <w:t>不组织，</w:t>
            </w:r>
            <w:r>
              <w:rPr>
                <w:rFonts w:hint="default" w:ascii="宋体" w:hAnsi="宋体" w:cs="Times New Roman"/>
                <w:color w:val="auto"/>
                <w:szCs w:val="21"/>
                <w:u w:val="single"/>
                <w:lang w:eastAsia="zh-CN"/>
              </w:rPr>
              <w:t>投标人自行考察</w:t>
            </w:r>
          </w:p>
          <w:p w14:paraId="2A9F2779">
            <w:pPr>
              <w:keepNext w:val="0"/>
              <w:keepLines w:val="0"/>
              <w:suppressLineNumbers w:val="0"/>
              <w:autoSpaceDE w:val="0"/>
              <w:autoSpaceDN w:val="0"/>
              <w:adjustRightInd w:val="0"/>
              <w:spacing w:before="0" w:beforeAutospacing="0" w:after="0" w:afterAutospacing="0" w:line="360" w:lineRule="exact"/>
              <w:ind w:left="943" w:right="1750" w:hanging="840"/>
              <w:rPr>
                <w:rFonts w:hint="default" w:ascii="宋体" w:hAnsi="宋体" w:cs="Times New Roman"/>
                <w:color w:val="auto"/>
                <w:szCs w:val="21"/>
                <w:lang w:eastAsia="zh-CN"/>
              </w:rPr>
            </w:pPr>
            <w:r>
              <w:rPr>
                <w:rFonts w:hint="eastAsia" w:ascii="宋体" w:hAnsi="宋体" w:eastAsia="宋体" w:cs="Times New Roman"/>
                <w:color w:val="auto"/>
                <w:spacing w:val="-1"/>
                <w:szCs w:val="21"/>
                <w:lang w:eastAsia="zh-CN"/>
              </w:rPr>
              <w:t>□</w:t>
            </w:r>
            <w:r>
              <w:rPr>
                <w:rFonts w:hint="eastAsia" w:ascii="宋体" w:hAnsi="宋体" w:cs="Times New Roman"/>
                <w:color w:val="auto"/>
                <w:szCs w:val="21"/>
                <w:lang w:eastAsia="zh-CN"/>
              </w:rPr>
              <w:t>组织，</w:t>
            </w:r>
            <w:r>
              <w:rPr>
                <w:rFonts w:hint="eastAsia" w:ascii="宋体" w:hAnsi="宋体" w:cs="Times New Roman"/>
                <w:color w:val="auto"/>
                <w:spacing w:val="-2"/>
                <w:szCs w:val="21"/>
                <w:lang w:eastAsia="zh-CN"/>
              </w:rPr>
              <w:t>踏</w:t>
            </w:r>
            <w:r>
              <w:rPr>
                <w:rFonts w:hint="eastAsia" w:ascii="宋体" w:hAnsi="宋体" w:cs="Times New Roman"/>
                <w:color w:val="auto"/>
                <w:szCs w:val="21"/>
                <w:lang w:eastAsia="zh-CN"/>
              </w:rPr>
              <w:t>勘</w:t>
            </w:r>
            <w:r>
              <w:rPr>
                <w:rFonts w:hint="eastAsia" w:ascii="宋体" w:hAnsi="宋体" w:cs="Times New Roman"/>
                <w:color w:val="auto"/>
                <w:spacing w:val="-2"/>
                <w:szCs w:val="21"/>
                <w:lang w:eastAsia="zh-CN"/>
              </w:rPr>
              <w:t>时</w:t>
            </w:r>
            <w:r>
              <w:rPr>
                <w:rFonts w:hint="eastAsia" w:ascii="宋体" w:hAnsi="宋体" w:cs="Times New Roman"/>
                <w:color w:val="auto"/>
                <w:szCs w:val="21"/>
                <w:lang w:eastAsia="zh-CN"/>
              </w:rPr>
              <w:t>间：</w:t>
            </w:r>
          </w:p>
          <w:p w14:paraId="0AE19967">
            <w:pPr>
              <w:pStyle w:val="49"/>
              <w:keepNext w:val="0"/>
              <w:keepLines w:val="0"/>
              <w:suppressLineNumbers w:val="0"/>
              <w:spacing w:before="0" w:beforeAutospacing="0" w:after="0" w:afterAutospacing="0" w:line="360" w:lineRule="auto"/>
              <w:ind w:left="0" w:right="0" w:firstLine="220" w:firstLineChars="100"/>
              <w:jc w:val="both"/>
              <w:rPr>
                <w:rFonts w:hint="default" w:ascii="宋体" w:hAnsi="宋体" w:eastAsia="宋体" w:cs="宋体"/>
                <w:color w:val="auto"/>
                <w:sz w:val="21"/>
                <w:szCs w:val="21"/>
                <w:lang w:eastAsia="zh-CN"/>
              </w:rPr>
            </w:pPr>
            <w:r>
              <w:rPr>
                <w:rFonts w:hint="eastAsia" w:ascii="宋体" w:hAnsi="宋体" w:cs="Times New Roman"/>
                <w:color w:val="auto"/>
                <w:szCs w:val="21"/>
                <w:lang w:eastAsia="zh-CN"/>
              </w:rPr>
              <w:t>踏勘</w:t>
            </w:r>
            <w:r>
              <w:rPr>
                <w:rFonts w:hint="eastAsia" w:ascii="宋体" w:hAnsi="宋体" w:cs="Times New Roman"/>
                <w:color w:val="auto"/>
                <w:spacing w:val="-2"/>
                <w:szCs w:val="21"/>
                <w:lang w:eastAsia="zh-CN"/>
              </w:rPr>
              <w:t>集</w:t>
            </w:r>
            <w:r>
              <w:rPr>
                <w:rFonts w:hint="eastAsia" w:ascii="宋体" w:hAnsi="宋体" w:cs="Times New Roman"/>
                <w:color w:val="auto"/>
                <w:szCs w:val="21"/>
                <w:lang w:eastAsia="zh-CN"/>
              </w:rPr>
              <w:t>中</w:t>
            </w:r>
            <w:r>
              <w:rPr>
                <w:rFonts w:hint="eastAsia" w:ascii="宋体" w:hAnsi="宋体" w:cs="Times New Roman"/>
                <w:color w:val="auto"/>
                <w:spacing w:val="-2"/>
                <w:szCs w:val="21"/>
                <w:lang w:eastAsia="zh-CN"/>
              </w:rPr>
              <w:t>地</w:t>
            </w:r>
            <w:r>
              <w:rPr>
                <w:rFonts w:hint="eastAsia" w:ascii="宋体" w:hAnsi="宋体" w:cs="Times New Roman"/>
                <w:color w:val="auto"/>
                <w:szCs w:val="21"/>
                <w:lang w:eastAsia="zh-CN"/>
              </w:rPr>
              <w:t>点：</w:t>
            </w:r>
          </w:p>
        </w:tc>
      </w:tr>
      <w:tr w14:paraId="63AB8C5D">
        <w:tblPrEx>
          <w:tblCellMar>
            <w:top w:w="0" w:type="dxa"/>
            <w:left w:w="0" w:type="dxa"/>
            <w:bottom w:w="0" w:type="dxa"/>
            <w:right w:w="0" w:type="dxa"/>
          </w:tblCellMar>
        </w:tblPrEx>
        <w:trPr>
          <w:trHeight w:val="1025"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73204E7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1.10.1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65D992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投标预备会</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4DAE94F6">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■不召开</w:t>
            </w:r>
          </w:p>
          <w:p w14:paraId="1074E23D">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□召开，召开时间：</w:t>
            </w:r>
          </w:p>
          <w:p w14:paraId="70ACB581">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rPr>
              <w:t>召开地点：</w:t>
            </w:r>
          </w:p>
        </w:tc>
      </w:tr>
      <w:tr w14:paraId="17322D82">
        <w:tblPrEx>
          <w:tblCellMar>
            <w:top w:w="0" w:type="dxa"/>
            <w:left w:w="0" w:type="dxa"/>
            <w:bottom w:w="0" w:type="dxa"/>
            <w:right w:w="0" w:type="dxa"/>
          </w:tblCellMar>
        </w:tblPrEx>
        <w:trPr>
          <w:trHeight w:val="188" w:hRule="atLeast"/>
        </w:trPr>
        <w:tc>
          <w:tcPr>
            <w:tcW w:w="995" w:type="dxa"/>
            <w:vMerge w:val="restart"/>
            <w:tcBorders>
              <w:top w:val="single" w:color="000000" w:sz="4" w:space="0"/>
              <w:left w:val="single" w:color="000000" w:sz="4" w:space="0"/>
              <w:right w:val="single" w:color="000000" w:sz="4" w:space="0"/>
            </w:tcBorders>
            <w:noWrap w:val="0"/>
            <w:vAlign w:val="center"/>
          </w:tcPr>
          <w:p w14:paraId="6D8EF05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1.10.2</w:t>
            </w:r>
          </w:p>
        </w:tc>
        <w:tc>
          <w:tcPr>
            <w:tcW w:w="2019" w:type="dxa"/>
            <w:vMerge w:val="restart"/>
            <w:tcBorders>
              <w:top w:val="single" w:color="000000" w:sz="4" w:space="0"/>
              <w:left w:val="single" w:color="000000" w:sz="4" w:space="0"/>
              <w:right w:val="single" w:color="000000" w:sz="4" w:space="0"/>
            </w:tcBorders>
            <w:noWrap w:val="0"/>
            <w:vAlign w:val="center"/>
          </w:tcPr>
          <w:p w14:paraId="369A8DC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投标人在投标预备会前提出问题</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23F86BD">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w:t>
            </w:r>
          </w:p>
        </w:tc>
      </w:tr>
      <w:tr w14:paraId="4EF67847">
        <w:tblPrEx>
          <w:tblCellMar>
            <w:top w:w="0" w:type="dxa"/>
            <w:left w:w="0" w:type="dxa"/>
            <w:bottom w:w="0" w:type="dxa"/>
            <w:right w:w="0" w:type="dxa"/>
          </w:tblCellMar>
        </w:tblPrEx>
        <w:tc>
          <w:tcPr>
            <w:tcW w:w="995" w:type="dxa"/>
            <w:vMerge w:val="continue"/>
            <w:tcBorders>
              <w:left w:val="single" w:color="000000" w:sz="4" w:space="0"/>
              <w:bottom w:val="single" w:color="000000" w:sz="4" w:space="0"/>
              <w:right w:val="single" w:color="000000" w:sz="4" w:space="0"/>
            </w:tcBorders>
            <w:noWrap w:val="0"/>
            <w:vAlign w:val="center"/>
          </w:tcPr>
          <w:p w14:paraId="48D2C7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p>
        </w:tc>
        <w:tc>
          <w:tcPr>
            <w:tcW w:w="2019" w:type="dxa"/>
            <w:vMerge w:val="continue"/>
            <w:tcBorders>
              <w:left w:val="single" w:color="000000" w:sz="4" w:space="0"/>
              <w:bottom w:val="single" w:color="000000" w:sz="4" w:space="0"/>
              <w:right w:val="single" w:color="000000" w:sz="4" w:space="0"/>
            </w:tcBorders>
            <w:noWrap w:val="0"/>
            <w:vAlign w:val="center"/>
          </w:tcPr>
          <w:p w14:paraId="2CD25F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8E3137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rPr>
              <w:t>形式：</w:t>
            </w:r>
            <w:r>
              <w:rPr>
                <w:rFonts w:hint="eastAsia" w:ascii="宋体" w:hAnsi="宋体" w:eastAsia="宋体" w:cs="宋体"/>
                <w:color w:val="auto"/>
                <w:sz w:val="21"/>
                <w:szCs w:val="21"/>
                <w:lang w:eastAsia="zh-CN"/>
              </w:rPr>
              <w:t>/。</w:t>
            </w:r>
          </w:p>
        </w:tc>
      </w:tr>
      <w:tr w14:paraId="2D1FDA90">
        <w:tblPrEx>
          <w:tblCellMar>
            <w:top w:w="0" w:type="dxa"/>
            <w:left w:w="0" w:type="dxa"/>
            <w:bottom w:w="0" w:type="dxa"/>
            <w:right w:w="0" w:type="dxa"/>
          </w:tblCellMar>
        </w:tblPrEx>
        <w:trPr>
          <w:trHeight w:val="467"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2CF0CF4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1.10.3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9C5EF4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招标文件澄清发出的形式</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3306FCB">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76AA0F7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7D58F54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1.11.1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6FE3C5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分包</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443891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■不允许</w:t>
            </w:r>
          </w:p>
          <w:p w14:paraId="07ACCB77">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□允许，</w:t>
            </w:r>
            <w:r>
              <w:rPr>
                <w:rFonts w:hint="eastAsia" w:ascii="宋体" w:hAnsi="宋体" w:eastAsia="宋体" w:cs="宋体"/>
                <w:color w:val="auto"/>
                <w:spacing w:val="-2"/>
                <w:sz w:val="21"/>
                <w:szCs w:val="21"/>
                <w:lang w:eastAsia="zh-CN"/>
              </w:rPr>
              <w:t>分</w:t>
            </w:r>
            <w:r>
              <w:rPr>
                <w:rFonts w:hint="eastAsia" w:ascii="宋体" w:hAnsi="宋体" w:eastAsia="宋体" w:cs="宋体"/>
                <w:color w:val="auto"/>
                <w:sz w:val="21"/>
                <w:szCs w:val="21"/>
                <w:lang w:eastAsia="zh-CN"/>
              </w:rPr>
              <w:t>包</w:t>
            </w:r>
            <w:r>
              <w:rPr>
                <w:rFonts w:hint="eastAsia" w:ascii="宋体" w:hAnsi="宋体" w:eastAsia="宋体" w:cs="宋体"/>
                <w:color w:val="auto"/>
                <w:spacing w:val="-2"/>
                <w:sz w:val="21"/>
                <w:szCs w:val="21"/>
                <w:lang w:eastAsia="zh-CN"/>
              </w:rPr>
              <w:t>内</w:t>
            </w:r>
            <w:r>
              <w:rPr>
                <w:rFonts w:hint="eastAsia" w:ascii="宋体" w:hAnsi="宋体" w:eastAsia="宋体" w:cs="宋体"/>
                <w:color w:val="auto"/>
                <w:sz w:val="21"/>
                <w:szCs w:val="21"/>
                <w:lang w:eastAsia="zh-CN"/>
              </w:rPr>
              <w:t>容</w:t>
            </w:r>
            <w:r>
              <w:rPr>
                <w:rFonts w:hint="eastAsia" w:ascii="宋体" w:hAnsi="宋体" w:eastAsia="宋体" w:cs="宋体"/>
                <w:color w:val="auto"/>
                <w:spacing w:val="-2"/>
                <w:sz w:val="21"/>
                <w:szCs w:val="21"/>
                <w:lang w:eastAsia="zh-CN"/>
              </w:rPr>
              <w:t>要</w:t>
            </w:r>
            <w:r>
              <w:rPr>
                <w:rFonts w:hint="eastAsia" w:ascii="宋体" w:hAnsi="宋体" w:eastAsia="宋体" w:cs="宋体"/>
                <w:color w:val="auto"/>
                <w:sz w:val="21"/>
                <w:szCs w:val="21"/>
                <w:lang w:eastAsia="zh-CN"/>
              </w:rPr>
              <w:t>求：</w:t>
            </w:r>
            <w:r>
              <w:rPr>
                <w:rFonts w:hint="eastAsia" w:ascii="宋体" w:hAnsi="宋体" w:eastAsia="宋体" w:cs="宋体"/>
                <w:color w:val="auto"/>
                <w:sz w:val="21"/>
                <w:szCs w:val="21"/>
                <w:lang w:val="en-US" w:eastAsia="zh-CN"/>
              </w:rPr>
              <w:t>/</w:t>
            </w:r>
          </w:p>
        </w:tc>
      </w:tr>
      <w:tr w14:paraId="030BE1D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08F2B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1.12.1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2EDC79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实质性要求和条件</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73F5C83">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lang w:eastAsia="zh-CN"/>
              </w:rPr>
              <w:t>/。</w:t>
            </w:r>
          </w:p>
        </w:tc>
      </w:tr>
      <w:tr w14:paraId="19F0E197">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41219EF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1.12.3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75CF61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偏差</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F6AFFF7">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■不允许</w:t>
            </w:r>
          </w:p>
          <w:p w14:paraId="22A54A33">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□允许，偏差范围：</w:t>
            </w:r>
          </w:p>
          <w:p w14:paraId="5E0C5AB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rPr>
              <w:t>偏差幅度：</w:t>
            </w:r>
          </w:p>
        </w:tc>
      </w:tr>
      <w:tr w14:paraId="1AAB78C7">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301B2F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2.1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1343E6D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构成招标文件的其他资料</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411F08D">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63E54863">
        <w:tblPrEx>
          <w:tblCellMar>
            <w:top w:w="0" w:type="dxa"/>
            <w:left w:w="0" w:type="dxa"/>
            <w:bottom w:w="0" w:type="dxa"/>
            <w:right w:w="0" w:type="dxa"/>
          </w:tblCellMar>
        </w:tblPrEx>
        <w:trPr>
          <w:trHeight w:val="1644" w:hRule="atLeast"/>
        </w:trPr>
        <w:tc>
          <w:tcPr>
            <w:tcW w:w="995" w:type="dxa"/>
            <w:tcBorders>
              <w:top w:val="single" w:color="000000" w:sz="4" w:space="0"/>
              <w:left w:val="single" w:color="000000" w:sz="4" w:space="0"/>
              <w:right w:val="single" w:color="000000" w:sz="4" w:space="0"/>
            </w:tcBorders>
            <w:noWrap w:val="0"/>
            <w:vAlign w:val="center"/>
          </w:tcPr>
          <w:p w14:paraId="17BFA43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2.2.1</w:t>
            </w:r>
          </w:p>
        </w:tc>
        <w:tc>
          <w:tcPr>
            <w:tcW w:w="2019" w:type="dxa"/>
            <w:tcBorders>
              <w:top w:val="single" w:color="000000" w:sz="4" w:space="0"/>
              <w:left w:val="single" w:color="000000" w:sz="4" w:space="0"/>
              <w:right w:val="single" w:color="000000" w:sz="4" w:space="0"/>
            </w:tcBorders>
            <w:noWrap w:val="0"/>
            <w:vAlign w:val="center"/>
          </w:tcPr>
          <w:p w14:paraId="59667C6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投标人要求澄清招标文件</w:t>
            </w:r>
          </w:p>
        </w:tc>
        <w:tc>
          <w:tcPr>
            <w:tcW w:w="6373" w:type="dxa"/>
            <w:tcBorders>
              <w:top w:val="single" w:color="000000" w:sz="4" w:space="0"/>
              <w:left w:val="single" w:color="000000" w:sz="4" w:space="0"/>
              <w:right w:val="single" w:color="000000" w:sz="4" w:space="0"/>
            </w:tcBorders>
            <w:noWrap w:val="0"/>
            <w:vAlign w:val="center"/>
          </w:tcPr>
          <w:p w14:paraId="6B489C64">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时间：在提交投标文件截止时间18天前提出。</w:t>
            </w:r>
          </w:p>
          <w:p w14:paraId="5E42E95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14:paraId="111F1E7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7C3ADDF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2.2.2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75BF451">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招标文件澄清发出的形式</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4EE14E8">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招标人应在递交投标文件截止时间15日前将招标文件澄清文件在广州交易集团有限公司（广州公共资源交易中心）网站“招标答疑”专区发布。不足15日的，招标人应当顺延投标文件的截止时间。</w:t>
            </w:r>
          </w:p>
        </w:tc>
      </w:tr>
      <w:tr w14:paraId="3F50C0EC">
        <w:tblPrEx>
          <w:tblCellMar>
            <w:top w:w="0" w:type="dxa"/>
            <w:left w:w="0" w:type="dxa"/>
            <w:bottom w:w="0" w:type="dxa"/>
            <w:right w:w="0" w:type="dxa"/>
          </w:tblCellMar>
        </w:tblPrEx>
        <w:trPr>
          <w:trHeight w:val="270" w:hRule="atLeast"/>
        </w:trPr>
        <w:tc>
          <w:tcPr>
            <w:tcW w:w="995" w:type="dxa"/>
            <w:tcBorders>
              <w:top w:val="single" w:color="000000" w:sz="4" w:space="0"/>
              <w:left w:val="single" w:color="000000" w:sz="4" w:space="0"/>
              <w:right w:val="single" w:color="000000" w:sz="4" w:space="0"/>
            </w:tcBorders>
            <w:noWrap w:val="0"/>
            <w:vAlign w:val="center"/>
          </w:tcPr>
          <w:p w14:paraId="5807A61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2.2.3</w:t>
            </w:r>
          </w:p>
        </w:tc>
        <w:tc>
          <w:tcPr>
            <w:tcW w:w="2019" w:type="dxa"/>
            <w:tcBorders>
              <w:top w:val="single" w:color="000000" w:sz="4" w:space="0"/>
              <w:left w:val="single" w:color="000000" w:sz="4" w:space="0"/>
              <w:right w:val="single" w:color="000000" w:sz="4" w:space="0"/>
            </w:tcBorders>
            <w:noWrap w:val="0"/>
            <w:vAlign w:val="center"/>
          </w:tcPr>
          <w:p w14:paraId="53E892F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投标人确认收到招标文件澄清</w:t>
            </w:r>
          </w:p>
        </w:tc>
        <w:tc>
          <w:tcPr>
            <w:tcW w:w="6373" w:type="dxa"/>
            <w:tcBorders>
              <w:top w:val="single" w:color="000000" w:sz="4" w:space="0"/>
              <w:left w:val="single" w:color="000000" w:sz="4" w:space="0"/>
              <w:right w:val="single" w:color="000000" w:sz="4" w:space="0"/>
            </w:tcBorders>
            <w:noWrap w:val="0"/>
            <w:vAlign w:val="center"/>
          </w:tcPr>
          <w:p w14:paraId="59903C5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3A3EC6B7">
        <w:tblPrEx>
          <w:tblCellMar>
            <w:top w:w="0" w:type="dxa"/>
            <w:left w:w="0" w:type="dxa"/>
            <w:bottom w:w="0" w:type="dxa"/>
            <w:right w:w="0" w:type="dxa"/>
          </w:tblCellMar>
        </w:tblPrEx>
        <w:tc>
          <w:tcPr>
            <w:tcW w:w="995" w:type="dxa"/>
            <w:tcBorders>
              <w:top w:val="single" w:color="000000" w:sz="4" w:space="0"/>
              <w:left w:val="single" w:color="000000" w:sz="4" w:space="0"/>
              <w:bottom w:val="single" w:color="auto" w:sz="4" w:space="0"/>
              <w:right w:val="single" w:color="000000" w:sz="4" w:space="0"/>
            </w:tcBorders>
            <w:noWrap w:val="0"/>
            <w:vAlign w:val="center"/>
          </w:tcPr>
          <w:p w14:paraId="590BA06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2.3.1</w:t>
            </w:r>
          </w:p>
        </w:tc>
        <w:tc>
          <w:tcPr>
            <w:tcW w:w="2019" w:type="dxa"/>
            <w:tcBorders>
              <w:top w:val="single" w:color="000000" w:sz="4" w:space="0"/>
              <w:left w:val="single" w:color="000000" w:sz="4" w:space="0"/>
              <w:bottom w:val="single" w:color="auto" w:sz="4" w:space="0"/>
              <w:right w:val="single" w:color="000000" w:sz="4" w:space="0"/>
            </w:tcBorders>
            <w:noWrap w:val="0"/>
            <w:vAlign w:val="center"/>
          </w:tcPr>
          <w:p w14:paraId="43CC155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招标文件修改发出的形式</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3B1892B6">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以补充公告或项目答疑澄清的方式在广州交易集团有限公司（广州公共资源交易中心）网站发布。</w:t>
            </w:r>
          </w:p>
        </w:tc>
      </w:tr>
      <w:tr w14:paraId="54D7E4A4">
        <w:tblPrEx>
          <w:tblCellMar>
            <w:top w:w="0" w:type="dxa"/>
            <w:left w:w="0" w:type="dxa"/>
            <w:bottom w:w="0" w:type="dxa"/>
            <w:right w:w="0" w:type="dxa"/>
          </w:tblCellMar>
        </w:tblPrEx>
        <w:trPr>
          <w:trHeight w:val="1669"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14:paraId="0097CC0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2.3.2</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0DB5BA1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投标人确认收到招标文件修改</w:t>
            </w:r>
          </w:p>
        </w:tc>
        <w:tc>
          <w:tcPr>
            <w:tcW w:w="6373" w:type="dxa"/>
            <w:tcBorders>
              <w:top w:val="single" w:color="000000" w:sz="4" w:space="0"/>
              <w:left w:val="single" w:color="auto" w:sz="4" w:space="0"/>
              <w:bottom w:val="single" w:color="auto" w:sz="4" w:space="0"/>
              <w:right w:val="single" w:color="000000" w:sz="4" w:space="0"/>
            </w:tcBorders>
            <w:noWrap w:val="0"/>
            <w:vAlign w:val="center"/>
          </w:tcPr>
          <w:p w14:paraId="62F7171C">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0E1D4B52">
        <w:tblPrEx>
          <w:tblCellMar>
            <w:top w:w="0" w:type="dxa"/>
            <w:left w:w="0" w:type="dxa"/>
            <w:bottom w:w="0" w:type="dxa"/>
            <w:right w:w="0" w:type="dxa"/>
          </w:tblCellMar>
        </w:tblPrEx>
        <w:trPr>
          <w:trHeight w:val="384"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14:paraId="6B9E06E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lang w:eastAsia="zh-CN"/>
              </w:rPr>
              <w:t>3.1.1</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408270B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投标文件的组成</w:t>
            </w:r>
          </w:p>
        </w:tc>
        <w:tc>
          <w:tcPr>
            <w:tcW w:w="6373" w:type="dxa"/>
            <w:tcBorders>
              <w:top w:val="single" w:color="auto" w:sz="4" w:space="0"/>
              <w:left w:val="single" w:color="auto" w:sz="4" w:space="0"/>
              <w:bottom w:val="single" w:color="auto" w:sz="4" w:space="0"/>
              <w:right w:val="single" w:color="auto" w:sz="4" w:space="0"/>
            </w:tcBorders>
            <w:noWrap w:val="0"/>
            <w:vAlign w:val="center"/>
          </w:tcPr>
          <w:p w14:paraId="641E28C1">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投标文件由商务文件（含资格审查部分、资信业绩部分）、技术文件（设计方案部分）两个部分组成。各部分投标文件应分别编制。设计投标文件编制要求详见第六章投标文件格式“设计投标文件编制要求”。</w:t>
            </w:r>
          </w:p>
          <w:p w14:paraId="40F2391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注：技术文件（设计方案部分）为暗标。技术标中不能辨认出投标人或其专业技术人员的身份。不在设计方案上标注或做任何可以辨认投标人及专业技术人员身份的名称、印章、商标、图形等记认符号。</w:t>
            </w:r>
          </w:p>
        </w:tc>
      </w:tr>
      <w:tr w14:paraId="17B0F5A0">
        <w:tblPrEx>
          <w:tblCellMar>
            <w:top w:w="0" w:type="dxa"/>
            <w:left w:w="0" w:type="dxa"/>
            <w:bottom w:w="0" w:type="dxa"/>
            <w:right w:w="0" w:type="dxa"/>
          </w:tblCellMar>
        </w:tblPrEx>
        <w:tc>
          <w:tcPr>
            <w:tcW w:w="995" w:type="dxa"/>
            <w:tcBorders>
              <w:top w:val="single" w:color="auto" w:sz="4" w:space="0"/>
              <w:left w:val="single" w:color="auto" w:sz="4" w:space="0"/>
              <w:bottom w:val="single" w:color="auto" w:sz="4" w:space="0"/>
              <w:right w:val="single" w:color="auto" w:sz="4" w:space="0"/>
            </w:tcBorders>
            <w:noWrap w:val="0"/>
            <w:vAlign w:val="center"/>
          </w:tcPr>
          <w:p w14:paraId="5A3585E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3.1.1</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794431C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构成投标文件的其他资料</w:t>
            </w:r>
          </w:p>
        </w:tc>
        <w:tc>
          <w:tcPr>
            <w:tcW w:w="6373" w:type="dxa"/>
            <w:tcBorders>
              <w:top w:val="single" w:color="auto" w:sz="4" w:space="0"/>
              <w:left w:val="single" w:color="auto" w:sz="4" w:space="0"/>
              <w:bottom w:val="single" w:color="000000" w:sz="4" w:space="0"/>
              <w:right w:val="single" w:color="000000" w:sz="4" w:space="0"/>
            </w:tcBorders>
            <w:noWrap w:val="0"/>
            <w:vAlign w:val="center"/>
          </w:tcPr>
          <w:p w14:paraId="65D8B278">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（1）按本招标文件规定需提交的其它所有资料；</w:t>
            </w:r>
          </w:p>
          <w:p w14:paraId="1EBCCA26">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（2）投标人认为需要提交的其他资料。</w:t>
            </w:r>
          </w:p>
          <w:p w14:paraId="474DC191">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注：①投标人提交的投标文件必须按照招标文件所提供的投标文件格式的要求如实填写（表格可以按同样格式扩展、缩小，内容项目不能变化）。</w:t>
            </w:r>
          </w:p>
          <w:p w14:paraId="1CF082B6">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2654CBC6">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1"/>
                <w:szCs w:val="21"/>
                <w:lang w:eastAsia="zh-CN"/>
              </w:rPr>
            </w:pPr>
            <w:r>
              <w:rPr>
                <w:rFonts w:hint="eastAsia" w:ascii="宋体" w:hAnsi="宋体" w:eastAsia="宋体" w:cs="宋体"/>
                <w:color w:val="auto"/>
                <w:sz w:val="21"/>
                <w:szCs w:val="21"/>
                <w:lang w:eastAsia="zh-CN"/>
              </w:rPr>
              <w:t>③每个投标人报送一个投标方案，投标文件应达到招标文件规定的深度，满足评审需要。不响应招标文件要求的投标文件可能被拒绝，责任由投标人自负。</w:t>
            </w:r>
          </w:p>
        </w:tc>
      </w:tr>
      <w:tr w14:paraId="2F84437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61ED3B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3.2.1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FCE18E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增值税税金的计算方法</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F5E7979">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57EF63A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6800544">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3.2.3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109C77B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报价方式</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3A4C7492">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按招标文件第六章投标文件格式进行报价</w:t>
            </w:r>
            <w:r>
              <w:rPr>
                <w:rFonts w:hint="eastAsia" w:ascii="宋体" w:hAnsi="宋体" w:eastAsia="宋体" w:cs="宋体"/>
                <w:color w:val="auto"/>
                <w:sz w:val="21"/>
                <w:szCs w:val="21"/>
                <w:u w:val="single"/>
                <w:lang w:eastAsia="zh-CN"/>
              </w:rPr>
              <w:t>，并按招标文件有关要求进行盖章上传。</w:t>
            </w:r>
            <w:r>
              <w:rPr>
                <w:rFonts w:hint="eastAsia" w:ascii="宋体" w:hAnsi="宋体" w:eastAsia="宋体" w:cs="宋体"/>
                <w:color w:val="auto"/>
                <w:sz w:val="21"/>
                <w:szCs w:val="21"/>
                <w:lang w:eastAsia="zh-CN"/>
              </w:rPr>
              <w:t>投标人根据自身企业实力自行报价。设计费报价为投标人完成本标段工程所有工作及履行合同的成本、利润、税金及风险等。</w:t>
            </w:r>
          </w:p>
        </w:tc>
      </w:tr>
      <w:tr w14:paraId="3ECCA56A">
        <w:tblPrEx>
          <w:tblCellMar>
            <w:top w:w="0" w:type="dxa"/>
            <w:left w:w="0" w:type="dxa"/>
            <w:bottom w:w="0" w:type="dxa"/>
            <w:right w:w="0"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4210CD2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3.2.4</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00CBDA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最高投标限价</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D54494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□无</w:t>
            </w:r>
          </w:p>
          <w:p w14:paraId="20E264D9">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u w:val="single"/>
                <w:lang w:eastAsia="zh-CN"/>
              </w:rPr>
              <w:t>最高投标限价总价为</w:t>
            </w:r>
            <w:r>
              <w:rPr>
                <w:rFonts w:hint="eastAsia" w:ascii="宋体" w:hAnsi="宋体" w:cs="宋体"/>
                <w:color w:val="auto"/>
                <w:sz w:val="24"/>
                <w:highlight w:val="none"/>
                <w:u w:val="single"/>
                <w:lang w:val="en-US" w:eastAsia="zh-CN"/>
              </w:rPr>
              <w:t>1800000.00</w:t>
            </w:r>
            <w:r>
              <w:rPr>
                <w:rFonts w:hint="eastAsia" w:ascii="宋体" w:hAnsi="宋体" w:eastAsia="宋体" w:cs="宋体"/>
                <w:color w:val="auto"/>
                <w:sz w:val="21"/>
                <w:szCs w:val="21"/>
                <w:u w:val="single"/>
                <w:lang w:eastAsia="zh-CN"/>
              </w:rPr>
              <w:t>元，投标报价不得高于最高投标限价总价，否则由评标委员作废标处理。</w:t>
            </w:r>
          </w:p>
        </w:tc>
      </w:tr>
      <w:tr w14:paraId="2534EE5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AFF1AC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3.2.5</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373CAC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投标报价的其他要求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24DDCC6">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投标人必须详细审阅招标文件,充分考虑职责和义务,全面地理解招标文件对投标报价的要求,并按招标人提出的条件及内容进行报价。</w:t>
            </w:r>
          </w:p>
        </w:tc>
      </w:tr>
      <w:tr w14:paraId="7BB8E2D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44DDEBF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3.3.1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08F2DC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B999B58">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90日历天（从提交投标截止之日起计算。如出现异议或投诉，则投标有效期自动延长至异议或投诉处理结束）</w:t>
            </w:r>
          </w:p>
        </w:tc>
      </w:tr>
      <w:tr w14:paraId="1A942F55">
        <w:tblPrEx>
          <w:tblCellMar>
            <w:top w:w="0" w:type="dxa"/>
            <w:left w:w="0" w:type="dxa"/>
            <w:bottom w:w="0" w:type="dxa"/>
            <w:right w:w="0" w:type="dxa"/>
          </w:tblCellMar>
        </w:tblPrEx>
        <w:trPr>
          <w:trHeight w:val="498"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53A0F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3.4.1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ED5D14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投标保证金</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32A9AE72">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投标保证金的金额：人民币</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lang w:eastAsia="zh-CN"/>
              </w:rPr>
              <w:t>万元整 ,缴纳时间：在投标截止时间之前。</w:t>
            </w:r>
          </w:p>
          <w:p w14:paraId="7A94FFFE">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投标保证金有效期：与投标有效期一致。</w:t>
            </w:r>
          </w:p>
          <w:p w14:paraId="7F2D7C9E">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投标保证金可采用现金、支票、投标保证保险、投标保函（银行或专业担保公司出具）的形式，须在递交投标文件截止时间前完成缴纳。</w:t>
            </w:r>
          </w:p>
          <w:p w14:paraId="6E95B189">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1、投标保证金如采用现金或支票的形式提交的，投标保证金从投标人的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72A76C0A">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2、如采用投标保证保险、投标保函（银行或专业担保公司出具）的形式提交的，在开标前不强制要求提交纸质原件，但投标人应在投标文件中提交投标保函或投标保证保险扫描件并加盖投标人电子印章。</w:t>
            </w:r>
          </w:p>
          <w:p w14:paraId="50B25BD5">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3、</w:t>
            </w:r>
            <w:r>
              <w:rPr>
                <w:rFonts w:hint="eastAsia" w:ascii="宋体" w:hAnsi="宋体" w:eastAsia="宋体" w:cs="宋体"/>
                <w:color w:val="auto"/>
                <w:sz w:val="21"/>
                <w:szCs w:val="21"/>
                <w:u w:val="single"/>
                <w:lang w:val="en-US" w:eastAsia="zh-CN"/>
              </w:rPr>
              <w:t>评标</w:t>
            </w:r>
            <w:r>
              <w:rPr>
                <w:rFonts w:hint="eastAsia" w:ascii="宋体" w:hAnsi="宋体" w:eastAsia="宋体" w:cs="宋体"/>
                <w:color w:val="auto"/>
                <w:sz w:val="21"/>
                <w:szCs w:val="21"/>
                <w:u w:val="single"/>
                <w:lang w:eastAsia="zh-CN"/>
              </w:rPr>
              <w:t>时，对于未能按招标文件要求缴纳投标保证金的投标人，招标人将视为不响应招标文件而予以拒绝，其投标无效，责任由投标人自负。</w:t>
            </w:r>
          </w:p>
        </w:tc>
      </w:tr>
      <w:tr w14:paraId="5EA1B5C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A8B539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3.4.4</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8AA609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其他可以不予退还投标保证金的情形</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869C48C">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5B039635">
        <w:tblPrEx>
          <w:tblCellMar>
            <w:top w:w="0" w:type="dxa"/>
            <w:left w:w="0" w:type="dxa"/>
            <w:bottom w:w="0" w:type="dxa"/>
            <w:right w:w="0" w:type="dxa"/>
          </w:tblCellMar>
        </w:tblPrEx>
        <w:trPr>
          <w:trHeight w:val="1005"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6829358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3.5</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ADE02F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资格审查资料的特殊要求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D871E31">
            <w:pPr>
              <w:keepNext w:val="0"/>
              <w:keepLines w:val="0"/>
              <w:suppressLineNumbers w:val="0"/>
              <w:topLinePunct/>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■无</w:t>
            </w:r>
          </w:p>
          <w:p w14:paraId="75C8C4A7">
            <w:pPr>
              <w:keepNext w:val="0"/>
              <w:keepLines w:val="0"/>
              <w:suppressLineNumbers w:val="0"/>
              <w:topLinePunct/>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□有，具体要求：</w:t>
            </w:r>
            <w:r>
              <w:rPr>
                <w:rFonts w:hint="eastAsia" w:ascii="宋体" w:hAnsi="宋体" w:eastAsia="宋体" w:cs="宋体"/>
                <w:color w:val="auto"/>
                <w:sz w:val="21"/>
                <w:szCs w:val="21"/>
                <w:u w:val="single"/>
                <w:lang w:val="en-US" w:eastAsia="zh-CN"/>
              </w:rPr>
              <w:t>/</w:t>
            </w:r>
          </w:p>
          <w:p w14:paraId="08EDC718">
            <w:pPr>
              <w:keepNext w:val="0"/>
              <w:keepLines w:val="0"/>
              <w:suppressLineNumbers w:val="0"/>
              <w:topLinePunct/>
              <w:spacing w:before="0" w:beforeAutospacing="0" w:after="0" w:afterAutospacing="0" w:line="360" w:lineRule="auto"/>
              <w:ind w:left="0" w:right="0"/>
              <w:rPr>
                <w:rFonts w:hint="default" w:ascii="宋体" w:hAnsi="宋体" w:eastAsia="宋体" w:cs="宋体"/>
                <w:color w:val="auto"/>
                <w:sz w:val="21"/>
                <w:szCs w:val="21"/>
                <w:u w:val="single"/>
                <w:lang w:eastAsia="zh-CN"/>
              </w:rPr>
            </w:pPr>
          </w:p>
        </w:tc>
      </w:tr>
      <w:tr w14:paraId="6F955A6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0D71CA7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3.5.2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A51461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近年财务状况的年份要求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3AAF7F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w:t>
            </w:r>
          </w:p>
        </w:tc>
      </w:tr>
      <w:tr w14:paraId="184892D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43468B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3.5.3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FE7B69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近年完成的类似项目情况的时间要求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D061973">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w:t>
            </w:r>
          </w:p>
        </w:tc>
      </w:tr>
      <w:tr w14:paraId="6992945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1DF28B8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3.5.5</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295D00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近年发生的诉讼及仲裁情况的时间要求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EE3146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w:t>
            </w:r>
          </w:p>
        </w:tc>
      </w:tr>
      <w:tr w14:paraId="00ABBAA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02004A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3.6.1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0D4749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是否允许递交备选投标方案</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30CE2E22">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rPr>
              <w:t>■不允许</w:t>
            </w:r>
          </w:p>
          <w:p w14:paraId="61A7F54E">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rPr>
              <w:t>□允许</w:t>
            </w:r>
          </w:p>
        </w:tc>
      </w:tr>
      <w:tr w14:paraId="5691B04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59A471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3.7.3（A）</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1868734">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108C462">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lang w:eastAsia="zh-CN"/>
              </w:rPr>
              <w:t>删除。</w:t>
            </w:r>
          </w:p>
        </w:tc>
      </w:tr>
      <w:tr w14:paraId="3F5479C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2F2553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3.7.3（B）</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038C10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投标文件所附证书证件要求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B961B8A">
            <w:pPr>
              <w:pStyle w:val="9"/>
              <w:keepNext w:val="0"/>
              <w:keepLines w:val="0"/>
              <w:suppressLineNumbers w:val="0"/>
              <w:topLinePunct/>
              <w:spacing w:before="0" w:beforeAutospacing="0" w:after="0" w:afterAutospacing="0" w:line="360" w:lineRule="auto"/>
              <w:ind w:left="0" w:right="0"/>
              <w:rPr>
                <w:rFonts w:hint="default" w:hAnsi="宋体" w:cs="宋体"/>
                <w:color w:val="auto"/>
                <w:sz w:val="21"/>
                <w:szCs w:val="21"/>
                <w:lang w:eastAsia="zh-CN"/>
              </w:rPr>
            </w:pPr>
            <w:r>
              <w:rPr>
                <w:rFonts w:hint="eastAsia" w:hAnsi="宋体" w:cs="宋体"/>
                <w:color w:val="auto"/>
                <w:sz w:val="21"/>
                <w:szCs w:val="21"/>
                <w:lang w:eastAsia="zh-CN"/>
              </w:rPr>
              <w:t>证书证件需为清晰彩色扫描件，并采用单位数字证书，按照招标文件要求在相应位置加盖电子印章。</w:t>
            </w:r>
          </w:p>
        </w:tc>
      </w:tr>
      <w:tr w14:paraId="218DFBF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B4DCA0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3.7.3（B）</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3A83A9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投标文件签字或盖章要求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FB43903">
            <w:pPr>
              <w:pStyle w:val="9"/>
              <w:keepNext w:val="0"/>
              <w:keepLines w:val="0"/>
              <w:suppressLineNumbers w:val="0"/>
              <w:topLinePunct/>
              <w:snapToGrid w:val="0"/>
              <w:spacing w:before="0" w:beforeAutospacing="0" w:after="0" w:afterAutospacing="0" w:line="360" w:lineRule="auto"/>
              <w:ind w:left="0" w:right="0"/>
              <w:rPr>
                <w:rFonts w:hint="default" w:hAnsi="宋体" w:cs="宋体"/>
                <w:color w:val="auto"/>
                <w:sz w:val="21"/>
                <w:szCs w:val="21"/>
                <w:u w:val="single"/>
                <w:lang w:eastAsia="zh-CN"/>
              </w:rPr>
            </w:pPr>
            <w:r>
              <w:rPr>
                <w:rFonts w:hint="eastAsia" w:hAnsi="宋体" w:cs="宋体"/>
                <w:color w:val="auto"/>
                <w:sz w:val="21"/>
                <w:szCs w:val="21"/>
                <w:u w:val="single"/>
                <w:lang w:eastAsia="zh-CN"/>
              </w:rPr>
              <w:t>投标文件中需法定代表人、代理人签字或盖章的，应加盖个人电子印章或在线下完成后扫描上传。投标人应采用单位数字证书，投标文件按招标文件要求在相应位置加盖电子印章。相关操作详见《房屋建筑和市政基础设施工程全流程电子化项目专章》。</w:t>
            </w:r>
          </w:p>
        </w:tc>
      </w:tr>
      <w:tr w14:paraId="7B924BA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169A04D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3.7.4</w:t>
            </w:r>
          </w:p>
          <w:p w14:paraId="6B53F2B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（增加）</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09180A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暗标的具体要求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C574FC4">
            <w:pPr>
              <w:pStyle w:val="9"/>
              <w:keepNext w:val="0"/>
              <w:keepLines w:val="0"/>
              <w:suppressLineNumbers w:val="0"/>
              <w:topLinePunct/>
              <w:snapToGrid w:val="0"/>
              <w:spacing w:before="0" w:beforeAutospacing="0" w:after="0" w:afterAutospacing="0" w:line="360" w:lineRule="auto"/>
              <w:ind w:left="0" w:right="0"/>
              <w:rPr>
                <w:rFonts w:hint="default" w:hAnsi="宋体" w:cs="宋体"/>
                <w:color w:val="auto"/>
                <w:sz w:val="21"/>
                <w:szCs w:val="21"/>
                <w:u w:val="single"/>
                <w:lang w:eastAsia="zh-CN"/>
              </w:rPr>
            </w:pPr>
            <w:r>
              <w:rPr>
                <w:rFonts w:hint="eastAsia" w:hAnsi="宋体" w:cs="宋体"/>
                <w:color w:val="auto"/>
                <w:sz w:val="21"/>
                <w:szCs w:val="21"/>
                <w:lang w:eastAsia="zh-CN"/>
              </w:rPr>
              <w:t>技术标中不能辨认出投标人或其专业技术人员的身份。不在设计方案上标注或做任何可以辨认投标人及专业技术人员身份的名称、印章、商标、图形等记认符号。</w:t>
            </w:r>
          </w:p>
        </w:tc>
      </w:tr>
      <w:tr w14:paraId="7D87CC0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532E5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4.1.1（A）</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2D0D2D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60016C7">
            <w:pPr>
              <w:pStyle w:val="9"/>
              <w:keepNext w:val="0"/>
              <w:keepLines w:val="0"/>
              <w:suppressLineNumbers w:val="0"/>
              <w:topLinePunct/>
              <w:snapToGrid w:val="0"/>
              <w:spacing w:before="0" w:beforeAutospacing="0" w:after="0" w:afterAutospacing="0" w:line="360" w:lineRule="auto"/>
              <w:ind w:left="0" w:right="0"/>
              <w:rPr>
                <w:rFonts w:hint="default" w:hAnsi="宋体" w:cs="宋体"/>
                <w:color w:val="auto"/>
                <w:sz w:val="21"/>
                <w:szCs w:val="21"/>
                <w:u w:val="single"/>
                <w:lang w:eastAsia="zh-CN"/>
              </w:rPr>
            </w:pPr>
            <w:r>
              <w:rPr>
                <w:rFonts w:hint="eastAsia" w:hAnsi="宋体" w:cs="宋体"/>
                <w:color w:val="auto"/>
                <w:sz w:val="21"/>
                <w:szCs w:val="21"/>
                <w:u w:val="single"/>
                <w:lang w:eastAsia="zh-CN"/>
              </w:rPr>
              <w:t>删除。</w:t>
            </w:r>
          </w:p>
        </w:tc>
      </w:tr>
      <w:tr w14:paraId="4C8727EE">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9D2088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4.1.1（B）</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ACB741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投标文件加密要求</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47FFA949">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网上递交的电子投标文件须进行加密。未按要求加密的投标文件，交易平台将予以拒收。具体操作详见</w:t>
            </w:r>
            <w:r>
              <w:rPr>
                <w:rFonts w:hint="eastAsia" w:ascii="宋体" w:hAnsi="宋体" w:cs="宋体"/>
                <w:color w:val="auto"/>
                <w:szCs w:val="21"/>
              </w:rPr>
              <w:t>广州交易集团有限公司（广州公共资源交易中心）网站发布的</w:t>
            </w:r>
            <w:r>
              <w:rPr>
                <w:rFonts w:hint="eastAsia" w:ascii="Times New Roman" w:hAnsi="Times New Roman" w:cs="Times New Roman"/>
                <w:b/>
                <w:color w:val="auto"/>
                <w:szCs w:val="21"/>
              </w:rPr>
              <w:t>相关指引</w:t>
            </w:r>
            <w:r>
              <w:rPr>
                <w:rFonts w:hint="eastAsia" w:ascii="宋体" w:hAnsi="宋体" w:eastAsia="宋体" w:cs="宋体"/>
                <w:color w:val="auto"/>
                <w:sz w:val="21"/>
                <w:szCs w:val="21"/>
                <w:lang w:eastAsia="zh-CN"/>
              </w:rPr>
              <w:t>。</w:t>
            </w:r>
          </w:p>
        </w:tc>
      </w:tr>
      <w:tr w14:paraId="6426169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8767B5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1"/>
                <w:szCs w:val="21"/>
              </w:rPr>
            </w:pPr>
            <w:r>
              <w:rPr>
                <w:rFonts w:hint="eastAsia" w:ascii="宋体" w:hAnsi="宋体" w:eastAsia="宋体" w:cs="宋体"/>
                <w:bCs/>
                <w:color w:val="auto"/>
                <w:sz w:val="21"/>
                <w:szCs w:val="21"/>
              </w:rPr>
              <w:t>4.1.2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9B42C3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1"/>
                <w:szCs w:val="21"/>
              </w:rPr>
            </w:pPr>
            <w:r>
              <w:rPr>
                <w:rFonts w:hint="eastAsia" w:ascii="宋体" w:hAnsi="宋体" w:eastAsia="宋体" w:cs="宋体"/>
                <w:bCs/>
                <w:color w:val="auto"/>
                <w:sz w:val="21"/>
                <w:szCs w:val="21"/>
              </w:rPr>
              <w:t>封套上应载明的信息</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CE24423">
            <w:pPr>
              <w:pStyle w:val="9"/>
              <w:keepNext w:val="0"/>
              <w:keepLines w:val="0"/>
              <w:suppressLineNumbers w:val="0"/>
              <w:topLinePunct/>
              <w:snapToGrid w:val="0"/>
              <w:spacing w:before="0" w:beforeAutospacing="0" w:after="0" w:afterAutospacing="0" w:line="360" w:lineRule="exact"/>
              <w:ind w:left="0" w:right="0"/>
              <w:rPr>
                <w:rFonts w:hint="default" w:hAnsi="宋体" w:cs="Times New Roman"/>
                <w:color w:val="auto"/>
                <w:sz w:val="21"/>
                <w:szCs w:val="21"/>
                <w:lang w:eastAsia="zh-CN"/>
              </w:rPr>
            </w:pPr>
            <w:r>
              <w:rPr>
                <w:rFonts w:hint="eastAsia" w:hAnsi="宋体" w:cs="Times New Roman"/>
                <w:color w:val="auto"/>
                <w:sz w:val="21"/>
                <w:szCs w:val="21"/>
                <w:lang w:eastAsia="zh-CN"/>
              </w:rPr>
              <w:t>如有提交投标文件光盘备用，封套上应注明如下信息：</w:t>
            </w:r>
          </w:p>
          <w:p w14:paraId="25BCB56E">
            <w:pPr>
              <w:pStyle w:val="9"/>
              <w:keepNext w:val="0"/>
              <w:keepLines w:val="0"/>
              <w:suppressLineNumbers w:val="0"/>
              <w:topLinePunct/>
              <w:snapToGrid w:val="0"/>
              <w:spacing w:before="0" w:beforeAutospacing="0" w:after="0" w:afterAutospacing="0" w:line="360" w:lineRule="exact"/>
              <w:ind w:left="0" w:right="0"/>
              <w:rPr>
                <w:rFonts w:hint="default" w:hAnsi="宋体" w:cs="Times New Roman"/>
                <w:color w:val="auto"/>
                <w:sz w:val="21"/>
                <w:szCs w:val="21"/>
                <w:u w:val="single"/>
                <w:lang w:eastAsia="zh-CN"/>
              </w:rPr>
            </w:pPr>
            <w:r>
              <w:rPr>
                <w:rFonts w:hint="eastAsia" w:hAnsi="宋体" w:cs="Times New Roman"/>
                <w:color w:val="auto"/>
                <w:sz w:val="21"/>
                <w:szCs w:val="21"/>
                <w:u w:val="single"/>
                <w:lang w:eastAsia="zh-CN"/>
              </w:rPr>
              <w:t>刻录好的投标文件光盘分别密封在不透明的密封袋并作标记，其中：</w:t>
            </w:r>
          </w:p>
          <w:p w14:paraId="2297A188">
            <w:pPr>
              <w:pStyle w:val="9"/>
              <w:keepNext w:val="0"/>
              <w:keepLines w:val="0"/>
              <w:suppressLineNumbers w:val="0"/>
              <w:topLinePunct/>
              <w:snapToGrid w:val="0"/>
              <w:spacing w:before="0" w:beforeAutospacing="0" w:after="0" w:afterAutospacing="0" w:line="360" w:lineRule="exact"/>
              <w:ind w:left="0" w:right="0"/>
              <w:rPr>
                <w:rFonts w:hint="default" w:hAnsi="宋体" w:cs="Times New Roman"/>
                <w:color w:val="auto"/>
                <w:sz w:val="21"/>
                <w:szCs w:val="21"/>
                <w:u w:val="single"/>
                <w:lang w:eastAsia="zh-CN"/>
              </w:rPr>
            </w:pPr>
            <w:r>
              <w:rPr>
                <w:rFonts w:hint="eastAsia" w:hAnsi="宋体" w:cs="Times New Roman"/>
                <w:color w:val="auto"/>
                <w:sz w:val="21"/>
                <w:szCs w:val="21"/>
                <w:u w:val="single"/>
                <w:lang w:eastAsia="zh-CN"/>
              </w:rPr>
              <w:t>1.“商务文件（含资格审查部分、资信业绩部分）光盘”应在密封袋上写明（1）招标人名称；（2）“[工程名称]商务文件（含资格审查部分、资信业绩部分）光盘”字样；（3）投标人名称；并在封口处加盖投标人单位公章；</w:t>
            </w:r>
          </w:p>
          <w:p w14:paraId="132B7DCB">
            <w:pPr>
              <w:pStyle w:val="49"/>
              <w:keepNext w:val="0"/>
              <w:keepLines w:val="0"/>
              <w:suppressLineNumbers w:val="0"/>
              <w:tabs>
                <w:tab w:val="left" w:pos="734"/>
                <w:tab w:val="left" w:pos="1365"/>
                <w:tab w:val="left" w:pos="1994"/>
                <w:tab w:val="left" w:pos="2623"/>
              </w:tabs>
              <w:spacing w:before="0" w:beforeAutospacing="0" w:after="0" w:afterAutospacing="0" w:line="360" w:lineRule="auto"/>
              <w:ind w:left="0" w:right="0"/>
              <w:jc w:val="both"/>
              <w:rPr>
                <w:rFonts w:hint="default" w:ascii="宋体" w:hAnsi="宋体" w:eastAsia="宋体" w:cs="宋体"/>
                <w:b/>
                <w:color w:val="auto"/>
                <w:sz w:val="21"/>
                <w:szCs w:val="21"/>
                <w:lang w:eastAsia="zh-CN"/>
              </w:rPr>
            </w:pPr>
            <w:r>
              <w:rPr>
                <w:rFonts w:hint="eastAsia" w:ascii="宋体" w:hAnsi="宋体" w:cs="Times New Roman"/>
                <w:color w:val="auto"/>
                <w:kern w:val="2"/>
                <w:sz w:val="21"/>
                <w:szCs w:val="21"/>
                <w:u w:val="single"/>
                <w:lang w:eastAsia="zh-CN"/>
              </w:rPr>
              <w:t>2.“技术文件光盘”</w:t>
            </w:r>
            <w:r>
              <w:rPr>
                <w:rFonts w:hint="eastAsia" w:ascii="宋体" w:hAnsi="宋体" w:cs="Times New Roman"/>
                <w:color w:val="auto"/>
                <w:kern w:val="2"/>
                <w:szCs w:val="21"/>
                <w:u w:val="single"/>
                <w:lang w:eastAsia="zh-CN"/>
              </w:rPr>
              <w:t>、</w:t>
            </w:r>
            <w:r>
              <w:rPr>
                <w:rFonts w:hint="eastAsia" w:ascii="宋体" w:hAnsi="宋体" w:cs="Times New Roman"/>
                <w:color w:val="auto"/>
                <w:kern w:val="2"/>
                <w:sz w:val="21"/>
                <w:szCs w:val="21"/>
                <w:u w:val="single"/>
                <w:lang w:eastAsia="zh-CN"/>
              </w:rPr>
              <w:t>“保密信封”应分别仅在密封袋上写明“[工程名称][技术文件光盘或保密信封]”字样，并不得盖章或加具其它可以识别投标人身份的标记</w:t>
            </w:r>
            <w:r>
              <w:rPr>
                <w:rFonts w:hint="default" w:ascii="宋体" w:hAnsi="宋体" w:cs="Times New Roman"/>
                <w:color w:val="auto"/>
                <w:kern w:val="2"/>
                <w:sz w:val="21"/>
                <w:szCs w:val="21"/>
                <w:lang w:eastAsia="zh-CN"/>
              </w:rPr>
              <w:t>。</w:t>
            </w:r>
          </w:p>
        </w:tc>
      </w:tr>
      <w:tr w14:paraId="38174D5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A21EE8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8923D6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投标截止时间</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81AAE1C">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2025年   月    日  时  分</w:t>
            </w:r>
          </w:p>
          <w:p w14:paraId="0AE88A42">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351FC03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96BB68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4.2.2（A）</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FC76AB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递交投标文件地点</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AAFA152">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删除</w:t>
            </w:r>
          </w:p>
        </w:tc>
      </w:tr>
      <w:tr w14:paraId="065CE74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FCD592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4.2.2（</w:t>
            </w:r>
            <w:r>
              <w:rPr>
                <w:rFonts w:hint="eastAsia" w:ascii="宋体" w:hAnsi="宋体" w:eastAsia="宋体" w:cs="宋体"/>
                <w:color w:val="auto"/>
                <w:sz w:val="21"/>
                <w:szCs w:val="21"/>
                <w:lang w:eastAsia="zh-CN"/>
              </w:rPr>
              <w:t>B</w:t>
            </w:r>
            <w:r>
              <w:rPr>
                <w:rFonts w:hint="eastAsia" w:ascii="宋体" w:hAnsi="宋体" w:eastAsia="宋体" w:cs="宋体"/>
                <w:color w:val="auto"/>
                <w:sz w:val="21"/>
                <w:szCs w:val="21"/>
              </w:rPr>
              <w:t>）</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972E55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rPr>
              <w:t>递交投标文件</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CFE114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1、投标人登录广州交易集团有限公司（广州公共资源交易中心）交易平台递交电子投标文件。</w:t>
            </w:r>
          </w:p>
          <w:p w14:paraId="2EC42D33">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2、投标人完成电子投标文件上传后，交易平台即时向投标人发出递交回执通知。递交时间以递交回执通知载明的传输完成时间为准。</w:t>
            </w:r>
          </w:p>
          <w:p w14:paraId="709CBCCD">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3、如按招标公告要求需要提交投标文件光盘（备用），备用光盘不得加密。如使用投标文件光盘（备用）时无法读取或导入的，则视为未提交投标文件。</w:t>
            </w:r>
          </w:p>
          <w:p w14:paraId="1256F26E">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4、逾期送达的投标文件，交易平台将予以拒收。</w:t>
            </w:r>
          </w:p>
        </w:tc>
      </w:tr>
      <w:tr w14:paraId="14A327FD">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B05F86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1A5ED58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投标文件是否退还</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3BB9123">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p w14:paraId="6012FA7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□是，退还时间：</w:t>
            </w:r>
          </w:p>
        </w:tc>
      </w:tr>
      <w:tr w14:paraId="54D4F36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06A7E42C">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4.2.4（A）</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29B8AE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F2377C1">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删除。</w:t>
            </w:r>
          </w:p>
        </w:tc>
      </w:tr>
      <w:tr w14:paraId="22AFEDD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8AC026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4.2.5（A）</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7B102F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DC8C8AE">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删除。</w:t>
            </w:r>
          </w:p>
        </w:tc>
      </w:tr>
      <w:tr w14:paraId="1DEFB84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08E80BD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4.2.6（</w:t>
            </w:r>
            <w:r>
              <w:rPr>
                <w:rFonts w:hint="eastAsia" w:ascii="宋体" w:hAnsi="宋体" w:eastAsia="宋体" w:cs="宋体"/>
                <w:color w:val="auto"/>
                <w:sz w:val="21"/>
                <w:szCs w:val="21"/>
                <w:lang w:eastAsia="zh-CN"/>
              </w:rPr>
              <w:t>增加</w:t>
            </w:r>
            <w:r>
              <w:rPr>
                <w:rFonts w:hint="eastAsia" w:ascii="宋体" w:hAnsi="宋体" w:eastAsia="宋体" w:cs="宋体"/>
                <w:color w:val="auto"/>
                <w:sz w:val="21"/>
                <w:szCs w:val="21"/>
              </w:rPr>
              <w:t>）</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84B7D1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投标时间</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A333827">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1、投标截止时间自本工程招标公告发布之日起计。</w:t>
            </w:r>
          </w:p>
          <w:p w14:paraId="7BF5DB2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2、具体投标截止时间以招标人（招标代理机构）的最新通知为准，请各投标人留意交易平台网站发布的本工程相关信息。</w:t>
            </w:r>
          </w:p>
          <w:p w14:paraId="4F45F68E">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3、到投标截止时间止，招标人收到的投标文件少于3家的，招标人将重新组织招标。</w:t>
            </w:r>
          </w:p>
        </w:tc>
      </w:tr>
      <w:tr w14:paraId="343342EA">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038EA2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rPr>
              <w:t>4.3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50B71B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投标文件的修改与撤回</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44F4D40">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1、在规定的投标截止时间前，投标人可以修改或撤回已递交的投标文件。</w:t>
            </w:r>
          </w:p>
          <w:p w14:paraId="7042BAB2">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2、投标人修改或撤回已递交的投标文件，需在交易平台发出撤回通知，并按要求加盖电子印章。电子招标投标交易平台收到通知后，即时向投标人发布确认回执通知。</w:t>
            </w:r>
          </w:p>
          <w:p w14:paraId="6104B071">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3、修改后再次递交的，按4.2.2（B）的规定执行。</w:t>
            </w:r>
          </w:p>
          <w:p w14:paraId="220E21A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4、在投标截止时间后，投标人不得补充、修改或更换投标文件。</w:t>
            </w:r>
          </w:p>
        </w:tc>
      </w:tr>
      <w:tr w14:paraId="2030A002">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D33DC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5.1（A）</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F6EFDC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3CB0F39F">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删除。</w:t>
            </w:r>
          </w:p>
        </w:tc>
      </w:tr>
      <w:tr w14:paraId="6FC3B00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5F08BD1">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5.1（B）</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96F653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6766ACC">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开标时间：同投标截止时间</w:t>
            </w:r>
          </w:p>
          <w:p w14:paraId="1338790F">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开标地点：具体时间和地点可以到广州交易集团有限公司（广州公共资源交易中心）交易平台“建设工程→项目查询（日程安排、答疑纪要）”输入本项目编号或项目名称进行查询。</w:t>
            </w:r>
          </w:p>
        </w:tc>
      </w:tr>
      <w:tr w14:paraId="1169E584">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4E60F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5.2（</w:t>
            </w:r>
            <w:r>
              <w:rPr>
                <w:rFonts w:hint="eastAsia" w:ascii="宋体" w:hAnsi="宋体" w:eastAsia="宋体" w:cs="宋体"/>
                <w:color w:val="auto"/>
                <w:sz w:val="21"/>
                <w:szCs w:val="21"/>
                <w:lang w:eastAsia="zh-CN"/>
              </w:rPr>
              <w:t>B</w:t>
            </w:r>
            <w:r>
              <w:rPr>
                <w:rFonts w:hint="eastAsia" w:ascii="宋体" w:hAnsi="宋体" w:eastAsia="宋体" w:cs="宋体"/>
                <w:color w:val="auto"/>
                <w:sz w:val="21"/>
                <w:szCs w:val="21"/>
              </w:rPr>
              <w:t>）</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9D6F21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开标程序</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0BEE36C">
            <w:pPr>
              <w:pStyle w:val="2"/>
              <w:keepNext w:val="0"/>
              <w:keepLines w:val="0"/>
              <w:suppressLineNumbers w:val="0"/>
              <w:spacing w:before="0" w:beforeAutospacing="0" w:after="0" w:afterAutospacing="0" w:line="360" w:lineRule="auto"/>
              <w:ind w:left="0" w:right="0" w:firstLine="420" w:firstLineChars="200"/>
              <w:rPr>
                <w:rFonts w:hint="default" w:cs="Times New Roman"/>
                <w:color w:val="auto"/>
                <w:u w:val="single"/>
                <w:lang w:eastAsia="zh-CN"/>
              </w:rPr>
            </w:pPr>
            <w:r>
              <w:rPr>
                <w:rFonts w:hint="default" w:cs="Times New Roman"/>
                <w:color w:val="auto"/>
                <w:u w:val="single"/>
                <w:lang w:eastAsia="zh-CN"/>
              </w:rPr>
              <w:t>主持人按下列程序进行开标：</w:t>
            </w:r>
          </w:p>
          <w:p w14:paraId="357823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（1）宣布开标纪律；</w:t>
            </w:r>
          </w:p>
          <w:p w14:paraId="225228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（2）招标代理（招标人）登录交易平台-数字开标系统；</w:t>
            </w:r>
          </w:p>
          <w:p w14:paraId="1112C9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（3）宣布开标人、唱标人、记录人、监标人等有关人员姓名；</w:t>
            </w:r>
          </w:p>
          <w:p w14:paraId="5586A1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（4）（B）投标人登录交易平台-数字开标系统，输入CA密码对已递交的电子投标文件进行解密，所有投标人需要在招标时设定的投标文件解密截止时间内进行解密，投标文件解密截止时间后不能再进行解密操作；</w:t>
            </w:r>
          </w:p>
          <w:p w14:paraId="780AE9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所有投标人都已解密完成，或到了投标文件解密截止时间后，招标代理（招标人）可进行“招标人解密操作”，解密操作同样需要进行CA验证；</w:t>
            </w:r>
          </w:p>
          <w:p w14:paraId="2B127D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投标人、招标代理（招标人）完成解密后，公布在投标截止时间前递交投标文件的投标人名称；招标代理开启电子唱标，公布招标项目名称、投标人名称、投标报价、服务期限及其他内容，并记录在案；</w:t>
            </w:r>
          </w:p>
          <w:p w14:paraId="0D6B6C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唱标结束后，</w:t>
            </w:r>
            <w:bookmarkStart w:id="58" w:name="_GoBack"/>
            <w:bookmarkEnd w:id="58"/>
            <w:r>
              <w:rPr>
                <w:rFonts w:hint="default" w:ascii="宋体" w:hAnsi="宋体" w:eastAsia="宋体" w:cs="Times New Roman"/>
                <w:color w:val="auto"/>
                <w:sz w:val="21"/>
                <w:szCs w:val="21"/>
                <w:u w:val="single"/>
                <w:lang w:eastAsia="zh-CN"/>
              </w:rPr>
              <w:t>招标代理须开启“开始异议”，开启后，投标人若需要提问的可在15分钟内进行提问，招标代理（招标人）需要回答所有的投标人提问或等待15分钟才能结束异议，若所有投标人都回复了“无异议”，招标代理（招标人）可提前结束异议；</w:t>
            </w:r>
          </w:p>
          <w:p w14:paraId="46C123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Times New Roman"/>
                <w:color w:val="auto"/>
                <w:sz w:val="21"/>
                <w:szCs w:val="21"/>
                <w:u w:val="single"/>
                <w:lang w:eastAsia="zh-CN"/>
              </w:rPr>
            </w:pPr>
            <w:r>
              <w:rPr>
                <w:rFonts w:hint="default" w:ascii="宋体" w:hAnsi="宋体" w:eastAsia="宋体" w:cs="Times New Roman"/>
                <w:color w:val="auto"/>
                <w:sz w:val="21"/>
                <w:szCs w:val="21"/>
                <w:u w:val="single"/>
                <w:lang w:eastAsia="zh-CN"/>
              </w:rPr>
              <w:t>（5）（B）唱标环节结束后，招标代理、投标人都可以同时查看到“开标报表”；投标人代表、招标人代表、监标人（如有）、记录人等有关人员在开标记录上签字确认；若有关人员不签字的，不影响开标程序；</w:t>
            </w:r>
          </w:p>
          <w:p w14:paraId="71C25FDA">
            <w:pPr>
              <w:pStyle w:val="2"/>
              <w:keepNext w:val="0"/>
              <w:keepLines w:val="0"/>
              <w:suppressLineNumbers w:val="0"/>
              <w:spacing w:before="0" w:beforeAutospacing="0" w:after="0" w:afterAutospacing="0" w:line="360" w:lineRule="auto"/>
              <w:ind w:left="0" w:right="0" w:firstLine="420" w:firstLineChars="200"/>
              <w:rPr>
                <w:rFonts w:hint="default" w:cs="Times New Roman"/>
                <w:color w:val="auto"/>
                <w:u w:val="single"/>
                <w:lang w:eastAsia="zh-CN"/>
              </w:rPr>
            </w:pPr>
            <w:r>
              <w:rPr>
                <w:rFonts w:hint="default" w:ascii="宋体" w:hAnsi="宋体" w:eastAsia="宋体" w:cs="Times New Roman"/>
                <w:color w:val="auto"/>
                <w:sz w:val="21"/>
                <w:szCs w:val="21"/>
                <w:u w:val="single"/>
                <w:lang w:eastAsia="zh-CN"/>
              </w:rPr>
              <w:t>（6）开标结束。</w:t>
            </w:r>
          </w:p>
          <w:p w14:paraId="47DA7517">
            <w:pPr>
              <w:pStyle w:val="2"/>
              <w:keepNext w:val="0"/>
              <w:keepLines w:val="0"/>
              <w:suppressLineNumbers w:val="0"/>
              <w:spacing w:before="0" w:beforeAutospacing="0" w:after="0" w:afterAutospacing="0" w:line="360" w:lineRule="auto"/>
              <w:ind w:left="0" w:right="0" w:firstLine="420" w:firstLineChars="200"/>
              <w:rPr>
                <w:rFonts w:hint="default" w:cs="Times New Roman"/>
                <w:color w:val="auto"/>
                <w:u w:val="single"/>
                <w:lang w:eastAsia="zh-CN"/>
              </w:rPr>
            </w:pPr>
            <w:r>
              <w:rPr>
                <w:rFonts w:hint="default" w:cs="Times New Roman"/>
                <w:color w:val="auto"/>
                <w:u w:val="single"/>
                <w:lang w:eastAsia="zh-CN"/>
              </w:rPr>
              <w:t>5.2.2</w:t>
            </w:r>
            <w:r>
              <w:rPr>
                <w:rFonts w:hint="eastAsia" w:cs="Times New Roman"/>
                <w:color w:val="auto"/>
                <w:u w:val="single"/>
                <w:lang w:eastAsia="zh-CN"/>
              </w:rPr>
              <w:t>投标截止时间前未完成投标文件传输的或因投标人之外的原因造成投标文件未解密的或未在投标截止时间后</w:t>
            </w:r>
            <w:r>
              <w:rPr>
                <w:rFonts w:hint="eastAsia" w:cs="Times New Roman"/>
                <w:color w:val="auto"/>
                <w:u w:val="single"/>
                <w:lang w:val="en-US" w:eastAsia="zh-CN"/>
              </w:rPr>
              <w:t>一</w:t>
            </w:r>
            <w:r>
              <w:rPr>
                <w:rFonts w:hint="eastAsia" w:cs="Times New Roman"/>
                <w:color w:val="auto"/>
                <w:u w:val="single"/>
                <w:lang w:eastAsia="zh-CN"/>
              </w:rPr>
              <w:t>小时解密的，视为投标人其撤回投标文件。因投标人原因造成投标文件未解密的，或因投标人原因解密失败且未递交电子光盘或递交的电子光盘不能读取的，视为撤销其投标文件。</w:t>
            </w:r>
          </w:p>
          <w:p w14:paraId="3463FEBC">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default" w:ascii="Times New Roman" w:hAnsi="Times New Roman" w:cs="Times New Roman"/>
                <w:color w:val="auto"/>
                <w:sz w:val="21"/>
                <w:szCs w:val="21"/>
                <w:u w:val="single"/>
                <w:lang w:eastAsia="zh-CN"/>
              </w:rPr>
              <w:t>5.2.3</w:t>
            </w:r>
            <w:r>
              <w:rPr>
                <w:rFonts w:hint="eastAsia" w:ascii="Times New Roman" w:hAnsi="Times New Roman" w:cs="Times New Roman"/>
                <w:color w:val="auto"/>
                <w:sz w:val="21"/>
                <w:szCs w:val="21"/>
                <w:u w:val="single"/>
                <w:lang w:eastAsia="zh-CN"/>
              </w:rPr>
              <w:t>开标时，两个（含两个）以上的投标人加密打包投标文件电脑机器特征码一致的，不参与下一程序，并由评标委员会否决其投标。</w:t>
            </w:r>
            <w:r>
              <w:rPr>
                <w:rFonts w:hint="eastAsia" w:ascii="宋体" w:hAnsi="宋体" w:eastAsia="宋体" w:cs="宋体"/>
                <w:color w:val="auto"/>
                <w:sz w:val="21"/>
                <w:szCs w:val="21"/>
                <w:lang w:eastAsia="zh-CN"/>
              </w:rPr>
              <w:t>。</w:t>
            </w:r>
          </w:p>
        </w:tc>
      </w:tr>
      <w:tr w14:paraId="3202E3C9">
        <w:tblPrEx>
          <w:tblCellMar>
            <w:top w:w="0" w:type="dxa"/>
            <w:left w:w="0" w:type="dxa"/>
            <w:bottom w:w="0" w:type="dxa"/>
            <w:right w:w="0" w:type="dxa"/>
          </w:tblCellMar>
        </w:tblPrEx>
        <w:trPr>
          <w:trHeight w:val="518"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08F881F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6.1.1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F33538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评标委员会的组建</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7CFE39B">
            <w:pPr>
              <w:keepNext w:val="0"/>
              <w:keepLines w:val="0"/>
              <w:suppressLineNumbers w:val="0"/>
              <w:spacing w:before="0" w:beforeAutospacing="0" w:after="0" w:afterAutospacing="0" w:line="276" w:lineRule="auto"/>
              <w:ind w:left="1547" w:right="0" w:hanging="1546" w:hangingChars="703"/>
              <w:rPr>
                <w:rFonts w:hint="default" w:ascii="宋体" w:hAnsi="宋体" w:eastAsia="宋体" w:cs="宋体"/>
                <w:color w:val="auto"/>
                <w:sz w:val="21"/>
                <w:szCs w:val="21"/>
                <w:lang w:eastAsia="zh-CN"/>
              </w:rPr>
            </w:pPr>
            <w:r>
              <w:rPr>
                <w:rFonts w:hint="eastAsia" w:ascii="宋体" w:hAnsi="宋体" w:cs="宋体"/>
                <w:color w:val="auto"/>
                <w:szCs w:val="21"/>
                <w:lang w:eastAsia="zh-CN"/>
              </w:rPr>
              <w:t>评标委员会由招标人依法组建。</w:t>
            </w:r>
          </w:p>
        </w:tc>
      </w:tr>
      <w:tr w14:paraId="31344696">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4B12B41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6.3.2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186EBD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评标委员会推荐中标候选人的人数</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8DB1466">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SA"/>
              </w:rPr>
              <w:t>推荐3名中标候选人。</w:t>
            </w:r>
          </w:p>
        </w:tc>
      </w:tr>
      <w:tr w14:paraId="5D64EE57">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0C9BC08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7.1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67893F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中标候选人公示媒介及期限</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7FE3DAE">
            <w:pPr>
              <w:pStyle w:val="49"/>
              <w:keepNext w:val="0"/>
              <w:keepLines w:val="0"/>
              <w:suppressLineNumbers w:val="0"/>
              <w:tabs>
                <w:tab w:val="left" w:pos="2100"/>
              </w:tabs>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公示媒介：中国招标投标公共服务平台、广东省招标投标监管网、广州交易集团有限公司（广州公共资源交易中心）网</w:t>
            </w:r>
          </w:p>
          <w:p w14:paraId="400A9807">
            <w:pPr>
              <w:pStyle w:val="49"/>
              <w:keepNext w:val="0"/>
              <w:keepLines w:val="0"/>
              <w:suppressLineNumbers w:val="0"/>
              <w:tabs>
                <w:tab w:val="left" w:pos="2100"/>
              </w:tabs>
              <w:spacing w:before="0" w:beforeAutospacing="0" w:after="0" w:afterAutospacing="0" w:line="360" w:lineRule="auto"/>
              <w:ind w:left="0" w:right="0"/>
              <w:jc w:val="both"/>
              <w:rPr>
                <w:rFonts w:hint="default" w:ascii="宋体" w:hAnsi="宋体" w:eastAsia="宋体" w:cs="宋体"/>
                <w:color w:val="auto"/>
                <w:sz w:val="21"/>
                <w:szCs w:val="21"/>
              </w:rPr>
            </w:pPr>
            <w:r>
              <w:rPr>
                <w:rFonts w:hint="eastAsia" w:ascii="宋体" w:hAnsi="宋体" w:eastAsia="宋体" w:cs="宋体"/>
                <w:color w:val="auto"/>
                <w:spacing w:val="-2"/>
                <w:sz w:val="21"/>
                <w:szCs w:val="21"/>
              </w:rPr>
              <w:t>公示期限：</w:t>
            </w:r>
            <w:r>
              <w:rPr>
                <w:rFonts w:hint="eastAsia" w:ascii="宋体" w:hAnsi="宋体" w:eastAsia="宋体" w:cs="宋体"/>
                <w:color w:val="auto"/>
                <w:spacing w:val="-2"/>
                <w:sz w:val="21"/>
                <w:szCs w:val="21"/>
                <w:u w:val="single" w:color="000000"/>
                <w:lang w:eastAsia="zh-CN"/>
              </w:rPr>
              <w:t>3</w:t>
            </w:r>
            <w:r>
              <w:rPr>
                <w:rFonts w:hint="eastAsia" w:ascii="宋体" w:hAnsi="宋体" w:eastAsia="宋体" w:cs="宋体"/>
                <w:color w:val="auto"/>
                <w:sz w:val="21"/>
                <w:szCs w:val="21"/>
              </w:rPr>
              <w:t>日</w:t>
            </w:r>
          </w:p>
        </w:tc>
      </w:tr>
      <w:tr w14:paraId="1B012B11">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3C3C7DD">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7.4</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6C6CF54">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是否授权评标委员会确定中标人</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723B026">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w:t>
            </w:r>
          </w:p>
          <w:p w14:paraId="6A6A579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■否：（1）招标人的招标领导小组根据评标报告，最终审定中标人。</w:t>
            </w:r>
          </w:p>
          <w:p w14:paraId="6FFCAA0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（2）依法必须进行公开招标的项目，招标人应当确定排名第一的中标候选人为中标人。</w:t>
            </w:r>
          </w:p>
          <w:p w14:paraId="6D9D0FCF">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1EA03848">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11B17B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7.6</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661672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技术成果经济补偿</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01D110A">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■不补偿</w:t>
            </w:r>
          </w:p>
          <w:p w14:paraId="2BF62BC5">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□补偿，补偿标准： </w:t>
            </w:r>
          </w:p>
        </w:tc>
      </w:tr>
      <w:tr w14:paraId="31CF7A6F">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7F7D99D6">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7.7.1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A9E2D31">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履约保证金</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CCC1631">
            <w:pPr>
              <w:pStyle w:val="49"/>
              <w:keepNext w:val="0"/>
              <w:keepLines w:val="0"/>
              <w:suppressLineNumbers w:val="0"/>
              <w:kinsoku w:val="0"/>
              <w:overflowPunct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是否要求中标人提交履约保证金：</w:t>
            </w:r>
          </w:p>
          <w:p w14:paraId="114EB4D3">
            <w:pPr>
              <w:pStyle w:val="49"/>
              <w:keepNext w:val="0"/>
              <w:keepLines w:val="0"/>
              <w:suppressLineNumbers w:val="0"/>
              <w:kinsoku w:val="0"/>
              <w:overflowPunct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■要求，履约保证金的形式：中标价款（人民币）10%，履约保证金可采用银行保函、保证保险、担保保函等有效方式。</w:t>
            </w:r>
          </w:p>
          <w:p w14:paraId="12773255">
            <w:pPr>
              <w:pStyle w:val="49"/>
              <w:keepNext w:val="0"/>
              <w:keepLines w:val="0"/>
              <w:suppressLineNumbers w:val="0"/>
              <w:kinsoku w:val="0"/>
              <w:overflowPunct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tc>
      </w:tr>
      <w:tr w14:paraId="0D783AF8">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549E23D">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9</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162118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是否采用电子招标投标</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5C84393">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p w14:paraId="6902441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■是，具体要求：</w:t>
            </w:r>
          </w:p>
          <w:p w14:paraId="2BA45375">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1、</w:t>
            </w:r>
            <w:r>
              <w:rPr>
                <w:rFonts w:hint="eastAsia" w:ascii="宋体" w:hAnsi="宋体" w:cs="Courier New"/>
                <w:color w:val="auto"/>
                <w:sz w:val="21"/>
                <w:szCs w:val="21"/>
                <w:u w:val="single"/>
                <w:lang w:eastAsia="zh-CN"/>
              </w:rPr>
              <w:t>按照交易平台关于全流程电子化项目的相关指南进行操作。详见：</w:t>
            </w:r>
            <w:r>
              <w:rPr>
                <w:rFonts w:hint="eastAsia" w:ascii="宋体" w:hAnsi="宋体" w:eastAsia="宋体" w:cs="宋体"/>
                <w:color w:val="auto"/>
                <w:sz w:val="21"/>
                <w:szCs w:val="21"/>
                <w:u w:val="single"/>
                <w:lang w:eastAsia="zh-CN"/>
              </w:rPr>
              <w:t>广州交易集团有限公司（广州公共资源交易中心）</w:t>
            </w:r>
            <w:r>
              <w:rPr>
                <w:rFonts w:hint="eastAsia" w:ascii="宋体" w:hAnsi="宋体" w:cs="Courier New"/>
                <w:color w:val="auto"/>
                <w:sz w:val="21"/>
                <w:szCs w:val="21"/>
                <w:u w:val="single"/>
                <w:lang w:eastAsia="zh-CN"/>
              </w:rPr>
              <w:t>网站</w:t>
            </w:r>
            <w:r>
              <w:rPr>
                <w:rFonts w:hint="eastAsia" w:ascii="宋体" w:hAnsi="宋体" w:eastAsia="宋体" w:cs="宋体"/>
                <w:color w:val="auto"/>
                <w:sz w:val="21"/>
                <w:szCs w:val="21"/>
                <w:u w:val="single"/>
                <w:lang w:eastAsia="zh-CN"/>
              </w:rPr>
              <w:t>。</w:t>
            </w:r>
          </w:p>
          <w:p w14:paraId="36E2619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2、提交投标文件光盘备用</w:t>
            </w:r>
          </w:p>
          <w:p w14:paraId="6FC979E9">
            <w:pPr>
              <w:pStyle w:val="9"/>
              <w:keepNext w:val="0"/>
              <w:keepLines w:val="0"/>
              <w:suppressLineNumbers w:val="0"/>
              <w:topLinePunct/>
              <w:snapToGrid w:val="0"/>
              <w:spacing w:before="0" w:beforeAutospacing="0" w:after="0" w:afterAutospacing="0" w:line="360" w:lineRule="exact"/>
              <w:ind w:left="0" w:right="0"/>
              <w:rPr>
                <w:rFonts w:hint="default" w:hAnsi="宋体" w:cs="宋体"/>
                <w:color w:val="auto"/>
                <w:sz w:val="21"/>
                <w:szCs w:val="21"/>
                <w:lang w:eastAsia="zh-CN"/>
              </w:rPr>
            </w:pPr>
            <w:r>
              <w:rPr>
                <w:rFonts w:hint="eastAsia" w:hAnsi="宋体" w:eastAsia="Calibri" w:cs="Courier New"/>
                <w:color w:val="auto"/>
                <w:kern w:val="0"/>
                <w:sz w:val="21"/>
                <w:szCs w:val="21"/>
                <w:u w:val="single"/>
                <w:lang w:eastAsia="zh-CN"/>
              </w:rPr>
              <w:t>投标人可制作非加密的电子投标文件刻入光盘（内含3个光盘）：①技术文件（设计方案文件）（暗标，单独密封在密封袋中，不得标注或做任何可以辨认投标人及专业技术人员身份的名称、印章、商标、图形等），②保密信封（不得标注或做任何可以辨认投标人及专业技术人员身份的名称、印章、商标、图形等），③商务文件（含资格审查文件和资信文件），在招标公告规定的时间、地点凭法定代表人证明书原件、法定代表人授权委托证明书原件（非法定代表人办理手续时提供）、本人身份证原件提交备用。刻录好的投标文件光盘密封在密封袋中，</w:t>
            </w:r>
            <w:r>
              <w:rPr>
                <w:rFonts w:hint="eastAsia" w:hAnsi="宋体" w:cs="Times New Roman"/>
                <w:color w:val="auto"/>
                <w:sz w:val="21"/>
                <w:szCs w:val="21"/>
                <w:u w:val="single"/>
                <w:lang w:eastAsia="zh-CN"/>
              </w:rPr>
              <w:t>“技术文件光盘”、“保密信封”应分别仅在密封袋上写明“[工程名称][技术文件光盘或保密信封]”字样，并不得盖章或加具其它可以识别投标人身份的标记</w:t>
            </w:r>
            <w:r>
              <w:rPr>
                <w:rFonts w:hint="default" w:hAnsi="宋体" w:cs="Times New Roman"/>
                <w:color w:val="auto"/>
                <w:sz w:val="21"/>
                <w:szCs w:val="21"/>
                <w:lang w:eastAsia="zh-CN"/>
              </w:rPr>
              <w:t>。</w:t>
            </w:r>
            <w:r>
              <w:rPr>
                <w:rFonts w:hint="eastAsia" w:hAnsi="宋体" w:cs="Times New Roman"/>
                <w:color w:val="auto"/>
                <w:sz w:val="21"/>
                <w:szCs w:val="21"/>
                <w:u w:val="single"/>
                <w:lang w:eastAsia="zh-CN"/>
              </w:rPr>
              <w:t>“商务文件（含资格审查部分、资信业绩部分）光盘”应在密封袋上写明（1）招标人名称；（2）“[工程名称]商务文件（含资格审查部分、资信业绩部分）光盘”字样；（3）投标人名称；并在封口处加盖投标人单位公章</w:t>
            </w:r>
            <w:r>
              <w:rPr>
                <w:rFonts w:hint="eastAsia" w:hAnsi="宋体" w:cs="宋体"/>
                <w:color w:val="auto"/>
                <w:sz w:val="21"/>
                <w:szCs w:val="21"/>
                <w:u w:val="single"/>
                <w:lang w:eastAsia="zh-CN"/>
              </w:rPr>
              <w:t>。</w:t>
            </w:r>
            <w:r>
              <w:rPr>
                <w:rFonts w:hint="eastAsia" w:hAnsi="宋体" w:cs="Times New Roman"/>
                <w:color w:val="auto"/>
                <w:sz w:val="21"/>
                <w:szCs w:val="21"/>
                <w:u w:val="single"/>
                <w:lang w:eastAsia="zh-CN"/>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31E8CE84">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3、补救方案</w:t>
            </w:r>
          </w:p>
          <w:p w14:paraId="2EBAE24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（1）投标文件解密失败的补救方案：</w:t>
            </w:r>
          </w:p>
          <w:p w14:paraId="7A7B45F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在规定时间内，因投标人之外原因（指网络瘫痪、服务器损坏、交易系统故障短期无法恢复等因素）导致的电子投标文件解密失败，在开标现场读取光盘内容（只读取商务文件），继续开标程序。评标委员会对其投标文件的评审以光盘内容为准。因投标人原因解密失败且未递交电子光盘或递交的电子光盘不能读取的，视为撤回投标文件。</w:t>
            </w:r>
          </w:p>
          <w:p w14:paraId="0FCBE7D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（2）评标时突发情况的补救方案</w:t>
            </w:r>
          </w:p>
          <w:p w14:paraId="3ABB0FE5">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若遇不可抗力发生（如：网络瘫痪、服务器损坏、交易系统故障短期无法恢复等因素），由评标委员会开启递交的全部投标文件光盘，并按光盘内容进行评审。</w:t>
            </w:r>
          </w:p>
          <w:p w14:paraId="442C8A2B">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（3）除发生上述情况外，开标评标均以投标人通过交易平台网上递交的电子投标文件为准。</w:t>
            </w:r>
          </w:p>
        </w:tc>
      </w:tr>
      <w:tr w14:paraId="64A0FCCB">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BF77C9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1D138C2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需要补充的其他内容</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4234B7C">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p>
        </w:tc>
      </w:tr>
      <w:tr w14:paraId="56A19215">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25B360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10.1</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6F6A0E4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特别提示</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5D2A66CB">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投标人在本项目招标人的工程项目中存在下列行为的，将被拒绝1年内参与我单位后续工程投标。（注：拒绝投标时限由招标人视严重程度确定，最低三个月起，自招标人发出通知之日起计）：</w:t>
            </w:r>
          </w:p>
          <w:p w14:paraId="58AD0866">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（1）将中标工程转包或者违法分包的；</w:t>
            </w:r>
          </w:p>
          <w:p w14:paraId="69DFC6D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（2）在中标工程中不执行质量、安全生产相关规定的，造成质量或安全事故的；</w:t>
            </w:r>
          </w:p>
          <w:p w14:paraId="2B25E6A0">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（3）存在围标或串标情形的；</w:t>
            </w:r>
          </w:p>
          <w:p w14:paraId="4A6762B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（4）存在弄虚作假骗取中标、行贿情形的；</w:t>
            </w:r>
          </w:p>
          <w:p w14:paraId="39A1A01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（5）存在行贿情形的；</w:t>
            </w:r>
          </w:p>
          <w:p w14:paraId="5FD2F88B">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（6）存在因过错行为被生效法律文书认定承担违约或侵权责任的。</w:t>
            </w:r>
          </w:p>
        </w:tc>
      </w:tr>
      <w:tr w14:paraId="50D5A45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6D357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10.2</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0A5C091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送达</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312D63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《投诉处理决定书》和《行政处理决定书》在广州市住房和城乡建设局网站上公布的，视为送达其他与决定书有关的当事人。</w:t>
            </w:r>
          </w:p>
        </w:tc>
      </w:tr>
      <w:tr w14:paraId="54BF480B">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7CD77C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10.3</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6F44EA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招标失败的情形</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0900872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本项目采用资格后审方式，满足资格审查合格条件或通过初步评审的投标申请人不足3名时为招标失败。招标人分析招标失败原因，修正招标方案，报有关管理部门核准后，重新组织招标。</w:t>
            </w:r>
          </w:p>
        </w:tc>
      </w:tr>
      <w:tr w14:paraId="641A5362">
        <w:tblPrEx>
          <w:tblCellMar>
            <w:top w:w="0" w:type="dxa"/>
            <w:left w:w="0" w:type="dxa"/>
            <w:bottom w:w="0" w:type="dxa"/>
            <w:right w:w="0" w:type="dxa"/>
          </w:tblCellMar>
        </w:tblPrEx>
        <w:trPr>
          <w:trHeight w:val="385"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C9902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10.4</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CFF4C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招标人拒绝接收其投标文件情况</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616A5229">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在投标截止期后逾期上传递交电子投标文件的。</w:t>
            </w:r>
          </w:p>
        </w:tc>
      </w:tr>
      <w:tr w14:paraId="1AC2B79B">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18A830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10.5</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3C1A518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投标文件公开</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14A5D9D8">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pacing w:val="-2"/>
                <w:sz w:val="21"/>
                <w:szCs w:val="21"/>
                <w:u w:val="single"/>
                <w:lang w:eastAsia="zh-CN"/>
              </w:rPr>
              <w:t>在产生中标候选人后，招标人将中标候选人的投标文件商务部分的电子版（报价清单、方案等涉及商业秘密的内容除外）在广州交易集团有限公司（广州公共资源交易中心）网站等法定媒介公开。</w:t>
            </w:r>
          </w:p>
        </w:tc>
      </w:tr>
      <w:tr w14:paraId="2115A8B3">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78AA3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10.6</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494D56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其他</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2B45013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1、招标公告、招标文件、答疑纪要等招标资料全部发布在广州交易集团有限公司（广州公共资源交易中心）网站，由投标人自行下载查阅。</w:t>
            </w:r>
          </w:p>
          <w:p w14:paraId="087E5A23">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2、投标截止时间、开标时间和地点：发布在广州交易集团有限公司（广州公共资源交易中心）网站（具体在网站主页“服务指南”中“交易活动安排”栏目上以“项目名称”或“项目编号”进行查询）。</w:t>
            </w:r>
          </w:p>
          <w:p w14:paraId="2ABBAE4D">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、本工程采用全电子化资格后审方式，具体要求详见</w:t>
            </w:r>
            <w:r>
              <w:rPr>
                <w:rFonts w:hint="eastAsia" w:ascii="宋体" w:hAnsi="宋体" w:cs="宋体"/>
                <w:color w:val="auto"/>
                <w:szCs w:val="21"/>
              </w:rPr>
              <w:t>广州交易集团有限公司（广州公共资源交易中心）网站发布的</w:t>
            </w:r>
            <w:r>
              <w:rPr>
                <w:rFonts w:hint="eastAsia" w:ascii="Times New Roman" w:hAnsi="Times New Roman" w:cs="Times New Roman"/>
                <w:b/>
                <w:color w:val="auto"/>
                <w:szCs w:val="21"/>
              </w:rPr>
              <w:t>相关指引</w:t>
            </w:r>
            <w:r>
              <w:rPr>
                <w:rFonts w:hint="eastAsia" w:ascii="宋体" w:hAnsi="宋体" w:eastAsia="宋体" w:cs="宋体"/>
                <w:color w:val="auto"/>
                <w:sz w:val="21"/>
                <w:szCs w:val="21"/>
                <w:lang w:eastAsia="zh-CN"/>
              </w:rPr>
              <w:t>。</w:t>
            </w:r>
          </w:p>
        </w:tc>
      </w:tr>
      <w:tr w14:paraId="2022F7BC">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327F895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10.7</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70FBAC4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否决投标</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711CFDE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10.8.1投标人有下列情况之一的，评标委员会应当否决其投标：</w:t>
            </w:r>
          </w:p>
          <w:p w14:paraId="0D0A83E3">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（1）投标人与招标人、评标委员会成员或者其他投标人串通投标；</w:t>
            </w:r>
          </w:p>
          <w:p w14:paraId="79712FA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（2）投标人之间存在《广东省实施&lt;中华人民共和国招标投标法&gt;》第十六条所禁止的情形的；</w:t>
            </w:r>
          </w:p>
          <w:p w14:paraId="4C000D1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10.8.2有下列情况之一的，评标委员会应当否决其投标：</w:t>
            </w:r>
          </w:p>
          <w:p w14:paraId="5288D71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（1）《投标书》未加盖投标人公章，也未经法定代表人或者其授权代表签字或盖章；</w:t>
            </w:r>
          </w:p>
          <w:p w14:paraId="4BF2676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（2）《投标书》包含有招标人不能接受的偏差，并且投标人拒绝书面撤回偏差；</w:t>
            </w:r>
          </w:p>
          <w:p w14:paraId="4670D1B6">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（3）《投标人声明》未按规定格式填写或未加盖投标人公章；</w:t>
            </w:r>
          </w:p>
          <w:p w14:paraId="51F1E45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10.8.3投标文件有下列情况之一的，评标委员会应当否决其投标：</w:t>
            </w:r>
          </w:p>
          <w:p w14:paraId="0BDD905B">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（1）投标人与其他投标人加密打包投标文件电脑机器特征码一致的；</w:t>
            </w:r>
          </w:p>
          <w:p w14:paraId="7C9C894F">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（2）投标人在设计方案内标注名称、印章、商标、图形等记认符号，使人辨认出投标人或其专业技术人员的身份；</w:t>
            </w:r>
          </w:p>
          <w:p w14:paraId="77B81D40">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（3）投标人之间存在《广东省实施&lt;中华人民共和国招标投标法&gt;》第十六条所禁止的情形的；</w:t>
            </w:r>
          </w:p>
          <w:p w14:paraId="19DB67F5">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（4）投标报价高于最高投标限价总价的；</w:t>
            </w:r>
          </w:p>
          <w:p w14:paraId="768C876A">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10.8.4投标人有下列情况之一的，视为串通投标：</w:t>
            </w:r>
          </w:p>
          <w:p w14:paraId="69D5419C">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（1）递交投标文件前，投标人私下向招标人或其雇员出示或告知投标文件内容；</w:t>
            </w:r>
          </w:p>
          <w:p w14:paraId="1A441271">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（2）评标表决结束前，投标人私下向评标委员会成员出示或告知投标文件内容；</w:t>
            </w:r>
          </w:p>
          <w:p w14:paraId="138E7606">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（3）评标结果揭晓前，投标人与招标人就投标价格、投标方案等实质性内容进行谈判。</w:t>
            </w:r>
          </w:p>
          <w:p w14:paraId="5E17581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10.8.5发生下列情形之一的，招标人应当重新组织招标：</w:t>
            </w:r>
          </w:p>
          <w:p w14:paraId="4DD2F855">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（1）递交投标文件或通过资格审查的投标人不足三人；</w:t>
            </w:r>
          </w:p>
          <w:p w14:paraId="56D9B2C0">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（2）所有投标被否决，或者经评议有效投标的投标人少于三人；</w:t>
            </w:r>
          </w:p>
          <w:p w14:paraId="68138D7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（3）经项目审批部门会同行业主管部门裁定招标投标结果无效；</w:t>
            </w:r>
          </w:p>
          <w:p w14:paraId="359CB6F0">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10.8.6否决投标的决定由评标委员会作出，其他投标人无权干涉。</w:t>
            </w:r>
          </w:p>
          <w:p w14:paraId="28CBA1C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10.8.7投标文件如果隐瞒不符合评审标准的事实，一切法律责任由投标人承担。</w:t>
            </w:r>
          </w:p>
        </w:tc>
      </w:tr>
      <w:tr w14:paraId="3892DC60">
        <w:tblPrEx>
          <w:tblCellMar>
            <w:top w:w="0" w:type="dxa"/>
            <w:left w:w="0" w:type="dxa"/>
            <w:bottom w:w="0" w:type="dxa"/>
            <w:right w:w="0" w:type="dxa"/>
          </w:tblCellMar>
        </w:tblPrEx>
        <w:tc>
          <w:tcPr>
            <w:tcW w:w="995" w:type="dxa"/>
            <w:tcBorders>
              <w:top w:val="single" w:color="000000" w:sz="4" w:space="0"/>
              <w:left w:val="single" w:color="000000" w:sz="4" w:space="0"/>
              <w:bottom w:val="single" w:color="000000" w:sz="4" w:space="0"/>
              <w:right w:val="single" w:color="000000" w:sz="4" w:space="0"/>
            </w:tcBorders>
            <w:noWrap w:val="0"/>
            <w:vAlign w:val="center"/>
          </w:tcPr>
          <w:p w14:paraId="5CC92D0A">
            <w:pPr>
              <w:keepNext w:val="0"/>
              <w:keepLines w:val="0"/>
              <w:suppressLineNumbers w:val="0"/>
              <w:spacing w:before="0" w:beforeAutospacing="0" w:after="0" w:afterAutospacing="0" w:line="30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4"/>
                <w:szCs w:val="24"/>
                <w:lang w:eastAsia="zh-CN" w:bidi="ar"/>
              </w:rPr>
              <w:t>10.8</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4A5776B6">
            <w:pPr>
              <w:keepNext w:val="0"/>
              <w:keepLines w:val="0"/>
              <w:suppressLineNumbers w:val="0"/>
              <w:spacing w:before="0" w:beforeAutospacing="0" w:after="0" w:afterAutospacing="0" w:line="30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代理服务费及交易服务费</w:t>
            </w:r>
          </w:p>
        </w:tc>
        <w:tc>
          <w:tcPr>
            <w:tcW w:w="6373" w:type="dxa"/>
            <w:tcBorders>
              <w:top w:val="single" w:color="000000" w:sz="4" w:space="0"/>
              <w:left w:val="single" w:color="000000" w:sz="4" w:space="0"/>
              <w:bottom w:val="single" w:color="000000" w:sz="4" w:space="0"/>
              <w:right w:val="single" w:color="000000" w:sz="4" w:space="0"/>
            </w:tcBorders>
            <w:noWrap w:val="0"/>
            <w:vAlign w:val="center"/>
          </w:tcPr>
          <w:p w14:paraId="4F9C2CD2">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1）交易服务费：中标人应按招标人或招标代理机构通知的日期向广州交易集团有限公司（广州公共资源交易中心）缴纳交易服务费、向广州交易集团有限公司（广州公共资源交易中心）索取发票，并在取得发票后及时告知招标代理。（具体收费标准投标人可以在广州交易集团有限公司（广州公共资源交易中心）网站查阅，如有变更以广州交易集团有限公司（广州公共资源交易中心）最新发布的标准为准），其费用包含在投标报价中。</w:t>
            </w:r>
          </w:p>
          <w:p w14:paraId="6A015D36">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（2）招标代理服务费：</w:t>
            </w:r>
            <w:r>
              <w:rPr>
                <w:rFonts w:hint="eastAsia" w:ascii="宋体" w:hAnsi="宋体" w:eastAsia="宋体" w:cs="宋体"/>
                <w:color w:val="auto"/>
                <w:sz w:val="21"/>
                <w:szCs w:val="21"/>
                <w:lang w:eastAsia="zh-CN"/>
              </w:rPr>
              <w:t>本招标项目由中标人支付招标代理服务费用，中标人在招标人发出《中标通知书》前向招标代理机构足额支付招标代</w:t>
            </w:r>
            <w:r>
              <w:rPr>
                <w:rFonts w:hint="eastAsia" w:ascii="宋体" w:hAnsi="宋体" w:eastAsia="宋体" w:cs="宋体"/>
                <w:color w:val="auto"/>
                <w:sz w:val="21"/>
                <w:szCs w:val="21"/>
                <w:lang w:eastAsia="zh-CN" w:bidi="ar"/>
              </w:rPr>
              <w:t>理服务费。招标代理服务费以本项目的中标价为收费基价参照《招标代理服务收费标准》(计价格[200211980号文)及《关于招标代理服务收费有关问题的通知》(发改办价格[20031857号文)中的差额定率累进法计费方式进行计算，其计算基数以最终中标(成交)金额为准。根据上述招标代理费为基础，按下浮40%为本项目的最终招标代理服务费。</w:t>
            </w:r>
          </w:p>
        </w:tc>
      </w:tr>
    </w:tbl>
    <w:p w14:paraId="00613AEA">
      <w:pPr>
        <w:pStyle w:val="9"/>
        <w:rPr>
          <w:color w:val="auto"/>
          <w:lang w:eastAsia="zh-CN"/>
        </w:rPr>
      </w:pPr>
    </w:p>
    <w:p w14:paraId="04B47F48">
      <w:pPr>
        <w:pStyle w:val="5"/>
        <w:spacing w:after="240" w:line="443" w:lineRule="exact"/>
        <w:ind w:right="44"/>
        <w:rPr>
          <w:rFonts w:ascii="宋体" w:hAnsi="宋体" w:eastAsia="宋体"/>
          <w:b w:val="0"/>
          <w:bCs w:val="0"/>
          <w:color w:val="auto"/>
          <w:lang w:eastAsia="zh-CN"/>
        </w:rPr>
      </w:pPr>
      <w:bookmarkStart w:id="7" w:name="_Toc25152732"/>
      <w:bookmarkStart w:id="8" w:name="_Toc25137982"/>
      <w:r>
        <w:rPr>
          <w:rFonts w:ascii="宋体" w:hAnsi="宋体" w:eastAsia="宋体"/>
          <w:color w:val="auto"/>
          <w:lang w:eastAsia="zh-CN"/>
        </w:rPr>
        <w:br w:type="page"/>
      </w:r>
      <w:r>
        <w:rPr>
          <w:rFonts w:ascii="宋体" w:hAnsi="宋体" w:eastAsia="宋体"/>
          <w:color w:val="auto"/>
          <w:lang w:eastAsia="zh-CN"/>
        </w:rPr>
        <w:t>1. 总则</w:t>
      </w:r>
      <w:bookmarkEnd w:id="7"/>
      <w:bookmarkEnd w:id="8"/>
    </w:p>
    <w:p w14:paraId="6E3768CA">
      <w:pPr>
        <w:pStyle w:val="6"/>
        <w:spacing w:after="240"/>
        <w:ind w:right="44"/>
        <w:rPr>
          <w:b/>
          <w:bCs/>
          <w:color w:val="auto"/>
          <w:lang w:eastAsia="zh-CN"/>
        </w:rPr>
      </w:pPr>
      <w:r>
        <w:rPr>
          <w:b/>
          <w:bCs/>
          <w:color w:val="auto"/>
          <w:lang w:eastAsia="zh-CN"/>
        </w:rPr>
        <w:t>1.1招标项目概况</w:t>
      </w:r>
    </w:p>
    <w:p w14:paraId="605DE9BD">
      <w:pPr>
        <w:pStyle w:val="2"/>
        <w:spacing w:line="360" w:lineRule="auto"/>
        <w:ind w:left="0" w:firstLine="480" w:firstLineChars="200"/>
        <w:rPr>
          <w:color w:val="auto"/>
          <w:sz w:val="24"/>
          <w:szCs w:val="24"/>
          <w:lang w:eastAsia="zh-CN"/>
        </w:rPr>
      </w:pPr>
      <w:r>
        <w:rPr>
          <w:color w:val="auto"/>
          <w:sz w:val="24"/>
          <w:szCs w:val="24"/>
          <w:lang w:eastAsia="zh-CN"/>
        </w:rPr>
        <w:t>1.1.1</w:t>
      </w:r>
      <w:r>
        <w:rPr>
          <w:color w:val="auto"/>
          <w:spacing w:val="-8"/>
          <w:sz w:val="24"/>
          <w:szCs w:val="24"/>
          <w:lang w:eastAsia="zh-CN"/>
        </w:rPr>
        <w:t>根据《中华人民共和国招标投标法》、《中华人民共和国招标投标法实施条例》等有关</w:t>
      </w:r>
      <w:r>
        <w:rPr>
          <w:color w:val="auto"/>
          <w:sz w:val="24"/>
          <w:szCs w:val="24"/>
          <w:lang w:eastAsia="zh-CN"/>
        </w:rPr>
        <w:t>法律、法规和规章的规定，本招标项目已具备招标条件，现对</w:t>
      </w:r>
      <w:r>
        <w:rPr>
          <w:rFonts w:hint="eastAsia"/>
          <w:color w:val="auto"/>
          <w:sz w:val="24"/>
          <w:szCs w:val="24"/>
          <w:u w:val="single"/>
          <w:lang w:eastAsia="zh-CN"/>
        </w:rPr>
        <w:t>设计</w:t>
      </w:r>
      <w:r>
        <w:rPr>
          <w:color w:val="auto"/>
          <w:sz w:val="24"/>
          <w:szCs w:val="24"/>
          <w:lang w:eastAsia="zh-CN"/>
        </w:rPr>
        <w:t>进行招标。</w:t>
      </w:r>
    </w:p>
    <w:p w14:paraId="33557175">
      <w:pPr>
        <w:pStyle w:val="2"/>
        <w:spacing w:line="360" w:lineRule="auto"/>
        <w:ind w:left="0" w:firstLine="480" w:firstLineChars="200"/>
        <w:rPr>
          <w:color w:val="auto"/>
          <w:sz w:val="24"/>
          <w:szCs w:val="24"/>
          <w:lang w:eastAsia="zh-CN"/>
        </w:rPr>
      </w:pPr>
      <w:r>
        <w:rPr>
          <w:color w:val="auto"/>
          <w:sz w:val="24"/>
          <w:szCs w:val="24"/>
          <w:lang w:eastAsia="zh-CN"/>
        </w:rPr>
        <w:t>1.1.2招标人：见投标人须知前附表。</w:t>
      </w:r>
    </w:p>
    <w:p w14:paraId="70A58943">
      <w:pPr>
        <w:pStyle w:val="2"/>
        <w:spacing w:line="360" w:lineRule="auto"/>
        <w:ind w:left="0" w:firstLine="480" w:firstLineChars="200"/>
        <w:rPr>
          <w:color w:val="auto"/>
          <w:sz w:val="24"/>
          <w:szCs w:val="24"/>
          <w:lang w:eastAsia="zh-CN"/>
        </w:rPr>
      </w:pPr>
      <w:r>
        <w:rPr>
          <w:color w:val="auto"/>
          <w:sz w:val="24"/>
          <w:szCs w:val="24"/>
          <w:lang w:eastAsia="zh-CN"/>
        </w:rPr>
        <w:t>1.1.3招标代理机构：见投标人须知前附表。</w:t>
      </w:r>
    </w:p>
    <w:p w14:paraId="221179CE">
      <w:pPr>
        <w:pStyle w:val="2"/>
        <w:spacing w:line="360" w:lineRule="auto"/>
        <w:ind w:left="0" w:firstLine="480" w:firstLineChars="200"/>
        <w:rPr>
          <w:color w:val="auto"/>
          <w:sz w:val="24"/>
          <w:szCs w:val="24"/>
          <w:lang w:eastAsia="zh-CN"/>
        </w:rPr>
      </w:pPr>
      <w:r>
        <w:rPr>
          <w:color w:val="auto"/>
          <w:sz w:val="24"/>
          <w:szCs w:val="24"/>
          <w:lang w:eastAsia="zh-CN"/>
        </w:rPr>
        <w:t>1.1.4招标项目名称：见投标人须知前附表。</w:t>
      </w:r>
    </w:p>
    <w:p w14:paraId="25CF9C40">
      <w:pPr>
        <w:pStyle w:val="2"/>
        <w:spacing w:line="360" w:lineRule="auto"/>
        <w:ind w:left="0" w:firstLine="480" w:firstLineChars="200"/>
        <w:rPr>
          <w:color w:val="auto"/>
          <w:sz w:val="24"/>
          <w:szCs w:val="24"/>
          <w:lang w:eastAsia="zh-CN"/>
        </w:rPr>
      </w:pPr>
      <w:r>
        <w:rPr>
          <w:color w:val="auto"/>
          <w:sz w:val="24"/>
          <w:szCs w:val="24"/>
          <w:lang w:eastAsia="zh-CN"/>
        </w:rPr>
        <w:t>1.1.5项目建设地点：见投标人须知前附表。</w:t>
      </w:r>
    </w:p>
    <w:p w14:paraId="7C03F2D3">
      <w:pPr>
        <w:pStyle w:val="2"/>
        <w:spacing w:line="360" w:lineRule="auto"/>
        <w:ind w:left="0" w:firstLine="480" w:firstLineChars="200"/>
        <w:rPr>
          <w:color w:val="auto"/>
          <w:sz w:val="24"/>
          <w:szCs w:val="24"/>
          <w:lang w:eastAsia="zh-CN"/>
        </w:rPr>
      </w:pPr>
      <w:r>
        <w:rPr>
          <w:color w:val="auto"/>
          <w:sz w:val="24"/>
          <w:szCs w:val="24"/>
          <w:lang w:eastAsia="zh-CN"/>
        </w:rPr>
        <w:t>1.1.6项目建设规模：见投标人须知前附表。</w:t>
      </w:r>
    </w:p>
    <w:p w14:paraId="42AA7595">
      <w:pPr>
        <w:pStyle w:val="2"/>
        <w:spacing w:after="240" w:line="360" w:lineRule="auto"/>
        <w:ind w:left="0" w:firstLine="480" w:firstLineChars="200"/>
        <w:rPr>
          <w:color w:val="auto"/>
          <w:sz w:val="24"/>
          <w:szCs w:val="24"/>
          <w:lang w:eastAsia="zh-CN"/>
        </w:rPr>
      </w:pPr>
      <w:r>
        <w:rPr>
          <w:color w:val="auto"/>
          <w:sz w:val="24"/>
          <w:szCs w:val="24"/>
          <w:lang w:eastAsia="zh-CN"/>
        </w:rPr>
        <w:t>1.1.7项目投资估算：见投标人须知前附表。</w:t>
      </w:r>
    </w:p>
    <w:p w14:paraId="7C970139">
      <w:pPr>
        <w:pStyle w:val="6"/>
        <w:spacing w:after="240"/>
        <w:ind w:right="44"/>
        <w:rPr>
          <w:b/>
          <w:bCs/>
          <w:color w:val="auto"/>
          <w:lang w:eastAsia="zh-CN"/>
        </w:rPr>
      </w:pPr>
      <w:r>
        <w:rPr>
          <w:b/>
          <w:bCs/>
          <w:color w:val="auto"/>
          <w:lang w:eastAsia="zh-CN"/>
        </w:rPr>
        <w:t>1.2招标项目的资金来源和落实情况</w:t>
      </w:r>
    </w:p>
    <w:p w14:paraId="5C446B3F">
      <w:pPr>
        <w:pStyle w:val="2"/>
        <w:spacing w:line="360" w:lineRule="auto"/>
        <w:ind w:left="0" w:firstLine="480" w:firstLineChars="200"/>
        <w:rPr>
          <w:color w:val="auto"/>
          <w:sz w:val="24"/>
          <w:szCs w:val="24"/>
          <w:lang w:eastAsia="zh-CN"/>
        </w:rPr>
      </w:pPr>
      <w:r>
        <w:rPr>
          <w:color w:val="auto"/>
          <w:sz w:val="24"/>
          <w:szCs w:val="24"/>
          <w:lang w:eastAsia="zh-CN"/>
        </w:rPr>
        <w:t>1.2.1资金来源及比例：见投标人须知前附表。</w:t>
      </w:r>
    </w:p>
    <w:p w14:paraId="340586BF">
      <w:pPr>
        <w:pStyle w:val="2"/>
        <w:spacing w:after="240" w:line="360" w:lineRule="auto"/>
        <w:ind w:left="0" w:firstLine="480" w:firstLineChars="200"/>
        <w:rPr>
          <w:color w:val="auto"/>
          <w:sz w:val="24"/>
          <w:szCs w:val="24"/>
          <w:lang w:eastAsia="zh-CN"/>
        </w:rPr>
      </w:pPr>
      <w:r>
        <w:rPr>
          <w:color w:val="auto"/>
          <w:sz w:val="24"/>
          <w:szCs w:val="24"/>
          <w:lang w:eastAsia="zh-CN"/>
        </w:rPr>
        <w:t>1.2.2资金落实情况：见投标人须知前附表。</w:t>
      </w:r>
    </w:p>
    <w:p w14:paraId="182E9DF0">
      <w:pPr>
        <w:pStyle w:val="6"/>
        <w:spacing w:after="240"/>
        <w:ind w:right="44"/>
        <w:rPr>
          <w:b/>
          <w:bCs/>
          <w:color w:val="auto"/>
          <w:lang w:eastAsia="zh-CN"/>
        </w:rPr>
      </w:pPr>
      <w:r>
        <w:rPr>
          <w:b/>
          <w:bCs/>
          <w:color w:val="auto"/>
          <w:lang w:eastAsia="zh-CN"/>
        </w:rPr>
        <w:t>1.3招标范围、</w:t>
      </w:r>
      <w:r>
        <w:rPr>
          <w:b/>
          <w:bCs/>
          <w:color w:val="auto"/>
          <w:u w:val="single"/>
          <w:lang w:eastAsia="zh-CN"/>
        </w:rPr>
        <w:t>设计</w:t>
      </w:r>
      <w:r>
        <w:rPr>
          <w:b/>
          <w:bCs/>
          <w:color w:val="auto"/>
          <w:lang w:eastAsia="zh-CN"/>
        </w:rPr>
        <w:t>服务期限和质量标准</w:t>
      </w:r>
    </w:p>
    <w:p w14:paraId="5BFB6D23">
      <w:pPr>
        <w:pStyle w:val="2"/>
        <w:spacing w:line="360" w:lineRule="auto"/>
        <w:ind w:left="0" w:firstLine="480" w:firstLineChars="200"/>
        <w:rPr>
          <w:color w:val="auto"/>
          <w:sz w:val="24"/>
          <w:szCs w:val="24"/>
          <w:lang w:eastAsia="zh-CN"/>
        </w:rPr>
      </w:pPr>
      <w:r>
        <w:rPr>
          <w:color w:val="auto"/>
          <w:sz w:val="24"/>
          <w:szCs w:val="24"/>
          <w:lang w:eastAsia="zh-CN"/>
        </w:rPr>
        <w:t>1.3.1招标范围：见投标人须知前附表。</w:t>
      </w:r>
    </w:p>
    <w:p w14:paraId="0FCFDBBB">
      <w:pPr>
        <w:pStyle w:val="2"/>
        <w:spacing w:line="360" w:lineRule="auto"/>
        <w:ind w:left="0" w:firstLine="480" w:firstLineChars="200"/>
        <w:rPr>
          <w:color w:val="auto"/>
          <w:sz w:val="24"/>
          <w:szCs w:val="24"/>
          <w:lang w:eastAsia="zh-CN"/>
        </w:rPr>
      </w:pPr>
      <w:r>
        <w:rPr>
          <w:color w:val="auto"/>
          <w:sz w:val="24"/>
          <w:szCs w:val="24"/>
          <w:lang w:eastAsia="zh-CN"/>
        </w:rPr>
        <w:t>1.3.2</w:t>
      </w:r>
      <w:r>
        <w:rPr>
          <w:color w:val="auto"/>
          <w:sz w:val="24"/>
          <w:szCs w:val="24"/>
          <w:u w:val="single"/>
          <w:lang w:eastAsia="zh-CN"/>
        </w:rPr>
        <w:t>设计</w:t>
      </w:r>
      <w:r>
        <w:rPr>
          <w:color w:val="auto"/>
          <w:sz w:val="24"/>
          <w:szCs w:val="24"/>
          <w:lang w:eastAsia="zh-CN"/>
        </w:rPr>
        <w:t>服务期限：见投标人须知前附表。</w:t>
      </w:r>
    </w:p>
    <w:p w14:paraId="37D3A01D">
      <w:pPr>
        <w:pStyle w:val="2"/>
        <w:spacing w:after="240" w:line="360" w:lineRule="auto"/>
        <w:ind w:left="0" w:firstLine="480" w:firstLineChars="200"/>
        <w:rPr>
          <w:color w:val="auto"/>
          <w:sz w:val="24"/>
          <w:szCs w:val="24"/>
          <w:lang w:eastAsia="zh-CN"/>
        </w:rPr>
      </w:pPr>
      <w:r>
        <w:rPr>
          <w:color w:val="auto"/>
          <w:sz w:val="24"/>
          <w:szCs w:val="24"/>
          <w:lang w:eastAsia="zh-CN"/>
        </w:rPr>
        <w:t>1.3.3质量标准：见投标人须知前附表。</w:t>
      </w:r>
    </w:p>
    <w:p w14:paraId="3E161D9D">
      <w:pPr>
        <w:pStyle w:val="6"/>
        <w:spacing w:after="240"/>
        <w:ind w:right="44"/>
        <w:rPr>
          <w:b/>
          <w:bCs/>
          <w:color w:val="auto"/>
          <w:lang w:eastAsia="zh-CN"/>
        </w:rPr>
      </w:pPr>
      <w:r>
        <w:rPr>
          <w:b/>
          <w:bCs/>
          <w:color w:val="auto"/>
          <w:lang w:eastAsia="zh-CN"/>
        </w:rPr>
        <w:t>1.4投标人资格要求</w:t>
      </w:r>
    </w:p>
    <w:p w14:paraId="0B639BD4">
      <w:pPr>
        <w:pStyle w:val="2"/>
        <w:spacing w:line="360" w:lineRule="auto"/>
        <w:ind w:left="0" w:firstLine="480" w:firstLineChars="200"/>
        <w:rPr>
          <w:color w:val="auto"/>
          <w:sz w:val="24"/>
          <w:szCs w:val="24"/>
          <w:lang w:eastAsia="zh-CN"/>
        </w:rPr>
      </w:pPr>
      <w:r>
        <w:rPr>
          <w:color w:val="auto"/>
          <w:sz w:val="24"/>
          <w:szCs w:val="24"/>
          <w:lang w:eastAsia="zh-CN"/>
        </w:rPr>
        <w:t>1.4.1投标人应具备承担本招标项目资质条件、能力和信誉：</w:t>
      </w:r>
    </w:p>
    <w:p w14:paraId="436540AE">
      <w:pPr>
        <w:pStyle w:val="2"/>
        <w:spacing w:line="360" w:lineRule="auto"/>
        <w:ind w:left="0" w:firstLine="480" w:firstLineChars="200"/>
        <w:rPr>
          <w:color w:val="auto"/>
          <w:sz w:val="24"/>
          <w:szCs w:val="24"/>
          <w:lang w:eastAsia="zh-CN"/>
        </w:rPr>
      </w:pPr>
      <w:r>
        <w:rPr>
          <w:color w:val="auto"/>
          <w:sz w:val="24"/>
          <w:szCs w:val="24"/>
          <w:lang w:eastAsia="zh-CN"/>
        </w:rPr>
        <w:t>（1）资质要求：见投标人须知前附表；</w:t>
      </w:r>
    </w:p>
    <w:p w14:paraId="6A57B799">
      <w:pPr>
        <w:pStyle w:val="2"/>
        <w:spacing w:line="360" w:lineRule="auto"/>
        <w:ind w:left="0" w:firstLine="480" w:firstLineChars="200"/>
        <w:rPr>
          <w:color w:val="auto"/>
          <w:sz w:val="24"/>
          <w:szCs w:val="24"/>
          <w:lang w:eastAsia="zh-CN"/>
        </w:rPr>
      </w:pPr>
      <w:r>
        <w:rPr>
          <w:color w:val="auto"/>
          <w:sz w:val="24"/>
          <w:szCs w:val="24"/>
          <w:lang w:eastAsia="zh-CN"/>
        </w:rPr>
        <w:t>（2）财务要求：见投标人须知前附表；</w:t>
      </w:r>
    </w:p>
    <w:p w14:paraId="76DFA1E3">
      <w:pPr>
        <w:pStyle w:val="2"/>
        <w:spacing w:line="360" w:lineRule="auto"/>
        <w:ind w:left="0" w:firstLine="480" w:firstLineChars="200"/>
        <w:rPr>
          <w:color w:val="auto"/>
          <w:sz w:val="24"/>
          <w:szCs w:val="24"/>
          <w:lang w:eastAsia="zh-CN"/>
        </w:rPr>
      </w:pPr>
      <w:r>
        <w:rPr>
          <w:color w:val="auto"/>
          <w:sz w:val="24"/>
          <w:szCs w:val="24"/>
          <w:lang w:eastAsia="zh-CN"/>
        </w:rPr>
        <w:t>（3）业绩要求：见投标人须知前附表；</w:t>
      </w:r>
    </w:p>
    <w:p w14:paraId="112157BC">
      <w:pPr>
        <w:pStyle w:val="2"/>
        <w:spacing w:line="360" w:lineRule="auto"/>
        <w:ind w:left="0" w:firstLine="480" w:firstLineChars="200"/>
        <w:rPr>
          <w:color w:val="auto"/>
          <w:sz w:val="24"/>
          <w:szCs w:val="24"/>
          <w:lang w:eastAsia="zh-CN"/>
        </w:rPr>
      </w:pPr>
      <w:r>
        <w:rPr>
          <w:color w:val="auto"/>
          <w:sz w:val="24"/>
          <w:szCs w:val="24"/>
          <w:lang w:eastAsia="zh-CN"/>
        </w:rPr>
        <w:t>（4）信誉要求：见投标人须知前附表；</w:t>
      </w:r>
    </w:p>
    <w:p w14:paraId="0DA52793">
      <w:pPr>
        <w:pStyle w:val="2"/>
        <w:spacing w:line="360" w:lineRule="auto"/>
        <w:ind w:left="0" w:firstLine="480" w:firstLineChars="200"/>
        <w:rPr>
          <w:color w:val="auto"/>
          <w:sz w:val="24"/>
          <w:szCs w:val="24"/>
          <w:lang w:eastAsia="zh-CN"/>
        </w:rPr>
      </w:pPr>
      <w:r>
        <w:rPr>
          <w:color w:val="auto"/>
          <w:sz w:val="24"/>
          <w:szCs w:val="24"/>
          <w:lang w:eastAsia="zh-CN"/>
        </w:rPr>
        <w:t>（5）项目负责人的资格要求：</w:t>
      </w:r>
      <w:r>
        <w:rPr>
          <w:rFonts w:hint="eastAsia"/>
          <w:color w:val="auto"/>
          <w:sz w:val="24"/>
          <w:szCs w:val="24"/>
          <w:lang w:eastAsia="zh-CN"/>
        </w:rPr>
        <w:t>具体要求见投标人须知前附表</w:t>
      </w:r>
      <w:r>
        <w:rPr>
          <w:color w:val="auto"/>
          <w:sz w:val="24"/>
          <w:szCs w:val="24"/>
          <w:lang w:eastAsia="zh-CN"/>
        </w:rPr>
        <w:t>；</w:t>
      </w:r>
    </w:p>
    <w:p w14:paraId="5A766DFA">
      <w:pPr>
        <w:pStyle w:val="2"/>
        <w:spacing w:line="360" w:lineRule="auto"/>
        <w:ind w:left="0" w:firstLine="480" w:firstLineChars="200"/>
        <w:rPr>
          <w:color w:val="auto"/>
          <w:sz w:val="24"/>
          <w:szCs w:val="24"/>
          <w:lang w:eastAsia="zh-CN"/>
        </w:rPr>
      </w:pPr>
      <w:r>
        <w:rPr>
          <w:color w:val="auto"/>
          <w:sz w:val="24"/>
          <w:szCs w:val="24"/>
          <w:lang w:eastAsia="zh-CN"/>
        </w:rPr>
        <w:t>（6）其他主要人员要求：见投标人须知前附表。</w:t>
      </w:r>
    </w:p>
    <w:p w14:paraId="1DC987F4">
      <w:pPr>
        <w:pStyle w:val="2"/>
        <w:spacing w:line="360" w:lineRule="auto"/>
        <w:ind w:left="0" w:firstLine="480" w:firstLineChars="200"/>
        <w:rPr>
          <w:color w:val="auto"/>
          <w:sz w:val="24"/>
          <w:szCs w:val="24"/>
          <w:lang w:eastAsia="zh-CN"/>
        </w:rPr>
      </w:pPr>
      <w:r>
        <w:rPr>
          <w:rFonts w:hint="eastAsia"/>
          <w:color w:val="auto"/>
          <w:sz w:val="24"/>
          <w:szCs w:val="24"/>
          <w:lang w:eastAsia="zh-CN"/>
        </w:rPr>
        <w:t>（7）</w:t>
      </w:r>
      <w:r>
        <w:rPr>
          <w:color w:val="auto"/>
          <w:sz w:val="24"/>
          <w:szCs w:val="24"/>
          <w:lang w:eastAsia="zh-CN"/>
        </w:rPr>
        <w:t>其他要求：见投标人须知前附表。</w:t>
      </w:r>
    </w:p>
    <w:p w14:paraId="4DEE18B0">
      <w:pPr>
        <w:pStyle w:val="2"/>
        <w:spacing w:line="360" w:lineRule="auto"/>
        <w:ind w:left="0" w:firstLine="480" w:firstLineChars="200"/>
        <w:rPr>
          <w:color w:val="auto"/>
          <w:sz w:val="24"/>
          <w:szCs w:val="24"/>
          <w:lang w:eastAsia="zh-CN"/>
        </w:rPr>
      </w:pPr>
      <w:r>
        <w:rPr>
          <w:color w:val="auto"/>
          <w:sz w:val="24"/>
          <w:szCs w:val="24"/>
          <w:lang w:eastAsia="zh-CN"/>
        </w:rPr>
        <w:t>需要提交的相关证明材料见本章第3.5款的规定。</w:t>
      </w:r>
    </w:p>
    <w:p w14:paraId="3226EB47">
      <w:pPr>
        <w:pStyle w:val="2"/>
        <w:spacing w:line="360" w:lineRule="auto"/>
        <w:ind w:left="0" w:firstLine="480" w:firstLineChars="200"/>
        <w:rPr>
          <w:color w:val="auto"/>
          <w:sz w:val="24"/>
          <w:szCs w:val="24"/>
          <w:lang w:eastAsia="zh-CN"/>
        </w:rPr>
      </w:pPr>
      <w:r>
        <w:rPr>
          <w:color w:val="auto"/>
          <w:sz w:val="24"/>
          <w:szCs w:val="24"/>
          <w:lang w:eastAsia="zh-CN"/>
        </w:rPr>
        <w:t>1.4.2 投标人须知前附表规定接受联合体投标的，联合体除应符合本章第1.4.1项和投标人须知前附表的要求外，还应遵守以下规定：</w:t>
      </w:r>
    </w:p>
    <w:p w14:paraId="64E71B16">
      <w:pPr>
        <w:pStyle w:val="2"/>
        <w:spacing w:line="360" w:lineRule="auto"/>
        <w:ind w:left="0" w:firstLine="480" w:firstLineChars="200"/>
        <w:rPr>
          <w:color w:val="auto"/>
          <w:sz w:val="24"/>
          <w:szCs w:val="24"/>
          <w:lang w:eastAsia="zh-CN"/>
        </w:rPr>
      </w:pPr>
      <w:r>
        <w:rPr>
          <w:color w:val="auto"/>
          <w:sz w:val="24"/>
          <w:szCs w:val="24"/>
          <w:lang w:eastAsia="zh-CN"/>
        </w:rPr>
        <w:t>（1）联合体各方应按招标文件提供的格式签订联合体协议书，明确联合体牵头人和各方权利义务，并承诺就中标项目向招标人承担连带责任；</w:t>
      </w:r>
    </w:p>
    <w:p w14:paraId="3FFFDB9B">
      <w:pPr>
        <w:pStyle w:val="2"/>
        <w:spacing w:line="360" w:lineRule="auto"/>
        <w:ind w:left="0" w:firstLine="480" w:firstLineChars="200"/>
        <w:rPr>
          <w:color w:val="auto"/>
          <w:sz w:val="24"/>
          <w:szCs w:val="24"/>
          <w:lang w:eastAsia="zh-CN"/>
        </w:rPr>
      </w:pPr>
      <w:r>
        <w:rPr>
          <w:color w:val="auto"/>
          <w:sz w:val="24"/>
          <w:szCs w:val="24"/>
          <w:lang w:eastAsia="zh-CN"/>
        </w:rPr>
        <w:t>（2）由同一专业的单位组成的联合体，按照资质等级较低的单位确定资质等级；</w:t>
      </w:r>
    </w:p>
    <w:p w14:paraId="4746A23B">
      <w:pPr>
        <w:pStyle w:val="2"/>
        <w:spacing w:line="360" w:lineRule="auto"/>
        <w:ind w:left="0" w:firstLine="480" w:firstLineChars="200"/>
        <w:rPr>
          <w:color w:val="auto"/>
          <w:sz w:val="24"/>
          <w:szCs w:val="24"/>
          <w:lang w:eastAsia="zh-CN"/>
        </w:rPr>
      </w:pPr>
      <w:r>
        <w:rPr>
          <w:color w:val="auto"/>
          <w:sz w:val="24"/>
          <w:szCs w:val="24"/>
          <w:lang w:eastAsia="zh-CN"/>
        </w:rPr>
        <w:t>（3）联合体各方不得再以自己名义单独或参加其他联合体在本招标项目中投标，否则各相关投标均无效。</w:t>
      </w:r>
    </w:p>
    <w:p w14:paraId="25FAAE73">
      <w:pPr>
        <w:pStyle w:val="2"/>
        <w:spacing w:line="360" w:lineRule="auto"/>
        <w:ind w:left="0" w:firstLine="480" w:firstLineChars="200"/>
        <w:rPr>
          <w:color w:val="auto"/>
          <w:sz w:val="24"/>
          <w:szCs w:val="24"/>
          <w:lang w:eastAsia="zh-CN"/>
        </w:rPr>
      </w:pPr>
      <w:r>
        <w:rPr>
          <w:color w:val="auto"/>
          <w:sz w:val="24"/>
          <w:szCs w:val="24"/>
          <w:lang w:eastAsia="zh-CN"/>
        </w:rPr>
        <w:t>1.4.3投标人不得存在下列情形之一：</w:t>
      </w:r>
    </w:p>
    <w:p w14:paraId="0C9FC240">
      <w:pPr>
        <w:pStyle w:val="2"/>
        <w:spacing w:line="360" w:lineRule="auto"/>
        <w:ind w:left="0" w:firstLine="480" w:firstLineChars="200"/>
        <w:rPr>
          <w:color w:val="auto"/>
          <w:sz w:val="24"/>
          <w:szCs w:val="24"/>
          <w:lang w:eastAsia="zh-CN"/>
        </w:rPr>
      </w:pPr>
      <w:r>
        <w:rPr>
          <w:rFonts w:hint="eastAsia"/>
          <w:color w:val="auto"/>
          <w:sz w:val="24"/>
          <w:szCs w:val="24"/>
          <w:lang w:eastAsia="zh-CN"/>
        </w:rPr>
        <w:t>（1）</w:t>
      </w:r>
      <w:r>
        <w:rPr>
          <w:rFonts w:hint="eastAsia"/>
          <w:color w:val="auto"/>
          <w:sz w:val="24"/>
          <w:szCs w:val="24"/>
          <w:u w:val="single"/>
          <w:lang w:eastAsia="zh-CN"/>
        </w:rPr>
        <w:t>为招标人不具有独立法人资格的附属机构（单位）</w:t>
      </w:r>
      <w:r>
        <w:rPr>
          <w:rFonts w:hint="eastAsia"/>
          <w:color w:val="auto"/>
          <w:sz w:val="24"/>
          <w:szCs w:val="24"/>
          <w:lang w:eastAsia="zh-CN"/>
        </w:rPr>
        <w:t>；</w:t>
      </w:r>
    </w:p>
    <w:p w14:paraId="466FE731">
      <w:pPr>
        <w:pStyle w:val="2"/>
        <w:spacing w:line="360" w:lineRule="auto"/>
        <w:ind w:left="0" w:firstLine="480" w:firstLineChars="200"/>
        <w:rPr>
          <w:color w:val="auto"/>
          <w:sz w:val="24"/>
          <w:szCs w:val="24"/>
          <w:lang w:eastAsia="zh-CN"/>
        </w:rPr>
      </w:pPr>
      <w:r>
        <w:rPr>
          <w:rFonts w:hint="eastAsia"/>
          <w:color w:val="auto"/>
          <w:sz w:val="24"/>
          <w:szCs w:val="24"/>
          <w:lang w:eastAsia="zh-CN"/>
        </w:rPr>
        <w:t>（2）</w:t>
      </w:r>
      <w:r>
        <w:rPr>
          <w:rFonts w:hint="eastAsia"/>
          <w:color w:val="auto"/>
          <w:sz w:val="24"/>
          <w:szCs w:val="24"/>
          <w:u w:val="single"/>
          <w:lang w:eastAsia="zh-CN"/>
        </w:rPr>
        <w:t>与招标人存在利害关系且可能影响招标公正性</w:t>
      </w:r>
      <w:r>
        <w:rPr>
          <w:rFonts w:hint="eastAsia"/>
          <w:color w:val="auto"/>
          <w:sz w:val="24"/>
          <w:szCs w:val="24"/>
          <w:lang w:eastAsia="zh-CN"/>
        </w:rPr>
        <w:t>；</w:t>
      </w:r>
    </w:p>
    <w:p w14:paraId="0D38C0C2">
      <w:pPr>
        <w:pStyle w:val="2"/>
        <w:spacing w:line="360" w:lineRule="auto"/>
        <w:ind w:left="0" w:firstLine="480" w:firstLineChars="200"/>
        <w:rPr>
          <w:color w:val="auto"/>
          <w:sz w:val="24"/>
          <w:szCs w:val="24"/>
          <w:lang w:eastAsia="zh-CN"/>
        </w:rPr>
      </w:pPr>
      <w:r>
        <w:rPr>
          <w:rFonts w:hint="eastAsia"/>
          <w:color w:val="auto"/>
          <w:sz w:val="24"/>
          <w:szCs w:val="24"/>
          <w:lang w:eastAsia="zh-CN"/>
        </w:rPr>
        <w:t>（3）</w:t>
      </w:r>
      <w:r>
        <w:rPr>
          <w:rFonts w:hint="eastAsia"/>
          <w:color w:val="auto"/>
          <w:sz w:val="24"/>
          <w:szCs w:val="24"/>
          <w:u w:val="single"/>
          <w:lang w:eastAsia="zh-CN"/>
        </w:rPr>
        <w:t>与本招标项目的其他投标人为同一个单位负责人</w:t>
      </w:r>
      <w:r>
        <w:rPr>
          <w:rFonts w:hint="eastAsia"/>
          <w:color w:val="auto"/>
          <w:sz w:val="24"/>
          <w:szCs w:val="24"/>
          <w:lang w:eastAsia="zh-CN"/>
        </w:rPr>
        <w:t>；</w:t>
      </w:r>
    </w:p>
    <w:p w14:paraId="1D7FB11C">
      <w:pPr>
        <w:pStyle w:val="2"/>
        <w:spacing w:line="360" w:lineRule="auto"/>
        <w:ind w:left="0" w:firstLine="480" w:firstLineChars="200"/>
        <w:rPr>
          <w:color w:val="auto"/>
          <w:sz w:val="24"/>
          <w:szCs w:val="24"/>
          <w:lang w:eastAsia="zh-CN"/>
        </w:rPr>
      </w:pPr>
      <w:r>
        <w:rPr>
          <w:rFonts w:hint="eastAsia"/>
          <w:color w:val="auto"/>
          <w:sz w:val="24"/>
          <w:szCs w:val="24"/>
          <w:lang w:eastAsia="zh-CN"/>
        </w:rPr>
        <w:t>（4）</w:t>
      </w:r>
      <w:r>
        <w:rPr>
          <w:rFonts w:hint="eastAsia"/>
          <w:color w:val="auto"/>
          <w:sz w:val="24"/>
          <w:szCs w:val="24"/>
          <w:u w:val="single"/>
          <w:lang w:eastAsia="zh-CN"/>
        </w:rPr>
        <w:t>与本招标项目的其他投标人存在控股、管理关系</w:t>
      </w:r>
      <w:r>
        <w:rPr>
          <w:rFonts w:hint="eastAsia"/>
          <w:color w:val="auto"/>
          <w:sz w:val="24"/>
          <w:szCs w:val="24"/>
          <w:lang w:eastAsia="zh-CN"/>
        </w:rPr>
        <w:t>；</w:t>
      </w:r>
    </w:p>
    <w:p w14:paraId="6ADE522D">
      <w:pPr>
        <w:pStyle w:val="2"/>
        <w:spacing w:line="360" w:lineRule="auto"/>
        <w:ind w:left="0" w:firstLine="480" w:firstLineChars="200"/>
        <w:rPr>
          <w:color w:val="auto"/>
          <w:sz w:val="24"/>
          <w:szCs w:val="24"/>
          <w:lang w:eastAsia="zh-CN"/>
        </w:rPr>
      </w:pPr>
      <w:r>
        <w:rPr>
          <w:rFonts w:hint="eastAsia"/>
          <w:color w:val="auto"/>
          <w:sz w:val="24"/>
          <w:szCs w:val="24"/>
          <w:lang w:eastAsia="zh-CN"/>
        </w:rPr>
        <w:t>（5）</w:t>
      </w:r>
      <w:r>
        <w:rPr>
          <w:rFonts w:hint="eastAsia"/>
          <w:color w:val="auto"/>
          <w:sz w:val="24"/>
          <w:szCs w:val="24"/>
          <w:u w:val="single"/>
          <w:lang w:eastAsia="zh-CN"/>
        </w:rPr>
        <w:t>为本招标项目的代建人</w:t>
      </w:r>
      <w:r>
        <w:rPr>
          <w:rFonts w:hint="eastAsia"/>
          <w:color w:val="auto"/>
          <w:sz w:val="24"/>
          <w:szCs w:val="24"/>
          <w:lang w:eastAsia="zh-CN"/>
        </w:rPr>
        <w:t>；</w:t>
      </w:r>
    </w:p>
    <w:p w14:paraId="09C0A382">
      <w:pPr>
        <w:pStyle w:val="2"/>
        <w:spacing w:line="360" w:lineRule="auto"/>
        <w:ind w:left="0" w:firstLine="480" w:firstLineChars="200"/>
        <w:rPr>
          <w:color w:val="auto"/>
          <w:sz w:val="24"/>
          <w:szCs w:val="24"/>
          <w:lang w:eastAsia="zh-CN"/>
        </w:rPr>
      </w:pPr>
      <w:r>
        <w:rPr>
          <w:rFonts w:hint="eastAsia"/>
          <w:color w:val="auto"/>
          <w:sz w:val="24"/>
          <w:szCs w:val="24"/>
          <w:lang w:eastAsia="zh-CN"/>
        </w:rPr>
        <w:t>（6）</w:t>
      </w:r>
      <w:r>
        <w:rPr>
          <w:rFonts w:hint="eastAsia"/>
          <w:color w:val="auto"/>
          <w:sz w:val="24"/>
          <w:szCs w:val="24"/>
          <w:u w:val="single"/>
          <w:lang w:eastAsia="zh-CN"/>
        </w:rPr>
        <w:t>为本招标项目的招标代理机构</w:t>
      </w:r>
      <w:r>
        <w:rPr>
          <w:rFonts w:hint="eastAsia"/>
          <w:color w:val="auto"/>
          <w:sz w:val="24"/>
          <w:szCs w:val="24"/>
          <w:lang w:eastAsia="zh-CN"/>
        </w:rPr>
        <w:t>；</w:t>
      </w:r>
    </w:p>
    <w:p w14:paraId="1F9476BB">
      <w:pPr>
        <w:pStyle w:val="2"/>
        <w:spacing w:line="360" w:lineRule="auto"/>
        <w:ind w:left="0" w:firstLine="480" w:firstLineChars="200"/>
        <w:rPr>
          <w:color w:val="auto"/>
          <w:sz w:val="24"/>
          <w:szCs w:val="24"/>
          <w:lang w:eastAsia="zh-CN"/>
        </w:rPr>
      </w:pPr>
      <w:r>
        <w:rPr>
          <w:rFonts w:hint="eastAsia"/>
          <w:color w:val="auto"/>
          <w:sz w:val="24"/>
          <w:szCs w:val="24"/>
          <w:lang w:eastAsia="zh-CN"/>
        </w:rPr>
        <w:t>（7）</w:t>
      </w:r>
      <w:r>
        <w:rPr>
          <w:rFonts w:hint="eastAsia"/>
          <w:color w:val="auto"/>
          <w:sz w:val="24"/>
          <w:szCs w:val="24"/>
          <w:u w:val="single"/>
          <w:lang w:eastAsia="zh-CN"/>
        </w:rPr>
        <w:t>与本招标项目的代建人或招标代理机构同为一个法定代表人</w:t>
      </w:r>
      <w:r>
        <w:rPr>
          <w:rFonts w:hint="eastAsia"/>
          <w:color w:val="auto"/>
          <w:sz w:val="24"/>
          <w:szCs w:val="24"/>
          <w:lang w:eastAsia="zh-CN"/>
        </w:rPr>
        <w:t>；</w:t>
      </w:r>
    </w:p>
    <w:p w14:paraId="7AA1552A">
      <w:pPr>
        <w:pStyle w:val="2"/>
        <w:spacing w:line="360" w:lineRule="auto"/>
        <w:ind w:left="0" w:firstLine="480" w:firstLineChars="200"/>
        <w:rPr>
          <w:color w:val="auto"/>
          <w:sz w:val="24"/>
          <w:szCs w:val="24"/>
          <w:lang w:eastAsia="zh-CN"/>
        </w:rPr>
      </w:pPr>
      <w:r>
        <w:rPr>
          <w:rFonts w:hint="eastAsia"/>
          <w:color w:val="auto"/>
          <w:sz w:val="24"/>
          <w:szCs w:val="24"/>
          <w:lang w:eastAsia="zh-CN"/>
        </w:rPr>
        <w:t>（8）</w:t>
      </w:r>
      <w:r>
        <w:rPr>
          <w:rFonts w:hint="eastAsia"/>
          <w:color w:val="auto"/>
          <w:sz w:val="24"/>
          <w:szCs w:val="24"/>
          <w:u w:val="single"/>
          <w:lang w:eastAsia="zh-CN"/>
        </w:rPr>
        <w:t>与本招标项目的代建人或招标代理机构存在控股或参股关系</w:t>
      </w:r>
      <w:r>
        <w:rPr>
          <w:rFonts w:hint="eastAsia"/>
          <w:color w:val="auto"/>
          <w:sz w:val="24"/>
          <w:szCs w:val="24"/>
          <w:lang w:eastAsia="zh-CN"/>
        </w:rPr>
        <w:t>；</w:t>
      </w:r>
    </w:p>
    <w:p w14:paraId="51B43B0B">
      <w:pPr>
        <w:pStyle w:val="2"/>
        <w:spacing w:line="360" w:lineRule="auto"/>
        <w:ind w:left="0" w:firstLine="480" w:firstLineChars="200"/>
        <w:rPr>
          <w:color w:val="auto"/>
          <w:sz w:val="24"/>
          <w:szCs w:val="24"/>
          <w:lang w:eastAsia="zh-CN"/>
        </w:rPr>
      </w:pPr>
      <w:r>
        <w:rPr>
          <w:rFonts w:hint="eastAsia"/>
          <w:color w:val="auto"/>
          <w:sz w:val="24"/>
          <w:szCs w:val="24"/>
          <w:lang w:eastAsia="zh-CN"/>
        </w:rPr>
        <w:t>（9）</w:t>
      </w:r>
      <w:r>
        <w:rPr>
          <w:rFonts w:hint="eastAsia"/>
          <w:color w:val="auto"/>
          <w:sz w:val="24"/>
          <w:szCs w:val="24"/>
          <w:u w:val="single"/>
          <w:lang w:eastAsia="zh-CN"/>
        </w:rPr>
        <w:t>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F485420">
      <w:pPr>
        <w:pStyle w:val="2"/>
        <w:spacing w:line="360" w:lineRule="auto"/>
        <w:ind w:left="0" w:firstLine="480" w:firstLineChars="200"/>
        <w:rPr>
          <w:color w:val="auto"/>
          <w:sz w:val="24"/>
          <w:szCs w:val="24"/>
          <w:lang w:eastAsia="zh-CN"/>
        </w:rPr>
      </w:pPr>
      <w:r>
        <w:rPr>
          <w:rFonts w:hint="eastAsia"/>
          <w:color w:val="auto"/>
          <w:sz w:val="24"/>
          <w:szCs w:val="24"/>
          <w:lang w:eastAsia="zh-CN"/>
        </w:rPr>
        <w:t>（10）</w:t>
      </w:r>
      <w:r>
        <w:rPr>
          <w:rFonts w:hint="eastAsia"/>
          <w:color w:val="auto"/>
          <w:sz w:val="24"/>
          <w:szCs w:val="24"/>
          <w:u w:val="single"/>
          <w:lang w:eastAsia="zh-CN"/>
        </w:rPr>
        <w:t>被责令停产停业、暂扣或者吊销许可证、暂扣或者吊销执照（本项事实应当以根据《中华人民共和国行政处罚法》依法作出并已经生效的行政处罚决定为认定依据。）</w:t>
      </w:r>
      <w:r>
        <w:rPr>
          <w:rFonts w:hint="eastAsia"/>
          <w:color w:val="auto"/>
          <w:sz w:val="24"/>
          <w:szCs w:val="24"/>
          <w:lang w:eastAsia="zh-CN"/>
        </w:rPr>
        <w:t>；</w:t>
      </w:r>
    </w:p>
    <w:p w14:paraId="50D6F855">
      <w:pPr>
        <w:pStyle w:val="2"/>
        <w:spacing w:line="360" w:lineRule="auto"/>
        <w:ind w:left="0" w:firstLine="480" w:firstLineChars="200"/>
        <w:rPr>
          <w:rFonts w:hint="eastAsia"/>
          <w:color w:val="auto"/>
          <w:sz w:val="24"/>
          <w:szCs w:val="24"/>
          <w:lang w:eastAsia="zh-CN"/>
        </w:rPr>
      </w:pPr>
      <w:r>
        <w:rPr>
          <w:rFonts w:hint="eastAsia"/>
          <w:color w:val="auto"/>
          <w:sz w:val="24"/>
          <w:szCs w:val="24"/>
          <w:lang w:eastAsia="zh-CN"/>
        </w:rPr>
        <w:t>（11）</w:t>
      </w:r>
      <w:r>
        <w:rPr>
          <w:rFonts w:hint="eastAsia"/>
          <w:color w:val="auto"/>
          <w:sz w:val="24"/>
          <w:szCs w:val="24"/>
          <w:u w:val="single"/>
          <w:lang w:eastAsia="zh-CN"/>
        </w:rPr>
        <w:t>进入清算程序，或被宣告破产，或其他丧失履约能力的情形</w:t>
      </w:r>
      <w:r>
        <w:rPr>
          <w:rFonts w:hint="eastAsia"/>
          <w:color w:val="auto"/>
          <w:sz w:val="24"/>
          <w:szCs w:val="24"/>
          <w:lang w:eastAsia="zh-CN"/>
        </w:rPr>
        <w:t>；</w:t>
      </w:r>
    </w:p>
    <w:p w14:paraId="6A9E8269">
      <w:pPr>
        <w:pStyle w:val="2"/>
        <w:spacing w:line="360" w:lineRule="auto"/>
        <w:ind w:left="0" w:firstLine="480" w:firstLineChars="200"/>
        <w:rPr>
          <w:rFonts w:hint="eastAsia" w:cs="宋体"/>
          <w:color w:val="auto"/>
          <w:sz w:val="24"/>
          <w:szCs w:val="24"/>
          <w:u w:val="single"/>
          <w:lang w:eastAsia="zh-CN"/>
        </w:rPr>
      </w:pPr>
      <w:r>
        <w:rPr>
          <w:rFonts w:hint="eastAsia" w:cs="宋体"/>
          <w:color w:val="auto"/>
          <w:sz w:val="24"/>
          <w:szCs w:val="24"/>
          <w:lang w:eastAsia="zh-CN"/>
        </w:rPr>
        <w:t>（1</w:t>
      </w:r>
      <w:r>
        <w:rPr>
          <w:rFonts w:hint="eastAsia" w:cs="宋体"/>
          <w:color w:val="auto"/>
          <w:sz w:val="24"/>
          <w:szCs w:val="24"/>
          <w:lang w:val="en-US" w:eastAsia="zh-CN"/>
        </w:rPr>
        <w:t>2</w:t>
      </w:r>
      <w:r>
        <w:rPr>
          <w:rFonts w:hint="eastAsia" w:cs="宋体"/>
          <w:color w:val="auto"/>
          <w:sz w:val="24"/>
          <w:szCs w:val="24"/>
          <w:lang w:eastAsia="zh-CN"/>
        </w:rPr>
        <w:t>）</w:t>
      </w:r>
      <w:r>
        <w:rPr>
          <w:rFonts w:hint="eastAsia" w:cs="宋体"/>
          <w:color w:val="auto"/>
          <w:sz w:val="24"/>
          <w:szCs w:val="24"/>
          <w:u w:val="single"/>
          <w:lang w:eastAsia="zh-CN"/>
        </w:rPr>
        <w:t>法律法规规定的其他情形。</w:t>
      </w:r>
    </w:p>
    <w:p w14:paraId="341573D7">
      <w:pPr>
        <w:rPr>
          <w:color w:val="auto"/>
          <w:lang w:eastAsia="zh-CN"/>
        </w:rPr>
      </w:pPr>
    </w:p>
    <w:p w14:paraId="5D72142D">
      <w:pPr>
        <w:pStyle w:val="6"/>
        <w:spacing w:after="240"/>
        <w:ind w:right="44"/>
        <w:rPr>
          <w:b/>
          <w:bCs/>
          <w:color w:val="auto"/>
          <w:lang w:eastAsia="zh-CN"/>
        </w:rPr>
      </w:pPr>
      <w:r>
        <w:rPr>
          <w:b/>
          <w:bCs/>
          <w:color w:val="auto"/>
          <w:lang w:eastAsia="zh-CN"/>
        </w:rPr>
        <w:t>1.5费用承担</w:t>
      </w:r>
    </w:p>
    <w:p w14:paraId="210D01E5">
      <w:pPr>
        <w:pStyle w:val="2"/>
        <w:spacing w:after="240" w:line="360" w:lineRule="auto"/>
        <w:ind w:left="0" w:firstLine="480" w:firstLineChars="200"/>
        <w:rPr>
          <w:color w:val="auto"/>
          <w:sz w:val="24"/>
          <w:szCs w:val="24"/>
          <w:lang w:eastAsia="zh-CN"/>
        </w:rPr>
      </w:pPr>
      <w:r>
        <w:rPr>
          <w:color w:val="auto"/>
          <w:sz w:val="24"/>
          <w:szCs w:val="24"/>
          <w:lang w:eastAsia="zh-CN"/>
        </w:rPr>
        <w:t>投标人准备和参加投标活动发生的费用自理。</w:t>
      </w:r>
    </w:p>
    <w:p w14:paraId="150B4FCD">
      <w:pPr>
        <w:pStyle w:val="6"/>
        <w:spacing w:after="240"/>
        <w:ind w:right="44"/>
        <w:rPr>
          <w:b/>
          <w:bCs/>
          <w:color w:val="auto"/>
          <w:lang w:eastAsia="zh-CN"/>
        </w:rPr>
      </w:pPr>
      <w:r>
        <w:rPr>
          <w:b/>
          <w:bCs/>
          <w:color w:val="auto"/>
          <w:lang w:eastAsia="zh-CN"/>
        </w:rPr>
        <w:t>1.6保密</w:t>
      </w:r>
    </w:p>
    <w:p w14:paraId="6D469FE2">
      <w:pPr>
        <w:pStyle w:val="2"/>
        <w:spacing w:after="240" w:line="360" w:lineRule="auto"/>
        <w:ind w:left="0" w:firstLine="480" w:firstLineChars="200"/>
        <w:rPr>
          <w:color w:val="auto"/>
          <w:sz w:val="24"/>
          <w:szCs w:val="24"/>
          <w:lang w:eastAsia="zh-CN"/>
        </w:rPr>
      </w:pPr>
      <w:r>
        <w:rPr>
          <w:color w:val="auto"/>
          <w:sz w:val="24"/>
          <w:szCs w:val="24"/>
          <w:lang w:eastAsia="zh-CN"/>
        </w:rPr>
        <w:t>参与招标投标活动的各方应对招标文件和投标文件中的商业和技术等秘密保密，否则应承担相应的法律责任。</w:t>
      </w:r>
    </w:p>
    <w:p w14:paraId="363E127C">
      <w:pPr>
        <w:pStyle w:val="6"/>
        <w:spacing w:after="240"/>
        <w:ind w:right="44"/>
        <w:rPr>
          <w:b/>
          <w:bCs/>
          <w:color w:val="auto"/>
          <w:lang w:eastAsia="zh-CN"/>
        </w:rPr>
      </w:pPr>
      <w:r>
        <w:rPr>
          <w:b/>
          <w:bCs/>
          <w:color w:val="auto"/>
          <w:lang w:eastAsia="zh-CN"/>
        </w:rPr>
        <w:t>1.7语言文字</w:t>
      </w:r>
    </w:p>
    <w:p w14:paraId="58B3305B">
      <w:pPr>
        <w:pStyle w:val="2"/>
        <w:spacing w:after="240" w:line="360" w:lineRule="auto"/>
        <w:ind w:left="0" w:firstLine="480" w:firstLineChars="200"/>
        <w:rPr>
          <w:color w:val="auto"/>
          <w:sz w:val="24"/>
          <w:szCs w:val="24"/>
          <w:lang w:eastAsia="zh-CN"/>
        </w:rPr>
      </w:pPr>
      <w:r>
        <w:rPr>
          <w:color w:val="auto"/>
          <w:sz w:val="24"/>
          <w:szCs w:val="24"/>
          <w:lang w:eastAsia="zh-CN"/>
        </w:rPr>
        <w:t>招标投标文件使用的语言文字为中文。专用术语使用外文的，应附有中文注释。</w:t>
      </w:r>
    </w:p>
    <w:p w14:paraId="796ABCC8">
      <w:pPr>
        <w:pStyle w:val="6"/>
        <w:spacing w:after="240"/>
        <w:ind w:right="44"/>
        <w:rPr>
          <w:b/>
          <w:bCs/>
          <w:color w:val="auto"/>
          <w:lang w:eastAsia="zh-CN"/>
        </w:rPr>
      </w:pPr>
      <w:r>
        <w:rPr>
          <w:b/>
          <w:bCs/>
          <w:color w:val="auto"/>
          <w:lang w:eastAsia="zh-CN"/>
        </w:rPr>
        <w:t>1.8计量单位</w:t>
      </w:r>
    </w:p>
    <w:p w14:paraId="56848717">
      <w:pPr>
        <w:pStyle w:val="2"/>
        <w:spacing w:after="240" w:line="360" w:lineRule="auto"/>
        <w:ind w:left="0" w:firstLine="480" w:firstLineChars="200"/>
        <w:rPr>
          <w:color w:val="auto"/>
          <w:sz w:val="24"/>
          <w:szCs w:val="24"/>
          <w:lang w:eastAsia="zh-CN"/>
        </w:rPr>
      </w:pPr>
      <w:r>
        <w:rPr>
          <w:color w:val="auto"/>
          <w:sz w:val="24"/>
          <w:szCs w:val="24"/>
          <w:lang w:eastAsia="zh-CN"/>
        </w:rPr>
        <w:t>所有计量均采用中华人民共和国法定计量单位。</w:t>
      </w:r>
    </w:p>
    <w:p w14:paraId="141A4A6A">
      <w:pPr>
        <w:pStyle w:val="6"/>
        <w:spacing w:after="240"/>
        <w:ind w:right="44"/>
        <w:rPr>
          <w:b/>
          <w:bCs/>
          <w:color w:val="auto"/>
          <w:lang w:eastAsia="zh-CN"/>
        </w:rPr>
      </w:pPr>
      <w:r>
        <w:rPr>
          <w:b/>
          <w:bCs/>
          <w:color w:val="auto"/>
          <w:lang w:eastAsia="zh-CN"/>
        </w:rPr>
        <w:t>1.9踏勘现场</w:t>
      </w:r>
    </w:p>
    <w:p w14:paraId="358E5D67">
      <w:pPr>
        <w:pStyle w:val="2"/>
        <w:spacing w:line="360" w:lineRule="auto"/>
        <w:ind w:left="0" w:firstLine="480" w:firstLineChars="200"/>
        <w:rPr>
          <w:color w:val="auto"/>
          <w:sz w:val="24"/>
          <w:szCs w:val="24"/>
          <w:lang w:eastAsia="zh-CN"/>
        </w:rPr>
      </w:pPr>
      <w:r>
        <w:rPr>
          <w:color w:val="auto"/>
          <w:sz w:val="24"/>
          <w:szCs w:val="24"/>
          <w:lang w:eastAsia="zh-CN"/>
        </w:rPr>
        <w:t>1.9.1投标人须知前附表规定组织踏勘现场的，招标人按投标人须知前附表规定的时间、地点组织投标人踏勘项目现场。部分投标人未按时参加踏勘现场的，不影响踏勘现场的正常进行。</w:t>
      </w:r>
    </w:p>
    <w:p w14:paraId="3756DFE7">
      <w:pPr>
        <w:pStyle w:val="2"/>
        <w:spacing w:line="360" w:lineRule="auto"/>
        <w:ind w:left="0" w:firstLine="480" w:firstLineChars="200"/>
        <w:rPr>
          <w:color w:val="auto"/>
          <w:sz w:val="24"/>
          <w:szCs w:val="24"/>
          <w:lang w:eastAsia="zh-CN"/>
        </w:rPr>
      </w:pPr>
      <w:r>
        <w:rPr>
          <w:color w:val="auto"/>
          <w:sz w:val="24"/>
          <w:szCs w:val="24"/>
          <w:lang w:eastAsia="zh-CN"/>
        </w:rPr>
        <w:t>1.9.2投标人踏勘现场发生的费用自理。</w:t>
      </w:r>
    </w:p>
    <w:p w14:paraId="4E7AC329">
      <w:pPr>
        <w:pStyle w:val="2"/>
        <w:spacing w:line="360" w:lineRule="auto"/>
        <w:ind w:left="0" w:firstLine="480" w:firstLineChars="200"/>
        <w:rPr>
          <w:color w:val="auto"/>
          <w:sz w:val="24"/>
          <w:szCs w:val="24"/>
          <w:lang w:eastAsia="zh-CN"/>
        </w:rPr>
      </w:pPr>
      <w:r>
        <w:rPr>
          <w:color w:val="auto"/>
          <w:sz w:val="24"/>
          <w:szCs w:val="24"/>
          <w:lang w:eastAsia="zh-CN"/>
        </w:rPr>
        <w:t>1.9.3除招标人的原因外，投标人自行负责在踏勘现场中所发生的人员伤亡和财产损失。</w:t>
      </w:r>
    </w:p>
    <w:p w14:paraId="6E0EAB78">
      <w:pPr>
        <w:pStyle w:val="2"/>
        <w:spacing w:after="240" w:line="360" w:lineRule="auto"/>
        <w:ind w:left="0" w:firstLine="480" w:firstLineChars="200"/>
        <w:rPr>
          <w:color w:val="auto"/>
          <w:sz w:val="24"/>
          <w:szCs w:val="24"/>
          <w:lang w:eastAsia="zh-CN"/>
        </w:rPr>
      </w:pPr>
      <w:r>
        <w:rPr>
          <w:color w:val="auto"/>
          <w:sz w:val="24"/>
          <w:szCs w:val="24"/>
          <w:lang w:eastAsia="zh-CN"/>
        </w:rPr>
        <w:t>1.9.4招标人在踏勘现场中介绍的工程场地和相关的周边环境情况，供投标人在编制投标文件时参考，招标人不对投标人据此作出的判断和决策负责。</w:t>
      </w:r>
    </w:p>
    <w:p w14:paraId="375B11CF">
      <w:pPr>
        <w:pStyle w:val="6"/>
        <w:spacing w:after="240"/>
        <w:ind w:right="44"/>
        <w:rPr>
          <w:b/>
          <w:bCs/>
          <w:color w:val="auto"/>
          <w:lang w:eastAsia="zh-CN"/>
        </w:rPr>
      </w:pPr>
      <w:r>
        <w:rPr>
          <w:b/>
          <w:bCs/>
          <w:color w:val="auto"/>
          <w:lang w:eastAsia="zh-CN"/>
        </w:rPr>
        <w:t>1.10投标预备会</w:t>
      </w:r>
    </w:p>
    <w:p w14:paraId="09B76203">
      <w:pPr>
        <w:pStyle w:val="2"/>
        <w:spacing w:line="360" w:lineRule="auto"/>
        <w:ind w:left="0" w:firstLine="480" w:firstLineChars="200"/>
        <w:rPr>
          <w:color w:val="auto"/>
          <w:sz w:val="24"/>
          <w:szCs w:val="24"/>
          <w:lang w:eastAsia="zh-CN"/>
        </w:rPr>
      </w:pPr>
      <w:r>
        <w:rPr>
          <w:color w:val="auto"/>
          <w:sz w:val="24"/>
          <w:szCs w:val="24"/>
          <w:lang w:eastAsia="zh-CN"/>
        </w:rPr>
        <w:t>1.10.1投标人须知前附表规定召开投标预备会的，招标人按投标人须知前附表规定的时间和地点召开投标预备会，澄清投标人提出的问题。</w:t>
      </w:r>
    </w:p>
    <w:p w14:paraId="60940373">
      <w:pPr>
        <w:pStyle w:val="2"/>
        <w:spacing w:line="360" w:lineRule="auto"/>
        <w:ind w:left="0" w:firstLine="480" w:firstLineChars="200"/>
        <w:rPr>
          <w:color w:val="auto"/>
          <w:sz w:val="24"/>
          <w:szCs w:val="24"/>
          <w:lang w:eastAsia="zh-CN"/>
        </w:rPr>
      </w:pPr>
      <w:r>
        <w:rPr>
          <w:color w:val="auto"/>
          <w:sz w:val="24"/>
          <w:szCs w:val="24"/>
          <w:lang w:eastAsia="zh-CN"/>
        </w:rPr>
        <w:t>1.10.2投标人应按投标人须知前附表规定的时间和形式将提出的问题送达招标人，以便招标人在会议期间澄清。</w:t>
      </w:r>
    </w:p>
    <w:p w14:paraId="0432E41B">
      <w:pPr>
        <w:pStyle w:val="2"/>
        <w:spacing w:after="240" w:line="360" w:lineRule="auto"/>
        <w:ind w:left="0" w:firstLine="480" w:firstLineChars="200"/>
        <w:rPr>
          <w:color w:val="auto"/>
          <w:sz w:val="24"/>
          <w:szCs w:val="24"/>
          <w:lang w:eastAsia="zh-CN"/>
        </w:rPr>
      </w:pPr>
      <w:r>
        <w:rPr>
          <w:color w:val="auto"/>
          <w:sz w:val="24"/>
          <w:szCs w:val="24"/>
          <w:lang w:eastAsia="zh-CN"/>
        </w:rPr>
        <w:t>1.10.3投标预备会后，招标人将对投标人所提问题的澄清，以投标人须知前附表规定的形式通知所有购买招标文件的投标人。该澄清内容为招标文件的组成部分。</w:t>
      </w:r>
    </w:p>
    <w:p w14:paraId="212F1EC9">
      <w:pPr>
        <w:pStyle w:val="6"/>
        <w:spacing w:after="240"/>
        <w:ind w:right="44"/>
        <w:rPr>
          <w:b/>
          <w:bCs/>
          <w:color w:val="auto"/>
          <w:lang w:eastAsia="zh-CN"/>
        </w:rPr>
      </w:pPr>
      <w:r>
        <w:rPr>
          <w:b/>
          <w:bCs/>
          <w:color w:val="auto"/>
          <w:lang w:eastAsia="zh-CN"/>
        </w:rPr>
        <w:t>1.11分包</w:t>
      </w:r>
    </w:p>
    <w:p w14:paraId="6434A0B3">
      <w:pPr>
        <w:pStyle w:val="2"/>
        <w:spacing w:line="360" w:lineRule="auto"/>
        <w:ind w:left="0" w:firstLine="480" w:firstLineChars="200"/>
        <w:rPr>
          <w:color w:val="auto"/>
          <w:sz w:val="24"/>
          <w:szCs w:val="24"/>
          <w:lang w:eastAsia="zh-CN"/>
        </w:rPr>
      </w:pPr>
      <w:r>
        <w:rPr>
          <w:color w:val="auto"/>
          <w:sz w:val="24"/>
          <w:szCs w:val="24"/>
          <w:lang w:eastAsia="zh-CN"/>
        </w:rPr>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39DFAC14">
      <w:pPr>
        <w:pStyle w:val="2"/>
        <w:spacing w:after="240" w:line="360" w:lineRule="auto"/>
        <w:ind w:left="0" w:firstLine="480" w:firstLineChars="200"/>
        <w:rPr>
          <w:color w:val="auto"/>
          <w:sz w:val="24"/>
          <w:szCs w:val="24"/>
          <w:lang w:eastAsia="zh-CN"/>
        </w:rPr>
      </w:pPr>
      <w:r>
        <w:rPr>
          <w:color w:val="auto"/>
          <w:sz w:val="24"/>
          <w:szCs w:val="24"/>
          <w:lang w:eastAsia="zh-CN"/>
        </w:rPr>
        <w:t>1.11.2中标人不得向他人转让中标项目，接受分包的人不得再次分包。中标人应当就分包项目向招标人负责，接受分包的人就分包项目承担连带责任。</w:t>
      </w:r>
    </w:p>
    <w:p w14:paraId="168E3B42">
      <w:pPr>
        <w:pStyle w:val="6"/>
        <w:spacing w:after="240"/>
        <w:ind w:right="44"/>
        <w:rPr>
          <w:b/>
          <w:bCs/>
          <w:color w:val="auto"/>
          <w:lang w:eastAsia="zh-CN"/>
        </w:rPr>
      </w:pPr>
      <w:r>
        <w:rPr>
          <w:b/>
          <w:bCs/>
          <w:color w:val="auto"/>
          <w:lang w:eastAsia="zh-CN"/>
        </w:rPr>
        <w:t>1.12响应和偏差</w:t>
      </w:r>
    </w:p>
    <w:p w14:paraId="322ABAE4">
      <w:pPr>
        <w:pStyle w:val="2"/>
        <w:spacing w:line="360" w:lineRule="auto"/>
        <w:ind w:left="0" w:firstLine="480" w:firstLineChars="200"/>
        <w:rPr>
          <w:color w:val="auto"/>
          <w:sz w:val="24"/>
          <w:szCs w:val="24"/>
          <w:lang w:eastAsia="zh-CN"/>
        </w:rPr>
      </w:pPr>
      <w:r>
        <w:rPr>
          <w:color w:val="auto"/>
          <w:sz w:val="24"/>
          <w:szCs w:val="24"/>
          <w:lang w:eastAsia="zh-CN"/>
        </w:rPr>
        <w:t>1.12.1投标文件应当对招标文件的实质性要求和条件作出满足性或更有利于招标人的响应，否则，投标人的投标将被否决。实质性要求和条件见投标人须知前附表。</w:t>
      </w:r>
    </w:p>
    <w:p w14:paraId="3D8C7C30">
      <w:pPr>
        <w:pStyle w:val="2"/>
        <w:spacing w:line="360" w:lineRule="auto"/>
        <w:ind w:left="0" w:firstLine="480" w:firstLineChars="200"/>
        <w:rPr>
          <w:color w:val="auto"/>
          <w:sz w:val="24"/>
          <w:szCs w:val="24"/>
          <w:lang w:eastAsia="zh-CN"/>
        </w:rPr>
      </w:pPr>
      <w:r>
        <w:rPr>
          <w:color w:val="auto"/>
          <w:sz w:val="24"/>
          <w:szCs w:val="24"/>
          <w:lang w:eastAsia="zh-CN"/>
        </w:rPr>
        <w:t>1.12.2投标人应根据招标文件的要求提供投标设计方案等内容以对招标文件作出响应。</w:t>
      </w:r>
    </w:p>
    <w:p w14:paraId="2BA42ADB">
      <w:pPr>
        <w:pStyle w:val="2"/>
        <w:spacing w:after="240" w:line="360" w:lineRule="auto"/>
        <w:ind w:left="0" w:firstLine="480" w:firstLineChars="200"/>
        <w:rPr>
          <w:color w:val="auto"/>
          <w:sz w:val="24"/>
          <w:szCs w:val="24"/>
          <w:lang w:eastAsia="zh-CN"/>
        </w:rPr>
      </w:pPr>
      <w:r>
        <w:rPr>
          <w:color w:val="auto"/>
          <w:sz w:val="24"/>
          <w:szCs w:val="24"/>
          <w:lang w:eastAsia="zh-CN"/>
        </w:rPr>
        <w:t>1.12.3投标人须知前附表允许投标文件偏离招标文件某些要求的，偏差应当符合招标文件规定的偏差范围和幅度。</w:t>
      </w:r>
      <w:bookmarkStart w:id="9" w:name="_Toc25137983"/>
    </w:p>
    <w:p w14:paraId="155E5822">
      <w:pPr>
        <w:pStyle w:val="5"/>
        <w:spacing w:after="240" w:line="443" w:lineRule="exact"/>
        <w:ind w:right="44"/>
        <w:rPr>
          <w:rFonts w:ascii="宋体" w:hAnsi="宋体" w:eastAsia="宋体"/>
          <w:color w:val="auto"/>
          <w:lang w:eastAsia="zh-CN"/>
        </w:rPr>
      </w:pPr>
      <w:bookmarkStart w:id="10" w:name="_Toc25152733"/>
      <w:r>
        <w:rPr>
          <w:rFonts w:ascii="宋体" w:hAnsi="宋体" w:eastAsia="宋体"/>
          <w:color w:val="auto"/>
          <w:lang w:eastAsia="zh-CN"/>
        </w:rPr>
        <w:t>2. 招标文件</w:t>
      </w:r>
      <w:bookmarkEnd w:id="9"/>
      <w:bookmarkEnd w:id="10"/>
    </w:p>
    <w:p w14:paraId="198B989D">
      <w:pPr>
        <w:pStyle w:val="6"/>
        <w:spacing w:after="240"/>
        <w:ind w:right="44"/>
        <w:rPr>
          <w:b/>
          <w:bCs/>
          <w:color w:val="auto"/>
          <w:lang w:eastAsia="zh-CN"/>
        </w:rPr>
      </w:pPr>
      <w:r>
        <w:rPr>
          <w:b/>
          <w:bCs/>
          <w:color w:val="auto"/>
          <w:lang w:eastAsia="zh-CN"/>
        </w:rPr>
        <w:t>2.1招标文件的组成</w:t>
      </w:r>
    </w:p>
    <w:p w14:paraId="0F81EBAA">
      <w:pPr>
        <w:pStyle w:val="2"/>
        <w:spacing w:line="360" w:lineRule="auto"/>
        <w:ind w:left="0" w:firstLine="480" w:firstLineChars="200"/>
        <w:rPr>
          <w:color w:val="auto"/>
          <w:sz w:val="24"/>
          <w:szCs w:val="24"/>
          <w:lang w:eastAsia="zh-CN"/>
        </w:rPr>
      </w:pPr>
      <w:r>
        <w:rPr>
          <w:color w:val="auto"/>
          <w:sz w:val="24"/>
          <w:szCs w:val="24"/>
          <w:lang w:eastAsia="zh-CN"/>
        </w:rPr>
        <w:t>本招标文件包括：</w:t>
      </w:r>
    </w:p>
    <w:p w14:paraId="01B04019">
      <w:pPr>
        <w:pStyle w:val="2"/>
        <w:spacing w:line="360" w:lineRule="auto"/>
        <w:ind w:left="0" w:firstLine="480" w:firstLineChars="200"/>
        <w:rPr>
          <w:color w:val="auto"/>
          <w:sz w:val="24"/>
          <w:szCs w:val="24"/>
          <w:lang w:eastAsia="zh-CN"/>
        </w:rPr>
      </w:pPr>
      <w:r>
        <w:rPr>
          <w:color w:val="auto"/>
          <w:sz w:val="24"/>
          <w:szCs w:val="24"/>
          <w:lang w:eastAsia="zh-CN"/>
        </w:rPr>
        <w:t>（1）招标公告；</w:t>
      </w:r>
    </w:p>
    <w:p w14:paraId="3CA28CF8">
      <w:pPr>
        <w:pStyle w:val="2"/>
        <w:spacing w:line="360" w:lineRule="auto"/>
        <w:ind w:left="0" w:firstLine="480" w:firstLineChars="200"/>
        <w:rPr>
          <w:color w:val="auto"/>
          <w:sz w:val="24"/>
          <w:szCs w:val="24"/>
          <w:lang w:eastAsia="zh-CN"/>
        </w:rPr>
      </w:pPr>
      <w:r>
        <w:rPr>
          <w:color w:val="auto"/>
          <w:sz w:val="24"/>
          <w:szCs w:val="24"/>
          <w:lang w:eastAsia="zh-CN"/>
        </w:rPr>
        <w:t>（2）投标人须知；</w:t>
      </w:r>
    </w:p>
    <w:p w14:paraId="0353ACD9">
      <w:pPr>
        <w:pStyle w:val="2"/>
        <w:spacing w:line="360" w:lineRule="auto"/>
        <w:ind w:left="0" w:firstLine="480" w:firstLineChars="200"/>
        <w:rPr>
          <w:color w:val="auto"/>
          <w:sz w:val="24"/>
          <w:szCs w:val="24"/>
          <w:lang w:eastAsia="zh-CN"/>
        </w:rPr>
      </w:pPr>
      <w:r>
        <w:rPr>
          <w:color w:val="auto"/>
          <w:sz w:val="24"/>
          <w:szCs w:val="24"/>
          <w:lang w:eastAsia="zh-CN"/>
        </w:rPr>
        <w:t>（3）评标办法；</w:t>
      </w:r>
    </w:p>
    <w:p w14:paraId="02CC9067">
      <w:pPr>
        <w:pStyle w:val="2"/>
        <w:spacing w:line="360" w:lineRule="auto"/>
        <w:ind w:left="0" w:firstLine="480" w:firstLineChars="200"/>
        <w:rPr>
          <w:color w:val="auto"/>
          <w:sz w:val="24"/>
          <w:szCs w:val="24"/>
          <w:lang w:eastAsia="zh-CN"/>
        </w:rPr>
      </w:pPr>
      <w:r>
        <w:rPr>
          <w:color w:val="auto"/>
          <w:sz w:val="24"/>
          <w:szCs w:val="24"/>
          <w:lang w:eastAsia="zh-CN"/>
        </w:rPr>
        <w:t>（4）合同条款及格式；</w:t>
      </w:r>
    </w:p>
    <w:p w14:paraId="53A80F52">
      <w:pPr>
        <w:pStyle w:val="2"/>
        <w:spacing w:line="360" w:lineRule="auto"/>
        <w:ind w:left="0" w:firstLine="480" w:firstLineChars="200"/>
        <w:rPr>
          <w:color w:val="auto"/>
          <w:sz w:val="24"/>
          <w:szCs w:val="24"/>
          <w:lang w:eastAsia="zh-CN"/>
        </w:rPr>
      </w:pPr>
      <w:r>
        <w:rPr>
          <w:color w:val="auto"/>
          <w:sz w:val="24"/>
          <w:szCs w:val="24"/>
          <w:lang w:eastAsia="zh-CN"/>
        </w:rPr>
        <w:t>（5）发包人要求；</w:t>
      </w:r>
    </w:p>
    <w:p w14:paraId="7591B4F6">
      <w:pPr>
        <w:pStyle w:val="2"/>
        <w:spacing w:line="360" w:lineRule="auto"/>
        <w:ind w:left="0" w:firstLine="480" w:firstLineChars="200"/>
        <w:rPr>
          <w:color w:val="auto"/>
          <w:sz w:val="24"/>
          <w:szCs w:val="24"/>
          <w:lang w:eastAsia="zh-CN"/>
        </w:rPr>
      </w:pPr>
      <w:r>
        <w:rPr>
          <w:color w:val="auto"/>
          <w:sz w:val="24"/>
          <w:szCs w:val="24"/>
          <w:lang w:eastAsia="zh-CN"/>
        </w:rPr>
        <w:t>（6）投标文件格式；</w:t>
      </w:r>
    </w:p>
    <w:p w14:paraId="3F5CF1DE">
      <w:pPr>
        <w:pStyle w:val="2"/>
        <w:spacing w:line="360" w:lineRule="auto"/>
        <w:ind w:left="0" w:firstLine="480" w:firstLineChars="200"/>
        <w:rPr>
          <w:color w:val="auto"/>
          <w:sz w:val="24"/>
          <w:szCs w:val="24"/>
          <w:lang w:eastAsia="zh-CN"/>
        </w:rPr>
      </w:pPr>
      <w:r>
        <w:rPr>
          <w:color w:val="auto"/>
          <w:sz w:val="24"/>
          <w:szCs w:val="24"/>
          <w:lang w:eastAsia="zh-CN"/>
        </w:rPr>
        <w:t>（7）投标人须知前附表规定的其他资料。</w:t>
      </w:r>
    </w:p>
    <w:p w14:paraId="3707CCE6">
      <w:pPr>
        <w:pStyle w:val="2"/>
        <w:spacing w:after="240" w:line="360" w:lineRule="auto"/>
        <w:ind w:left="0" w:firstLine="480" w:firstLineChars="200"/>
        <w:rPr>
          <w:color w:val="auto"/>
          <w:sz w:val="24"/>
          <w:szCs w:val="24"/>
          <w:lang w:eastAsia="zh-CN"/>
        </w:rPr>
      </w:pPr>
      <w:r>
        <w:rPr>
          <w:color w:val="auto"/>
          <w:sz w:val="24"/>
          <w:szCs w:val="24"/>
          <w:lang w:eastAsia="zh-CN"/>
        </w:rPr>
        <w:t>根据本章第1.10款、第2.2款和第2.3款对招标文件所作的澄清、修改，构成招标文件的组成部分。</w:t>
      </w:r>
    </w:p>
    <w:p w14:paraId="5EFF16DE">
      <w:pPr>
        <w:pStyle w:val="6"/>
        <w:spacing w:after="240"/>
        <w:ind w:right="44"/>
        <w:rPr>
          <w:b/>
          <w:bCs/>
          <w:color w:val="auto"/>
          <w:lang w:eastAsia="zh-CN"/>
        </w:rPr>
      </w:pPr>
      <w:r>
        <w:rPr>
          <w:b/>
          <w:bCs/>
          <w:color w:val="auto"/>
          <w:lang w:eastAsia="zh-CN"/>
        </w:rPr>
        <w:t>2.2招标文件的澄清</w:t>
      </w:r>
    </w:p>
    <w:p w14:paraId="08E2679F">
      <w:pPr>
        <w:pStyle w:val="2"/>
        <w:spacing w:line="360" w:lineRule="auto"/>
        <w:ind w:left="0" w:firstLine="480" w:firstLineChars="200"/>
        <w:rPr>
          <w:color w:val="auto"/>
          <w:sz w:val="24"/>
          <w:szCs w:val="24"/>
          <w:lang w:eastAsia="zh-CN"/>
        </w:rPr>
      </w:pPr>
      <w:r>
        <w:rPr>
          <w:color w:val="auto"/>
          <w:sz w:val="24"/>
          <w:szCs w:val="24"/>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6894A3C">
      <w:pPr>
        <w:pStyle w:val="2"/>
        <w:spacing w:line="360" w:lineRule="auto"/>
        <w:ind w:left="0" w:firstLine="480" w:firstLineChars="200"/>
        <w:rPr>
          <w:color w:val="auto"/>
          <w:sz w:val="24"/>
          <w:szCs w:val="24"/>
          <w:lang w:eastAsia="zh-CN"/>
        </w:rPr>
      </w:pPr>
      <w:r>
        <w:rPr>
          <w:color w:val="auto"/>
          <w:sz w:val="24"/>
          <w:szCs w:val="24"/>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EC748AB">
      <w:pPr>
        <w:pStyle w:val="2"/>
        <w:spacing w:line="360" w:lineRule="auto"/>
        <w:ind w:left="0" w:firstLine="480" w:firstLineChars="200"/>
        <w:rPr>
          <w:color w:val="auto"/>
          <w:sz w:val="24"/>
          <w:szCs w:val="24"/>
          <w:lang w:eastAsia="zh-CN"/>
        </w:rPr>
      </w:pPr>
      <w:r>
        <w:rPr>
          <w:color w:val="auto"/>
          <w:sz w:val="24"/>
          <w:szCs w:val="24"/>
          <w:lang w:eastAsia="zh-CN"/>
        </w:rPr>
        <w:t>2.2.3投标人在收到澄清后，应按投标人须知前附表规定的时间和形式通知招标人，确认已收到该澄清。</w:t>
      </w:r>
    </w:p>
    <w:p w14:paraId="6BAAE737">
      <w:pPr>
        <w:pStyle w:val="2"/>
        <w:spacing w:after="240" w:line="360" w:lineRule="auto"/>
        <w:ind w:left="0" w:firstLine="480" w:firstLineChars="200"/>
        <w:rPr>
          <w:color w:val="auto"/>
          <w:sz w:val="24"/>
          <w:szCs w:val="24"/>
          <w:lang w:eastAsia="zh-CN"/>
        </w:rPr>
      </w:pPr>
      <w:r>
        <w:rPr>
          <w:color w:val="auto"/>
          <w:sz w:val="24"/>
          <w:szCs w:val="24"/>
          <w:lang w:eastAsia="zh-CN"/>
        </w:rPr>
        <w:t>2.2.4 除非招标人认为确有必要答复，否则，招标人有权拒绝回复投标人在本章第 2.2.1项规定的时间后的任何澄清要求。</w:t>
      </w:r>
    </w:p>
    <w:p w14:paraId="60E9417F">
      <w:pPr>
        <w:pStyle w:val="6"/>
        <w:spacing w:after="240"/>
        <w:ind w:right="44"/>
        <w:rPr>
          <w:b/>
          <w:bCs/>
          <w:color w:val="auto"/>
          <w:lang w:eastAsia="zh-CN"/>
        </w:rPr>
      </w:pPr>
      <w:r>
        <w:rPr>
          <w:b/>
          <w:bCs/>
          <w:color w:val="auto"/>
          <w:lang w:eastAsia="zh-CN"/>
        </w:rPr>
        <w:t>2.3招标文件的修改</w:t>
      </w:r>
    </w:p>
    <w:p w14:paraId="73622036">
      <w:pPr>
        <w:pStyle w:val="2"/>
        <w:spacing w:line="360" w:lineRule="auto"/>
        <w:ind w:left="0" w:firstLine="480" w:firstLineChars="200"/>
        <w:rPr>
          <w:color w:val="auto"/>
          <w:sz w:val="24"/>
          <w:szCs w:val="24"/>
          <w:lang w:eastAsia="zh-CN"/>
        </w:rPr>
      </w:pPr>
      <w:r>
        <w:rPr>
          <w:color w:val="auto"/>
          <w:sz w:val="24"/>
          <w:szCs w:val="24"/>
          <w:lang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372199F6">
      <w:pPr>
        <w:pStyle w:val="2"/>
        <w:spacing w:after="240" w:line="360" w:lineRule="auto"/>
        <w:ind w:left="0" w:firstLine="480" w:firstLineChars="200"/>
        <w:rPr>
          <w:color w:val="auto"/>
          <w:sz w:val="24"/>
          <w:szCs w:val="24"/>
          <w:lang w:eastAsia="zh-CN"/>
        </w:rPr>
      </w:pPr>
      <w:r>
        <w:rPr>
          <w:color w:val="auto"/>
          <w:sz w:val="24"/>
          <w:szCs w:val="24"/>
          <w:lang w:eastAsia="zh-CN"/>
        </w:rPr>
        <w:t>2.3.2投标人收到修改内容后，应按投标人须知前附表规定的时间和形式通知招标人，确认已收到该修改。</w:t>
      </w:r>
    </w:p>
    <w:p w14:paraId="1411F630">
      <w:pPr>
        <w:pStyle w:val="6"/>
        <w:spacing w:after="240"/>
        <w:ind w:right="44"/>
        <w:rPr>
          <w:b/>
          <w:bCs/>
          <w:color w:val="auto"/>
          <w:lang w:eastAsia="zh-CN"/>
        </w:rPr>
      </w:pPr>
      <w:r>
        <w:rPr>
          <w:b/>
          <w:bCs/>
          <w:color w:val="auto"/>
          <w:lang w:eastAsia="zh-CN"/>
        </w:rPr>
        <w:t>2.4招标文件的异议</w:t>
      </w:r>
    </w:p>
    <w:p w14:paraId="142D76F8">
      <w:pPr>
        <w:pStyle w:val="2"/>
        <w:spacing w:after="240" w:line="360" w:lineRule="auto"/>
        <w:ind w:left="0" w:firstLine="480" w:firstLineChars="200"/>
        <w:rPr>
          <w:color w:val="auto"/>
          <w:sz w:val="24"/>
          <w:szCs w:val="24"/>
          <w:lang w:eastAsia="zh-CN"/>
        </w:rPr>
      </w:pPr>
      <w:r>
        <w:rPr>
          <w:color w:val="auto"/>
          <w:sz w:val="24"/>
          <w:szCs w:val="24"/>
          <w:lang w:eastAsia="zh-CN"/>
        </w:rPr>
        <w:t>投标人或者其他利害关系人对招标文件有异议的，应当在投标截止时间10日前以书面形式提出。招标人将在收到异议之日起3日内作出答复；作出答复前，将暂停招标投标活动。</w:t>
      </w:r>
      <w:bookmarkStart w:id="11" w:name="_Toc25137984"/>
    </w:p>
    <w:p w14:paraId="2BE6EB5F">
      <w:pPr>
        <w:pStyle w:val="5"/>
        <w:spacing w:after="240" w:line="443" w:lineRule="exact"/>
        <w:ind w:right="44"/>
        <w:rPr>
          <w:rFonts w:ascii="宋体" w:hAnsi="宋体" w:eastAsia="宋体"/>
          <w:color w:val="auto"/>
          <w:lang w:eastAsia="zh-CN"/>
        </w:rPr>
      </w:pPr>
      <w:bookmarkStart w:id="12" w:name="_Toc25152734"/>
      <w:r>
        <w:rPr>
          <w:rFonts w:ascii="宋体" w:hAnsi="宋体" w:eastAsia="宋体"/>
          <w:color w:val="auto"/>
          <w:lang w:eastAsia="zh-CN"/>
        </w:rPr>
        <w:t>3. 投标文件</w:t>
      </w:r>
      <w:bookmarkEnd w:id="11"/>
      <w:bookmarkEnd w:id="12"/>
    </w:p>
    <w:p w14:paraId="409FDF6B">
      <w:pPr>
        <w:pStyle w:val="6"/>
        <w:spacing w:after="240"/>
        <w:ind w:right="44"/>
        <w:rPr>
          <w:b/>
          <w:bCs/>
          <w:color w:val="auto"/>
          <w:lang w:eastAsia="zh-CN"/>
        </w:rPr>
      </w:pPr>
      <w:r>
        <w:rPr>
          <w:b/>
          <w:bCs/>
          <w:color w:val="auto"/>
          <w:lang w:eastAsia="zh-CN"/>
        </w:rPr>
        <w:t>3.1投标文件的组成</w:t>
      </w:r>
    </w:p>
    <w:p w14:paraId="2011AD4E">
      <w:pPr>
        <w:pStyle w:val="2"/>
        <w:spacing w:line="360" w:lineRule="auto"/>
        <w:ind w:left="0" w:firstLine="480" w:firstLineChars="200"/>
        <w:rPr>
          <w:color w:val="auto"/>
          <w:sz w:val="24"/>
          <w:szCs w:val="24"/>
          <w:lang w:eastAsia="zh-CN"/>
        </w:rPr>
      </w:pPr>
      <w:r>
        <w:rPr>
          <w:color w:val="auto"/>
          <w:sz w:val="24"/>
          <w:szCs w:val="24"/>
          <w:lang w:eastAsia="zh-CN"/>
        </w:rPr>
        <w:t xml:space="preserve">3.1.1 </w:t>
      </w:r>
      <w:r>
        <w:rPr>
          <w:rFonts w:hint="eastAsia" w:cs="宋体"/>
          <w:color w:val="auto"/>
          <w:sz w:val="24"/>
          <w:szCs w:val="24"/>
          <w:lang w:eastAsia="zh-CN"/>
        </w:rPr>
        <w:t>投标文件应包括下列内容：</w:t>
      </w:r>
    </w:p>
    <w:p w14:paraId="65907D9E">
      <w:pPr>
        <w:pStyle w:val="2"/>
        <w:spacing w:line="360" w:lineRule="auto"/>
        <w:ind w:left="0" w:firstLine="482" w:firstLineChars="200"/>
        <w:rPr>
          <w:rFonts w:cs="宋体"/>
          <w:b/>
          <w:color w:val="auto"/>
          <w:sz w:val="24"/>
          <w:szCs w:val="24"/>
          <w:u w:val="single"/>
          <w:lang w:eastAsia="zh-CN"/>
        </w:rPr>
      </w:pPr>
      <w:r>
        <w:rPr>
          <w:rFonts w:hint="eastAsia" w:cs="宋体"/>
          <w:b/>
          <w:color w:val="auto"/>
          <w:sz w:val="24"/>
          <w:szCs w:val="24"/>
          <w:u w:val="single"/>
          <w:lang w:eastAsia="zh-CN"/>
        </w:rPr>
        <w:t>投标文件由商务文件（含资格审查部分、资信业绩部分）、技术文件（设计方案部分）两个部分组成。各部分投标文件应分别编制。设计投标文件编制要求详见第六章投标文件格式“设计投标文件编制要求”。</w:t>
      </w:r>
    </w:p>
    <w:p w14:paraId="5FD6134B">
      <w:pPr>
        <w:pStyle w:val="2"/>
        <w:spacing w:line="360" w:lineRule="auto"/>
        <w:ind w:firstLine="482" w:firstLineChars="200"/>
        <w:rPr>
          <w:rFonts w:hint="eastAsia" w:cs="宋体"/>
          <w:b/>
          <w:color w:val="auto"/>
          <w:sz w:val="24"/>
          <w:szCs w:val="24"/>
          <w:u w:val="single"/>
          <w:lang w:eastAsia="zh-CN"/>
        </w:rPr>
      </w:pPr>
      <w:r>
        <w:rPr>
          <w:rFonts w:hint="eastAsia" w:cs="宋体"/>
          <w:b/>
          <w:color w:val="auto"/>
          <w:sz w:val="24"/>
          <w:szCs w:val="24"/>
          <w:u w:val="single"/>
          <w:lang w:eastAsia="zh-CN"/>
        </w:rPr>
        <w:t>注：技术文件（设计方案部分）为暗标。技术标中不能辨认出投标人或其专业技术人员的身份。不在设计方案上标注或做任何可以辨认投标人及专业技术人员身份的名称、印章、商标、图形等记认符号。</w:t>
      </w:r>
    </w:p>
    <w:p w14:paraId="4BEDE371">
      <w:pPr>
        <w:pStyle w:val="2"/>
        <w:spacing w:line="360" w:lineRule="auto"/>
        <w:ind w:left="0" w:firstLine="480" w:firstLineChars="200"/>
        <w:rPr>
          <w:rFonts w:cs="宋体"/>
          <w:color w:val="auto"/>
          <w:sz w:val="24"/>
          <w:szCs w:val="24"/>
          <w:lang w:eastAsia="zh-CN"/>
        </w:rPr>
      </w:pPr>
      <w:r>
        <w:rPr>
          <w:rFonts w:cs="宋体"/>
          <w:color w:val="auto"/>
          <w:sz w:val="24"/>
          <w:szCs w:val="24"/>
          <w:lang w:eastAsia="zh-CN"/>
        </w:rPr>
        <w:t>投标人在评标过程中作出的符合法律法规和招标文件规定的澄清确认，构成投标文件的组成部分。</w:t>
      </w:r>
    </w:p>
    <w:p w14:paraId="3BBB89EA">
      <w:pPr>
        <w:pStyle w:val="2"/>
        <w:spacing w:line="360" w:lineRule="auto"/>
        <w:ind w:left="0" w:firstLine="480" w:firstLineChars="200"/>
        <w:rPr>
          <w:color w:val="auto"/>
          <w:sz w:val="24"/>
          <w:szCs w:val="24"/>
          <w:lang w:eastAsia="zh-CN"/>
        </w:rPr>
      </w:pPr>
      <w:r>
        <w:rPr>
          <w:color w:val="auto"/>
          <w:sz w:val="24"/>
          <w:szCs w:val="24"/>
          <w:lang w:eastAsia="zh-CN"/>
        </w:rPr>
        <w:t>3.1.2投标人须知前附表规定不接受联合体投标的，或投标人没有组成联合体的，投标文件不包括本章第3.1.1（3）目所指的联合体协议书。</w:t>
      </w:r>
    </w:p>
    <w:p w14:paraId="5C465AA3">
      <w:pPr>
        <w:pStyle w:val="2"/>
        <w:spacing w:after="240" w:line="360" w:lineRule="auto"/>
        <w:ind w:left="0" w:firstLine="480" w:firstLineChars="200"/>
        <w:rPr>
          <w:color w:val="auto"/>
          <w:sz w:val="24"/>
          <w:szCs w:val="24"/>
          <w:lang w:eastAsia="zh-CN"/>
        </w:rPr>
      </w:pPr>
      <w:r>
        <w:rPr>
          <w:color w:val="auto"/>
          <w:sz w:val="24"/>
          <w:szCs w:val="24"/>
          <w:lang w:eastAsia="zh-CN"/>
        </w:rPr>
        <w:t>3.1.3 投标人须知前附表未要求提交投标保证金的，投标文件不包括本章第 3.1.1（4）目所指的投标保证金。</w:t>
      </w:r>
    </w:p>
    <w:p w14:paraId="18BFF50E">
      <w:pPr>
        <w:pStyle w:val="6"/>
        <w:spacing w:after="240"/>
        <w:ind w:right="44"/>
        <w:rPr>
          <w:b/>
          <w:bCs/>
          <w:color w:val="auto"/>
          <w:lang w:eastAsia="zh-CN"/>
        </w:rPr>
      </w:pPr>
      <w:r>
        <w:rPr>
          <w:b/>
          <w:bCs/>
          <w:color w:val="auto"/>
          <w:lang w:eastAsia="zh-CN"/>
        </w:rPr>
        <w:t>3.2投标报价</w:t>
      </w:r>
    </w:p>
    <w:p w14:paraId="30733AE7">
      <w:pPr>
        <w:pStyle w:val="2"/>
        <w:spacing w:line="360" w:lineRule="auto"/>
        <w:ind w:left="0" w:firstLine="480" w:firstLineChars="200"/>
        <w:rPr>
          <w:color w:val="auto"/>
          <w:sz w:val="24"/>
          <w:szCs w:val="24"/>
          <w:lang w:eastAsia="zh-CN"/>
        </w:rPr>
      </w:pPr>
      <w:r>
        <w:rPr>
          <w:color w:val="auto"/>
          <w:sz w:val="24"/>
          <w:szCs w:val="24"/>
          <w:lang w:eastAsia="zh-CN"/>
        </w:rPr>
        <w:t>3.2.1投标报价应包括国家规定的增值税税金，除投标人须知前附表另有规定外，增值税税金按一般计税方法计算。投标人应按第六章“投标文件格式”的要求在</w:t>
      </w:r>
      <w:r>
        <w:rPr>
          <w:rFonts w:hint="default" w:ascii="宋体" w:hAnsi="宋体" w:eastAsia="宋体" w:cs="Times New Roman"/>
          <w:b w:val="0"/>
          <w:bCs w:val="0"/>
          <w:color w:val="auto"/>
          <w:sz w:val="24"/>
          <w:szCs w:val="24"/>
          <w:lang w:eastAsia="zh-CN"/>
        </w:rPr>
        <w:t>设计费报价汇总表</w:t>
      </w:r>
      <w:r>
        <w:rPr>
          <w:color w:val="auto"/>
          <w:sz w:val="24"/>
          <w:szCs w:val="24"/>
          <w:lang w:eastAsia="zh-CN"/>
        </w:rPr>
        <w:t>中进行报价。</w:t>
      </w:r>
    </w:p>
    <w:p w14:paraId="39072FEC">
      <w:pPr>
        <w:pStyle w:val="2"/>
        <w:spacing w:line="360" w:lineRule="auto"/>
        <w:ind w:left="0" w:firstLine="480" w:firstLineChars="200"/>
        <w:rPr>
          <w:color w:val="auto"/>
          <w:sz w:val="24"/>
          <w:szCs w:val="24"/>
          <w:lang w:eastAsia="zh-CN"/>
        </w:rPr>
      </w:pPr>
      <w:r>
        <w:rPr>
          <w:color w:val="auto"/>
          <w:sz w:val="24"/>
          <w:szCs w:val="24"/>
          <w:lang w:eastAsia="zh-CN"/>
        </w:rPr>
        <w:t>3.2.2投标人应充分了解该项目的总体情况以及影响投标报价的其他要素。</w:t>
      </w:r>
    </w:p>
    <w:p w14:paraId="1B2DDC28">
      <w:pPr>
        <w:pStyle w:val="2"/>
        <w:spacing w:line="360" w:lineRule="auto"/>
        <w:ind w:left="0" w:firstLine="480" w:firstLineChars="200"/>
        <w:rPr>
          <w:color w:val="auto"/>
          <w:sz w:val="24"/>
          <w:szCs w:val="24"/>
          <w:lang w:eastAsia="zh-CN"/>
        </w:rPr>
      </w:pPr>
      <w:r>
        <w:rPr>
          <w:color w:val="auto"/>
          <w:sz w:val="24"/>
          <w:szCs w:val="24"/>
          <w:lang w:eastAsia="zh-CN"/>
        </w:rPr>
        <w:t>3.2.3本项目的报价方式见投标人须知前附表。投标人在投标截止时间前修改</w:t>
      </w:r>
      <w:r>
        <w:rPr>
          <w:rFonts w:hint="default" w:ascii="宋体" w:hAnsi="宋体" w:eastAsia="宋体" w:cs="Times New Roman"/>
          <w:b w:val="0"/>
          <w:bCs w:val="0"/>
          <w:color w:val="auto"/>
          <w:sz w:val="24"/>
          <w:szCs w:val="24"/>
          <w:lang w:eastAsia="zh-CN"/>
        </w:rPr>
        <w:t>设计费报价汇总表</w:t>
      </w:r>
      <w:r>
        <w:rPr>
          <w:color w:val="auto"/>
          <w:sz w:val="24"/>
          <w:szCs w:val="24"/>
          <w:lang w:eastAsia="zh-CN"/>
        </w:rPr>
        <w:t>中的投标报价总额，应同时修改投标文件</w:t>
      </w:r>
      <w:r>
        <w:rPr>
          <w:rFonts w:hint="eastAsia"/>
          <w:color w:val="auto"/>
          <w:sz w:val="24"/>
          <w:szCs w:val="24"/>
          <w:u w:val="single"/>
          <w:lang w:eastAsia="zh-CN"/>
        </w:rPr>
        <w:t>相应的报价表</w:t>
      </w:r>
      <w:r>
        <w:rPr>
          <w:color w:val="auto"/>
          <w:sz w:val="24"/>
          <w:szCs w:val="24"/>
          <w:lang w:eastAsia="zh-CN"/>
        </w:rPr>
        <w:t>中的相应报价。此修改须符合本章第 4.3 款的有关要求。</w:t>
      </w:r>
    </w:p>
    <w:p w14:paraId="5E7F1733">
      <w:pPr>
        <w:pStyle w:val="2"/>
        <w:spacing w:line="360" w:lineRule="auto"/>
        <w:ind w:left="0" w:firstLine="480" w:firstLineChars="200"/>
        <w:rPr>
          <w:color w:val="auto"/>
          <w:sz w:val="24"/>
          <w:szCs w:val="24"/>
          <w:lang w:eastAsia="zh-CN"/>
        </w:rPr>
      </w:pPr>
      <w:r>
        <w:rPr>
          <w:color w:val="auto"/>
          <w:sz w:val="24"/>
          <w:szCs w:val="24"/>
          <w:lang w:eastAsia="zh-CN"/>
        </w:rPr>
        <w:t>3.2.4招标人设有最高投标限价的，投标人的投标报价不得超过最高投标限价，最高投标限价在投标人须知前附表中载明。</w:t>
      </w:r>
    </w:p>
    <w:p w14:paraId="2083CAB3">
      <w:pPr>
        <w:pStyle w:val="2"/>
        <w:spacing w:after="240" w:line="360" w:lineRule="auto"/>
        <w:ind w:left="0" w:firstLine="480" w:firstLineChars="200"/>
        <w:rPr>
          <w:color w:val="auto"/>
          <w:sz w:val="24"/>
          <w:szCs w:val="24"/>
          <w:lang w:eastAsia="zh-CN"/>
        </w:rPr>
      </w:pPr>
      <w:r>
        <w:rPr>
          <w:color w:val="auto"/>
          <w:sz w:val="24"/>
          <w:szCs w:val="24"/>
          <w:lang w:eastAsia="zh-CN"/>
        </w:rPr>
        <w:t>3.2.5投标报价的其他要求见投标人须知前附表。</w:t>
      </w:r>
    </w:p>
    <w:p w14:paraId="1E0D15E4">
      <w:pPr>
        <w:pStyle w:val="6"/>
        <w:spacing w:after="240"/>
        <w:ind w:right="44"/>
        <w:rPr>
          <w:b/>
          <w:bCs/>
          <w:color w:val="auto"/>
          <w:lang w:eastAsia="zh-CN"/>
        </w:rPr>
      </w:pPr>
      <w:r>
        <w:rPr>
          <w:b/>
          <w:bCs/>
          <w:color w:val="auto"/>
          <w:lang w:eastAsia="zh-CN"/>
        </w:rPr>
        <w:t>3.3投标有效期</w:t>
      </w:r>
    </w:p>
    <w:p w14:paraId="79AB1397">
      <w:pPr>
        <w:pStyle w:val="2"/>
        <w:spacing w:line="360" w:lineRule="auto"/>
        <w:ind w:left="0" w:firstLine="480" w:firstLineChars="200"/>
        <w:rPr>
          <w:color w:val="auto"/>
          <w:sz w:val="24"/>
          <w:szCs w:val="24"/>
          <w:lang w:eastAsia="zh-CN"/>
        </w:rPr>
      </w:pPr>
      <w:r>
        <w:rPr>
          <w:color w:val="auto"/>
          <w:sz w:val="24"/>
          <w:szCs w:val="24"/>
          <w:lang w:eastAsia="zh-CN"/>
        </w:rPr>
        <w:t>3.3.1除投标人须知前附表另有规定外，投标有效期为</w:t>
      </w:r>
      <w:r>
        <w:rPr>
          <w:rFonts w:hint="eastAsia"/>
          <w:color w:val="auto"/>
          <w:sz w:val="24"/>
          <w:szCs w:val="24"/>
          <w:lang w:eastAsia="zh-CN"/>
        </w:rPr>
        <w:t>90</w:t>
      </w:r>
      <w:r>
        <w:rPr>
          <w:color w:val="auto"/>
          <w:sz w:val="24"/>
          <w:szCs w:val="24"/>
          <w:lang w:eastAsia="zh-CN"/>
        </w:rPr>
        <w:t>天。</w:t>
      </w:r>
    </w:p>
    <w:p w14:paraId="262ACF1A">
      <w:pPr>
        <w:pStyle w:val="2"/>
        <w:spacing w:line="360" w:lineRule="auto"/>
        <w:ind w:left="0" w:firstLine="480" w:firstLineChars="200"/>
        <w:rPr>
          <w:color w:val="auto"/>
          <w:sz w:val="24"/>
          <w:szCs w:val="24"/>
          <w:lang w:eastAsia="zh-CN"/>
        </w:rPr>
      </w:pPr>
      <w:r>
        <w:rPr>
          <w:color w:val="auto"/>
          <w:sz w:val="24"/>
          <w:szCs w:val="24"/>
          <w:lang w:eastAsia="zh-CN"/>
        </w:rPr>
        <w:t>3.3.2在投标有效期内，投标人撤销投标文件的，应承担招标文件和法律规定的责任。</w:t>
      </w:r>
    </w:p>
    <w:p w14:paraId="6847A55A">
      <w:pPr>
        <w:pStyle w:val="2"/>
        <w:spacing w:after="240" w:line="360" w:lineRule="auto"/>
        <w:ind w:left="0" w:firstLine="480" w:firstLineChars="200"/>
        <w:rPr>
          <w:color w:val="auto"/>
          <w:sz w:val="24"/>
          <w:szCs w:val="24"/>
          <w:lang w:eastAsia="zh-CN"/>
        </w:rPr>
      </w:pPr>
      <w:r>
        <w:rPr>
          <w:color w:val="auto"/>
          <w:sz w:val="24"/>
          <w:szCs w:val="24"/>
          <w:lang w:eastAsia="zh-CN"/>
        </w:rPr>
        <w:t>3.3.3出现特殊情况需要延长投标有效期的，招标人以书面形式通知所有投标人延长投标有效期。</w:t>
      </w:r>
    </w:p>
    <w:p w14:paraId="279F0FD7">
      <w:pPr>
        <w:pStyle w:val="6"/>
        <w:spacing w:after="240"/>
        <w:ind w:right="44"/>
        <w:rPr>
          <w:b/>
          <w:bCs/>
          <w:color w:val="auto"/>
          <w:lang w:eastAsia="zh-CN"/>
        </w:rPr>
      </w:pPr>
      <w:r>
        <w:rPr>
          <w:b/>
          <w:bCs/>
          <w:color w:val="auto"/>
          <w:lang w:eastAsia="zh-CN"/>
        </w:rPr>
        <w:t>3.4投标保证金</w:t>
      </w:r>
    </w:p>
    <w:p w14:paraId="7C402B72">
      <w:pPr>
        <w:pStyle w:val="2"/>
        <w:spacing w:line="360" w:lineRule="auto"/>
        <w:ind w:left="0" w:firstLine="480" w:firstLineChars="200"/>
        <w:rPr>
          <w:strike w:val="0"/>
          <w:color w:val="auto"/>
          <w:sz w:val="24"/>
          <w:szCs w:val="24"/>
          <w:lang w:eastAsia="zh-CN"/>
        </w:rPr>
      </w:pPr>
      <w:r>
        <w:rPr>
          <w:strike w:val="0"/>
          <w:color w:val="auto"/>
          <w:sz w:val="24"/>
          <w:szCs w:val="24"/>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9566E03">
      <w:pPr>
        <w:pStyle w:val="2"/>
        <w:spacing w:line="360" w:lineRule="auto"/>
        <w:ind w:left="0" w:firstLine="480" w:firstLineChars="200"/>
        <w:rPr>
          <w:strike w:val="0"/>
          <w:color w:val="auto"/>
          <w:sz w:val="24"/>
          <w:szCs w:val="24"/>
          <w:lang w:eastAsia="zh-CN"/>
        </w:rPr>
      </w:pPr>
      <w:r>
        <w:rPr>
          <w:strike w:val="0"/>
          <w:color w:val="auto"/>
          <w:sz w:val="24"/>
          <w:szCs w:val="24"/>
          <w:lang w:eastAsia="zh-CN"/>
        </w:rPr>
        <w:t>3.4.2投标人不按本章第 3.4.1项要求提交投标保证金的，评标委员会将否决其投标。</w:t>
      </w:r>
    </w:p>
    <w:p w14:paraId="4A25ED37">
      <w:pPr>
        <w:pStyle w:val="2"/>
        <w:spacing w:line="360" w:lineRule="auto"/>
        <w:ind w:left="0" w:firstLine="480" w:firstLineChars="200"/>
        <w:rPr>
          <w:strike w:val="0"/>
          <w:color w:val="auto"/>
          <w:sz w:val="24"/>
          <w:szCs w:val="24"/>
          <w:lang w:eastAsia="zh-CN"/>
        </w:rPr>
      </w:pPr>
      <w:r>
        <w:rPr>
          <w:strike w:val="0"/>
          <w:color w:val="auto"/>
          <w:sz w:val="24"/>
          <w:szCs w:val="24"/>
          <w:lang w:eastAsia="zh-CN"/>
        </w:rPr>
        <w:t>3.4.3 招标人最迟将在与中标人签订合同后 5日内，向未中标的投标人和中标人退还投标保证金。投标保证金以现金或者支票形式递交的，还应退还银行同期存款利息。</w:t>
      </w:r>
      <w:r>
        <w:rPr>
          <w:rFonts w:hint="eastAsia"/>
          <w:strike w:val="0"/>
          <w:color w:val="auto"/>
          <w:sz w:val="24"/>
          <w:szCs w:val="24"/>
          <w:lang w:eastAsia="zh-CN"/>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14:paraId="68640740">
      <w:pPr>
        <w:pStyle w:val="2"/>
        <w:spacing w:line="360" w:lineRule="auto"/>
        <w:ind w:left="0" w:firstLine="480" w:firstLineChars="200"/>
        <w:rPr>
          <w:strike w:val="0"/>
          <w:color w:val="auto"/>
          <w:sz w:val="24"/>
          <w:szCs w:val="24"/>
          <w:lang w:eastAsia="zh-CN"/>
        </w:rPr>
      </w:pPr>
      <w:r>
        <w:rPr>
          <w:strike w:val="0"/>
          <w:color w:val="auto"/>
          <w:sz w:val="24"/>
          <w:szCs w:val="24"/>
          <w:lang w:eastAsia="zh-CN"/>
        </w:rPr>
        <w:t>3.4.4有下列情形之一的，投标保证金将不予退还：</w:t>
      </w:r>
    </w:p>
    <w:p w14:paraId="684CEE46">
      <w:pPr>
        <w:pStyle w:val="2"/>
        <w:spacing w:line="360" w:lineRule="auto"/>
        <w:ind w:left="0" w:firstLine="480" w:firstLineChars="200"/>
        <w:rPr>
          <w:strike w:val="0"/>
          <w:color w:val="auto"/>
          <w:sz w:val="24"/>
          <w:szCs w:val="24"/>
          <w:lang w:eastAsia="zh-CN"/>
        </w:rPr>
      </w:pPr>
      <w:r>
        <w:rPr>
          <w:strike w:val="0"/>
          <w:color w:val="auto"/>
          <w:sz w:val="24"/>
          <w:szCs w:val="24"/>
          <w:lang w:eastAsia="zh-CN"/>
        </w:rPr>
        <w:t>（1）投标人在投标有效期内撤销投标文件；</w:t>
      </w:r>
    </w:p>
    <w:p w14:paraId="56EE9C97">
      <w:pPr>
        <w:pStyle w:val="2"/>
        <w:spacing w:line="360" w:lineRule="auto"/>
        <w:ind w:left="0" w:firstLine="480" w:firstLineChars="200"/>
        <w:rPr>
          <w:strike w:val="0"/>
          <w:color w:val="auto"/>
          <w:sz w:val="24"/>
          <w:szCs w:val="24"/>
          <w:lang w:eastAsia="zh-CN"/>
        </w:rPr>
      </w:pPr>
      <w:r>
        <w:rPr>
          <w:strike w:val="0"/>
          <w:color w:val="auto"/>
          <w:sz w:val="24"/>
          <w:szCs w:val="24"/>
          <w:lang w:eastAsia="zh-CN"/>
        </w:rPr>
        <w:t>（2）中标人在收到中标通知书后，无正当理由不与招标人订立合同，在签订合同时向招标人提出附加条件，或者不按照招标文件要求提交履约保证金；</w:t>
      </w:r>
    </w:p>
    <w:p w14:paraId="641A7AE3">
      <w:pPr>
        <w:pStyle w:val="2"/>
        <w:spacing w:after="240" w:line="360" w:lineRule="auto"/>
        <w:ind w:left="0" w:firstLine="480" w:firstLineChars="200"/>
        <w:rPr>
          <w:strike w:val="0"/>
          <w:color w:val="auto"/>
          <w:sz w:val="24"/>
          <w:szCs w:val="24"/>
          <w:lang w:eastAsia="zh-CN"/>
        </w:rPr>
      </w:pPr>
      <w:r>
        <w:rPr>
          <w:strike w:val="0"/>
          <w:color w:val="auto"/>
          <w:sz w:val="24"/>
          <w:szCs w:val="24"/>
          <w:lang w:eastAsia="zh-CN"/>
        </w:rPr>
        <w:t>（3）发生投标人须知前附表规定的其他可以不予退还投标保证金的情形。</w:t>
      </w:r>
    </w:p>
    <w:p w14:paraId="546086E4">
      <w:pPr>
        <w:pStyle w:val="6"/>
        <w:spacing w:after="240"/>
        <w:ind w:right="44"/>
        <w:rPr>
          <w:b/>
          <w:bCs/>
          <w:strike/>
          <w:color w:val="auto"/>
          <w:lang w:eastAsia="zh-CN"/>
        </w:rPr>
      </w:pPr>
      <w:r>
        <w:rPr>
          <w:b/>
          <w:bCs/>
          <w:strike/>
          <w:color w:val="auto"/>
          <w:lang w:eastAsia="zh-CN"/>
        </w:rPr>
        <w:t>3.5资格审查资料（适用于已进行资格预审的）</w:t>
      </w:r>
    </w:p>
    <w:p w14:paraId="0BB216E5">
      <w:pPr>
        <w:pStyle w:val="2"/>
        <w:spacing w:after="240" w:line="360" w:lineRule="auto"/>
        <w:ind w:left="0" w:firstLine="480" w:firstLineChars="200"/>
        <w:rPr>
          <w:strike/>
          <w:color w:val="auto"/>
          <w:sz w:val="24"/>
          <w:szCs w:val="24"/>
          <w:lang w:eastAsia="zh-CN"/>
        </w:rPr>
      </w:pPr>
      <w:r>
        <w:rPr>
          <w:strike/>
          <w:color w:val="auto"/>
          <w:sz w:val="24"/>
          <w:szCs w:val="24"/>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14:paraId="3056B908">
      <w:pPr>
        <w:pStyle w:val="6"/>
        <w:spacing w:after="240"/>
        <w:ind w:right="44"/>
        <w:rPr>
          <w:b/>
          <w:bCs/>
          <w:color w:val="auto"/>
          <w:lang w:eastAsia="zh-CN"/>
        </w:rPr>
      </w:pPr>
      <w:r>
        <w:rPr>
          <w:b/>
          <w:bCs/>
          <w:color w:val="auto"/>
          <w:lang w:eastAsia="zh-CN"/>
        </w:rPr>
        <w:t>3.5资格审查资料（适用于未进行资格预审的）</w:t>
      </w:r>
    </w:p>
    <w:p w14:paraId="57BDAFD5">
      <w:pPr>
        <w:pStyle w:val="2"/>
        <w:spacing w:line="360" w:lineRule="auto"/>
        <w:ind w:firstLine="480" w:firstLineChars="200"/>
        <w:rPr>
          <w:rFonts w:hint="default" w:ascii="宋体" w:hAnsi="宋体" w:eastAsia="宋体" w:cs="Times New Roman"/>
          <w:color w:val="auto"/>
          <w:sz w:val="24"/>
          <w:szCs w:val="24"/>
          <w:highlight w:val="none"/>
          <w:u w:val="none"/>
          <w:lang w:eastAsia="zh-CN"/>
        </w:rPr>
      </w:pPr>
      <w:r>
        <w:rPr>
          <w:rFonts w:hint="default" w:ascii="宋体" w:hAnsi="宋体" w:eastAsia="宋体" w:cs="Times New Roman"/>
          <w:color w:val="auto"/>
          <w:sz w:val="24"/>
          <w:szCs w:val="24"/>
          <w:highlight w:val="none"/>
          <w:u w:val="none"/>
          <w:lang w:eastAsia="zh-CN"/>
        </w:rPr>
        <w:t>3.5.1</w:t>
      </w:r>
      <w:r>
        <w:rPr>
          <w:rFonts w:hint="default" w:ascii="宋体" w:hAnsi="宋体" w:eastAsia="宋体" w:cs="Times New Roman"/>
          <w:color w:val="auto"/>
          <w:sz w:val="24"/>
          <w:szCs w:val="24"/>
          <w:highlight w:val="none"/>
          <w:u w:val="none"/>
          <w:lang w:val="en-US" w:eastAsia="zh-CN"/>
        </w:rPr>
        <w:t>投标人应按招标公告要求第3点“投标人资格要求”提供资格审查资料，</w:t>
      </w:r>
      <w:r>
        <w:rPr>
          <w:rFonts w:hint="default" w:ascii="宋体" w:hAnsi="宋体" w:eastAsia="宋体" w:cs="Times New Roman"/>
          <w:color w:val="auto"/>
          <w:sz w:val="24"/>
          <w:szCs w:val="24"/>
          <w:highlight w:val="none"/>
          <w:u w:val="none"/>
          <w:lang w:eastAsia="zh-CN"/>
        </w:rPr>
        <w:t>以证明其满足本章第1.4款规定的</w:t>
      </w:r>
      <w:r>
        <w:rPr>
          <w:rFonts w:hint="default" w:ascii="宋体" w:hAnsi="宋体" w:eastAsia="宋体" w:cs="Times New Roman"/>
          <w:color w:val="auto"/>
          <w:sz w:val="24"/>
          <w:szCs w:val="24"/>
          <w:highlight w:val="none"/>
          <w:u w:val="none"/>
          <w:lang w:val="en-US" w:eastAsia="zh-CN"/>
        </w:rPr>
        <w:t>要求</w:t>
      </w:r>
      <w:r>
        <w:rPr>
          <w:rFonts w:hint="default" w:ascii="宋体" w:hAnsi="宋体" w:eastAsia="宋体" w:cs="Times New Roman"/>
          <w:color w:val="auto"/>
          <w:sz w:val="24"/>
          <w:szCs w:val="24"/>
          <w:highlight w:val="none"/>
          <w:u w:val="none"/>
          <w:lang w:eastAsia="zh-CN"/>
        </w:rPr>
        <w:t>。</w:t>
      </w:r>
    </w:p>
    <w:p w14:paraId="582AD826">
      <w:pPr>
        <w:pStyle w:val="2"/>
        <w:spacing w:line="360" w:lineRule="auto"/>
        <w:ind w:firstLine="480" w:firstLineChars="200"/>
        <w:rPr>
          <w:rFonts w:ascii="宋体" w:hAnsi="宋体" w:eastAsia="宋体" w:cs="Times New Roman"/>
          <w:color w:val="auto"/>
          <w:sz w:val="24"/>
          <w:szCs w:val="24"/>
          <w:highlight w:val="none"/>
          <w:u w:val="none"/>
          <w:lang w:eastAsia="zh-CN"/>
        </w:rPr>
      </w:pPr>
      <w:r>
        <w:rPr>
          <w:rFonts w:hint="default" w:ascii="宋体" w:hAnsi="宋体" w:eastAsia="宋体" w:cs="Times New Roman"/>
          <w:color w:val="auto"/>
          <w:sz w:val="24"/>
          <w:szCs w:val="24"/>
          <w:highlight w:val="none"/>
          <w:u w:val="none"/>
          <w:lang w:eastAsia="zh-CN"/>
        </w:rPr>
        <w:t xml:space="preserve">3.5.2本项目采用电子化资格后审，由评标委员会负责对投标人的资格进行审查，评标时只对通过资格审查的投标人进行下一阶段的评审。     </w:t>
      </w:r>
    </w:p>
    <w:p w14:paraId="2FDCBB6B">
      <w:pPr>
        <w:pStyle w:val="2"/>
        <w:spacing w:line="360" w:lineRule="auto"/>
        <w:ind w:firstLine="480"/>
        <w:rPr>
          <w:rFonts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u w:val="none"/>
          <w:lang w:eastAsia="zh-CN"/>
        </w:rPr>
        <w:t>3.5.3资审合格后，投标人的资格发生变化而不满足投标人合格条件，在发出中标通知书前，资格问题仍未解决的，招标人将取消其中标资格。</w:t>
      </w:r>
    </w:p>
    <w:p w14:paraId="089A1B28">
      <w:pPr>
        <w:ind w:firstLine="480" w:firstLineChars="200"/>
        <w:rPr>
          <w:color w:val="auto"/>
          <w:sz w:val="24"/>
          <w:szCs w:val="24"/>
          <w:lang w:eastAsia="zh-CN"/>
        </w:rPr>
      </w:pPr>
    </w:p>
    <w:p w14:paraId="2F7BAFB1">
      <w:pPr>
        <w:pStyle w:val="6"/>
        <w:spacing w:after="240"/>
        <w:ind w:right="44"/>
        <w:rPr>
          <w:b/>
          <w:bCs/>
          <w:color w:val="auto"/>
          <w:lang w:eastAsia="zh-CN"/>
        </w:rPr>
      </w:pPr>
      <w:r>
        <w:rPr>
          <w:b/>
          <w:bCs/>
          <w:color w:val="auto"/>
          <w:lang w:eastAsia="zh-CN"/>
        </w:rPr>
        <w:t>3.6备选投标方案</w:t>
      </w:r>
    </w:p>
    <w:p w14:paraId="413D1535">
      <w:pPr>
        <w:pStyle w:val="2"/>
        <w:spacing w:line="360" w:lineRule="auto"/>
        <w:ind w:left="0" w:firstLine="480" w:firstLineChars="200"/>
        <w:rPr>
          <w:color w:val="auto"/>
          <w:sz w:val="24"/>
          <w:szCs w:val="24"/>
          <w:lang w:eastAsia="zh-CN"/>
        </w:rPr>
      </w:pPr>
      <w:r>
        <w:rPr>
          <w:color w:val="auto"/>
          <w:sz w:val="24"/>
          <w:szCs w:val="24"/>
          <w:lang w:eastAsia="zh-CN"/>
        </w:rPr>
        <w:t>3.6.1除投标人须知前附表规定允许外，投标人不得递交备选投标方案，否则其投标将被否决。</w:t>
      </w:r>
    </w:p>
    <w:p w14:paraId="0CCEEEFD">
      <w:pPr>
        <w:pStyle w:val="2"/>
        <w:spacing w:line="360" w:lineRule="auto"/>
        <w:ind w:left="0" w:firstLine="480" w:firstLineChars="200"/>
        <w:rPr>
          <w:color w:val="auto"/>
          <w:sz w:val="24"/>
          <w:szCs w:val="24"/>
          <w:lang w:eastAsia="zh-CN"/>
        </w:rPr>
      </w:pPr>
      <w:r>
        <w:rPr>
          <w:color w:val="auto"/>
          <w:sz w:val="24"/>
          <w:szCs w:val="24"/>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DF8025B">
      <w:pPr>
        <w:pStyle w:val="2"/>
        <w:spacing w:after="240" w:line="360" w:lineRule="auto"/>
        <w:ind w:left="0" w:firstLine="480" w:firstLineChars="200"/>
        <w:rPr>
          <w:color w:val="auto"/>
          <w:sz w:val="24"/>
          <w:szCs w:val="24"/>
          <w:lang w:eastAsia="zh-CN"/>
        </w:rPr>
      </w:pPr>
      <w:r>
        <w:rPr>
          <w:color w:val="auto"/>
          <w:sz w:val="24"/>
          <w:szCs w:val="24"/>
          <w:lang w:eastAsia="zh-CN"/>
        </w:rPr>
        <w:t>3.6.3投标人提供两个或两个以上投标报价，或者在投标文件中提供一个报价，但同时提供两个或两个以上设计方案的，视为提供备选方案。</w:t>
      </w:r>
    </w:p>
    <w:p w14:paraId="6C762F87">
      <w:pPr>
        <w:pStyle w:val="6"/>
        <w:spacing w:after="240"/>
        <w:ind w:right="44"/>
        <w:rPr>
          <w:b/>
          <w:bCs/>
          <w:color w:val="auto"/>
          <w:lang w:eastAsia="zh-CN"/>
        </w:rPr>
      </w:pPr>
      <w:r>
        <w:rPr>
          <w:b/>
          <w:bCs/>
          <w:color w:val="auto"/>
          <w:lang w:eastAsia="zh-CN"/>
        </w:rPr>
        <w:t>3.7投标文件的编制</w:t>
      </w:r>
    </w:p>
    <w:p w14:paraId="3F38ACA1">
      <w:pPr>
        <w:pStyle w:val="2"/>
        <w:spacing w:line="360" w:lineRule="auto"/>
        <w:ind w:left="0" w:firstLine="480" w:firstLineChars="200"/>
        <w:rPr>
          <w:color w:val="auto"/>
          <w:sz w:val="24"/>
          <w:szCs w:val="24"/>
          <w:lang w:eastAsia="zh-CN"/>
        </w:rPr>
      </w:pPr>
      <w:r>
        <w:rPr>
          <w:color w:val="auto"/>
          <w:sz w:val="24"/>
          <w:szCs w:val="24"/>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24FB8AD9">
      <w:pPr>
        <w:pStyle w:val="2"/>
        <w:spacing w:line="360" w:lineRule="auto"/>
        <w:ind w:left="0" w:firstLine="480" w:firstLineChars="200"/>
        <w:rPr>
          <w:color w:val="auto"/>
          <w:sz w:val="24"/>
          <w:szCs w:val="24"/>
          <w:lang w:eastAsia="zh-CN"/>
        </w:rPr>
      </w:pPr>
      <w:r>
        <w:rPr>
          <w:color w:val="auto"/>
          <w:sz w:val="24"/>
          <w:szCs w:val="24"/>
          <w:lang w:eastAsia="zh-CN"/>
        </w:rPr>
        <w:t>3.7.2投标文件应当对招标文件有关</w:t>
      </w:r>
      <w:r>
        <w:rPr>
          <w:color w:val="auto"/>
          <w:sz w:val="24"/>
          <w:szCs w:val="24"/>
          <w:u w:val="single"/>
          <w:lang w:eastAsia="zh-CN"/>
        </w:rPr>
        <w:t>设计</w:t>
      </w:r>
      <w:r>
        <w:rPr>
          <w:color w:val="auto"/>
          <w:sz w:val="24"/>
          <w:szCs w:val="24"/>
          <w:lang w:eastAsia="zh-CN"/>
        </w:rPr>
        <w:t>服务期限、投标有效期、发包人要求、招标范围等实质性内容作出响应。</w:t>
      </w:r>
    </w:p>
    <w:p w14:paraId="0B3795CC">
      <w:pPr>
        <w:pStyle w:val="2"/>
        <w:spacing w:line="360" w:lineRule="auto"/>
        <w:ind w:left="0" w:firstLine="480" w:firstLineChars="200"/>
        <w:rPr>
          <w:strike/>
          <w:color w:val="auto"/>
          <w:sz w:val="24"/>
          <w:szCs w:val="24"/>
          <w:lang w:eastAsia="zh-CN"/>
        </w:rPr>
      </w:pPr>
      <w:r>
        <w:rPr>
          <w:strike/>
          <w:color w:val="auto"/>
          <w:sz w:val="24"/>
          <w:szCs w:val="24"/>
          <w:lang w:eastAsia="zh-CN"/>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6C0A0710">
      <w:pPr>
        <w:pStyle w:val="2"/>
        <w:spacing w:line="360" w:lineRule="auto"/>
        <w:ind w:left="0" w:firstLine="480" w:firstLineChars="200"/>
        <w:rPr>
          <w:strike/>
          <w:color w:val="auto"/>
          <w:sz w:val="24"/>
          <w:szCs w:val="24"/>
          <w:lang w:eastAsia="zh-CN"/>
        </w:rPr>
      </w:pPr>
      <w:r>
        <w:rPr>
          <w:strike/>
          <w:color w:val="auto"/>
          <w:sz w:val="24"/>
          <w:szCs w:val="24"/>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7056FB56">
      <w:pPr>
        <w:pStyle w:val="2"/>
        <w:spacing w:line="360" w:lineRule="auto"/>
        <w:ind w:left="0" w:firstLine="480" w:firstLineChars="200"/>
        <w:rPr>
          <w:strike/>
          <w:color w:val="auto"/>
          <w:sz w:val="24"/>
          <w:szCs w:val="24"/>
          <w:lang w:eastAsia="zh-CN"/>
        </w:rPr>
      </w:pPr>
      <w:r>
        <w:rPr>
          <w:strike/>
          <w:color w:val="auto"/>
          <w:sz w:val="24"/>
          <w:szCs w:val="24"/>
          <w:lang w:eastAsia="zh-CN"/>
        </w:rPr>
        <w:t>（3）投标文件的正本与副本应分别装订，并编制目录，投标文件需分册装订的，具体分册装订要求见投标人须知前附表规定。</w:t>
      </w:r>
    </w:p>
    <w:p w14:paraId="621F6944">
      <w:pPr>
        <w:pStyle w:val="2"/>
        <w:spacing w:line="360" w:lineRule="auto"/>
        <w:ind w:left="0" w:firstLine="480" w:firstLineChars="200"/>
        <w:rPr>
          <w:color w:val="auto"/>
          <w:sz w:val="24"/>
          <w:szCs w:val="24"/>
          <w:lang w:eastAsia="zh-CN"/>
        </w:rPr>
      </w:pPr>
      <w:r>
        <w:rPr>
          <w:color w:val="auto"/>
          <w:sz w:val="24"/>
          <w:szCs w:val="24"/>
          <w:lang w:eastAsia="zh-CN"/>
        </w:rPr>
        <w:t>3.7.3（B）投标文件全部采用电子文档，除投标人须知前附表另有规定外，投标文件所附证书证件均为原件扫描件，并采用单位和个人数字证书，按招标文件要求在相应位置加盖电子印章</w:t>
      </w:r>
      <w:r>
        <w:rPr>
          <w:rFonts w:hint="eastAsia"/>
          <w:b/>
          <w:color w:val="auto"/>
          <w:sz w:val="24"/>
          <w:szCs w:val="24"/>
          <w:u w:val="single"/>
          <w:lang w:eastAsia="zh-CN"/>
        </w:rPr>
        <w:t>（技术文件除外）</w:t>
      </w:r>
      <w:r>
        <w:rPr>
          <w:color w:val="auto"/>
          <w:sz w:val="24"/>
          <w:szCs w:val="24"/>
          <w:lang w:eastAsia="zh-CN"/>
        </w:rPr>
        <w:t>。由投标人的法定代表人签字或加盖电子印章的，应附法定代表人身份证明，由代理人签字或加盖电子印章的，应附由法定代表人签署的授权委托书。签字或盖章的具体要求见投标人须知前附表。</w:t>
      </w:r>
      <w:bookmarkStart w:id="13" w:name="_Toc25137985"/>
    </w:p>
    <w:p w14:paraId="2C263D11">
      <w:pPr>
        <w:pStyle w:val="2"/>
        <w:spacing w:after="240" w:line="360" w:lineRule="auto"/>
        <w:ind w:left="0" w:firstLine="480" w:firstLineChars="200"/>
        <w:rPr>
          <w:color w:val="auto"/>
          <w:sz w:val="24"/>
          <w:szCs w:val="24"/>
          <w:lang w:eastAsia="zh-CN"/>
        </w:rPr>
      </w:pPr>
      <w:r>
        <w:rPr>
          <w:color w:val="auto"/>
          <w:sz w:val="24"/>
          <w:szCs w:val="24"/>
          <w:u w:val="single"/>
          <w:lang w:eastAsia="zh-CN"/>
        </w:rPr>
        <w:t>3.7.4</w:t>
      </w:r>
      <w:r>
        <w:rPr>
          <w:rFonts w:hint="eastAsia"/>
          <w:color w:val="auto"/>
          <w:sz w:val="24"/>
          <w:szCs w:val="24"/>
          <w:u w:val="single"/>
          <w:lang w:eastAsia="zh-CN"/>
        </w:rPr>
        <w:t>技术标中不能辨认出投标人或其专业技术人员的身份。不在设计方案上标注或做任何可以辨认投标人及专业技术人员身份的名称、印章、商标、图形等记认符号</w:t>
      </w:r>
      <w:r>
        <w:rPr>
          <w:rFonts w:hint="eastAsia"/>
          <w:color w:val="auto"/>
          <w:sz w:val="24"/>
          <w:szCs w:val="24"/>
          <w:lang w:eastAsia="zh-CN"/>
        </w:rPr>
        <w:t>。</w:t>
      </w:r>
    </w:p>
    <w:p w14:paraId="15330D04">
      <w:pPr>
        <w:pStyle w:val="5"/>
        <w:spacing w:after="240" w:line="443" w:lineRule="exact"/>
        <w:ind w:right="44"/>
        <w:rPr>
          <w:rFonts w:ascii="宋体" w:hAnsi="宋体" w:eastAsia="宋体"/>
          <w:color w:val="auto"/>
          <w:lang w:eastAsia="zh-CN"/>
        </w:rPr>
      </w:pPr>
      <w:bookmarkStart w:id="14" w:name="_Toc25152735"/>
      <w:r>
        <w:rPr>
          <w:rFonts w:ascii="宋体" w:hAnsi="宋体" w:eastAsia="宋体"/>
          <w:color w:val="auto"/>
          <w:lang w:eastAsia="zh-CN"/>
        </w:rPr>
        <w:t>4. 投标</w:t>
      </w:r>
      <w:bookmarkEnd w:id="13"/>
      <w:bookmarkEnd w:id="14"/>
    </w:p>
    <w:p w14:paraId="0170FD69">
      <w:pPr>
        <w:pStyle w:val="6"/>
        <w:spacing w:after="240"/>
        <w:ind w:right="44"/>
        <w:rPr>
          <w:b/>
          <w:bCs/>
          <w:color w:val="auto"/>
          <w:lang w:eastAsia="zh-CN"/>
        </w:rPr>
      </w:pPr>
      <w:r>
        <w:rPr>
          <w:b/>
          <w:bCs/>
          <w:color w:val="auto"/>
          <w:lang w:eastAsia="zh-CN"/>
        </w:rPr>
        <w:t>4.1投标文件的密封和标记</w:t>
      </w:r>
    </w:p>
    <w:p w14:paraId="3F249F51">
      <w:pPr>
        <w:pStyle w:val="2"/>
        <w:spacing w:line="360" w:lineRule="auto"/>
        <w:ind w:left="0" w:firstLine="480" w:firstLineChars="200"/>
        <w:rPr>
          <w:strike/>
          <w:color w:val="auto"/>
          <w:sz w:val="24"/>
          <w:szCs w:val="24"/>
          <w:lang w:eastAsia="zh-CN"/>
        </w:rPr>
      </w:pPr>
      <w:r>
        <w:rPr>
          <w:strike/>
          <w:color w:val="auto"/>
          <w:sz w:val="24"/>
          <w:szCs w:val="24"/>
          <w:lang w:eastAsia="zh-CN"/>
        </w:rPr>
        <w:t>4.1.1（A）投标文件应密封包装，并在封套的封口处加盖投标人单位章或由投标人的法定代表人或其授权的代理人签字。</w:t>
      </w:r>
    </w:p>
    <w:p w14:paraId="5B7E1DBA">
      <w:pPr>
        <w:pStyle w:val="2"/>
        <w:spacing w:line="360" w:lineRule="auto"/>
        <w:ind w:left="0" w:firstLine="480" w:firstLineChars="200"/>
        <w:rPr>
          <w:color w:val="auto"/>
          <w:sz w:val="24"/>
          <w:szCs w:val="24"/>
          <w:lang w:eastAsia="zh-CN"/>
        </w:rPr>
      </w:pPr>
      <w:r>
        <w:rPr>
          <w:color w:val="auto"/>
          <w:sz w:val="24"/>
          <w:szCs w:val="24"/>
          <w:lang w:eastAsia="zh-CN"/>
        </w:rPr>
        <w:t>4.1.1（B）投标人应当按照招标文件和电子招标投标交易平台的要求加密投标文件，具体要求见投标人须知前附表。</w:t>
      </w:r>
    </w:p>
    <w:p w14:paraId="25C1F05A">
      <w:pPr>
        <w:pStyle w:val="2"/>
        <w:spacing w:line="360" w:lineRule="auto"/>
        <w:ind w:left="0" w:firstLine="480" w:firstLineChars="200"/>
        <w:rPr>
          <w:color w:val="auto"/>
          <w:sz w:val="24"/>
          <w:szCs w:val="24"/>
          <w:lang w:eastAsia="zh-CN"/>
        </w:rPr>
      </w:pPr>
      <w:r>
        <w:rPr>
          <w:color w:val="auto"/>
          <w:sz w:val="24"/>
          <w:szCs w:val="24"/>
          <w:lang w:eastAsia="zh-CN"/>
        </w:rPr>
        <w:t>4.1.2投标文件</w:t>
      </w:r>
      <w:r>
        <w:rPr>
          <w:rFonts w:hint="eastAsia"/>
          <w:b/>
          <w:color w:val="auto"/>
          <w:sz w:val="24"/>
          <w:szCs w:val="24"/>
          <w:u w:val="single"/>
          <w:lang w:eastAsia="zh-CN"/>
        </w:rPr>
        <w:t>备用光盘</w:t>
      </w:r>
      <w:r>
        <w:rPr>
          <w:color w:val="auto"/>
          <w:sz w:val="24"/>
          <w:szCs w:val="24"/>
          <w:lang w:eastAsia="zh-CN"/>
        </w:rPr>
        <w:t>封套上应写明的内容见投标人须知前附表。</w:t>
      </w:r>
    </w:p>
    <w:p w14:paraId="69AC7E80">
      <w:pPr>
        <w:pStyle w:val="2"/>
        <w:spacing w:after="240" w:line="360" w:lineRule="auto"/>
        <w:ind w:left="0" w:firstLine="480" w:firstLineChars="200"/>
        <w:rPr>
          <w:color w:val="auto"/>
          <w:sz w:val="24"/>
          <w:szCs w:val="24"/>
          <w:lang w:eastAsia="zh-CN"/>
        </w:rPr>
      </w:pPr>
      <w:r>
        <w:rPr>
          <w:color w:val="auto"/>
          <w:sz w:val="24"/>
          <w:szCs w:val="24"/>
          <w:lang w:eastAsia="zh-CN"/>
        </w:rPr>
        <w:t>4.1.3未按本章第 4.1.1项要求密封的投标文件，招标人将予以拒收。</w:t>
      </w:r>
    </w:p>
    <w:p w14:paraId="22FD2B99">
      <w:pPr>
        <w:pStyle w:val="6"/>
        <w:spacing w:after="240"/>
        <w:ind w:right="44"/>
        <w:rPr>
          <w:b/>
          <w:bCs/>
          <w:color w:val="auto"/>
          <w:lang w:eastAsia="zh-CN"/>
        </w:rPr>
      </w:pPr>
      <w:r>
        <w:rPr>
          <w:b/>
          <w:bCs/>
          <w:color w:val="auto"/>
          <w:lang w:eastAsia="zh-CN"/>
        </w:rPr>
        <w:t>4.2投标文件的递交</w:t>
      </w:r>
    </w:p>
    <w:p w14:paraId="1D621324">
      <w:pPr>
        <w:pStyle w:val="2"/>
        <w:spacing w:line="360" w:lineRule="auto"/>
        <w:ind w:left="0" w:firstLine="480" w:firstLineChars="200"/>
        <w:rPr>
          <w:color w:val="auto"/>
          <w:sz w:val="24"/>
          <w:szCs w:val="24"/>
          <w:lang w:eastAsia="zh-CN"/>
        </w:rPr>
      </w:pPr>
      <w:r>
        <w:rPr>
          <w:color w:val="auto"/>
          <w:sz w:val="24"/>
          <w:szCs w:val="24"/>
          <w:lang w:eastAsia="zh-CN"/>
        </w:rPr>
        <w:t>4.2.1投标人应在投标人须知前附表规定的投标截止时间前递交投标文件。</w:t>
      </w:r>
    </w:p>
    <w:p w14:paraId="3FF9E62D">
      <w:pPr>
        <w:pStyle w:val="2"/>
        <w:spacing w:line="360" w:lineRule="auto"/>
        <w:ind w:left="0" w:firstLine="480" w:firstLineChars="200"/>
        <w:rPr>
          <w:strike/>
          <w:color w:val="auto"/>
          <w:sz w:val="24"/>
          <w:szCs w:val="24"/>
          <w:lang w:eastAsia="zh-CN"/>
        </w:rPr>
      </w:pPr>
      <w:r>
        <w:rPr>
          <w:strike/>
          <w:color w:val="auto"/>
          <w:sz w:val="24"/>
          <w:szCs w:val="24"/>
          <w:lang w:eastAsia="zh-CN"/>
        </w:rPr>
        <w:t>4.2.2（A）投标人递交投标文件的地点：见投标人须知前附表。</w:t>
      </w:r>
    </w:p>
    <w:p w14:paraId="314C0D49">
      <w:pPr>
        <w:pStyle w:val="2"/>
        <w:spacing w:line="360" w:lineRule="auto"/>
        <w:ind w:left="0" w:firstLine="480" w:firstLineChars="200"/>
        <w:rPr>
          <w:color w:val="auto"/>
          <w:sz w:val="24"/>
          <w:szCs w:val="24"/>
          <w:lang w:eastAsia="zh-CN"/>
        </w:rPr>
      </w:pPr>
      <w:r>
        <w:rPr>
          <w:color w:val="auto"/>
          <w:sz w:val="24"/>
          <w:szCs w:val="24"/>
          <w:lang w:eastAsia="zh-CN"/>
        </w:rPr>
        <w:t>4.2.2（B）投标人通过下载招标文件的电子招标投标交易平台递交电子投标文件。</w:t>
      </w:r>
    </w:p>
    <w:p w14:paraId="0BBAFDE8">
      <w:pPr>
        <w:pStyle w:val="2"/>
        <w:spacing w:line="360" w:lineRule="auto"/>
        <w:ind w:left="0" w:firstLine="480" w:firstLineChars="200"/>
        <w:rPr>
          <w:color w:val="auto"/>
          <w:sz w:val="24"/>
          <w:szCs w:val="24"/>
          <w:lang w:eastAsia="zh-CN"/>
        </w:rPr>
      </w:pPr>
      <w:r>
        <w:rPr>
          <w:color w:val="auto"/>
          <w:sz w:val="24"/>
          <w:szCs w:val="24"/>
          <w:lang w:eastAsia="zh-CN"/>
        </w:rPr>
        <w:t>4.2.3除投标人须知前附表另有规定外，投标人所递交的投标文件不予退还。</w:t>
      </w:r>
    </w:p>
    <w:p w14:paraId="4B2D0C97">
      <w:pPr>
        <w:pStyle w:val="2"/>
        <w:spacing w:line="360" w:lineRule="auto"/>
        <w:ind w:left="0" w:firstLine="480" w:firstLineChars="200"/>
        <w:rPr>
          <w:strike/>
          <w:color w:val="auto"/>
          <w:sz w:val="24"/>
          <w:szCs w:val="24"/>
          <w:lang w:eastAsia="zh-CN"/>
        </w:rPr>
      </w:pPr>
      <w:r>
        <w:rPr>
          <w:strike/>
          <w:color w:val="auto"/>
          <w:sz w:val="24"/>
          <w:szCs w:val="24"/>
          <w:lang w:eastAsia="zh-CN"/>
        </w:rPr>
        <w:t>4.2.4（A）招标人收到投标文件后，向投标人出具签收凭证。</w:t>
      </w:r>
    </w:p>
    <w:p w14:paraId="0D5E84B9">
      <w:pPr>
        <w:pStyle w:val="2"/>
        <w:spacing w:line="360" w:lineRule="auto"/>
        <w:ind w:left="0" w:firstLine="480" w:firstLineChars="200"/>
        <w:rPr>
          <w:color w:val="auto"/>
          <w:sz w:val="24"/>
          <w:szCs w:val="24"/>
          <w:lang w:eastAsia="zh-CN"/>
        </w:rPr>
      </w:pPr>
      <w:r>
        <w:rPr>
          <w:color w:val="auto"/>
          <w:sz w:val="24"/>
          <w:szCs w:val="24"/>
          <w:lang w:eastAsia="zh-CN"/>
        </w:rPr>
        <w:t>4.2.4（B）投标人完成电子投标文件上传后，电子招标投标交易平台即时向投标人发出递交回执通知。递交时间以递交回执通知载明的传输完成时间为准。</w:t>
      </w:r>
    </w:p>
    <w:p w14:paraId="6219A544">
      <w:pPr>
        <w:pStyle w:val="2"/>
        <w:spacing w:line="360" w:lineRule="auto"/>
        <w:ind w:left="0" w:firstLine="480" w:firstLineChars="200"/>
        <w:rPr>
          <w:strike/>
          <w:color w:val="auto"/>
          <w:sz w:val="24"/>
          <w:szCs w:val="24"/>
          <w:lang w:eastAsia="zh-CN"/>
        </w:rPr>
      </w:pPr>
      <w:r>
        <w:rPr>
          <w:strike/>
          <w:color w:val="auto"/>
          <w:sz w:val="24"/>
          <w:szCs w:val="24"/>
          <w:lang w:eastAsia="zh-CN"/>
        </w:rPr>
        <w:t>4.2.5（A）逾期送达的投标文件，招标人将予以拒收。</w:t>
      </w:r>
    </w:p>
    <w:p w14:paraId="0FFD86A5">
      <w:pPr>
        <w:pStyle w:val="2"/>
        <w:spacing w:after="240" w:line="360" w:lineRule="auto"/>
        <w:ind w:left="0" w:firstLine="480" w:firstLineChars="200"/>
        <w:rPr>
          <w:color w:val="auto"/>
          <w:sz w:val="24"/>
          <w:szCs w:val="24"/>
          <w:lang w:eastAsia="zh-CN"/>
        </w:rPr>
      </w:pPr>
      <w:r>
        <w:rPr>
          <w:color w:val="auto"/>
          <w:sz w:val="24"/>
          <w:szCs w:val="24"/>
          <w:lang w:eastAsia="zh-CN"/>
        </w:rPr>
        <w:t>4.2.5（B）逾期送达的投标文件，电子招标投标交易平台将予以拒收。</w:t>
      </w:r>
    </w:p>
    <w:p w14:paraId="412ED305">
      <w:pPr>
        <w:pStyle w:val="6"/>
        <w:spacing w:after="240"/>
        <w:ind w:right="44"/>
        <w:rPr>
          <w:b/>
          <w:bCs/>
          <w:color w:val="auto"/>
          <w:lang w:eastAsia="zh-CN"/>
        </w:rPr>
      </w:pPr>
      <w:r>
        <w:rPr>
          <w:b/>
          <w:bCs/>
          <w:color w:val="auto"/>
          <w:lang w:eastAsia="zh-CN"/>
        </w:rPr>
        <w:t>4.3投标文件的修改与撤回</w:t>
      </w:r>
    </w:p>
    <w:p w14:paraId="7E57A334">
      <w:pPr>
        <w:pStyle w:val="2"/>
        <w:spacing w:line="360" w:lineRule="auto"/>
        <w:ind w:left="0" w:firstLine="480" w:firstLineChars="200"/>
        <w:rPr>
          <w:color w:val="auto"/>
          <w:sz w:val="24"/>
          <w:szCs w:val="24"/>
          <w:lang w:eastAsia="zh-CN"/>
        </w:rPr>
      </w:pPr>
      <w:r>
        <w:rPr>
          <w:color w:val="auto"/>
          <w:sz w:val="24"/>
          <w:szCs w:val="24"/>
          <w:lang w:eastAsia="zh-CN"/>
        </w:rPr>
        <w:t>4.3.1在本章第 4.2.1项规定的投标截止时间前，投标人可以修改或撤回已递交的投标文件，但应以书面形式通知招标人。</w:t>
      </w:r>
    </w:p>
    <w:p w14:paraId="660684F9">
      <w:pPr>
        <w:pStyle w:val="2"/>
        <w:spacing w:line="360" w:lineRule="auto"/>
        <w:ind w:left="0" w:firstLine="480" w:firstLineChars="200"/>
        <w:rPr>
          <w:strike/>
          <w:color w:val="auto"/>
          <w:sz w:val="24"/>
          <w:szCs w:val="24"/>
          <w:lang w:eastAsia="zh-CN"/>
        </w:rPr>
      </w:pPr>
      <w:r>
        <w:rPr>
          <w:strike/>
          <w:color w:val="auto"/>
          <w:sz w:val="24"/>
          <w:szCs w:val="24"/>
          <w:lang w:eastAsia="zh-CN"/>
        </w:rPr>
        <w:t>4.3.2（A）投标人修改或撤回已递交投标文件的书面通知应按照本章第3.7.3（A）项的要求签字或盖章。招标人收到书面通知后，向投标人出具签收凭证。</w:t>
      </w:r>
    </w:p>
    <w:p w14:paraId="5A474CCA">
      <w:pPr>
        <w:pStyle w:val="2"/>
        <w:spacing w:line="360" w:lineRule="auto"/>
        <w:ind w:left="0" w:firstLine="480" w:firstLineChars="200"/>
        <w:rPr>
          <w:color w:val="auto"/>
          <w:sz w:val="24"/>
          <w:szCs w:val="24"/>
          <w:lang w:eastAsia="zh-CN"/>
        </w:rPr>
      </w:pPr>
      <w:r>
        <w:rPr>
          <w:color w:val="auto"/>
          <w:sz w:val="24"/>
          <w:szCs w:val="24"/>
          <w:lang w:eastAsia="zh-CN"/>
        </w:rPr>
        <w:t>4.3.2（B）投标人修改或撤回已递交投标文件的通知，应按照本章第3.7.3（B）项的要求加盖电子印章。电子招标投标交易平台收到通知后，即时向投标人发出确认回执通知。</w:t>
      </w:r>
    </w:p>
    <w:p w14:paraId="08CA8B95">
      <w:pPr>
        <w:pStyle w:val="2"/>
        <w:spacing w:line="360" w:lineRule="auto"/>
        <w:ind w:left="0" w:firstLine="480" w:firstLineChars="200"/>
        <w:rPr>
          <w:strike/>
          <w:color w:val="auto"/>
          <w:sz w:val="24"/>
          <w:szCs w:val="24"/>
          <w:lang w:eastAsia="zh-CN"/>
        </w:rPr>
      </w:pPr>
      <w:r>
        <w:rPr>
          <w:strike/>
          <w:color w:val="auto"/>
          <w:sz w:val="24"/>
          <w:szCs w:val="24"/>
          <w:lang w:eastAsia="zh-CN"/>
        </w:rPr>
        <w:t>4.3.3投标人撤回投标文件的，招标人自收到投标人书面撤回通知之日起 5日内退还已收取的投标保证金。</w:t>
      </w:r>
    </w:p>
    <w:p w14:paraId="1F4EABC8">
      <w:pPr>
        <w:pStyle w:val="2"/>
        <w:spacing w:after="240" w:line="360" w:lineRule="auto"/>
        <w:ind w:left="0" w:firstLine="480" w:firstLineChars="200"/>
        <w:rPr>
          <w:color w:val="auto"/>
          <w:sz w:val="24"/>
          <w:szCs w:val="24"/>
          <w:lang w:eastAsia="zh-CN"/>
        </w:rPr>
      </w:pPr>
      <w:r>
        <w:rPr>
          <w:color w:val="auto"/>
          <w:sz w:val="24"/>
          <w:szCs w:val="24"/>
          <w:lang w:eastAsia="zh-CN"/>
        </w:rPr>
        <w:t>4.3.4修改的内容为投标文件的组成部分。修改的投标文件应按照本章第3条、第4条的规定进行编制、密封、标记和递交，并标明“修改”字样。</w:t>
      </w:r>
      <w:bookmarkStart w:id="15" w:name="_Toc25137986"/>
    </w:p>
    <w:p w14:paraId="7A6A567F">
      <w:pPr>
        <w:pStyle w:val="5"/>
        <w:spacing w:after="240" w:line="443" w:lineRule="exact"/>
        <w:ind w:right="44"/>
        <w:rPr>
          <w:rFonts w:ascii="宋体" w:hAnsi="宋体" w:eastAsia="宋体"/>
          <w:color w:val="auto"/>
          <w:lang w:eastAsia="zh-CN"/>
        </w:rPr>
      </w:pPr>
      <w:bookmarkStart w:id="16" w:name="_Toc25152736"/>
      <w:r>
        <w:rPr>
          <w:rFonts w:ascii="宋体" w:hAnsi="宋体" w:eastAsia="宋体"/>
          <w:color w:val="auto"/>
          <w:lang w:eastAsia="zh-CN"/>
        </w:rPr>
        <w:t>5. 开标</w:t>
      </w:r>
      <w:bookmarkEnd w:id="15"/>
      <w:bookmarkEnd w:id="16"/>
    </w:p>
    <w:p w14:paraId="5F0C9888">
      <w:pPr>
        <w:pStyle w:val="6"/>
        <w:spacing w:after="240"/>
        <w:ind w:right="44"/>
        <w:rPr>
          <w:b/>
          <w:bCs/>
          <w:strike/>
          <w:color w:val="auto"/>
          <w:lang w:eastAsia="zh-CN"/>
        </w:rPr>
      </w:pPr>
      <w:r>
        <w:rPr>
          <w:b/>
          <w:bCs/>
          <w:strike/>
          <w:color w:val="auto"/>
          <w:lang w:eastAsia="zh-CN"/>
        </w:rPr>
        <w:t>5.1开标时间和地点（A）</w:t>
      </w:r>
    </w:p>
    <w:p w14:paraId="32118A07">
      <w:pPr>
        <w:pStyle w:val="2"/>
        <w:spacing w:after="240" w:line="360" w:lineRule="auto"/>
        <w:ind w:left="0" w:firstLine="480" w:firstLineChars="200"/>
        <w:rPr>
          <w:strike/>
          <w:color w:val="auto"/>
          <w:sz w:val="24"/>
          <w:szCs w:val="24"/>
          <w:lang w:eastAsia="zh-CN"/>
        </w:rPr>
      </w:pPr>
      <w:r>
        <w:rPr>
          <w:strike/>
          <w:color w:val="auto"/>
          <w:sz w:val="24"/>
          <w:szCs w:val="24"/>
          <w:lang w:eastAsia="zh-CN"/>
        </w:rPr>
        <w:t>招标人在本章第 4.2.1项规定的投标截止时间（开标时间）和投标人须知前附表规定的地点公开开标，并邀请所有投标人的法定代表人或其委托代理人准时参加。</w:t>
      </w:r>
    </w:p>
    <w:p w14:paraId="6815F4F7">
      <w:pPr>
        <w:pStyle w:val="6"/>
        <w:spacing w:after="240"/>
        <w:ind w:right="44"/>
        <w:rPr>
          <w:b/>
          <w:bCs/>
          <w:color w:val="auto"/>
          <w:lang w:eastAsia="zh-CN"/>
        </w:rPr>
      </w:pPr>
      <w:r>
        <w:rPr>
          <w:b/>
          <w:bCs/>
          <w:color w:val="auto"/>
          <w:lang w:eastAsia="zh-CN"/>
        </w:rPr>
        <w:t>5.1开标时间和地点（B）</w:t>
      </w:r>
    </w:p>
    <w:p w14:paraId="201FB839">
      <w:pPr>
        <w:pStyle w:val="2"/>
        <w:spacing w:after="240" w:line="360" w:lineRule="auto"/>
        <w:ind w:left="0" w:firstLine="480" w:firstLineChars="200"/>
        <w:rPr>
          <w:rFonts w:hint="eastAsia"/>
          <w:color w:val="auto"/>
          <w:sz w:val="24"/>
          <w:szCs w:val="24"/>
          <w:u w:val="single"/>
          <w:lang w:eastAsia="zh-CN"/>
        </w:rPr>
      </w:pPr>
      <w:r>
        <w:rPr>
          <w:color w:val="auto"/>
          <w:sz w:val="24"/>
          <w:szCs w:val="24"/>
          <w:lang w:eastAsia="zh-CN"/>
        </w:rPr>
        <w:t>招标人在本章第 4.2.1项规定的投标截止时间（开标时间）,通过电子招标投标交易平台公开开标，</w:t>
      </w:r>
      <w:r>
        <w:rPr>
          <w:rFonts w:hint="eastAsia"/>
          <w:color w:val="auto"/>
          <w:sz w:val="24"/>
          <w:szCs w:val="24"/>
          <w:u w:val="single"/>
          <w:lang w:eastAsia="zh-CN"/>
        </w:rPr>
        <w:t>邀请</w:t>
      </w:r>
      <w:r>
        <w:rPr>
          <w:rFonts w:hint="eastAsia"/>
          <w:color w:val="auto"/>
          <w:spacing w:val="-2"/>
          <w:sz w:val="24"/>
          <w:szCs w:val="24"/>
          <w:u w:val="single"/>
          <w:lang w:eastAsia="zh-CN"/>
        </w:rPr>
        <w:t>所</w:t>
      </w:r>
      <w:r>
        <w:rPr>
          <w:rFonts w:hint="eastAsia"/>
          <w:color w:val="auto"/>
          <w:sz w:val="24"/>
          <w:szCs w:val="24"/>
          <w:u w:val="single"/>
          <w:lang w:eastAsia="zh-CN"/>
        </w:rPr>
        <w:t>有</w:t>
      </w:r>
      <w:r>
        <w:rPr>
          <w:rFonts w:hint="eastAsia"/>
          <w:color w:val="auto"/>
          <w:spacing w:val="-2"/>
          <w:sz w:val="24"/>
          <w:szCs w:val="24"/>
          <w:u w:val="single"/>
          <w:lang w:eastAsia="zh-CN"/>
        </w:rPr>
        <w:t>投</w:t>
      </w:r>
      <w:r>
        <w:rPr>
          <w:rFonts w:hint="eastAsia"/>
          <w:color w:val="auto"/>
          <w:sz w:val="24"/>
          <w:szCs w:val="24"/>
          <w:u w:val="single"/>
          <w:lang w:eastAsia="zh-CN"/>
        </w:rPr>
        <w:t>标</w:t>
      </w:r>
      <w:r>
        <w:rPr>
          <w:rFonts w:hint="eastAsia"/>
          <w:color w:val="auto"/>
          <w:spacing w:val="-2"/>
          <w:sz w:val="24"/>
          <w:szCs w:val="24"/>
          <w:u w:val="single"/>
          <w:lang w:eastAsia="zh-CN"/>
        </w:rPr>
        <w:t>人</w:t>
      </w:r>
      <w:r>
        <w:rPr>
          <w:rFonts w:hint="eastAsia"/>
          <w:color w:val="auto"/>
          <w:sz w:val="24"/>
          <w:szCs w:val="24"/>
          <w:u w:val="single"/>
          <w:lang w:eastAsia="zh-CN"/>
        </w:rPr>
        <w:t>的</w:t>
      </w:r>
      <w:r>
        <w:rPr>
          <w:rFonts w:hint="eastAsia"/>
          <w:color w:val="auto"/>
          <w:spacing w:val="-2"/>
          <w:sz w:val="24"/>
          <w:szCs w:val="24"/>
          <w:u w:val="single"/>
          <w:lang w:eastAsia="zh-CN"/>
        </w:rPr>
        <w:t>法</w:t>
      </w:r>
      <w:r>
        <w:rPr>
          <w:rFonts w:hint="eastAsia"/>
          <w:color w:val="auto"/>
          <w:sz w:val="24"/>
          <w:szCs w:val="24"/>
          <w:u w:val="single"/>
          <w:lang w:eastAsia="zh-CN"/>
        </w:rPr>
        <w:t>定代</w:t>
      </w:r>
      <w:r>
        <w:rPr>
          <w:rFonts w:hint="eastAsia"/>
          <w:color w:val="auto"/>
          <w:spacing w:val="-2"/>
          <w:sz w:val="24"/>
          <w:szCs w:val="24"/>
          <w:u w:val="single"/>
          <w:lang w:eastAsia="zh-CN"/>
        </w:rPr>
        <w:t>表</w:t>
      </w:r>
      <w:r>
        <w:rPr>
          <w:rFonts w:hint="eastAsia"/>
          <w:color w:val="auto"/>
          <w:sz w:val="24"/>
          <w:szCs w:val="24"/>
          <w:u w:val="single"/>
          <w:lang w:eastAsia="zh-CN"/>
        </w:rPr>
        <w:t>人</w:t>
      </w:r>
      <w:r>
        <w:rPr>
          <w:rFonts w:hint="eastAsia"/>
          <w:color w:val="auto"/>
          <w:spacing w:val="-2"/>
          <w:sz w:val="24"/>
          <w:szCs w:val="24"/>
          <w:u w:val="single"/>
          <w:lang w:eastAsia="zh-CN"/>
        </w:rPr>
        <w:t>或</w:t>
      </w:r>
      <w:r>
        <w:rPr>
          <w:rFonts w:hint="eastAsia"/>
          <w:color w:val="auto"/>
          <w:sz w:val="24"/>
          <w:szCs w:val="24"/>
          <w:u w:val="single"/>
          <w:lang w:eastAsia="zh-CN"/>
        </w:rPr>
        <w:t>其</w:t>
      </w:r>
      <w:r>
        <w:rPr>
          <w:rFonts w:hint="eastAsia"/>
          <w:color w:val="auto"/>
          <w:spacing w:val="-2"/>
          <w:sz w:val="24"/>
          <w:szCs w:val="24"/>
          <w:u w:val="single"/>
          <w:lang w:eastAsia="zh-CN"/>
        </w:rPr>
        <w:t>委</w:t>
      </w:r>
      <w:r>
        <w:rPr>
          <w:rFonts w:hint="eastAsia"/>
          <w:color w:val="auto"/>
          <w:sz w:val="24"/>
          <w:szCs w:val="24"/>
          <w:u w:val="single"/>
          <w:lang w:eastAsia="zh-CN"/>
        </w:rPr>
        <w:t>托</w:t>
      </w:r>
      <w:r>
        <w:rPr>
          <w:rFonts w:hint="eastAsia"/>
          <w:color w:val="auto"/>
          <w:spacing w:val="-2"/>
          <w:sz w:val="24"/>
          <w:szCs w:val="24"/>
          <w:u w:val="single"/>
          <w:lang w:eastAsia="zh-CN"/>
        </w:rPr>
        <w:t>代</w:t>
      </w:r>
      <w:r>
        <w:rPr>
          <w:rFonts w:hint="eastAsia"/>
          <w:color w:val="auto"/>
          <w:sz w:val="24"/>
          <w:szCs w:val="24"/>
          <w:u w:val="single"/>
          <w:lang w:eastAsia="zh-CN"/>
        </w:rPr>
        <w:t>理</w:t>
      </w:r>
      <w:r>
        <w:rPr>
          <w:rFonts w:hint="eastAsia"/>
          <w:color w:val="auto"/>
          <w:spacing w:val="-2"/>
          <w:sz w:val="24"/>
          <w:szCs w:val="24"/>
          <w:u w:val="single"/>
          <w:lang w:eastAsia="zh-CN"/>
        </w:rPr>
        <w:t>人准</w:t>
      </w:r>
      <w:r>
        <w:rPr>
          <w:rFonts w:hint="eastAsia"/>
          <w:color w:val="auto"/>
          <w:sz w:val="24"/>
          <w:szCs w:val="24"/>
          <w:u w:val="single"/>
          <w:lang w:eastAsia="zh-CN"/>
        </w:rPr>
        <w:t>时</w:t>
      </w:r>
      <w:r>
        <w:rPr>
          <w:rFonts w:hint="eastAsia"/>
          <w:color w:val="auto"/>
          <w:spacing w:val="-2"/>
          <w:sz w:val="24"/>
          <w:szCs w:val="24"/>
          <w:u w:val="single"/>
          <w:lang w:eastAsia="zh-CN"/>
        </w:rPr>
        <w:t>参</w:t>
      </w:r>
      <w:r>
        <w:rPr>
          <w:rFonts w:hint="eastAsia"/>
          <w:color w:val="auto"/>
          <w:sz w:val="24"/>
          <w:szCs w:val="24"/>
          <w:u w:val="single"/>
          <w:lang w:eastAsia="zh-CN"/>
        </w:rPr>
        <w:t>加。投标人可</w:t>
      </w:r>
      <w:r>
        <w:rPr>
          <w:color w:val="auto"/>
          <w:sz w:val="24"/>
          <w:szCs w:val="24"/>
          <w:u w:val="single"/>
          <w:lang w:eastAsia="zh-CN"/>
        </w:rPr>
        <w:t>选择在开标室参</w:t>
      </w:r>
      <w:r>
        <w:rPr>
          <w:rFonts w:hint="eastAsia"/>
          <w:color w:val="auto"/>
          <w:sz w:val="24"/>
          <w:szCs w:val="24"/>
          <w:u w:val="single"/>
          <w:lang w:eastAsia="zh-CN"/>
        </w:rPr>
        <w:t>与现场</w:t>
      </w:r>
      <w:r>
        <w:rPr>
          <w:color w:val="auto"/>
          <w:sz w:val="24"/>
          <w:szCs w:val="24"/>
          <w:u w:val="single"/>
          <w:lang w:eastAsia="zh-CN"/>
        </w:rPr>
        <w:t>开标或</w:t>
      </w:r>
      <w:r>
        <w:rPr>
          <w:rFonts w:hint="eastAsia"/>
          <w:color w:val="auto"/>
          <w:sz w:val="24"/>
          <w:szCs w:val="24"/>
          <w:u w:val="single"/>
          <w:lang w:eastAsia="zh-CN"/>
        </w:rPr>
        <w:t>准时在线参加开标，</w:t>
      </w:r>
      <w:r>
        <w:rPr>
          <w:color w:val="auto"/>
          <w:sz w:val="24"/>
          <w:szCs w:val="24"/>
          <w:u w:val="single"/>
          <w:lang w:eastAsia="zh-CN"/>
        </w:rPr>
        <w:t>也可不参加开标</w:t>
      </w:r>
      <w:r>
        <w:rPr>
          <w:rFonts w:hint="eastAsia"/>
          <w:color w:val="auto"/>
          <w:sz w:val="24"/>
          <w:szCs w:val="24"/>
          <w:u w:val="single"/>
          <w:lang w:eastAsia="zh-CN"/>
        </w:rPr>
        <w:t>。参加</w:t>
      </w:r>
      <w:r>
        <w:rPr>
          <w:color w:val="auto"/>
          <w:sz w:val="24"/>
          <w:szCs w:val="24"/>
          <w:u w:val="single"/>
          <w:lang w:eastAsia="zh-CN"/>
        </w:rPr>
        <w:t>在线开标的投标人登录交易平台实时查看开标</w:t>
      </w:r>
      <w:r>
        <w:rPr>
          <w:rFonts w:hint="eastAsia"/>
          <w:color w:val="auto"/>
          <w:sz w:val="24"/>
          <w:szCs w:val="24"/>
          <w:u w:val="single"/>
          <w:lang w:eastAsia="zh-CN"/>
        </w:rPr>
        <w:t>、</w:t>
      </w:r>
      <w:r>
        <w:rPr>
          <w:color w:val="auto"/>
          <w:sz w:val="24"/>
          <w:szCs w:val="24"/>
          <w:u w:val="single"/>
          <w:lang w:eastAsia="zh-CN"/>
        </w:rPr>
        <w:t>唱标情况</w:t>
      </w:r>
      <w:r>
        <w:rPr>
          <w:rFonts w:hint="eastAsia"/>
          <w:color w:val="auto"/>
          <w:sz w:val="24"/>
          <w:szCs w:val="24"/>
          <w:u w:val="single"/>
          <w:lang w:eastAsia="zh-CN"/>
        </w:rPr>
        <w:t>。</w:t>
      </w:r>
    </w:p>
    <w:p w14:paraId="030945A2">
      <w:pPr>
        <w:pStyle w:val="2"/>
        <w:spacing w:after="240" w:line="360" w:lineRule="auto"/>
        <w:ind w:left="0" w:firstLine="480" w:firstLineChars="200"/>
        <w:rPr>
          <w:rFonts w:hint="eastAsia"/>
          <w:color w:val="auto"/>
          <w:sz w:val="24"/>
          <w:szCs w:val="24"/>
          <w:u w:val="single"/>
          <w:lang w:eastAsia="zh-CN"/>
        </w:rPr>
      </w:pPr>
      <w:r>
        <w:rPr>
          <w:rFonts w:hint="eastAsia"/>
          <w:color w:val="auto"/>
          <w:sz w:val="24"/>
          <w:szCs w:val="24"/>
          <w:u w:val="single"/>
          <w:lang w:eastAsia="zh-CN"/>
        </w:rPr>
        <w:t>若投标人代表对开标过程提出异议，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F468155">
      <w:pPr>
        <w:pStyle w:val="6"/>
        <w:spacing w:after="240"/>
        <w:ind w:right="44"/>
        <w:rPr>
          <w:b/>
          <w:bCs/>
          <w:color w:val="auto"/>
          <w:lang w:eastAsia="zh-CN"/>
        </w:rPr>
      </w:pPr>
      <w:r>
        <w:rPr>
          <w:b/>
          <w:bCs/>
          <w:color w:val="auto"/>
          <w:lang w:eastAsia="zh-CN"/>
        </w:rPr>
        <w:t>5.2开标程序</w:t>
      </w:r>
    </w:p>
    <w:p w14:paraId="5870B351">
      <w:pPr>
        <w:pStyle w:val="2"/>
        <w:spacing w:line="360" w:lineRule="auto"/>
        <w:ind w:left="0" w:firstLine="480" w:firstLineChars="200"/>
        <w:rPr>
          <w:color w:val="auto"/>
          <w:sz w:val="24"/>
          <w:szCs w:val="24"/>
          <w:u w:val="single"/>
          <w:lang w:eastAsia="zh-CN"/>
        </w:rPr>
      </w:pPr>
      <w:r>
        <w:rPr>
          <w:color w:val="auto"/>
          <w:sz w:val="24"/>
          <w:szCs w:val="24"/>
          <w:u w:val="single"/>
          <w:lang w:eastAsia="zh-CN"/>
        </w:rPr>
        <w:t>主持人按下列程序进行开标：</w:t>
      </w:r>
    </w:p>
    <w:p w14:paraId="6391A34B">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（1）宣布开标纪律；</w:t>
      </w:r>
    </w:p>
    <w:p w14:paraId="6BC845FC">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（2）招标代理（招标人）登录交易平台-数字开标系统；</w:t>
      </w:r>
    </w:p>
    <w:p w14:paraId="203D7F95">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（3）宣布开标人、唱标人、记录人、监标人等有关人员姓名；</w:t>
      </w:r>
    </w:p>
    <w:p w14:paraId="64093FF8">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（4）（B）投标人登录交易平台-数字开标系统，输入CA密码对已递交的电子投标文件进行解密，所有投标人需要在招标时设定的投标文件解密截止时间内进行解密，投标文件解密截止时间后不能再进行解密操作；</w:t>
      </w:r>
    </w:p>
    <w:p w14:paraId="16868299">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所有投标人都已解密完成，或到了投标文件解密截止时间后，招标代理（招标人）可进行“招标人解密操作”，解密操作同样需要进行CA验证；</w:t>
      </w:r>
    </w:p>
    <w:p w14:paraId="26409CC3">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投标人、招标代理（招标人）完成解密后，公布在投标截止时间前递交投标文件的投标人名称；招标代理开启电子唱标，公布招标项目名称、投标人名称、投标报价、服务期限及其他内容，并记录在案；</w:t>
      </w:r>
    </w:p>
    <w:p w14:paraId="62133F79">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唱标结束后，招标代理须开启“开始异议”，开启后，投标人若需要提问的可在15分钟内进行提问，招标代理（招标人）需要回答所有的投标人提问或等待15分钟才能结束异议，若所有投标人都回复了“无异议”，招标代理（招标人）可提前结束异议；</w:t>
      </w:r>
    </w:p>
    <w:p w14:paraId="135B424E">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（5）（B）唱标环节结束后，招标代理、投标人都可以同时查看到“开标报表”；投标人代表、招标人代表、监标人（如有）、记录人等有关人员在开标记录上签字确认；若有关人员不签字的，不影响开标程序；</w:t>
      </w:r>
    </w:p>
    <w:p w14:paraId="4444F610">
      <w:pPr>
        <w:pStyle w:val="2"/>
        <w:spacing w:line="360" w:lineRule="auto"/>
        <w:ind w:firstLine="480" w:firstLineChars="200"/>
        <w:rPr>
          <w:rFonts w:hint="eastAsia" w:ascii="宋体" w:hAnsi="宋体" w:eastAsia="宋体" w:cs="Times New Roman"/>
          <w:color w:val="auto"/>
          <w:sz w:val="24"/>
          <w:szCs w:val="24"/>
          <w:u w:val="single"/>
          <w:lang w:eastAsia="zh-CN"/>
        </w:rPr>
      </w:pPr>
      <w:r>
        <w:rPr>
          <w:rFonts w:hint="eastAsia" w:ascii="宋体" w:hAnsi="宋体" w:eastAsia="宋体" w:cs="Times New Roman"/>
          <w:color w:val="auto"/>
          <w:sz w:val="24"/>
          <w:szCs w:val="24"/>
          <w:u w:val="single"/>
          <w:lang w:eastAsia="zh-CN"/>
        </w:rPr>
        <w:t>（6）开标结束。</w:t>
      </w:r>
    </w:p>
    <w:p w14:paraId="39E745E2">
      <w:pPr>
        <w:pStyle w:val="2"/>
        <w:spacing w:line="360" w:lineRule="auto"/>
        <w:ind w:left="0" w:firstLine="480" w:firstLineChars="200"/>
        <w:rPr>
          <w:rFonts w:hint="eastAsia"/>
          <w:color w:val="auto"/>
          <w:sz w:val="24"/>
          <w:szCs w:val="24"/>
          <w:u w:val="single"/>
          <w:lang w:eastAsia="zh-CN"/>
        </w:rPr>
      </w:pPr>
      <w:r>
        <w:rPr>
          <w:color w:val="auto"/>
          <w:sz w:val="24"/>
          <w:szCs w:val="24"/>
          <w:u w:val="single"/>
          <w:lang w:eastAsia="zh-CN"/>
        </w:rPr>
        <w:t>5.2.2</w:t>
      </w:r>
      <w:r>
        <w:rPr>
          <w:rFonts w:hint="eastAsia"/>
          <w:color w:val="auto"/>
          <w:sz w:val="24"/>
          <w:szCs w:val="24"/>
          <w:u w:val="single"/>
          <w:lang w:eastAsia="zh-CN"/>
        </w:rPr>
        <w:t>投标截止时间前未完成投标文件传输的或因投标人之外的原因造成投标文件未解密的或未在投标截止时间后</w:t>
      </w:r>
      <w:r>
        <w:rPr>
          <w:rFonts w:hint="eastAsia"/>
          <w:color w:val="auto"/>
          <w:sz w:val="24"/>
          <w:szCs w:val="24"/>
          <w:u w:val="single"/>
          <w:lang w:val="en-US" w:eastAsia="zh-CN"/>
        </w:rPr>
        <w:t>一</w:t>
      </w:r>
      <w:r>
        <w:rPr>
          <w:rFonts w:hint="eastAsia"/>
          <w:color w:val="auto"/>
          <w:sz w:val="24"/>
          <w:szCs w:val="24"/>
          <w:u w:val="single"/>
          <w:lang w:eastAsia="zh-CN"/>
        </w:rPr>
        <w:t>小时解密的，视为投标人其撤回投标文件。因投标人原因造成投标文件未解密的，或因投标人原因解密失败且未递交电子光盘或递交的电子光盘不能读取的，视为撤销其投标文件。</w:t>
      </w:r>
    </w:p>
    <w:p w14:paraId="14C9E8C9">
      <w:pPr>
        <w:pStyle w:val="2"/>
        <w:spacing w:line="360" w:lineRule="auto"/>
        <w:ind w:left="0" w:firstLine="480" w:firstLineChars="200"/>
        <w:rPr>
          <w:color w:val="auto"/>
          <w:sz w:val="24"/>
          <w:szCs w:val="24"/>
          <w:u w:val="single"/>
          <w:lang w:eastAsia="zh-CN"/>
        </w:rPr>
      </w:pPr>
      <w:r>
        <w:rPr>
          <w:color w:val="auto"/>
          <w:sz w:val="24"/>
          <w:szCs w:val="24"/>
          <w:u w:val="single"/>
          <w:lang w:eastAsia="zh-CN"/>
        </w:rPr>
        <w:t>5.2.3</w:t>
      </w:r>
      <w:r>
        <w:rPr>
          <w:rFonts w:hint="eastAsia"/>
          <w:color w:val="auto"/>
          <w:sz w:val="24"/>
          <w:szCs w:val="24"/>
          <w:u w:val="single"/>
          <w:lang w:eastAsia="zh-CN"/>
        </w:rPr>
        <w:t>开标时，两个（含两个）以上的投标人加密打包投标文件电脑机器特征码一致的，不参与下一程序，并由评标委员会否决其投标。</w:t>
      </w:r>
    </w:p>
    <w:p w14:paraId="02E73F62">
      <w:pPr>
        <w:pStyle w:val="6"/>
        <w:spacing w:after="240"/>
        <w:ind w:left="0" w:right="44"/>
        <w:rPr>
          <w:b/>
          <w:bCs/>
          <w:color w:val="auto"/>
          <w:lang w:eastAsia="zh-CN"/>
        </w:rPr>
      </w:pPr>
      <w:r>
        <w:rPr>
          <w:b/>
          <w:bCs/>
          <w:color w:val="auto"/>
          <w:lang w:eastAsia="zh-CN"/>
        </w:rPr>
        <w:t>5.3开标异议</w:t>
      </w:r>
    </w:p>
    <w:p w14:paraId="012188F0">
      <w:pPr>
        <w:pStyle w:val="2"/>
        <w:spacing w:after="240" w:line="360" w:lineRule="auto"/>
        <w:ind w:left="0" w:firstLine="480" w:firstLineChars="200"/>
        <w:rPr>
          <w:color w:val="auto"/>
          <w:sz w:val="24"/>
          <w:szCs w:val="24"/>
          <w:u w:val="single"/>
          <w:lang w:eastAsia="zh-CN"/>
        </w:rPr>
      </w:pPr>
      <w:r>
        <w:rPr>
          <w:color w:val="auto"/>
          <w:sz w:val="24"/>
          <w:szCs w:val="24"/>
          <w:lang w:eastAsia="zh-CN"/>
        </w:rPr>
        <w:t>投标人对开标有异议的，应当在开标现场提出，招标人当场作出答复，并制作记录。</w:t>
      </w:r>
      <w:r>
        <w:rPr>
          <w:rFonts w:hint="eastAsia"/>
          <w:color w:val="auto"/>
          <w:sz w:val="24"/>
          <w:szCs w:val="24"/>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Start w:id="17" w:name="_Toc25137987"/>
    </w:p>
    <w:p w14:paraId="5325141C">
      <w:pPr>
        <w:pStyle w:val="5"/>
        <w:spacing w:after="240" w:line="443" w:lineRule="exact"/>
        <w:ind w:right="44"/>
        <w:rPr>
          <w:rFonts w:ascii="宋体" w:hAnsi="宋体" w:eastAsia="宋体"/>
          <w:color w:val="auto"/>
          <w:lang w:eastAsia="zh-CN"/>
        </w:rPr>
      </w:pPr>
      <w:bookmarkStart w:id="18" w:name="_Toc25152737"/>
      <w:r>
        <w:rPr>
          <w:rFonts w:ascii="宋体" w:hAnsi="宋体" w:eastAsia="宋体"/>
          <w:color w:val="auto"/>
          <w:lang w:eastAsia="zh-CN"/>
        </w:rPr>
        <w:t>6. 评标</w:t>
      </w:r>
      <w:bookmarkEnd w:id="17"/>
      <w:bookmarkEnd w:id="18"/>
    </w:p>
    <w:p w14:paraId="2CA89533">
      <w:pPr>
        <w:pStyle w:val="6"/>
        <w:spacing w:after="240"/>
        <w:ind w:right="44"/>
        <w:rPr>
          <w:b/>
          <w:bCs/>
          <w:color w:val="auto"/>
          <w:lang w:eastAsia="zh-CN"/>
        </w:rPr>
      </w:pPr>
      <w:r>
        <w:rPr>
          <w:b/>
          <w:bCs/>
          <w:color w:val="auto"/>
          <w:lang w:eastAsia="zh-CN"/>
        </w:rPr>
        <w:t>6.1评标委员会</w:t>
      </w:r>
    </w:p>
    <w:p w14:paraId="0F44F247">
      <w:pPr>
        <w:pStyle w:val="2"/>
        <w:spacing w:line="360" w:lineRule="auto"/>
        <w:ind w:left="0" w:firstLine="480" w:firstLineChars="200"/>
        <w:rPr>
          <w:color w:val="auto"/>
          <w:sz w:val="24"/>
          <w:szCs w:val="24"/>
          <w:lang w:eastAsia="zh-CN"/>
        </w:rPr>
      </w:pPr>
      <w:r>
        <w:rPr>
          <w:color w:val="auto"/>
          <w:sz w:val="24"/>
          <w:szCs w:val="24"/>
          <w:lang w:eastAsia="zh-CN"/>
        </w:rPr>
        <w:t>6.1.1评标由招标人依法组建的评标委员会负责。评标委员会由招标人</w:t>
      </w:r>
      <w:r>
        <w:rPr>
          <w:strike w:val="0"/>
          <w:color w:val="auto"/>
          <w:sz w:val="24"/>
          <w:szCs w:val="24"/>
          <w:lang w:eastAsia="zh-CN"/>
        </w:rPr>
        <w:t>或熟悉相关业务的代表，</w:t>
      </w:r>
      <w:r>
        <w:rPr>
          <w:color w:val="auto"/>
          <w:sz w:val="24"/>
          <w:szCs w:val="24"/>
          <w:lang w:eastAsia="zh-CN"/>
        </w:rPr>
        <w:t>以及有关技术、经济等方面的专家组成。评标委员会成员人数以及技术、经济等方面专家的确定方式见投标人须知前附表。</w:t>
      </w:r>
    </w:p>
    <w:p w14:paraId="0FE78CB4">
      <w:pPr>
        <w:pStyle w:val="2"/>
        <w:spacing w:line="360" w:lineRule="auto"/>
        <w:ind w:left="0" w:firstLine="480" w:firstLineChars="200"/>
        <w:rPr>
          <w:color w:val="auto"/>
          <w:sz w:val="24"/>
          <w:szCs w:val="24"/>
          <w:lang w:eastAsia="zh-CN"/>
        </w:rPr>
      </w:pPr>
      <w:r>
        <w:rPr>
          <w:color w:val="auto"/>
          <w:sz w:val="24"/>
          <w:szCs w:val="24"/>
          <w:lang w:eastAsia="zh-CN"/>
        </w:rPr>
        <w:t>6.1.2评标委员会成员有下列情形之一的，应当回避：</w:t>
      </w:r>
    </w:p>
    <w:p w14:paraId="0A66999B">
      <w:pPr>
        <w:pStyle w:val="2"/>
        <w:spacing w:line="360" w:lineRule="auto"/>
        <w:ind w:left="0" w:firstLine="480" w:firstLineChars="200"/>
        <w:rPr>
          <w:color w:val="auto"/>
          <w:sz w:val="24"/>
          <w:szCs w:val="24"/>
          <w:lang w:eastAsia="zh-CN"/>
        </w:rPr>
      </w:pPr>
      <w:r>
        <w:rPr>
          <w:color w:val="auto"/>
          <w:sz w:val="24"/>
          <w:szCs w:val="24"/>
          <w:lang w:eastAsia="zh-CN"/>
        </w:rPr>
        <w:t>（1）投标人或投标人主要负责人的近亲属；</w:t>
      </w:r>
    </w:p>
    <w:p w14:paraId="1A1D0A50">
      <w:pPr>
        <w:pStyle w:val="2"/>
        <w:spacing w:line="360" w:lineRule="auto"/>
        <w:ind w:left="0" w:firstLine="480" w:firstLineChars="200"/>
        <w:rPr>
          <w:color w:val="auto"/>
          <w:sz w:val="24"/>
          <w:szCs w:val="24"/>
          <w:lang w:eastAsia="zh-CN"/>
        </w:rPr>
      </w:pPr>
      <w:r>
        <w:rPr>
          <w:color w:val="auto"/>
          <w:sz w:val="24"/>
          <w:szCs w:val="24"/>
          <w:lang w:eastAsia="zh-CN"/>
        </w:rPr>
        <w:t>（2）项目主管部门或者行政监督部门的人员；</w:t>
      </w:r>
    </w:p>
    <w:p w14:paraId="5A8DFBFB">
      <w:pPr>
        <w:pStyle w:val="2"/>
        <w:spacing w:line="360" w:lineRule="auto"/>
        <w:ind w:left="0" w:firstLine="480" w:firstLineChars="200"/>
        <w:rPr>
          <w:color w:val="auto"/>
          <w:sz w:val="24"/>
          <w:szCs w:val="24"/>
          <w:lang w:eastAsia="zh-CN"/>
        </w:rPr>
      </w:pPr>
      <w:r>
        <w:rPr>
          <w:color w:val="auto"/>
          <w:sz w:val="24"/>
          <w:szCs w:val="24"/>
          <w:lang w:eastAsia="zh-CN"/>
        </w:rPr>
        <w:t>（3）与投标人有经济利益关系，可能影响对投标公正评审的；</w:t>
      </w:r>
    </w:p>
    <w:p w14:paraId="5C083064">
      <w:pPr>
        <w:pStyle w:val="2"/>
        <w:spacing w:line="360" w:lineRule="auto"/>
        <w:ind w:left="0" w:firstLine="480" w:firstLineChars="200"/>
        <w:rPr>
          <w:color w:val="auto"/>
          <w:sz w:val="24"/>
          <w:szCs w:val="24"/>
          <w:lang w:eastAsia="zh-CN"/>
        </w:rPr>
      </w:pPr>
      <w:r>
        <w:rPr>
          <w:color w:val="auto"/>
          <w:sz w:val="24"/>
          <w:szCs w:val="24"/>
          <w:lang w:eastAsia="zh-CN"/>
        </w:rPr>
        <w:t>（4）曾因在招标、评标以及其他与招标投标有关活动中从事违法行为而受过行政处罚或刑事处罚的；</w:t>
      </w:r>
    </w:p>
    <w:p w14:paraId="42AD5255">
      <w:pPr>
        <w:pStyle w:val="2"/>
        <w:spacing w:line="360" w:lineRule="auto"/>
        <w:ind w:left="0" w:firstLine="480" w:firstLineChars="200"/>
        <w:rPr>
          <w:color w:val="auto"/>
          <w:sz w:val="24"/>
          <w:szCs w:val="24"/>
          <w:lang w:eastAsia="zh-CN"/>
        </w:rPr>
      </w:pPr>
      <w:r>
        <w:rPr>
          <w:color w:val="auto"/>
          <w:sz w:val="24"/>
          <w:szCs w:val="24"/>
          <w:lang w:eastAsia="zh-CN"/>
        </w:rPr>
        <w:t>（5）与投标人有其他利害关系。</w:t>
      </w:r>
    </w:p>
    <w:p w14:paraId="1A2C2B3A">
      <w:pPr>
        <w:pStyle w:val="2"/>
        <w:spacing w:after="240" w:line="360" w:lineRule="auto"/>
        <w:ind w:left="0" w:firstLine="480" w:firstLineChars="200"/>
        <w:rPr>
          <w:color w:val="auto"/>
          <w:sz w:val="24"/>
          <w:szCs w:val="24"/>
          <w:lang w:eastAsia="zh-CN"/>
        </w:rPr>
      </w:pPr>
      <w:r>
        <w:rPr>
          <w:color w:val="auto"/>
          <w:sz w:val="24"/>
          <w:szCs w:val="24"/>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4FAC5910">
      <w:pPr>
        <w:pStyle w:val="6"/>
        <w:spacing w:after="240"/>
        <w:ind w:right="44"/>
        <w:rPr>
          <w:b/>
          <w:bCs/>
          <w:color w:val="auto"/>
          <w:lang w:eastAsia="zh-CN"/>
        </w:rPr>
      </w:pPr>
      <w:r>
        <w:rPr>
          <w:b/>
          <w:bCs/>
          <w:color w:val="auto"/>
          <w:lang w:eastAsia="zh-CN"/>
        </w:rPr>
        <w:t>6.2评标原则</w:t>
      </w:r>
    </w:p>
    <w:p w14:paraId="6EF0112E">
      <w:pPr>
        <w:pStyle w:val="2"/>
        <w:spacing w:after="240" w:line="360" w:lineRule="auto"/>
        <w:ind w:left="0" w:firstLine="480" w:firstLineChars="200"/>
        <w:rPr>
          <w:color w:val="auto"/>
          <w:sz w:val="24"/>
          <w:szCs w:val="24"/>
          <w:lang w:eastAsia="zh-CN"/>
        </w:rPr>
      </w:pPr>
      <w:r>
        <w:rPr>
          <w:color w:val="auto"/>
          <w:sz w:val="24"/>
          <w:szCs w:val="24"/>
          <w:lang w:eastAsia="zh-CN"/>
        </w:rPr>
        <w:t>评标活动遵循公平、公正、科学和择优的原则。</w:t>
      </w:r>
    </w:p>
    <w:p w14:paraId="09408630">
      <w:pPr>
        <w:pStyle w:val="6"/>
        <w:spacing w:after="240"/>
        <w:ind w:right="44"/>
        <w:rPr>
          <w:b/>
          <w:bCs/>
          <w:color w:val="auto"/>
          <w:lang w:eastAsia="zh-CN"/>
        </w:rPr>
      </w:pPr>
      <w:r>
        <w:rPr>
          <w:b/>
          <w:bCs/>
          <w:color w:val="auto"/>
          <w:lang w:eastAsia="zh-CN"/>
        </w:rPr>
        <w:t>6.3评标</w:t>
      </w:r>
    </w:p>
    <w:p w14:paraId="7928679D">
      <w:pPr>
        <w:pStyle w:val="2"/>
        <w:spacing w:line="360" w:lineRule="auto"/>
        <w:ind w:left="0" w:firstLine="480" w:firstLineChars="200"/>
        <w:rPr>
          <w:color w:val="auto"/>
          <w:sz w:val="24"/>
          <w:szCs w:val="24"/>
          <w:lang w:eastAsia="zh-CN"/>
        </w:rPr>
      </w:pPr>
      <w:r>
        <w:rPr>
          <w:color w:val="auto"/>
          <w:sz w:val="24"/>
          <w:szCs w:val="24"/>
          <w:lang w:eastAsia="zh-CN"/>
        </w:rPr>
        <w:t>6.3.1评标委员会按照第三章“评标办法”规定的方法、评审因素、标准和程序对投标文件进行评审。第三章“评标办法”没有规定的方法、评审因素和标准，不作为评标依据。</w:t>
      </w:r>
    </w:p>
    <w:p w14:paraId="0BBC0776">
      <w:pPr>
        <w:pStyle w:val="2"/>
        <w:spacing w:after="240" w:line="360" w:lineRule="auto"/>
        <w:ind w:left="0" w:firstLine="480" w:firstLineChars="200"/>
        <w:rPr>
          <w:color w:val="auto"/>
          <w:sz w:val="24"/>
          <w:szCs w:val="24"/>
          <w:lang w:eastAsia="zh-CN"/>
        </w:rPr>
      </w:pPr>
      <w:r>
        <w:rPr>
          <w:color w:val="auto"/>
          <w:sz w:val="24"/>
          <w:szCs w:val="24"/>
          <w:lang w:eastAsia="zh-CN"/>
        </w:rPr>
        <w:t>6.3.2评标完成后，评标委员会应当向招标人提交书面评标报告和中标候选人名单。评标委员会推荐中标候选人的人数见投标人须知前附表。</w:t>
      </w:r>
      <w:bookmarkStart w:id="19" w:name="_Toc25137988"/>
    </w:p>
    <w:p w14:paraId="20EE370C">
      <w:pPr>
        <w:pStyle w:val="5"/>
        <w:spacing w:after="240" w:line="443" w:lineRule="exact"/>
        <w:ind w:right="44"/>
        <w:rPr>
          <w:rFonts w:ascii="宋体" w:hAnsi="宋体" w:eastAsia="宋体"/>
          <w:color w:val="auto"/>
          <w:lang w:eastAsia="zh-CN"/>
        </w:rPr>
      </w:pPr>
      <w:bookmarkStart w:id="20" w:name="_Toc25152738"/>
      <w:r>
        <w:rPr>
          <w:rFonts w:ascii="宋体" w:hAnsi="宋体" w:eastAsia="宋体"/>
          <w:color w:val="auto"/>
          <w:lang w:eastAsia="zh-CN"/>
        </w:rPr>
        <w:t>7. 合同授予</w:t>
      </w:r>
      <w:bookmarkEnd w:id="19"/>
      <w:bookmarkEnd w:id="20"/>
    </w:p>
    <w:p w14:paraId="3DC72926">
      <w:pPr>
        <w:pStyle w:val="6"/>
        <w:spacing w:after="240"/>
        <w:ind w:right="44"/>
        <w:rPr>
          <w:b/>
          <w:bCs/>
          <w:color w:val="auto"/>
          <w:lang w:eastAsia="zh-CN"/>
        </w:rPr>
      </w:pPr>
      <w:r>
        <w:rPr>
          <w:b/>
          <w:bCs/>
          <w:color w:val="auto"/>
          <w:lang w:eastAsia="zh-CN"/>
        </w:rPr>
        <w:t>7.1中标候选人公示</w:t>
      </w:r>
    </w:p>
    <w:p w14:paraId="30E0AF2F">
      <w:pPr>
        <w:pStyle w:val="2"/>
        <w:spacing w:line="360" w:lineRule="auto"/>
        <w:ind w:left="0" w:firstLine="480" w:firstLineChars="200"/>
        <w:rPr>
          <w:color w:val="auto"/>
          <w:sz w:val="24"/>
          <w:szCs w:val="24"/>
          <w:lang w:eastAsia="zh-CN"/>
        </w:rPr>
      </w:pPr>
      <w:r>
        <w:rPr>
          <w:color w:val="auto"/>
          <w:sz w:val="24"/>
          <w:szCs w:val="24"/>
          <w:lang w:eastAsia="zh-CN"/>
        </w:rPr>
        <w:t>招标人在收到评标报告之日起 3日内，按照投标人须知前附表规定的公示媒介和期限公示中标候选人，公示期不得少于3天。</w:t>
      </w:r>
    </w:p>
    <w:p w14:paraId="01D12884">
      <w:pPr>
        <w:pStyle w:val="2"/>
        <w:spacing w:line="360" w:lineRule="auto"/>
        <w:ind w:left="0" w:firstLine="480" w:firstLineChars="200"/>
        <w:rPr>
          <w:color w:val="auto"/>
          <w:sz w:val="24"/>
          <w:szCs w:val="24"/>
          <w:u w:val="single"/>
          <w:lang w:eastAsia="zh-CN"/>
        </w:rPr>
      </w:pPr>
      <w:r>
        <w:rPr>
          <w:rFonts w:hint="eastAsia"/>
          <w:color w:val="auto"/>
          <w:sz w:val="24"/>
          <w:szCs w:val="24"/>
          <w:u w:val="single"/>
          <w:lang w:eastAsia="zh-CN"/>
        </w:rPr>
        <w:t>在产生中标候选人后，招标人将中标候选人的投标文件商务部分的电子版（报价清单、方案等涉及商业秘密的内容除外）在广东省招标投标监管网、广州交易集团有限公司（广州公共资源交易中心）网站等法定媒介公开。</w:t>
      </w:r>
    </w:p>
    <w:p w14:paraId="4C184A67">
      <w:pPr>
        <w:spacing w:line="360" w:lineRule="auto"/>
        <w:rPr>
          <w:rFonts w:ascii="宋体" w:hAnsi="宋体" w:eastAsia="宋体"/>
          <w:color w:val="auto"/>
          <w:sz w:val="24"/>
          <w:szCs w:val="24"/>
          <w:lang w:eastAsia="zh-CN"/>
        </w:rPr>
      </w:pPr>
    </w:p>
    <w:p w14:paraId="41C9E572">
      <w:pPr>
        <w:pStyle w:val="6"/>
        <w:spacing w:after="240"/>
        <w:ind w:right="44"/>
        <w:rPr>
          <w:b/>
          <w:bCs/>
          <w:color w:val="auto"/>
          <w:lang w:eastAsia="zh-CN"/>
        </w:rPr>
      </w:pPr>
      <w:r>
        <w:rPr>
          <w:b/>
          <w:bCs/>
          <w:color w:val="auto"/>
          <w:lang w:eastAsia="zh-CN"/>
        </w:rPr>
        <w:t>7.2评标结果异议</w:t>
      </w:r>
    </w:p>
    <w:p w14:paraId="6CCB80F7">
      <w:pPr>
        <w:pStyle w:val="2"/>
        <w:spacing w:line="360" w:lineRule="auto"/>
        <w:ind w:left="0" w:firstLine="480" w:firstLineChars="200"/>
        <w:rPr>
          <w:color w:val="auto"/>
          <w:sz w:val="24"/>
          <w:szCs w:val="24"/>
          <w:lang w:eastAsia="zh-CN"/>
        </w:rPr>
      </w:pPr>
      <w:r>
        <w:rPr>
          <w:color w:val="auto"/>
          <w:sz w:val="24"/>
          <w:szCs w:val="24"/>
          <w:lang w:eastAsia="zh-CN"/>
        </w:rPr>
        <w:t>投标人或者其他利害关系人对评标结果有异议的，应当在中标候选人公示期间提出。</w:t>
      </w:r>
      <w:r>
        <w:rPr>
          <w:rFonts w:hint="eastAsia" w:cs="宋体"/>
          <w:color w:val="auto"/>
          <w:sz w:val="24"/>
          <w:szCs w:val="24"/>
          <w:lang w:eastAsia="zh-CN"/>
        </w:rPr>
        <w:t>可以通过线下或线上的形式提出异议。线上提交的，应通过交易平台进行，招标人也应通过交易平台答复线上提交的异议。</w:t>
      </w:r>
      <w:r>
        <w:rPr>
          <w:color w:val="auto"/>
          <w:sz w:val="24"/>
          <w:szCs w:val="24"/>
          <w:lang w:eastAsia="zh-CN"/>
        </w:rPr>
        <w:t>招标人将在收到异议之日起3日内作出答复；作出答复前，将暂停招标投标活动。</w:t>
      </w:r>
    </w:p>
    <w:p w14:paraId="50FB1163">
      <w:pPr>
        <w:pStyle w:val="6"/>
        <w:spacing w:after="240"/>
        <w:ind w:right="44"/>
        <w:rPr>
          <w:b/>
          <w:bCs/>
          <w:color w:val="auto"/>
          <w:lang w:eastAsia="zh-CN"/>
        </w:rPr>
      </w:pPr>
      <w:r>
        <w:rPr>
          <w:b/>
          <w:bCs/>
          <w:color w:val="auto"/>
          <w:lang w:eastAsia="zh-CN"/>
        </w:rPr>
        <w:t>7.3中标候选人履约能力审查</w:t>
      </w:r>
    </w:p>
    <w:p w14:paraId="428B06CF">
      <w:pPr>
        <w:pStyle w:val="2"/>
        <w:spacing w:after="240" w:line="360" w:lineRule="auto"/>
        <w:ind w:left="0" w:firstLine="480" w:firstLineChars="200"/>
        <w:rPr>
          <w:color w:val="auto"/>
          <w:sz w:val="24"/>
          <w:szCs w:val="24"/>
          <w:lang w:eastAsia="zh-CN"/>
        </w:rPr>
      </w:pPr>
      <w:r>
        <w:rPr>
          <w:color w:val="auto"/>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21B1B17">
      <w:pPr>
        <w:pStyle w:val="6"/>
        <w:spacing w:after="240"/>
        <w:ind w:right="44"/>
        <w:rPr>
          <w:b/>
          <w:bCs/>
          <w:color w:val="auto"/>
          <w:lang w:eastAsia="zh-CN"/>
        </w:rPr>
      </w:pPr>
      <w:r>
        <w:rPr>
          <w:b/>
          <w:bCs/>
          <w:color w:val="auto"/>
          <w:lang w:eastAsia="zh-CN"/>
        </w:rPr>
        <w:t>7.4定标</w:t>
      </w:r>
    </w:p>
    <w:p w14:paraId="32B27D96">
      <w:pPr>
        <w:pStyle w:val="2"/>
        <w:spacing w:after="240" w:line="360" w:lineRule="auto"/>
        <w:ind w:left="0" w:firstLine="480" w:firstLineChars="200"/>
        <w:rPr>
          <w:color w:val="auto"/>
          <w:sz w:val="24"/>
          <w:szCs w:val="24"/>
          <w:lang w:eastAsia="zh-CN"/>
        </w:rPr>
      </w:pPr>
      <w:r>
        <w:rPr>
          <w:color w:val="auto"/>
          <w:sz w:val="24"/>
          <w:szCs w:val="24"/>
          <w:lang w:eastAsia="zh-CN"/>
        </w:rPr>
        <w:t>按照投标人须知前附表的规定，招标人或招标人授权的评标委员会依法确定中标人。</w:t>
      </w:r>
    </w:p>
    <w:p w14:paraId="4786D8F4">
      <w:pPr>
        <w:pStyle w:val="6"/>
        <w:spacing w:after="240"/>
        <w:ind w:right="44"/>
        <w:rPr>
          <w:b/>
          <w:bCs/>
          <w:color w:val="auto"/>
          <w:lang w:eastAsia="zh-CN"/>
        </w:rPr>
      </w:pPr>
      <w:r>
        <w:rPr>
          <w:b/>
          <w:bCs/>
          <w:color w:val="auto"/>
          <w:lang w:eastAsia="zh-CN"/>
        </w:rPr>
        <w:t>7.5中标通知</w:t>
      </w:r>
    </w:p>
    <w:p w14:paraId="51C5BF21">
      <w:pPr>
        <w:pStyle w:val="6"/>
        <w:spacing w:after="240" w:line="360" w:lineRule="auto"/>
        <w:ind w:left="238" w:right="45" w:firstLine="480" w:firstLineChars="200"/>
        <w:rPr>
          <w:rFonts w:hint="eastAsia"/>
          <w:color w:val="auto"/>
          <w:sz w:val="24"/>
          <w:szCs w:val="24"/>
          <w:highlight w:val="none"/>
          <w:lang w:eastAsia="zh-CN"/>
        </w:rPr>
      </w:pPr>
      <w:r>
        <w:rPr>
          <w:rFonts w:hint="eastAsia"/>
          <w:color w:val="auto"/>
          <w:sz w:val="24"/>
          <w:szCs w:val="24"/>
          <w:highlight w:val="none"/>
          <w:lang w:eastAsia="zh-CN"/>
        </w:rPr>
        <w:t>在本章第3.3款规定的投标有效期内，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085F4BB7">
      <w:pPr>
        <w:pStyle w:val="6"/>
        <w:spacing w:after="240"/>
        <w:ind w:right="44"/>
        <w:rPr>
          <w:b/>
          <w:bCs/>
          <w:color w:val="auto"/>
          <w:lang w:eastAsia="zh-CN"/>
        </w:rPr>
      </w:pPr>
      <w:r>
        <w:rPr>
          <w:b/>
          <w:bCs/>
          <w:color w:val="auto"/>
          <w:lang w:eastAsia="zh-CN"/>
        </w:rPr>
        <w:t>7.6技术成果经济补偿</w:t>
      </w:r>
    </w:p>
    <w:p w14:paraId="13BFA9C0">
      <w:pPr>
        <w:pStyle w:val="2"/>
        <w:spacing w:line="360" w:lineRule="auto"/>
        <w:ind w:left="0" w:firstLine="480" w:firstLineChars="200"/>
        <w:rPr>
          <w:color w:val="auto"/>
          <w:sz w:val="24"/>
          <w:szCs w:val="24"/>
          <w:u w:val="single"/>
          <w:lang w:eastAsia="zh-CN"/>
        </w:rPr>
      </w:pPr>
      <w:r>
        <w:rPr>
          <w:rFonts w:hint="eastAsia"/>
          <w:color w:val="auto"/>
          <w:sz w:val="24"/>
          <w:szCs w:val="24"/>
          <w:u w:val="single"/>
          <w:lang w:eastAsia="zh-CN"/>
        </w:rPr>
        <w:t>本项目不设未中标单位经济补偿，投标费用由投标人自理。</w:t>
      </w:r>
    </w:p>
    <w:p w14:paraId="6314B430">
      <w:pPr>
        <w:pStyle w:val="2"/>
        <w:spacing w:after="240" w:line="360" w:lineRule="auto"/>
        <w:ind w:left="0" w:firstLine="480" w:firstLineChars="200"/>
        <w:rPr>
          <w:color w:val="auto"/>
          <w:sz w:val="24"/>
          <w:szCs w:val="24"/>
          <w:lang w:eastAsia="zh-CN"/>
        </w:rPr>
      </w:pPr>
      <w:r>
        <w:rPr>
          <w:rFonts w:hint="eastAsia"/>
          <w:strike/>
          <w:color w:val="auto"/>
          <w:sz w:val="24"/>
          <w:szCs w:val="24"/>
          <w:lang w:eastAsia="zh-CN"/>
        </w:rPr>
        <w:t>招标</w:t>
      </w:r>
      <w:r>
        <w:rPr>
          <w:strike/>
          <w:color w:val="auto"/>
          <w:sz w:val="24"/>
          <w:szCs w:val="24"/>
          <w:lang w:eastAsia="zh-CN"/>
        </w:rPr>
        <w:t>人对符合招标文件规定的未中标人的技术成果进行补偿的，</w:t>
      </w:r>
      <w:r>
        <w:rPr>
          <w:rFonts w:hint="eastAsia"/>
          <w:strike/>
          <w:color w:val="auto"/>
          <w:sz w:val="24"/>
          <w:szCs w:val="24"/>
          <w:lang w:eastAsia="zh-CN"/>
        </w:rPr>
        <w:t>招标</w:t>
      </w:r>
      <w:r>
        <w:rPr>
          <w:strike/>
          <w:color w:val="auto"/>
          <w:sz w:val="24"/>
          <w:szCs w:val="24"/>
          <w:lang w:eastAsia="zh-CN"/>
        </w:rPr>
        <w:t>人将按投标人须知前附表规定的标准给予经济补偿，未中标人在投标文件中声明放弃技术成果经济补偿费的除外。</w:t>
      </w:r>
      <w:r>
        <w:rPr>
          <w:rFonts w:hint="eastAsia"/>
          <w:strike/>
          <w:color w:val="auto"/>
          <w:sz w:val="24"/>
          <w:szCs w:val="24"/>
          <w:lang w:eastAsia="zh-CN"/>
        </w:rPr>
        <w:t>中标人按招标公告要求</w:t>
      </w:r>
      <w:r>
        <w:rPr>
          <w:strike/>
          <w:color w:val="auto"/>
          <w:sz w:val="24"/>
          <w:szCs w:val="24"/>
          <w:lang w:eastAsia="zh-CN"/>
        </w:rPr>
        <w:t>向未中标人支付技术成果经济补偿费。</w:t>
      </w:r>
    </w:p>
    <w:p w14:paraId="7AA7E2FC">
      <w:pPr>
        <w:pStyle w:val="6"/>
        <w:spacing w:after="240"/>
        <w:ind w:right="44"/>
        <w:rPr>
          <w:color w:val="auto"/>
          <w:sz w:val="24"/>
          <w:szCs w:val="24"/>
          <w:u w:val="single"/>
          <w:lang w:eastAsia="zh-CN"/>
        </w:rPr>
      </w:pPr>
      <w:r>
        <w:rPr>
          <w:b/>
          <w:bCs/>
          <w:color w:val="auto"/>
          <w:lang w:eastAsia="zh-CN"/>
        </w:rPr>
        <w:t>7.7履约保证金</w:t>
      </w:r>
    </w:p>
    <w:p w14:paraId="4E97E685">
      <w:pPr>
        <w:pStyle w:val="2"/>
        <w:spacing w:line="360" w:lineRule="auto"/>
        <w:ind w:left="0" w:firstLine="480" w:firstLineChars="200"/>
        <w:rPr>
          <w:strike w:val="0"/>
          <w:color w:val="auto"/>
          <w:sz w:val="24"/>
          <w:szCs w:val="24"/>
          <w:lang w:eastAsia="zh-CN"/>
        </w:rPr>
      </w:pPr>
      <w:r>
        <w:rPr>
          <w:strike w:val="0"/>
          <w:color w:val="auto"/>
          <w:sz w:val="24"/>
          <w:szCs w:val="24"/>
          <w:lang w:eastAsia="zh-CN"/>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E6A0ADE">
      <w:pPr>
        <w:pStyle w:val="2"/>
        <w:spacing w:after="240" w:line="360" w:lineRule="auto"/>
        <w:ind w:left="0" w:firstLine="480" w:firstLineChars="200"/>
        <w:rPr>
          <w:color w:val="auto"/>
          <w:sz w:val="24"/>
          <w:szCs w:val="24"/>
          <w:lang w:eastAsia="zh-CN"/>
        </w:rPr>
      </w:pPr>
      <w:r>
        <w:rPr>
          <w:strike w:val="0"/>
          <w:color w:val="auto"/>
          <w:sz w:val="24"/>
          <w:szCs w:val="24"/>
          <w:lang w:eastAsia="zh-CN"/>
        </w:rPr>
        <w:t>7.7.2中标人不能按本章第 7.7.1项要求提交履约保证金的，视为放弃中标，其投标保证金不予退还，给招标人造成的损失超过投标保证金数额的，中标人还应当对超过部分予以赔偿。</w:t>
      </w:r>
    </w:p>
    <w:p w14:paraId="6EEBA1A8">
      <w:pPr>
        <w:pStyle w:val="6"/>
        <w:spacing w:after="240"/>
        <w:ind w:right="44"/>
        <w:rPr>
          <w:b/>
          <w:bCs/>
          <w:color w:val="auto"/>
          <w:lang w:eastAsia="zh-CN"/>
        </w:rPr>
      </w:pPr>
      <w:r>
        <w:rPr>
          <w:b/>
          <w:bCs/>
          <w:color w:val="auto"/>
          <w:lang w:eastAsia="zh-CN"/>
        </w:rPr>
        <w:t>7.8签订合同</w:t>
      </w:r>
    </w:p>
    <w:p w14:paraId="565B7DF6">
      <w:pPr>
        <w:pStyle w:val="2"/>
        <w:spacing w:line="360" w:lineRule="auto"/>
        <w:ind w:left="0" w:firstLine="480" w:firstLineChars="200"/>
        <w:rPr>
          <w:color w:val="auto"/>
          <w:sz w:val="24"/>
          <w:szCs w:val="24"/>
          <w:lang w:eastAsia="zh-CN"/>
        </w:rPr>
      </w:pPr>
      <w:r>
        <w:rPr>
          <w:color w:val="auto"/>
          <w:sz w:val="24"/>
          <w:szCs w:val="24"/>
          <w:lang w:eastAsia="zh-CN"/>
        </w:rPr>
        <w:t>7.8.1招标人和中标人应当在中标通知书发出之日起 30日内，根据招标文件和中标人的投标文件订立书面合同。中标人无正当理由拒签合同，在签订合同时向招标人提出附加条件，</w:t>
      </w:r>
      <w:r>
        <w:rPr>
          <w:strike w:val="0"/>
          <w:color w:val="auto"/>
          <w:sz w:val="24"/>
          <w:szCs w:val="24"/>
          <w:lang w:eastAsia="zh-CN"/>
        </w:rPr>
        <w:t>或者不按照招标文件要求提交履约保证金的，</w:t>
      </w:r>
      <w:r>
        <w:rPr>
          <w:color w:val="auto"/>
          <w:sz w:val="24"/>
          <w:szCs w:val="24"/>
          <w:lang w:eastAsia="zh-CN"/>
        </w:rPr>
        <w:t>招标人有权取消其中标资格</w:t>
      </w:r>
      <w:r>
        <w:rPr>
          <w:strike w:val="0"/>
          <w:color w:val="auto"/>
          <w:sz w:val="24"/>
          <w:szCs w:val="24"/>
          <w:lang w:eastAsia="zh-CN"/>
        </w:rPr>
        <w:t>，其投标保证金不予退还；</w:t>
      </w:r>
      <w:r>
        <w:rPr>
          <w:color w:val="auto"/>
          <w:sz w:val="24"/>
          <w:szCs w:val="24"/>
          <w:lang w:eastAsia="zh-CN"/>
        </w:rPr>
        <w:t>给招标人造成的损失</w:t>
      </w:r>
      <w:r>
        <w:rPr>
          <w:strike w:val="0"/>
          <w:color w:val="auto"/>
          <w:sz w:val="24"/>
          <w:szCs w:val="24"/>
          <w:lang w:eastAsia="zh-CN"/>
        </w:rPr>
        <w:t>超过投标保证金数额的</w:t>
      </w:r>
      <w:r>
        <w:rPr>
          <w:color w:val="auto"/>
          <w:sz w:val="24"/>
          <w:szCs w:val="24"/>
          <w:lang w:eastAsia="zh-CN"/>
        </w:rPr>
        <w:t>，中标人还应当对超过部分予以赔偿。</w:t>
      </w:r>
    </w:p>
    <w:p w14:paraId="026F799F">
      <w:pPr>
        <w:pStyle w:val="2"/>
        <w:spacing w:line="360" w:lineRule="auto"/>
        <w:ind w:left="0" w:firstLine="480" w:firstLineChars="200"/>
        <w:rPr>
          <w:color w:val="auto"/>
          <w:sz w:val="24"/>
          <w:szCs w:val="24"/>
          <w:lang w:eastAsia="zh-CN"/>
        </w:rPr>
      </w:pPr>
      <w:r>
        <w:rPr>
          <w:color w:val="auto"/>
          <w:sz w:val="24"/>
          <w:szCs w:val="24"/>
          <w:lang w:eastAsia="zh-CN"/>
        </w:rPr>
        <w:t>7.8.2发出中标通知书后，招标人无正当理由拒签合同，或者在签订合同时向中标人提出附加条件</w:t>
      </w:r>
      <w:r>
        <w:rPr>
          <w:strike w:val="0"/>
          <w:color w:val="auto"/>
          <w:sz w:val="24"/>
          <w:szCs w:val="24"/>
          <w:lang w:eastAsia="zh-CN"/>
        </w:rPr>
        <w:t>的，招标人向中标人退还投标保证金；给中标人造</w:t>
      </w:r>
      <w:r>
        <w:rPr>
          <w:color w:val="auto"/>
          <w:sz w:val="24"/>
          <w:szCs w:val="24"/>
          <w:lang w:eastAsia="zh-CN"/>
        </w:rPr>
        <w:t>成损失的，还应当赔偿损失。</w:t>
      </w:r>
    </w:p>
    <w:p w14:paraId="037DC40E">
      <w:pPr>
        <w:pStyle w:val="2"/>
        <w:spacing w:after="240" w:line="360" w:lineRule="auto"/>
        <w:ind w:left="0" w:firstLine="480" w:firstLineChars="200"/>
        <w:rPr>
          <w:strike/>
          <w:color w:val="auto"/>
          <w:sz w:val="24"/>
          <w:szCs w:val="24"/>
          <w:lang w:eastAsia="zh-CN"/>
        </w:rPr>
      </w:pPr>
      <w:r>
        <w:rPr>
          <w:strike/>
          <w:color w:val="auto"/>
          <w:sz w:val="24"/>
          <w:szCs w:val="24"/>
          <w:lang w:eastAsia="zh-CN"/>
        </w:rPr>
        <w:t>7.8.3联合体中标的，联合体各方应当共同与招标人签订合同，就中标项目向招标人承担连带责任。</w:t>
      </w:r>
      <w:bookmarkStart w:id="21" w:name="_Toc25137989"/>
    </w:p>
    <w:p w14:paraId="7B77BFAC">
      <w:pPr>
        <w:pStyle w:val="5"/>
        <w:spacing w:after="240" w:line="443" w:lineRule="exact"/>
        <w:ind w:right="44"/>
        <w:rPr>
          <w:rFonts w:ascii="宋体" w:hAnsi="宋体" w:eastAsia="宋体"/>
          <w:color w:val="auto"/>
          <w:lang w:eastAsia="zh-CN"/>
        </w:rPr>
      </w:pPr>
      <w:bookmarkStart w:id="22" w:name="_Toc25152739"/>
      <w:r>
        <w:rPr>
          <w:rFonts w:ascii="宋体" w:hAnsi="宋体" w:eastAsia="宋体"/>
          <w:color w:val="auto"/>
          <w:lang w:eastAsia="zh-CN"/>
        </w:rPr>
        <w:t>8.</w:t>
      </w:r>
      <w:r>
        <w:rPr>
          <w:rFonts w:hint="eastAsia" w:ascii="宋体" w:hAnsi="宋体" w:eastAsia="宋体"/>
          <w:color w:val="auto"/>
          <w:lang w:eastAsia="zh-CN"/>
        </w:rPr>
        <w:t xml:space="preserve"> </w:t>
      </w:r>
      <w:r>
        <w:rPr>
          <w:rFonts w:ascii="宋体" w:hAnsi="宋体" w:eastAsia="宋体"/>
          <w:color w:val="auto"/>
          <w:lang w:eastAsia="zh-CN"/>
        </w:rPr>
        <w:t>纪律和监督</w:t>
      </w:r>
      <w:bookmarkEnd w:id="21"/>
      <w:bookmarkEnd w:id="22"/>
    </w:p>
    <w:p w14:paraId="7D835BFF">
      <w:pPr>
        <w:pStyle w:val="6"/>
        <w:spacing w:after="240"/>
        <w:ind w:right="44"/>
        <w:rPr>
          <w:b/>
          <w:bCs/>
          <w:color w:val="auto"/>
          <w:lang w:eastAsia="zh-CN"/>
        </w:rPr>
      </w:pPr>
      <w:r>
        <w:rPr>
          <w:b/>
          <w:bCs/>
          <w:color w:val="auto"/>
          <w:lang w:eastAsia="zh-CN"/>
        </w:rPr>
        <w:t>8.1对招标人的纪律要求</w:t>
      </w:r>
    </w:p>
    <w:p w14:paraId="0A74A06C">
      <w:pPr>
        <w:pStyle w:val="2"/>
        <w:spacing w:after="240" w:line="360" w:lineRule="auto"/>
        <w:ind w:left="0" w:firstLine="480" w:firstLineChars="200"/>
        <w:rPr>
          <w:color w:val="auto"/>
          <w:sz w:val="24"/>
          <w:szCs w:val="24"/>
          <w:lang w:eastAsia="zh-CN"/>
        </w:rPr>
      </w:pPr>
      <w:r>
        <w:rPr>
          <w:color w:val="auto"/>
          <w:sz w:val="24"/>
          <w:szCs w:val="24"/>
          <w:lang w:eastAsia="zh-CN"/>
        </w:rPr>
        <w:t>招标人不得泄露招标投标活动中应当保密的情况和资料，不得与投标人串通损害国家利益、社会公共利益或者他人合法权益。</w:t>
      </w:r>
    </w:p>
    <w:p w14:paraId="0D73CD3B">
      <w:pPr>
        <w:pStyle w:val="6"/>
        <w:spacing w:after="240"/>
        <w:ind w:right="44"/>
        <w:rPr>
          <w:b/>
          <w:bCs/>
          <w:color w:val="auto"/>
          <w:lang w:eastAsia="zh-CN"/>
        </w:rPr>
      </w:pPr>
      <w:r>
        <w:rPr>
          <w:b/>
          <w:bCs/>
          <w:color w:val="auto"/>
          <w:lang w:eastAsia="zh-CN"/>
        </w:rPr>
        <w:t>8.2对投标人的纪律要求</w:t>
      </w:r>
    </w:p>
    <w:p w14:paraId="1A78CB15">
      <w:pPr>
        <w:pStyle w:val="2"/>
        <w:spacing w:after="240" w:line="360" w:lineRule="auto"/>
        <w:ind w:left="0" w:firstLine="480" w:firstLineChars="200"/>
        <w:rPr>
          <w:color w:val="auto"/>
          <w:sz w:val="24"/>
          <w:szCs w:val="24"/>
          <w:lang w:eastAsia="zh-CN"/>
        </w:rPr>
      </w:pPr>
      <w:r>
        <w:rPr>
          <w:color w:val="auto"/>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D2A127D">
      <w:pPr>
        <w:pStyle w:val="6"/>
        <w:spacing w:after="240"/>
        <w:ind w:right="44"/>
        <w:rPr>
          <w:b/>
          <w:bCs/>
          <w:color w:val="auto"/>
          <w:lang w:eastAsia="zh-CN"/>
        </w:rPr>
      </w:pPr>
      <w:r>
        <w:rPr>
          <w:b/>
          <w:bCs/>
          <w:color w:val="auto"/>
          <w:lang w:eastAsia="zh-CN"/>
        </w:rPr>
        <w:t>8.3对评标委员会成员的纪律要求</w:t>
      </w:r>
    </w:p>
    <w:p w14:paraId="4CDCF10B">
      <w:pPr>
        <w:pStyle w:val="2"/>
        <w:spacing w:after="240" w:line="360" w:lineRule="auto"/>
        <w:ind w:left="0" w:firstLine="480" w:firstLineChars="200"/>
        <w:rPr>
          <w:color w:val="auto"/>
          <w:sz w:val="24"/>
          <w:szCs w:val="24"/>
          <w:lang w:eastAsia="zh-CN"/>
        </w:rPr>
      </w:pPr>
      <w:r>
        <w:rPr>
          <w:color w:val="auto"/>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86BE2AA">
      <w:pPr>
        <w:pStyle w:val="6"/>
        <w:spacing w:after="240"/>
        <w:ind w:right="44"/>
        <w:rPr>
          <w:b/>
          <w:bCs/>
          <w:color w:val="auto"/>
          <w:lang w:eastAsia="zh-CN"/>
        </w:rPr>
      </w:pPr>
      <w:r>
        <w:rPr>
          <w:b/>
          <w:bCs/>
          <w:color w:val="auto"/>
          <w:lang w:eastAsia="zh-CN"/>
        </w:rPr>
        <w:t>8.4对与评标活动有关的工作人员的纪律要求</w:t>
      </w:r>
    </w:p>
    <w:p w14:paraId="110231AE">
      <w:pPr>
        <w:pStyle w:val="2"/>
        <w:spacing w:after="240" w:line="360" w:lineRule="auto"/>
        <w:ind w:left="0" w:firstLine="480" w:firstLineChars="200"/>
        <w:rPr>
          <w:color w:val="auto"/>
          <w:sz w:val="24"/>
          <w:szCs w:val="24"/>
          <w:lang w:eastAsia="zh-CN"/>
        </w:rPr>
      </w:pPr>
      <w:r>
        <w:rPr>
          <w:color w:val="auto"/>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998720E">
      <w:pPr>
        <w:pStyle w:val="6"/>
        <w:spacing w:after="240"/>
        <w:ind w:right="44"/>
        <w:rPr>
          <w:b/>
          <w:bCs/>
          <w:color w:val="auto"/>
          <w:lang w:eastAsia="zh-CN"/>
        </w:rPr>
      </w:pPr>
      <w:r>
        <w:rPr>
          <w:b/>
          <w:bCs/>
          <w:color w:val="auto"/>
          <w:lang w:eastAsia="zh-CN"/>
        </w:rPr>
        <w:t>8.5投诉</w:t>
      </w:r>
    </w:p>
    <w:p w14:paraId="09747F4D">
      <w:pPr>
        <w:pStyle w:val="2"/>
        <w:spacing w:line="360" w:lineRule="auto"/>
        <w:ind w:left="0" w:firstLine="480" w:firstLineChars="200"/>
        <w:rPr>
          <w:color w:val="auto"/>
          <w:sz w:val="24"/>
          <w:szCs w:val="24"/>
          <w:lang w:eastAsia="zh-CN"/>
        </w:rPr>
      </w:pPr>
      <w:r>
        <w:rPr>
          <w:color w:val="auto"/>
          <w:sz w:val="24"/>
          <w:szCs w:val="24"/>
          <w:lang w:eastAsia="zh-CN"/>
        </w:rPr>
        <w:t>8.5.1投标人或者其他利害关系人认为招标投标活动不符合法律、行政法规规定的，可以自知道或者应当知道之日起10日内向有关行政监督部门投诉。投诉应当有明确的请求和必要的证明材料。</w:t>
      </w:r>
    </w:p>
    <w:p w14:paraId="509AB8BF">
      <w:pPr>
        <w:pStyle w:val="2"/>
        <w:spacing w:after="240" w:line="360" w:lineRule="auto"/>
        <w:ind w:left="0" w:firstLine="480" w:firstLineChars="200"/>
        <w:rPr>
          <w:color w:val="auto"/>
          <w:sz w:val="24"/>
          <w:szCs w:val="24"/>
          <w:lang w:eastAsia="zh-CN"/>
        </w:rPr>
      </w:pPr>
      <w:r>
        <w:rPr>
          <w:color w:val="auto"/>
          <w:sz w:val="24"/>
          <w:szCs w:val="24"/>
          <w:lang w:eastAsia="zh-CN"/>
        </w:rPr>
        <w:t>8.5.2投标人或者其他利害关系人对招标文件、开标和评标结果提出投诉的，应当按照投标人须知第2.4款、第5.3款和第7.2款的规定先向招标人提出异议。异议答复期间不计算在第8.5.1项规定的期限内。</w:t>
      </w:r>
      <w:bookmarkStart w:id="23" w:name="_Toc25137990"/>
    </w:p>
    <w:p w14:paraId="447AB427">
      <w:pPr>
        <w:pStyle w:val="5"/>
        <w:spacing w:after="240" w:line="443" w:lineRule="exact"/>
        <w:ind w:right="44"/>
        <w:rPr>
          <w:rFonts w:ascii="宋体" w:hAnsi="宋体" w:eastAsia="宋体"/>
          <w:color w:val="auto"/>
          <w:lang w:eastAsia="zh-CN"/>
        </w:rPr>
      </w:pPr>
      <w:bookmarkStart w:id="24" w:name="_Toc25152740"/>
      <w:r>
        <w:rPr>
          <w:rFonts w:ascii="宋体" w:hAnsi="宋体" w:eastAsia="宋体"/>
          <w:color w:val="auto"/>
          <w:lang w:eastAsia="zh-CN"/>
        </w:rPr>
        <w:t>9. 是否采用电子招标投标</w:t>
      </w:r>
      <w:bookmarkEnd w:id="23"/>
      <w:bookmarkEnd w:id="24"/>
    </w:p>
    <w:p w14:paraId="66ABDCA9">
      <w:pPr>
        <w:pStyle w:val="2"/>
        <w:spacing w:after="240" w:line="360" w:lineRule="auto"/>
        <w:ind w:left="0" w:firstLine="480" w:firstLineChars="200"/>
        <w:rPr>
          <w:color w:val="auto"/>
          <w:sz w:val="24"/>
          <w:szCs w:val="24"/>
          <w:lang w:eastAsia="zh-CN"/>
        </w:rPr>
      </w:pPr>
      <w:r>
        <w:rPr>
          <w:color w:val="auto"/>
          <w:sz w:val="24"/>
          <w:szCs w:val="24"/>
          <w:lang w:eastAsia="zh-CN"/>
        </w:rPr>
        <w:t>本招标项目是否采用电子招标投标方式，见投标人须知前附表。</w:t>
      </w:r>
      <w:bookmarkStart w:id="25" w:name="_Toc25137991"/>
    </w:p>
    <w:p w14:paraId="3CC41D86">
      <w:pPr>
        <w:pStyle w:val="5"/>
        <w:spacing w:after="240" w:line="443" w:lineRule="exact"/>
        <w:ind w:right="44"/>
        <w:rPr>
          <w:rFonts w:ascii="宋体" w:hAnsi="宋体" w:eastAsia="宋体"/>
          <w:color w:val="auto"/>
          <w:lang w:eastAsia="zh-CN"/>
        </w:rPr>
      </w:pPr>
      <w:bookmarkStart w:id="26" w:name="_Toc25152741"/>
      <w:r>
        <w:rPr>
          <w:rFonts w:ascii="宋体" w:hAnsi="宋体" w:eastAsia="宋体"/>
          <w:color w:val="auto"/>
          <w:lang w:eastAsia="zh-CN"/>
        </w:rPr>
        <w:t>10. 需要补充的其他内容</w:t>
      </w:r>
      <w:bookmarkEnd w:id="25"/>
      <w:bookmarkEnd w:id="26"/>
    </w:p>
    <w:p w14:paraId="575CFF0C">
      <w:pPr>
        <w:pStyle w:val="2"/>
        <w:spacing w:line="360" w:lineRule="auto"/>
        <w:ind w:left="0" w:firstLine="480" w:firstLineChars="200"/>
        <w:rPr>
          <w:color w:val="auto"/>
          <w:sz w:val="24"/>
          <w:szCs w:val="24"/>
          <w:lang w:eastAsia="zh-CN"/>
        </w:rPr>
      </w:pPr>
      <w:r>
        <w:rPr>
          <w:color w:val="auto"/>
          <w:sz w:val="24"/>
          <w:szCs w:val="24"/>
          <w:lang w:eastAsia="zh-CN"/>
        </w:rPr>
        <w:t>需要补充的其他内容：见投标人须知前附表。</w:t>
      </w:r>
    </w:p>
    <w:p w14:paraId="6EBB7C55">
      <w:pPr>
        <w:pStyle w:val="2"/>
        <w:spacing w:line="360" w:lineRule="auto"/>
        <w:ind w:left="0" w:firstLine="480" w:firstLineChars="200"/>
        <w:rPr>
          <w:color w:val="auto"/>
          <w:sz w:val="24"/>
          <w:szCs w:val="24"/>
          <w:lang w:eastAsia="zh-CN"/>
        </w:rPr>
        <w:sectPr>
          <w:footerReference r:id="rId4" w:type="default"/>
          <w:pgSz w:w="11907" w:h="16839"/>
          <w:pgMar w:top="1440" w:right="1440" w:bottom="1440" w:left="1440" w:header="0" w:footer="919" w:gutter="0"/>
          <w:pgNumType w:start="1"/>
          <w:cols w:space="720" w:num="1"/>
        </w:sectPr>
      </w:pPr>
    </w:p>
    <w:p w14:paraId="4C050D64">
      <w:pPr>
        <w:pStyle w:val="6"/>
        <w:spacing w:line="363" w:lineRule="exact"/>
        <w:ind w:left="357"/>
        <w:rPr>
          <w:b/>
          <w:bCs/>
          <w:color w:val="auto"/>
          <w:lang w:eastAsia="zh-CN"/>
        </w:rPr>
      </w:pPr>
      <w:r>
        <w:rPr>
          <w:b/>
          <w:bCs/>
          <w:color w:val="auto"/>
          <w:lang w:eastAsia="zh-CN"/>
        </w:rPr>
        <w:t>附件一：开标记录表</w:t>
      </w:r>
    </w:p>
    <w:p w14:paraId="176D2697">
      <w:pPr>
        <w:rPr>
          <w:rFonts w:ascii="宋体" w:hAnsi="宋体" w:eastAsia="宋体" w:cs="宋体"/>
          <w:color w:val="auto"/>
          <w:sz w:val="20"/>
          <w:szCs w:val="20"/>
          <w:lang w:eastAsia="zh-CN"/>
        </w:rPr>
      </w:pPr>
    </w:p>
    <w:p w14:paraId="2D246DD0">
      <w:pPr>
        <w:spacing w:before="9"/>
        <w:rPr>
          <w:rFonts w:ascii="宋体" w:hAnsi="宋体" w:eastAsia="宋体" w:cs="宋体"/>
          <w:color w:val="auto"/>
          <w:sz w:val="23"/>
          <w:szCs w:val="23"/>
          <w:lang w:eastAsia="zh-CN"/>
        </w:rPr>
      </w:pPr>
    </w:p>
    <w:p w14:paraId="47BD3537">
      <w:pPr>
        <w:spacing w:before="14"/>
        <w:ind w:left="3238" w:right="3137"/>
        <w:jc w:val="center"/>
        <w:rPr>
          <w:rFonts w:ascii="宋体" w:hAnsi="宋体" w:eastAsia="宋体" w:cs="宋体"/>
          <w:b/>
          <w:bCs/>
          <w:color w:val="auto"/>
          <w:sz w:val="28"/>
          <w:szCs w:val="28"/>
          <w:lang w:eastAsia="zh-CN"/>
        </w:rPr>
      </w:pPr>
      <w:r>
        <w:rPr>
          <w:rFonts w:ascii="宋体" w:hAnsi="宋体" w:eastAsia="宋体" w:cs="宋体"/>
          <w:b/>
          <w:bCs/>
          <w:color w:val="auto"/>
          <w:sz w:val="28"/>
          <w:szCs w:val="28"/>
          <w:lang w:eastAsia="zh-CN"/>
        </w:rPr>
        <w:t>开标记录表</w:t>
      </w:r>
    </w:p>
    <w:p w14:paraId="3994A955">
      <w:pPr>
        <w:pStyle w:val="2"/>
        <w:tabs>
          <w:tab w:val="left" w:pos="3614"/>
          <w:tab w:val="left" w:pos="4768"/>
          <w:tab w:val="left" w:pos="5923"/>
          <w:tab w:val="left" w:pos="7078"/>
          <w:tab w:val="left" w:pos="8233"/>
        </w:tabs>
        <w:ind w:left="0"/>
        <w:rPr>
          <w:color w:val="auto"/>
        </w:rPr>
      </w:pPr>
      <w:r>
        <w:rPr>
          <w:color w:val="auto"/>
          <w:spacing w:val="-1"/>
        </w:rPr>
        <w:t>开标时间：</w:t>
      </w:r>
      <w:r>
        <w:rPr>
          <w:color w:val="auto"/>
          <w:spacing w:val="-1"/>
          <w:u w:val="single" w:color="000000"/>
        </w:rPr>
        <w:tab/>
      </w:r>
      <w:r>
        <w:rPr>
          <w:color w:val="auto"/>
        </w:rPr>
        <w:t>年</w:t>
      </w:r>
      <w:r>
        <w:rPr>
          <w:color w:val="auto"/>
          <w:u w:val="single" w:color="000000"/>
        </w:rPr>
        <w:tab/>
      </w:r>
      <w:r>
        <w:rPr>
          <w:color w:val="auto"/>
        </w:rPr>
        <w:t>月</w:t>
      </w:r>
      <w:r>
        <w:rPr>
          <w:color w:val="auto"/>
          <w:u w:val="single" w:color="000000"/>
        </w:rPr>
        <w:tab/>
      </w:r>
      <w:r>
        <w:rPr>
          <w:color w:val="auto"/>
        </w:rPr>
        <w:t>日</w:t>
      </w:r>
      <w:r>
        <w:rPr>
          <w:color w:val="auto"/>
          <w:u w:val="single" w:color="000000"/>
        </w:rPr>
        <w:tab/>
      </w:r>
      <w:r>
        <w:rPr>
          <w:color w:val="auto"/>
        </w:rPr>
        <w:t>时</w:t>
      </w:r>
      <w:r>
        <w:rPr>
          <w:color w:val="auto"/>
          <w:u w:val="single" w:color="000000"/>
        </w:rPr>
        <w:tab/>
      </w:r>
      <w:r>
        <w:rPr>
          <w:color w:val="auto"/>
        </w:rPr>
        <w:t>分</w:t>
      </w:r>
    </w:p>
    <w:p w14:paraId="07F32FD9">
      <w:pPr>
        <w:spacing w:before="2"/>
        <w:rPr>
          <w:rFonts w:ascii="宋体" w:hAnsi="宋体" w:eastAsia="宋体" w:cs="宋体"/>
          <w:color w:val="auto"/>
          <w:sz w:val="13"/>
          <w:szCs w:val="13"/>
        </w:rPr>
      </w:pPr>
    </w:p>
    <w:p w14:paraId="11E9C1A0">
      <w:pPr>
        <w:pStyle w:val="41"/>
        <w:rPr>
          <w:rFonts w:ascii="宋体" w:hAnsi="宋体" w:eastAsia="宋体" w:cs="宋体"/>
          <w:color w:val="auto"/>
          <w:sz w:val="13"/>
          <w:szCs w:val="13"/>
        </w:rPr>
      </w:pPr>
    </w:p>
    <w:tbl>
      <w:tblPr>
        <w:tblStyle w:val="24"/>
        <w:tblW w:w="13907" w:type="dxa"/>
        <w:tblInd w:w="0" w:type="dxa"/>
        <w:tblLayout w:type="fixed"/>
        <w:tblCellMar>
          <w:top w:w="0" w:type="dxa"/>
          <w:left w:w="0" w:type="dxa"/>
          <w:bottom w:w="0" w:type="dxa"/>
          <w:right w:w="0" w:type="dxa"/>
        </w:tblCellMar>
      </w:tblPr>
      <w:tblGrid>
        <w:gridCol w:w="606"/>
        <w:gridCol w:w="3526"/>
        <w:gridCol w:w="1560"/>
        <w:gridCol w:w="2100"/>
        <w:gridCol w:w="1410"/>
        <w:gridCol w:w="1372"/>
        <w:gridCol w:w="1373"/>
        <w:gridCol w:w="760"/>
        <w:gridCol w:w="1200"/>
      </w:tblGrid>
      <w:tr w14:paraId="03FCFE9C">
        <w:tblPrEx>
          <w:tblCellMar>
            <w:top w:w="0" w:type="dxa"/>
            <w:left w:w="0" w:type="dxa"/>
            <w:bottom w:w="0" w:type="dxa"/>
            <w:right w:w="0" w:type="dxa"/>
          </w:tblCellMar>
        </w:tblPrEx>
        <w:trPr>
          <w:trHeight w:val="1010"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4D8DC8BA">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rPr>
              <w:t>序号</w:t>
            </w: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48B281B6">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eastAsia="zh-CN"/>
              </w:rPr>
            </w:pPr>
            <w:r>
              <w:rPr>
                <w:rFonts w:hint="eastAsia" w:ascii="宋体" w:hAnsi="宋体" w:eastAsia="宋体" w:cs="宋体"/>
                <w:color w:val="auto"/>
                <w:sz w:val="18"/>
                <w:szCs w:val="18"/>
              </w:rPr>
              <w:t>投标人</w:t>
            </w:r>
            <w:r>
              <w:rPr>
                <w:rFonts w:hint="eastAsia" w:ascii="宋体" w:hAnsi="宋体" w:eastAsia="宋体" w:cs="宋体"/>
                <w:color w:val="auto"/>
                <w:sz w:val="18"/>
                <w:szCs w:val="18"/>
                <w:lang w:eastAsia="zh-CN"/>
              </w:rPr>
              <w:t>名称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D8FDF72">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rPr>
              <w:t>密封情况</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66BFB2D">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rPr>
              <w:t>投标</w:t>
            </w:r>
            <w:r>
              <w:rPr>
                <w:rFonts w:hint="eastAsia" w:ascii="宋体" w:hAnsi="宋体" w:eastAsia="宋体" w:cs="宋体"/>
                <w:color w:val="auto"/>
                <w:sz w:val="18"/>
                <w:szCs w:val="18"/>
                <w:lang w:eastAsia="zh-CN"/>
              </w:rPr>
              <w:t>报价（元）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1F42ED9">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rPr>
              <w:t>项目负责人</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50AA58E6">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eastAsia="zh-CN"/>
              </w:rPr>
            </w:pPr>
            <w:r>
              <w:rPr>
                <w:rFonts w:hint="eastAsia" w:ascii="宋体" w:hAnsi="宋体" w:eastAsia="宋体" w:cs="宋体"/>
                <w:color w:val="auto"/>
                <w:sz w:val="18"/>
                <w:szCs w:val="18"/>
                <w:lang w:eastAsia="zh-CN"/>
              </w:rPr>
              <w:t>设计服务期</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1B892B7">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质量标准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56E3F26">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rPr>
              <w:t>备注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9E2584">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rPr>
              <w:t>投标人代表签名</w:t>
            </w:r>
          </w:p>
        </w:tc>
      </w:tr>
      <w:tr w14:paraId="21B2DE7B">
        <w:tblPrEx>
          <w:tblCellMar>
            <w:top w:w="0" w:type="dxa"/>
            <w:left w:w="0" w:type="dxa"/>
            <w:bottom w:w="0" w:type="dxa"/>
            <w:right w:w="0" w:type="dxa"/>
          </w:tblCellMar>
        </w:tblPrEx>
        <w:trPr>
          <w:trHeight w:val="511"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0590176C">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09468644">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FBD244E">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44BA2CC">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3386884">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51639C92">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972E6CF">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852D793">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89134B">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1E36FE7E">
        <w:tblPrEx>
          <w:tblCellMar>
            <w:top w:w="0" w:type="dxa"/>
            <w:left w:w="0" w:type="dxa"/>
            <w:bottom w:w="0" w:type="dxa"/>
            <w:right w:w="0" w:type="dxa"/>
          </w:tblCellMar>
        </w:tblPrEx>
        <w:trPr>
          <w:trHeight w:val="509"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1F68D275">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359FA10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0B2527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7EDDB3C">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67FC72">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20A5465F">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330881F">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72E1D5B">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B0C076">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72900F7E">
        <w:tblPrEx>
          <w:tblCellMar>
            <w:top w:w="0" w:type="dxa"/>
            <w:left w:w="0" w:type="dxa"/>
            <w:bottom w:w="0" w:type="dxa"/>
            <w:right w:w="0" w:type="dxa"/>
          </w:tblCellMar>
        </w:tblPrEx>
        <w:trPr>
          <w:trHeight w:val="511"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59674126">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39E9AF6C">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E37C609">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D49BD86">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DEDBB03">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098AB4B">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0EDEE4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FED5DD2">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72149F">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031EE894">
        <w:tblPrEx>
          <w:tblCellMar>
            <w:top w:w="0" w:type="dxa"/>
            <w:left w:w="0" w:type="dxa"/>
            <w:bottom w:w="0" w:type="dxa"/>
            <w:right w:w="0" w:type="dxa"/>
          </w:tblCellMar>
        </w:tblPrEx>
        <w:trPr>
          <w:trHeight w:val="509"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0BF32F09">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71DE5ED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1E92553">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80FA03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75B46D6">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433F432">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EF242C1">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A5AE71C">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35305F">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53F50CED">
        <w:tblPrEx>
          <w:tblCellMar>
            <w:top w:w="0" w:type="dxa"/>
            <w:left w:w="0" w:type="dxa"/>
            <w:bottom w:w="0" w:type="dxa"/>
            <w:right w:w="0" w:type="dxa"/>
          </w:tblCellMar>
        </w:tblPrEx>
        <w:trPr>
          <w:trHeight w:val="511"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67469B1">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627DD737">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12CB8A">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A68E4C1">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2A315D4">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310F737A">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D477EBD">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2C7C2C6">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D2E9C9">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55671629">
        <w:tblPrEx>
          <w:tblCellMar>
            <w:top w:w="0" w:type="dxa"/>
            <w:left w:w="0" w:type="dxa"/>
            <w:bottom w:w="0" w:type="dxa"/>
            <w:right w:w="0" w:type="dxa"/>
          </w:tblCellMar>
        </w:tblPrEx>
        <w:trPr>
          <w:trHeight w:val="511"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74A31FD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6C65C599">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17AF883">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BA1BC19">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E186117">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75AFAC56">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8429648">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7AA58C4">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44CF4C">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72D31B8A">
        <w:tblPrEx>
          <w:tblCellMar>
            <w:top w:w="0" w:type="dxa"/>
            <w:left w:w="0" w:type="dxa"/>
            <w:bottom w:w="0" w:type="dxa"/>
            <w:right w:w="0" w:type="dxa"/>
          </w:tblCellMar>
        </w:tblPrEx>
        <w:trPr>
          <w:trHeight w:val="511"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2021F0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0C55E2F7">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4B7AB55">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113619A">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379F03">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2B099E28">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7C32EE1">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5F8ECD1">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6E37BCA">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22AED621">
        <w:tblPrEx>
          <w:tblCellMar>
            <w:top w:w="0" w:type="dxa"/>
            <w:left w:w="0" w:type="dxa"/>
            <w:bottom w:w="0" w:type="dxa"/>
            <w:right w:w="0" w:type="dxa"/>
          </w:tblCellMar>
        </w:tblPrEx>
        <w:trPr>
          <w:trHeight w:val="509" w:hRule="exac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A9BBD6B">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14:paraId="5E8EEE5D">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2279C4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9207647">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910EAD7">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6936BD24">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9B2D980">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8194B41">
            <w:pPr>
              <w:keepNext w:val="0"/>
              <w:keepLines w:val="0"/>
              <w:suppressLineNumbers w:val="0"/>
              <w:spacing w:before="0" w:beforeAutospacing="0" w:after="0" w:afterAutospacing="0"/>
              <w:ind w:left="0" w:right="0"/>
              <w:jc w:val="center"/>
              <w:rPr>
                <w:rFonts w:hint="default" w:ascii="宋体" w:hAnsi="宋体" w:eastAsia="宋体" w:cs="宋体"/>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94BA8A">
            <w:pPr>
              <w:keepNext w:val="0"/>
              <w:keepLines w:val="0"/>
              <w:suppressLineNumbers w:val="0"/>
              <w:spacing w:before="0" w:beforeAutospacing="0" w:after="0" w:afterAutospacing="0"/>
              <w:ind w:left="0" w:right="0"/>
              <w:jc w:val="center"/>
              <w:rPr>
                <w:rFonts w:hint="default" w:ascii="宋体" w:hAnsi="宋体" w:eastAsia="宋体" w:cs="宋体"/>
                <w:color w:val="auto"/>
              </w:rPr>
            </w:pPr>
          </w:p>
        </w:tc>
      </w:tr>
      <w:tr w14:paraId="56992237">
        <w:tblPrEx>
          <w:tblCellMar>
            <w:top w:w="0" w:type="dxa"/>
            <w:left w:w="0" w:type="dxa"/>
            <w:bottom w:w="0" w:type="dxa"/>
            <w:right w:w="0" w:type="dxa"/>
          </w:tblCellMar>
        </w:tblPrEx>
        <w:trPr>
          <w:trHeight w:val="511" w:hRule="exact"/>
        </w:trPr>
        <w:tc>
          <w:tcPr>
            <w:tcW w:w="5692" w:type="dxa"/>
            <w:gridSpan w:val="3"/>
            <w:tcBorders>
              <w:top w:val="single" w:color="000000" w:sz="4" w:space="0"/>
              <w:left w:val="single" w:color="000000" w:sz="4" w:space="0"/>
              <w:bottom w:val="single" w:color="000000" w:sz="4" w:space="0"/>
              <w:right w:val="single" w:color="000000" w:sz="4" w:space="0"/>
            </w:tcBorders>
            <w:noWrap w:val="0"/>
            <w:vAlign w:val="center"/>
          </w:tcPr>
          <w:p w14:paraId="21ABD42B">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最高投标限价：</w:t>
            </w:r>
          </w:p>
        </w:tc>
        <w:tc>
          <w:tcPr>
            <w:tcW w:w="8215" w:type="dxa"/>
            <w:gridSpan w:val="6"/>
            <w:tcBorders>
              <w:top w:val="single" w:color="auto" w:sz="4" w:space="0"/>
              <w:bottom w:val="single" w:color="auto" w:sz="4" w:space="0"/>
              <w:right w:val="single" w:color="auto" w:sz="4" w:space="0"/>
            </w:tcBorders>
            <w:noWrap w:val="0"/>
            <w:vAlign w:val="top"/>
          </w:tcPr>
          <w:p w14:paraId="6C2E980A">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bl>
    <w:p w14:paraId="3238FD9E">
      <w:pPr>
        <w:rPr>
          <w:rFonts w:ascii="宋体" w:hAnsi="宋体" w:eastAsia="宋体" w:cs="宋体"/>
          <w:color w:val="auto"/>
          <w:sz w:val="20"/>
          <w:szCs w:val="20"/>
        </w:rPr>
      </w:pPr>
    </w:p>
    <w:p w14:paraId="3A9D0F1A">
      <w:pPr>
        <w:pStyle w:val="2"/>
        <w:tabs>
          <w:tab w:val="left" w:pos="2264"/>
          <w:tab w:val="left" w:pos="3057"/>
          <w:tab w:val="left" w:pos="4679"/>
          <w:tab w:val="left" w:pos="5366"/>
          <w:tab w:val="left" w:pos="6989"/>
        </w:tabs>
        <w:ind w:left="0"/>
        <w:rPr>
          <w:color w:val="auto"/>
          <w:sz w:val="27"/>
          <w:szCs w:val="27"/>
          <w:lang w:eastAsia="zh-CN"/>
        </w:rPr>
      </w:pPr>
      <w:r>
        <w:rPr>
          <w:color w:val="auto"/>
          <w:spacing w:val="-2"/>
          <w:lang w:eastAsia="zh-CN"/>
        </w:rPr>
        <w:t>招标人代表：</w:t>
      </w:r>
      <w:r>
        <w:rPr>
          <w:color w:val="auto"/>
          <w:spacing w:val="-2"/>
          <w:u w:val="single" w:color="000000"/>
          <w:lang w:eastAsia="zh-CN"/>
        </w:rPr>
        <w:tab/>
      </w:r>
      <w:r>
        <w:rPr>
          <w:color w:val="auto"/>
          <w:spacing w:val="-2"/>
          <w:lang w:eastAsia="zh-CN"/>
        </w:rPr>
        <w:tab/>
      </w:r>
      <w:r>
        <w:rPr>
          <w:color w:val="auto"/>
          <w:spacing w:val="-2"/>
          <w:lang w:eastAsia="zh-CN"/>
        </w:rPr>
        <w:t>记录人：</w:t>
      </w:r>
      <w:r>
        <w:rPr>
          <w:color w:val="auto"/>
          <w:spacing w:val="-2"/>
          <w:u w:val="single" w:color="000000"/>
          <w:lang w:eastAsia="zh-CN"/>
        </w:rPr>
        <w:tab/>
      </w:r>
      <w:r>
        <w:rPr>
          <w:color w:val="auto"/>
          <w:spacing w:val="-2"/>
          <w:lang w:eastAsia="zh-CN"/>
        </w:rPr>
        <w:tab/>
      </w:r>
      <w:r>
        <w:rPr>
          <w:color w:val="auto"/>
          <w:spacing w:val="-2"/>
          <w:lang w:eastAsia="zh-CN"/>
        </w:rPr>
        <w:t>监标人：</w:t>
      </w:r>
      <w:r>
        <w:rPr>
          <w:color w:val="auto"/>
          <w:u w:val="single" w:color="000000"/>
          <w:lang w:eastAsia="zh-CN"/>
        </w:rPr>
        <w:tab/>
      </w:r>
    </w:p>
    <w:p w14:paraId="0DF01436">
      <w:pPr>
        <w:pStyle w:val="2"/>
        <w:tabs>
          <w:tab w:val="left" w:pos="736"/>
          <w:tab w:val="left" w:pos="1682"/>
          <w:tab w:val="left" w:pos="2626"/>
        </w:tabs>
        <w:ind w:left="0"/>
        <w:jc w:val="right"/>
        <w:rPr>
          <w:color w:val="auto"/>
          <w:lang w:eastAsia="zh-CN"/>
        </w:rPr>
      </w:pPr>
      <w:r>
        <w:rPr>
          <w:color w:val="auto"/>
          <w:u w:val="single" w:color="000000"/>
          <w:lang w:eastAsia="zh-CN"/>
        </w:rPr>
        <w:tab/>
      </w:r>
      <w:r>
        <w:rPr>
          <w:color w:val="auto"/>
          <w:lang w:eastAsia="zh-CN"/>
        </w:rPr>
        <w:t>年</w:t>
      </w:r>
      <w:r>
        <w:rPr>
          <w:color w:val="auto"/>
          <w:u w:val="single" w:color="000000"/>
          <w:lang w:eastAsia="zh-CN"/>
        </w:rPr>
        <w:tab/>
      </w:r>
      <w:r>
        <w:rPr>
          <w:color w:val="auto"/>
          <w:spacing w:val="-3"/>
          <w:lang w:eastAsia="zh-CN"/>
        </w:rPr>
        <w:t>月</w:t>
      </w:r>
      <w:r>
        <w:rPr>
          <w:color w:val="auto"/>
          <w:spacing w:val="-3"/>
          <w:u w:val="single" w:color="000000"/>
          <w:lang w:eastAsia="zh-CN"/>
        </w:rPr>
        <w:tab/>
      </w:r>
      <w:r>
        <w:rPr>
          <w:color w:val="auto"/>
          <w:lang w:eastAsia="zh-CN"/>
        </w:rPr>
        <w:t>日</w:t>
      </w:r>
    </w:p>
    <w:p w14:paraId="5E2C41F6">
      <w:pPr>
        <w:pStyle w:val="2"/>
        <w:tabs>
          <w:tab w:val="left" w:pos="736"/>
          <w:tab w:val="left" w:pos="1682"/>
          <w:tab w:val="left" w:pos="2626"/>
        </w:tabs>
        <w:ind w:left="0"/>
        <w:rPr>
          <w:color w:val="auto"/>
          <w:lang w:eastAsia="zh-CN"/>
        </w:rPr>
        <w:sectPr>
          <w:footerReference r:id="rId5" w:type="default"/>
          <w:pgSz w:w="16839" w:h="11907" w:orient="landscape"/>
          <w:pgMar w:top="1440" w:right="1440" w:bottom="1440" w:left="1440" w:header="0" w:footer="918" w:gutter="0"/>
          <w:cols w:space="720" w:num="1"/>
        </w:sectPr>
      </w:pPr>
      <w:r>
        <w:rPr>
          <w:rFonts w:hint="eastAsia"/>
          <w:b/>
          <w:color w:val="auto"/>
          <w:u w:val="single"/>
          <w:lang w:eastAsia="zh-CN"/>
        </w:rPr>
        <w:t>本表仅供参考，具体以开标时的开标记录表为准。</w:t>
      </w:r>
    </w:p>
    <w:p w14:paraId="3259D973">
      <w:pPr>
        <w:pStyle w:val="6"/>
        <w:spacing w:line="363" w:lineRule="exact"/>
        <w:ind w:left="357"/>
        <w:rPr>
          <w:b/>
          <w:bCs/>
          <w:color w:val="auto"/>
          <w:lang w:eastAsia="zh-CN"/>
        </w:rPr>
      </w:pPr>
      <w:r>
        <w:rPr>
          <w:b/>
          <w:bCs/>
          <w:color w:val="auto"/>
          <w:lang w:eastAsia="zh-CN"/>
        </w:rPr>
        <w:t>附件二：问题澄清通知</w:t>
      </w:r>
    </w:p>
    <w:p w14:paraId="6762BF2C">
      <w:pPr>
        <w:rPr>
          <w:rFonts w:ascii="宋体" w:hAnsi="宋体" w:eastAsia="宋体" w:cs="宋体"/>
          <w:color w:val="auto"/>
          <w:sz w:val="20"/>
          <w:szCs w:val="20"/>
          <w:lang w:eastAsia="zh-CN"/>
        </w:rPr>
      </w:pPr>
    </w:p>
    <w:p w14:paraId="4DBE4673">
      <w:pPr>
        <w:rPr>
          <w:rFonts w:ascii="宋体" w:hAnsi="宋体" w:eastAsia="宋体" w:cs="宋体"/>
          <w:color w:val="auto"/>
          <w:sz w:val="20"/>
          <w:szCs w:val="20"/>
          <w:lang w:eastAsia="zh-CN"/>
        </w:rPr>
      </w:pPr>
    </w:p>
    <w:p w14:paraId="5058F514">
      <w:pPr>
        <w:rPr>
          <w:rFonts w:ascii="宋体" w:hAnsi="宋体" w:eastAsia="宋体" w:cs="宋体"/>
          <w:color w:val="auto"/>
          <w:sz w:val="20"/>
          <w:szCs w:val="20"/>
          <w:lang w:eastAsia="zh-CN"/>
        </w:rPr>
      </w:pPr>
    </w:p>
    <w:p w14:paraId="74F403CD">
      <w:pPr>
        <w:spacing w:before="4"/>
        <w:rPr>
          <w:rFonts w:ascii="宋体" w:hAnsi="宋体" w:eastAsia="宋体" w:cs="宋体"/>
          <w:color w:val="auto"/>
          <w:sz w:val="17"/>
          <w:szCs w:val="17"/>
          <w:lang w:eastAsia="zh-CN"/>
        </w:rPr>
      </w:pPr>
    </w:p>
    <w:p w14:paraId="042081FF">
      <w:pPr>
        <w:spacing w:before="14" w:line="360" w:lineRule="auto"/>
        <w:ind w:right="13"/>
        <w:jc w:val="center"/>
        <w:rPr>
          <w:rFonts w:ascii="宋体" w:hAnsi="宋体" w:eastAsia="宋体" w:cs="宋体"/>
          <w:color w:val="auto"/>
          <w:sz w:val="28"/>
          <w:szCs w:val="28"/>
          <w:lang w:eastAsia="zh-CN"/>
        </w:rPr>
      </w:pPr>
      <w:r>
        <w:rPr>
          <w:rFonts w:ascii="宋体" w:hAnsi="宋体" w:eastAsia="宋体" w:cs="宋体"/>
          <w:b/>
          <w:bCs/>
          <w:color w:val="auto"/>
          <w:sz w:val="28"/>
          <w:szCs w:val="28"/>
          <w:lang w:eastAsia="zh-CN"/>
        </w:rPr>
        <w:t>问题澄清通知</w:t>
      </w:r>
    </w:p>
    <w:p w14:paraId="3F07C0D1">
      <w:pPr>
        <w:pStyle w:val="2"/>
        <w:tabs>
          <w:tab w:val="left" w:pos="5671"/>
          <w:tab w:val="left" w:pos="6617"/>
          <w:tab w:val="left" w:pos="7560"/>
        </w:tabs>
        <w:spacing w:line="360" w:lineRule="auto"/>
        <w:ind w:left="0"/>
        <w:jc w:val="center"/>
        <w:rPr>
          <w:color w:val="auto"/>
          <w:sz w:val="24"/>
          <w:szCs w:val="24"/>
          <w:lang w:eastAsia="zh-CN"/>
        </w:rPr>
      </w:pPr>
      <w:r>
        <w:rPr>
          <w:rFonts w:hint="eastAsia"/>
          <w:color w:val="auto"/>
          <w:sz w:val="24"/>
          <w:szCs w:val="24"/>
          <w:lang w:eastAsia="zh-CN"/>
        </w:rPr>
        <w:t>（按广州交易集团有限公司（广州公共资源交易中心）格式）</w:t>
      </w:r>
    </w:p>
    <w:p w14:paraId="4028B58D">
      <w:pPr>
        <w:pStyle w:val="6"/>
        <w:spacing w:line="363" w:lineRule="exact"/>
        <w:ind w:left="357"/>
        <w:rPr>
          <w:b/>
          <w:bCs/>
          <w:color w:val="auto"/>
          <w:lang w:eastAsia="zh-CN"/>
        </w:rPr>
      </w:pPr>
      <w:r>
        <w:rPr>
          <w:color w:val="auto"/>
          <w:sz w:val="24"/>
          <w:szCs w:val="24"/>
          <w:lang w:eastAsia="zh-CN"/>
        </w:rPr>
        <w:br w:type="page"/>
      </w:r>
      <w:r>
        <w:rPr>
          <w:b/>
          <w:bCs/>
          <w:color w:val="auto"/>
          <w:lang w:eastAsia="zh-CN"/>
        </w:rPr>
        <w:t>附件三：问题的澄清</w:t>
      </w:r>
    </w:p>
    <w:p w14:paraId="3FDD78EB">
      <w:pPr>
        <w:rPr>
          <w:rFonts w:ascii="宋体" w:hAnsi="宋体" w:eastAsia="宋体" w:cs="宋体"/>
          <w:color w:val="auto"/>
          <w:sz w:val="20"/>
          <w:szCs w:val="20"/>
          <w:lang w:eastAsia="zh-CN"/>
        </w:rPr>
      </w:pPr>
    </w:p>
    <w:p w14:paraId="5F74738A">
      <w:pPr>
        <w:rPr>
          <w:rFonts w:ascii="宋体" w:hAnsi="宋体" w:eastAsia="宋体" w:cs="宋体"/>
          <w:color w:val="auto"/>
          <w:sz w:val="20"/>
          <w:szCs w:val="20"/>
          <w:lang w:eastAsia="zh-CN"/>
        </w:rPr>
      </w:pPr>
    </w:p>
    <w:p w14:paraId="40FC8C73">
      <w:pPr>
        <w:rPr>
          <w:rFonts w:ascii="宋体" w:hAnsi="宋体" w:eastAsia="宋体" w:cs="宋体"/>
          <w:color w:val="auto"/>
          <w:sz w:val="20"/>
          <w:szCs w:val="20"/>
          <w:lang w:eastAsia="zh-CN"/>
        </w:rPr>
      </w:pPr>
    </w:p>
    <w:p w14:paraId="29022401">
      <w:pPr>
        <w:spacing w:before="168" w:line="360" w:lineRule="auto"/>
        <w:ind w:right="16"/>
        <w:jc w:val="center"/>
        <w:rPr>
          <w:rFonts w:ascii="宋体" w:hAnsi="宋体" w:eastAsia="宋体" w:cs="宋体"/>
          <w:b/>
          <w:bCs/>
          <w:color w:val="auto"/>
          <w:sz w:val="28"/>
          <w:szCs w:val="28"/>
          <w:lang w:eastAsia="zh-CN"/>
        </w:rPr>
      </w:pPr>
      <w:r>
        <w:rPr>
          <w:rFonts w:ascii="宋体" w:hAnsi="宋体" w:eastAsia="宋体" w:cs="宋体"/>
          <w:b/>
          <w:bCs/>
          <w:color w:val="auto"/>
          <w:sz w:val="28"/>
          <w:szCs w:val="28"/>
          <w:lang w:eastAsia="zh-CN"/>
        </w:rPr>
        <w:t>问题的澄清</w:t>
      </w:r>
    </w:p>
    <w:p w14:paraId="30D4E0F2">
      <w:pPr>
        <w:pStyle w:val="2"/>
        <w:tabs>
          <w:tab w:val="left" w:pos="5671"/>
          <w:tab w:val="left" w:pos="6617"/>
          <w:tab w:val="left" w:pos="7560"/>
        </w:tabs>
        <w:spacing w:line="360" w:lineRule="auto"/>
        <w:ind w:left="0"/>
        <w:jc w:val="center"/>
        <w:rPr>
          <w:color w:val="auto"/>
          <w:sz w:val="24"/>
          <w:szCs w:val="24"/>
          <w:lang w:eastAsia="zh-CN"/>
        </w:rPr>
      </w:pPr>
      <w:r>
        <w:rPr>
          <w:rFonts w:hint="eastAsia"/>
          <w:color w:val="auto"/>
          <w:sz w:val="24"/>
          <w:szCs w:val="24"/>
          <w:lang w:eastAsia="zh-CN"/>
        </w:rPr>
        <w:t>（按广州交易集团有限公司（广州公共资源交易中心）格式）</w:t>
      </w:r>
    </w:p>
    <w:p w14:paraId="39C53734">
      <w:pPr>
        <w:pStyle w:val="6"/>
        <w:spacing w:line="363" w:lineRule="exact"/>
        <w:ind w:left="357"/>
        <w:rPr>
          <w:b/>
          <w:bCs/>
          <w:color w:val="auto"/>
          <w:lang w:eastAsia="zh-CN"/>
        </w:rPr>
      </w:pPr>
      <w:r>
        <w:rPr>
          <w:color w:val="auto"/>
          <w:sz w:val="24"/>
          <w:szCs w:val="24"/>
          <w:lang w:eastAsia="zh-CN"/>
        </w:rPr>
        <w:br w:type="page"/>
      </w:r>
      <w:r>
        <w:rPr>
          <w:b/>
          <w:bCs/>
          <w:color w:val="auto"/>
          <w:lang w:eastAsia="zh-CN"/>
        </w:rPr>
        <w:t>附件四：</w:t>
      </w:r>
      <w:r>
        <w:rPr>
          <w:rFonts w:hint="eastAsia" w:cs="宋体"/>
          <w:b/>
          <w:bCs/>
          <w:color w:val="auto"/>
          <w:lang w:eastAsia="zh-CN"/>
        </w:rPr>
        <w:t>评标委员会成员声明</w:t>
      </w:r>
    </w:p>
    <w:p w14:paraId="4E61E217">
      <w:pPr>
        <w:rPr>
          <w:rFonts w:ascii="宋体" w:hAnsi="宋体" w:eastAsia="宋体" w:cs="宋体"/>
          <w:color w:val="auto"/>
          <w:sz w:val="20"/>
          <w:szCs w:val="20"/>
          <w:lang w:eastAsia="zh-CN"/>
        </w:rPr>
      </w:pPr>
    </w:p>
    <w:p w14:paraId="1D7F2424">
      <w:pPr>
        <w:spacing w:line="360" w:lineRule="auto"/>
        <w:rPr>
          <w:rFonts w:hint="eastAsia" w:ascii="宋体" w:hAnsi="宋体" w:cs="宋体"/>
          <w:color w:val="auto"/>
          <w:sz w:val="24"/>
          <w:lang w:eastAsia="zh-CN"/>
        </w:rPr>
      </w:pPr>
      <w:r>
        <w:rPr>
          <w:rFonts w:hint="eastAsia" w:ascii="宋体" w:hAnsi="宋体" w:cs="宋体"/>
          <w:color w:val="auto"/>
          <w:sz w:val="24"/>
          <w:u w:val="single"/>
          <w:lang w:eastAsia="zh-CN"/>
        </w:rPr>
        <w:t xml:space="preserve">  本项目招标人  </w:t>
      </w:r>
      <w:r>
        <w:rPr>
          <w:rFonts w:hint="eastAsia" w:ascii="宋体" w:hAnsi="宋体" w:cs="宋体"/>
          <w:color w:val="auto"/>
          <w:sz w:val="24"/>
          <w:lang w:eastAsia="zh-CN"/>
        </w:rPr>
        <w:t>：</w:t>
      </w:r>
    </w:p>
    <w:p w14:paraId="2A03A3B2">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本人就参与</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项目的评标工作，作出郑重声明：</w:t>
      </w:r>
    </w:p>
    <w:p w14:paraId="42F70E4E">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94C636F">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321E15B">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BBE84FB">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65DB64E">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57BE965">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如果本人违反上述声明内容，造成的后果由本人自行承担。</w:t>
      </w:r>
    </w:p>
    <w:p w14:paraId="583FD2F5">
      <w:pPr>
        <w:rPr>
          <w:rFonts w:hint="eastAsia" w:ascii="宋体" w:hAnsi="宋体" w:cs="宋体"/>
          <w:color w:val="auto"/>
          <w:sz w:val="24"/>
          <w:szCs w:val="24"/>
          <w:u w:val="single"/>
          <w:lang w:eastAsia="zh-CN"/>
        </w:rPr>
      </w:pPr>
      <w:r>
        <w:rPr>
          <w:rFonts w:hint="eastAsia" w:ascii="宋体" w:hAnsi="宋体" w:cs="宋体"/>
          <w:color w:val="auto"/>
          <w:sz w:val="24"/>
          <w:szCs w:val="24"/>
          <w:lang w:eastAsia="zh-CN"/>
        </w:rPr>
        <w:t xml:space="preserve">                             </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声明人：</w:t>
      </w:r>
      <w:r>
        <w:rPr>
          <w:rFonts w:hint="eastAsia" w:ascii="宋体" w:hAnsi="宋体" w:cs="宋体"/>
          <w:color w:val="auto"/>
          <w:sz w:val="24"/>
          <w:szCs w:val="24"/>
          <w:u w:val="single"/>
          <w:lang w:eastAsia="zh-CN"/>
        </w:rPr>
        <w:t xml:space="preserve">（签名）  </w:t>
      </w:r>
    </w:p>
    <w:p w14:paraId="3609CBE1">
      <w:pPr>
        <w:ind w:firstLine="3600" w:firstLineChars="1500"/>
        <w:rPr>
          <w:color w:val="auto"/>
          <w:sz w:val="24"/>
          <w:szCs w:val="24"/>
          <w:lang w:eastAsia="zh-CN"/>
        </w:rPr>
      </w:pPr>
      <w:r>
        <w:rPr>
          <w:rFonts w:hint="eastAsia" w:ascii="宋体" w:hAnsi="宋体" w:cs="宋体"/>
          <w:color w:val="auto"/>
          <w:sz w:val="24"/>
          <w:szCs w:val="24"/>
          <w:lang w:eastAsia="zh-CN"/>
        </w:rPr>
        <w:t>日 期：</w:t>
      </w:r>
      <w:bookmarkStart w:id="27" w:name="_Toc25152742"/>
      <w:bookmarkStart w:id="28" w:name="_Toc25137992"/>
    </w:p>
    <w:p w14:paraId="2BAE4928">
      <w:pPr>
        <w:pStyle w:val="3"/>
        <w:jc w:val="center"/>
        <w:rPr>
          <w:color w:val="auto"/>
          <w:sz w:val="24"/>
          <w:szCs w:val="24"/>
          <w:lang w:eastAsia="zh-CN"/>
        </w:rPr>
      </w:pPr>
    </w:p>
    <w:p w14:paraId="17F30608">
      <w:pPr>
        <w:pStyle w:val="3"/>
        <w:jc w:val="center"/>
        <w:rPr>
          <w:rFonts w:ascii="宋体" w:hAnsi="宋体" w:eastAsia="宋体"/>
          <w:color w:val="auto"/>
          <w:lang w:eastAsia="zh-CN"/>
        </w:rPr>
      </w:pPr>
    </w:p>
    <w:p w14:paraId="087AB152">
      <w:pPr>
        <w:pStyle w:val="3"/>
        <w:jc w:val="center"/>
        <w:rPr>
          <w:rFonts w:ascii="宋体" w:hAnsi="宋体" w:eastAsia="宋体"/>
          <w:color w:val="auto"/>
          <w:lang w:eastAsia="zh-CN"/>
        </w:rPr>
      </w:pPr>
      <w:r>
        <w:rPr>
          <w:rFonts w:ascii="宋体" w:hAnsi="宋体" w:eastAsia="宋体"/>
          <w:color w:val="auto"/>
          <w:lang w:eastAsia="zh-CN"/>
        </w:rPr>
        <w:t>第三章</w:t>
      </w:r>
      <w:r>
        <w:rPr>
          <w:rFonts w:hint="eastAsia" w:ascii="宋体" w:hAnsi="宋体" w:eastAsia="宋体"/>
          <w:color w:val="auto"/>
          <w:lang w:eastAsia="zh-CN"/>
        </w:rPr>
        <w:t xml:space="preserve">  </w:t>
      </w:r>
      <w:r>
        <w:rPr>
          <w:rFonts w:ascii="宋体" w:hAnsi="宋体" w:eastAsia="宋体"/>
          <w:color w:val="auto"/>
          <w:lang w:eastAsia="zh-CN"/>
        </w:rPr>
        <w:t>评标办法（综合评估法）</w:t>
      </w:r>
      <w:bookmarkEnd w:id="27"/>
      <w:bookmarkEnd w:id="28"/>
    </w:p>
    <w:p w14:paraId="3EF989A2">
      <w:pPr>
        <w:pStyle w:val="5"/>
        <w:ind w:left="120"/>
        <w:jc w:val="center"/>
        <w:rPr>
          <w:rFonts w:ascii="宋体" w:hAnsi="宋体" w:eastAsia="宋体"/>
          <w:color w:val="auto"/>
          <w:lang w:eastAsia="zh-CN"/>
        </w:rPr>
      </w:pPr>
      <w:bookmarkStart w:id="29" w:name="_Toc25137993"/>
      <w:bookmarkStart w:id="30" w:name="_Toc25152743"/>
      <w:r>
        <w:rPr>
          <w:rFonts w:ascii="宋体" w:hAnsi="宋体" w:eastAsia="宋体"/>
          <w:color w:val="auto"/>
        </w:rPr>
        <w:t>评标办法前附表</w:t>
      </w:r>
      <w:bookmarkEnd w:id="29"/>
      <w:bookmarkEnd w:id="30"/>
    </w:p>
    <w:tbl>
      <w:tblPr>
        <w:tblStyle w:val="24"/>
        <w:tblW w:w="9037" w:type="dxa"/>
        <w:tblInd w:w="0" w:type="dxa"/>
        <w:tblLayout w:type="fixed"/>
        <w:tblCellMar>
          <w:top w:w="0" w:type="dxa"/>
          <w:left w:w="0" w:type="dxa"/>
          <w:bottom w:w="0" w:type="dxa"/>
          <w:right w:w="0" w:type="dxa"/>
        </w:tblCellMar>
      </w:tblPr>
      <w:tblGrid>
        <w:gridCol w:w="609"/>
        <w:gridCol w:w="921"/>
        <w:gridCol w:w="1867"/>
        <w:gridCol w:w="5640"/>
      </w:tblGrid>
      <w:tr w14:paraId="464E1D31">
        <w:tblPrEx>
          <w:tblCellMar>
            <w:top w:w="0" w:type="dxa"/>
            <w:left w:w="0" w:type="dxa"/>
            <w:bottom w:w="0" w:type="dxa"/>
            <w:right w:w="0" w:type="dxa"/>
          </w:tblCellMar>
        </w:tblPrEx>
        <w:trPr>
          <w:tblHeader/>
        </w:trPr>
        <w:tc>
          <w:tcPr>
            <w:tcW w:w="609" w:type="dxa"/>
            <w:tcBorders>
              <w:top w:val="single" w:color="000000" w:sz="4" w:space="0"/>
              <w:left w:val="single" w:color="000000" w:sz="4" w:space="0"/>
              <w:bottom w:val="single" w:color="000000" w:sz="4" w:space="0"/>
              <w:right w:val="single" w:color="000000" w:sz="4" w:space="0"/>
            </w:tcBorders>
            <w:noWrap w:val="0"/>
            <w:vAlign w:val="center"/>
          </w:tcPr>
          <w:p w14:paraId="4C794942">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bookmarkStart w:id="31" w:name="_Hlk106266746"/>
            <w:r>
              <w:rPr>
                <w:rFonts w:hint="default" w:ascii="宋体" w:hAnsi="宋体" w:eastAsia="宋体" w:cs="Microsoft JhengHei"/>
                <w:b/>
                <w:bCs/>
                <w:color w:val="auto"/>
                <w:sz w:val="21"/>
                <w:szCs w:val="21"/>
              </w:rPr>
              <w:t>条款号</w:t>
            </w:r>
          </w:p>
        </w:tc>
        <w:tc>
          <w:tcPr>
            <w:tcW w:w="2788" w:type="dxa"/>
            <w:gridSpan w:val="2"/>
            <w:tcBorders>
              <w:top w:val="single" w:color="000000" w:sz="4" w:space="0"/>
              <w:left w:val="single" w:color="000000" w:sz="4" w:space="0"/>
              <w:bottom w:val="single" w:color="000000" w:sz="4" w:space="0"/>
              <w:right w:val="single" w:color="000000" w:sz="4" w:space="0"/>
            </w:tcBorders>
            <w:noWrap w:val="0"/>
            <w:vAlign w:val="center"/>
          </w:tcPr>
          <w:p w14:paraId="4B5CE3D5">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评审因素</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7FB18482">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评审标准</w:t>
            </w:r>
          </w:p>
        </w:tc>
      </w:tr>
      <w:tr w14:paraId="3BA8D519">
        <w:tblPrEx>
          <w:tblCellMar>
            <w:top w:w="0" w:type="dxa"/>
            <w:left w:w="0" w:type="dxa"/>
            <w:bottom w:w="0" w:type="dxa"/>
            <w:right w:w="0" w:type="dxa"/>
          </w:tblCellMar>
        </w:tblPrEx>
        <w:tc>
          <w:tcPr>
            <w:tcW w:w="609" w:type="dxa"/>
            <w:tcBorders>
              <w:top w:val="single" w:color="000000" w:sz="4" w:space="0"/>
              <w:left w:val="single" w:color="000000" w:sz="4" w:space="0"/>
              <w:bottom w:val="single" w:color="000000" w:sz="4" w:space="0"/>
              <w:right w:val="single" w:color="000000" w:sz="4" w:space="0"/>
            </w:tcBorders>
            <w:noWrap w:val="0"/>
            <w:vAlign w:val="center"/>
          </w:tcPr>
          <w:p w14:paraId="5EEB138B">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rPr>
            </w:pPr>
            <w:r>
              <w:rPr>
                <w:rFonts w:hint="default" w:ascii="宋体" w:hAnsi="宋体" w:eastAsia="宋体" w:cs="Times New Roman"/>
                <w:color w:val="auto"/>
                <w:sz w:val="21"/>
                <w:szCs w:val="21"/>
              </w:rPr>
              <w:t>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461DE3E">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评标方法</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2DB24E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中标候选人排序</w:t>
            </w:r>
          </w:p>
          <w:p w14:paraId="7A2E2CE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方法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179AFF16">
            <w:pPr>
              <w:keepNext w:val="0"/>
              <w:keepLines w:val="0"/>
              <w:suppressLineNumbers w:val="0"/>
              <w:spacing w:before="0" w:beforeAutospacing="0" w:after="0" w:afterAutospacing="0" w:line="360" w:lineRule="exact"/>
              <w:ind w:left="0" w:right="0"/>
              <w:jc w:val="both"/>
              <w:rPr>
                <w:rFonts w:hint="default" w:ascii="宋体" w:hAnsi="宋体" w:eastAsia="宋体" w:cs="Times New Roman"/>
                <w:color w:val="auto"/>
                <w:sz w:val="21"/>
                <w:szCs w:val="21"/>
                <w:u w:val="single"/>
                <w:lang w:eastAsia="zh-CN"/>
              </w:rPr>
            </w:pPr>
            <w:r>
              <w:rPr>
                <w:rFonts w:hint="eastAsia" w:ascii="宋体" w:hAnsi="宋体" w:eastAsia="宋体" w:cs="Times New Roman"/>
                <w:color w:val="auto"/>
                <w:sz w:val="21"/>
                <w:szCs w:val="21"/>
                <w:u w:val="single"/>
                <w:lang w:eastAsia="zh-CN"/>
              </w:rPr>
              <w:t>本次评标采用综合评估法。评标委员会对满足招标文件实质性要求的投标文件，按照本章规定的评分标准进行打分，并按得分由高到低顺序推荐前三名做为中标候选人，综合评分相等的，以投标报价低的优先；投标报价得分也相等的，以设计方案得分高的优先；如果设计方案得分也相等，以商务得分高的优先；如仍存在相同情况，则对具有相同情况的投标人，按中标候选人数量规定，由评标委员会采用记名投票的方式，确定中标候选人的排序。</w:t>
            </w:r>
          </w:p>
        </w:tc>
      </w:tr>
      <w:tr w14:paraId="7EAE513C">
        <w:tblPrEx>
          <w:tblCellMar>
            <w:top w:w="0" w:type="dxa"/>
            <w:left w:w="0" w:type="dxa"/>
            <w:bottom w:w="0" w:type="dxa"/>
            <w:right w:w="0" w:type="dxa"/>
          </w:tblCellMar>
        </w:tblPrEx>
        <w:tc>
          <w:tcPr>
            <w:tcW w:w="609" w:type="dxa"/>
            <w:vMerge w:val="restart"/>
            <w:tcBorders>
              <w:top w:val="single" w:color="000000" w:sz="4" w:space="0"/>
              <w:left w:val="single" w:color="000000" w:sz="4" w:space="0"/>
              <w:right w:val="single" w:color="000000" w:sz="4" w:space="0"/>
            </w:tcBorders>
            <w:noWrap w:val="0"/>
            <w:vAlign w:val="center"/>
          </w:tcPr>
          <w:p w14:paraId="49E8004B">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r>
              <w:rPr>
                <w:rFonts w:hint="default" w:ascii="宋体" w:hAnsi="宋体" w:eastAsia="宋体" w:cs="Times New Roman"/>
                <w:color w:val="auto"/>
                <w:sz w:val="21"/>
                <w:szCs w:val="21"/>
              </w:rPr>
              <w:t>2.1.</w:t>
            </w:r>
            <w:r>
              <w:rPr>
                <w:rFonts w:hint="eastAsia" w:ascii="宋体" w:hAnsi="宋体" w:eastAsia="宋体" w:cs="Times New Roman"/>
                <w:color w:val="auto"/>
                <w:sz w:val="21"/>
                <w:szCs w:val="21"/>
                <w:lang w:val="en-US" w:eastAsia="zh-CN"/>
              </w:rPr>
              <w:t>1</w:t>
            </w:r>
          </w:p>
        </w:tc>
        <w:tc>
          <w:tcPr>
            <w:tcW w:w="921" w:type="dxa"/>
            <w:vMerge w:val="restart"/>
            <w:tcBorders>
              <w:top w:val="single" w:color="000000" w:sz="4" w:space="0"/>
              <w:left w:val="single" w:color="000000" w:sz="4" w:space="0"/>
              <w:right w:val="single" w:color="000000" w:sz="4" w:space="0"/>
            </w:tcBorders>
            <w:noWrap w:val="0"/>
            <w:vAlign w:val="center"/>
          </w:tcPr>
          <w:p w14:paraId="733A7902">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形式评审标准</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850F3F2">
            <w:pPr>
              <w:keepNext w:val="0"/>
              <w:keepLines w:val="0"/>
              <w:suppressLineNumbers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微软雅黑"/>
                <w:color w:val="auto"/>
                <w:sz w:val="21"/>
                <w:szCs w:val="21"/>
              </w:rPr>
              <w:t>投标人名称</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4D20E20">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与营业执照</w:t>
            </w:r>
            <w:r>
              <w:rPr>
                <w:rFonts w:hint="eastAsia" w:ascii="宋体" w:hAnsi="宋体" w:eastAsia="宋体" w:cs="宋体"/>
                <w:color w:val="auto"/>
                <w:sz w:val="21"/>
                <w:szCs w:val="21"/>
                <w:lang w:eastAsia="zh-CN"/>
              </w:rPr>
              <w:t>或事业单位法人证书</w:t>
            </w:r>
            <w:r>
              <w:rPr>
                <w:rFonts w:hint="default" w:ascii="宋体" w:hAnsi="宋体" w:eastAsia="宋体" w:cs="宋体"/>
                <w:color w:val="auto"/>
                <w:sz w:val="21"/>
                <w:szCs w:val="21"/>
                <w:lang w:eastAsia="zh-CN"/>
              </w:rPr>
              <w:t>、资质证书一致</w:t>
            </w:r>
          </w:p>
        </w:tc>
      </w:tr>
      <w:tr w14:paraId="1079BCF1">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1853689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63B747D0">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0A90476">
            <w:pPr>
              <w:keepNext w:val="0"/>
              <w:keepLines w:val="0"/>
              <w:suppressLineNumbers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微软雅黑"/>
                <w:color w:val="auto"/>
                <w:sz w:val="21"/>
                <w:szCs w:val="21"/>
              </w:rPr>
              <w:t>投标书签字盖章</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780AE095">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pacing w:val="10"/>
                <w:sz w:val="21"/>
                <w:szCs w:val="21"/>
                <w:lang w:eastAsia="zh-CN"/>
              </w:rPr>
              <w:t>有法定代表人或其委托代理人及项目负责人签字（或盖章），并加盖单位公章。由法定代表人签字（或盖章）的，应附法定代表人证明书，由代理人签字（或盖章）的，应附法定代表人证明书及授权委托书。</w:t>
            </w:r>
          </w:p>
        </w:tc>
      </w:tr>
      <w:tr w14:paraId="11180DDF">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5FF26163">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0ED93F75">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CBB1633">
            <w:pPr>
              <w:keepNext w:val="0"/>
              <w:keepLines w:val="0"/>
              <w:suppressLineNumbers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微软雅黑"/>
                <w:color w:val="auto"/>
                <w:sz w:val="21"/>
                <w:szCs w:val="21"/>
              </w:rPr>
              <w:t>投标文件格式</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65AFA40">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投标书格式</w:t>
            </w:r>
            <w:r>
              <w:rPr>
                <w:rFonts w:hint="default" w:ascii="宋体" w:hAnsi="宋体" w:eastAsia="宋体" w:cs="宋体"/>
                <w:color w:val="auto"/>
                <w:sz w:val="21"/>
                <w:szCs w:val="21"/>
                <w:lang w:eastAsia="zh-CN"/>
              </w:rPr>
              <w:t>符合第六章</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投标文件格式</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的规定</w:t>
            </w:r>
            <w:r>
              <w:rPr>
                <w:rFonts w:hint="eastAsia" w:ascii="宋体" w:hAnsi="宋体" w:eastAsia="宋体" w:cs="宋体"/>
                <w:color w:val="auto"/>
                <w:sz w:val="21"/>
                <w:szCs w:val="21"/>
                <w:lang w:eastAsia="zh-CN"/>
              </w:rPr>
              <w:t>。</w:t>
            </w:r>
          </w:p>
        </w:tc>
      </w:tr>
      <w:tr w14:paraId="46BF7942">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5C1FC0A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42518905">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721F217">
            <w:pPr>
              <w:keepNext w:val="0"/>
              <w:keepLines w:val="0"/>
              <w:suppressLineNumbers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微软雅黑"/>
                <w:color w:val="auto"/>
                <w:sz w:val="21"/>
                <w:szCs w:val="21"/>
              </w:rPr>
              <w:t>备选投标方案</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0E74071F">
            <w:pPr>
              <w:pStyle w:val="49"/>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不允许。</w:t>
            </w:r>
          </w:p>
        </w:tc>
      </w:tr>
      <w:tr w14:paraId="2692821A">
        <w:tblPrEx>
          <w:tblCellMar>
            <w:top w:w="0" w:type="dxa"/>
            <w:left w:w="0" w:type="dxa"/>
            <w:bottom w:w="0" w:type="dxa"/>
            <w:right w:w="0" w:type="dxa"/>
          </w:tblCellMar>
        </w:tblPrEx>
        <w:tc>
          <w:tcPr>
            <w:tcW w:w="609" w:type="dxa"/>
            <w:vMerge w:val="continue"/>
            <w:tcBorders>
              <w:left w:val="single" w:color="000000" w:sz="4" w:space="0"/>
              <w:bottom w:val="single" w:color="auto" w:sz="4" w:space="0"/>
              <w:right w:val="single" w:color="000000" w:sz="4" w:space="0"/>
            </w:tcBorders>
            <w:noWrap w:val="0"/>
            <w:vAlign w:val="center"/>
          </w:tcPr>
          <w:p w14:paraId="592E052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bottom w:val="single" w:color="auto" w:sz="4" w:space="0"/>
              <w:right w:val="single" w:color="000000" w:sz="4" w:space="0"/>
            </w:tcBorders>
            <w:noWrap w:val="0"/>
            <w:vAlign w:val="center"/>
          </w:tcPr>
          <w:p w14:paraId="749EFC2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0DD80DA">
            <w:pPr>
              <w:keepNext w:val="0"/>
              <w:keepLines w:val="0"/>
              <w:suppressLineNumbers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微软雅黑"/>
                <w:color w:val="auto"/>
                <w:sz w:val="21"/>
                <w:szCs w:val="21"/>
              </w:rPr>
              <w:t>投标人机器码</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0AC8AB30">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投标人与其他投标人加密打包投标文件电脑机器特征码一致的（以广州交易集团有限公司（广州公共资源交易中心）评标系统的检索信息为准）将被否决。</w:t>
            </w:r>
          </w:p>
        </w:tc>
      </w:tr>
      <w:tr w14:paraId="3DE703EA">
        <w:tblPrEx>
          <w:tblCellMar>
            <w:top w:w="0" w:type="dxa"/>
            <w:left w:w="0" w:type="dxa"/>
            <w:bottom w:w="0" w:type="dxa"/>
            <w:right w:w="0" w:type="dxa"/>
          </w:tblCellMar>
        </w:tblPrEx>
        <w:tc>
          <w:tcPr>
            <w:tcW w:w="609" w:type="dxa"/>
            <w:vMerge w:val="restart"/>
            <w:tcBorders>
              <w:top w:val="single" w:color="auto" w:sz="4" w:space="0"/>
              <w:left w:val="single" w:color="auto" w:sz="4" w:space="0"/>
              <w:right w:val="single" w:color="000000" w:sz="4" w:space="0"/>
            </w:tcBorders>
            <w:noWrap w:val="0"/>
            <w:vAlign w:val="center"/>
          </w:tcPr>
          <w:p w14:paraId="2A57F9C0">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r>
              <w:rPr>
                <w:rFonts w:hint="default" w:ascii="宋体" w:hAnsi="宋体" w:eastAsia="宋体" w:cs="Times New Roman"/>
                <w:color w:val="auto"/>
                <w:sz w:val="21"/>
                <w:szCs w:val="21"/>
              </w:rPr>
              <w:t>2.1.</w:t>
            </w:r>
            <w:r>
              <w:rPr>
                <w:rFonts w:hint="eastAsia" w:ascii="宋体" w:hAnsi="宋体" w:eastAsia="宋体" w:cs="Times New Roman"/>
                <w:color w:val="auto"/>
                <w:sz w:val="21"/>
                <w:szCs w:val="21"/>
                <w:lang w:val="en-US" w:eastAsia="zh-CN"/>
              </w:rPr>
              <w:t>2</w:t>
            </w:r>
          </w:p>
        </w:tc>
        <w:tc>
          <w:tcPr>
            <w:tcW w:w="921" w:type="dxa"/>
            <w:vMerge w:val="restart"/>
            <w:tcBorders>
              <w:top w:val="single" w:color="auto" w:sz="4" w:space="0"/>
              <w:left w:val="single" w:color="000000" w:sz="4" w:space="0"/>
              <w:right w:val="single" w:color="auto" w:sz="4" w:space="0"/>
            </w:tcBorders>
            <w:noWrap w:val="0"/>
            <w:vAlign w:val="center"/>
          </w:tcPr>
          <w:p w14:paraId="0F7F8D8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资格评审标准</w:t>
            </w: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696ADDC1">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cs="Times New Roman"/>
                <w:color w:val="auto"/>
                <w:spacing w:val="-1"/>
                <w:sz w:val="21"/>
                <w:szCs w:val="21"/>
                <w:lang w:eastAsia="zh-CN"/>
              </w:rPr>
              <w:t>营业执照或事业单位法人证书</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B390FB4">
            <w:pPr>
              <w:pStyle w:val="49"/>
              <w:keepNext w:val="0"/>
              <w:keepLines w:val="0"/>
              <w:suppressLineNumbers w:val="0"/>
              <w:spacing w:before="0" w:beforeAutospacing="0" w:after="0" w:afterAutospacing="0" w:line="360" w:lineRule="exact"/>
              <w:ind w:left="0" w:right="0"/>
              <w:jc w:val="left"/>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具备有效的营业执照或事业单位法人证书</w:t>
            </w:r>
          </w:p>
        </w:tc>
      </w:tr>
      <w:tr w14:paraId="52A80884">
        <w:tblPrEx>
          <w:tblCellMar>
            <w:top w:w="0" w:type="dxa"/>
            <w:left w:w="0" w:type="dxa"/>
            <w:bottom w:w="0" w:type="dxa"/>
            <w:right w:w="0" w:type="dxa"/>
          </w:tblCellMar>
        </w:tblPrEx>
        <w:tc>
          <w:tcPr>
            <w:tcW w:w="609" w:type="dxa"/>
            <w:vMerge w:val="continue"/>
            <w:tcBorders>
              <w:left w:val="single" w:color="auto" w:sz="4" w:space="0"/>
              <w:right w:val="single" w:color="000000" w:sz="4" w:space="0"/>
            </w:tcBorders>
            <w:noWrap w:val="0"/>
            <w:vAlign w:val="center"/>
          </w:tcPr>
          <w:p w14:paraId="722CF745">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6FCB37A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550974F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资质要求</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176BDE87">
            <w:pPr>
              <w:pStyle w:val="49"/>
              <w:keepNext w:val="0"/>
              <w:keepLines w:val="0"/>
              <w:suppressLineNumbers w:val="0"/>
              <w:spacing w:before="0" w:beforeAutospacing="0" w:after="0" w:afterAutospacing="0" w:line="360" w:lineRule="exact"/>
              <w:ind w:left="0" w:right="0"/>
              <w:jc w:val="left"/>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符合第二章</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eastAsia="zh-CN"/>
              </w:rPr>
              <w:t>投标人须知”第</w:t>
            </w:r>
            <w:r>
              <w:rPr>
                <w:rFonts w:hint="eastAsia" w:ascii="宋体" w:hAnsi="宋体" w:eastAsia="宋体" w:cs="宋体"/>
                <w:color w:val="auto"/>
                <w:sz w:val="21"/>
                <w:szCs w:val="21"/>
                <w:lang w:eastAsia="zh-CN"/>
              </w:rPr>
              <w:t>1.4.1</w:t>
            </w:r>
            <w:r>
              <w:rPr>
                <w:rFonts w:hint="default" w:ascii="宋体" w:hAnsi="宋体" w:eastAsia="宋体" w:cs="宋体"/>
                <w:color w:val="auto"/>
                <w:sz w:val="21"/>
                <w:szCs w:val="21"/>
                <w:lang w:eastAsia="zh-CN"/>
              </w:rPr>
              <w:t>项规定</w:t>
            </w:r>
          </w:p>
        </w:tc>
      </w:tr>
      <w:tr w14:paraId="3252F9A9">
        <w:tblPrEx>
          <w:tblCellMar>
            <w:top w:w="0" w:type="dxa"/>
            <w:left w:w="0" w:type="dxa"/>
            <w:bottom w:w="0" w:type="dxa"/>
            <w:right w:w="0" w:type="dxa"/>
          </w:tblCellMar>
        </w:tblPrEx>
        <w:tc>
          <w:tcPr>
            <w:tcW w:w="609" w:type="dxa"/>
            <w:vMerge w:val="continue"/>
            <w:tcBorders>
              <w:left w:val="single" w:color="auto" w:sz="4" w:space="0"/>
              <w:right w:val="single" w:color="000000" w:sz="4" w:space="0"/>
            </w:tcBorders>
            <w:noWrap w:val="0"/>
            <w:vAlign w:val="center"/>
          </w:tcPr>
          <w:p w14:paraId="2C810E1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4BC4F059">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205A4D6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cs="Times New Roman"/>
                <w:color w:val="auto"/>
                <w:spacing w:val="-1"/>
                <w:sz w:val="21"/>
                <w:szCs w:val="21"/>
              </w:rPr>
              <w:t>财务要求</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6D80A85">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58B3EEA0">
        <w:tblPrEx>
          <w:tblCellMar>
            <w:top w:w="0" w:type="dxa"/>
            <w:left w:w="0" w:type="dxa"/>
            <w:bottom w:w="0" w:type="dxa"/>
            <w:right w:w="0" w:type="dxa"/>
          </w:tblCellMar>
        </w:tblPrEx>
        <w:tc>
          <w:tcPr>
            <w:tcW w:w="609" w:type="dxa"/>
            <w:vMerge w:val="continue"/>
            <w:tcBorders>
              <w:left w:val="single" w:color="auto" w:sz="4" w:space="0"/>
              <w:right w:val="single" w:color="000000" w:sz="4" w:space="0"/>
            </w:tcBorders>
            <w:noWrap w:val="0"/>
            <w:vAlign w:val="center"/>
          </w:tcPr>
          <w:p w14:paraId="0560AA2A">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7F2C116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6E12991B">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cs="Times New Roman"/>
                <w:color w:val="auto"/>
                <w:spacing w:val="-1"/>
                <w:sz w:val="21"/>
                <w:szCs w:val="21"/>
              </w:rPr>
              <w:t>业绩要求</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7A9D4409">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03E71DF5">
        <w:tblPrEx>
          <w:tblCellMar>
            <w:top w:w="0" w:type="dxa"/>
            <w:left w:w="0" w:type="dxa"/>
            <w:bottom w:w="0" w:type="dxa"/>
            <w:right w:w="0" w:type="dxa"/>
          </w:tblCellMar>
        </w:tblPrEx>
        <w:tc>
          <w:tcPr>
            <w:tcW w:w="609" w:type="dxa"/>
            <w:vMerge w:val="continue"/>
            <w:tcBorders>
              <w:left w:val="single" w:color="auto" w:sz="4" w:space="0"/>
              <w:right w:val="single" w:color="000000" w:sz="4" w:space="0"/>
            </w:tcBorders>
            <w:noWrap w:val="0"/>
            <w:vAlign w:val="center"/>
          </w:tcPr>
          <w:p w14:paraId="155CB26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3C468A0B">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1351B070">
            <w:pPr>
              <w:pStyle w:val="49"/>
              <w:keepNext w:val="0"/>
              <w:keepLines w:val="0"/>
              <w:suppressLineNumbers w:val="0"/>
              <w:spacing w:before="0" w:beforeAutospacing="0" w:after="0" w:afterAutospacing="0" w:line="360" w:lineRule="auto"/>
              <w:ind w:left="0" w:right="0"/>
              <w:jc w:val="center"/>
              <w:rPr>
                <w:rFonts w:hint="default" w:ascii="宋体" w:hAnsi="宋体" w:cs="Times New Roman"/>
                <w:color w:val="auto"/>
                <w:spacing w:val="-1"/>
                <w:sz w:val="21"/>
                <w:szCs w:val="21"/>
              </w:rPr>
            </w:pPr>
            <w:r>
              <w:rPr>
                <w:rFonts w:hint="eastAsia" w:ascii="宋体" w:hAnsi="宋体" w:cs="Times New Roman"/>
                <w:color w:val="auto"/>
                <w:spacing w:val="-1"/>
                <w:sz w:val="21"/>
                <w:szCs w:val="21"/>
              </w:rPr>
              <w:t>信誉要求</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B21E116">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4E30AD15">
        <w:tblPrEx>
          <w:tblCellMar>
            <w:top w:w="0" w:type="dxa"/>
            <w:left w:w="0" w:type="dxa"/>
            <w:bottom w:w="0" w:type="dxa"/>
            <w:right w:w="0" w:type="dxa"/>
          </w:tblCellMar>
        </w:tblPrEx>
        <w:tc>
          <w:tcPr>
            <w:tcW w:w="609" w:type="dxa"/>
            <w:vMerge w:val="continue"/>
            <w:tcBorders>
              <w:left w:val="single" w:color="auto" w:sz="4" w:space="0"/>
              <w:right w:val="single" w:color="000000" w:sz="4" w:space="0"/>
            </w:tcBorders>
            <w:noWrap w:val="0"/>
            <w:vAlign w:val="center"/>
          </w:tcPr>
          <w:p w14:paraId="578C5074">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7076E65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55619A9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项目负责人</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A3A3D59">
            <w:pPr>
              <w:pStyle w:val="49"/>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符合第二章</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投标人须知</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第</w:t>
            </w:r>
            <w:r>
              <w:rPr>
                <w:rFonts w:hint="default" w:ascii="宋体" w:hAnsi="宋体" w:eastAsia="宋体" w:cs="Times New Roman"/>
                <w:color w:val="auto"/>
                <w:sz w:val="21"/>
                <w:szCs w:val="21"/>
                <w:lang w:eastAsia="zh-CN"/>
              </w:rPr>
              <w:t>1.4.1</w:t>
            </w:r>
            <w:r>
              <w:rPr>
                <w:rFonts w:hint="default" w:ascii="宋体" w:hAnsi="宋体" w:eastAsia="宋体" w:cs="宋体"/>
                <w:color w:val="auto"/>
                <w:sz w:val="21"/>
                <w:szCs w:val="21"/>
                <w:lang w:eastAsia="zh-CN"/>
              </w:rPr>
              <w:t>项规定</w:t>
            </w:r>
          </w:p>
        </w:tc>
      </w:tr>
      <w:tr w14:paraId="2FD4FBB5">
        <w:tblPrEx>
          <w:tblCellMar>
            <w:top w:w="0" w:type="dxa"/>
            <w:left w:w="0" w:type="dxa"/>
            <w:bottom w:w="0" w:type="dxa"/>
            <w:right w:w="0" w:type="dxa"/>
          </w:tblCellMar>
        </w:tblPrEx>
        <w:tc>
          <w:tcPr>
            <w:tcW w:w="609" w:type="dxa"/>
            <w:vMerge w:val="continue"/>
            <w:tcBorders>
              <w:left w:val="single" w:color="auto" w:sz="4" w:space="0"/>
              <w:right w:val="single" w:color="000000" w:sz="4" w:space="0"/>
            </w:tcBorders>
            <w:noWrap w:val="0"/>
            <w:vAlign w:val="center"/>
          </w:tcPr>
          <w:p w14:paraId="619AB235">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304258AA">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42BA5B4A">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cs="Times New Roman"/>
                <w:color w:val="auto"/>
                <w:spacing w:val="-1"/>
                <w:sz w:val="21"/>
                <w:szCs w:val="21"/>
              </w:rPr>
              <w:t>其他主要人员</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E6B8F1B">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w:t>
            </w:r>
          </w:p>
        </w:tc>
      </w:tr>
      <w:tr w14:paraId="0F85C87D">
        <w:tblPrEx>
          <w:tblCellMar>
            <w:top w:w="0" w:type="dxa"/>
            <w:left w:w="0" w:type="dxa"/>
            <w:bottom w:w="0" w:type="dxa"/>
            <w:right w:w="0" w:type="dxa"/>
          </w:tblCellMar>
        </w:tblPrEx>
        <w:trPr>
          <w:trHeight w:val="466" w:hRule="atLeast"/>
        </w:trPr>
        <w:tc>
          <w:tcPr>
            <w:tcW w:w="609" w:type="dxa"/>
            <w:vMerge w:val="continue"/>
            <w:tcBorders>
              <w:left w:val="single" w:color="auto" w:sz="4" w:space="0"/>
              <w:right w:val="single" w:color="000000" w:sz="4" w:space="0"/>
            </w:tcBorders>
            <w:noWrap w:val="0"/>
            <w:vAlign w:val="center"/>
          </w:tcPr>
          <w:p w14:paraId="2DA7EE65">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59211F6C">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auto" w:sz="4" w:space="0"/>
              <w:right w:val="single" w:color="000000" w:sz="4" w:space="0"/>
            </w:tcBorders>
            <w:noWrap w:val="0"/>
            <w:vAlign w:val="center"/>
          </w:tcPr>
          <w:p w14:paraId="1C4469F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default" w:ascii="宋体" w:hAnsi="宋体" w:eastAsia="宋体" w:cs="宋体"/>
                <w:color w:val="auto"/>
                <w:sz w:val="21"/>
                <w:szCs w:val="21"/>
              </w:rPr>
              <w:t>其他要求</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78006A25">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eastAsia" w:ascii="宋体" w:hAnsi="宋体" w:cs="Times New Roman"/>
                <w:color w:val="auto"/>
                <w:sz w:val="21"/>
                <w:szCs w:val="21"/>
                <w:lang w:eastAsia="zh-CN"/>
              </w:rPr>
              <w:t>符合第二章</w:t>
            </w:r>
            <w:r>
              <w:rPr>
                <w:rFonts w:hint="default" w:ascii="宋体" w:hAnsi="宋体" w:cs="Times New Roman"/>
                <w:color w:val="auto"/>
                <w:sz w:val="21"/>
                <w:szCs w:val="21"/>
                <w:lang w:eastAsia="zh-CN"/>
              </w:rPr>
              <w:t>“</w:t>
            </w:r>
            <w:r>
              <w:rPr>
                <w:rFonts w:hint="eastAsia" w:ascii="宋体" w:hAnsi="宋体" w:cs="Times New Roman"/>
                <w:color w:val="auto"/>
                <w:sz w:val="21"/>
                <w:szCs w:val="21"/>
                <w:lang w:eastAsia="zh-CN"/>
              </w:rPr>
              <w:t>投标人须知</w:t>
            </w:r>
            <w:r>
              <w:rPr>
                <w:rFonts w:hint="default" w:ascii="宋体" w:hAnsi="宋体" w:cs="Times New Roman"/>
                <w:color w:val="auto"/>
                <w:sz w:val="21"/>
                <w:szCs w:val="21"/>
                <w:lang w:eastAsia="zh-CN"/>
              </w:rPr>
              <w:t>”</w:t>
            </w:r>
            <w:r>
              <w:rPr>
                <w:rFonts w:hint="eastAsia" w:ascii="宋体" w:hAnsi="宋体" w:cs="Times New Roman"/>
                <w:color w:val="auto"/>
                <w:sz w:val="21"/>
                <w:szCs w:val="21"/>
                <w:lang w:eastAsia="zh-CN"/>
              </w:rPr>
              <w:t>第1</w:t>
            </w:r>
            <w:r>
              <w:rPr>
                <w:rFonts w:hint="default" w:ascii="宋体" w:hAnsi="宋体" w:cs="Times New Roman"/>
                <w:color w:val="auto"/>
                <w:sz w:val="21"/>
                <w:szCs w:val="21"/>
                <w:lang w:eastAsia="zh-CN"/>
              </w:rPr>
              <w:t>.</w:t>
            </w:r>
            <w:r>
              <w:rPr>
                <w:rFonts w:hint="eastAsia" w:ascii="宋体" w:hAnsi="宋体" w:cs="Times New Roman"/>
                <w:color w:val="auto"/>
                <w:sz w:val="21"/>
                <w:szCs w:val="21"/>
                <w:lang w:eastAsia="zh-CN"/>
              </w:rPr>
              <w:t>4</w:t>
            </w:r>
            <w:r>
              <w:rPr>
                <w:rFonts w:hint="default" w:ascii="宋体" w:hAnsi="宋体" w:cs="Times New Roman"/>
                <w:color w:val="auto"/>
                <w:sz w:val="21"/>
                <w:szCs w:val="21"/>
                <w:lang w:eastAsia="zh-CN"/>
              </w:rPr>
              <w:t>.1</w:t>
            </w:r>
            <w:r>
              <w:rPr>
                <w:rFonts w:hint="eastAsia" w:ascii="宋体" w:hAnsi="宋体" w:cs="Times New Roman"/>
                <w:color w:val="auto"/>
                <w:sz w:val="21"/>
                <w:szCs w:val="21"/>
                <w:lang w:eastAsia="zh-CN"/>
              </w:rPr>
              <w:t>项规定</w:t>
            </w:r>
          </w:p>
        </w:tc>
      </w:tr>
      <w:tr w14:paraId="4B9986AC">
        <w:tblPrEx>
          <w:tblCellMar>
            <w:top w:w="0" w:type="dxa"/>
            <w:left w:w="0" w:type="dxa"/>
            <w:bottom w:w="0" w:type="dxa"/>
            <w:right w:w="0" w:type="dxa"/>
          </w:tblCellMar>
        </w:tblPrEx>
        <w:trPr>
          <w:trHeight w:val="820" w:hRule="atLeast"/>
        </w:trPr>
        <w:tc>
          <w:tcPr>
            <w:tcW w:w="609" w:type="dxa"/>
            <w:vMerge w:val="continue"/>
            <w:tcBorders>
              <w:left w:val="single" w:color="auto" w:sz="4" w:space="0"/>
              <w:right w:val="single" w:color="000000" w:sz="4" w:space="0"/>
            </w:tcBorders>
            <w:noWrap w:val="0"/>
            <w:vAlign w:val="center"/>
          </w:tcPr>
          <w:p w14:paraId="6D0247D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1"/>
                <w:szCs w:val="21"/>
                <w:lang w:eastAsia="zh-CN"/>
              </w:rPr>
            </w:pPr>
          </w:p>
        </w:tc>
        <w:tc>
          <w:tcPr>
            <w:tcW w:w="921" w:type="dxa"/>
            <w:vMerge w:val="continue"/>
            <w:tcBorders>
              <w:left w:val="single" w:color="000000" w:sz="4" w:space="0"/>
              <w:right w:val="single" w:color="auto" w:sz="4" w:space="0"/>
            </w:tcBorders>
            <w:noWrap w:val="0"/>
            <w:vAlign w:val="center"/>
          </w:tcPr>
          <w:p w14:paraId="2699DA0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18DD9E7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联合体投标人</w:t>
            </w:r>
            <w:r>
              <w:rPr>
                <w:rFonts w:hint="eastAsia" w:ascii="宋体" w:hAnsi="宋体" w:eastAsia="宋体" w:cs="宋体"/>
                <w:color w:val="auto"/>
                <w:sz w:val="21"/>
                <w:szCs w:val="21"/>
                <w:lang w:eastAsia="zh-CN"/>
              </w:rPr>
              <w:t>（如有）</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2C4A091">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符合第二章“投标人须知”第1.4.2项规定。</w:t>
            </w:r>
          </w:p>
        </w:tc>
      </w:tr>
      <w:tr w14:paraId="0DC37302">
        <w:tblPrEx>
          <w:tblCellMar>
            <w:top w:w="0" w:type="dxa"/>
            <w:left w:w="0" w:type="dxa"/>
            <w:bottom w:w="0" w:type="dxa"/>
            <w:right w:w="0" w:type="dxa"/>
          </w:tblCellMar>
        </w:tblPrEx>
        <w:trPr>
          <w:trHeight w:val="820" w:hRule="atLeast"/>
        </w:trPr>
        <w:tc>
          <w:tcPr>
            <w:tcW w:w="609" w:type="dxa"/>
            <w:vMerge w:val="continue"/>
            <w:tcBorders>
              <w:left w:val="single" w:color="auto" w:sz="4" w:space="0"/>
              <w:bottom w:val="single" w:color="auto" w:sz="4" w:space="0"/>
              <w:right w:val="single" w:color="000000" w:sz="4" w:space="0"/>
            </w:tcBorders>
            <w:noWrap w:val="0"/>
            <w:vAlign w:val="center"/>
          </w:tcPr>
          <w:p w14:paraId="029DD05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1"/>
                <w:szCs w:val="21"/>
                <w:lang w:eastAsia="zh-CN"/>
              </w:rPr>
            </w:pPr>
          </w:p>
        </w:tc>
        <w:tc>
          <w:tcPr>
            <w:tcW w:w="921" w:type="dxa"/>
            <w:vMerge w:val="continue"/>
            <w:tcBorders>
              <w:left w:val="single" w:color="000000" w:sz="4" w:space="0"/>
              <w:bottom w:val="single" w:color="auto" w:sz="4" w:space="0"/>
              <w:right w:val="single" w:color="auto" w:sz="4" w:space="0"/>
            </w:tcBorders>
            <w:noWrap w:val="0"/>
            <w:vAlign w:val="center"/>
          </w:tcPr>
          <w:p w14:paraId="44DD81A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1"/>
                <w:szCs w:val="21"/>
                <w:lang w:eastAsia="zh-CN"/>
              </w:rPr>
            </w:pPr>
          </w:p>
        </w:tc>
        <w:tc>
          <w:tcPr>
            <w:tcW w:w="1867" w:type="dxa"/>
            <w:tcBorders>
              <w:top w:val="single" w:color="000000" w:sz="4" w:space="0"/>
              <w:left w:val="single" w:color="auto" w:sz="4" w:space="0"/>
              <w:bottom w:val="single" w:color="000000" w:sz="4" w:space="0"/>
              <w:right w:val="single" w:color="000000" w:sz="4" w:space="0"/>
            </w:tcBorders>
            <w:noWrap w:val="0"/>
            <w:vAlign w:val="center"/>
          </w:tcPr>
          <w:p w14:paraId="4CD8488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cs="Times New Roman"/>
                <w:color w:val="auto"/>
                <w:spacing w:val="-1"/>
                <w:sz w:val="21"/>
                <w:szCs w:val="21"/>
                <w:lang w:eastAsia="zh-CN"/>
              </w:rPr>
              <w:t>不存在禁止投标的情形</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190A97AC">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eastAsia" w:ascii="宋体" w:hAnsi="宋体" w:cs="Times New Roman"/>
                <w:color w:val="auto"/>
                <w:sz w:val="21"/>
                <w:szCs w:val="21"/>
                <w:lang w:eastAsia="zh-CN"/>
              </w:rPr>
              <w:t>不存在第二章</w:t>
            </w:r>
            <w:r>
              <w:rPr>
                <w:rFonts w:hint="default" w:ascii="宋体" w:hAnsi="宋体" w:cs="Times New Roman"/>
                <w:color w:val="auto"/>
                <w:sz w:val="21"/>
                <w:szCs w:val="21"/>
                <w:lang w:eastAsia="zh-CN"/>
              </w:rPr>
              <w:t>“</w:t>
            </w:r>
            <w:r>
              <w:rPr>
                <w:rFonts w:hint="eastAsia" w:ascii="宋体" w:hAnsi="宋体" w:cs="Times New Roman"/>
                <w:color w:val="auto"/>
                <w:sz w:val="21"/>
                <w:szCs w:val="21"/>
                <w:lang w:eastAsia="zh-CN"/>
              </w:rPr>
              <w:t>投标人须知</w:t>
            </w:r>
            <w:r>
              <w:rPr>
                <w:rFonts w:hint="default" w:ascii="宋体" w:hAnsi="宋体" w:cs="Times New Roman"/>
                <w:color w:val="auto"/>
                <w:sz w:val="21"/>
                <w:szCs w:val="21"/>
                <w:lang w:eastAsia="zh-CN"/>
              </w:rPr>
              <w:t>”</w:t>
            </w:r>
            <w:r>
              <w:rPr>
                <w:rFonts w:hint="eastAsia" w:ascii="宋体" w:hAnsi="宋体" w:cs="Times New Roman"/>
                <w:color w:val="auto"/>
                <w:sz w:val="21"/>
                <w:szCs w:val="21"/>
                <w:lang w:eastAsia="zh-CN"/>
              </w:rPr>
              <w:t>第1.4.3项规定的任何一种情形</w:t>
            </w:r>
            <w:r>
              <w:rPr>
                <w:rFonts w:hint="eastAsia" w:ascii="宋体" w:hAnsi="宋体" w:eastAsia="宋体" w:cs="宋体"/>
                <w:color w:val="auto"/>
                <w:sz w:val="21"/>
                <w:szCs w:val="21"/>
                <w:highlight w:val="none"/>
                <w:lang w:eastAsia="zh-CN"/>
              </w:rPr>
              <w:t>（以投标人提供的《投标人声明》为评审依据）</w:t>
            </w:r>
          </w:p>
        </w:tc>
      </w:tr>
      <w:tr w14:paraId="460E151C">
        <w:tblPrEx>
          <w:tblCellMar>
            <w:top w:w="0" w:type="dxa"/>
            <w:left w:w="0" w:type="dxa"/>
            <w:bottom w:w="0" w:type="dxa"/>
            <w:right w:w="0" w:type="dxa"/>
          </w:tblCellMar>
        </w:tblPrEx>
        <w:tc>
          <w:tcPr>
            <w:tcW w:w="609" w:type="dxa"/>
            <w:vMerge w:val="restart"/>
            <w:tcBorders>
              <w:top w:val="single" w:color="auto" w:sz="4" w:space="0"/>
              <w:left w:val="single" w:color="000000" w:sz="4" w:space="0"/>
              <w:right w:val="single" w:color="000000" w:sz="4" w:space="0"/>
            </w:tcBorders>
            <w:noWrap w:val="0"/>
            <w:vAlign w:val="center"/>
          </w:tcPr>
          <w:p w14:paraId="45515560">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r>
              <w:rPr>
                <w:rFonts w:hint="default" w:ascii="宋体" w:hAnsi="宋体" w:eastAsia="宋体" w:cs="Times New Roman"/>
                <w:color w:val="auto"/>
                <w:sz w:val="21"/>
                <w:szCs w:val="21"/>
              </w:rPr>
              <w:t>2.1.</w:t>
            </w:r>
            <w:r>
              <w:rPr>
                <w:rFonts w:hint="eastAsia" w:ascii="宋体" w:hAnsi="宋体" w:eastAsia="宋体" w:cs="Times New Roman"/>
                <w:color w:val="auto"/>
                <w:sz w:val="21"/>
                <w:szCs w:val="21"/>
                <w:lang w:val="en-US" w:eastAsia="zh-CN"/>
              </w:rPr>
              <w:t>3</w:t>
            </w:r>
          </w:p>
          <w:p w14:paraId="7ACE80D9">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restart"/>
            <w:tcBorders>
              <w:top w:val="single" w:color="auto" w:sz="4" w:space="0"/>
              <w:left w:val="single" w:color="000000" w:sz="4" w:space="0"/>
              <w:right w:val="single" w:color="000000" w:sz="4" w:space="0"/>
            </w:tcBorders>
            <w:noWrap w:val="0"/>
            <w:vAlign w:val="center"/>
          </w:tcPr>
          <w:p w14:paraId="1D551CA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商务文件</w:t>
            </w:r>
            <w:r>
              <w:rPr>
                <w:rFonts w:hint="default" w:ascii="宋体" w:hAnsi="宋体" w:eastAsia="宋体" w:cs="宋体"/>
                <w:color w:val="auto"/>
                <w:sz w:val="21"/>
                <w:szCs w:val="21"/>
                <w:lang w:eastAsia="zh-CN"/>
              </w:rPr>
              <w:t>响应性评审标准</w:t>
            </w:r>
          </w:p>
          <w:p w14:paraId="5CCC5C51">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54085A5">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投标报价</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61D7DC3A">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符合第二章</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投标人须知</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第</w:t>
            </w:r>
            <w:r>
              <w:rPr>
                <w:rFonts w:hint="default" w:ascii="宋体" w:hAnsi="宋体" w:eastAsia="宋体" w:cs="Times New Roman"/>
                <w:color w:val="auto"/>
                <w:sz w:val="21"/>
                <w:szCs w:val="21"/>
                <w:lang w:eastAsia="zh-CN"/>
              </w:rPr>
              <w:t>3.2</w:t>
            </w:r>
            <w:r>
              <w:rPr>
                <w:rFonts w:hint="default" w:ascii="宋体" w:hAnsi="宋体" w:eastAsia="宋体" w:cs="宋体"/>
                <w:color w:val="auto"/>
                <w:sz w:val="21"/>
                <w:szCs w:val="21"/>
                <w:lang w:eastAsia="zh-CN"/>
              </w:rPr>
              <w:t>款规定</w:t>
            </w:r>
          </w:p>
        </w:tc>
      </w:tr>
      <w:tr w14:paraId="29ABCF9C">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339D689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3E249AB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DDA196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设计服务期限</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7B912219">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符合第二章</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投标人须知</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第</w:t>
            </w:r>
            <w:r>
              <w:rPr>
                <w:rFonts w:hint="default" w:ascii="宋体" w:hAnsi="宋体" w:eastAsia="宋体" w:cs="Times New Roman"/>
                <w:color w:val="auto"/>
                <w:sz w:val="21"/>
                <w:szCs w:val="21"/>
                <w:lang w:eastAsia="zh-CN"/>
              </w:rPr>
              <w:t>1.3.2</w:t>
            </w:r>
            <w:r>
              <w:rPr>
                <w:rFonts w:hint="default" w:ascii="宋体" w:hAnsi="宋体" w:eastAsia="宋体" w:cs="宋体"/>
                <w:color w:val="auto"/>
                <w:sz w:val="21"/>
                <w:szCs w:val="21"/>
                <w:lang w:eastAsia="zh-CN"/>
              </w:rPr>
              <w:t>项规定</w:t>
            </w:r>
          </w:p>
        </w:tc>
      </w:tr>
      <w:tr w14:paraId="477E249F">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382125F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162A9925">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11DCD60">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质量标准</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259BB77E">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符合第二章</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投标人须知</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第</w:t>
            </w:r>
            <w:r>
              <w:rPr>
                <w:rFonts w:hint="default" w:ascii="宋体" w:hAnsi="宋体" w:eastAsia="宋体" w:cs="Times New Roman"/>
                <w:color w:val="auto"/>
                <w:sz w:val="21"/>
                <w:szCs w:val="21"/>
                <w:lang w:eastAsia="zh-CN"/>
              </w:rPr>
              <w:t>1.3.3</w:t>
            </w:r>
            <w:r>
              <w:rPr>
                <w:rFonts w:hint="default" w:ascii="宋体" w:hAnsi="宋体" w:eastAsia="宋体" w:cs="宋体"/>
                <w:color w:val="auto"/>
                <w:sz w:val="21"/>
                <w:szCs w:val="21"/>
                <w:lang w:eastAsia="zh-CN"/>
              </w:rPr>
              <w:t>项规定</w:t>
            </w:r>
          </w:p>
        </w:tc>
      </w:tr>
      <w:tr w14:paraId="6778D7EC">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34E84ACE">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1826C1C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6379D3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投标有效期</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259E3E37">
            <w:pPr>
              <w:pStyle w:val="49"/>
              <w:keepNext w:val="0"/>
              <w:keepLines w:val="0"/>
              <w:suppressLineNumbers w:val="0"/>
              <w:spacing w:before="0" w:beforeAutospacing="0" w:after="0" w:afterAutospacing="0" w:line="360" w:lineRule="exact"/>
              <w:ind w:left="0" w:right="0"/>
              <w:jc w:val="both"/>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t>符合第二章</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投标人须知</w:t>
            </w:r>
            <w:r>
              <w:rPr>
                <w:rFonts w:hint="default" w:ascii="宋体" w:hAnsi="宋体" w:eastAsia="宋体" w:cs="Times New Roman"/>
                <w:color w:val="auto"/>
                <w:sz w:val="21"/>
                <w:szCs w:val="21"/>
                <w:lang w:eastAsia="zh-CN"/>
              </w:rPr>
              <w:t>”</w:t>
            </w:r>
            <w:r>
              <w:rPr>
                <w:rFonts w:hint="default" w:ascii="宋体" w:hAnsi="宋体" w:eastAsia="宋体" w:cs="宋体"/>
                <w:color w:val="auto"/>
                <w:sz w:val="21"/>
                <w:szCs w:val="21"/>
                <w:lang w:eastAsia="zh-CN"/>
              </w:rPr>
              <w:t>第</w:t>
            </w:r>
            <w:r>
              <w:rPr>
                <w:rFonts w:hint="default" w:ascii="宋体" w:hAnsi="宋体" w:eastAsia="宋体" w:cs="Times New Roman"/>
                <w:color w:val="auto"/>
                <w:sz w:val="21"/>
                <w:szCs w:val="21"/>
                <w:lang w:eastAsia="zh-CN"/>
              </w:rPr>
              <w:t>3.3.1</w:t>
            </w:r>
            <w:r>
              <w:rPr>
                <w:rFonts w:hint="default" w:ascii="宋体" w:hAnsi="宋体" w:eastAsia="宋体" w:cs="宋体"/>
                <w:color w:val="auto"/>
                <w:sz w:val="21"/>
                <w:szCs w:val="21"/>
                <w:lang w:eastAsia="zh-CN"/>
              </w:rPr>
              <w:t>项规定</w:t>
            </w:r>
          </w:p>
        </w:tc>
      </w:tr>
      <w:tr w14:paraId="538CAF97">
        <w:tblPrEx>
          <w:tblCellMar>
            <w:top w:w="0" w:type="dxa"/>
            <w:left w:w="0" w:type="dxa"/>
            <w:bottom w:w="0" w:type="dxa"/>
            <w:right w:w="0" w:type="dxa"/>
          </w:tblCellMar>
        </w:tblPrEx>
        <w:tc>
          <w:tcPr>
            <w:tcW w:w="609" w:type="dxa"/>
            <w:vMerge w:val="continue"/>
            <w:tcBorders>
              <w:left w:val="single" w:color="000000" w:sz="4" w:space="0"/>
              <w:bottom w:val="single" w:color="auto" w:sz="4" w:space="0"/>
              <w:right w:val="single" w:color="000000" w:sz="4" w:space="0"/>
            </w:tcBorders>
            <w:noWrap w:val="0"/>
            <w:vAlign w:val="center"/>
          </w:tcPr>
          <w:p w14:paraId="21F84EEE">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bottom w:val="single" w:color="auto" w:sz="4" w:space="0"/>
              <w:right w:val="single" w:color="000000" w:sz="4" w:space="0"/>
            </w:tcBorders>
            <w:noWrap w:val="0"/>
            <w:vAlign w:val="center"/>
          </w:tcPr>
          <w:p w14:paraId="5425260A">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9AAFFEF">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串通投标情形</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08849864">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不存在串通投标情形（串通投标情形以《中华人民共和国招标投标法实施条例》的规定为准）。</w:t>
            </w:r>
          </w:p>
        </w:tc>
      </w:tr>
      <w:tr w14:paraId="4CB03AEE">
        <w:tblPrEx>
          <w:tblCellMar>
            <w:top w:w="0" w:type="dxa"/>
            <w:left w:w="0" w:type="dxa"/>
            <w:bottom w:w="0" w:type="dxa"/>
            <w:right w:w="0" w:type="dxa"/>
          </w:tblCellMar>
        </w:tblPrEx>
        <w:tc>
          <w:tcPr>
            <w:tcW w:w="609" w:type="dxa"/>
            <w:vMerge w:val="restart"/>
            <w:tcBorders>
              <w:left w:val="single" w:color="000000" w:sz="4" w:space="0"/>
              <w:right w:val="single" w:color="000000" w:sz="4" w:space="0"/>
            </w:tcBorders>
            <w:noWrap w:val="0"/>
            <w:vAlign w:val="center"/>
          </w:tcPr>
          <w:p w14:paraId="437583AE">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r>
              <w:rPr>
                <w:rFonts w:hint="default" w:ascii="宋体" w:hAnsi="宋体" w:eastAsia="宋体" w:cs="Times New Roman"/>
                <w:color w:val="auto"/>
                <w:sz w:val="21"/>
                <w:szCs w:val="21"/>
              </w:rPr>
              <w:t>2.1.</w:t>
            </w:r>
            <w:r>
              <w:rPr>
                <w:rFonts w:hint="eastAsia" w:ascii="宋体" w:hAnsi="宋体" w:eastAsia="宋体" w:cs="Times New Roman"/>
                <w:color w:val="auto"/>
                <w:sz w:val="21"/>
                <w:szCs w:val="21"/>
                <w:lang w:val="en-US" w:eastAsia="zh-CN"/>
              </w:rPr>
              <w:t>4</w:t>
            </w:r>
          </w:p>
          <w:p w14:paraId="06AF1ACB">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restart"/>
            <w:tcBorders>
              <w:left w:val="single" w:color="000000" w:sz="4" w:space="0"/>
              <w:right w:val="single" w:color="000000" w:sz="4" w:space="0"/>
            </w:tcBorders>
            <w:noWrap w:val="0"/>
            <w:vAlign w:val="center"/>
          </w:tcPr>
          <w:p w14:paraId="72665404">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r>
              <w:rPr>
                <w:rFonts w:hint="eastAsia" w:ascii="宋体" w:hAnsi="宋体" w:cs="Times New Roman"/>
                <w:color w:val="auto"/>
                <w:lang w:eastAsia="zh-CN"/>
              </w:rPr>
              <w:t>技术文件</w:t>
            </w:r>
            <w:r>
              <w:rPr>
                <w:rFonts w:hint="eastAsia" w:ascii="宋体" w:hAnsi="宋体" w:eastAsia="宋体" w:cs="Times New Roman"/>
                <w:color w:val="auto"/>
                <w:lang w:eastAsia="zh-CN"/>
              </w:rPr>
              <w:t>响应性</w:t>
            </w:r>
            <w:r>
              <w:rPr>
                <w:rFonts w:hint="eastAsia" w:ascii="宋体" w:hAnsi="宋体" w:cs="Times New Roman"/>
                <w:color w:val="auto"/>
                <w:lang w:eastAsia="zh-CN"/>
              </w:rPr>
              <w:t>评审标准（暗标）</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3507E05D">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暗标形式</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27642F6F">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技术标中未能辨认出投标人或其专业技术人员的身份。未在设计方案上标注或做任何可以辨认投标人及专业技术人员身份的名称、印章、商标、图形等记认符号。</w:t>
            </w:r>
          </w:p>
        </w:tc>
      </w:tr>
      <w:tr w14:paraId="42ECF33E">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1EBD998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3344AEF3">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91FFB58">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明标暗标互相印章</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ADF703A">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投标文件未通过明标、暗标中包含的相同内容（如报价等）互相印证、辨认投标人身份。</w:t>
            </w:r>
          </w:p>
        </w:tc>
      </w:tr>
      <w:tr w14:paraId="6C409052">
        <w:tblPrEx>
          <w:tblCellMar>
            <w:top w:w="0" w:type="dxa"/>
            <w:left w:w="0" w:type="dxa"/>
            <w:bottom w:w="0" w:type="dxa"/>
            <w:right w:w="0" w:type="dxa"/>
          </w:tblCellMar>
        </w:tblPrEx>
        <w:tc>
          <w:tcPr>
            <w:tcW w:w="609" w:type="dxa"/>
            <w:vMerge w:val="continue"/>
            <w:tcBorders>
              <w:left w:val="single" w:color="000000" w:sz="4" w:space="0"/>
              <w:right w:val="single" w:color="000000" w:sz="4" w:space="0"/>
            </w:tcBorders>
            <w:noWrap w:val="0"/>
            <w:vAlign w:val="center"/>
          </w:tcPr>
          <w:p w14:paraId="6FE65F8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right w:val="single" w:color="000000" w:sz="4" w:space="0"/>
            </w:tcBorders>
            <w:noWrap w:val="0"/>
            <w:vAlign w:val="center"/>
          </w:tcPr>
          <w:p w14:paraId="2A26031C">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F2FA509">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互相雷同和串通投标</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1D2B582">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未发现互相雷同和串通投标。</w:t>
            </w:r>
          </w:p>
        </w:tc>
      </w:tr>
      <w:tr w14:paraId="7995D5B7">
        <w:tblPrEx>
          <w:tblCellMar>
            <w:top w:w="0" w:type="dxa"/>
            <w:left w:w="0" w:type="dxa"/>
            <w:bottom w:w="0" w:type="dxa"/>
            <w:right w:w="0" w:type="dxa"/>
          </w:tblCellMar>
        </w:tblPrEx>
        <w:tc>
          <w:tcPr>
            <w:tcW w:w="609" w:type="dxa"/>
            <w:vMerge w:val="continue"/>
            <w:tcBorders>
              <w:left w:val="single" w:color="000000" w:sz="4" w:space="0"/>
              <w:bottom w:val="single" w:color="auto" w:sz="4" w:space="0"/>
              <w:right w:val="single" w:color="000000" w:sz="4" w:space="0"/>
            </w:tcBorders>
            <w:noWrap w:val="0"/>
            <w:vAlign w:val="center"/>
          </w:tcPr>
          <w:p w14:paraId="5D4B0FCE">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921" w:type="dxa"/>
            <w:vMerge w:val="continue"/>
            <w:tcBorders>
              <w:left w:val="single" w:color="000000" w:sz="4" w:space="0"/>
              <w:bottom w:val="single" w:color="auto" w:sz="4" w:space="0"/>
              <w:right w:val="single" w:color="000000" w:sz="4" w:space="0"/>
            </w:tcBorders>
            <w:noWrap w:val="0"/>
            <w:vAlign w:val="center"/>
          </w:tcPr>
          <w:p w14:paraId="4A205DD7">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B28E897">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侵权</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1DA8A367">
            <w:pPr>
              <w:keepNext w:val="0"/>
              <w:keepLines w:val="0"/>
              <w:suppressLineNumbers w:val="0"/>
              <w:spacing w:before="0" w:beforeAutospacing="0" w:after="0" w:afterAutospacing="0"/>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未发现明显抄袭行为、侵犯他人著作权和特许权。</w:t>
            </w:r>
          </w:p>
        </w:tc>
      </w:tr>
      <w:tr w14:paraId="2D3CBADB">
        <w:tblPrEx>
          <w:tblCellMar>
            <w:top w:w="0" w:type="dxa"/>
            <w:left w:w="0" w:type="dxa"/>
            <w:bottom w:w="0" w:type="dxa"/>
            <w:right w:w="0" w:type="dxa"/>
          </w:tblCellMar>
        </w:tblPrEx>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7600CDF4">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条款号</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78EBD33">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条款内容</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1CF2D52">
            <w:pPr>
              <w:pStyle w:val="49"/>
              <w:keepNext w:val="0"/>
              <w:keepLines w:val="0"/>
              <w:suppressLineNumbers w:val="0"/>
              <w:spacing w:before="0" w:beforeAutospacing="0" w:after="0" w:afterAutospacing="0" w:line="360" w:lineRule="exact"/>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编列内容</w:t>
            </w:r>
          </w:p>
        </w:tc>
      </w:tr>
      <w:tr w14:paraId="58C06DD4">
        <w:tblPrEx>
          <w:tblCellMar>
            <w:top w:w="0" w:type="dxa"/>
            <w:left w:w="0" w:type="dxa"/>
            <w:bottom w:w="0" w:type="dxa"/>
            <w:right w:w="0" w:type="dxa"/>
          </w:tblCellMar>
        </w:tblPrEx>
        <w:trPr>
          <w:trHeight w:val="1757"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2AA61768">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rPr>
            </w:pPr>
            <w:r>
              <w:rPr>
                <w:rFonts w:hint="default" w:ascii="宋体" w:hAnsi="宋体" w:eastAsia="宋体" w:cs="Times New Roman"/>
                <w:color w:val="auto"/>
                <w:sz w:val="21"/>
                <w:szCs w:val="21"/>
              </w:rPr>
              <w:t>2.2.1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0B99A73">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分值构成</w:t>
            </w:r>
          </w:p>
          <w:p w14:paraId="2763F815">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rPr>
            </w:pPr>
            <w:r>
              <w:rPr>
                <w:rFonts w:hint="default" w:ascii="宋体" w:hAnsi="宋体" w:eastAsia="宋体" w:cs="Times New Roman"/>
                <w:color w:val="auto"/>
                <w:sz w:val="21"/>
                <w:szCs w:val="21"/>
              </w:rPr>
              <w:t>(</w:t>
            </w:r>
            <w:r>
              <w:rPr>
                <w:rFonts w:hint="default" w:ascii="宋体" w:hAnsi="宋体" w:eastAsia="宋体" w:cs="宋体"/>
                <w:color w:val="auto"/>
                <w:sz w:val="21"/>
                <w:szCs w:val="21"/>
              </w:rPr>
              <w:t>总分</w:t>
            </w:r>
            <w:r>
              <w:rPr>
                <w:rFonts w:hint="default" w:ascii="宋体" w:hAnsi="宋体" w:eastAsia="宋体" w:cs="Times New Roman"/>
                <w:color w:val="auto"/>
                <w:sz w:val="21"/>
                <w:szCs w:val="21"/>
              </w:rPr>
              <w:t>100</w:t>
            </w:r>
            <w:r>
              <w:rPr>
                <w:rFonts w:hint="default" w:ascii="宋体" w:hAnsi="宋体" w:eastAsia="宋体" w:cs="宋体"/>
                <w:color w:val="auto"/>
                <w:sz w:val="21"/>
                <w:szCs w:val="21"/>
              </w:rPr>
              <w:t>分</w:t>
            </w:r>
            <w:r>
              <w:rPr>
                <w:rFonts w:hint="default" w:ascii="宋体" w:hAnsi="宋体" w:eastAsia="宋体" w:cs="Times New Roman"/>
                <w:color w:val="auto"/>
                <w:sz w:val="21"/>
                <w:szCs w:val="21"/>
              </w:rPr>
              <w:t>)</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03710666">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商务文件（资信业绩部分）：100分（权重</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eastAsia="zh-CN"/>
              </w:rPr>
              <w:t>%）</w:t>
            </w:r>
          </w:p>
          <w:p w14:paraId="0537E509">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技术文件（设计方案部分）：100分（权重</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eastAsia="zh-CN"/>
              </w:rPr>
              <w:t>%）</w:t>
            </w:r>
          </w:p>
          <w:p w14:paraId="2DB1EC1E">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报价文件（报价部分）：100分（权重</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lang w:eastAsia="zh-CN"/>
              </w:rPr>
              <w:t>%）</w:t>
            </w:r>
          </w:p>
          <w:p w14:paraId="2E4D6A53">
            <w:pPr>
              <w:pStyle w:val="49"/>
              <w:keepNext w:val="0"/>
              <w:keepLines w:val="0"/>
              <w:suppressLineNumbers w:val="0"/>
              <w:spacing w:before="0" w:beforeAutospacing="0" w:after="0" w:afterAutospacing="0" w:line="360" w:lineRule="exact"/>
              <w:ind w:left="0" w:right="0"/>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highlight w:val="none"/>
                <w:u w:val="single"/>
                <w:lang w:eastAsia="zh-CN"/>
              </w:rPr>
              <w:t>投标人的综合得分（满分100分）＝商务文件得分×</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0％+技术文件得分×</w:t>
            </w:r>
            <w:r>
              <w:rPr>
                <w:rFonts w:hint="eastAsia" w:ascii="宋体" w:hAnsi="宋体" w:eastAsia="宋体" w:cs="宋体"/>
                <w:color w:val="auto"/>
                <w:sz w:val="21"/>
                <w:szCs w:val="21"/>
                <w:highlight w:val="none"/>
                <w:u w:val="single"/>
                <w:lang w:val="en-US" w:eastAsia="zh-CN"/>
              </w:rPr>
              <w:t>2</w:t>
            </w:r>
            <w:r>
              <w:rPr>
                <w:rFonts w:hint="default" w:ascii="宋体" w:hAnsi="宋体" w:eastAsia="宋体" w:cs="宋体"/>
                <w:color w:val="auto"/>
                <w:sz w:val="21"/>
                <w:szCs w:val="21"/>
                <w:highlight w:val="none"/>
                <w:u w:val="single"/>
                <w:lang w:eastAsia="zh-CN"/>
              </w:rPr>
              <w:t>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CN"/>
              </w:rPr>
              <w:t>报价文件得分×</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0％</w:t>
            </w:r>
          </w:p>
        </w:tc>
      </w:tr>
      <w:tr w14:paraId="5C0873A6">
        <w:tblPrEx>
          <w:tblCellMar>
            <w:top w:w="0" w:type="dxa"/>
            <w:left w:w="0" w:type="dxa"/>
            <w:bottom w:w="0" w:type="dxa"/>
            <w:right w:w="0" w:type="dxa"/>
          </w:tblCellMar>
        </w:tblPrEx>
        <w:trPr>
          <w:trHeight w:val="1757"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414731BD">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highlight w:val="none"/>
                <w:lang w:val="en-US" w:eastAsia="en-US" w:bidi="ar-SA"/>
              </w:rPr>
            </w:pPr>
            <w:r>
              <w:rPr>
                <w:rFonts w:hint="default" w:ascii="宋体" w:hAnsi="宋体" w:eastAsia="宋体" w:cs="Times New Roman"/>
                <w:color w:val="auto"/>
                <w:sz w:val="21"/>
                <w:szCs w:val="21"/>
                <w:highlight w:val="none"/>
              </w:rPr>
              <w:t>2.2.2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ADEC43C">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highlight w:val="none"/>
                <w:lang w:val="en-US" w:eastAsia="zh-CN" w:bidi="ar-SA"/>
              </w:rPr>
            </w:pPr>
            <w:r>
              <w:rPr>
                <w:rFonts w:hint="default" w:ascii="宋体" w:hAnsi="宋体" w:eastAsia="宋体" w:cs="Times New Roman"/>
                <w:color w:val="auto"/>
                <w:sz w:val="21"/>
                <w:szCs w:val="21"/>
                <w:highlight w:val="none"/>
                <w:lang w:eastAsia="zh-CN"/>
              </w:rPr>
              <w:t>评标基准价计算方法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6FBE940A">
            <w:pPr>
              <w:keepNext w:val="0"/>
              <w:keepLines w:val="0"/>
              <w:suppressLineNumbers w:val="0"/>
              <w:spacing w:before="0" w:beforeAutospacing="0" w:after="0" w:afterAutospacing="0" w:line="360" w:lineRule="exact"/>
              <w:ind w:left="0" w:right="0"/>
              <w:jc w:val="both"/>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当通过形式评审、资格评审、响应性评审且有效投标人的投标报价由高至低进行排列，按以下公式计算评标基准价。评标基准价四舍五入精确到“分”。</w:t>
            </w:r>
          </w:p>
          <w:p w14:paraId="6299102D">
            <w:pPr>
              <w:keepNext w:val="0"/>
              <w:keepLines w:val="0"/>
              <w:suppressLineNumbers w:val="0"/>
              <w:spacing w:before="0" w:beforeAutospacing="0" w:after="0" w:afterAutospacing="0" w:line="360" w:lineRule="exact"/>
              <w:ind w:left="0" w:right="0"/>
              <w:jc w:val="both"/>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评标基准价</w:t>
            </w:r>
            <w:r>
              <w:rPr>
                <w:rFonts w:hint="default" w:ascii="宋体" w:hAnsi="宋体" w:eastAsia="宋体" w:cs="Times New Roman"/>
                <w:color w:val="auto"/>
                <w:sz w:val="21"/>
                <w:szCs w:val="21"/>
                <w:highlight w:val="none"/>
                <w:lang w:eastAsia="zh-CN"/>
              </w:rPr>
              <w:t>=(Q高</w:t>
            </w:r>
            <w:r>
              <w:rPr>
                <w:rFonts w:hint="eastAsia" w:ascii="宋体" w:hAnsi="宋体" w:eastAsia="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eastAsia="zh-CN"/>
              </w:rPr>
              <w:t>Q低)/100*X+Q低</w:t>
            </w:r>
            <w:r>
              <w:rPr>
                <w:rFonts w:hint="eastAsia" w:ascii="宋体" w:hAnsi="宋体" w:eastAsia="宋体" w:cs="Times New Roman"/>
                <w:color w:val="auto"/>
                <w:sz w:val="21"/>
                <w:szCs w:val="21"/>
                <w:highlight w:val="none"/>
                <w:lang w:eastAsia="zh-CN"/>
              </w:rPr>
              <w:t>；</w:t>
            </w:r>
          </w:p>
          <w:p w14:paraId="210A496C">
            <w:pPr>
              <w:keepNext w:val="0"/>
              <w:keepLines w:val="0"/>
              <w:suppressLineNumbers w:val="0"/>
              <w:spacing w:before="0" w:beforeAutospacing="0" w:after="0" w:afterAutospacing="0" w:line="360" w:lineRule="exact"/>
              <w:ind w:left="0" w:right="0"/>
              <w:jc w:val="both"/>
              <w:rPr>
                <w:rFonts w:hint="default" w:ascii="宋体" w:hAnsi="宋体" w:eastAsia="宋体" w:cs="Times New Roman"/>
                <w:color w:val="auto"/>
                <w:sz w:val="21"/>
                <w:szCs w:val="21"/>
                <w:highlight w:val="none"/>
                <w:lang w:eastAsia="zh-CN"/>
              </w:rPr>
            </w:pPr>
            <w:r>
              <w:rPr>
                <w:rFonts w:hint="default" w:ascii="宋体" w:hAnsi="宋体" w:eastAsia="宋体" w:cs="Times New Roman"/>
                <w:color w:val="auto"/>
                <w:sz w:val="21"/>
                <w:szCs w:val="21"/>
                <w:highlight w:val="none"/>
                <w:lang w:eastAsia="zh-CN"/>
              </w:rPr>
              <w:t>Q低:为通过资格审查的投标人最低</w:t>
            </w:r>
            <w:r>
              <w:rPr>
                <w:rFonts w:hint="eastAsia" w:ascii="宋体" w:hAnsi="宋体" w:eastAsia="宋体" w:cs="Times New Roman"/>
                <w:color w:val="auto"/>
                <w:sz w:val="21"/>
                <w:szCs w:val="21"/>
                <w:highlight w:val="none"/>
                <w:lang w:val="en-US" w:eastAsia="zh-CN"/>
              </w:rPr>
              <w:t>投标报</w:t>
            </w:r>
            <w:r>
              <w:rPr>
                <w:rFonts w:hint="default" w:ascii="宋体" w:hAnsi="宋体" w:eastAsia="宋体" w:cs="Times New Roman"/>
                <w:color w:val="auto"/>
                <w:sz w:val="21"/>
                <w:szCs w:val="21"/>
                <w:highlight w:val="none"/>
                <w:lang w:eastAsia="zh-CN"/>
              </w:rPr>
              <w:t>价</w:t>
            </w:r>
            <w:r>
              <w:rPr>
                <w:rFonts w:hint="eastAsia" w:ascii="宋体" w:hAnsi="宋体" w:eastAsia="宋体" w:cs="Times New Roman"/>
                <w:color w:val="auto"/>
                <w:sz w:val="21"/>
                <w:szCs w:val="21"/>
                <w:highlight w:val="none"/>
                <w:lang w:eastAsia="zh-CN"/>
              </w:rPr>
              <w:t>；</w:t>
            </w:r>
          </w:p>
          <w:p w14:paraId="6D390D12">
            <w:pPr>
              <w:keepNext w:val="0"/>
              <w:keepLines w:val="0"/>
              <w:suppressLineNumbers w:val="0"/>
              <w:spacing w:before="0" w:beforeAutospacing="0" w:after="0" w:afterAutospacing="0" w:line="360" w:lineRule="exact"/>
              <w:ind w:left="0" w:right="0"/>
              <w:jc w:val="both"/>
              <w:rPr>
                <w:rFonts w:hint="eastAsia" w:ascii="宋体" w:hAnsi="宋体" w:eastAsia="宋体" w:cs="Times New Roman"/>
                <w:color w:val="auto"/>
                <w:sz w:val="21"/>
                <w:szCs w:val="21"/>
                <w:highlight w:val="none"/>
                <w:lang w:eastAsia="zh-CN"/>
              </w:rPr>
            </w:pPr>
            <w:r>
              <w:rPr>
                <w:rFonts w:hint="default" w:ascii="宋体" w:hAnsi="宋体" w:eastAsia="宋体" w:cs="Times New Roman"/>
                <w:color w:val="auto"/>
                <w:sz w:val="21"/>
                <w:szCs w:val="21"/>
                <w:highlight w:val="none"/>
                <w:lang w:eastAsia="zh-CN"/>
              </w:rPr>
              <w:t>Q高:当通过资格审查的投标人N为单数时，Q高为排列在第(N+1)/2名的投标人报价</w:t>
            </w:r>
            <w:r>
              <w:rPr>
                <w:rFonts w:hint="eastAsia" w:ascii="宋体" w:hAnsi="宋体" w:eastAsia="宋体" w:cs="Times New Roman"/>
                <w:color w:val="auto"/>
                <w:sz w:val="21"/>
                <w:szCs w:val="21"/>
                <w:highlight w:val="none"/>
                <w:lang w:eastAsia="zh-CN"/>
              </w:rPr>
              <w:t>；</w:t>
            </w:r>
            <w:r>
              <w:rPr>
                <w:rFonts w:hint="default" w:ascii="宋体" w:hAnsi="宋体" w:eastAsia="宋体" w:cs="Times New Roman"/>
                <w:color w:val="auto"/>
                <w:sz w:val="21"/>
                <w:szCs w:val="21"/>
                <w:highlight w:val="none"/>
                <w:lang w:eastAsia="zh-CN"/>
              </w:rPr>
              <w:t>当通过资格审查的投标人</w:t>
            </w:r>
            <w:r>
              <w:rPr>
                <w:rFonts w:hint="eastAsia" w:ascii="宋体" w:hAnsi="宋体" w:eastAsia="宋体" w:cs="Times New Roman"/>
                <w:color w:val="auto"/>
                <w:sz w:val="21"/>
                <w:szCs w:val="21"/>
                <w:highlight w:val="none"/>
                <w:lang w:val="en-US" w:eastAsia="zh-CN"/>
              </w:rPr>
              <w:t>N</w:t>
            </w:r>
            <w:r>
              <w:rPr>
                <w:rFonts w:hint="default" w:ascii="宋体" w:hAnsi="宋体" w:eastAsia="宋体" w:cs="Times New Roman"/>
                <w:color w:val="auto"/>
                <w:sz w:val="21"/>
                <w:szCs w:val="21"/>
                <w:highlight w:val="none"/>
                <w:lang w:eastAsia="zh-CN"/>
              </w:rPr>
              <w:t xml:space="preserve">为双数时，Q高为排列在第 </w:t>
            </w:r>
            <w:r>
              <w:rPr>
                <w:rFonts w:hint="eastAsia" w:ascii="宋体" w:hAnsi="宋体" w:eastAsia="宋体" w:cs="Times New Roman"/>
                <w:color w:val="auto"/>
                <w:sz w:val="21"/>
                <w:szCs w:val="21"/>
                <w:highlight w:val="none"/>
                <w:lang w:val="en-US" w:eastAsia="zh-CN"/>
              </w:rPr>
              <w:t>N</w:t>
            </w:r>
            <w:r>
              <w:rPr>
                <w:rFonts w:hint="default" w:ascii="宋体" w:hAnsi="宋体" w:eastAsia="宋体" w:cs="Times New Roman"/>
                <w:color w:val="auto"/>
                <w:sz w:val="21"/>
                <w:szCs w:val="21"/>
                <w:highlight w:val="none"/>
                <w:lang w:eastAsia="zh-CN"/>
              </w:rPr>
              <w:t>/2名和第(N/2+1)名两名投标人的平均报价</w:t>
            </w:r>
            <w:r>
              <w:rPr>
                <w:rFonts w:hint="eastAsia" w:ascii="宋体" w:hAnsi="宋体" w:eastAsia="宋体" w:cs="Times New Roman"/>
                <w:color w:val="auto"/>
                <w:sz w:val="21"/>
                <w:szCs w:val="21"/>
                <w:highlight w:val="none"/>
                <w:lang w:eastAsia="zh-CN"/>
              </w:rPr>
              <w:t>。</w:t>
            </w:r>
          </w:p>
          <w:p w14:paraId="73A934FE">
            <w:pPr>
              <w:keepNext w:val="0"/>
              <w:keepLines w:val="0"/>
              <w:numPr>
                <w:ilvl w:val="0"/>
                <w:numId w:val="0"/>
              </w:numPr>
              <w:suppressLineNumbers w:val="0"/>
              <w:spacing w:before="0" w:beforeAutospacing="0" w:after="0" w:afterAutospacing="0" w:line="360" w:lineRule="exact"/>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X:为等分点值，在开标前从[0,100]整数中随机抽取。</w:t>
            </w:r>
          </w:p>
        </w:tc>
      </w:tr>
      <w:tr w14:paraId="0E2BE96F">
        <w:tblPrEx>
          <w:tblCellMar>
            <w:top w:w="0" w:type="dxa"/>
            <w:left w:w="0" w:type="dxa"/>
            <w:bottom w:w="0" w:type="dxa"/>
            <w:right w:w="0" w:type="dxa"/>
          </w:tblCellMar>
        </w:tblPrEx>
        <w:trPr>
          <w:trHeight w:val="1333"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64A278DA">
            <w:pPr>
              <w:pStyle w:val="49"/>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highlight w:val="none"/>
                <w:lang w:val="en-US" w:eastAsia="en-US" w:bidi="ar-SA"/>
              </w:rPr>
            </w:pPr>
            <w:r>
              <w:rPr>
                <w:rFonts w:hint="default" w:ascii="宋体" w:hAnsi="宋体" w:eastAsia="宋体" w:cs="Times New Roman"/>
                <w:color w:val="auto"/>
                <w:sz w:val="21"/>
                <w:szCs w:val="21"/>
                <w:highlight w:val="none"/>
              </w:rPr>
              <w:t>2.2.3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49E5DC7">
            <w:pPr>
              <w:pStyle w:val="49"/>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eastAsia="zh-CN"/>
              </w:rPr>
              <w:t>投标报价的偏差率计算公式</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B159BDF">
            <w:pPr>
              <w:keepNext w:val="0"/>
              <w:keepLines w:val="0"/>
              <w:suppressLineNumbers w:val="0"/>
              <w:spacing w:before="0" w:beforeAutospacing="0" w:after="0" w:afterAutospacing="0" w:line="360" w:lineRule="exact"/>
              <w:ind w:left="0" w:right="0"/>
              <w:jc w:val="both"/>
              <w:rPr>
                <w:rFonts w:hint="eastAsia" w:ascii="宋体" w:hAnsi="宋体" w:eastAsia="宋体" w:cs="Times New Roman"/>
                <w:strike/>
                <w:color w:val="auto"/>
                <w:sz w:val="21"/>
                <w:szCs w:val="21"/>
                <w:highlight w:val="none"/>
                <w:lang w:val="en-US" w:eastAsia="zh-CN" w:bidi="ar-SA"/>
              </w:rPr>
            </w:pPr>
            <w:r>
              <w:rPr>
                <w:rFonts w:hint="eastAsia" w:ascii="宋体" w:hAnsi="宋体" w:eastAsia="宋体" w:cs="Times New Roman"/>
                <w:color w:val="auto"/>
                <w:sz w:val="21"/>
                <w:szCs w:val="21"/>
                <w:highlight w:val="none"/>
                <w:lang w:eastAsia="zh-CN"/>
              </w:rPr>
              <w:t>偏差率</w:t>
            </w:r>
            <w:r>
              <w:rPr>
                <w:rFonts w:hint="default" w:ascii="宋体" w:hAnsi="宋体" w:eastAsia="宋体" w:cs="Times New Roman"/>
                <w:color w:val="auto"/>
                <w:sz w:val="21"/>
                <w:szCs w:val="21"/>
                <w:highlight w:val="none"/>
                <w:lang w:eastAsia="zh-CN"/>
              </w:rPr>
              <w:t>=100% ×|</w:t>
            </w:r>
            <w:r>
              <w:rPr>
                <w:rFonts w:hint="eastAsia" w:ascii="宋体" w:hAnsi="宋体" w:eastAsia="宋体" w:cs="Times New Roman"/>
                <w:color w:val="auto"/>
                <w:sz w:val="21"/>
                <w:szCs w:val="21"/>
                <w:highlight w:val="none"/>
                <w:lang w:eastAsia="zh-CN"/>
              </w:rPr>
              <w:t>（投标人有效投标总报价</w:t>
            </w:r>
            <w:r>
              <w:rPr>
                <w:rFonts w:hint="default"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eastAsia="zh-CN"/>
              </w:rPr>
              <w:t>评标基准价）</w:t>
            </w:r>
            <w:r>
              <w:rPr>
                <w:rFonts w:hint="default"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eastAsia="zh-CN"/>
              </w:rPr>
              <w:t>评标基准价（偏差率以四舍五入保留</w:t>
            </w:r>
            <w:r>
              <w:rPr>
                <w:rFonts w:hint="default" w:ascii="宋体" w:hAnsi="宋体" w:eastAsia="宋体" w:cs="Times New Roman"/>
                <w:color w:val="auto"/>
                <w:sz w:val="21"/>
                <w:szCs w:val="21"/>
                <w:highlight w:val="none"/>
                <w:lang w:eastAsia="zh-CN"/>
              </w:rPr>
              <w:t>2</w:t>
            </w:r>
            <w:r>
              <w:rPr>
                <w:rFonts w:hint="eastAsia" w:ascii="宋体" w:hAnsi="宋体" w:eastAsia="宋体" w:cs="Times New Roman"/>
                <w:color w:val="auto"/>
                <w:sz w:val="21"/>
                <w:szCs w:val="21"/>
                <w:highlight w:val="none"/>
                <w:lang w:eastAsia="zh-CN"/>
              </w:rPr>
              <w:t>位小数点，报价偏差率不足</w:t>
            </w:r>
            <w:r>
              <w:rPr>
                <w:rFonts w:hint="default" w:ascii="宋体" w:hAnsi="宋体" w:eastAsia="宋体" w:cs="Times New Roman"/>
                <w:color w:val="auto"/>
                <w:sz w:val="21"/>
                <w:szCs w:val="21"/>
                <w:highlight w:val="none"/>
                <w:lang w:eastAsia="zh-CN"/>
              </w:rPr>
              <w:t>1%</w:t>
            </w:r>
            <w:r>
              <w:rPr>
                <w:rFonts w:hint="eastAsia" w:ascii="宋体" w:hAnsi="宋体" w:eastAsia="宋体" w:cs="Times New Roman"/>
                <w:color w:val="auto"/>
                <w:sz w:val="21"/>
                <w:szCs w:val="21"/>
                <w:highlight w:val="none"/>
                <w:lang w:eastAsia="zh-CN"/>
              </w:rPr>
              <w:t>的，按直线内插法计算投标报价得分）</w:t>
            </w:r>
          </w:p>
        </w:tc>
      </w:tr>
      <w:tr w14:paraId="0B57FA1D">
        <w:tblPrEx>
          <w:tblCellMar>
            <w:top w:w="0" w:type="dxa"/>
            <w:left w:w="0" w:type="dxa"/>
            <w:bottom w:w="0" w:type="dxa"/>
            <w:right w:w="0" w:type="dxa"/>
          </w:tblCellMar>
        </w:tblPrEx>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1B2F058C">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2.2.</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A4A7446">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设计方案部分评分标准</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0E3D5E58">
            <w:pPr>
              <w:keepNext w:val="0"/>
              <w:keepLines w:val="0"/>
              <w:suppressLineNumbers w:val="0"/>
              <w:spacing w:before="0" w:beforeAutospacing="0" w:after="0" w:afterAutospacing="0" w:line="360" w:lineRule="exact"/>
              <w:ind w:left="0" w:right="0"/>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见附表一《设计方案部分综合评分表》</w:t>
            </w:r>
          </w:p>
        </w:tc>
      </w:tr>
      <w:tr w14:paraId="53836152">
        <w:tblPrEx>
          <w:tblCellMar>
            <w:top w:w="0" w:type="dxa"/>
            <w:left w:w="0" w:type="dxa"/>
            <w:bottom w:w="0" w:type="dxa"/>
            <w:right w:w="0" w:type="dxa"/>
          </w:tblCellMar>
        </w:tblPrEx>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412DA944">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2.2.</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619B898">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资信业绩部分评分标准</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3110327">
            <w:pPr>
              <w:keepNext w:val="0"/>
              <w:keepLines w:val="0"/>
              <w:suppressLineNumbers w:val="0"/>
              <w:spacing w:before="0" w:beforeAutospacing="0" w:after="0" w:afterAutospacing="0" w:line="360" w:lineRule="exact"/>
              <w:ind w:left="0" w:right="0"/>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见附表二《资信业绩部分综合评分表》</w:t>
            </w:r>
          </w:p>
        </w:tc>
      </w:tr>
      <w:tr w14:paraId="4209C8C5">
        <w:tblPrEx>
          <w:tblCellMar>
            <w:top w:w="0" w:type="dxa"/>
            <w:left w:w="0" w:type="dxa"/>
            <w:bottom w:w="0" w:type="dxa"/>
            <w:right w:w="0" w:type="dxa"/>
          </w:tblCellMar>
        </w:tblPrEx>
        <w:tc>
          <w:tcPr>
            <w:tcW w:w="1530" w:type="dxa"/>
            <w:gridSpan w:val="2"/>
            <w:tcBorders>
              <w:top w:val="single" w:color="000000" w:sz="4" w:space="0"/>
              <w:left w:val="single" w:color="000000" w:sz="4" w:space="0"/>
              <w:bottom w:val="single" w:color="auto" w:sz="4" w:space="0"/>
              <w:right w:val="single" w:color="000000" w:sz="4" w:space="0"/>
            </w:tcBorders>
            <w:noWrap w:val="0"/>
            <w:vAlign w:val="center"/>
          </w:tcPr>
          <w:p w14:paraId="4750FE51">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条款号</w:t>
            </w:r>
          </w:p>
        </w:tc>
        <w:tc>
          <w:tcPr>
            <w:tcW w:w="1867" w:type="dxa"/>
            <w:tcBorders>
              <w:top w:val="single" w:color="000000" w:sz="4" w:space="0"/>
              <w:left w:val="single" w:color="000000" w:sz="4" w:space="0"/>
              <w:bottom w:val="single" w:color="auto" w:sz="4" w:space="0"/>
              <w:right w:val="single" w:color="000000" w:sz="4" w:space="0"/>
            </w:tcBorders>
            <w:noWrap w:val="0"/>
            <w:vAlign w:val="center"/>
          </w:tcPr>
          <w:p w14:paraId="19605E97">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评分因素</w:t>
            </w:r>
          </w:p>
        </w:tc>
        <w:tc>
          <w:tcPr>
            <w:tcW w:w="5640" w:type="dxa"/>
            <w:tcBorders>
              <w:top w:val="single" w:color="000000" w:sz="4" w:space="0"/>
              <w:left w:val="single" w:color="000000" w:sz="4" w:space="0"/>
              <w:bottom w:val="single" w:color="auto" w:sz="4" w:space="0"/>
              <w:right w:val="single" w:color="000000" w:sz="4" w:space="0"/>
            </w:tcBorders>
            <w:noWrap w:val="0"/>
            <w:vAlign w:val="center"/>
          </w:tcPr>
          <w:p w14:paraId="06188DDF">
            <w:pPr>
              <w:pStyle w:val="49"/>
              <w:keepNext w:val="0"/>
              <w:keepLines w:val="0"/>
              <w:suppressLineNumbers w:val="0"/>
              <w:spacing w:before="0" w:beforeAutospacing="0" w:after="0" w:afterAutospacing="0" w:line="360" w:lineRule="auto"/>
              <w:ind w:left="0" w:right="0"/>
              <w:jc w:val="center"/>
              <w:rPr>
                <w:rFonts w:hint="default" w:ascii="宋体" w:hAnsi="宋体" w:eastAsia="宋体" w:cs="Microsoft JhengHei"/>
                <w:color w:val="auto"/>
                <w:sz w:val="21"/>
                <w:szCs w:val="21"/>
              </w:rPr>
            </w:pPr>
            <w:r>
              <w:rPr>
                <w:rFonts w:hint="default" w:ascii="宋体" w:hAnsi="宋体" w:eastAsia="宋体" w:cs="Microsoft JhengHei"/>
                <w:b/>
                <w:bCs/>
                <w:color w:val="auto"/>
                <w:sz w:val="21"/>
                <w:szCs w:val="21"/>
              </w:rPr>
              <w:t>评分标准</w:t>
            </w:r>
          </w:p>
        </w:tc>
      </w:tr>
      <w:tr w14:paraId="6559B6F3">
        <w:tblPrEx>
          <w:tblCellMar>
            <w:top w:w="0" w:type="dxa"/>
            <w:left w:w="0" w:type="dxa"/>
            <w:bottom w:w="0" w:type="dxa"/>
            <w:right w:w="0" w:type="dxa"/>
          </w:tblCellMar>
        </w:tblPrEx>
        <w:tc>
          <w:tcPr>
            <w:tcW w:w="609" w:type="dxa"/>
            <w:tcBorders>
              <w:top w:val="single" w:color="000000" w:sz="4" w:space="0"/>
              <w:left w:val="single" w:color="000000" w:sz="4" w:space="0"/>
              <w:bottom w:val="single" w:color="000000" w:sz="4" w:space="0"/>
              <w:right w:val="single" w:color="000000" w:sz="4" w:space="0"/>
            </w:tcBorders>
            <w:noWrap w:val="0"/>
            <w:vAlign w:val="center"/>
          </w:tcPr>
          <w:p w14:paraId="40ADA437">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lang w:eastAsia="zh-CN"/>
              </w:rPr>
            </w:pPr>
            <w:r>
              <w:rPr>
                <w:rFonts w:hint="eastAsia" w:ascii="宋体" w:hAnsi="宋体" w:cs="宋体"/>
                <w:b w:val="0"/>
                <w:color w:val="auto"/>
                <w:kern w:val="0"/>
                <w:sz w:val="21"/>
                <w:szCs w:val="21"/>
                <w:highlight w:val="none"/>
              </w:rPr>
              <w:t>2.2.4（3）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AE1580F">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lang w:eastAsia="zh-CN"/>
              </w:rPr>
            </w:pPr>
            <w:r>
              <w:rPr>
                <w:rFonts w:hint="eastAsia" w:ascii="宋体" w:hAnsi="宋体" w:cs="宋体"/>
                <w:b w:val="0"/>
                <w:color w:val="auto"/>
                <w:kern w:val="0"/>
                <w:sz w:val="21"/>
                <w:szCs w:val="21"/>
                <w:highlight w:val="none"/>
              </w:rPr>
              <w:t>投标报价评分标准（100分）</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B8D1D7D">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lang w:eastAsia="zh-CN"/>
              </w:rPr>
            </w:pPr>
            <w:r>
              <w:rPr>
                <w:rFonts w:hint="eastAsia" w:ascii="宋体" w:hAnsi="宋体" w:cs="宋体"/>
                <w:b w:val="0"/>
                <w:color w:val="auto"/>
                <w:kern w:val="0"/>
                <w:sz w:val="21"/>
                <w:szCs w:val="21"/>
                <w:highlight w:val="none"/>
              </w:rPr>
              <w:t>偏差率</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6E288BEE">
            <w:pPr>
              <w:pStyle w:val="7"/>
              <w:keepNext w:val="0"/>
              <w:keepLines w:val="0"/>
              <w:suppressLineNumbers w:val="0"/>
              <w:spacing w:before="0" w:beforeAutospacing="0" w:after="0" w:afterAutospacing="0" w:line="276" w:lineRule="auto"/>
              <w:ind w:left="130" w:leftChars="0" w:right="99" w:rightChars="45" w:firstLine="0" w:firstLineChars="0"/>
              <w:rPr>
                <w:rFonts w:hint="default" w:ascii="宋体" w:hAnsi="宋体" w:cs="宋体"/>
                <w:color w:val="auto"/>
                <w:sz w:val="21"/>
                <w:szCs w:val="21"/>
              </w:rPr>
            </w:pPr>
            <w:r>
              <w:rPr>
                <w:rFonts w:hint="eastAsia" w:ascii="宋体" w:hAnsi="宋体" w:cs="宋体"/>
                <w:b w:val="0"/>
                <w:color w:val="auto"/>
                <w:kern w:val="0"/>
                <w:sz w:val="21"/>
                <w:szCs w:val="21"/>
                <w:highlight w:val="none"/>
              </w:rPr>
              <w:t>以评标基准价作为计算各有效投标总价得分的基础，当有效投标总价等于评标基准价时得100分；投标有效投标总价与评标基准价相比，每上偏1 %扣</w:t>
            </w:r>
            <w:r>
              <w:rPr>
                <w:rFonts w:hint="eastAsia" w:ascii="宋体" w:hAnsi="宋体" w:cs="宋体"/>
                <w:b w:val="0"/>
                <w:color w:val="auto"/>
                <w:kern w:val="0"/>
                <w:sz w:val="21"/>
                <w:szCs w:val="21"/>
                <w:highlight w:val="none"/>
                <w:lang w:val="en-US" w:eastAsia="zh-CN"/>
              </w:rPr>
              <w:t>1.5</w:t>
            </w:r>
            <w:r>
              <w:rPr>
                <w:rFonts w:hint="eastAsia" w:ascii="宋体" w:hAnsi="宋体" w:cs="宋体"/>
                <w:b w:val="0"/>
                <w:color w:val="auto"/>
                <w:kern w:val="0"/>
                <w:sz w:val="21"/>
                <w:szCs w:val="21"/>
                <w:highlight w:val="none"/>
              </w:rPr>
              <w:t>分，下偏</w:t>
            </w:r>
            <w:r>
              <w:rPr>
                <w:rFonts w:hint="eastAsia" w:ascii="宋体" w:hAnsi="宋体" w:cs="宋体"/>
                <w:b w:val="0"/>
                <w:color w:val="auto"/>
                <w:kern w:val="0"/>
                <w:sz w:val="21"/>
                <w:szCs w:val="21"/>
                <w:highlight w:val="none"/>
                <w:lang w:val="en-US" w:eastAsia="zh-CN"/>
              </w:rPr>
              <w:t>不扣分</w:t>
            </w:r>
            <w:r>
              <w:rPr>
                <w:rFonts w:hint="eastAsia" w:ascii="宋体" w:hAnsi="宋体" w:cs="宋体"/>
                <w:b w:val="0"/>
                <w:color w:val="auto"/>
                <w:kern w:val="0"/>
                <w:sz w:val="21"/>
                <w:szCs w:val="21"/>
                <w:highlight w:val="none"/>
              </w:rPr>
              <w:t>。最多扣100分。</w:t>
            </w:r>
          </w:p>
        </w:tc>
      </w:tr>
      <w:tr w14:paraId="53173F34">
        <w:tblPrEx>
          <w:tblCellMar>
            <w:top w:w="0" w:type="dxa"/>
            <w:left w:w="0" w:type="dxa"/>
            <w:bottom w:w="0" w:type="dxa"/>
            <w:right w:w="0" w:type="dxa"/>
          </w:tblCellMar>
        </w:tblPrEx>
        <w:tc>
          <w:tcPr>
            <w:tcW w:w="609" w:type="dxa"/>
            <w:tcBorders>
              <w:top w:val="single" w:color="000000" w:sz="4" w:space="0"/>
              <w:left w:val="single" w:color="000000" w:sz="4" w:space="0"/>
              <w:bottom w:val="single" w:color="000000" w:sz="4" w:space="0"/>
              <w:right w:val="single" w:color="000000" w:sz="4" w:space="0"/>
            </w:tcBorders>
            <w:noWrap w:val="0"/>
            <w:vAlign w:val="center"/>
          </w:tcPr>
          <w:p w14:paraId="3F866889">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highlight w:val="none"/>
              </w:rPr>
              <w:t>2.2.4（4）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3005C5F">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highlight w:val="none"/>
                <w:lang w:eastAsia="zh-CN"/>
              </w:rPr>
              <w:t>其他因素评分标准</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3A376057">
            <w:pPr>
              <w:pStyle w:val="49"/>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highlight w:val="none"/>
                <w:lang w:eastAsia="zh-CN"/>
              </w:rPr>
              <w:t>/</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8180662">
            <w:pPr>
              <w:pStyle w:val="7"/>
              <w:keepNext w:val="0"/>
              <w:keepLines w:val="0"/>
              <w:suppressLineNumbers w:val="0"/>
              <w:spacing w:before="0" w:beforeAutospacing="0" w:after="0" w:afterAutospacing="0" w:line="276" w:lineRule="auto"/>
              <w:ind w:left="130" w:leftChars="0" w:right="99" w:rightChars="45" w:firstLine="0" w:firstLineChars="0"/>
              <w:rPr>
                <w:rFonts w:hint="default" w:ascii="宋体" w:hAnsi="宋体" w:cs="宋体"/>
                <w:color w:val="auto"/>
                <w:sz w:val="21"/>
                <w:szCs w:val="21"/>
              </w:rPr>
            </w:pPr>
            <w:r>
              <w:rPr>
                <w:rFonts w:hint="eastAsia" w:ascii="宋体" w:hAnsi="宋体" w:cs="宋体"/>
                <w:color w:val="auto"/>
                <w:sz w:val="21"/>
                <w:szCs w:val="21"/>
                <w:highlight w:val="none"/>
              </w:rPr>
              <w:t>/</w:t>
            </w:r>
          </w:p>
        </w:tc>
      </w:tr>
      <w:bookmarkEnd w:id="31"/>
    </w:tbl>
    <w:p w14:paraId="5622C82D">
      <w:pPr>
        <w:jc w:val="left"/>
        <w:rPr>
          <w:rFonts w:ascii="宋体" w:hAnsi="宋体" w:cs="宋体"/>
          <w:color w:val="auto"/>
          <w:sz w:val="21"/>
          <w:szCs w:val="20"/>
          <w:lang w:eastAsia="zh-CN"/>
        </w:rPr>
        <w:sectPr>
          <w:pgSz w:w="11907" w:h="16839"/>
          <w:pgMar w:top="1440" w:right="1440" w:bottom="1440" w:left="1440" w:header="0" w:footer="918" w:gutter="0"/>
          <w:cols w:space="720" w:num="1"/>
        </w:sectPr>
      </w:pPr>
    </w:p>
    <w:p w14:paraId="0A30135E">
      <w:pPr>
        <w:widowControl/>
        <w:spacing w:line="360" w:lineRule="auto"/>
        <w:rPr>
          <w:rFonts w:hint="default" w:ascii="Arial" w:hAnsi="Arial"/>
          <w:b/>
          <w:color w:val="auto"/>
          <w:sz w:val="32"/>
          <w:lang w:eastAsia="zh-CN"/>
        </w:rPr>
      </w:pPr>
      <w:r>
        <w:rPr>
          <w:rFonts w:hint="default" w:ascii="Arial" w:hAnsi="Arial"/>
          <w:b/>
          <w:color w:val="auto"/>
          <w:sz w:val="32"/>
          <w:lang w:eastAsia="zh-CN"/>
        </w:rPr>
        <w:t>附表</w:t>
      </w:r>
      <w:r>
        <w:rPr>
          <w:rFonts w:hint="default" w:ascii="Arial" w:hAnsi="Arial"/>
          <w:b/>
          <w:color w:val="auto"/>
          <w:sz w:val="32"/>
          <w:lang w:val="en-US" w:eastAsia="zh-CN"/>
        </w:rPr>
        <w:t>一</w:t>
      </w:r>
      <w:r>
        <w:rPr>
          <w:rFonts w:hint="default" w:ascii="Arial" w:hAnsi="Arial"/>
          <w:b/>
          <w:color w:val="auto"/>
          <w:sz w:val="32"/>
          <w:lang w:eastAsia="zh-CN"/>
        </w:rPr>
        <w:t>：</w:t>
      </w:r>
      <w:r>
        <w:rPr>
          <w:rFonts w:hint="default" w:ascii="Arial" w:hAnsi="Arial"/>
          <w:b/>
          <w:bCs w:val="0"/>
          <w:color w:val="auto"/>
          <w:sz w:val="32"/>
          <w:lang w:eastAsia="zh-CN"/>
        </w:rPr>
        <w:t>设计方案部分综合评分表</w:t>
      </w:r>
    </w:p>
    <w:p w14:paraId="3511D2FB">
      <w:pPr>
        <w:spacing w:line="360" w:lineRule="auto"/>
        <w:rPr>
          <w:rFonts w:hint="eastAsia" w:ascii="宋体" w:hAnsi="宋体"/>
          <w:color w:val="auto"/>
        </w:rPr>
      </w:pPr>
      <w:r>
        <w:rPr>
          <w:rFonts w:hint="eastAsia" w:ascii="宋体" w:hAnsi="宋体"/>
          <w:color w:val="auto"/>
        </w:rPr>
        <w:t xml:space="preserve">项目名称：                                         </w:t>
      </w:r>
    </w:p>
    <w:tbl>
      <w:tblPr>
        <w:tblStyle w:val="24"/>
        <w:tblpPr w:leftFromText="180" w:rightFromText="180" w:vertAnchor="text" w:horzAnchor="page" w:tblpX="1461" w:tblpY="12"/>
        <w:tblOverlap w:val="never"/>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25"/>
        <w:gridCol w:w="763"/>
        <w:gridCol w:w="10796"/>
        <w:gridCol w:w="709"/>
      </w:tblGrid>
      <w:tr w14:paraId="5875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55B40610">
            <w:pPr>
              <w:pStyle w:val="7"/>
              <w:keepNext w:val="0"/>
              <w:keepLines w:val="0"/>
              <w:suppressLineNumbers w:val="0"/>
              <w:spacing w:before="0" w:beforeAutospacing="0" w:after="0" w:afterAutospacing="0"/>
              <w:ind w:left="0" w:right="0" w:firstLine="0"/>
              <w:jc w:val="center"/>
              <w:rPr>
                <w:rFonts w:hint="default" w:ascii="宋体" w:hAnsi="宋体" w:cs="宋体"/>
                <w:color w:val="auto"/>
                <w:sz w:val="21"/>
                <w:szCs w:val="21"/>
              </w:rPr>
            </w:pPr>
            <w:r>
              <w:rPr>
                <w:rFonts w:hint="eastAsia" w:ascii="宋体" w:hAnsi="宋体" w:cs="宋体"/>
                <w:color w:val="auto"/>
                <w:sz w:val="21"/>
                <w:szCs w:val="21"/>
              </w:rPr>
              <w:t>序号</w:t>
            </w:r>
          </w:p>
        </w:tc>
        <w:tc>
          <w:tcPr>
            <w:tcW w:w="1125" w:type="dxa"/>
            <w:tcBorders>
              <w:top w:val="single" w:color="auto" w:sz="4" w:space="0"/>
              <w:left w:val="single" w:color="auto" w:sz="8" w:space="0"/>
              <w:bottom w:val="single" w:color="auto" w:sz="4" w:space="0"/>
              <w:right w:val="single" w:color="auto" w:sz="4" w:space="0"/>
            </w:tcBorders>
            <w:noWrap/>
            <w:vAlign w:val="center"/>
          </w:tcPr>
          <w:p w14:paraId="4E400885">
            <w:pPr>
              <w:pStyle w:val="7"/>
              <w:keepNext w:val="0"/>
              <w:keepLines w:val="0"/>
              <w:suppressLineNumbers w:val="0"/>
              <w:spacing w:before="0" w:beforeAutospacing="0" w:after="0" w:afterAutospacing="0"/>
              <w:ind w:left="0" w:right="0" w:firstLine="0"/>
              <w:rPr>
                <w:rFonts w:hint="default" w:ascii="宋体" w:hAnsi="宋体" w:cs="宋体"/>
                <w:color w:val="auto"/>
                <w:sz w:val="21"/>
                <w:szCs w:val="21"/>
              </w:rPr>
            </w:pPr>
            <w:r>
              <w:rPr>
                <w:rFonts w:hint="eastAsia" w:ascii="宋体" w:hAnsi="宋体" w:cs="宋体"/>
                <w:color w:val="auto"/>
                <w:sz w:val="21"/>
                <w:szCs w:val="21"/>
              </w:rPr>
              <w:t>评审内容</w:t>
            </w:r>
          </w:p>
        </w:tc>
        <w:tc>
          <w:tcPr>
            <w:tcW w:w="763" w:type="dxa"/>
            <w:tcBorders>
              <w:top w:val="single" w:color="auto" w:sz="4" w:space="0"/>
              <w:left w:val="single" w:color="auto" w:sz="8" w:space="0"/>
              <w:bottom w:val="single" w:color="auto" w:sz="4" w:space="0"/>
              <w:right w:val="single" w:color="auto" w:sz="4" w:space="0"/>
            </w:tcBorders>
            <w:noWrap/>
            <w:vAlign w:val="center"/>
          </w:tcPr>
          <w:p w14:paraId="10C46DCE">
            <w:pPr>
              <w:pStyle w:val="7"/>
              <w:keepNext w:val="0"/>
              <w:keepLines w:val="0"/>
              <w:suppressLineNumbers w:val="0"/>
              <w:spacing w:before="0" w:beforeAutospacing="0" w:after="0" w:afterAutospacing="0"/>
              <w:ind w:left="0" w:right="0" w:firstLine="0"/>
              <w:jc w:val="center"/>
              <w:rPr>
                <w:rFonts w:hint="default" w:ascii="宋体" w:hAnsi="宋体" w:cs="宋体"/>
                <w:color w:val="auto"/>
                <w:sz w:val="21"/>
                <w:szCs w:val="21"/>
              </w:rPr>
            </w:pPr>
            <w:r>
              <w:rPr>
                <w:rFonts w:hint="eastAsia" w:ascii="宋体" w:hAnsi="宋体" w:cs="宋体"/>
                <w:color w:val="auto"/>
                <w:sz w:val="21"/>
                <w:szCs w:val="21"/>
              </w:rPr>
              <w:t>分值</w:t>
            </w:r>
          </w:p>
        </w:tc>
        <w:tc>
          <w:tcPr>
            <w:tcW w:w="10796" w:type="dxa"/>
            <w:tcBorders>
              <w:top w:val="single" w:color="auto" w:sz="4" w:space="0"/>
              <w:left w:val="single" w:color="auto" w:sz="4" w:space="0"/>
              <w:bottom w:val="single" w:color="auto" w:sz="4" w:space="0"/>
              <w:right w:val="single" w:color="auto" w:sz="4" w:space="0"/>
            </w:tcBorders>
            <w:noWrap/>
            <w:vAlign w:val="center"/>
          </w:tcPr>
          <w:p w14:paraId="50ABCADF">
            <w:pPr>
              <w:pStyle w:val="7"/>
              <w:keepNext w:val="0"/>
              <w:keepLines w:val="0"/>
              <w:suppressLineNumbers w:val="0"/>
              <w:spacing w:before="0" w:beforeAutospacing="0" w:after="0" w:afterAutospacing="0"/>
              <w:ind w:left="0" w:right="0" w:firstLine="440"/>
              <w:jc w:val="center"/>
              <w:rPr>
                <w:rFonts w:hint="default" w:ascii="宋体" w:hAnsi="宋体" w:cs="宋体"/>
                <w:color w:val="auto"/>
                <w:sz w:val="21"/>
                <w:szCs w:val="21"/>
              </w:rPr>
            </w:pPr>
            <w:r>
              <w:rPr>
                <w:rFonts w:hint="eastAsia" w:ascii="宋体" w:hAnsi="宋体" w:cs="宋体"/>
                <w:color w:val="auto"/>
                <w:sz w:val="21"/>
                <w:szCs w:val="21"/>
              </w:rPr>
              <w:t>评审标准</w:t>
            </w:r>
          </w:p>
        </w:tc>
        <w:tc>
          <w:tcPr>
            <w:tcW w:w="709" w:type="dxa"/>
            <w:tcBorders>
              <w:top w:val="single" w:color="auto" w:sz="4" w:space="0"/>
              <w:left w:val="single" w:color="auto" w:sz="4" w:space="0"/>
              <w:bottom w:val="single" w:color="auto" w:sz="4" w:space="0"/>
              <w:right w:val="single" w:color="auto" w:sz="4" w:space="0"/>
            </w:tcBorders>
            <w:noWrap/>
            <w:vAlign w:val="center"/>
          </w:tcPr>
          <w:p w14:paraId="4CC9FB57">
            <w:pPr>
              <w:pStyle w:val="7"/>
              <w:keepNext w:val="0"/>
              <w:keepLines w:val="0"/>
              <w:suppressLineNumbers w:val="0"/>
              <w:spacing w:before="0" w:beforeAutospacing="0" w:after="0" w:afterAutospacing="0"/>
              <w:ind w:left="0" w:right="0" w:firstLine="0"/>
              <w:rPr>
                <w:rFonts w:hint="default" w:ascii="宋体" w:hAnsi="宋体" w:cs="宋体"/>
                <w:color w:val="auto"/>
                <w:sz w:val="21"/>
                <w:szCs w:val="21"/>
              </w:rPr>
            </w:pPr>
            <w:r>
              <w:rPr>
                <w:rFonts w:hint="eastAsia" w:ascii="宋体" w:hAnsi="宋体" w:cs="宋体"/>
                <w:color w:val="auto"/>
                <w:sz w:val="21"/>
                <w:szCs w:val="21"/>
              </w:rPr>
              <w:t>得分</w:t>
            </w:r>
          </w:p>
        </w:tc>
      </w:tr>
      <w:tr w14:paraId="7863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3C46C35C">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1</w:t>
            </w:r>
          </w:p>
        </w:tc>
        <w:tc>
          <w:tcPr>
            <w:tcW w:w="1125" w:type="dxa"/>
            <w:tcBorders>
              <w:top w:val="single" w:color="auto" w:sz="4" w:space="0"/>
              <w:left w:val="single" w:color="auto" w:sz="8" w:space="0"/>
              <w:bottom w:val="single" w:color="auto" w:sz="4" w:space="0"/>
              <w:right w:val="single" w:color="auto" w:sz="4" w:space="0"/>
            </w:tcBorders>
            <w:noWrap/>
            <w:vAlign w:val="center"/>
          </w:tcPr>
          <w:p w14:paraId="02CC1E10">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rPr>
            </w:pPr>
            <w:r>
              <w:rPr>
                <w:rFonts w:hint="eastAsia" w:ascii="宋体" w:hAnsi="宋体" w:cs="宋体"/>
                <w:b w:val="0"/>
                <w:bCs/>
                <w:color w:val="auto"/>
                <w:sz w:val="21"/>
                <w:szCs w:val="21"/>
              </w:rPr>
              <w:t>设计构思</w:t>
            </w:r>
          </w:p>
        </w:tc>
        <w:tc>
          <w:tcPr>
            <w:tcW w:w="763" w:type="dxa"/>
            <w:tcBorders>
              <w:top w:val="single" w:color="auto" w:sz="4" w:space="0"/>
              <w:left w:val="single" w:color="auto" w:sz="8" w:space="0"/>
              <w:bottom w:val="single" w:color="auto" w:sz="4" w:space="0"/>
              <w:right w:val="single" w:color="auto" w:sz="4" w:space="0"/>
            </w:tcBorders>
            <w:noWrap/>
            <w:vAlign w:val="center"/>
          </w:tcPr>
          <w:p w14:paraId="2BD5ABBD">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25</w:t>
            </w:r>
          </w:p>
        </w:tc>
        <w:tc>
          <w:tcPr>
            <w:tcW w:w="10796" w:type="dxa"/>
            <w:tcBorders>
              <w:top w:val="single" w:color="auto" w:sz="4" w:space="0"/>
              <w:left w:val="single" w:color="auto" w:sz="4" w:space="0"/>
              <w:bottom w:val="single" w:color="auto" w:sz="4" w:space="0"/>
              <w:right w:val="single" w:color="auto" w:sz="4" w:space="0"/>
            </w:tcBorders>
            <w:noWrap/>
            <w:vAlign w:val="center"/>
          </w:tcPr>
          <w:p w14:paraId="0EE933FF">
            <w:pPr>
              <w:pStyle w:val="7"/>
              <w:keepNext w:val="0"/>
              <w:keepLines w:val="0"/>
              <w:suppressLineNumbers w:val="0"/>
              <w:spacing w:before="0" w:beforeAutospacing="0" w:after="0" w:afterAutospacing="0"/>
              <w:ind w:left="0" w:right="0" w:firstLine="440"/>
              <w:rPr>
                <w:rFonts w:hint="default" w:ascii="宋体" w:hAnsi="宋体" w:cs="宋体"/>
                <w:b w:val="0"/>
                <w:bCs/>
                <w:color w:val="auto"/>
                <w:sz w:val="21"/>
                <w:szCs w:val="21"/>
              </w:rPr>
            </w:pPr>
            <w:r>
              <w:rPr>
                <w:rFonts w:hint="eastAsia" w:ascii="宋体" w:hAnsi="宋体" w:cs="宋体"/>
                <w:b w:val="0"/>
                <w:bCs/>
                <w:color w:val="auto"/>
                <w:sz w:val="21"/>
                <w:szCs w:val="21"/>
              </w:rPr>
              <w:t>根据项目地形、周边环境、市场特点构思项目的发展思路、定位和策略。设计方案定位合理，符合市场需求，具有创新思维和前瞻性。对项目的特点、定位、需求等有详细的分析与说明，并提出创新、可持续的运营模式，并在整体设计中体现上述要求。</w:t>
            </w:r>
          </w:p>
          <w:p w14:paraId="0E8CE44C">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优：25-18  良：17-12 中：11-7</w:t>
            </w:r>
            <w:r>
              <w:rPr>
                <w:rFonts w:hint="eastAsia" w:ascii="宋体" w:hAnsi="宋体" w:cs="宋体"/>
                <w:b w:val="0"/>
                <w:bCs/>
                <w:color w:val="auto"/>
                <w:sz w:val="21"/>
                <w:szCs w:val="21"/>
                <w:lang w:val="en-US" w:eastAsia="zh-CN"/>
              </w:rPr>
              <w:t xml:space="preserve"> 差：1-6</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50EF542A">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62ED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553D9DBF">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2</w:t>
            </w:r>
          </w:p>
        </w:tc>
        <w:tc>
          <w:tcPr>
            <w:tcW w:w="1125" w:type="dxa"/>
            <w:tcBorders>
              <w:top w:val="single" w:color="auto" w:sz="4" w:space="0"/>
              <w:left w:val="single" w:color="auto" w:sz="8" w:space="0"/>
              <w:bottom w:val="single" w:color="auto" w:sz="4" w:space="0"/>
              <w:right w:val="single" w:color="auto" w:sz="4" w:space="0"/>
            </w:tcBorders>
            <w:noWrap/>
            <w:vAlign w:val="center"/>
          </w:tcPr>
          <w:p w14:paraId="475A05EC">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rPr>
            </w:pPr>
            <w:r>
              <w:rPr>
                <w:rFonts w:hint="eastAsia" w:ascii="宋体" w:hAnsi="宋体" w:cs="宋体"/>
                <w:b w:val="0"/>
                <w:bCs/>
                <w:color w:val="auto"/>
                <w:sz w:val="21"/>
                <w:szCs w:val="21"/>
              </w:rPr>
              <w:t>规划布局</w:t>
            </w:r>
          </w:p>
        </w:tc>
        <w:tc>
          <w:tcPr>
            <w:tcW w:w="763" w:type="dxa"/>
            <w:tcBorders>
              <w:top w:val="single" w:color="auto" w:sz="4" w:space="0"/>
              <w:left w:val="single" w:color="auto" w:sz="8" w:space="0"/>
              <w:bottom w:val="single" w:color="auto" w:sz="4" w:space="0"/>
              <w:right w:val="single" w:color="auto" w:sz="4" w:space="0"/>
            </w:tcBorders>
            <w:noWrap/>
            <w:vAlign w:val="center"/>
          </w:tcPr>
          <w:p w14:paraId="30F54498">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15</w:t>
            </w:r>
          </w:p>
        </w:tc>
        <w:tc>
          <w:tcPr>
            <w:tcW w:w="10796" w:type="dxa"/>
            <w:tcBorders>
              <w:top w:val="single" w:color="auto" w:sz="4" w:space="0"/>
              <w:left w:val="single" w:color="auto" w:sz="4" w:space="0"/>
              <w:bottom w:val="single" w:color="auto" w:sz="4" w:space="0"/>
              <w:right w:val="single" w:color="auto" w:sz="4" w:space="0"/>
            </w:tcBorders>
            <w:noWrap/>
            <w:vAlign w:val="center"/>
          </w:tcPr>
          <w:p w14:paraId="706C1293">
            <w:pPr>
              <w:pStyle w:val="7"/>
              <w:keepNext w:val="0"/>
              <w:keepLines w:val="0"/>
              <w:suppressLineNumbers w:val="0"/>
              <w:spacing w:before="0" w:beforeAutospacing="0" w:after="0" w:afterAutospacing="0"/>
              <w:ind w:left="0" w:right="0" w:firstLine="440"/>
              <w:rPr>
                <w:rFonts w:hint="default" w:ascii="宋体" w:hAnsi="宋体" w:cs="宋体"/>
                <w:b w:val="0"/>
                <w:bCs/>
                <w:color w:val="auto"/>
                <w:sz w:val="21"/>
                <w:szCs w:val="21"/>
              </w:rPr>
            </w:pPr>
            <w:r>
              <w:rPr>
                <w:rFonts w:hint="eastAsia" w:ascii="宋体" w:hAnsi="宋体" w:cs="宋体"/>
                <w:b w:val="0"/>
                <w:bCs/>
                <w:color w:val="auto"/>
                <w:sz w:val="21"/>
                <w:szCs w:val="21"/>
              </w:rPr>
              <w:t>布局合理，满足规划设计条件。设计深度符合招标文件要求。建筑与用地有机结合，形态自然、空间流畅，呼应周边建筑和景观，与城市环境空间形成有机的整体。充分发挥地块优势，合理布置功能组团并满足使用要求，考虑用地与周边地块的联系，出入口位置明晰合理，交通流线合理通畅。</w:t>
            </w:r>
          </w:p>
          <w:p w14:paraId="50BBC597">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优：15-12  良：11-9  中：8-5</w:t>
            </w:r>
            <w:r>
              <w:rPr>
                <w:rFonts w:hint="eastAsia" w:ascii="宋体" w:hAnsi="宋体" w:cs="宋体"/>
                <w:b w:val="0"/>
                <w:bCs/>
                <w:color w:val="auto"/>
                <w:sz w:val="21"/>
                <w:szCs w:val="21"/>
                <w:lang w:val="en-US" w:eastAsia="zh-CN"/>
              </w:rPr>
              <w:t xml:space="preserve"> 差：1-4</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349D44BE">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6EEA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30BF20B8">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3</w:t>
            </w:r>
          </w:p>
        </w:tc>
        <w:tc>
          <w:tcPr>
            <w:tcW w:w="1125" w:type="dxa"/>
            <w:tcBorders>
              <w:top w:val="single" w:color="auto" w:sz="4" w:space="0"/>
              <w:left w:val="single" w:color="auto" w:sz="8" w:space="0"/>
              <w:bottom w:val="single" w:color="auto" w:sz="4" w:space="0"/>
              <w:right w:val="single" w:color="auto" w:sz="4" w:space="0"/>
            </w:tcBorders>
            <w:noWrap/>
            <w:vAlign w:val="center"/>
          </w:tcPr>
          <w:p w14:paraId="5E135ADD">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rPr>
            </w:pPr>
            <w:r>
              <w:rPr>
                <w:rFonts w:hint="eastAsia" w:ascii="宋体" w:hAnsi="宋体" w:cs="宋体"/>
                <w:b w:val="0"/>
                <w:bCs/>
                <w:color w:val="auto"/>
                <w:sz w:val="21"/>
                <w:szCs w:val="21"/>
              </w:rPr>
              <w:t>使用功能</w:t>
            </w:r>
          </w:p>
        </w:tc>
        <w:tc>
          <w:tcPr>
            <w:tcW w:w="763" w:type="dxa"/>
            <w:tcBorders>
              <w:top w:val="single" w:color="auto" w:sz="4" w:space="0"/>
              <w:left w:val="single" w:color="auto" w:sz="8" w:space="0"/>
              <w:bottom w:val="single" w:color="auto" w:sz="4" w:space="0"/>
              <w:right w:val="single" w:color="auto" w:sz="4" w:space="0"/>
            </w:tcBorders>
            <w:noWrap/>
            <w:vAlign w:val="center"/>
          </w:tcPr>
          <w:p w14:paraId="4CDDC53B">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lang w:val="zh-CN"/>
              </w:rPr>
              <w:t>15</w:t>
            </w:r>
          </w:p>
        </w:tc>
        <w:tc>
          <w:tcPr>
            <w:tcW w:w="10796" w:type="dxa"/>
            <w:tcBorders>
              <w:top w:val="single" w:color="auto" w:sz="4" w:space="0"/>
              <w:left w:val="single" w:color="auto" w:sz="4" w:space="0"/>
              <w:bottom w:val="single" w:color="auto" w:sz="4" w:space="0"/>
              <w:right w:val="single" w:color="auto" w:sz="4" w:space="0"/>
            </w:tcBorders>
            <w:noWrap/>
            <w:vAlign w:val="center"/>
          </w:tcPr>
          <w:p w14:paraId="19AAD444">
            <w:pPr>
              <w:pStyle w:val="7"/>
              <w:keepNext w:val="0"/>
              <w:keepLines w:val="0"/>
              <w:suppressLineNumbers w:val="0"/>
              <w:spacing w:before="0" w:beforeAutospacing="0" w:after="0" w:afterAutospacing="0"/>
              <w:ind w:left="0" w:right="0" w:firstLine="440"/>
              <w:rPr>
                <w:rFonts w:hint="default" w:ascii="宋体" w:hAnsi="宋体" w:cs="宋体"/>
                <w:b w:val="0"/>
                <w:bCs/>
                <w:color w:val="auto"/>
                <w:sz w:val="21"/>
                <w:szCs w:val="21"/>
              </w:rPr>
            </w:pPr>
            <w:r>
              <w:rPr>
                <w:rFonts w:hint="eastAsia" w:ascii="宋体" w:hAnsi="宋体" w:cs="宋体"/>
                <w:b w:val="0"/>
                <w:bCs/>
                <w:color w:val="auto"/>
                <w:sz w:val="21"/>
                <w:szCs w:val="21"/>
              </w:rPr>
              <w:t>功能布局合理，符合规范及任务书要求。分区明确，各功能区块之间有一定的联系性。又互不干扰，形成富有特色的社区公共空间。充分体现设计构思，实现各方价值最大化，同时考虑到可持续发展的需求。配套设施齐全。根据场地条件合理规划人车流线，满足停车数量需求。考虑人防设计要求。</w:t>
            </w:r>
          </w:p>
          <w:p w14:paraId="69D7E07E">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优：15-12 良：11-9  中：8-5</w:t>
            </w:r>
            <w:r>
              <w:rPr>
                <w:rFonts w:hint="eastAsia" w:ascii="宋体" w:hAnsi="宋体" w:cs="宋体"/>
                <w:b w:val="0"/>
                <w:bCs/>
                <w:color w:val="auto"/>
                <w:sz w:val="21"/>
                <w:szCs w:val="21"/>
                <w:lang w:val="en-US" w:eastAsia="zh-CN"/>
              </w:rPr>
              <w:t xml:space="preserve"> 差：1-4</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5B37351B">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76AF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74D7A458">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4</w:t>
            </w:r>
          </w:p>
        </w:tc>
        <w:tc>
          <w:tcPr>
            <w:tcW w:w="1125" w:type="dxa"/>
            <w:tcBorders>
              <w:top w:val="single" w:color="auto" w:sz="4" w:space="0"/>
              <w:left w:val="single" w:color="auto" w:sz="8" w:space="0"/>
              <w:bottom w:val="single" w:color="auto" w:sz="4" w:space="0"/>
              <w:right w:val="single" w:color="auto" w:sz="4" w:space="0"/>
            </w:tcBorders>
            <w:noWrap/>
            <w:vAlign w:val="center"/>
          </w:tcPr>
          <w:p w14:paraId="11495870">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rPr>
            </w:pPr>
            <w:r>
              <w:rPr>
                <w:rFonts w:hint="eastAsia" w:ascii="宋体" w:hAnsi="宋体" w:cs="宋体"/>
                <w:b w:val="0"/>
                <w:bCs/>
                <w:color w:val="auto"/>
                <w:sz w:val="21"/>
                <w:szCs w:val="21"/>
              </w:rPr>
              <w:t>建筑形象与设计创新</w:t>
            </w:r>
          </w:p>
        </w:tc>
        <w:tc>
          <w:tcPr>
            <w:tcW w:w="763" w:type="dxa"/>
            <w:tcBorders>
              <w:top w:val="single" w:color="auto" w:sz="4" w:space="0"/>
              <w:left w:val="single" w:color="auto" w:sz="8" w:space="0"/>
              <w:bottom w:val="single" w:color="auto" w:sz="4" w:space="0"/>
              <w:right w:val="single" w:color="auto" w:sz="4" w:space="0"/>
            </w:tcBorders>
            <w:noWrap/>
            <w:vAlign w:val="center"/>
          </w:tcPr>
          <w:p w14:paraId="330AF8AA">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lang w:val="zh-CN"/>
              </w:rPr>
              <w:t>25</w:t>
            </w:r>
          </w:p>
        </w:tc>
        <w:tc>
          <w:tcPr>
            <w:tcW w:w="10796" w:type="dxa"/>
            <w:tcBorders>
              <w:top w:val="single" w:color="auto" w:sz="4" w:space="0"/>
              <w:left w:val="single" w:color="auto" w:sz="4" w:space="0"/>
              <w:bottom w:val="single" w:color="auto" w:sz="4" w:space="0"/>
              <w:right w:val="single" w:color="auto" w:sz="4" w:space="0"/>
            </w:tcBorders>
            <w:noWrap/>
            <w:vAlign w:val="center"/>
          </w:tcPr>
          <w:p w14:paraId="3558A663">
            <w:pPr>
              <w:pStyle w:val="7"/>
              <w:keepNext w:val="0"/>
              <w:keepLines w:val="0"/>
              <w:suppressLineNumbers w:val="0"/>
              <w:spacing w:before="0" w:beforeAutospacing="0" w:after="0" w:afterAutospacing="0"/>
              <w:ind w:left="0" w:right="0" w:firstLine="440"/>
              <w:rPr>
                <w:rFonts w:hint="default" w:ascii="宋体" w:hAnsi="宋体" w:cs="宋体"/>
                <w:b w:val="0"/>
                <w:bCs/>
                <w:color w:val="auto"/>
                <w:sz w:val="21"/>
                <w:szCs w:val="21"/>
              </w:rPr>
            </w:pPr>
            <w:r>
              <w:rPr>
                <w:rFonts w:hint="eastAsia" w:ascii="宋体" w:hAnsi="宋体" w:cs="宋体"/>
                <w:b w:val="0"/>
                <w:bCs/>
                <w:color w:val="auto"/>
                <w:sz w:val="21"/>
                <w:szCs w:val="21"/>
              </w:rPr>
              <w:t>设计具有标志性、反映时代精神，具有创新意识。主要城市界面应展现大方、明朗、现代的建筑风格，兼具地域特色。建筑外观与周边环境整体和谐。</w:t>
            </w:r>
          </w:p>
          <w:p w14:paraId="5822E967">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优：25-20 良：19-12  中：11-5</w:t>
            </w:r>
            <w:r>
              <w:rPr>
                <w:rFonts w:hint="eastAsia" w:ascii="宋体" w:hAnsi="宋体" w:cs="宋体"/>
                <w:b w:val="0"/>
                <w:bCs/>
                <w:color w:val="auto"/>
                <w:sz w:val="21"/>
                <w:szCs w:val="21"/>
                <w:lang w:val="en-US" w:eastAsia="zh-CN"/>
              </w:rPr>
              <w:t xml:space="preserve"> 差：1-4</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432A6CC6">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7654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1F92914C">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5</w:t>
            </w:r>
          </w:p>
        </w:tc>
        <w:tc>
          <w:tcPr>
            <w:tcW w:w="1125" w:type="dxa"/>
            <w:tcBorders>
              <w:top w:val="single" w:color="auto" w:sz="4" w:space="0"/>
              <w:left w:val="single" w:color="auto" w:sz="8" w:space="0"/>
              <w:bottom w:val="single" w:color="auto" w:sz="4" w:space="0"/>
              <w:right w:val="single" w:color="auto" w:sz="4" w:space="0"/>
            </w:tcBorders>
            <w:noWrap/>
            <w:vAlign w:val="center"/>
          </w:tcPr>
          <w:p w14:paraId="66998006">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lang w:val="zh-CN"/>
              </w:rPr>
            </w:pPr>
            <w:r>
              <w:rPr>
                <w:rFonts w:hint="eastAsia" w:ascii="宋体" w:hAnsi="宋体" w:cs="宋体"/>
                <w:b w:val="0"/>
                <w:bCs/>
                <w:color w:val="auto"/>
                <w:sz w:val="21"/>
                <w:szCs w:val="21"/>
                <w:lang w:val="zh-CN"/>
              </w:rPr>
              <w:t>景观设计</w:t>
            </w:r>
          </w:p>
        </w:tc>
        <w:tc>
          <w:tcPr>
            <w:tcW w:w="763" w:type="dxa"/>
            <w:tcBorders>
              <w:top w:val="single" w:color="auto" w:sz="4" w:space="0"/>
              <w:left w:val="single" w:color="auto" w:sz="8" w:space="0"/>
              <w:bottom w:val="single" w:color="auto" w:sz="4" w:space="0"/>
              <w:right w:val="single" w:color="auto" w:sz="4" w:space="0"/>
            </w:tcBorders>
            <w:noWrap/>
            <w:vAlign w:val="center"/>
          </w:tcPr>
          <w:p w14:paraId="1B07DF66">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10</w:t>
            </w:r>
          </w:p>
        </w:tc>
        <w:tc>
          <w:tcPr>
            <w:tcW w:w="10796" w:type="dxa"/>
            <w:tcBorders>
              <w:top w:val="single" w:color="auto" w:sz="4" w:space="0"/>
              <w:left w:val="single" w:color="auto" w:sz="4" w:space="0"/>
              <w:bottom w:val="single" w:color="auto" w:sz="4" w:space="0"/>
              <w:right w:val="single" w:color="auto" w:sz="4" w:space="0"/>
            </w:tcBorders>
            <w:noWrap/>
            <w:vAlign w:val="center"/>
          </w:tcPr>
          <w:p w14:paraId="49564769">
            <w:pPr>
              <w:pStyle w:val="7"/>
              <w:keepNext w:val="0"/>
              <w:keepLines w:val="0"/>
              <w:suppressLineNumbers w:val="0"/>
              <w:spacing w:before="0" w:beforeAutospacing="0" w:after="0" w:afterAutospacing="0"/>
              <w:ind w:left="0" w:right="0" w:firstLine="440"/>
              <w:rPr>
                <w:rFonts w:hint="default" w:ascii="宋体" w:hAnsi="宋体" w:cs="宋体"/>
                <w:b w:val="0"/>
                <w:bCs/>
                <w:color w:val="auto"/>
                <w:sz w:val="21"/>
                <w:szCs w:val="21"/>
              </w:rPr>
            </w:pPr>
            <w:r>
              <w:rPr>
                <w:rFonts w:hint="eastAsia" w:ascii="宋体" w:hAnsi="宋体" w:cs="宋体"/>
                <w:b w:val="0"/>
                <w:bCs/>
                <w:color w:val="auto"/>
                <w:sz w:val="21"/>
                <w:szCs w:val="21"/>
              </w:rPr>
              <w:t>充分考虑项目整体性，建筑环境与空间造型和谐统一，考虑多层次、立体化的绿化景观设计，形成良好舒适的住区景观效果。考虑地块主要出入口、广场、庭院等公共空间设计，详细展示主要活动空间等节点的设计。</w:t>
            </w:r>
          </w:p>
          <w:p w14:paraId="6E8FAD08">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优：10-8  良：7-5  中：4-3</w:t>
            </w:r>
            <w:r>
              <w:rPr>
                <w:rFonts w:hint="eastAsia" w:ascii="宋体" w:hAnsi="宋体" w:cs="宋体"/>
                <w:b w:val="0"/>
                <w:bCs/>
                <w:color w:val="auto"/>
                <w:sz w:val="21"/>
                <w:szCs w:val="21"/>
                <w:lang w:val="en-US" w:eastAsia="zh-CN"/>
              </w:rPr>
              <w:t xml:space="preserve"> 差：1-2</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268D2D83">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358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28F5C5EC">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6</w:t>
            </w:r>
          </w:p>
        </w:tc>
        <w:tc>
          <w:tcPr>
            <w:tcW w:w="1125" w:type="dxa"/>
            <w:tcBorders>
              <w:top w:val="single" w:color="auto" w:sz="4" w:space="0"/>
              <w:left w:val="single" w:color="auto" w:sz="8" w:space="0"/>
              <w:bottom w:val="single" w:color="auto" w:sz="4" w:space="0"/>
              <w:right w:val="single" w:color="auto" w:sz="4" w:space="0"/>
            </w:tcBorders>
            <w:noWrap/>
            <w:vAlign w:val="center"/>
          </w:tcPr>
          <w:p w14:paraId="3EDDB6BB">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rPr>
            </w:pPr>
            <w:r>
              <w:rPr>
                <w:rFonts w:hint="eastAsia" w:ascii="宋体" w:hAnsi="宋体" w:cs="宋体"/>
                <w:b w:val="0"/>
                <w:bCs/>
                <w:color w:val="auto"/>
                <w:sz w:val="21"/>
                <w:szCs w:val="21"/>
              </w:rPr>
              <w:t>绿色节能</w:t>
            </w:r>
          </w:p>
        </w:tc>
        <w:tc>
          <w:tcPr>
            <w:tcW w:w="763" w:type="dxa"/>
            <w:tcBorders>
              <w:top w:val="single" w:color="auto" w:sz="4" w:space="0"/>
              <w:left w:val="single" w:color="auto" w:sz="8" w:space="0"/>
              <w:bottom w:val="single" w:color="auto" w:sz="4" w:space="0"/>
              <w:right w:val="single" w:color="auto" w:sz="4" w:space="0"/>
            </w:tcBorders>
            <w:noWrap/>
            <w:vAlign w:val="center"/>
          </w:tcPr>
          <w:p w14:paraId="68825588">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5</w:t>
            </w:r>
          </w:p>
        </w:tc>
        <w:tc>
          <w:tcPr>
            <w:tcW w:w="10796" w:type="dxa"/>
            <w:tcBorders>
              <w:top w:val="single" w:color="auto" w:sz="4" w:space="0"/>
              <w:left w:val="single" w:color="auto" w:sz="4" w:space="0"/>
              <w:bottom w:val="single" w:color="auto" w:sz="4" w:space="0"/>
              <w:right w:val="single" w:color="auto" w:sz="4" w:space="0"/>
            </w:tcBorders>
            <w:noWrap/>
            <w:vAlign w:val="center"/>
          </w:tcPr>
          <w:p w14:paraId="45DC3D83">
            <w:pPr>
              <w:pStyle w:val="7"/>
              <w:keepNext w:val="0"/>
              <w:keepLines w:val="0"/>
              <w:suppressLineNumbers w:val="0"/>
              <w:spacing w:before="0" w:beforeAutospacing="0" w:after="0" w:afterAutospacing="0"/>
              <w:ind w:left="0" w:right="0" w:firstLine="440"/>
              <w:rPr>
                <w:rFonts w:hint="default" w:ascii="宋体" w:hAnsi="宋体" w:cs="宋体"/>
                <w:b w:val="0"/>
                <w:bCs/>
                <w:color w:val="auto"/>
                <w:sz w:val="21"/>
                <w:szCs w:val="21"/>
              </w:rPr>
            </w:pPr>
            <w:r>
              <w:rPr>
                <w:rFonts w:hint="eastAsia" w:ascii="宋体" w:hAnsi="宋体" w:cs="宋体"/>
                <w:b w:val="0"/>
                <w:bCs/>
                <w:color w:val="auto"/>
                <w:sz w:val="21"/>
                <w:szCs w:val="21"/>
              </w:rPr>
              <w:t>遵循适用、绿色和美观的原则，设计符合国家及地方规范要求，满足绿色建筑设计标准。采取的绿色技术措施充分考虑本地气候特色，最大限度节约资源，保护环境、减少污染，提供健康、舒适和高效的使用空间。</w:t>
            </w:r>
          </w:p>
          <w:p w14:paraId="57A5FF51">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优：5  良：4  中：3-2</w:t>
            </w:r>
            <w:r>
              <w:rPr>
                <w:rFonts w:hint="eastAsia" w:ascii="宋体" w:hAnsi="宋体" w:cs="宋体"/>
                <w:b w:val="0"/>
                <w:bCs/>
                <w:color w:val="auto"/>
                <w:sz w:val="21"/>
                <w:szCs w:val="21"/>
                <w:lang w:val="en-US" w:eastAsia="zh-CN"/>
              </w:rPr>
              <w:t xml:space="preserve"> 差：1</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34D99991">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6AB8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80" w:type="dxa"/>
            <w:tcBorders>
              <w:top w:val="single" w:color="auto" w:sz="4" w:space="0"/>
              <w:left w:val="single" w:color="auto" w:sz="4" w:space="0"/>
              <w:bottom w:val="single" w:color="auto" w:sz="4" w:space="0"/>
              <w:right w:val="single" w:color="auto" w:sz="8" w:space="0"/>
            </w:tcBorders>
            <w:noWrap/>
            <w:vAlign w:val="center"/>
          </w:tcPr>
          <w:p w14:paraId="2CFB43BD">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7</w:t>
            </w:r>
          </w:p>
        </w:tc>
        <w:tc>
          <w:tcPr>
            <w:tcW w:w="1125" w:type="dxa"/>
            <w:tcBorders>
              <w:top w:val="single" w:color="auto" w:sz="4" w:space="0"/>
              <w:left w:val="single" w:color="auto" w:sz="8" w:space="0"/>
              <w:bottom w:val="single" w:color="auto" w:sz="4" w:space="0"/>
              <w:right w:val="single" w:color="auto" w:sz="4" w:space="0"/>
            </w:tcBorders>
            <w:noWrap/>
            <w:vAlign w:val="center"/>
          </w:tcPr>
          <w:p w14:paraId="2F6C17C2">
            <w:pPr>
              <w:pStyle w:val="7"/>
              <w:keepNext w:val="0"/>
              <w:keepLines w:val="0"/>
              <w:suppressLineNumbers w:val="0"/>
              <w:spacing w:before="0" w:beforeAutospacing="0" w:after="0" w:afterAutospacing="0"/>
              <w:ind w:left="0" w:right="0" w:firstLine="0" w:firstLineChars="0"/>
              <w:rPr>
                <w:rFonts w:hint="default" w:ascii="宋体" w:hAnsi="宋体" w:cs="宋体"/>
                <w:b w:val="0"/>
                <w:bCs/>
                <w:color w:val="auto"/>
                <w:sz w:val="21"/>
                <w:szCs w:val="21"/>
              </w:rPr>
            </w:pPr>
            <w:r>
              <w:rPr>
                <w:rFonts w:hint="eastAsia" w:ascii="宋体" w:hAnsi="宋体" w:cs="宋体"/>
                <w:b w:val="0"/>
                <w:bCs/>
                <w:color w:val="auto"/>
                <w:sz w:val="21"/>
                <w:szCs w:val="21"/>
              </w:rPr>
              <w:t>经济性</w:t>
            </w:r>
          </w:p>
        </w:tc>
        <w:tc>
          <w:tcPr>
            <w:tcW w:w="763" w:type="dxa"/>
            <w:tcBorders>
              <w:top w:val="single" w:color="auto" w:sz="4" w:space="0"/>
              <w:left w:val="single" w:color="auto" w:sz="8" w:space="0"/>
              <w:bottom w:val="single" w:color="auto" w:sz="4" w:space="0"/>
              <w:right w:val="single" w:color="auto" w:sz="4" w:space="0"/>
            </w:tcBorders>
            <w:noWrap/>
            <w:vAlign w:val="center"/>
          </w:tcPr>
          <w:p w14:paraId="71359A5A">
            <w:pPr>
              <w:pStyle w:val="7"/>
              <w:keepNext w:val="0"/>
              <w:keepLines w:val="0"/>
              <w:suppressLineNumbers w:val="0"/>
              <w:spacing w:before="0" w:beforeAutospacing="0" w:after="0" w:afterAutospacing="0"/>
              <w:ind w:left="0" w:right="0" w:firstLine="0" w:firstLineChars="0"/>
              <w:jc w:val="center"/>
              <w:rPr>
                <w:rFonts w:hint="default" w:ascii="宋体" w:hAnsi="宋体" w:cs="宋体"/>
                <w:b w:val="0"/>
                <w:bCs/>
                <w:color w:val="auto"/>
                <w:sz w:val="21"/>
                <w:szCs w:val="21"/>
              </w:rPr>
            </w:pPr>
            <w:r>
              <w:rPr>
                <w:rFonts w:hint="eastAsia" w:ascii="宋体" w:hAnsi="宋体" w:cs="宋体"/>
                <w:b w:val="0"/>
                <w:bCs/>
                <w:color w:val="auto"/>
                <w:sz w:val="21"/>
                <w:szCs w:val="21"/>
              </w:rPr>
              <w:t>5</w:t>
            </w:r>
          </w:p>
        </w:tc>
        <w:tc>
          <w:tcPr>
            <w:tcW w:w="10796" w:type="dxa"/>
            <w:tcBorders>
              <w:top w:val="single" w:color="auto" w:sz="4" w:space="0"/>
              <w:left w:val="single" w:color="auto" w:sz="4" w:space="0"/>
              <w:bottom w:val="single" w:color="auto" w:sz="4" w:space="0"/>
              <w:right w:val="single" w:color="auto" w:sz="4" w:space="0"/>
            </w:tcBorders>
            <w:noWrap/>
            <w:vAlign w:val="center"/>
          </w:tcPr>
          <w:p w14:paraId="57BDCCF0">
            <w:pPr>
              <w:keepNext w:val="0"/>
              <w:keepLines w:val="0"/>
              <w:suppressLineNumbers w:val="0"/>
              <w:spacing w:before="0" w:beforeAutospacing="0" w:after="0" w:afterAutospacing="0"/>
              <w:ind w:left="0" w:right="0" w:firstLine="420" w:firstLineChars="200"/>
              <w:rPr>
                <w:rFonts w:hint="default"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符合设计标准、规范，造价合理、指标准确，工程造价估算不突破规定的控制要求，材料与构造符合国情并适用于华南地区，建成后节省管理和维护费用。</w:t>
            </w:r>
          </w:p>
          <w:p w14:paraId="4CCF8C2F">
            <w:pPr>
              <w:pStyle w:val="7"/>
              <w:keepNext w:val="0"/>
              <w:keepLines w:val="0"/>
              <w:suppressLineNumbers w:val="0"/>
              <w:spacing w:before="0" w:beforeAutospacing="0" w:after="0" w:afterAutospacing="0"/>
              <w:ind w:left="0" w:right="0" w:firstLine="440" w:firstLineChars="0"/>
              <w:rPr>
                <w:rFonts w:hint="default" w:ascii="宋体" w:hAnsi="宋体" w:cs="宋体"/>
                <w:b w:val="0"/>
                <w:bCs/>
                <w:color w:val="auto"/>
                <w:sz w:val="21"/>
                <w:szCs w:val="21"/>
              </w:rPr>
            </w:pPr>
            <w:r>
              <w:rPr>
                <w:rFonts w:hint="eastAsia" w:ascii="宋体" w:hAnsi="宋体" w:cs="宋体"/>
                <w:b w:val="0"/>
                <w:bCs/>
                <w:color w:val="auto"/>
                <w:sz w:val="21"/>
                <w:szCs w:val="21"/>
              </w:rPr>
              <w:t>优：5  良：4  中：3-2</w:t>
            </w:r>
            <w:r>
              <w:rPr>
                <w:rFonts w:hint="eastAsia" w:ascii="宋体" w:hAnsi="宋体" w:cs="宋体"/>
                <w:b w:val="0"/>
                <w:bCs/>
                <w:color w:val="auto"/>
                <w:sz w:val="21"/>
                <w:szCs w:val="21"/>
                <w:lang w:val="en-US" w:eastAsia="zh-CN"/>
              </w:rPr>
              <w:t xml:space="preserve"> 差：1</w:t>
            </w:r>
            <w:r>
              <w:rPr>
                <w:rFonts w:hint="eastAsia" w:ascii="宋体" w:hAnsi="宋体" w:cs="宋体"/>
                <w:b w:val="0"/>
                <w:bCs/>
                <w:color w:val="auto"/>
                <w:sz w:val="21"/>
                <w:szCs w:val="21"/>
              </w:rPr>
              <w:t>，不提供则不得分。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3029A9CF">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r w14:paraId="7469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0" w:type="dxa"/>
            <w:tcBorders>
              <w:top w:val="single" w:color="auto" w:sz="4" w:space="0"/>
              <w:left w:val="single" w:color="auto" w:sz="4" w:space="0"/>
              <w:bottom w:val="single" w:color="auto" w:sz="4" w:space="0"/>
              <w:right w:val="single" w:color="auto" w:sz="4" w:space="0"/>
            </w:tcBorders>
            <w:noWrap/>
            <w:vAlign w:val="center"/>
          </w:tcPr>
          <w:p w14:paraId="29242FC2">
            <w:pPr>
              <w:pStyle w:val="7"/>
              <w:keepNext w:val="0"/>
              <w:keepLines w:val="0"/>
              <w:suppressLineNumbers w:val="0"/>
              <w:spacing w:before="0" w:beforeAutospacing="0" w:after="0" w:afterAutospacing="0"/>
              <w:ind w:left="0" w:right="0" w:firstLine="0"/>
              <w:rPr>
                <w:rFonts w:hint="default" w:ascii="宋体" w:hAnsi="宋体" w:cs="宋体"/>
                <w:color w:val="auto"/>
                <w:sz w:val="21"/>
                <w:szCs w:val="21"/>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66752AD5">
            <w:pPr>
              <w:pStyle w:val="7"/>
              <w:keepNext w:val="0"/>
              <w:keepLines w:val="0"/>
              <w:suppressLineNumbers w:val="0"/>
              <w:spacing w:before="0" w:beforeAutospacing="0" w:after="0" w:afterAutospacing="0"/>
              <w:ind w:left="0" w:right="0" w:firstLine="0"/>
              <w:rPr>
                <w:rFonts w:hint="default" w:ascii="宋体" w:hAnsi="宋体" w:cs="宋体"/>
                <w:color w:val="auto"/>
                <w:sz w:val="21"/>
                <w:szCs w:val="21"/>
              </w:rPr>
            </w:pPr>
            <w:r>
              <w:rPr>
                <w:rFonts w:hint="eastAsia" w:ascii="宋体" w:hAnsi="宋体" w:cs="宋体"/>
                <w:color w:val="auto"/>
                <w:sz w:val="21"/>
                <w:szCs w:val="21"/>
              </w:rPr>
              <w:t>合计</w:t>
            </w:r>
          </w:p>
        </w:tc>
        <w:tc>
          <w:tcPr>
            <w:tcW w:w="763" w:type="dxa"/>
            <w:tcBorders>
              <w:top w:val="single" w:color="auto" w:sz="4" w:space="0"/>
              <w:left w:val="single" w:color="auto" w:sz="8" w:space="0"/>
              <w:bottom w:val="single" w:color="auto" w:sz="4" w:space="0"/>
              <w:right w:val="single" w:color="auto" w:sz="4" w:space="0"/>
            </w:tcBorders>
            <w:noWrap/>
            <w:vAlign w:val="center"/>
          </w:tcPr>
          <w:p w14:paraId="5DA41A69">
            <w:pPr>
              <w:pStyle w:val="7"/>
              <w:keepNext w:val="0"/>
              <w:keepLines w:val="0"/>
              <w:suppressLineNumbers w:val="0"/>
              <w:spacing w:before="0" w:beforeAutospacing="0" w:after="0" w:afterAutospacing="0"/>
              <w:ind w:left="0" w:right="0" w:firstLine="0"/>
              <w:jc w:val="center"/>
              <w:rPr>
                <w:rFonts w:hint="default" w:ascii="宋体" w:hAnsi="宋体" w:cs="宋体"/>
                <w:color w:val="auto"/>
                <w:sz w:val="21"/>
                <w:szCs w:val="21"/>
              </w:rPr>
            </w:pPr>
            <w:r>
              <w:rPr>
                <w:rFonts w:hint="eastAsia" w:ascii="宋体" w:hAnsi="宋体" w:cs="宋体"/>
                <w:color w:val="auto"/>
                <w:sz w:val="21"/>
                <w:szCs w:val="21"/>
              </w:rPr>
              <w:t>100</w:t>
            </w:r>
          </w:p>
        </w:tc>
        <w:tc>
          <w:tcPr>
            <w:tcW w:w="10796" w:type="dxa"/>
            <w:tcBorders>
              <w:top w:val="single" w:color="auto" w:sz="4" w:space="0"/>
              <w:left w:val="single" w:color="auto" w:sz="4" w:space="0"/>
              <w:bottom w:val="single" w:color="auto" w:sz="4" w:space="0"/>
              <w:right w:val="single" w:color="auto" w:sz="4" w:space="0"/>
            </w:tcBorders>
            <w:noWrap/>
            <w:vAlign w:val="top"/>
          </w:tcPr>
          <w:p w14:paraId="1174BF75">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80A2900">
            <w:pPr>
              <w:pStyle w:val="7"/>
              <w:keepNext w:val="0"/>
              <w:keepLines w:val="0"/>
              <w:suppressLineNumbers w:val="0"/>
              <w:spacing w:before="0" w:beforeAutospacing="0" w:after="0" w:afterAutospacing="0"/>
              <w:ind w:left="0" w:right="0" w:firstLine="440"/>
              <w:rPr>
                <w:rFonts w:hint="default" w:ascii="宋体" w:hAnsi="宋体" w:cs="宋体"/>
                <w:color w:val="auto"/>
                <w:sz w:val="21"/>
                <w:szCs w:val="21"/>
              </w:rPr>
            </w:pPr>
          </w:p>
        </w:tc>
      </w:tr>
    </w:tbl>
    <w:p w14:paraId="7D943B75">
      <w:pPr>
        <w:jc w:val="left"/>
        <w:rPr>
          <w:rFonts w:ascii="宋体" w:hAnsi="宋体" w:cs="宋体"/>
          <w:color w:val="auto"/>
          <w:sz w:val="21"/>
          <w:szCs w:val="20"/>
          <w:lang w:eastAsia="zh-CN"/>
        </w:rPr>
        <w:sectPr>
          <w:pgSz w:w="16839" w:h="11907" w:orient="landscape"/>
          <w:pgMar w:top="1440" w:right="1440" w:bottom="1440" w:left="1440" w:header="0" w:footer="918" w:gutter="0"/>
          <w:cols w:space="720" w:num="1"/>
        </w:sectPr>
      </w:pPr>
    </w:p>
    <w:p w14:paraId="4DDEE7AA">
      <w:pPr>
        <w:pStyle w:val="20"/>
        <w:jc w:val="left"/>
        <w:rPr>
          <w:color w:val="auto"/>
          <w:lang w:eastAsia="zh-CN"/>
        </w:rPr>
      </w:pPr>
      <w:r>
        <w:rPr>
          <w:rFonts w:hint="eastAsia"/>
          <w:color w:val="auto"/>
          <w:lang w:eastAsia="zh-CN"/>
        </w:rPr>
        <w:t>附表二：资信业绩部分综合评分表</w:t>
      </w:r>
    </w:p>
    <w:p w14:paraId="0876B7CD">
      <w:pPr>
        <w:pStyle w:val="2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资信业绩部分综合评分表</w:t>
      </w:r>
    </w:p>
    <w:p w14:paraId="656645D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p>
    <w:p w14:paraId="6D0B2D8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p>
    <w:tbl>
      <w:tblPr>
        <w:tblStyle w:val="24"/>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717"/>
        <w:gridCol w:w="851"/>
        <w:gridCol w:w="7015"/>
      </w:tblGrid>
      <w:tr w14:paraId="499E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472" w:type="pct"/>
            <w:noWrap w:val="0"/>
            <w:vAlign w:val="center"/>
          </w:tcPr>
          <w:p w14:paraId="4725682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378" w:type="pct"/>
            <w:noWrap w:val="0"/>
            <w:vAlign w:val="center"/>
          </w:tcPr>
          <w:p w14:paraId="7C3595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r>
              <w:rPr>
                <w:rFonts w:hint="eastAsia" w:ascii="宋体" w:hAnsi="宋体" w:eastAsia="宋体" w:cs="宋体"/>
                <w:color w:val="auto"/>
                <w:sz w:val="21"/>
                <w:szCs w:val="21"/>
                <w:lang w:val="zh-CN"/>
              </w:rPr>
              <w:t>项目</w:t>
            </w:r>
          </w:p>
        </w:tc>
        <w:tc>
          <w:tcPr>
            <w:tcW w:w="449" w:type="pct"/>
            <w:noWrap w:val="0"/>
            <w:vAlign w:val="center"/>
          </w:tcPr>
          <w:p w14:paraId="770AA89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r>
              <w:rPr>
                <w:rFonts w:hint="eastAsia" w:ascii="宋体" w:hAnsi="宋体" w:eastAsia="宋体" w:cs="宋体"/>
                <w:color w:val="auto"/>
                <w:sz w:val="21"/>
                <w:szCs w:val="21"/>
                <w:lang w:val="zh-CN"/>
              </w:rPr>
              <w:t>分值分配</w:t>
            </w:r>
          </w:p>
        </w:tc>
        <w:tc>
          <w:tcPr>
            <w:tcW w:w="3699" w:type="pct"/>
            <w:noWrap w:val="0"/>
            <w:vAlign w:val="center"/>
          </w:tcPr>
          <w:p w14:paraId="6D81122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r>
              <w:rPr>
                <w:rFonts w:hint="eastAsia" w:ascii="宋体" w:hAnsi="宋体" w:eastAsia="宋体" w:cs="宋体"/>
                <w:color w:val="auto"/>
                <w:sz w:val="21"/>
                <w:szCs w:val="21"/>
                <w:lang w:val="zh-CN"/>
              </w:rPr>
              <w:t>内</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zh-CN"/>
              </w:rPr>
              <w:t>容</w:t>
            </w:r>
          </w:p>
        </w:tc>
      </w:tr>
      <w:tr w14:paraId="4F3A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72" w:type="pct"/>
            <w:noWrap w:val="0"/>
            <w:vAlign w:val="center"/>
          </w:tcPr>
          <w:p w14:paraId="5784D3D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一</w:t>
            </w:r>
          </w:p>
        </w:tc>
        <w:tc>
          <w:tcPr>
            <w:tcW w:w="378" w:type="pct"/>
            <w:noWrap w:val="0"/>
            <w:vAlign w:val="center"/>
          </w:tcPr>
          <w:p w14:paraId="50CC67B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r>
              <w:rPr>
                <w:rFonts w:hint="eastAsia" w:ascii="宋体" w:hAnsi="宋体" w:eastAsia="宋体" w:cs="宋体"/>
                <w:color w:val="auto"/>
                <w:sz w:val="21"/>
                <w:szCs w:val="21"/>
                <w:lang w:val="zh-CN"/>
              </w:rPr>
              <w:t>类似业绩</w:t>
            </w:r>
          </w:p>
        </w:tc>
        <w:tc>
          <w:tcPr>
            <w:tcW w:w="449" w:type="pct"/>
            <w:noWrap w:val="0"/>
            <w:vAlign w:val="center"/>
          </w:tcPr>
          <w:p w14:paraId="6E96957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rPr>
              <w:t>分</w:t>
            </w:r>
          </w:p>
        </w:tc>
        <w:tc>
          <w:tcPr>
            <w:tcW w:w="3699" w:type="pct"/>
            <w:noWrap w:val="0"/>
            <w:vAlign w:val="center"/>
          </w:tcPr>
          <w:p w14:paraId="1C594817">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投标人自2022年1月1日至投标截止为止，完成过房屋建筑工程的设计业绩，每提供一个业绩得5分，本项最高得20分。</w:t>
            </w:r>
          </w:p>
          <w:p w14:paraId="26AA7453">
            <w:pPr>
              <w:pStyle w:val="54"/>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宋体"/>
                <w:color w:val="auto"/>
                <w:sz w:val="21"/>
                <w:szCs w:val="21"/>
                <w:lang w:val="zh-CN" w:eastAsia="zh-CN"/>
              </w:rPr>
            </w:pPr>
            <w:r>
              <w:rPr>
                <w:rFonts w:hint="eastAsia" w:ascii="宋体" w:eastAsia="宋体" w:cs="宋体"/>
                <w:color w:val="auto"/>
                <w:sz w:val="21"/>
                <w:szCs w:val="21"/>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不符合上述条件或未提供相关证明材料的不得分。</w:t>
            </w:r>
          </w:p>
        </w:tc>
      </w:tr>
      <w:tr w14:paraId="1EFE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72" w:type="pct"/>
            <w:noWrap w:val="0"/>
            <w:vAlign w:val="center"/>
          </w:tcPr>
          <w:p w14:paraId="34646F7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二</w:t>
            </w:r>
          </w:p>
        </w:tc>
        <w:tc>
          <w:tcPr>
            <w:tcW w:w="378" w:type="pct"/>
            <w:noWrap w:val="0"/>
            <w:vAlign w:val="center"/>
          </w:tcPr>
          <w:p w14:paraId="64A7AA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lang w:val="zh-CN"/>
              </w:rPr>
              <w:t>企业获奖情况</w:t>
            </w:r>
          </w:p>
        </w:tc>
        <w:tc>
          <w:tcPr>
            <w:tcW w:w="449" w:type="pct"/>
            <w:noWrap w:val="0"/>
            <w:vAlign w:val="center"/>
          </w:tcPr>
          <w:p w14:paraId="3C3FA84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30</w:t>
            </w:r>
            <w:r>
              <w:rPr>
                <w:rFonts w:hint="eastAsia" w:ascii="宋体" w:hAnsi="宋体" w:eastAsia="宋体" w:cs="宋体"/>
                <w:color w:val="auto"/>
                <w:sz w:val="21"/>
                <w:szCs w:val="21"/>
              </w:rPr>
              <w:t>分</w:t>
            </w:r>
          </w:p>
        </w:tc>
        <w:tc>
          <w:tcPr>
            <w:tcW w:w="3699" w:type="pct"/>
            <w:noWrap w:val="0"/>
            <w:vAlign w:val="center"/>
          </w:tcPr>
          <w:p w14:paraId="267CCF21">
            <w:pPr>
              <w:keepNext w:val="0"/>
              <w:keepLines w:val="0"/>
              <w:numPr>
                <w:ilvl w:val="0"/>
                <w:numId w:val="0"/>
              </w:numPr>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default" w:ascii="宋体" w:hAnsi="宋体" w:eastAsia="宋体" w:cs="宋体"/>
                <w:color w:val="auto"/>
                <w:sz w:val="21"/>
                <w:szCs w:val="21"/>
                <w:lang w:val="en-US" w:eastAsia="zh-CN" w:bidi="ar-SA"/>
              </w:rPr>
              <w:t>1、</w:t>
            </w:r>
            <w:r>
              <w:rPr>
                <w:rFonts w:hint="eastAsia" w:ascii="宋体" w:hAnsi="宋体" w:eastAsia="宋体" w:cs="宋体"/>
                <w:color w:val="auto"/>
                <w:sz w:val="21"/>
                <w:szCs w:val="21"/>
                <w:lang w:eastAsia="zh-CN"/>
              </w:rPr>
              <w:t>投标人自2022年1月1日至投标截止为止，承接的房屋建筑工程设计项目获得设计类奖项：获得国家级（或行业级）奖项，每项得1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分；获得省级奖项，每项得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分；获得市级（含副省级）奖项，每项得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分。同一项目获得多个奖项的，按最高级别奖项只计一次得分。本小项累计最高得30分。</w:t>
            </w:r>
          </w:p>
          <w:p w14:paraId="537646C5">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注：（1）国家级</w:t>
            </w:r>
            <w:r>
              <w:rPr>
                <w:rFonts w:hint="eastAsia" w:ascii="宋体" w:hAnsi="宋体" w:eastAsia="宋体" w:cs="宋体"/>
                <w:b/>
                <w:bCs/>
                <w:color w:val="auto"/>
                <w:sz w:val="21"/>
                <w:szCs w:val="21"/>
                <w:lang w:eastAsia="zh-CN"/>
              </w:rPr>
              <w:t>（或行业级）</w:t>
            </w:r>
            <w:r>
              <w:rPr>
                <w:rFonts w:hint="eastAsia" w:ascii="宋体" w:hAnsi="宋体" w:eastAsia="宋体" w:cs="宋体"/>
                <w:color w:val="auto"/>
                <w:sz w:val="21"/>
                <w:szCs w:val="21"/>
                <w:lang w:eastAsia="zh-CN"/>
              </w:rPr>
              <w:t>奖项指由国务院颁发的国家科学技术奖、住建部的华夏建设科学技术奖励委员会颁发的华夏建设科学技术奖、住建部颁发的全国优秀工程勘察设计奖、中国勘察设计协会颁发的全国优秀工程勘察设计行业奖；（2）省级奖项指由省级（或直辖市）人民政府颁发的省（或直辖市）科学技术奖、省级（或直辖市）建设行政主管部门及省级（或直辖市）工程勘察设计行业协会颁发的“省级（或直辖市）优秀勘察设计奖”；（3）市级(含副省级)奖项指由市级(含副省级)建设行政主管部门或市级(含副省级)工程勘察设计行业协会颁发的“优秀勘察设计奖”、市级(含副省级)人民政府颁发的“市(含副省级)科学技术奖”。奖项等级如下：国家级的（国家科学技术奖、全国优秀工程勘察设计奖）、行业级的（华夏建设科学技术奖、全国优秀工程勘察设计行业奖）、省级（或直辖市）的（省级（或直辖市）科学技术奖、省级（或直辖市）优秀勘察设计奖）、市级(含副省级)的（市(含副省级)科学技术奖、市(含副省级)工程勘察设计奖）。（4）须提供获奖证书扫描件。获奖时间以获奖证书的发证日期为准，同一项目获得多个设计奖项的，按最高级别奖项只计一次得分。不符合上述条件或未提供相关证明材料的不得分。</w:t>
            </w:r>
          </w:p>
        </w:tc>
      </w:tr>
      <w:tr w14:paraId="3C7E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72" w:type="pct"/>
            <w:noWrap w:val="0"/>
            <w:vAlign w:val="center"/>
          </w:tcPr>
          <w:p w14:paraId="6E43091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三</w:t>
            </w:r>
          </w:p>
        </w:tc>
        <w:tc>
          <w:tcPr>
            <w:tcW w:w="378" w:type="pct"/>
            <w:noWrap w:val="0"/>
            <w:vAlign w:val="center"/>
          </w:tcPr>
          <w:p w14:paraId="0DFE8D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拟派项目负责人执业资格</w:t>
            </w:r>
          </w:p>
          <w:p w14:paraId="38913EB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eastAsia="zh-CN"/>
              </w:rPr>
            </w:pPr>
          </w:p>
        </w:tc>
        <w:tc>
          <w:tcPr>
            <w:tcW w:w="449" w:type="pct"/>
            <w:noWrap w:val="0"/>
            <w:vAlign w:val="center"/>
          </w:tcPr>
          <w:p w14:paraId="34BE803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8分</w:t>
            </w:r>
          </w:p>
        </w:tc>
        <w:tc>
          <w:tcPr>
            <w:tcW w:w="3699" w:type="pct"/>
            <w:noWrap w:val="0"/>
            <w:vAlign w:val="center"/>
          </w:tcPr>
          <w:p w14:paraId="1E67FC51">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1.拟派项目负责人具有20年或以上工作经历的及一级注册建筑师，得5分；具有1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-19年工作经历的，得3分；具有1-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年工作经历的，得1分。本小项最高得5分。（工作经历以大学</w:t>
            </w:r>
            <w:r>
              <w:rPr>
                <w:rFonts w:hint="eastAsia" w:ascii="宋体" w:hAnsi="宋体" w:eastAsia="宋体" w:cs="宋体"/>
                <w:color w:val="auto"/>
                <w:sz w:val="21"/>
                <w:szCs w:val="21"/>
                <w:lang w:val="en-US" w:eastAsia="zh-CN"/>
              </w:rPr>
              <w:t>专科</w:t>
            </w:r>
            <w:r>
              <w:rPr>
                <w:rFonts w:hint="eastAsia" w:ascii="宋体" w:hAnsi="宋体" w:eastAsia="宋体" w:cs="宋体"/>
                <w:color w:val="auto"/>
                <w:sz w:val="21"/>
                <w:szCs w:val="21"/>
                <w:lang w:eastAsia="zh-CN"/>
              </w:rPr>
              <w:t>或以上学历的毕业证的时间开始计算）</w:t>
            </w:r>
          </w:p>
          <w:p w14:paraId="2B4633AE">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2.拟派项目负责人的技术职称具有中级工程师，得1分；具有高级（</w:t>
            </w:r>
            <w:r>
              <w:rPr>
                <w:rFonts w:hint="eastAsia" w:ascii="宋体" w:hAnsi="宋体" w:eastAsia="宋体" w:cs="宋体"/>
                <w:color w:val="auto"/>
                <w:sz w:val="21"/>
                <w:szCs w:val="21"/>
                <w:lang w:val="en-US" w:eastAsia="zh-CN"/>
              </w:rPr>
              <w:t>或以上</w:t>
            </w:r>
            <w:r>
              <w:rPr>
                <w:rFonts w:hint="eastAsia" w:ascii="宋体" w:hAnsi="宋体" w:eastAsia="宋体" w:cs="宋体"/>
                <w:color w:val="auto"/>
                <w:sz w:val="21"/>
                <w:szCs w:val="21"/>
                <w:lang w:eastAsia="zh-CN"/>
              </w:rPr>
              <w:t>）工程师，得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分。本小项最高得3分。</w:t>
            </w:r>
          </w:p>
          <w:p w14:paraId="4842A2AA">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注：（1）须按评审要求对应提供资格证、职称证、毕业证、业绩证明文件、个人获奖证书，以及</w:t>
            </w:r>
            <w:r>
              <w:rPr>
                <w:rFonts w:hint="eastAsia" w:ascii="宋体" w:hAnsi="宋体" w:eastAsia="宋体" w:cs="宋体"/>
                <w:color w:val="auto"/>
                <w:sz w:val="21"/>
                <w:szCs w:val="21"/>
                <w:lang w:val="zh-CN" w:eastAsia="zh-CN"/>
              </w:rPr>
              <w:t>投标人为其缴纳在本投标单位投标截止时间前</w:t>
            </w:r>
            <w:r>
              <w:rPr>
                <w:rFonts w:hint="eastAsia" w:ascii="宋体" w:hAnsi="宋体" w:eastAsia="宋体" w:cs="宋体"/>
                <w:color w:val="auto"/>
                <w:sz w:val="21"/>
                <w:szCs w:val="21"/>
                <w:lang w:eastAsia="zh-CN"/>
              </w:rPr>
              <w:t>三个月</w:t>
            </w:r>
            <w:r>
              <w:rPr>
                <w:rFonts w:hint="eastAsia" w:ascii="宋体" w:hAnsi="宋体" w:eastAsia="宋体" w:cs="宋体"/>
                <w:color w:val="auto"/>
                <w:sz w:val="21"/>
                <w:szCs w:val="21"/>
                <w:lang w:val="zh-CN" w:eastAsia="zh-CN"/>
              </w:rPr>
              <w:t>任一个月有效的社保证明文件</w:t>
            </w:r>
            <w:r>
              <w:rPr>
                <w:rFonts w:hint="eastAsia" w:ascii="宋体" w:hAnsi="宋体" w:eastAsia="宋体" w:cs="宋体"/>
                <w:color w:val="auto"/>
                <w:sz w:val="21"/>
                <w:szCs w:val="21"/>
                <w:lang w:eastAsia="zh-CN"/>
              </w:rPr>
              <w:t>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p>
        </w:tc>
      </w:tr>
      <w:tr w14:paraId="1934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72" w:type="pct"/>
            <w:noWrap w:val="0"/>
            <w:vAlign w:val="center"/>
          </w:tcPr>
          <w:p w14:paraId="68761F7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四</w:t>
            </w:r>
          </w:p>
        </w:tc>
        <w:tc>
          <w:tcPr>
            <w:tcW w:w="378" w:type="pct"/>
            <w:noWrap w:val="0"/>
            <w:vAlign w:val="center"/>
          </w:tcPr>
          <w:p w14:paraId="52DB63D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p>
          <w:p w14:paraId="1628D7B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r>
              <w:rPr>
                <w:rFonts w:hint="eastAsia" w:ascii="宋体" w:hAnsi="宋体" w:eastAsia="宋体" w:cs="宋体"/>
                <w:bCs/>
                <w:color w:val="auto"/>
                <w:sz w:val="21"/>
                <w:szCs w:val="21"/>
              </w:rPr>
              <w:t>人员配备及技术水平</w:t>
            </w:r>
          </w:p>
          <w:p w14:paraId="7CECE3B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lang w:val="zh-CN"/>
              </w:rPr>
            </w:pPr>
          </w:p>
        </w:tc>
        <w:tc>
          <w:tcPr>
            <w:tcW w:w="449" w:type="pct"/>
            <w:noWrap w:val="0"/>
            <w:vAlign w:val="center"/>
          </w:tcPr>
          <w:p w14:paraId="4855F9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42分</w:t>
            </w:r>
          </w:p>
        </w:tc>
        <w:tc>
          <w:tcPr>
            <w:tcW w:w="3699" w:type="pct"/>
            <w:noWrap w:val="0"/>
            <w:vAlign w:val="center"/>
          </w:tcPr>
          <w:p w14:paraId="0E5C42EB">
            <w:pPr>
              <w:keepNext w:val="0"/>
              <w:keepLines w:val="0"/>
              <w:suppressLineNumbers w:val="0"/>
              <w:spacing w:before="0" w:beforeAutospacing="0" w:after="0" w:afterAutospacing="0"/>
              <w:ind w:left="0" w:right="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1、各专业负责人（40分）</w:t>
            </w:r>
          </w:p>
          <w:p w14:paraId="7674A0AE">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（1）建筑专业负责人（5分）：</w:t>
            </w:r>
          </w:p>
          <w:p w14:paraId="5AA9791A">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①具有一级注册建筑师资格，得3分；</w:t>
            </w:r>
          </w:p>
          <w:p w14:paraId="3706F9F5">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②具有建筑工程相关专业中级工程师技术职称的，得1分；具有建筑工程相关专业高级工程师或以上，得2分。</w:t>
            </w:r>
          </w:p>
          <w:p w14:paraId="583D4066">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（2）结构专业负责人（5分）：</w:t>
            </w:r>
          </w:p>
          <w:p w14:paraId="39F84FEA">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①具有一级注册结构工程师资格，得3分；</w:t>
            </w:r>
          </w:p>
          <w:p w14:paraId="460939B6">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②具有结构相关专业中级工程师技术职称的，得1分；具有结构相关专业高级工程师或以上，得2分。</w:t>
            </w:r>
          </w:p>
          <w:p w14:paraId="7A576118">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（3）给排水专业负责人（5分）：</w:t>
            </w:r>
          </w:p>
          <w:p w14:paraId="6F45B8FD">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①具有注册公用设备工程师（给排水）资格，得3分；</w:t>
            </w:r>
          </w:p>
          <w:p w14:paraId="185968D2">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②具有给排水相关专业中级工程师技术职称的，得1分；具有给排水相关专业高级工程师或以上，得2分。</w:t>
            </w:r>
          </w:p>
          <w:p w14:paraId="42050C75">
            <w:pPr>
              <w:keepNext w:val="0"/>
              <w:keepLines w:val="0"/>
              <w:numPr>
                <w:ilvl w:val="0"/>
                <w:numId w:val="0"/>
              </w:numPr>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default" w:ascii="宋体" w:hAnsi="宋体" w:eastAsia="宋体" w:cs="宋体"/>
                <w:color w:val="auto"/>
                <w:sz w:val="21"/>
                <w:szCs w:val="21"/>
                <w:lang w:val="en-US" w:eastAsia="zh-CN" w:bidi="ar-SA"/>
              </w:rPr>
              <w:t>（4）</w:t>
            </w:r>
            <w:r>
              <w:rPr>
                <w:rFonts w:hint="eastAsia" w:ascii="宋体" w:hAnsi="宋体" w:eastAsia="宋体" w:cs="宋体"/>
                <w:color w:val="auto"/>
                <w:sz w:val="21"/>
                <w:szCs w:val="21"/>
                <w:lang w:eastAsia="zh-CN"/>
              </w:rPr>
              <w:t>电气专业负责人（5分）：</w:t>
            </w:r>
          </w:p>
          <w:p w14:paraId="25B77D32">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①具有注册电气工程师资格，得3分；</w:t>
            </w:r>
          </w:p>
          <w:p w14:paraId="2E9029E9">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②具有电气相关专业中级工程师技术职称的，得1分；具有电气相关专业高级工程师或以上，得2分。</w:t>
            </w:r>
          </w:p>
          <w:p w14:paraId="5BD05D1A">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（5）暖通空调专业负责人（5分）：</w:t>
            </w:r>
          </w:p>
          <w:p w14:paraId="30BE6F97">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①具有注册公用设备工程师（暖通空调）资格，得3分；</w:t>
            </w:r>
          </w:p>
          <w:p w14:paraId="151D56C4">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②具有暖通空调相关专业中级工程师技术职称的，得1分；具有暖通空调相关专业高级工程师或以上技术职称，得2分。</w:t>
            </w:r>
          </w:p>
          <w:p w14:paraId="56F8E759">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（6）智能化专业负责人（3分）：</w:t>
            </w:r>
          </w:p>
          <w:p w14:paraId="4C497714">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具有电子与智能化相关专业工程师职称的，得1分；具有电子与智能化相关专业高级工程师或以上职称的,得3分。</w:t>
            </w:r>
          </w:p>
          <w:p w14:paraId="765F0BFC">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（7）造价专业负责人（5分）：</w:t>
            </w:r>
          </w:p>
          <w:p w14:paraId="143BEC76">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①具有一级注册造价工程师的，得3分；</w:t>
            </w:r>
          </w:p>
          <w:p w14:paraId="150B166A">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②具有造价相关专业工程师职称的,得1分；具有造价相关专业高级工程师或以上职称的,得2分。</w:t>
            </w:r>
          </w:p>
          <w:p w14:paraId="313B6075">
            <w:pPr>
              <w:keepNext w:val="0"/>
              <w:keepLines w:val="0"/>
              <w:suppressLineNumbers w:val="0"/>
              <w:spacing w:before="0" w:beforeAutospacing="0" w:after="0" w:afterAutospacing="0"/>
              <w:ind w:left="0" w:right="0" w:firstLine="420" w:firstLineChars="200"/>
              <w:rPr>
                <w:rFonts w:hint="default"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r>
              <w:rPr>
                <w:rFonts w:hint="eastAsia" w:ascii="宋体" w:hAnsi="宋体" w:eastAsia="宋体" w:cs="宋体"/>
                <w:bCs/>
                <w:color w:val="auto"/>
                <w:sz w:val="21"/>
                <w:szCs w:val="21"/>
                <w:lang w:eastAsia="zh-CN"/>
              </w:rPr>
              <w:t>人员配备</w:t>
            </w:r>
            <w:r>
              <w:rPr>
                <w:rFonts w:hint="eastAsia" w:ascii="宋体" w:hAnsi="宋体" w:eastAsia="宋体" w:cs="宋体"/>
                <w:color w:val="auto"/>
                <w:sz w:val="21"/>
                <w:szCs w:val="21"/>
                <w:lang w:eastAsia="zh-CN"/>
              </w:rPr>
              <w:t xml:space="preserve">每多投入一名具有建筑相关专业高级工程师职称的设计人员，加3分，最多加9分。 </w:t>
            </w:r>
          </w:p>
          <w:p w14:paraId="68813706">
            <w:pPr>
              <w:pStyle w:val="23"/>
              <w:keepNext w:val="0"/>
              <w:keepLines w:val="0"/>
              <w:suppressLineNumbers w:val="0"/>
              <w:spacing w:before="0" w:beforeAutospacing="0" w:after="0" w:afterAutospacing="0"/>
              <w:ind w:left="0" w:leftChars="0" w:right="0" w:firstLine="0" w:firstLineChars="0"/>
              <w:rPr>
                <w:rFonts w:hint="default" w:ascii="宋体" w:hAnsi="宋体" w:eastAsia="宋体" w:cs="宋体"/>
                <w:color w:val="auto"/>
                <w:sz w:val="21"/>
                <w:szCs w:val="21"/>
                <w:highlight w:val="none"/>
                <w:lang w:val="zh-CN" w:eastAsia="zh-CN"/>
              </w:rPr>
            </w:pPr>
            <w:r>
              <w:rPr>
                <w:rFonts w:hint="eastAsia" w:ascii="宋体" w:hAnsi="宋体" w:eastAsia="宋体" w:cs="宋体"/>
                <w:color w:val="auto"/>
                <w:sz w:val="21"/>
                <w:szCs w:val="21"/>
                <w:lang w:eastAsia="zh-CN"/>
              </w:rPr>
              <w:t>注：（1）各专业负责人如多人投入，只计一人分值。须按评审要求对应提供执业注册证书、职称证以及</w:t>
            </w:r>
            <w:r>
              <w:rPr>
                <w:rFonts w:hint="eastAsia" w:ascii="宋体" w:hAnsi="宋体" w:eastAsia="宋体" w:cs="宋体"/>
                <w:color w:val="auto"/>
                <w:sz w:val="21"/>
                <w:szCs w:val="21"/>
                <w:lang w:val="zh-CN" w:eastAsia="zh-CN"/>
              </w:rPr>
              <w:t>投标人为其缴纳在本投标单位投标截止时间前</w:t>
            </w:r>
            <w:r>
              <w:rPr>
                <w:rFonts w:hint="eastAsia" w:ascii="宋体" w:hAnsi="宋体" w:eastAsia="宋体" w:cs="宋体"/>
                <w:color w:val="auto"/>
                <w:sz w:val="21"/>
                <w:szCs w:val="21"/>
                <w:lang w:eastAsia="zh-CN"/>
              </w:rPr>
              <w:t>三个月</w:t>
            </w:r>
            <w:r>
              <w:rPr>
                <w:rFonts w:hint="eastAsia" w:ascii="宋体" w:hAnsi="宋体" w:eastAsia="宋体" w:cs="宋体"/>
                <w:color w:val="auto"/>
                <w:sz w:val="21"/>
                <w:szCs w:val="21"/>
                <w:lang w:val="zh-CN" w:eastAsia="zh-CN"/>
              </w:rPr>
              <w:t>任一个月有效的社保证明文件</w:t>
            </w:r>
            <w:r>
              <w:rPr>
                <w:rFonts w:hint="eastAsia" w:ascii="宋体" w:hAnsi="宋体" w:eastAsia="宋体" w:cs="宋体"/>
                <w:color w:val="auto"/>
                <w:sz w:val="21"/>
                <w:szCs w:val="21"/>
                <w:lang w:eastAsia="zh-CN"/>
              </w:rPr>
              <w:t>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2）一级注册造价工程师可由原注册造价工程师自动划分，详见住房和城乡建设部关于修改《工程造价咨询企业管理办法》《注册造价工程师管理办法》的决定（中华人民共和国住房和城乡建设部令第50号）。</w:t>
            </w:r>
          </w:p>
        </w:tc>
      </w:tr>
      <w:tr w14:paraId="6BBC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50" w:type="pct"/>
            <w:gridSpan w:val="2"/>
            <w:noWrap w:val="0"/>
            <w:vAlign w:val="center"/>
          </w:tcPr>
          <w:p w14:paraId="39D3F3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合计</w:t>
            </w:r>
          </w:p>
        </w:tc>
        <w:tc>
          <w:tcPr>
            <w:tcW w:w="449" w:type="pct"/>
            <w:noWrap w:val="0"/>
            <w:vAlign w:val="center"/>
          </w:tcPr>
          <w:p w14:paraId="117DE27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100分</w:t>
            </w:r>
          </w:p>
        </w:tc>
        <w:tc>
          <w:tcPr>
            <w:tcW w:w="3699" w:type="pct"/>
            <w:noWrap w:val="0"/>
            <w:vAlign w:val="center"/>
          </w:tcPr>
          <w:p w14:paraId="1646F90B">
            <w:pPr>
              <w:pStyle w:val="8"/>
              <w:ind w:left="2520"/>
              <w:rPr>
                <w:rFonts w:hint="eastAsia" w:ascii="宋体" w:hAnsi="宋体" w:eastAsia="宋体" w:cs="宋体"/>
                <w:color w:val="auto"/>
                <w:sz w:val="21"/>
                <w:szCs w:val="21"/>
              </w:rPr>
            </w:pPr>
          </w:p>
        </w:tc>
      </w:tr>
    </w:tbl>
    <w:p w14:paraId="4297D835">
      <w:pPr>
        <w:spacing w:after="240"/>
        <w:ind w:left="0" w:right="44"/>
        <w:rPr>
          <w:rFonts w:ascii="宋体" w:hAnsi="宋体" w:eastAsia="宋体"/>
          <w:color w:val="auto"/>
          <w:lang w:eastAsia="zh-CN"/>
        </w:rPr>
      </w:pPr>
      <w:bookmarkStart w:id="32" w:name="_Toc25152744"/>
      <w:bookmarkStart w:id="33" w:name="_Toc25137994"/>
      <w:r>
        <w:rPr>
          <w:rFonts w:ascii="宋体" w:hAnsi="宋体" w:eastAsia="宋体"/>
          <w:color w:val="auto"/>
          <w:lang w:eastAsia="zh-CN"/>
        </w:rPr>
        <w:br w:type="page"/>
      </w:r>
    </w:p>
    <w:p w14:paraId="690B62FD">
      <w:pPr>
        <w:pStyle w:val="5"/>
        <w:spacing w:after="240" w:line="443" w:lineRule="exact"/>
        <w:ind w:left="0" w:right="44"/>
        <w:rPr>
          <w:rFonts w:ascii="宋体" w:hAnsi="宋体" w:eastAsia="宋体"/>
          <w:color w:val="auto"/>
          <w:lang w:eastAsia="zh-CN"/>
        </w:rPr>
      </w:pPr>
      <w:r>
        <w:rPr>
          <w:rFonts w:ascii="宋体" w:hAnsi="宋体" w:eastAsia="宋体"/>
          <w:color w:val="auto"/>
          <w:lang w:eastAsia="zh-CN"/>
        </w:rPr>
        <w:t>1. 评标方法</w:t>
      </w:r>
      <w:bookmarkEnd w:id="32"/>
      <w:bookmarkEnd w:id="33"/>
    </w:p>
    <w:p w14:paraId="75A63CF4">
      <w:pPr>
        <w:pStyle w:val="2"/>
        <w:spacing w:after="240" w:line="360" w:lineRule="auto"/>
        <w:ind w:left="0" w:firstLine="480" w:firstLineChars="200"/>
        <w:rPr>
          <w:color w:val="auto"/>
          <w:sz w:val="24"/>
          <w:szCs w:val="24"/>
          <w:lang w:eastAsia="zh-CN"/>
        </w:rPr>
      </w:pPr>
      <w:r>
        <w:rPr>
          <w:color w:val="auto"/>
          <w:sz w:val="24"/>
          <w:szCs w:val="24"/>
          <w:lang w:eastAsia="zh-CN"/>
        </w:rPr>
        <w:t>本次评标采用综合评估法。评标委员会对满足招标文件实质性要求的投标文件，按照本章第 2.2款规定的评分标准进行打分，并按得分由高到低顺序推荐中标候选人，或根据招标人授权直接确定中标人，但投标报价低于其成本的除外。综合评分相等时，以投标报价低的优先；投标报价也相等的，以设计方案得分高的优先；如果设计方案得分也相等，按照评标办法前附表的规定确定中标候选人顺序。</w:t>
      </w:r>
      <w:bookmarkStart w:id="34" w:name="_Toc25137995"/>
    </w:p>
    <w:p w14:paraId="02BDE408">
      <w:pPr>
        <w:pStyle w:val="5"/>
        <w:spacing w:after="240" w:line="443" w:lineRule="exact"/>
        <w:ind w:right="44"/>
        <w:rPr>
          <w:rFonts w:ascii="宋体" w:hAnsi="宋体" w:eastAsia="宋体"/>
          <w:color w:val="auto"/>
          <w:lang w:eastAsia="zh-CN"/>
        </w:rPr>
      </w:pPr>
      <w:bookmarkStart w:id="35" w:name="_Toc25152745"/>
      <w:r>
        <w:rPr>
          <w:rFonts w:ascii="宋体" w:hAnsi="宋体" w:eastAsia="宋体"/>
          <w:color w:val="auto"/>
          <w:lang w:eastAsia="zh-CN"/>
        </w:rPr>
        <w:t>2. 评审标准</w:t>
      </w:r>
      <w:bookmarkEnd w:id="34"/>
      <w:bookmarkEnd w:id="35"/>
    </w:p>
    <w:p w14:paraId="0C91B125">
      <w:pPr>
        <w:pStyle w:val="6"/>
        <w:spacing w:after="240"/>
        <w:ind w:right="44"/>
        <w:rPr>
          <w:b/>
          <w:bCs/>
          <w:color w:val="auto"/>
          <w:lang w:eastAsia="zh-CN"/>
        </w:rPr>
      </w:pPr>
      <w:r>
        <w:rPr>
          <w:b/>
          <w:bCs/>
          <w:color w:val="auto"/>
          <w:lang w:eastAsia="zh-CN"/>
        </w:rPr>
        <w:t>2.1初步评审标准</w:t>
      </w:r>
    </w:p>
    <w:p w14:paraId="152F983B">
      <w:pPr>
        <w:pStyle w:val="2"/>
        <w:spacing w:line="360" w:lineRule="auto"/>
        <w:ind w:left="0" w:firstLine="480" w:firstLineChars="200"/>
        <w:rPr>
          <w:color w:val="auto"/>
          <w:sz w:val="24"/>
          <w:szCs w:val="24"/>
          <w:lang w:eastAsia="zh-CN"/>
        </w:rPr>
      </w:pPr>
      <w:r>
        <w:rPr>
          <w:color w:val="auto"/>
          <w:sz w:val="24"/>
          <w:szCs w:val="24"/>
          <w:lang w:eastAsia="zh-CN"/>
        </w:rPr>
        <w:t>2.1.1形式评审标准：见评标办法前附表。</w:t>
      </w:r>
    </w:p>
    <w:p w14:paraId="4BA817FA">
      <w:pPr>
        <w:pStyle w:val="2"/>
        <w:spacing w:line="360" w:lineRule="auto"/>
        <w:ind w:left="0" w:firstLine="480" w:firstLineChars="200"/>
        <w:rPr>
          <w:color w:val="auto"/>
          <w:sz w:val="24"/>
          <w:szCs w:val="24"/>
          <w:lang w:eastAsia="zh-CN"/>
        </w:rPr>
      </w:pPr>
      <w:r>
        <w:rPr>
          <w:color w:val="auto"/>
          <w:sz w:val="24"/>
          <w:szCs w:val="24"/>
          <w:lang w:eastAsia="zh-CN"/>
        </w:rPr>
        <w:t>2.1.2资格评审标准：见评标办法前附表。</w:t>
      </w:r>
    </w:p>
    <w:p w14:paraId="4EE867A8">
      <w:pPr>
        <w:pStyle w:val="2"/>
        <w:spacing w:line="360" w:lineRule="auto"/>
        <w:ind w:left="0" w:firstLine="480" w:firstLineChars="200"/>
        <w:rPr>
          <w:color w:val="auto"/>
          <w:sz w:val="24"/>
          <w:szCs w:val="24"/>
          <w:lang w:eastAsia="zh-CN"/>
        </w:rPr>
      </w:pPr>
      <w:r>
        <w:rPr>
          <w:color w:val="auto"/>
          <w:sz w:val="24"/>
          <w:szCs w:val="24"/>
          <w:lang w:eastAsia="zh-CN"/>
        </w:rPr>
        <w:t>2.1.3</w:t>
      </w:r>
      <w:r>
        <w:rPr>
          <w:rFonts w:hint="eastAsia"/>
          <w:color w:val="auto"/>
          <w:sz w:val="24"/>
          <w:szCs w:val="24"/>
          <w:lang w:eastAsia="zh-CN"/>
        </w:rPr>
        <w:t>商务文件</w:t>
      </w:r>
      <w:r>
        <w:rPr>
          <w:color w:val="auto"/>
          <w:sz w:val="24"/>
          <w:szCs w:val="24"/>
          <w:lang w:eastAsia="zh-CN"/>
        </w:rPr>
        <w:t>响应性评审标准：见评标办法前附表。</w:t>
      </w:r>
    </w:p>
    <w:p w14:paraId="0216375D">
      <w:pPr>
        <w:pStyle w:val="2"/>
        <w:spacing w:line="360" w:lineRule="auto"/>
        <w:ind w:left="0" w:firstLine="480" w:firstLineChars="200"/>
        <w:rPr>
          <w:color w:val="auto"/>
          <w:sz w:val="24"/>
          <w:szCs w:val="24"/>
          <w:lang w:eastAsia="zh-CN"/>
        </w:rPr>
      </w:pPr>
      <w:r>
        <w:rPr>
          <w:color w:val="auto"/>
          <w:sz w:val="24"/>
          <w:szCs w:val="24"/>
          <w:lang w:eastAsia="zh-CN"/>
        </w:rPr>
        <w:t>2.1.</w:t>
      </w:r>
      <w:r>
        <w:rPr>
          <w:rFonts w:hint="eastAsia"/>
          <w:color w:val="auto"/>
          <w:sz w:val="24"/>
          <w:szCs w:val="24"/>
          <w:lang w:eastAsia="zh-CN"/>
        </w:rPr>
        <w:t>4技术文件</w:t>
      </w:r>
      <w:r>
        <w:rPr>
          <w:color w:val="auto"/>
          <w:sz w:val="24"/>
          <w:szCs w:val="24"/>
          <w:lang w:eastAsia="zh-CN"/>
        </w:rPr>
        <w:t>响应性评审标准：见评标办法前附表。</w:t>
      </w:r>
    </w:p>
    <w:p w14:paraId="2DF2C0EE">
      <w:pPr>
        <w:rPr>
          <w:color w:val="auto"/>
          <w:lang w:eastAsia="zh-CN"/>
        </w:rPr>
      </w:pPr>
    </w:p>
    <w:p w14:paraId="0BE80A2B">
      <w:pPr>
        <w:pStyle w:val="6"/>
        <w:spacing w:after="240"/>
        <w:ind w:right="44"/>
        <w:rPr>
          <w:color w:val="auto"/>
          <w:lang w:eastAsia="zh-CN"/>
        </w:rPr>
      </w:pPr>
      <w:r>
        <w:rPr>
          <w:color w:val="auto"/>
          <w:lang w:eastAsia="zh-CN"/>
        </w:rPr>
        <w:t>2.2分值构成与评分标准</w:t>
      </w:r>
    </w:p>
    <w:p w14:paraId="71823CA5">
      <w:pPr>
        <w:pStyle w:val="2"/>
        <w:spacing w:line="360" w:lineRule="auto"/>
        <w:ind w:left="0" w:firstLine="480" w:firstLineChars="200"/>
        <w:rPr>
          <w:color w:val="auto"/>
          <w:sz w:val="24"/>
          <w:szCs w:val="24"/>
          <w:lang w:eastAsia="zh-CN"/>
        </w:rPr>
      </w:pPr>
      <w:r>
        <w:rPr>
          <w:color w:val="auto"/>
          <w:sz w:val="24"/>
          <w:szCs w:val="24"/>
          <w:lang w:eastAsia="zh-CN"/>
        </w:rPr>
        <w:t>2.2.1 分值构成</w:t>
      </w:r>
    </w:p>
    <w:p w14:paraId="6F661ABD">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（1）</w:t>
      </w:r>
      <w:r>
        <w:rPr>
          <w:rFonts w:hint="eastAsia"/>
          <w:color w:val="auto"/>
          <w:sz w:val="24"/>
          <w:szCs w:val="24"/>
          <w:u w:val="single"/>
          <w:lang w:eastAsia="zh-CN"/>
        </w:rPr>
        <w:t>技术文件（设计方案</w:t>
      </w:r>
      <w:r>
        <w:rPr>
          <w:color w:val="auto"/>
          <w:sz w:val="24"/>
          <w:szCs w:val="24"/>
          <w:u w:val="single"/>
          <w:lang w:eastAsia="zh-CN"/>
        </w:rPr>
        <w:t>)</w:t>
      </w:r>
      <w:r>
        <w:rPr>
          <w:color w:val="auto"/>
          <w:sz w:val="24"/>
          <w:szCs w:val="24"/>
          <w:lang w:eastAsia="zh-CN"/>
        </w:rPr>
        <w:t>部分：见评标办法前附表；</w:t>
      </w:r>
    </w:p>
    <w:p w14:paraId="2969050D">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（2）</w:t>
      </w:r>
      <w:r>
        <w:rPr>
          <w:rFonts w:hint="eastAsia"/>
          <w:color w:val="auto"/>
          <w:sz w:val="24"/>
          <w:szCs w:val="24"/>
          <w:lang w:eastAsia="zh-CN"/>
        </w:rPr>
        <w:t>商务文件（资信业绩）</w:t>
      </w:r>
      <w:r>
        <w:rPr>
          <w:color w:val="auto"/>
          <w:sz w:val="24"/>
          <w:szCs w:val="24"/>
          <w:lang w:eastAsia="zh-CN"/>
        </w:rPr>
        <w:t>部分：见评标办法前附表；</w:t>
      </w:r>
    </w:p>
    <w:p w14:paraId="2892B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lang w:eastAsia="zh-CN"/>
        </w:rPr>
      </w:pPr>
      <w:r>
        <w:rPr>
          <w:color w:val="auto"/>
          <w:sz w:val="24"/>
          <w:szCs w:val="24"/>
          <w:lang w:eastAsia="zh-CN"/>
        </w:rPr>
        <w:t>（</w:t>
      </w:r>
      <w:r>
        <w:rPr>
          <w:rFonts w:hint="eastAsia"/>
          <w:color w:val="auto"/>
          <w:sz w:val="24"/>
          <w:szCs w:val="24"/>
          <w:lang w:val="en-US" w:eastAsia="zh-CN"/>
        </w:rPr>
        <w:t>3</w:t>
      </w:r>
      <w:r>
        <w:rPr>
          <w:color w:val="auto"/>
          <w:sz w:val="24"/>
          <w:szCs w:val="24"/>
          <w:lang w:eastAsia="zh-CN"/>
        </w:rPr>
        <w:t>）</w:t>
      </w:r>
      <w:r>
        <w:rPr>
          <w:color w:val="auto"/>
          <w:sz w:val="24"/>
          <w:szCs w:val="24"/>
          <w:highlight w:val="none"/>
          <w:lang w:eastAsia="zh-CN"/>
        </w:rPr>
        <w:t>投标报价：见评标办法前附表；</w:t>
      </w:r>
    </w:p>
    <w:p w14:paraId="1B1D98D8">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w:t>
      </w:r>
      <w:r>
        <w:rPr>
          <w:rFonts w:hint="eastAsia"/>
          <w:color w:val="auto"/>
          <w:sz w:val="24"/>
          <w:szCs w:val="24"/>
          <w:lang w:val="en-US" w:eastAsia="zh-CN"/>
        </w:rPr>
        <w:t>4</w:t>
      </w:r>
      <w:r>
        <w:rPr>
          <w:color w:val="auto"/>
          <w:sz w:val="24"/>
          <w:szCs w:val="24"/>
          <w:lang w:eastAsia="zh-CN"/>
        </w:rPr>
        <w:t>）其他评分因素：见评标办法前附表。</w:t>
      </w:r>
    </w:p>
    <w:p w14:paraId="17B80DEE">
      <w:pPr>
        <w:pStyle w:val="2"/>
        <w:spacing w:line="360" w:lineRule="auto"/>
        <w:ind w:left="0"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2.2.2评标基准价计算</w:t>
      </w:r>
    </w:p>
    <w:p w14:paraId="089F27DC">
      <w:pPr>
        <w:pStyle w:val="2"/>
        <w:spacing w:line="360" w:lineRule="auto"/>
        <w:ind w:left="0"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评标基准价计算方法：见评标办法前附表。</w:t>
      </w:r>
    </w:p>
    <w:p w14:paraId="034BA28E">
      <w:pPr>
        <w:pStyle w:val="2"/>
        <w:spacing w:line="360" w:lineRule="auto"/>
        <w:ind w:left="0"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2.2.3投标报价的偏差率计算</w:t>
      </w:r>
    </w:p>
    <w:p w14:paraId="64880E8C">
      <w:pPr>
        <w:pStyle w:val="2"/>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u w:val="single"/>
          <w:lang w:eastAsia="zh-CN"/>
        </w:rPr>
        <w:t>投标报价的偏差率计算公式：见评标办法前附表。</w:t>
      </w:r>
    </w:p>
    <w:p w14:paraId="527BAD45">
      <w:pPr>
        <w:pStyle w:val="2"/>
        <w:spacing w:line="360" w:lineRule="auto"/>
        <w:ind w:left="0" w:firstLine="480" w:firstLineChars="200"/>
        <w:rPr>
          <w:color w:val="auto"/>
          <w:sz w:val="24"/>
          <w:szCs w:val="24"/>
          <w:lang w:eastAsia="zh-CN"/>
        </w:rPr>
      </w:pPr>
      <w:r>
        <w:rPr>
          <w:color w:val="auto"/>
          <w:sz w:val="24"/>
          <w:szCs w:val="24"/>
          <w:lang w:eastAsia="zh-CN"/>
        </w:rPr>
        <w:t>2.2.</w:t>
      </w:r>
      <w:r>
        <w:rPr>
          <w:rFonts w:hint="eastAsia"/>
          <w:color w:val="auto"/>
          <w:sz w:val="24"/>
          <w:szCs w:val="24"/>
          <w:lang w:val="en-US" w:eastAsia="zh-CN"/>
        </w:rPr>
        <w:t>4</w:t>
      </w:r>
      <w:r>
        <w:rPr>
          <w:color w:val="auto"/>
          <w:sz w:val="24"/>
          <w:szCs w:val="24"/>
          <w:lang w:eastAsia="zh-CN"/>
        </w:rPr>
        <w:t>评分标准</w:t>
      </w:r>
    </w:p>
    <w:p w14:paraId="5B5140B2">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（1）</w:t>
      </w:r>
      <w:r>
        <w:rPr>
          <w:rFonts w:hint="eastAsia"/>
          <w:color w:val="auto"/>
          <w:sz w:val="24"/>
          <w:szCs w:val="24"/>
          <w:u w:val="single"/>
          <w:lang w:eastAsia="zh-CN"/>
        </w:rPr>
        <w:t>技术文件（设计方案</w:t>
      </w:r>
      <w:r>
        <w:rPr>
          <w:color w:val="auto"/>
          <w:sz w:val="24"/>
          <w:szCs w:val="24"/>
          <w:u w:val="single"/>
          <w:lang w:eastAsia="zh-CN"/>
        </w:rPr>
        <w:t>)</w:t>
      </w:r>
      <w:r>
        <w:rPr>
          <w:color w:val="auto"/>
          <w:sz w:val="24"/>
          <w:szCs w:val="24"/>
          <w:lang w:eastAsia="zh-CN"/>
        </w:rPr>
        <w:t>评分标准：见评标办法前附表；</w:t>
      </w:r>
    </w:p>
    <w:p w14:paraId="724E5E58">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（2）</w:t>
      </w:r>
      <w:r>
        <w:rPr>
          <w:rFonts w:hint="eastAsia"/>
          <w:color w:val="auto"/>
          <w:sz w:val="24"/>
          <w:szCs w:val="24"/>
          <w:lang w:eastAsia="zh-CN"/>
        </w:rPr>
        <w:t>商务文件（资信业绩）</w:t>
      </w:r>
      <w:r>
        <w:rPr>
          <w:color w:val="auto"/>
          <w:sz w:val="24"/>
          <w:szCs w:val="24"/>
          <w:lang w:eastAsia="zh-CN"/>
        </w:rPr>
        <w:t>评分标准：见评标办法前附表；</w:t>
      </w:r>
    </w:p>
    <w:p w14:paraId="49AFD640">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color w:val="auto"/>
          <w:sz w:val="24"/>
          <w:szCs w:val="24"/>
          <w:highlight w:val="none"/>
          <w:lang w:eastAsia="zh-CN"/>
        </w:rPr>
        <w:t>投标报价评分标准：见评标办法前附表；</w:t>
      </w:r>
    </w:p>
    <w:p w14:paraId="38DF2FF0">
      <w:pPr>
        <w:pStyle w:val="2"/>
        <w:keepNext w:val="0"/>
        <w:keepLines w:val="0"/>
        <w:pageBreakBefore w:val="0"/>
        <w:widowControl w:val="0"/>
        <w:kinsoku/>
        <w:wordWrap/>
        <w:overflowPunct/>
        <w:topLinePunct w:val="0"/>
        <w:autoSpaceDE/>
        <w:autoSpaceDN/>
        <w:bidi w:val="0"/>
        <w:adjustRightInd/>
        <w:snapToGrid/>
        <w:spacing w:after="240" w:line="360" w:lineRule="auto"/>
        <w:ind w:left="0" w:firstLine="480" w:firstLineChars="200"/>
        <w:textAlignment w:val="auto"/>
        <w:rPr>
          <w:color w:val="auto"/>
          <w:sz w:val="24"/>
          <w:szCs w:val="24"/>
          <w:lang w:eastAsia="zh-CN"/>
        </w:rPr>
      </w:pPr>
      <w:r>
        <w:rPr>
          <w:color w:val="auto"/>
          <w:sz w:val="24"/>
          <w:szCs w:val="24"/>
          <w:lang w:eastAsia="zh-CN"/>
        </w:rPr>
        <w:t>（</w:t>
      </w:r>
      <w:r>
        <w:rPr>
          <w:rFonts w:hint="eastAsia"/>
          <w:color w:val="auto"/>
          <w:sz w:val="24"/>
          <w:szCs w:val="24"/>
          <w:lang w:val="en-US" w:eastAsia="zh-CN"/>
        </w:rPr>
        <w:t>4</w:t>
      </w:r>
      <w:r>
        <w:rPr>
          <w:color w:val="auto"/>
          <w:sz w:val="24"/>
          <w:szCs w:val="24"/>
          <w:lang w:eastAsia="zh-CN"/>
        </w:rPr>
        <w:t>）其他因素评分标准：见评标办法前附表。</w:t>
      </w:r>
      <w:bookmarkStart w:id="36" w:name="_Toc25137996"/>
    </w:p>
    <w:p w14:paraId="2D634DF6">
      <w:pPr>
        <w:pStyle w:val="5"/>
        <w:spacing w:after="240" w:line="443" w:lineRule="exact"/>
        <w:ind w:right="44"/>
        <w:rPr>
          <w:rFonts w:ascii="宋体" w:hAnsi="宋体" w:eastAsia="宋体"/>
          <w:color w:val="auto"/>
          <w:lang w:eastAsia="zh-CN"/>
        </w:rPr>
      </w:pPr>
      <w:bookmarkStart w:id="37" w:name="_Toc25152746"/>
      <w:r>
        <w:rPr>
          <w:rFonts w:ascii="宋体" w:hAnsi="宋体" w:eastAsia="宋体"/>
          <w:color w:val="auto"/>
          <w:lang w:eastAsia="zh-CN"/>
        </w:rPr>
        <w:t>3. 评标程序</w:t>
      </w:r>
      <w:bookmarkEnd w:id="36"/>
      <w:bookmarkEnd w:id="37"/>
    </w:p>
    <w:p w14:paraId="587B223B">
      <w:pPr>
        <w:pStyle w:val="6"/>
        <w:spacing w:after="240"/>
        <w:ind w:right="44"/>
        <w:rPr>
          <w:b/>
          <w:bCs/>
          <w:color w:val="auto"/>
          <w:lang w:eastAsia="zh-CN"/>
        </w:rPr>
      </w:pPr>
      <w:r>
        <w:rPr>
          <w:b/>
          <w:bCs/>
          <w:color w:val="auto"/>
          <w:lang w:eastAsia="zh-CN"/>
        </w:rPr>
        <w:t>3.1 初步评审</w:t>
      </w:r>
    </w:p>
    <w:p w14:paraId="075E1ECA">
      <w:pPr>
        <w:pStyle w:val="2"/>
        <w:spacing w:line="360" w:lineRule="auto"/>
        <w:ind w:left="0" w:firstLine="480" w:firstLineChars="200"/>
        <w:rPr>
          <w:color w:val="auto"/>
          <w:sz w:val="24"/>
          <w:szCs w:val="24"/>
          <w:lang w:eastAsia="zh-CN"/>
        </w:rPr>
      </w:pPr>
      <w:r>
        <w:rPr>
          <w:color w:val="auto"/>
          <w:sz w:val="24"/>
          <w:szCs w:val="24"/>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p>
    <w:p w14:paraId="7D425A77">
      <w:pPr>
        <w:pStyle w:val="2"/>
        <w:spacing w:line="360" w:lineRule="auto"/>
        <w:ind w:left="0" w:firstLine="480" w:firstLineChars="200"/>
        <w:rPr>
          <w:color w:val="auto"/>
          <w:sz w:val="24"/>
          <w:szCs w:val="24"/>
          <w:lang w:eastAsia="zh-CN"/>
        </w:rPr>
      </w:pPr>
      <w:r>
        <w:rPr>
          <w:color w:val="auto"/>
          <w:sz w:val="24"/>
          <w:szCs w:val="24"/>
          <w:lang w:eastAsia="zh-CN"/>
        </w:rPr>
        <w:t>3.1.2投标人有以下情形之一的，评标委员会应当否决其投标：</w:t>
      </w:r>
    </w:p>
    <w:p w14:paraId="5F0B1E11">
      <w:pPr>
        <w:pStyle w:val="2"/>
        <w:spacing w:line="360" w:lineRule="auto"/>
        <w:ind w:left="0" w:firstLine="480" w:firstLineChars="200"/>
        <w:rPr>
          <w:color w:val="auto"/>
          <w:sz w:val="24"/>
          <w:szCs w:val="24"/>
          <w:lang w:eastAsia="zh-CN"/>
        </w:rPr>
      </w:pPr>
      <w:r>
        <w:rPr>
          <w:color w:val="auto"/>
          <w:sz w:val="24"/>
          <w:szCs w:val="24"/>
          <w:lang w:eastAsia="zh-CN"/>
        </w:rPr>
        <w:t>（1）投标文件没有对招标文件的实质性要求和条件作出响应，或者对招标文件的偏差超出招标文件规定的偏差范围或最高项数；</w:t>
      </w:r>
    </w:p>
    <w:p w14:paraId="00F8B5D8">
      <w:pPr>
        <w:pStyle w:val="2"/>
        <w:spacing w:line="360" w:lineRule="auto"/>
        <w:ind w:left="0" w:firstLine="480" w:firstLineChars="200"/>
        <w:rPr>
          <w:color w:val="auto"/>
          <w:sz w:val="24"/>
          <w:szCs w:val="24"/>
          <w:lang w:eastAsia="zh-CN"/>
        </w:rPr>
      </w:pPr>
      <w:r>
        <w:rPr>
          <w:color w:val="auto"/>
          <w:sz w:val="24"/>
          <w:szCs w:val="24"/>
          <w:lang w:eastAsia="zh-CN"/>
        </w:rPr>
        <w:t>（2）有串通投标、弄虚作假、行贿等违法行为。</w:t>
      </w:r>
    </w:p>
    <w:p w14:paraId="79E820E9">
      <w:pPr>
        <w:pStyle w:val="2"/>
        <w:spacing w:line="360" w:lineRule="auto"/>
        <w:ind w:left="0" w:firstLine="480" w:firstLineChars="200"/>
        <w:rPr>
          <w:color w:val="auto"/>
          <w:sz w:val="24"/>
          <w:szCs w:val="24"/>
          <w:lang w:eastAsia="zh-CN"/>
        </w:rPr>
      </w:pPr>
      <w:r>
        <w:rPr>
          <w:color w:val="auto"/>
          <w:sz w:val="24"/>
          <w:szCs w:val="24"/>
          <w:lang w:eastAsia="zh-CN"/>
        </w:rPr>
        <w:t>3.1.3投标报价有算术错误及其他错误的，评标委员会按以下原则要求投标人对投标报价进行修正，并要求投标人书面澄清确认。投标人拒不澄清确认的，评标委员会应当否决其投标：</w:t>
      </w:r>
    </w:p>
    <w:p w14:paraId="041C4E64">
      <w:pPr>
        <w:pStyle w:val="2"/>
        <w:spacing w:line="360" w:lineRule="auto"/>
        <w:ind w:left="0" w:firstLine="480" w:firstLineChars="200"/>
        <w:rPr>
          <w:color w:val="auto"/>
          <w:sz w:val="24"/>
          <w:szCs w:val="24"/>
          <w:lang w:eastAsia="zh-CN"/>
        </w:rPr>
      </w:pPr>
      <w:r>
        <w:rPr>
          <w:color w:val="auto"/>
          <w:sz w:val="24"/>
          <w:szCs w:val="24"/>
          <w:lang w:eastAsia="zh-CN"/>
        </w:rPr>
        <w:t>（1）投标文件中的大写金额与小写金额不一致的，以大写金额为准；</w:t>
      </w:r>
    </w:p>
    <w:p w14:paraId="0C5AB2B8">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（2）总价金额与单价金额不一致的，以单价金额为准，但单价金额小数点有明显错误的除外。</w:t>
      </w:r>
    </w:p>
    <w:p w14:paraId="473769BF">
      <w:pPr>
        <w:pStyle w:val="6"/>
        <w:keepNext w:val="0"/>
        <w:keepLines w:val="0"/>
        <w:pageBreakBefore w:val="0"/>
        <w:widowControl w:val="0"/>
        <w:kinsoku/>
        <w:wordWrap/>
        <w:overflowPunct/>
        <w:topLinePunct w:val="0"/>
        <w:autoSpaceDE/>
        <w:autoSpaceDN/>
        <w:bidi w:val="0"/>
        <w:adjustRightInd/>
        <w:snapToGrid/>
        <w:ind w:left="238" w:right="45"/>
        <w:textAlignment w:val="auto"/>
        <w:rPr>
          <w:b/>
          <w:bCs/>
          <w:color w:val="auto"/>
          <w:lang w:eastAsia="zh-CN"/>
        </w:rPr>
      </w:pPr>
      <w:r>
        <w:rPr>
          <w:b/>
          <w:bCs/>
          <w:color w:val="auto"/>
          <w:lang w:eastAsia="zh-CN"/>
        </w:rPr>
        <w:t>3.2 详细评审</w:t>
      </w:r>
    </w:p>
    <w:p w14:paraId="36AA9AF0">
      <w:pPr>
        <w:pStyle w:val="2"/>
        <w:spacing w:line="360" w:lineRule="auto"/>
        <w:ind w:firstLine="480" w:firstLineChars="200"/>
        <w:rPr>
          <w:color w:val="auto"/>
          <w:sz w:val="24"/>
          <w:szCs w:val="24"/>
          <w:u w:val="single"/>
          <w:lang w:eastAsia="zh-CN"/>
        </w:rPr>
      </w:pPr>
      <w:r>
        <w:rPr>
          <w:color w:val="auto"/>
          <w:sz w:val="24"/>
          <w:szCs w:val="24"/>
          <w:u w:val="single"/>
          <w:lang w:eastAsia="zh-CN"/>
        </w:rPr>
        <w:t>3.2.1</w:t>
      </w:r>
      <w:r>
        <w:rPr>
          <w:rFonts w:hint="eastAsia" w:cs="宋体"/>
          <w:color w:val="auto"/>
          <w:sz w:val="24"/>
          <w:szCs w:val="24"/>
          <w:u w:val="single"/>
          <w:lang w:eastAsia="zh-CN"/>
        </w:rPr>
        <w:t>评标委员会按本章第</w:t>
      </w:r>
      <w:r>
        <w:rPr>
          <w:color w:val="auto"/>
          <w:sz w:val="24"/>
          <w:szCs w:val="24"/>
          <w:u w:val="single"/>
          <w:lang w:eastAsia="zh-CN"/>
        </w:rPr>
        <w:t xml:space="preserve"> 2.2</w:t>
      </w:r>
      <w:r>
        <w:rPr>
          <w:rFonts w:hint="eastAsia" w:cs="宋体"/>
          <w:color w:val="auto"/>
          <w:sz w:val="24"/>
          <w:szCs w:val="24"/>
          <w:u w:val="single"/>
          <w:lang w:eastAsia="zh-CN"/>
        </w:rPr>
        <w:t>款规定的量化因素和分值进行打分，并计算出综合评估得分。</w:t>
      </w:r>
    </w:p>
    <w:p w14:paraId="365CC96C">
      <w:pPr>
        <w:pStyle w:val="2"/>
        <w:spacing w:line="360" w:lineRule="auto"/>
        <w:ind w:firstLine="480" w:firstLineChars="200"/>
        <w:rPr>
          <w:color w:val="auto"/>
          <w:sz w:val="24"/>
          <w:szCs w:val="24"/>
          <w:u w:val="single"/>
          <w:lang w:eastAsia="zh-CN"/>
        </w:rPr>
      </w:pPr>
      <w:r>
        <w:rPr>
          <w:rFonts w:hint="eastAsia" w:cs="宋体"/>
          <w:color w:val="auto"/>
          <w:sz w:val="24"/>
          <w:szCs w:val="24"/>
          <w:u w:val="single"/>
          <w:lang w:eastAsia="zh-CN"/>
        </w:rPr>
        <w:t>（</w:t>
      </w:r>
      <w:r>
        <w:rPr>
          <w:color w:val="auto"/>
          <w:sz w:val="24"/>
          <w:szCs w:val="24"/>
          <w:u w:val="single"/>
          <w:lang w:eastAsia="zh-CN"/>
        </w:rPr>
        <w:t>1</w:t>
      </w:r>
      <w:r>
        <w:rPr>
          <w:rFonts w:hint="eastAsia" w:cs="宋体"/>
          <w:color w:val="auto"/>
          <w:sz w:val="24"/>
          <w:szCs w:val="24"/>
          <w:u w:val="single"/>
          <w:lang w:eastAsia="zh-CN"/>
        </w:rPr>
        <w:t>）按本章第2.2.</w:t>
      </w:r>
      <w:r>
        <w:rPr>
          <w:rFonts w:hint="eastAsia" w:cs="宋体"/>
          <w:color w:val="auto"/>
          <w:sz w:val="24"/>
          <w:szCs w:val="24"/>
          <w:u w:val="single"/>
          <w:lang w:val="en-US" w:eastAsia="zh-CN"/>
        </w:rPr>
        <w:t>4</w:t>
      </w:r>
      <w:r>
        <w:rPr>
          <w:rFonts w:hint="eastAsia" w:cs="宋体"/>
          <w:color w:val="auto"/>
          <w:sz w:val="24"/>
          <w:szCs w:val="24"/>
          <w:u w:val="single"/>
          <w:lang w:eastAsia="zh-CN"/>
        </w:rPr>
        <w:t>（1）目规定的评审因素和分值对通过技术文件响应性评审的投标人的投标文件进行技术文件（设计方案)评分计算出得分；</w:t>
      </w:r>
    </w:p>
    <w:p w14:paraId="15D287F9">
      <w:pPr>
        <w:pStyle w:val="2"/>
        <w:spacing w:line="360" w:lineRule="auto"/>
        <w:ind w:firstLine="480" w:firstLineChars="200"/>
        <w:rPr>
          <w:rFonts w:cs="宋体"/>
          <w:color w:val="auto"/>
          <w:sz w:val="24"/>
          <w:szCs w:val="24"/>
          <w:u w:val="single"/>
          <w:lang w:eastAsia="zh-CN"/>
        </w:rPr>
      </w:pPr>
      <w:r>
        <w:rPr>
          <w:rFonts w:hint="eastAsia" w:cs="宋体"/>
          <w:color w:val="auto"/>
          <w:sz w:val="24"/>
          <w:szCs w:val="24"/>
          <w:u w:val="single"/>
          <w:lang w:eastAsia="zh-CN"/>
        </w:rPr>
        <w:t>（</w:t>
      </w:r>
      <w:r>
        <w:rPr>
          <w:rFonts w:hint="eastAsia"/>
          <w:color w:val="auto"/>
          <w:sz w:val="24"/>
          <w:szCs w:val="24"/>
          <w:u w:val="single"/>
          <w:lang w:val="en-US" w:eastAsia="zh-CN"/>
        </w:rPr>
        <w:t>2</w:t>
      </w:r>
      <w:r>
        <w:rPr>
          <w:rFonts w:hint="eastAsia" w:cs="宋体"/>
          <w:color w:val="auto"/>
          <w:sz w:val="24"/>
          <w:szCs w:val="24"/>
          <w:u w:val="single"/>
          <w:lang w:eastAsia="zh-CN"/>
        </w:rPr>
        <w:t>）按本章第2.2.</w:t>
      </w:r>
      <w:r>
        <w:rPr>
          <w:rFonts w:hint="eastAsia" w:cs="宋体"/>
          <w:color w:val="auto"/>
          <w:sz w:val="24"/>
          <w:szCs w:val="24"/>
          <w:u w:val="single"/>
          <w:lang w:val="en-US" w:eastAsia="zh-CN"/>
        </w:rPr>
        <w:t>4</w:t>
      </w:r>
      <w:r>
        <w:rPr>
          <w:rFonts w:hint="eastAsia" w:cs="宋体"/>
          <w:color w:val="auto"/>
          <w:sz w:val="24"/>
          <w:szCs w:val="24"/>
          <w:u w:val="single"/>
          <w:lang w:eastAsia="zh-CN"/>
        </w:rPr>
        <w:t>（2）目规定的评审因素和分值对通过形式、资格、商务文件响应性评审的投标人的投标文件进行商务文件（资信业绩）评分计算出得分；</w:t>
      </w:r>
    </w:p>
    <w:p w14:paraId="21C3320C">
      <w:pPr>
        <w:pStyle w:val="2"/>
        <w:spacing w:line="360" w:lineRule="auto"/>
        <w:ind w:firstLine="480" w:firstLineChars="200"/>
        <w:rPr>
          <w:rFonts w:cs="宋体"/>
          <w:color w:val="auto"/>
          <w:sz w:val="24"/>
          <w:szCs w:val="24"/>
          <w:u w:val="single"/>
          <w:lang w:eastAsia="zh-CN"/>
        </w:rPr>
      </w:pPr>
      <w:r>
        <w:rPr>
          <w:rFonts w:hint="eastAsia" w:cs="宋体"/>
          <w:color w:val="auto"/>
          <w:sz w:val="24"/>
          <w:szCs w:val="24"/>
          <w:u w:val="single"/>
          <w:lang w:eastAsia="zh-CN"/>
        </w:rPr>
        <w:t>（</w:t>
      </w:r>
      <w:r>
        <w:rPr>
          <w:rFonts w:hint="eastAsia"/>
          <w:color w:val="auto"/>
          <w:sz w:val="24"/>
          <w:szCs w:val="24"/>
          <w:u w:val="single"/>
          <w:lang w:val="en-US" w:eastAsia="zh-CN"/>
        </w:rPr>
        <w:t>3</w:t>
      </w:r>
      <w:r>
        <w:rPr>
          <w:rFonts w:hint="eastAsia" w:cs="宋体"/>
          <w:color w:val="auto"/>
          <w:sz w:val="24"/>
          <w:szCs w:val="24"/>
          <w:u w:val="single"/>
          <w:lang w:eastAsia="zh-CN"/>
        </w:rPr>
        <w:t>）评标委员会按只有通过初步评审的投标人的投标文件方可进入下一阶段评审的评审原则，在揭晓投标人身份后，根据初步评审结果，否决未通过初步评审的投标人的投标，取消其得分，且不再进入得分汇总阶段。</w:t>
      </w:r>
    </w:p>
    <w:p w14:paraId="3E83B6A2">
      <w:pPr>
        <w:pStyle w:val="2"/>
        <w:spacing w:line="360" w:lineRule="auto"/>
        <w:ind w:firstLine="480" w:firstLineChars="200"/>
        <w:rPr>
          <w:color w:val="auto"/>
          <w:sz w:val="24"/>
          <w:szCs w:val="24"/>
          <w:u w:val="single"/>
          <w:lang w:eastAsia="zh-CN"/>
        </w:rPr>
      </w:pPr>
      <w:r>
        <w:rPr>
          <w:color w:val="auto"/>
          <w:sz w:val="24"/>
          <w:szCs w:val="24"/>
          <w:u w:val="single"/>
          <w:lang w:eastAsia="zh-CN"/>
        </w:rPr>
        <w:t>3.2.2</w:t>
      </w:r>
      <w:r>
        <w:rPr>
          <w:rFonts w:hint="eastAsia" w:cs="宋体"/>
          <w:color w:val="auto"/>
          <w:sz w:val="24"/>
          <w:szCs w:val="24"/>
          <w:u w:val="single"/>
          <w:lang w:eastAsia="zh-CN"/>
        </w:rPr>
        <w:t>评分分值计算保留小数点后两位，小数点后第三位</w:t>
      </w:r>
      <w:r>
        <w:rPr>
          <w:rFonts w:cs="Calibri"/>
          <w:color w:val="auto"/>
          <w:sz w:val="24"/>
          <w:szCs w:val="24"/>
          <w:u w:val="single"/>
          <w:lang w:eastAsia="zh-CN"/>
        </w:rPr>
        <w:t>“</w:t>
      </w:r>
      <w:r>
        <w:rPr>
          <w:rFonts w:hint="eastAsia" w:cs="宋体"/>
          <w:color w:val="auto"/>
          <w:sz w:val="24"/>
          <w:szCs w:val="24"/>
          <w:u w:val="single"/>
          <w:lang w:eastAsia="zh-CN"/>
        </w:rPr>
        <w:t>四舍五入</w:t>
      </w:r>
      <w:r>
        <w:rPr>
          <w:rFonts w:cs="Calibri"/>
          <w:color w:val="auto"/>
          <w:sz w:val="24"/>
          <w:szCs w:val="24"/>
          <w:u w:val="single"/>
          <w:lang w:eastAsia="zh-CN"/>
        </w:rPr>
        <w:t>”</w:t>
      </w:r>
      <w:r>
        <w:rPr>
          <w:rFonts w:hint="eastAsia" w:cs="宋体"/>
          <w:color w:val="auto"/>
          <w:sz w:val="24"/>
          <w:szCs w:val="24"/>
          <w:u w:val="single"/>
          <w:lang w:eastAsia="zh-CN"/>
        </w:rPr>
        <w:t>。</w:t>
      </w:r>
    </w:p>
    <w:p w14:paraId="2CA403CA">
      <w:pPr>
        <w:pStyle w:val="2"/>
        <w:spacing w:line="360" w:lineRule="auto"/>
        <w:ind w:left="0" w:firstLine="480" w:firstLineChars="200"/>
        <w:rPr>
          <w:rFonts w:cs="宋体"/>
          <w:color w:val="auto"/>
          <w:sz w:val="24"/>
          <w:szCs w:val="24"/>
          <w:u w:val="single"/>
          <w:lang w:eastAsia="zh-CN"/>
        </w:rPr>
      </w:pPr>
      <w:r>
        <w:rPr>
          <w:color w:val="auto"/>
          <w:sz w:val="24"/>
          <w:szCs w:val="24"/>
          <w:u w:val="single"/>
          <w:lang w:eastAsia="zh-CN"/>
        </w:rPr>
        <w:t>3.2.3</w:t>
      </w:r>
      <w:r>
        <w:rPr>
          <w:rFonts w:hint="eastAsia" w:cs="宋体"/>
          <w:color w:val="auto"/>
          <w:sz w:val="24"/>
          <w:szCs w:val="24"/>
          <w:u w:val="single"/>
          <w:lang w:eastAsia="zh-CN"/>
        </w:rPr>
        <w:t>权重分配：商务文件（资信业绩部分）权重为</w:t>
      </w:r>
      <w:r>
        <w:rPr>
          <w:rFonts w:hint="eastAsia" w:cs="宋体"/>
          <w:color w:val="auto"/>
          <w:sz w:val="24"/>
          <w:szCs w:val="24"/>
          <w:u w:val="single"/>
          <w:lang w:val="en-US" w:eastAsia="zh-CN"/>
        </w:rPr>
        <w:t>20</w:t>
      </w:r>
      <w:r>
        <w:rPr>
          <w:rFonts w:hint="eastAsia" w:cs="宋体"/>
          <w:color w:val="auto"/>
          <w:sz w:val="24"/>
          <w:szCs w:val="24"/>
          <w:u w:val="single"/>
          <w:lang w:eastAsia="zh-CN"/>
        </w:rPr>
        <w:t>％、技术文件（设计方案部分）权重为</w:t>
      </w:r>
      <w:r>
        <w:rPr>
          <w:rFonts w:hint="eastAsia" w:cs="宋体"/>
          <w:color w:val="auto"/>
          <w:sz w:val="24"/>
          <w:szCs w:val="24"/>
          <w:u w:val="single"/>
          <w:lang w:val="en-US" w:eastAsia="zh-CN"/>
        </w:rPr>
        <w:t>20</w:t>
      </w:r>
      <w:r>
        <w:rPr>
          <w:rFonts w:hint="eastAsia" w:cs="宋体"/>
          <w:color w:val="auto"/>
          <w:sz w:val="24"/>
          <w:szCs w:val="24"/>
          <w:u w:val="single"/>
          <w:lang w:eastAsia="zh-CN"/>
        </w:rPr>
        <w:t>％ 、</w:t>
      </w:r>
      <w:r>
        <w:rPr>
          <w:rFonts w:hint="eastAsia" w:cs="宋体"/>
          <w:color w:val="auto"/>
          <w:sz w:val="24"/>
          <w:szCs w:val="24"/>
          <w:highlight w:val="none"/>
          <w:u w:val="single"/>
          <w:lang w:eastAsia="zh-CN"/>
        </w:rPr>
        <w:t>报价文件权重为</w:t>
      </w:r>
      <w:r>
        <w:rPr>
          <w:rFonts w:hint="eastAsia" w:cs="宋体"/>
          <w:color w:val="auto"/>
          <w:sz w:val="24"/>
          <w:szCs w:val="24"/>
          <w:highlight w:val="none"/>
          <w:u w:val="single"/>
          <w:lang w:val="en-US" w:eastAsia="zh-CN"/>
        </w:rPr>
        <w:t>6</w:t>
      </w:r>
      <w:r>
        <w:rPr>
          <w:rFonts w:hint="eastAsia" w:cs="宋体"/>
          <w:color w:val="auto"/>
          <w:sz w:val="24"/>
          <w:szCs w:val="24"/>
          <w:highlight w:val="none"/>
          <w:u w:val="single"/>
          <w:lang w:eastAsia="zh-CN"/>
        </w:rPr>
        <w:t>0%</w:t>
      </w:r>
      <w:r>
        <w:rPr>
          <w:rFonts w:hint="eastAsia" w:cs="宋体"/>
          <w:color w:val="auto"/>
          <w:sz w:val="24"/>
          <w:szCs w:val="24"/>
          <w:u w:val="single"/>
          <w:lang w:eastAsia="zh-CN"/>
        </w:rPr>
        <w:t xml:space="preserve"> 。</w:t>
      </w:r>
    </w:p>
    <w:p w14:paraId="6C8F32FD">
      <w:pPr>
        <w:pStyle w:val="2"/>
        <w:spacing w:line="360" w:lineRule="auto"/>
        <w:ind w:left="240" w:leftChars="109" w:firstLine="240" w:firstLineChars="100"/>
        <w:rPr>
          <w:rFonts w:hint="eastAsia" w:cs="宋体"/>
          <w:color w:val="auto"/>
          <w:sz w:val="24"/>
          <w:szCs w:val="24"/>
          <w:u w:val="single"/>
          <w:lang w:eastAsia="zh-CN"/>
        </w:rPr>
      </w:pPr>
      <w:r>
        <w:rPr>
          <w:rFonts w:hint="eastAsia" w:cs="宋体"/>
          <w:color w:val="auto"/>
          <w:sz w:val="24"/>
          <w:szCs w:val="24"/>
          <w:u w:val="single"/>
          <w:lang w:eastAsia="zh-CN"/>
        </w:rPr>
        <w:t>投标人的综合得分（满分100分）＝商务文件得分×</w:t>
      </w:r>
      <w:r>
        <w:rPr>
          <w:rFonts w:hint="eastAsia" w:cs="宋体"/>
          <w:color w:val="auto"/>
          <w:sz w:val="24"/>
          <w:szCs w:val="24"/>
          <w:u w:val="single"/>
          <w:lang w:val="en-US" w:eastAsia="zh-CN"/>
        </w:rPr>
        <w:t>2</w:t>
      </w:r>
      <w:r>
        <w:rPr>
          <w:rFonts w:hint="eastAsia" w:cs="宋体"/>
          <w:color w:val="auto"/>
          <w:sz w:val="24"/>
          <w:szCs w:val="24"/>
          <w:u w:val="single"/>
          <w:lang w:eastAsia="zh-CN"/>
        </w:rPr>
        <w:t>0％+技术文件得分×</w:t>
      </w:r>
      <w:r>
        <w:rPr>
          <w:rFonts w:hint="eastAsia" w:cs="宋体"/>
          <w:color w:val="auto"/>
          <w:sz w:val="24"/>
          <w:szCs w:val="24"/>
          <w:u w:val="single"/>
          <w:lang w:val="en-US" w:eastAsia="zh-CN"/>
        </w:rPr>
        <w:t>2</w:t>
      </w:r>
      <w:r>
        <w:rPr>
          <w:rFonts w:hint="eastAsia" w:cs="宋体"/>
          <w:color w:val="auto"/>
          <w:sz w:val="24"/>
          <w:szCs w:val="24"/>
          <w:u w:val="single"/>
          <w:lang w:eastAsia="zh-CN"/>
        </w:rPr>
        <w:t>0％</w:t>
      </w:r>
      <w:r>
        <w:rPr>
          <w:rFonts w:hint="eastAsia" w:cs="宋体"/>
          <w:color w:val="auto"/>
          <w:sz w:val="24"/>
          <w:szCs w:val="24"/>
          <w:u w:val="single"/>
          <w:lang w:val="en-US" w:eastAsia="zh-CN"/>
        </w:rPr>
        <w:t>+</w:t>
      </w:r>
      <w:r>
        <w:rPr>
          <w:rFonts w:hint="eastAsia" w:cs="宋体"/>
          <w:color w:val="auto"/>
          <w:sz w:val="24"/>
          <w:szCs w:val="24"/>
          <w:highlight w:val="none"/>
          <w:u w:val="single"/>
          <w:lang w:eastAsia="zh-CN"/>
        </w:rPr>
        <w:t>报价文件得分×</w:t>
      </w:r>
      <w:r>
        <w:rPr>
          <w:rFonts w:hint="eastAsia" w:cs="宋体"/>
          <w:color w:val="auto"/>
          <w:sz w:val="24"/>
          <w:szCs w:val="24"/>
          <w:highlight w:val="none"/>
          <w:u w:val="single"/>
          <w:lang w:val="en-US" w:eastAsia="zh-CN"/>
        </w:rPr>
        <w:t>6</w:t>
      </w:r>
      <w:r>
        <w:rPr>
          <w:rFonts w:hint="eastAsia" w:cs="宋体"/>
          <w:color w:val="auto"/>
          <w:sz w:val="24"/>
          <w:szCs w:val="24"/>
          <w:highlight w:val="none"/>
          <w:u w:val="single"/>
          <w:lang w:eastAsia="zh-CN"/>
        </w:rPr>
        <w:t>0％</w:t>
      </w:r>
      <w:r>
        <w:rPr>
          <w:rFonts w:hint="eastAsia" w:cs="宋体"/>
          <w:color w:val="auto"/>
          <w:sz w:val="24"/>
          <w:szCs w:val="24"/>
          <w:u w:val="single"/>
          <w:lang w:eastAsia="zh-CN"/>
        </w:rPr>
        <w:t xml:space="preserve"> 。</w:t>
      </w:r>
    </w:p>
    <w:p w14:paraId="397F132A">
      <w:pPr>
        <w:pStyle w:val="2"/>
        <w:spacing w:line="360" w:lineRule="auto"/>
        <w:ind w:left="240" w:leftChars="109" w:firstLine="240" w:firstLineChars="100"/>
        <w:rPr>
          <w:strike/>
          <w:color w:val="auto"/>
          <w:sz w:val="24"/>
          <w:szCs w:val="24"/>
          <w:lang w:eastAsia="zh-CN"/>
        </w:rPr>
      </w:pPr>
      <w:r>
        <w:rPr>
          <w:strike/>
          <w:color w:val="auto"/>
          <w:sz w:val="24"/>
          <w:szCs w:val="24"/>
          <w:lang w:eastAsia="zh-CN"/>
        </w:rPr>
        <w:t>3.2.1评标委员会按本章第 2.2款规定的量化因素和分值进行打分，并计算出综合评估得分。</w:t>
      </w:r>
    </w:p>
    <w:p w14:paraId="79DC7C87">
      <w:pPr>
        <w:pStyle w:val="2"/>
        <w:spacing w:line="360" w:lineRule="auto"/>
        <w:ind w:left="0" w:firstLine="480" w:firstLineChars="200"/>
        <w:rPr>
          <w:strike/>
          <w:color w:val="auto"/>
          <w:sz w:val="24"/>
          <w:szCs w:val="24"/>
          <w:lang w:eastAsia="zh-CN"/>
        </w:rPr>
      </w:pPr>
      <w:r>
        <w:rPr>
          <w:strike/>
          <w:color w:val="auto"/>
          <w:sz w:val="24"/>
          <w:szCs w:val="24"/>
          <w:lang w:eastAsia="zh-CN"/>
        </w:rPr>
        <w:t>（1）按本章第2.2.4（1）目规定的评审因素和分值对资信业绩部分计算出得分A；</w:t>
      </w:r>
    </w:p>
    <w:p w14:paraId="0F12DECE">
      <w:pPr>
        <w:pStyle w:val="2"/>
        <w:spacing w:line="360" w:lineRule="auto"/>
        <w:ind w:left="0" w:firstLine="480" w:firstLineChars="200"/>
        <w:rPr>
          <w:strike/>
          <w:color w:val="auto"/>
          <w:sz w:val="24"/>
          <w:szCs w:val="24"/>
          <w:lang w:eastAsia="zh-CN"/>
        </w:rPr>
      </w:pPr>
      <w:r>
        <w:rPr>
          <w:strike/>
          <w:color w:val="auto"/>
          <w:sz w:val="24"/>
          <w:szCs w:val="24"/>
          <w:lang w:eastAsia="zh-CN"/>
        </w:rPr>
        <w:t>（2）按本章第2.2.4（2）目规定的评审因素和分值对勘察设计方案部分计算出得分B；</w:t>
      </w:r>
    </w:p>
    <w:p w14:paraId="359C9352">
      <w:pPr>
        <w:pStyle w:val="2"/>
        <w:spacing w:line="360" w:lineRule="auto"/>
        <w:ind w:left="0" w:firstLine="480" w:firstLineChars="200"/>
        <w:rPr>
          <w:strike/>
          <w:color w:val="auto"/>
          <w:sz w:val="24"/>
          <w:szCs w:val="24"/>
          <w:lang w:eastAsia="zh-CN"/>
        </w:rPr>
      </w:pPr>
      <w:r>
        <w:rPr>
          <w:strike/>
          <w:color w:val="auto"/>
          <w:sz w:val="24"/>
          <w:szCs w:val="24"/>
          <w:lang w:eastAsia="zh-CN"/>
        </w:rPr>
        <w:t>（3）按本章第2.2.4（3）目规定的评审因素和分值对投标报价计算出得分C；</w:t>
      </w:r>
    </w:p>
    <w:p w14:paraId="0422A62E">
      <w:pPr>
        <w:pStyle w:val="2"/>
        <w:spacing w:line="360" w:lineRule="auto"/>
        <w:ind w:left="1" w:firstLine="480" w:firstLineChars="200"/>
        <w:rPr>
          <w:strike/>
          <w:color w:val="auto"/>
          <w:sz w:val="24"/>
          <w:szCs w:val="24"/>
          <w:lang w:eastAsia="zh-CN"/>
        </w:rPr>
      </w:pPr>
      <w:r>
        <w:rPr>
          <w:strike/>
          <w:color w:val="auto"/>
          <w:sz w:val="24"/>
          <w:szCs w:val="24"/>
          <w:lang w:eastAsia="zh-CN"/>
        </w:rPr>
        <w:t>（4）按本章第2.2.4（4）目规定的评审因素和分值对其他部分计算出得分D。</w:t>
      </w:r>
    </w:p>
    <w:p w14:paraId="05A130BE">
      <w:pPr>
        <w:pStyle w:val="2"/>
        <w:spacing w:line="360" w:lineRule="auto"/>
        <w:ind w:left="1" w:firstLine="480" w:firstLineChars="200"/>
        <w:rPr>
          <w:strike/>
          <w:color w:val="auto"/>
          <w:sz w:val="24"/>
          <w:szCs w:val="24"/>
          <w:lang w:eastAsia="zh-CN"/>
        </w:rPr>
      </w:pPr>
      <w:r>
        <w:rPr>
          <w:strike/>
          <w:color w:val="auto"/>
          <w:sz w:val="24"/>
          <w:szCs w:val="24"/>
          <w:lang w:eastAsia="zh-CN"/>
        </w:rPr>
        <w:t>3.2.2评分分值计算保留小数点后两位，小数点后第三位“四舍五入”。</w:t>
      </w:r>
    </w:p>
    <w:p w14:paraId="06C59494">
      <w:pPr>
        <w:pStyle w:val="2"/>
        <w:spacing w:line="360" w:lineRule="auto"/>
        <w:ind w:left="0" w:firstLine="480" w:firstLineChars="200"/>
        <w:rPr>
          <w:color w:val="auto"/>
          <w:sz w:val="24"/>
          <w:szCs w:val="24"/>
          <w:lang w:eastAsia="zh-CN"/>
        </w:rPr>
      </w:pPr>
      <w:r>
        <w:rPr>
          <w:strike/>
          <w:color w:val="auto"/>
          <w:sz w:val="24"/>
          <w:szCs w:val="24"/>
          <w:lang w:eastAsia="zh-CN"/>
        </w:rPr>
        <w:t>3.2.3投标人得分=A+B+C+D。</w:t>
      </w:r>
    </w:p>
    <w:p w14:paraId="72438335">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2CB5620">
      <w:pPr>
        <w:pStyle w:val="6"/>
        <w:keepNext w:val="0"/>
        <w:keepLines w:val="0"/>
        <w:pageBreakBefore w:val="0"/>
        <w:widowControl w:val="0"/>
        <w:kinsoku/>
        <w:wordWrap/>
        <w:overflowPunct/>
        <w:topLinePunct w:val="0"/>
        <w:autoSpaceDE/>
        <w:autoSpaceDN/>
        <w:bidi w:val="0"/>
        <w:adjustRightInd/>
        <w:snapToGrid/>
        <w:ind w:left="238" w:right="45"/>
        <w:textAlignment w:val="auto"/>
        <w:rPr>
          <w:b/>
          <w:bCs/>
          <w:color w:val="auto"/>
          <w:lang w:eastAsia="zh-CN"/>
        </w:rPr>
      </w:pPr>
      <w:r>
        <w:rPr>
          <w:b/>
          <w:bCs/>
          <w:color w:val="auto"/>
          <w:lang w:eastAsia="zh-CN"/>
        </w:rPr>
        <w:t>3.3  投标文件的澄清</w:t>
      </w:r>
    </w:p>
    <w:p w14:paraId="272E7CCB">
      <w:pPr>
        <w:pStyle w:val="2"/>
        <w:spacing w:line="360" w:lineRule="auto"/>
        <w:ind w:left="0" w:firstLine="480" w:firstLineChars="200"/>
        <w:rPr>
          <w:color w:val="auto"/>
          <w:sz w:val="24"/>
          <w:szCs w:val="24"/>
          <w:lang w:eastAsia="zh-CN"/>
        </w:rPr>
      </w:pPr>
      <w:r>
        <w:rPr>
          <w:color w:val="auto"/>
          <w:sz w:val="24"/>
          <w:szCs w:val="24"/>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1E8FA12">
      <w:pPr>
        <w:pStyle w:val="2"/>
        <w:spacing w:line="360" w:lineRule="auto"/>
        <w:ind w:left="0" w:firstLine="480" w:firstLineChars="200"/>
        <w:rPr>
          <w:color w:val="auto"/>
          <w:sz w:val="24"/>
          <w:szCs w:val="24"/>
          <w:lang w:eastAsia="zh-CN"/>
        </w:rPr>
      </w:pPr>
      <w:r>
        <w:rPr>
          <w:color w:val="auto"/>
          <w:sz w:val="24"/>
          <w:szCs w:val="24"/>
          <w:lang w:eastAsia="zh-CN"/>
        </w:rPr>
        <w:t>3.3.2澄清、说明或补正不得超出投标文件的范围且不得改变投标文件的实质性内容，并构成投标文件的组成部分。</w:t>
      </w:r>
    </w:p>
    <w:p w14:paraId="36FE6721">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lang w:eastAsia="zh-CN"/>
        </w:rPr>
      </w:pPr>
      <w:r>
        <w:rPr>
          <w:color w:val="auto"/>
          <w:sz w:val="24"/>
          <w:szCs w:val="24"/>
          <w:lang w:eastAsia="zh-CN"/>
        </w:rPr>
        <w:t>3.3.3评标委员会对投标人提交的澄清、说明或补正有疑问的，可以要求投标人进一步澄清、说明或补正，直至满足评标委员会的要求。</w:t>
      </w:r>
    </w:p>
    <w:p w14:paraId="7CFDEA9F">
      <w:pPr>
        <w:pStyle w:val="6"/>
        <w:spacing w:after="240"/>
        <w:ind w:right="44"/>
        <w:rPr>
          <w:b/>
          <w:bCs/>
          <w:color w:val="auto"/>
          <w:lang w:eastAsia="zh-CN"/>
        </w:rPr>
      </w:pPr>
      <w:r>
        <w:rPr>
          <w:b/>
          <w:bCs/>
          <w:color w:val="auto"/>
          <w:lang w:eastAsia="zh-CN"/>
        </w:rPr>
        <w:t>3.4 评标结果</w:t>
      </w:r>
    </w:p>
    <w:p w14:paraId="5BA81AFB">
      <w:pPr>
        <w:pStyle w:val="2"/>
        <w:spacing w:line="360" w:lineRule="auto"/>
        <w:ind w:left="0" w:firstLine="480" w:firstLineChars="200"/>
        <w:rPr>
          <w:color w:val="auto"/>
          <w:sz w:val="24"/>
          <w:szCs w:val="24"/>
          <w:lang w:eastAsia="zh-CN"/>
        </w:rPr>
      </w:pPr>
      <w:r>
        <w:rPr>
          <w:color w:val="auto"/>
          <w:sz w:val="24"/>
          <w:szCs w:val="24"/>
          <w:lang w:eastAsia="zh-CN"/>
        </w:rPr>
        <w:t>3.4.1除第二章“投标人须知”前附表授权直接确定中标人外，评标委员会按照得分由高到低的顺序推荐中标候选人，并标明排序。</w:t>
      </w:r>
    </w:p>
    <w:p w14:paraId="68E083B1">
      <w:pPr>
        <w:pStyle w:val="2"/>
        <w:spacing w:line="360" w:lineRule="auto"/>
        <w:ind w:left="0" w:firstLine="480" w:firstLineChars="200"/>
        <w:rPr>
          <w:color w:val="auto"/>
          <w:sz w:val="24"/>
          <w:szCs w:val="24"/>
          <w:lang w:eastAsia="zh-CN"/>
        </w:rPr>
      </w:pPr>
      <w:r>
        <w:rPr>
          <w:color w:val="auto"/>
          <w:sz w:val="24"/>
          <w:szCs w:val="24"/>
          <w:lang w:eastAsia="zh-CN"/>
        </w:rPr>
        <w:t>3.4.2评标委员会完成评标后，应当向招标人提交书面评标报告和中标候选人名单。</w:t>
      </w:r>
      <w:bookmarkStart w:id="38" w:name="_Toc25137997"/>
    </w:p>
    <w:p w14:paraId="5A77BF1B">
      <w:pPr>
        <w:pStyle w:val="3"/>
        <w:jc w:val="center"/>
        <w:rPr>
          <w:rFonts w:ascii="宋体" w:hAnsi="宋体" w:eastAsia="宋体"/>
          <w:color w:val="auto"/>
          <w:lang w:eastAsia="zh-CN"/>
        </w:rPr>
      </w:pPr>
      <w:r>
        <w:rPr>
          <w:rFonts w:ascii="宋体" w:hAnsi="宋体" w:eastAsia="宋体"/>
          <w:color w:val="auto"/>
          <w:lang w:eastAsia="zh-CN"/>
        </w:rPr>
        <w:br w:type="page"/>
      </w:r>
      <w:bookmarkStart w:id="39" w:name="_Toc25152747"/>
      <w:r>
        <w:rPr>
          <w:rFonts w:ascii="宋体" w:hAnsi="宋体" w:eastAsia="宋体"/>
          <w:color w:val="auto"/>
          <w:lang w:eastAsia="zh-CN"/>
        </w:rPr>
        <w:t>第四章</w:t>
      </w:r>
      <w:r>
        <w:rPr>
          <w:rFonts w:hint="eastAsia" w:ascii="宋体" w:hAnsi="宋体" w:eastAsia="宋体"/>
          <w:color w:val="auto"/>
          <w:lang w:eastAsia="zh-CN"/>
        </w:rPr>
        <w:t xml:space="preserve">  </w:t>
      </w:r>
      <w:r>
        <w:rPr>
          <w:rFonts w:ascii="宋体" w:hAnsi="宋体" w:eastAsia="宋体"/>
          <w:color w:val="auto"/>
          <w:lang w:eastAsia="zh-CN"/>
        </w:rPr>
        <w:t>合同条款及格式</w:t>
      </w:r>
      <w:bookmarkEnd w:id="38"/>
      <w:bookmarkEnd w:id="39"/>
    </w:p>
    <w:p w14:paraId="082029A9">
      <w:pPr>
        <w:pStyle w:val="2"/>
        <w:ind w:left="0"/>
        <w:jc w:val="center"/>
        <w:rPr>
          <w:color w:val="auto"/>
          <w:spacing w:val="-1"/>
          <w:lang w:eastAsia="zh-CN"/>
        </w:rPr>
      </w:pPr>
    </w:p>
    <w:p w14:paraId="6AEFEFE2">
      <w:pPr>
        <w:pStyle w:val="2"/>
        <w:ind w:left="0"/>
        <w:jc w:val="center"/>
        <w:rPr>
          <w:color w:val="auto"/>
          <w:lang w:eastAsia="zh-CN"/>
        </w:rPr>
      </w:pPr>
      <w:r>
        <w:rPr>
          <w:rFonts w:hint="eastAsia"/>
          <w:color w:val="auto"/>
          <w:spacing w:val="-1"/>
          <w:lang w:eastAsia="zh-CN"/>
        </w:rPr>
        <w:t>（另册）</w:t>
      </w:r>
    </w:p>
    <w:p w14:paraId="7676DAD3">
      <w:pPr>
        <w:rPr>
          <w:rFonts w:ascii="宋体" w:hAnsi="宋体" w:eastAsia="宋体" w:cs="宋体"/>
          <w:color w:val="auto"/>
          <w:sz w:val="20"/>
          <w:szCs w:val="20"/>
          <w:lang w:eastAsia="zh-CN"/>
        </w:rPr>
      </w:pPr>
      <w:r>
        <w:rPr>
          <w:rFonts w:ascii="宋体" w:hAnsi="宋体" w:eastAsia="宋体" w:cs="宋体"/>
          <w:color w:val="auto"/>
          <w:sz w:val="20"/>
          <w:szCs w:val="20"/>
          <w:lang w:eastAsia="zh-CN"/>
        </w:rPr>
        <w:br w:type="page"/>
      </w:r>
    </w:p>
    <w:p w14:paraId="5012CEFC">
      <w:pPr>
        <w:rPr>
          <w:rFonts w:ascii="宋体" w:hAnsi="宋体" w:eastAsia="宋体" w:cs="宋体"/>
          <w:color w:val="auto"/>
          <w:sz w:val="20"/>
          <w:szCs w:val="20"/>
          <w:lang w:eastAsia="zh-CN"/>
        </w:rPr>
      </w:pPr>
    </w:p>
    <w:p w14:paraId="57507055">
      <w:pPr>
        <w:rPr>
          <w:rFonts w:ascii="宋体" w:hAnsi="宋体" w:eastAsia="宋体" w:cs="宋体"/>
          <w:color w:val="auto"/>
          <w:sz w:val="20"/>
          <w:szCs w:val="20"/>
          <w:lang w:eastAsia="zh-CN"/>
        </w:rPr>
      </w:pPr>
    </w:p>
    <w:p w14:paraId="66E2AF7C">
      <w:pPr>
        <w:rPr>
          <w:rFonts w:ascii="宋体" w:hAnsi="宋体" w:eastAsia="宋体" w:cs="宋体"/>
          <w:color w:val="auto"/>
          <w:sz w:val="20"/>
          <w:szCs w:val="20"/>
          <w:lang w:eastAsia="zh-CN"/>
        </w:rPr>
      </w:pPr>
    </w:p>
    <w:p w14:paraId="0061A145">
      <w:pPr>
        <w:rPr>
          <w:rFonts w:ascii="宋体" w:hAnsi="宋体" w:eastAsia="宋体" w:cs="宋体"/>
          <w:color w:val="auto"/>
          <w:sz w:val="20"/>
          <w:szCs w:val="20"/>
          <w:lang w:eastAsia="zh-CN"/>
        </w:rPr>
      </w:pPr>
    </w:p>
    <w:p w14:paraId="1AB521AE">
      <w:pPr>
        <w:pStyle w:val="3"/>
        <w:spacing w:line="738" w:lineRule="exact"/>
        <w:ind w:right="3"/>
        <w:jc w:val="center"/>
        <w:rPr>
          <w:rFonts w:ascii="宋体" w:hAnsi="宋体" w:eastAsia="宋体"/>
          <w:b w:val="0"/>
          <w:bCs w:val="0"/>
          <w:color w:val="auto"/>
          <w:lang w:eastAsia="zh-CN"/>
        </w:rPr>
      </w:pPr>
      <w:bookmarkStart w:id="40" w:name="_Toc25152748"/>
      <w:bookmarkStart w:id="41" w:name="_Toc25138016"/>
      <w:r>
        <w:rPr>
          <w:rFonts w:ascii="宋体" w:hAnsi="宋体" w:eastAsia="宋体"/>
          <w:color w:val="auto"/>
          <w:lang w:eastAsia="zh-CN"/>
        </w:rPr>
        <w:t>第二卷</w:t>
      </w:r>
      <w:bookmarkEnd w:id="40"/>
      <w:bookmarkEnd w:id="41"/>
    </w:p>
    <w:p w14:paraId="5295092A">
      <w:pPr>
        <w:spacing w:line="738" w:lineRule="exact"/>
        <w:jc w:val="center"/>
        <w:rPr>
          <w:rFonts w:ascii="宋体" w:hAnsi="宋体" w:eastAsia="宋体"/>
          <w:color w:val="auto"/>
          <w:lang w:eastAsia="zh-CN"/>
        </w:rPr>
        <w:sectPr>
          <w:pgSz w:w="11907" w:h="16839"/>
          <w:pgMar w:top="1440" w:right="1440" w:bottom="1440" w:left="1440" w:header="0" w:footer="918" w:gutter="0"/>
          <w:cols w:space="720" w:num="1"/>
        </w:sectPr>
      </w:pPr>
    </w:p>
    <w:p w14:paraId="5E2A6769">
      <w:pPr>
        <w:rPr>
          <w:rFonts w:ascii="宋体" w:hAnsi="宋体" w:eastAsia="宋体" w:cs="Microsoft JhengHei"/>
          <w:b/>
          <w:bCs/>
          <w:color w:val="auto"/>
          <w:sz w:val="20"/>
          <w:szCs w:val="20"/>
          <w:lang w:eastAsia="zh-CN"/>
        </w:rPr>
      </w:pPr>
    </w:p>
    <w:p w14:paraId="0589F161">
      <w:pPr>
        <w:spacing w:before="3"/>
        <w:rPr>
          <w:rFonts w:ascii="宋体" w:hAnsi="宋体" w:eastAsia="宋体" w:cs="Microsoft JhengHei"/>
          <w:b/>
          <w:bCs/>
          <w:color w:val="auto"/>
          <w:sz w:val="19"/>
          <w:szCs w:val="19"/>
          <w:lang w:eastAsia="zh-CN"/>
        </w:rPr>
      </w:pPr>
    </w:p>
    <w:p w14:paraId="3CD344C8">
      <w:pPr>
        <w:pStyle w:val="3"/>
        <w:numPr>
          <w:ilvl w:val="0"/>
          <w:numId w:val="1"/>
        </w:numPr>
        <w:jc w:val="center"/>
        <w:rPr>
          <w:rFonts w:ascii="宋体" w:hAnsi="宋体" w:eastAsia="宋体"/>
          <w:color w:val="auto"/>
          <w:lang w:eastAsia="zh-CN"/>
        </w:rPr>
      </w:pPr>
      <w:bookmarkStart w:id="42" w:name="_Toc25138017"/>
      <w:bookmarkStart w:id="43" w:name="_Toc25152749"/>
      <w:r>
        <w:rPr>
          <w:rFonts w:hint="eastAsia" w:ascii="宋体" w:hAnsi="宋体" w:eastAsia="宋体"/>
          <w:color w:val="auto"/>
          <w:lang w:eastAsia="zh-CN"/>
        </w:rPr>
        <w:t xml:space="preserve"> </w:t>
      </w:r>
      <w:bookmarkEnd w:id="42"/>
      <w:r>
        <w:rPr>
          <w:rFonts w:hint="eastAsia" w:ascii="宋体" w:hAnsi="宋体" w:eastAsia="宋体"/>
          <w:color w:val="auto"/>
          <w:lang w:eastAsia="zh-CN"/>
        </w:rPr>
        <w:t>发包人要求</w:t>
      </w:r>
    </w:p>
    <w:p w14:paraId="04F4E6FA">
      <w:pPr>
        <w:pStyle w:val="9"/>
        <w:rPr>
          <w:color w:val="auto"/>
          <w:lang w:eastAsia="zh-CN"/>
        </w:rPr>
      </w:pPr>
    </w:p>
    <w:p w14:paraId="2E34EEAC">
      <w:pPr>
        <w:pStyle w:val="9"/>
        <w:rPr>
          <w:color w:val="auto"/>
          <w:lang w:eastAsia="zh-CN"/>
        </w:rPr>
      </w:pPr>
    </w:p>
    <w:p w14:paraId="53A42159">
      <w:pPr>
        <w:pStyle w:val="3"/>
        <w:spacing w:line="360" w:lineRule="auto"/>
        <w:ind w:left="0"/>
        <w:jc w:val="center"/>
        <w:rPr>
          <w:rFonts w:ascii="宋体" w:hAnsi="宋体" w:eastAsia="宋体"/>
          <w:color w:val="auto"/>
          <w:sz w:val="24"/>
          <w:szCs w:val="24"/>
          <w:lang w:eastAsia="zh-CN"/>
        </w:rPr>
      </w:pPr>
      <w:r>
        <w:rPr>
          <w:rFonts w:hint="eastAsia" w:ascii="宋体" w:hAnsi="宋体" w:eastAsia="宋体"/>
          <w:color w:val="auto"/>
          <w:sz w:val="24"/>
          <w:szCs w:val="24"/>
          <w:lang w:eastAsia="zh-CN"/>
        </w:rPr>
        <w:t>设计任务书（</w:t>
      </w:r>
      <w:r>
        <w:rPr>
          <w:rFonts w:ascii="宋体" w:hAnsi="宋体" w:eastAsia="宋体"/>
          <w:color w:val="auto"/>
          <w:sz w:val="24"/>
          <w:szCs w:val="24"/>
          <w:lang w:eastAsia="zh-CN"/>
        </w:rPr>
        <w:t>另册）</w:t>
      </w:r>
    </w:p>
    <w:p w14:paraId="68719EAC">
      <w:pPr>
        <w:pStyle w:val="49"/>
        <w:rPr>
          <w:color w:val="auto"/>
          <w:lang w:eastAsia="zh-CN"/>
        </w:rPr>
      </w:pPr>
    </w:p>
    <w:p w14:paraId="7EDADC0F">
      <w:pPr>
        <w:rPr>
          <w:color w:val="auto"/>
          <w:lang w:eastAsia="zh-CN"/>
        </w:rPr>
      </w:pPr>
    </w:p>
    <w:p w14:paraId="7A4C33C6">
      <w:pPr>
        <w:pStyle w:val="9"/>
        <w:rPr>
          <w:color w:val="auto"/>
          <w:lang w:eastAsia="zh-CN"/>
        </w:rPr>
      </w:pPr>
      <w:r>
        <w:rPr>
          <w:rFonts w:hint="eastAsia"/>
          <w:color w:val="auto"/>
          <w:lang w:eastAsia="zh-CN"/>
        </w:rPr>
        <w:t>　　　　　　　　　　　　　　</w:t>
      </w:r>
    </w:p>
    <w:p w14:paraId="3D03C2C4">
      <w:pPr>
        <w:pStyle w:val="9"/>
        <w:rPr>
          <w:color w:val="auto"/>
          <w:lang w:eastAsia="zh-CN"/>
        </w:rPr>
      </w:pPr>
      <w:r>
        <w:rPr>
          <w:rFonts w:hint="eastAsia"/>
          <w:color w:val="auto"/>
          <w:lang w:eastAsia="zh-CN"/>
        </w:rPr>
        <w:t>　　　　　　　　　　　　　　</w:t>
      </w:r>
      <w:bookmarkEnd w:id="43"/>
    </w:p>
    <w:p w14:paraId="05008C55">
      <w:pPr>
        <w:pStyle w:val="9"/>
        <w:rPr>
          <w:color w:val="auto"/>
          <w:lang w:eastAsia="zh-CN"/>
        </w:rPr>
      </w:pPr>
    </w:p>
    <w:p w14:paraId="567CE21F">
      <w:pPr>
        <w:pStyle w:val="9"/>
        <w:rPr>
          <w:color w:val="auto"/>
          <w:lang w:eastAsia="zh-CN"/>
        </w:rPr>
      </w:pPr>
    </w:p>
    <w:p w14:paraId="05B6A9E4">
      <w:pPr>
        <w:pStyle w:val="9"/>
        <w:rPr>
          <w:color w:val="auto"/>
          <w:lang w:eastAsia="zh-CN"/>
        </w:rPr>
      </w:pPr>
    </w:p>
    <w:p w14:paraId="35B0F747">
      <w:pPr>
        <w:pStyle w:val="9"/>
        <w:rPr>
          <w:color w:val="auto"/>
          <w:lang w:eastAsia="zh-CN"/>
        </w:rPr>
      </w:pPr>
    </w:p>
    <w:p w14:paraId="5E1AFE75">
      <w:pPr>
        <w:pStyle w:val="9"/>
        <w:rPr>
          <w:color w:val="auto"/>
          <w:lang w:eastAsia="zh-CN"/>
        </w:rPr>
      </w:pPr>
    </w:p>
    <w:p w14:paraId="451EA914">
      <w:pPr>
        <w:pStyle w:val="7"/>
        <w:rPr>
          <w:rFonts w:ascii="宋体" w:hAnsi="宋体"/>
          <w:color w:val="auto"/>
          <w:sz w:val="24"/>
          <w:szCs w:val="24"/>
        </w:rPr>
      </w:pPr>
    </w:p>
    <w:p w14:paraId="1C092F57">
      <w:pPr>
        <w:pStyle w:val="7"/>
        <w:rPr>
          <w:rFonts w:ascii="宋体" w:hAnsi="宋体"/>
          <w:color w:val="auto"/>
          <w:sz w:val="24"/>
          <w:szCs w:val="24"/>
        </w:rPr>
      </w:pPr>
    </w:p>
    <w:p w14:paraId="5064802B">
      <w:pPr>
        <w:pStyle w:val="7"/>
        <w:rPr>
          <w:rFonts w:ascii="宋体" w:hAnsi="宋体"/>
          <w:color w:val="auto"/>
          <w:sz w:val="24"/>
          <w:szCs w:val="24"/>
        </w:rPr>
      </w:pPr>
    </w:p>
    <w:p w14:paraId="1966F965">
      <w:pPr>
        <w:pStyle w:val="7"/>
        <w:rPr>
          <w:rFonts w:ascii="宋体" w:hAnsi="宋体"/>
          <w:color w:val="auto"/>
          <w:sz w:val="24"/>
          <w:szCs w:val="24"/>
        </w:rPr>
      </w:pPr>
    </w:p>
    <w:p w14:paraId="37DAB0C3">
      <w:pPr>
        <w:pStyle w:val="7"/>
        <w:rPr>
          <w:rFonts w:ascii="宋体" w:hAnsi="宋体"/>
          <w:color w:val="auto"/>
          <w:sz w:val="24"/>
          <w:szCs w:val="24"/>
        </w:rPr>
      </w:pPr>
    </w:p>
    <w:p w14:paraId="0BE6934A">
      <w:pPr>
        <w:pStyle w:val="7"/>
        <w:rPr>
          <w:rFonts w:ascii="宋体" w:hAnsi="宋体"/>
          <w:color w:val="auto"/>
          <w:sz w:val="24"/>
          <w:szCs w:val="24"/>
        </w:rPr>
      </w:pPr>
    </w:p>
    <w:p w14:paraId="5CA6E063">
      <w:pPr>
        <w:pStyle w:val="7"/>
        <w:rPr>
          <w:rFonts w:ascii="宋体" w:hAnsi="宋体"/>
          <w:color w:val="auto"/>
          <w:sz w:val="24"/>
          <w:szCs w:val="24"/>
        </w:rPr>
      </w:pPr>
    </w:p>
    <w:p w14:paraId="1C14360C">
      <w:pPr>
        <w:pStyle w:val="7"/>
        <w:rPr>
          <w:rFonts w:ascii="宋体" w:hAnsi="宋体"/>
          <w:color w:val="auto"/>
          <w:sz w:val="24"/>
          <w:szCs w:val="24"/>
        </w:rPr>
      </w:pPr>
    </w:p>
    <w:p w14:paraId="53179310">
      <w:pPr>
        <w:pStyle w:val="7"/>
        <w:rPr>
          <w:rFonts w:ascii="宋体" w:hAnsi="宋体"/>
          <w:color w:val="auto"/>
          <w:sz w:val="24"/>
          <w:szCs w:val="24"/>
        </w:rPr>
      </w:pPr>
    </w:p>
    <w:p w14:paraId="2E8A9710">
      <w:pPr>
        <w:pStyle w:val="7"/>
        <w:rPr>
          <w:rFonts w:ascii="宋体" w:hAnsi="宋体"/>
          <w:color w:val="auto"/>
          <w:sz w:val="24"/>
          <w:szCs w:val="24"/>
        </w:rPr>
      </w:pPr>
    </w:p>
    <w:p w14:paraId="683325E2">
      <w:pPr>
        <w:pStyle w:val="7"/>
        <w:rPr>
          <w:rFonts w:ascii="宋体" w:hAnsi="宋体"/>
          <w:color w:val="auto"/>
          <w:sz w:val="24"/>
          <w:szCs w:val="24"/>
        </w:rPr>
      </w:pPr>
    </w:p>
    <w:p w14:paraId="6F93EEE5">
      <w:pPr>
        <w:pStyle w:val="7"/>
        <w:rPr>
          <w:rFonts w:ascii="宋体" w:hAnsi="宋体"/>
          <w:color w:val="auto"/>
          <w:sz w:val="24"/>
          <w:szCs w:val="24"/>
        </w:rPr>
      </w:pPr>
    </w:p>
    <w:p w14:paraId="58BD8D5D">
      <w:pPr>
        <w:pStyle w:val="7"/>
        <w:rPr>
          <w:rFonts w:ascii="宋体" w:hAnsi="宋体"/>
          <w:color w:val="auto"/>
          <w:sz w:val="24"/>
          <w:szCs w:val="24"/>
        </w:rPr>
      </w:pPr>
    </w:p>
    <w:p w14:paraId="2687C5A2">
      <w:pPr>
        <w:pStyle w:val="7"/>
        <w:rPr>
          <w:rFonts w:ascii="宋体" w:hAnsi="宋体"/>
          <w:color w:val="auto"/>
          <w:sz w:val="24"/>
          <w:szCs w:val="24"/>
        </w:rPr>
      </w:pPr>
    </w:p>
    <w:p w14:paraId="0F847484">
      <w:pPr>
        <w:pStyle w:val="7"/>
        <w:rPr>
          <w:rFonts w:ascii="宋体" w:hAnsi="宋体"/>
          <w:color w:val="auto"/>
          <w:sz w:val="24"/>
          <w:szCs w:val="24"/>
        </w:rPr>
      </w:pPr>
    </w:p>
    <w:p w14:paraId="32367DAB">
      <w:pPr>
        <w:pStyle w:val="7"/>
        <w:rPr>
          <w:rFonts w:ascii="宋体" w:hAnsi="宋体"/>
          <w:color w:val="auto"/>
          <w:sz w:val="24"/>
          <w:szCs w:val="24"/>
        </w:rPr>
      </w:pPr>
    </w:p>
    <w:p w14:paraId="1FC74213">
      <w:pPr>
        <w:pStyle w:val="7"/>
        <w:rPr>
          <w:rFonts w:ascii="宋体" w:hAnsi="宋体"/>
          <w:color w:val="auto"/>
          <w:sz w:val="24"/>
          <w:szCs w:val="24"/>
        </w:rPr>
      </w:pPr>
    </w:p>
    <w:p w14:paraId="1DCEBEE8">
      <w:pPr>
        <w:pStyle w:val="7"/>
        <w:rPr>
          <w:rFonts w:ascii="宋体" w:hAnsi="宋体"/>
          <w:color w:val="auto"/>
          <w:sz w:val="24"/>
          <w:szCs w:val="24"/>
        </w:rPr>
      </w:pPr>
    </w:p>
    <w:p w14:paraId="10E8BA09">
      <w:pPr>
        <w:pStyle w:val="7"/>
        <w:rPr>
          <w:rFonts w:ascii="宋体" w:hAnsi="宋体"/>
          <w:color w:val="auto"/>
          <w:sz w:val="24"/>
          <w:szCs w:val="24"/>
        </w:rPr>
      </w:pPr>
    </w:p>
    <w:p w14:paraId="1F7E9495">
      <w:pPr>
        <w:pStyle w:val="7"/>
        <w:rPr>
          <w:rFonts w:ascii="宋体" w:hAnsi="宋体"/>
          <w:color w:val="auto"/>
          <w:sz w:val="24"/>
          <w:szCs w:val="24"/>
        </w:rPr>
      </w:pPr>
    </w:p>
    <w:p w14:paraId="41979E6D">
      <w:pPr>
        <w:pStyle w:val="7"/>
        <w:rPr>
          <w:rFonts w:ascii="宋体" w:hAnsi="宋体"/>
          <w:color w:val="auto"/>
          <w:sz w:val="24"/>
          <w:szCs w:val="24"/>
        </w:rPr>
      </w:pPr>
    </w:p>
    <w:p w14:paraId="166B66FA">
      <w:pPr>
        <w:pStyle w:val="7"/>
        <w:rPr>
          <w:rFonts w:ascii="宋体" w:hAnsi="宋体"/>
          <w:color w:val="auto"/>
          <w:sz w:val="24"/>
          <w:szCs w:val="24"/>
        </w:rPr>
      </w:pPr>
    </w:p>
    <w:p w14:paraId="4622F696">
      <w:pPr>
        <w:pStyle w:val="7"/>
        <w:rPr>
          <w:rFonts w:ascii="宋体" w:hAnsi="宋体"/>
          <w:color w:val="auto"/>
          <w:sz w:val="24"/>
          <w:szCs w:val="24"/>
        </w:rPr>
      </w:pPr>
    </w:p>
    <w:p w14:paraId="18FAC855">
      <w:pPr>
        <w:pStyle w:val="7"/>
        <w:rPr>
          <w:rFonts w:ascii="宋体" w:hAnsi="宋体"/>
          <w:color w:val="auto"/>
          <w:sz w:val="24"/>
          <w:szCs w:val="24"/>
        </w:rPr>
      </w:pPr>
    </w:p>
    <w:p w14:paraId="47A17EFB">
      <w:pPr>
        <w:pStyle w:val="7"/>
        <w:rPr>
          <w:rFonts w:ascii="宋体" w:hAnsi="宋体"/>
          <w:color w:val="auto"/>
          <w:sz w:val="24"/>
          <w:szCs w:val="24"/>
        </w:rPr>
      </w:pPr>
    </w:p>
    <w:p w14:paraId="50B78C3F">
      <w:pPr>
        <w:pStyle w:val="7"/>
        <w:rPr>
          <w:rFonts w:ascii="宋体" w:hAnsi="宋体"/>
          <w:color w:val="auto"/>
          <w:sz w:val="24"/>
          <w:szCs w:val="24"/>
        </w:rPr>
      </w:pPr>
    </w:p>
    <w:p w14:paraId="0C4F2D51">
      <w:pPr>
        <w:jc w:val="both"/>
        <w:rPr>
          <w:rFonts w:ascii="宋体" w:hAnsi="宋体" w:eastAsia="宋体"/>
          <w:color w:val="auto"/>
          <w:sz w:val="24"/>
          <w:szCs w:val="24"/>
          <w:lang w:eastAsia="zh-CN"/>
        </w:rPr>
      </w:pPr>
    </w:p>
    <w:p w14:paraId="751DF8FB">
      <w:pPr>
        <w:pStyle w:val="3"/>
        <w:spacing w:line="589" w:lineRule="exact"/>
        <w:ind w:left="0" w:right="3"/>
        <w:jc w:val="both"/>
        <w:rPr>
          <w:rFonts w:ascii="宋体" w:hAnsi="宋体" w:eastAsia="宋体"/>
          <w:color w:val="auto"/>
          <w:lang w:eastAsia="zh-CN"/>
        </w:rPr>
        <w:sectPr>
          <w:footerReference r:id="rId7" w:type="first"/>
          <w:footerReference r:id="rId6" w:type="default"/>
          <w:pgSz w:w="11907" w:h="16839"/>
          <w:pgMar w:top="1440" w:right="1440" w:bottom="1440" w:left="1440" w:header="0" w:footer="918" w:gutter="0"/>
          <w:cols w:space="720" w:num="1"/>
          <w:docGrid w:linePitch="299" w:charSpace="0"/>
        </w:sectPr>
      </w:pPr>
      <w:bookmarkStart w:id="44" w:name="_Toc25152751"/>
      <w:bookmarkStart w:id="45" w:name="_Toc25138019"/>
    </w:p>
    <w:p w14:paraId="0E05C720">
      <w:pPr>
        <w:pStyle w:val="9"/>
        <w:rPr>
          <w:color w:val="auto"/>
          <w:lang w:eastAsia="zh-CN"/>
        </w:rPr>
      </w:pPr>
    </w:p>
    <w:p w14:paraId="0564FD1F">
      <w:pPr>
        <w:pStyle w:val="9"/>
        <w:rPr>
          <w:color w:val="auto"/>
          <w:lang w:eastAsia="zh-CN"/>
        </w:rPr>
      </w:pPr>
    </w:p>
    <w:p w14:paraId="130F0F81">
      <w:pPr>
        <w:pStyle w:val="9"/>
        <w:rPr>
          <w:color w:val="auto"/>
          <w:lang w:eastAsia="zh-CN"/>
        </w:rPr>
      </w:pPr>
    </w:p>
    <w:p w14:paraId="53404B35">
      <w:pPr>
        <w:pStyle w:val="9"/>
        <w:rPr>
          <w:color w:val="auto"/>
          <w:lang w:eastAsia="zh-CN"/>
        </w:rPr>
      </w:pPr>
    </w:p>
    <w:p w14:paraId="501063A4">
      <w:pPr>
        <w:pStyle w:val="9"/>
        <w:rPr>
          <w:color w:val="auto"/>
          <w:lang w:eastAsia="zh-CN"/>
        </w:rPr>
      </w:pPr>
    </w:p>
    <w:p w14:paraId="525A3226">
      <w:pPr>
        <w:pStyle w:val="9"/>
        <w:rPr>
          <w:color w:val="auto"/>
          <w:lang w:eastAsia="zh-CN"/>
        </w:rPr>
      </w:pPr>
    </w:p>
    <w:p w14:paraId="45F6E975">
      <w:pPr>
        <w:pStyle w:val="9"/>
        <w:rPr>
          <w:color w:val="auto"/>
          <w:lang w:eastAsia="zh-CN"/>
        </w:rPr>
      </w:pPr>
    </w:p>
    <w:p w14:paraId="3870D746">
      <w:pPr>
        <w:pStyle w:val="3"/>
        <w:spacing w:line="589" w:lineRule="exact"/>
        <w:ind w:left="0" w:right="3"/>
        <w:jc w:val="center"/>
        <w:rPr>
          <w:rFonts w:ascii="宋体" w:hAnsi="宋体" w:eastAsia="宋体"/>
          <w:b w:val="0"/>
          <w:bCs w:val="0"/>
          <w:color w:val="auto"/>
          <w:lang w:eastAsia="zh-CN"/>
        </w:rPr>
      </w:pPr>
      <w:r>
        <w:rPr>
          <w:rFonts w:ascii="宋体" w:hAnsi="宋体" w:eastAsia="宋体"/>
          <w:color w:val="auto"/>
          <w:lang w:eastAsia="zh-CN"/>
        </w:rPr>
        <w:t>第三卷</w:t>
      </w:r>
      <w:bookmarkEnd w:id="44"/>
      <w:bookmarkEnd w:id="45"/>
    </w:p>
    <w:p w14:paraId="05D6AC5E">
      <w:pPr>
        <w:spacing w:line="589" w:lineRule="exact"/>
        <w:jc w:val="center"/>
        <w:rPr>
          <w:rFonts w:ascii="宋体" w:hAnsi="宋体" w:eastAsia="宋体"/>
          <w:color w:val="auto"/>
          <w:lang w:eastAsia="zh-CN"/>
        </w:rPr>
        <w:sectPr>
          <w:pgSz w:w="11907" w:h="16839"/>
          <w:pgMar w:top="1440" w:right="1440" w:bottom="1440" w:left="1440" w:header="0" w:footer="918" w:gutter="0"/>
          <w:cols w:space="720" w:num="1"/>
          <w:docGrid w:linePitch="299" w:charSpace="0"/>
        </w:sectPr>
      </w:pPr>
    </w:p>
    <w:p w14:paraId="252E610B">
      <w:pPr>
        <w:pStyle w:val="9"/>
        <w:rPr>
          <w:color w:val="auto"/>
          <w:lang w:eastAsia="zh-CN"/>
        </w:rPr>
      </w:pPr>
      <w:bookmarkStart w:id="46" w:name="_Toc25138020"/>
      <w:bookmarkStart w:id="47" w:name="_Toc25152752"/>
    </w:p>
    <w:p w14:paraId="059B1987">
      <w:pPr>
        <w:pStyle w:val="9"/>
        <w:rPr>
          <w:color w:val="auto"/>
          <w:lang w:eastAsia="zh-CN"/>
        </w:rPr>
      </w:pPr>
    </w:p>
    <w:p w14:paraId="3FEDED02">
      <w:pPr>
        <w:pStyle w:val="9"/>
        <w:rPr>
          <w:color w:val="auto"/>
          <w:lang w:eastAsia="zh-CN"/>
        </w:rPr>
      </w:pPr>
    </w:p>
    <w:p w14:paraId="717923AE">
      <w:pPr>
        <w:pStyle w:val="9"/>
        <w:rPr>
          <w:color w:val="auto"/>
          <w:lang w:eastAsia="zh-CN"/>
        </w:rPr>
      </w:pPr>
    </w:p>
    <w:p w14:paraId="263E7918">
      <w:pPr>
        <w:pStyle w:val="9"/>
        <w:rPr>
          <w:color w:val="auto"/>
          <w:lang w:eastAsia="zh-CN"/>
        </w:rPr>
      </w:pPr>
    </w:p>
    <w:p w14:paraId="18770C35">
      <w:pPr>
        <w:pStyle w:val="9"/>
        <w:rPr>
          <w:color w:val="auto"/>
          <w:lang w:eastAsia="zh-CN"/>
        </w:rPr>
      </w:pPr>
    </w:p>
    <w:p w14:paraId="124761AF">
      <w:pPr>
        <w:pStyle w:val="9"/>
        <w:rPr>
          <w:color w:val="auto"/>
          <w:lang w:eastAsia="zh-CN"/>
        </w:rPr>
      </w:pPr>
    </w:p>
    <w:p w14:paraId="482E3D4C">
      <w:pPr>
        <w:pStyle w:val="9"/>
        <w:rPr>
          <w:color w:val="auto"/>
          <w:lang w:eastAsia="zh-CN"/>
        </w:rPr>
      </w:pPr>
    </w:p>
    <w:p w14:paraId="68C43979">
      <w:pPr>
        <w:pStyle w:val="9"/>
        <w:rPr>
          <w:color w:val="auto"/>
          <w:lang w:eastAsia="zh-CN"/>
        </w:rPr>
      </w:pPr>
    </w:p>
    <w:p w14:paraId="3A2AF889">
      <w:pPr>
        <w:pStyle w:val="9"/>
        <w:rPr>
          <w:color w:val="auto"/>
          <w:lang w:eastAsia="zh-CN"/>
        </w:rPr>
      </w:pPr>
    </w:p>
    <w:p w14:paraId="2A46EDEF">
      <w:pPr>
        <w:pStyle w:val="9"/>
        <w:rPr>
          <w:color w:val="auto"/>
          <w:lang w:eastAsia="zh-CN"/>
        </w:rPr>
      </w:pPr>
    </w:p>
    <w:p w14:paraId="6A8C7AA8">
      <w:pPr>
        <w:pStyle w:val="9"/>
        <w:rPr>
          <w:color w:val="auto"/>
          <w:lang w:eastAsia="zh-CN"/>
        </w:rPr>
      </w:pPr>
    </w:p>
    <w:p w14:paraId="211F81DF">
      <w:pPr>
        <w:pStyle w:val="9"/>
        <w:rPr>
          <w:color w:val="auto"/>
          <w:lang w:eastAsia="zh-CN"/>
        </w:rPr>
      </w:pPr>
    </w:p>
    <w:p w14:paraId="247D622A">
      <w:pPr>
        <w:pStyle w:val="3"/>
        <w:jc w:val="center"/>
        <w:rPr>
          <w:rFonts w:ascii="宋体" w:hAnsi="宋体" w:eastAsia="宋体"/>
          <w:color w:val="auto"/>
          <w:lang w:eastAsia="zh-CN"/>
        </w:rPr>
      </w:pPr>
      <w:r>
        <w:rPr>
          <w:rFonts w:ascii="宋体" w:hAnsi="宋体" w:eastAsia="宋体"/>
          <w:color w:val="auto"/>
          <w:lang w:eastAsia="zh-CN"/>
        </w:rPr>
        <w:t>第六章</w:t>
      </w:r>
      <w:r>
        <w:rPr>
          <w:rFonts w:hint="eastAsia" w:ascii="宋体" w:hAnsi="宋体" w:eastAsia="宋体"/>
          <w:color w:val="auto"/>
          <w:lang w:eastAsia="zh-CN"/>
        </w:rPr>
        <w:t xml:space="preserve">  </w:t>
      </w:r>
      <w:r>
        <w:rPr>
          <w:rFonts w:ascii="宋体" w:hAnsi="宋体" w:eastAsia="宋体"/>
          <w:color w:val="auto"/>
          <w:lang w:eastAsia="zh-CN"/>
        </w:rPr>
        <w:t>投标文件格式</w:t>
      </w:r>
      <w:bookmarkEnd w:id="46"/>
      <w:bookmarkEnd w:id="47"/>
    </w:p>
    <w:p w14:paraId="74BC8330">
      <w:pPr>
        <w:rPr>
          <w:rFonts w:eastAsia="宋体"/>
          <w:color w:val="auto"/>
          <w:lang w:eastAsia="zh-CN"/>
        </w:rPr>
      </w:pPr>
    </w:p>
    <w:p w14:paraId="65580744">
      <w:pPr>
        <w:pStyle w:val="3"/>
        <w:jc w:val="center"/>
        <w:rPr>
          <w:rFonts w:ascii="宋体" w:hAnsi="宋体" w:eastAsia="宋体"/>
          <w:color w:val="auto"/>
          <w:lang w:eastAsia="zh-CN"/>
        </w:rPr>
        <w:sectPr>
          <w:pgSz w:w="11907" w:h="16839"/>
          <w:pgMar w:top="1440" w:right="1440" w:bottom="1440" w:left="1440" w:header="0" w:footer="918" w:gutter="0"/>
          <w:cols w:space="720" w:num="1"/>
        </w:sectPr>
      </w:pPr>
    </w:p>
    <w:p w14:paraId="304B3F57">
      <w:pPr>
        <w:pStyle w:val="5"/>
        <w:jc w:val="center"/>
        <w:rPr>
          <w:rFonts w:ascii="宋体" w:hAnsi="宋体" w:eastAsia="宋体" w:cs="宋体"/>
          <w:color w:val="auto"/>
          <w:lang w:eastAsia="zh-CN"/>
        </w:rPr>
      </w:pPr>
      <w:bookmarkStart w:id="48" w:name="_Toc25072139"/>
      <w:bookmarkStart w:id="49" w:name="_Toc25152753"/>
      <w:bookmarkStart w:id="50" w:name="_Toc25151932"/>
      <w:bookmarkStart w:id="51" w:name="_Toc25138022"/>
      <w:r>
        <w:rPr>
          <w:rFonts w:hint="eastAsia" w:ascii="宋体" w:hAnsi="宋体" w:eastAsia="宋体"/>
          <w:color w:val="auto"/>
          <w:lang w:eastAsia="zh-CN"/>
        </w:rPr>
        <w:t>设计投标文件编制要求</w:t>
      </w:r>
    </w:p>
    <w:p w14:paraId="00C4FC52">
      <w:pPr>
        <w:pStyle w:val="5"/>
        <w:spacing w:line="36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1、投标文件</w:t>
      </w:r>
    </w:p>
    <w:p w14:paraId="2E13ACA1">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1.1  投标文件由商务文件（含资格审查部分、资信业绩部分）、技术文件（设计方案部分）两个部分组成。各部分投标文件应分别编制。商务文件（含资格审查文件和资信文件）和技术文件（设计方案文件）两部分组成的总页数不限，设计方案电子文档（上传系统文件）大小不超5</w:t>
      </w:r>
      <w:r>
        <w:rPr>
          <w:rFonts w:ascii="宋体" w:hAnsi="宋体" w:eastAsia="宋体"/>
          <w:color w:val="auto"/>
          <w:sz w:val="24"/>
          <w:szCs w:val="24"/>
          <w:lang w:eastAsia="zh-CN"/>
        </w:rPr>
        <w:t>00M</w:t>
      </w:r>
      <w:r>
        <w:rPr>
          <w:rFonts w:hint="eastAsia" w:ascii="宋体" w:hAnsi="宋体" w:eastAsia="宋体"/>
          <w:color w:val="auto"/>
          <w:sz w:val="24"/>
          <w:szCs w:val="24"/>
          <w:lang w:eastAsia="zh-CN"/>
        </w:rPr>
        <w:t>。</w:t>
      </w:r>
    </w:p>
    <w:p w14:paraId="233A7FD1">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5E8E9A43">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1.3  每个投标人报送一个投标方案，投标文件应达到招标文件规定的深度，满足评审需要。不响应招标文件要求的投标文件可能被拒绝，责任由投标人自负。</w:t>
      </w:r>
    </w:p>
    <w:p w14:paraId="19433665">
      <w:pPr>
        <w:pStyle w:val="5"/>
        <w:spacing w:line="36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olor w:val="auto"/>
          <w:sz w:val="24"/>
          <w:szCs w:val="24"/>
          <w:lang w:eastAsia="zh-CN"/>
        </w:rPr>
        <w:t>商务文件（含资格审查部分、资信业绩部分）编制要求</w:t>
      </w:r>
    </w:p>
    <w:p w14:paraId="70DF0DCA">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2.1  商务文件（含资格审查部分、资信业绩部分）由下列资料组成：</w:t>
      </w:r>
    </w:p>
    <w:p w14:paraId="0BE7A389">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1</w:t>
      </w:r>
      <w:r>
        <w:rPr>
          <w:rFonts w:hint="eastAsia" w:ascii="宋体" w:hAnsi="宋体" w:eastAsia="宋体"/>
          <w:color w:val="auto"/>
          <w:sz w:val="24"/>
          <w:szCs w:val="24"/>
          <w:lang w:eastAsia="zh-CN"/>
        </w:rPr>
        <w:t>）封面：写明项目名称、商务文件（含资格审查部分、资信业绩部分）、投标人单位及年月日；加盖投标人公章。</w:t>
      </w:r>
    </w:p>
    <w:p w14:paraId="069C2C5E">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2</w:t>
      </w:r>
      <w:r>
        <w:rPr>
          <w:rFonts w:hint="eastAsia" w:ascii="宋体" w:hAnsi="宋体" w:eastAsia="宋体"/>
          <w:color w:val="auto"/>
          <w:sz w:val="24"/>
          <w:szCs w:val="24"/>
          <w:lang w:eastAsia="zh-CN"/>
        </w:rPr>
        <w:t>）目录。</w:t>
      </w:r>
    </w:p>
    <w:p w14:paraId="7D0F0914">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3</w:t>
      </w:r>
      <w:r>
        <w:rPr>
          <w:rFonts w:hint="eastAsia" w:ascii="宋体" w:hAnsi="宋体" w:eastAsia="宋体"/>
          <w:color w:val="auto"/>
          <w:sz w:val="24"/>
          <w:szCs w:val="24"/>
          <w:lang w:eastAsia="zh-CN"/>
        </w:rPr>
        <w:t>）填妥并签字盖章的《投标书》（格式见格式一）。</w:t>
      </w:r>
    </w:p>
    <w:p w14:paraId="7E14024E">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4</w:t>
      </w:r>
      <w:r>
        <w:rPr>
          <w:rFonts w:hint="eastAsia" w:ascii="宋体" w:hAnsi="宋体" w:eastAsia="宋体"/>
          <w:color w:val="auto"/>
          <w:sz w:val="24"/>
          <w:szCs w:val="24"/>
          <w:lang w:eastAsia="zh-CN"/>
        </w:rPr>
        <w:t>）填妥并签字盖章的《法人代表身份证明》和《授权委托书》</w:t>
      </w:r>
      <w:r>
        <w:rPr>
          <w:rFonts w:hint="eastAsia" w:ascii="宋体" w:hAnsi="宋体"/>
          <w:color w:val="auto"/>
          <w:sz w:val="24"/>
          <w:szCs w:val="24"/>
          <w:u w:val="single"/>
          <w:lang w:eastAsia="zh-CN"/>
        </w:rPr>
        <w:t>（非法定代表人投标的出具）</w:t>
      </w:r>
      <w:r>
        <w:rPr>
          <w:rFonts w:hint="eastAsia" w:ascii="宋体" w:hAnsi="宋体" w:eastAsia="宋体"/>
          <w:color w:val="auto"/>
          <w:sz w:val="24"/>
          <w:szCs w:val="24"/>
          <w:lang w:eastAsia="zh-CN"/>
        </w:rPr>
        <w:t>（格式见格式二）。</w:t>
      </w:r>
    </w:p>
    <w:p w14:paraId="244F23E9">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5</w:t>
      </w:r>
      <w:r>
        <w:rPr>
          <w:rFonts w:hint="eastAsia" w:ascii="宋体" w:hAnsi="宋体" w:eastAsia="宋体"/>
          <w:color w:val="auto"/>
          <w:sz w:val="24"/>
          <w:szCs w:val="24"/>
          <w:lang w:eastAsia="zh-CN"/>
        </w:rPr>
        <w:t>）填妥并签字盖章的《投标人声明》（格式见格式四）。</w:t>
      </w:r>
    </w:p>
    <w:p w14:paraId="1ACE59A3">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6</w:t>
      </w:r>
      <w:r>
        <w:rPr>
          <w:rFonts w:hint="eastAsia" w:ascii="宋体" w:hAnsi="宋体" w:eastAsia="宋体"/>
          <w:color w:val="auto"/>
          <w:sz w:val="24"/>
          <w:szCs w:val="24"/>
          <w:lang w:eastAsia="zh-CN"/>
        </w:rPr>
        <w:t>）填妥并签字盖章的《合作设计协议》（如有，外国或香港、澳门、台湾的设计企业提供）（格式见格式三）。</w:t>
      </w:r>
    </w:p>
    <w:p w14:paraId="162826A0">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7</w:t>
      </w:r>
      <w:r>
        <w:rPr>
          <w:rFonts w:hint="eastAsia" w:ascii="宋体" w:hAnsi="宋体" w:eastAsia="宋体"/>
          <w:color w:val="auto"/>
          <w:sz w:val="24"/>
          <w:szCs w:val="24"/>
          <w:lang w:eastAsia="zh-CN"/>
        </w:rPr>
        <w:t>）投标人资质证书扫描件。</w:t>
      </w:r>
    </w:p>
    <w:p w14:paraId="072FDAD3">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8</w:t>
      </w:r>
      <w:r>
        <w:rPr>
          <w:rFonts w:hint="eastAsia" w:ascii="宋体" w:hAnsi="宋体" w:eastAsia="宋体"/>
          <w:color w:val="auto"/>
          <w:sz w:val="24"/>
          <w:szCs w:val="24"/>
          <w:lang w:eastAsia="zh-CN"/>
        </w:rPr>
        <w:t>）企业营业执照扫描件。</w:t>
      </w:r>
    </w:p>
    <w:p w14:paraId="64F6DF58">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9</w:t>
      </w:r>
      <w:r>
        <w:rPr>
          <w:rFonts w:hint="eastAsia" w:ascii="宋体" w:hAnsi="宋体" w:eastAsia="宋体"/>
          <w:color w:val="auto"/>
          <w:sz w:val="24"/>
          <w:szCs w:val="24"/>
          <w:lang w:eastAsia="zh-CN"/>
        </w:rPr>
        <w:t>）投标人及项目负责人已在广州市住建行业信用管理平台建立信用档案</w:t>
      </w:r>
      <w:r>
        <w:rPr>
          <w:rFonts w:hint="eastAsia" w:ascii="宋体" w:hAnsi="宋体" w:eastAsia="宋体"/>
          <w:color w:val="auto"/>
          <w:sz w:val="24"/>
          <w:szCs w:val="24"/>
          <w:lang w:val="en-US" w:eastAsia="zh-CN"/>
        </w:rPr>
        <w:t>截图</w:t>
      </w:r>
      <w:r>
        <w:rPr>
          <w:rFonts w:hint="eastAsia" w:ascii="宋体" w:hAnsi="宋体" w:eastAsia="宋体"/>
          <w:color w:val="auto"/>
          <w:sz w:val="24"/>
          <w:szCs w:val="24"/>
          <w:lang w:eastAsia="zh-CN"/>
        </w:rPr>
        <w:t>。</w:t>
      </w:r>
    </w:p>
    <w:p w14:paraId="58D282B7">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10</w:t>
      </w:r>
      <w:r>
        <w:rPr>
          <w:rFonts w:hint="eastAsia" w:ascii="宋体" w:hAnsi="宋体" w:eastAsia="宋体"/>
          <w:color w:val="auto"/>
          <w:sz w:val="24"/>
          <w:szCs w:val="24"/>
          <w:lang w:eastAsia="zh-CN"/>
        </w:rPr>
        <w:t>）拟派项目负责人相关证书扫描件。</w:t>
      </w:r>
    </w:p>
    <w:p w14:paraId="1EF1374C">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w:t>
      </w:r>
      <w:r>
        <w:rPr>
          <w:rFonts w:ascii="宋体" w:hAnsi="宋体" w:eastAsia="宋体"/>
          <w:color w:val="auto"/>
          <w:sz w:val="24"/>
          <w:szCs w:val="24"/>
          <w:lang w:eastAsia="zh-CN"/>
        </w:rPr>
        <w:t>11</w:t>
      </w:r>
      <w:r>
        <w:rPr>
          <w:rFonts w:hint="eastAsia" w:ascii="宋体" w:hAnsi="宋体" w:eastAsia="宋体"/>
          <w:color w:val="auto"/>
          <w:sz w:val="24"/>
          <w:szCs w:val="24"/>
          <w:lang w:eastAsia="zh-CN"/>
        </w:rPr>
        <w:t>）投标人认为有必要提供的其他资格要求证明资料扫描件。</w:t>
      </w:r>
    </w:p>
    <w:p w14:paraId="799D9F7B">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（12）填妥并签字盖章的《设计费报价汇总表》（格式见格式五）。</w:t>
      </w:r>
    </w:p>
    <w:p w14:paraId="4EE94B6A">
      <w:pPr>
        <w:spacing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（1</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）资信业绩证明材料。</w:t>
      </w:r>
    </w:p>
    <w:p w14:paraId="592DB109">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（1</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lang w:eastAsia="zh-CN"/>
        </w:rPr>
        <w:t>）投标人认为有必要提供的其他资料。</w:t>
      </w:r>
    </w:p>
    <w:p w14:paraId="105C339D">
      <w:pPr>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投标人在评标过程中作出的符合法律法规和招标文件规定的澄清确认，构成投标文件的组成部分。</w:t>
      </w:r>
    </w:p>
    <w:p w14:paraId="34CF21B6">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2.2  接收投标文件备用光盘时，如果包封上没有按规定密封并加写标志，招标人将不承担投标文件错放或提前开封的责任，由此造成的提前开封的投标文件，招标人予以拒绝，并退还给投标人。</w:t>
      </w:r>
    </w:p>
    <w:p w14:paraId="7739C1FC">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2.3  签署要求：按格式要求签字盖章。</w:t>
      </w:r>
    </w:p>
    <w:p w14:paraId="125D2D58">
      <w:pPr>
        <w:pStyle w:val="5"/>
        <w:spacing w:line="36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olor w:val="auto"/>
          <w:sz w:val="24"/>
          <w:szCs w:val="24"/>
          <w:lang w:eastAsia="zh-CN"/>
        </w:rPr>
        <w:t>技术文件（设计方案部分）编制要求（暗标，不得标注名称、印章、商标、图形等记认符号，使人辨认出投标人或其专业技术人员的身份，上传系统，电子文档上传不超5</w:t>
      </w:r>
      <w:r>
        <w:rPr>
          <w:rFonts w:ascii="宋体" w:hAnsi="宋体" w:eastAsia="宋体"/>
          <w:color w:val="auto"/>
          <w:sz w:val="24"/>
          <w:szCs w:val="24"/>
          <w:lang w:eastAsia="zh-CN"/>
        </w:rPr>
        <w:t>00M</w:t>
      </w:r>
      <w:r>
        <w:rPr>
          <w:rFonts w:hint="eastAsia" w:ascii="宋体" w:hAnsi="宋体" w:eastAsia="宋体"/>
          <w:color w:val="auto"/>
          <w:sz w:val="24"/>
          <w:szCs w:val="24"/>
          <w:lang w:eastAsia="zh-CN"/>
        </w:rPr>
        <w:t>）</w:t>
      </w:r>
    </w:p>
    <w:p w14:paraId="104E5932">
      <w:pPr>
        <w:spacing w:line="360" w:lineRule="auto"/>
        <w:ind w:firstLine="0" w:firstLineChars="0"/>
        <w:rPr>
          <w:rFonts w:hint="eastAsia" w:ascii="宋体" w:hAnsi="宋体" w:eastAsia="宋体" w:cs="Times New Roman"/>
          <w:b w:val="0"/>
          <w:color w:val="auto"/>
          <w:sz w:val="24"/>
          <w:szCs w:val="24"/>
          <w:lang w:eastAsia="zh-CN"/>
        </w:rPr>
      </w:pPr>
      <w:r>
        <w:rPr>
          <w:rFonts w:hint="eastAsia" w:ascii="宋体" w:hAnsi="宋体" w:eastAsia="宋体" w:cs="Times New Roman"/>
          <w:b w:val="0"/>
          <w:color w:val="auto"/>
          <w:sz w:val="24"/>
          <w:szCs w:val="24"/>
          <w:lang w:eastAsia="zh-CN"/>
        </w:rPr>
        <w:t>3.1  技术文件（设计方案部分）的组成按《设计方案部分综合评分表》内容。</w:t>
      </w:r>
    </w:p>
    <w:p w14:paraId="63A2F77D">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注：技术文件（设计方案部分）为暗标。技术标中不能辨认出投标人或其专业技术人员的身份。不在设计方案上标注或做任何可以辨认投标人及专业技术人员身份的名称、印章、商标、图形等记认符号。</w:t>
      </w:r>
    </w:p>
    <w:p w14:paraId="7E273765">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投标人在评标过程中作出的符合法律法规和招标文件规定的澄清确认，构成投标文件的组成部分。</w:t>
      </w:r>
    </w:p>
    <w:p w14:paraId="6A66129B">
      <w:pPr>
        <w:spacing w:line="360" w:lineRule="auto"/>
        <w:ind w:firstLine="0" w:firstLineChars="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3.2  技术文件（设计方案部分）必须隐匿投标人及专业技术人员的名称，投标人不得在设计方案文件的设计方案、说明、计算机文件、图纸上标注或做任何可以辨认投标人及专业技术人员身份的名称、印章、商标、图形等记认符号。</w:t>
      </w:r>
    </w:p>
    <w:p w14:paraId="52CEEEDF">
      <w:pPr>
        <w:spacing w:line="360" w:lineRule="auto"/>
        <w:ind w:firstLine="0" w:firstLineChars="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3.3  技术文件备用光盘（暗标，不得标注名称、印章、商标、图形等记认符号，使人辨认出投标人或其专业技术人员的身份）。</w:t>
      </w:r>
    </w:p>
    <w:p w14:paraId="44A5EC05">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3.4  保密信封</w:t>
      </w:r>
      <w:r>
        <w:rPr>
          <w:rFonts w:hint="eastAsia" w:ascii="宋体" w:hAnsi="宋体" w:eastAsia="宋体"/>
          <w:b/>
          <w:color w:val="auto"/>
          <w:sz w:val="24"/>
          <w:szCs w:val="24"/>
          <w:lang w:eastAsia="zh-CN"/>
        </w:rPr>
        <w:t>（与投标文件光盘（备用）一起提交）</w:t>
      </w:r>
    </w:p>
    <w:p w14:paraId="6CEADA73">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（1）设计投标保密信封，内附</w:t>
      </w:r>
      <w:r>
        <w:rPr>
          <w:rFonts w:ascii="宋体" w:hAnsi="宋体" w:eastAsia="宋体"/>
          <w:color w:val="auto"/>
          <w:sz w:val="24"/>
          <w:szCs w:val="24"/>
          <w:lang w:eastAsia="zh-CN"/>
        </w:rPr>
        <w:t>A3</w:t>
      </w:r>
      <w:r>
        <w:rPr>
          <w:rFonts w:hint="eastAsia" w:ascii="宋体" w:hAnsi="宋体" w:eastAsia="宋体"/>
          <w:color w:val="auto"/>
          <w:sz w:val="24"/>
          <w:szCs w:val="24"/>
          <w:lang w:eastAsia="zh-CN"/>
        </w:rPr>
        <w:t>规格制作的表现图</w:t>
      </w:r>
      <w:r>
        <w:rPr>
          <w:rFonts w:hint="eastAsia" w:ascii="宋体" w:hAnsi="宋体" w:cs="宋体"/>
          <w:b/>
          <w:color w:val="auto"/>
          <w:sz w:val="24"/>
          <w:szCs w:val="24"/>
          <w:lang w:eastAsia="zh-CN"/>
        </w:rPr>
        <w:t>电子版</w:t>
      </w:r>
      <w:r>
        <w:rPr>
          <w:rFonts w:ascii="宋体" w:hAnsi="宋体" w:eastAsia="宋体"/>
          <w:color w:val="auto"/>
          <w:sz w:val="24"/>
          <w:szCs w:val="24"/>
          <w:lang w:eastAsia="zh-CN"/>
        </w:rPr>
        <w:t>1</w:t>
      </w:r>
      <w:r>
        <w:rPr>
          <w:rFonts w:hint="eastAsia" w:ascii="宋体" w:hAnsi="宋体" w:eastAsia="宋体"/>
          <w:color w:val="auto"/>
          <w:sz w:val="24"/>
          <w:szCs w:val="24"/>
          <w:lang w:eastAsia="zh-CN"/>
        </w:rPr>
        <w:t>张，加盖投标人公章，项目负责人署名。表现图内容应与设计方案一致（并注明表现图在设计方案中的页码或图号），用于分辨投标文件对应的投标人身份。</w:t>
      </w:r>
    </w:p>
    <w:p w14:paraId="40EF0697">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（2）保密信封用不透明信封独立密封。</w:t>
      </w:r>
    </w:p>
    <w:p w14:paraId="1133B467">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3.5  备用光盘</w:t>
      </w:r>
    </w:p>
    <w:p w14:paraId="7C8A11D8">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u w:val="single"/>
          <w:lang w:eastAsia="zh-CN"/>
        </w:rPr>
        <w:t>投标人可制作非加密的商务文件光盘、技术文件光盘、</w:t>
      </w:r>
      <w:r>
        <w:rPr>
          <w:rFonts w:hint="eastAsia" w:ascii="宋体" w:hAnsi="宋体" w:eastAsia="宋体" w:cs="宋体"/>
          <w:color w:val="auto"/>
          <w:sz w:val="24"/>
          <w:szCs w:val="24"/>
          <w:u w:val="single"/>
          <w:lang w:eastAsia="zh-CN"/>
        </w:rPr>
        <w:t>保密封信</w:t>
      </w:r>
      <w:r>
        <w:rPr>
          <w:rFonts w:hint="eastAsia" w:ascii="宋体" w:hAnsi="宋体" w:eastAsia="宋体"/>
          <w:color w:val="auto"/>
          <w:sz w:val="24"/>
          <w:szCs w:val="24"/>
          <w:u w:val="single"/>
          <w:lang w:eastAsia="zh-CN"/>
        </w:rPr>
        <w:t>各（1个），在招标公告规定的时间、地点提交备用。刻录好的投标文件光盘及保密信封密封在密封袋中。</w:t>
      </w:r>
      <w:r>
        <w:rPr>
          <w:rFonts w:hint="eastAsia" w:ascii="宋体" w:hAnsi="宋体"/>
          <w:color w:val="auto"/>
          <w:kern w:val="2"/>
          <w:sz w:val="24"/>
          <w:szCs w:val="24"/>
          <w:u w:val="single"/>
          <w:lang w:eastAsia="zh-CN"/>
        </w:rPr>
        <w:t>“</w:t>
      </w:r>
      <w:r>
        <w:rPr>
          <w:rFonts w:hint="eastAsia" w:ascii="宋体" w:hAnsi="宋体" w:eastAsia="宋体"/>
          <w:color w:val="auto"/>
          <w:sz w:val="24"/>
          <w:szCs w:val="24"/>
          <w:u w:val="single"/>
          <w:lang w:eastAsia="zh-CN"/>
        </w:rPr>
        <w:t>商务文件（含资格审查部分、资信业绩部分）</w:t>
      </w:r>
      <w:r>
        <w:rPr>
          <w:rFonts w:hint="eastAsia" w:ascii="宋体" w:hAnsi="宋体"/>
          <w:color w:val="auto"/>
          <w:kern w:val="2"/>
          <w:sz w:val="24"/>
          <w:szCs w:val="24"/>
          <w:u w:val="single"/>
          <w:lang w:eastAsia="zh-CN"/>
        </w:rPr>
        <w:t>光盘”应在密封袋上写明（1）招标人名称；（2）“[工程名称]</w:t>
      </w:r>
      <w:r>
        <w:rPr>
          <w:rFonts w:hint="eastAsia" w:ascii="宋体" w:hAnsi="宋体" w:eastAsia="宋体"/>
          <w:color w:val="auto"/>
          <w:sz w:val="24"/>
          <w:szCs w:val="24"/>
          <w:u w:val="single"/>
          <w:lang w:eastAsia="zh-CN"/>
        </w:rPr>
        <w:t>商务文件（含资格审查部分、资信业绩部分）</w:t>
      </w:r>
      <w:r>
        <w:rPr>
          <w:rFonts w:hint="eastAsia" w:ascii="宋体" w:hAnsi="宋体"/>
          <w:color w:val="auto"/>
          <w:kern w:val="2"/>
          <w:sz w:val="24"/>
          <w:szCs w:val="24"/>
          <w:u w:val="single"/>
          <w:lang w:eastAsia="zh-CN"/>
        </w:rPr>
        <w:t>光盘”字样；（3）投标人名称；并在封口处加盖投标人单位公章。“技术文件光盘”、“保密信封”应分别仅在密封袋上写明“[工程名称][技术文件光盘或保密信封]”字样，并不得盖章或加具其它可以识别投标人身份的标记</w:t>
      </w:r>
      <w:r>
        <w:rPr>
          <w:rFonts w:hint="eastAsia" w:ascii="宋体" w:hAnsi="宋体" w:eastAsia="宋体"/>
          <w:color w:val="auto"/>
          <w:sz w:val="24"/>
          <w:szCs w:val="24"/>
          <w:u w:val="single"/>
          <w:lang w:eastAsia="zh-CN"/>
        </w:rPr>
        <w:t>。递交的投标文件光盘（备用）不得加密。备用光盘无法读取或导入的，则视为未提交投标文件光盘（备用）。</w:t>
      </w:r>
    </w:p>
    <w:p w14:paraId="3C2F854E">
      <w:pPr>
        <w:pStyle w:val="5"/>
        <w:spacing w:line="360" w:lineRule="auto"/>
        <w:ind w:left="0"/>
        <w:rPr>
          <w:rFonts w:ascii="宋体" w:hAnsi="宋体" w:eastAsia="宋体"/>
          <w:color w:val="auto"/>
          <w:lang w:eastAsia="zh-CN"/>
        </w:rPr>
      </w:pPr>
      <w:r>
        <w:rPr>
          <w:rFonts w:hint="eastAsia" w:ascii="宋体" w:hAnsi="宋体" w:eastAsia="宋体" w:cs="宋体"/>
          <w:color w:val="auto"/>
          <w:sz w:val="24"/>
          <w:szCs w:val="24"/>
          <w:lang w:eastAsia="zh-CN"/>
        </w:rPr>
        <w:t>4、</w:t>
      </w:r>
      <w:r>
        <w:rPr>
          <w:rFonts w:hint="eastAsia" w:ascii="宋体" w:hAnsi="宋体" w:eastAsia="宋体"/>
          <w:color w:val="auto"/>
          <w:sz w:val="24"/>
          <w:szCs w:val="24"/>
          <w:lang w:eastAsia="zh-CN"/>
        </w:rPr>
        <w:t>接收投标文件备用光盘时，如果包封上没有按规定密封并加写标志，招标人将不承担投标文件错放或提前开封的责任，由此造成的提前开封的投标文件，招标人予以拒绝，并退还给投标人。</w:t>
      </w:r>
      <w:r>
        <w:rPr>
          <w:rFonts w:ascii="宋体" w:hAnsi="宋体" w:eastAsia="宋体"/>
          <w:color w:val="auto"/>
          <w:lang w:eastAsia="zh-CN"/>
        </w:rPr>
        <w:br w:type="page"/>
      </w:r>
      <w:r>
        <w:rPr>
          <w:rFonts w:hint="eastAsia" w:ascii="宋体" w:hAnsi="宋体" w:eastAsia="宋体"/>
          <w:color w:val="auto"/>
          <w:lang w:eastAsia="zh-CN"/>
        </w:rPr>
        <w:t xml:space="preserve">格式一  </w:t>
      </w:r>
      <w:r>
        <w:rPr>
          <w:rFonts w:hint="eastAsia" w:ascii="宋体" w:hAnsi="宋体" w:eastAsia="宋体" w:cs="宋体"/>
          <w:color w:val="auto"/>
          <w:lang w:eastAsia="zh-CN"/>
        </w:rPr>
        <w:t>投标书</w:t>
      </w:r>
      <w:bookmarkEnd w:id="48"/>
    </w:p>
    <w:p w14:paraId="16439F8A">
      <w:pPr>
        <w:autoSpaceDE w:val="0"/>
        <w:autoSpaceDN w:val="0"/>
        <w:adjustRightInd w:val="0"/>
        <w:spacing w:before="7" w:line="180" w:lineRule="exact"/>
        <w:rPr>
          <w:rFonts w:ascii="宋体" w:hAnsi="宋体" w:eastAsia="宋体"/>
          <w:color w:val="auto"/>
          <w:sz w:val="18"/>
          <w:szCs w:val="18"/>
          <w:lang w:eastAsia="zh-CN"/>
        </w:rPr>
      </w:pPr>
    </w:p>
    <w:p w14:paraId="21BD41C0">
      <w:pPr>
        <w:autoSpaceDE w:val="0"/>
        <w:autoSpaceDN w:val="0"/>
        <w:adjustRightInd w:val="0"/>
        <w:spacing w:line="200" w:lineRule="exact"/>
        <w:rPr>
          <w:rFonts w:ascii="宋体" w:hAnsi="宋体" w:eastAsia="宋体"/>
          <w:color w:val="auto"/>
          <w:sz w:val="20"/>
          <w:szCs w:val="20"/>
          <w:lang w:eastAsia="zh-CN"/>
        </w:rPr>
      </w:pPr>
    </w:p>
    <w:p w14:paraId="5F479C34">
      <w:pPr>
        <w:jc w:val="center"/>
        <w:rPr>
          <w:rFonts w:ascii="宋体" w:hAnsi="宋体" w:eastAsia="宋体"/>
          <w:b/>
          <w:bCs/>
          <w:color w:val="auto"/>
          <w:sz w:val="32"/>
          <w:szCs w:val="32"/>
          <w:lang w:eastAsia="zh-CN"/>
        </w:rPr>
      </w:pPr>
      <w:r>
        <w:rPr>
          <w:rFonts w:hint="eastAsia" w:ascii="宋体" w:hAnsi="宋体" w:eastAsia="宋体"/>
          <w:b/>
          <w:bCs/>
          <w:color w:val="auto"/>
          <w:sz w:val="32"/>
          <w:szCs w:val="32"/>
          <w:lang w:eastAsia="zh-CN"/>
        </w:rPr>
        <w:t>投标书</w:t>
      </w:r>
    </w:p>
    <w:p w14:paraId="50CB364F">
      <w:pPr>
        <w:rPr>
          <w:rFonts w:ascii="宋体" w:hAnsi="宋体" w:eastAsia="宋体"/>
          <w:color w:val="auto"/>
          <w:szCs w:val="21"/>
          <w:lang w:eastAsia="zh-CN"/>
        </w:rPr>
      </w:pPr>
    </w:p>
    <w:p w14:paraId="719D9285">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项目名称：</w:t>
      </w:r>
      <w:r>
        <w:rPr>
          <w:rFonts w:hint="eastAsia" w:ascii="宋体" w:hAnsi="宋体" w:eastAsia="宋体"/>
          <w:color w:val="auto"/>
          <w:kern w:val="2"/>
          <w:sz w:val="24"/>
          <w:szCs w:val="24"/>
          <w:u w:val="single"/>
          <w:lang w:eastAsia="zh-CN"/>
        </w:rPr>
        <w:t xml:space="preserve">                                           </w:t>
      </w:r>
    </w:p>
    <w:p w14:paraId="2A718CE6">
      <w:pPr>
        <w:pStyle w:val="13"/>
        <w:spacing w:line="360" w:lineRule="auto"/>
        <w:rPr>
          <w:rFonts w:hAnsi="宋体"/>
          <w:color w:val="auto"/>
          <w:sz w:val="24"/>
          <w:szCs w:val="24"/>
          <w:lang w:eastAsia="zh-CN"/>
        </w:rPr>
      </w:pPr>
      <w:r>
        <w:rPr>
          <w:rFonts w:hint="eastAsia" w:hAnsi="宋体"/>
          <w:color w:val="auto"/>
          <w:sz w:val="24"/>
          <w:szCs w:val="24"/>
          <w:lang w:eastAsia="zh-CN"/>
        </w:rPr>
        <w:t>致：</w:t>
      </w:r>
      <w:r>
        <w:rPr>
          <w:rFonts w:hint="eastAsia" w:hAnsi="宋体"/>
          <w:color w:val="auto"/>
          <w:sz w:val="24"/>
          <w:szCs w:val="24"/>
          <w:u w:val="single"/>
          <w:lang w:eastAsia="zh-CN"/>
        </w:rPr>
        <w:t xml:space="preserve">                                           </w:t>
      </w:r>
      <w:r>
        <w:rPr>
          <w:rFonts w:hint="eastAsia" w:hAnsi="宋体"/>
          <w:color w:val="auto"/>
          <w:sz w:val="24"/>
          <w:szCs w:val="24"/>
          <w:lang w:eastAsia="zh-CN"/>
        </w:rPr>
        <w:t>（招标人名称）</w:t>
      </w:r>
    </w:p>
    <w:p w14:paraId="68D47934">
      <w:pPr>
        <w:spacing w:line="360" w:lineRule="auto"/>
        <w:ind w:firstLine="480" w:firstLineChars="200"/>
        <w:rPr>
          <w:rFonts w:ascii="宋体" w:hAnsi="宋体" w:eastAsia="宋体"/>
          <w:color w:val="auto"/>
          <w:sz w:val="24"/>
          <w:szCs w:val="24"/>
          <w:lang w:eastAsia="zh-CN"/>
        </w:rPr>
      </w:pPr>
    </w:p>
    <w:p w14:paraId="1BEE2C8B">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我方</w:t>
      </w:r>
      <w:r>
        <w:rPr>
          <w:rFonts w:hint="eastAsia" w:hAnsi="宋体"/>
          <w:color w:val="auto"/>
          <w:sz w:val="24"/>
          <w:szCs w:val="24"/>
          <w:u w:val="single"/>
          <w:lang w:eastAsia="zh-CN"/>
        </w:rPr>
        <w:t xml:space="preserve">  （投标人名称）  </w:t>
      </w:r>
      <w:r>
        <w:rPr>
          <w:rFonts w:hint="eastAsia" w:hAnsi="宋体"/>
          <w:color w:val="auto"/>
          <w:sz w:val="24"/>
          <w:szCs w:val="24"/>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设计费报价汇总表》的投标总报价，承包本次招标所包含的工作，并承担质量缺陷责任。我方项目负责人是</w:t>
      </w:r>
      <w:r>
        <w:rPr>
          <w:rFonts w:hint="eastAsia" w:hAnsi="宋体"/>
          <w:color w:val="auto"/>
          <w:sz w:val="24"/>
          <w:szCs w:val="24"/>
          <w:u w:val="single"/>
          <w:lang w:eastAsia="zh-CN"/>
        </w:rPr>
        <w:t xml:space="preserve">       </w:t>
      </w:r>
      <w:r>
        <w:rPr>
          <w:rFonts w:hint="eastAsia" w:hAnsi="宋体"/>
          <w:color w:val="auto"/>
          <w:sz w:val="24"/>
          <w:szCs w:val="24"/>
          <w:lang w:eastAsia="zh-CN"/>
        </w:rPr>
        <w:t>。如我司成为本项目中标候选人，我司同意并授权招标人将我司投标文件资信业绩部分的人员、业绩、奖项等资料进行公开。</w:t>
      </w:r>
    </w:p>
    <w:p w14:paraId="5F88A09B">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32472750">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我方认同招标文件规定的评审规则，遵守评标委员会的裁决结果，并且不会采取妨碍项目进展的行为。我方理解你方没有必须接受你方可能收到的最低标或任何投标的义务。</w:t>
      </w:r>
    </w:p>
    <w:p w14:paraId="72F88E33">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如果我方中标，我方将在合同规定的日期开工，并在竣工时间内，按照上述文件完成项目。</w:t>
      </w:r>
    </w:p>
    <w:p w14:paraId="064EB51F">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除非制订正式合同协议书并生效，本投标书以及你方中标通知书，应构成你我双方间具有约束力的合同。</w:t>
      </w:r>
    </w:p>
    <w:p w14:paraId="4E821C7D">
      <w:pPr>
        <w:spacing w:line="360" w:lineRule="auto"/>
        <w:ind w:firstLine="480" w:firstLineChars="200"/>
        <w:rPr>
          <w:rFonts w:ascii="宋体" w:hAnsi="宋体" w:eastAsia="宋体"/>
          <w:color w:val="auto"/>
          <w:sz w:val="24"/>
          <w:szCs w:val="24"/>
          <w:lang w:eastAsia="zh-CN"/>
        </w:rPr>
      </w:pPr>
    </w:p>
    <w:p w14:paraId="5C67E85B">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投标人：（盖章）</w:t>
      </w:r>
    </w:p>
    <w:p w14:paraId="3701C782">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法定代表人：（签字或盖章）</w:t>
      </w:r>
    </w:p>
    <w:p w14:paraId="10440F08">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委托代理人：（签字或盖章）</w:t>
      </w:r>
    </w:p>
    <w:p w14:paraId="18888660">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项目负责人：（签字或盖章）</w:t>
      </w:r>
    </w:p>
    <w:p w14:paraId="4063F6BA">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地址：</w:t>
      </w:r>
    </w:p>
    <w:p w14:paraId="48C51D70">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邮政编码：</w:t>
      </w:r>
    </w:p>
    <w:p w14:paraId="3F1BDEB0">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电话/传真：</w:t>
      </w:r>
      <w:r>
        <w:rPr>
          <w:rFonts w:hint="eastAsia" w:hAnsi="宋体"/>
          <w:color w:val="auto"/>
          <w:sz w:val="24"/>
          <w:szCs w:val="24"/>
          <w:u w:val="single"/>
          <w:lang w:eastAsia="zh-CN"/>
        </w:rPr>
        <w:t xml:space="preserve">                    /FAX              </w:t>
      </w:r>
    </w:p>
    <w:p w14:paraId="721ACDCA">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电子邮箱：</w:t>
      </w:r>
    </w:p>
    <w:p w14:paraId="5C6827D1">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开户银行名称、帐号：</w:t>
      </w:r>
    </w:p>
    <w:p w14:paraId="2D36D05D">
      <w:pPr>
        <w:pStyle w:val="13"/>
        <w:spacing w:line="360" w:lineRule="auto"/>
        <w:ind w:firstLine="480" w:firstLineChars="200"/>
        <w:rPr>
          <w:rFonts w:hAnsi="宋体"/>
          <w:color w:val="auto"/>
          <w:sz w:val="24"/>
          <w:szCs w:val="24"/>
          <w:lang w:eastAsia="zh-CN"/>
        </w:rPr>
      </w:pPr>
      <w:r>
        <w:rPr>
          <w:rFonts w:hint="eastAsia" w:hAnsi="宋体"/>
          <w:color w:val="auto"/>
          <w:sz w:val="24"/>
          <w:szCs w:val="24"/>
          <w:lang w:eastAsia="zh-CN"/>
        </w:rPr>
        <w:t>开户行地址/电话：</w:t>
      </w:r>
    </w:p>
    <w:p w14:paraId="578114FC">
      <w:pPr>
        <w:pStyle w:val="13"/>
        <w:spacing w:line="360" w:lineRule="auto"/>
        <w:ind w:firstLine="480" w:firstLineChars="200"/>
        <w:rPr>
          <w:rFonts w:hAnsi="宋体"/>
          <w:color w:val="auto"/>
          <w:sz w:val="24"/>
          <w:szCs w:val="24"/>
          <w:lang w:eastAsia="zh-CN"/>
        </w:rPr>
      </w:pPr>
    </w:p>
    <w:p w14:paraId="00C22E49">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 xml:space="preserve">                                     日期：       年    月    日</w:t>
      </w:r>
    </w:p>
    <w:p w14:paraId="158D7161">
      <w:pPr>
        <w:jc w:val="center"/>
        <w:rPr>
          <w:rFonts w:ascii="宋体" w:hAnsi="宋体" w:eastAsia="宋体"/>
          <w:b/>
          <w:bCs/>
          <w:color w:val="auto"/>
          <w:sz w:val="32"/>
          <w:szCs w:val="32"/>
        </w:rPr>
      </w:pPr>
      <w:r>
        <w:rPr>
          <w:rFonts w:ascii="宋体" w:hAnsi="宋体" w:eastAsia="宋体"/>
          <w:b/>
          <w:bCs/>
          <w:color w:val="auto"/>
          <w:sz w:val="32"/>
          <w:szCs w:val="32"/>
          <w:lang w:eastAsia="zh-CN"/>
        </w:rPr>
        <w:br w:type="page"/>
      </w:r>
      <w:r>
        <w:rPr>
          <w:rFonts w:hint="eastAsia" w:ascii="宋体" w:hAnsi="宋体" w:eastAsia="宋体"/>
          <w:b/>
          <w:bCs/>
          <w:color w:val="auto"/>
          <w:sz w:val="32"/>
          <w:szCs w:val="32"/>
        </w:rPr>
        <w:t>投标书附录</w:t>
      </w:r>
    </w:p>
    <w:p w14:paraId="0366EDFB">
      <w:pPr>
        <w:pStyle w:val="2"/>
        <w:kinsoku w:val="0"/>
        <w:overflowPunct w:val="0"/>
        <w:spacing w:before="3" w:line="360" w:lineRule="auto"/>
        <w:ind w:left="102"/>
        <w:rPr>
          <w:color w:val="auto"/>
          <w:sz w:val="23"/>
          <w:szCs w:val="23"/>
        </w:rPr>
      </w:pPr>
    </w:p>
    <w:tbl>
      <w:tblPr>
        <w:tblStyle w:val="24"/>
        <w:tblW w:w="0" w:type="auto"/>
        <w:tblInd w:w="0" w:type="dxa"/>
        <w:tblLayout w:type="fixed"/>
        <w:tblCellMar>
          <w:top w:w="0" w:type="dxa"/>
          <w:left w:w="0" w:type="dxa"/>
          <w:bottom w:w="0" w:type="dxa"/>
          <w:right w:w="0" w:type="dxa"/>
        </w:tblCellMar>
      </w:tblPr>
      <w:tblGrid>
        <w:gridCol w:w="1303"/>
        <w:gridCol w:w="2950"/>
        <w:gridCol w:w="2858"/>
        <w:gridCol w:w="1906"/>
      </w:tblGrid>
      <w:tr w14:paraId="7F78C71E">
        <w:tblPrEx>
          <w:tblCellMar>
            <w:top w:w="0" w:type="dxa"/>
            <w:left w:w="0" w:type="dxa"/>
            <w:bottom w:w="0" w:type="dxa"/>
            <w:right w:w="0" w:type="dxa"/>
          </w:tblCellMar>
        </w:tblPrEx>
        <w:trPr>
          <w:trHeight w:val="538" w:hRule="atLeast"/>
        </w:trPr>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BB9B739">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序号</w:t>
            </w:r>
          </w:p>
        </w:tc>
        <w:tc>
          <w:tcPr>
            <w:tcW w:w="2950" w:type="dxa"/>
            <w:tcBorders>
              <w:top w:val="single" w:color="000000" w:sz="4" w:space="0"/>
              <w:left w:val="nil"/>
              <w:bottom w:val="single" w:color="000000" w:sz="4" w:space="0"/>
              <w:right w:val="single" w:color="000000" w:sz="4" w:space="0"/>
            </w:tcBorders>
            <w:noWrap w:val="0"/>
            <w:vAlign w:val="center"/>
          </w:tcPr>
          <w:p w14:paraId="22857AE1">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条款名称</w:t>
            </w:r>
          </w:p>
        </w:tc>
        <w:tc>
          <w:tcPr>
            <w:tcW w:w="2858" w:type="dxa"/>
            <w:tcBorders>
              <w:top w:val="single" w:color="000000" w:sz="4" w:space="0"/>
              <w:left w:val="nil"/>
              <w:bottom w:val="single" w:color="000000" w:sz="4" w:space="0"/>
              <w:right w:val="single" w:color="000000" w:sz="4" w:space="0"/>
            </w:tcBorders>
            <w:noWrap w:val="0"/>
            <w:vAlign w:val="center"/>
          </w:tcPr>
          <w:p w14:paraId="7002DA2D">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约定内容</w:t>
            </w:r>
          </w:p>
        </w:tc>
        <w:tc>
          <w:tcPr>
            <w:tcW w:w="1906" w:type="dxa"/>
            <w:tcBorders>
              <w:top w:val="single" w:color="000000" w:sz="4" w:space="0"/>
              <w:left w:val="nil"/>
              <w:bottom w:val="single" w:color="000000" w:sz="4" w:space="0"/>
              <w:right w:val="single" w:color="000000" w:sz="4" w:space="0"/>
            </w:tcBorders>
            <w:noWrap w:val="0"/>
            <w:vAlign w:val="center"/>
          </w:tcPr>
          <w:p w14:paraId="1F00E664">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备注</w:t>
            </w:r>
          </w:p>
        </w:tc>
      </w:tr>
      <w:tr w14:paraId="12319B68">
        <w:tblPrEx>
          <w:tblCellMar>
            <w:top w:w="0" w:type="dxa"/>
            <w:left w:w="0" w:type="dxa"/>
            <w:bottom w:w="0" w:type="dxa"/>
            <w:right w:w="0" w:type="dxa"/>
          </w:tblCellMar>
        </w:tblPrEx>
        <w:trPr>
          <w:trHeight w:val="451" w:hRule="atLeast"/>
        </w:trPr>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AF8A329">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default" w:ascii="宋体" w:hAnsi="宋体" w:eastAsia="宋体" w:cs="Times New Roman"/>
                <w:color w:val="auto"/>
                <w:sz w:val="21"/>
                <w:szCs w:val="21"/>
              </w:rPr>
              <w:t>1</w:t>
            </w:r>
          </w:p>
        </w:tc>
        <w:tc>
          <w:tcPr>
            <w:tcW w:w="2950" w:type="dxa"/>
            <w:tcBorders>
              <w:top w:val="single" w:color="000000" w:sz="4" w:space="0"/>
              <w:left w:val="nil"/>
              <w:bottom w:val="single" w:color="000000" w:sz="4" w:space="0"/>
              <w:right w:val="single" w:color="000000" w:sz="4" w:space="0"/>
            </w:tcBorders>
            <w:noWrap w:val="0"/>
            <w:vAlign w:val="center"/>
          </w:tcPr>
          <w:p w14:paraId="4D73FCAB">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z w:val="21"/>
                <w:szCs w:val="21"/>
              </w:rPr>
            </w:pPr>
            <w:r>
              <w:rPr>
                <w:rFonts w:hint="eastAsia" w:ascii="宋体" w:hAnsi="宋体" w:eastAsia="宋体" w:cs="Times New Roman"/>
                <w:color w:val="auto"/>
                <w:spacing w:val="-1"/>
                <w:sz w:val="21"/>
                <w:szCs w:val="21"/>
              </w:rPr>
              <w:t>项目负责人</w:t>
            </w:r>
          </w:p>
        </w:tc>
        <w:tc>
          <w:tcPr>
            <w:tcW w:w="2858" w:type="dxa"/>
            <w:tcBorders>
              <w:top w:val="single" w:color="000000" w:sz="4" w:space="0"/>
              <w:left w:val="nil"/>
              <w:bottom w:val="single" w:color="000000" w:sz="4" w:space="0"/>
              <w:right w:val="single" w:color="000000" w:sz="4" w:space="0"/>
            </w:tcBorders>
            <w:noWrap w:val="0"/>
            <w:vAlign w:val="center"/>
          </w:tcPr>
          <w:p w14:paraId="3288E3CB">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z w:val="21"/>
                <w:szCs w:val="21"/>
              </w:rPr>
            </w:pPr>
            <w:r>
              <w:rPr>
                <w:rFonts w:hint="eastAsia" w:ascii="宋体" w:hAnsi="宋体" w:eastAsia="宋体" w:cs="Times New Roman"/>
                <w:color w:val="auto"/>
                <w:sz w:val="21"/>
                <w:szCs w:val="21"/>
              </w:rPr>
              <w:t>姓名：</w:t>
            </w:r>
          </w:p>
        </w:tc>
        <w:tc>
          <w:tcPr>
            <w:tcW w:w="1906" w:type="dxa"/>
            <w:tcBorders>
              <w:top w:val="single" w:color="000000" w:sz="4" w:space="0"/>
              <w:left w:val="nil"/>
              <w:bottom w:val="single" w:color="000000" w:sz="4" w:space="0"/>
              <w:right w:val="single" w:color="000000" w:sz="4" w:space="0"/>
            </w:tcBorders>
            <w:noWrap w:val="0"/>
            <w:vAlign w:val="center"/>
          </w:tcPr>
          <w:p w14:paraId="3226773F">
            <w:pPr>
              <w:keepNext w:val="0"/>
              <w:keepLines w:val="0"/>
              <w:suppressLineNumbers w:val="0"/>
              <w:spacing w:before="0" w:beforeAutospacing="0" w:after="0" w:afterAutospacing="0"/>
              <w:ind w:left="0" w:right="0"/>
              <w:jc w:val="both"/>
              <w:rPr>
                <w:rFonts w:hint="default" w:ascii="宋体" w:hAnsi="宋体" w:eastAsia="宋体" w:cs="Times New Roman"/>
                <w:color w:val="auto"/>
                <w:sz w:val="21"/>
                <w:szCs w:val="21"/>
              </w:rPr>
            </w:pPr>
          </w:p>
        </w:tc>
      </w:tr>
      <w:tr w14:paraId="466CA866">
        <w:tblPrEx>
          <w:tblCellMar>
            <w:top w:w="0" w:type="dxa"/>
            <w:left w:w="0" w:type="dxa"/>
            <w:bottom w:w="0" w:type="dxa"/>
            <w:right w:w="0" w:type="dxa"/>
          </w:tblCellMar>
        </w:tblPrEx>
        <w:trPr>
          <w:trHeight w:val="449" w:hRule="atLeast"/>
        </w:trPr>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CE46861">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default" w:ascii="宋体" w:hAnsi="宋体" w:eastAsia="宋体" w:cs="Times New Roman"/>
                <w:color w:val="auto"/>
                <w:sz w:val="21"/>
                <w:szCs w:val="21"/>
              </w:rPr>
              <w:t>2</w:t>
            </w:r>
          </w:p>
        </w:tc>
        <w:tc>
          <w:tcPr>
            <w:tcW w:w="2950" w:type="dxa"/>
            <w:tcBorders>
              <w:top w:val="single" w:color="000000" w:sz="4" w:space="0"/>
              <w:left w:val="nil"/>
              <w:bottom w:val="single" w:color="000000" w:sz="4" w:space="0"/>
              <w:right w:val="single" w:color="000000" w:sz="4" w:space="0"/>
            </w:tcBorders>
            <w:noWrap w:val="0"/>
            <w:vAlign w:val="center"/>
          </w:tcPr>
          <w:p w14:paraId="5DEDB47C">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投标内容</w:t>
            </w:r>
          </w:p>
        </w:tc>
        <w:tc>
          <w:tcPr>
            <w:tcW w:w="2858" w:type="dxa"/>
            <w:tcBorders>
              <w:top w:val="single" w:color="000000" w:sz="4" w:space="0"/>
              <w:left w:val="nil"/>
              <w:bottom w:val="single" w:color="000000" w:sz="4" w:space="0"/>
              <w:right w:val="single" w:color="000000" w:sz="4" w:space="0"/>
            </w:tcBorders>
            <w:noWrap w:val="0"/>
            <w:vAlign w:val="center"/>
          </w:tcPr>
          <w:p w14:paraId="7219CB01">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noWrap w:val="0"/>
            <w:vAlign w:val="center"/>
          </w:tcPr>
          <w:p w14:paraId="415EEE7C">
            <w:pPr>
              <w:keepNext w:val="0"/>
              <w:keepLines w:val="0"/>
              <w:suppressLineNumbers w:val="0"/>
              <w:spacing w:before="0" w:beforeAutospacing="0" w:after="0" w:afterAutospacing="0"/>
              <w:ind w:left="0" w:right="0"/>
              <w:jc w:val="both"/>
              <w:rPr>
                <w:rFonts w:hint="default" w:ascii="宋体" w:hAnsi="宋体" w:eastAsia="宋体" w:cs="Times New Roman"/>
                <w:color w:val="auto"/>
                <w:sz w:val="21"/>
                <w:szCs w:val="21"/>
              </w:rPr>
            </w:pPr>
          </w:p>
        </w:tc>
      </w:tr>
      <w:tr w14:paraId="32E9A1B3">
        <w:tblPrEx>
          <w:tblCellMar>
            <w:top w:w="0" w:type="dxa"/>
            <w:left w:w="0" w:type="dxa"/>
            <w:bottom w:w="0" w:type="dxa"/>
            <w:right w:w="0" w:type="dxa"/>
          </w:tblCellMar>
        </w:tblPrEx>
        <w:trPr>
          <w:trHeight w:val="451" w:hRule="atLeast"/>
        </w:trPr>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F5B9F77">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default" w:ascii="宋体" w:hAnsi="宋体" w:eastAsia="宋体" w:cs="Times New Roman"/>
                <w:color w:val="auto"/>
                <w:sz w:val="21"/>
                <w:szCs w:val="21"/>
              </w:rPr>
              <w:t>3</w:t>
            </w:r>
          </w:p>
        </w:tc>
        <w:tc>
          <w:tcPr>
            <w:tcW w:w="2950" w:type="dxa"/>
            <w:tcBorders>
              <w:top w:val="single" w:color="000000" w:sz="4" w:space="0"/>
              <w:left w:val="nil"/>
              <w:bottom w:val="single" w:color="000000" w:sz="4" w:space="0"/>
              <w:right w:val="single" w:color="000000" w:sz="4" w:space="0"/>
            </w:tcBorders>
            <w:noWrap w:val="0"/>
            <w:vAlign w:val="center"/>
          </w:tcPr>
          <w:p w14:paraId="2D9DE12B">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设计服务期限</w:t>
            </w:r>
          </w:p>
        </w:tc>
        <w:tc>
          <w:tcPr>
            <w:tcW w:w="2858" w:type="dxa"/>
            <w:tcBorders>
              <w:top w:val="single" w:color="000000" w:sz="4" w:space="0"/>
              <w:left w:val="nil"/>
              <w:bottom w:val="single" w:color="000000" w:sz="4" w:space="0"/>
              <w:right w:val="single" w:color="000000" w:sz="4" w:space="0"/>
            </w:tcBorders>
            <w:noWrap w:val="0"/>
            <w:vAlign w:val="center"/>
          </w:tcPr>
          <w:p w14:paraId="2EA39F5D">
            <w:pPr>
              <w:keepNext w:val="0"/>
              <w:keepLines w:val="0"/>
              <w:suppressLineNumbers w:val="0"/>
              <w:spacing w:before="0" w:beforeAutospacing="0" w:after="0" w:afterAutospacing="0"/>
              <w:ind w:left="0" w:right="0"/>
              <w:jc w:val="both"/>
              <w:rPr>
                <w:rFonts w:hint="default" w:ascii="宋体" w:hAnsi="宋体" w:eastAsia="宋体" w:cs="Times New Roman"/>
                <w:color w:val="auto"/>
                <w:spacing w:val="-1"/>
                <w:sz w:val="21"/>
                <w:szCs w:val="21"/>
              </w:rPr>
            </w:pPr>
          </w:p>
        </w:tc>
        <w:tc>
          <w:tcPr>
            <w:tcW w:w="1906" w:type="dxa"/>
            <w:tcBorders>
              <w:top w:val="single" w:color="000000" w:sz="4" w:space="0"/>
              <w:left w:val="nil"/>
              <w:bottom w:val="single" w:color="000000" w:sz="4" w:space="0"/>
              <w:right w:val="single" w:color="000000" w:sz="4" w:space="0"/>
            </w:tcBorders>
            <w:noWrap w:val="0"/>
            <w:vAlign w:val="center"/>
          </w:tcPr>
          <w:p w14:paraId="2F27B9BA">
            <w:pPr>
              <w:keepNext w:val="0"/>
              <w:keepLines w:val="0"/>
              <w:suppressLineNumbers w:val="0"/>
              <w:spacing w:before="0" w:beforeAutospacing="0" w:after="0" w:afterAutospacing="0"/>
              <w:ind w:left="0" w:right="0"/>
              <w:jc w:val="both"/>
              <w:rPr>
                <w:rFonts w:hint="default" w:ascii="宋体" w:hAnsi="宋体" w:eastAsia="宋体" w:cs="Times New Roman"/>
                <w:color w:val="auto"/>
                <w:sz w:val="21"/>
                <w:szCs w:val="21"/>
              </w:rPr>
            </w:pPr>
          </w:p>
        </w:tc>
      </w:tr>
      <w:tr w14:paraId="1B11243B">
        <w:tblPrEx>
          <w:tblCellMar>
            <w:top w:w="0" w:type="dxa"/>
            <w:left w:w="0" w:type="dxa"/>
            <w:bottom w:w="0" w:type="dxa"/>
            <w:right w:w="0" w:type="dxa"/>
          </w:tblCellMar>
        </w:tblPrEx>
        <w:trPr>
          <w:trHeight w:val="449" w:hRule="atLeast"/>
        </w:trPr>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ADEA612">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4</w:t>
            </w:r>
          </w:p>
        </w:tc>
        <w:tc>
          <w:tcPr>
            <w:tcW w:w="2950" w:type="dxa"/>
            <w:tcBorders>
              <w:top w:val="single" w:color="000000" w:sz="4" w:space="0"/>
              <w:left w:val="nil"/>
              <w:bottom w:val="single" w:color="000000" w:sz="4" w:space="0"/>
              <w:right w:val="single" w:color="000000" w:sz="4" w:space="0"/>
            </w:tcBorders>
            <w:noWrap w:val="0"/>
            <w:vAlign w:val="center"/>
          </w:tcPr>
          <w:p w14:paraId="733099C7">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质量标准</w:t>
            </w:r>
          </w:p>
        </w:tc>
        <w:tc>
          <w:tcPr>
            <w:tcW w:w="2858" w:type="dxa"/>
            <w:tcBorders>
              <w:top w:val="single" w:color="000000" w:sz="4" w:space="0"/>
              <w:left w:val="nil"/>
              <w:bottom w:val="single" w:color="000000" w:sz="4" w:space="0"/>
              <w:right w:val="single" w:color="000000" w:sz="4" w:space="0"/>
            </w:tcBorders>
            <w:noWrap w:val="0"/>
            <w:vAlign w:val="center"/>
          </w:tcPr>
          <w:p w14:paraId="462ABE88">
            <w:pPr>
              <w:keepNext w:val="0"/>
              <w:keepLines w:val="0"/>
              <w:suppressLineNumbers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noWrap w:val="0"/>
            <w:vAlign w:val="center"/>
          </w:tcPr>
          <w:p w14:paraId="18270EE0">
            <w:pPr>
              <w:keepNext w:val="0"/>
              <w:keepLines w:val="0"/>
              <w:suppressLineNumbers w:val="0"/>
              <w:spacing w:before="0" w:beforeAutospacing="0" w:after="0" w:afterAutospacing="0"/>
              <w:ind w:left="0" w:right="0"/>
              <w:jc w:val="both"/>
              <w:rPr>
                <w:rFonts w:hint="default" w:ascii="宋体" w:hAnsi="宋体" w:eastAsia="宋体" w:cs="Times New Roman"/>
                <w:color w:val="auto"/>
                <w:sz w:val="21"/>
                <w:szCs w:val="21"/>
              </w:rPr>
            </w:pPr>
          </w:p>
        </w:tc>
      </w:tr>
      <w:tr w14:paraId="46B91413">
        <w:tblPrEx>
          <w:tblCellMar>
            <w:top w:w="0" w:type="dxa"/>
            <w:left w:w="0" w:type="dxa"/>
            <w:bottom w:w="0" w:type="dxa"/>
            <w:right w:w="0" w:type="dxa"/>
          </w:tblCellMar>
        </w:tblPrEx>
        <w:trPr>
          <w:trHeight w:val="451" w:hRule="atLeast"/>
        </w:trPr>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59CDEF8">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5</w:t>
            </w:r>
          </w:p>
        </w:tc>
        <w:tc>
          <w:tcPr>
            <w:tcW w:w="2950" w:type="dxa"/>
            <w:tcBorders>
              <w:top w:val="single" w:color="000000" w:sz="4" w:space="0"/>
              <w:left w:val="nil"/>
              <w:bottom w:val="single" w:color="000000" w:sz="4" w:space="0"/>
              <w:right w:val="single" w:color="000000" w:sz="4" w:space="0"/>
            </w:tcBorders>
            <w:noWrap w:val="0"/>
            <w:vAlign w:val="center"/>
          </w:tcPr>
          <w:p w14:paraId="4675F37C">
            <w:pPr>
              <w:pStyle w:val="49"/>
              <w:keepNext w:val="0"/>
              <w:keepLines w:val="0"/>
              <w:suppressLineNumbers w:val="0"/>
              <w:kinsoku w:val="0"/>
              <w:overflowPunct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投标有效期</w:t>
            </w:r>
          </w:p>
        </w:tc>
        <w:tc>
          <w:tcPr>
            <w:tcW w:w="2858" w:type="dxa"/>
            <w:tcBorders>
              <w:top w:val="single" w:color="000000" w:sz="4" w:space="0"/>
              <w:left w:val="nil"/>
              <w:bottom w:val="single" w:color="000000" w:sz="4" w:space="0"/>
              <w:right w:val="single" w:color="000000" w:sz="4" w:space="0"/>
            </w:tcBorders>
            <w:noWrap w:val="0"/>
            <w:vAlign w:val="center"/>
          </w:tcPr>
          <w:p w14:paraId="4AFB2698">
            <w:pPr>
              <w:keepNext w:val="0"/>
              <w:keepLines w:val="0"/>
              <w:suppressLineNumbers w:val="0"/>
              <w:spacing w:before="0" w:beforeAutospacing="0" w:after="0" w:afterAutospacing="0"/>
              <w:ind w:left="0" w:right="0"/>
              <w:jc w:val="both"/>
              <w:rPr>
                <w:rFonts w:hint="default" w:ascii="宋体" w:hAnsi="宋体" w:eastAsia="宋体" w:cs="Times New Roman"/>
                <w:color w:val="auto"/>
                <w:spacing w:val="-1"/>
                <w:sz w:val="21"/>
                <w:szCs w:val="21"/>
              </w:rPr>
            </w:pPr>
            <w:r>
              <w:rPr>
                <w:rFonts w:hint="eastAsia" w:ascii="宋体" w:hAnsi="宋体" w:eastAsia="宋体" w:cs="Times New Roman"/>
                <w:color w:val="auto"/>
                <w:spacing w:val="-1"/>
                <w:sz w:val="21"/>
                <w:szCs w:val="21"/>
              </w:rPr>
              <w:t>按招标文件要求</w:t>
            </w:r>
          </w:p>
        </w:tc>
        <w:tc>
          <w:tcPr>
            <w:tcW w:w="1906" w:type="dxa"/>
            <w:tcBorders>
              <w:top w:val="single" w:color="000000" w:sz="4" w:space="0"/>
              <w:left w:val="nil"/>
              <w:bottom w:val="single" w:color="000000" w:sz="4" w:space="0"/>
              <w:right w:val="single" w:color="000000" w:sz="4" w:space="0"/>
            </w:tcBorders>
            <w:noWrap w:val="0"/>
            <w:vAlign w:val="center"/>
          </w:tcPr>
          <w:p w14:paraId="7C6BA6DC">
            <w:pPr>
              <w:keepNext w:val="0"/>
              <w:keepLines w:val="0"/>
              <w:suppressLineNumbers w:val="0"/>
              <w:spacing w:before="0" w:beforeAutospacing="0" w:after="0" w:afterAutospacing="0"/>
              <w:ind w:left="0" w:right="0"/>
              <w:jc w:val="both"/>
              <w:rPr>
                <w:rFonts w:hint="default" w:ascii="宋体" w:hAnsi="宋体" w:eastAsia="宋体" w:cs="Times New Roman"/>
                <w:color w:val="auto"/>
                <w:sz w:val="21"/>
                <w:szCs w:val="21"/>
              </w:rPr>
            </w:pPr>
          </w:p>
        </w:tc>
      </w:tr>
    </w:tbl>
    <w:p w14:paraId="070EBE06">
      <w:pPr>
        <w:pStyle w:val="2"/>
        <w:kinsoku w:val="0"/>
        <w:overflowPunct w:val="0"/>
        <w:rPr>
          <w:color w:val="auto"/>
          <w:sz w:val="20"/>
          <w:szCs w:val="20"/>
        </w:rPr>
      </w:pPr>
    </w:p>
    <w:p w14:paraId="25C8D8FA">
      <w:pPr>
        <w:pStyle w:val="2"/>
        <w:kinsoku w:val="0"/>
        <w:overflowPunct w:val="0"/>
        <w:spacing w:line="360" w:lineRule="auto"/>
        <w:ind w:left="0" w:firstLine="2409" w:firstLineChars="1000"/>
        <w:rPr>
          <w:b/>
          <w:color w:val="auto"/>
          <w:sz w:val="24"/>
          <w:szCs w:val="24"/>
          <w:lang w:eastAsia="zh-CN"/>
        </w:rPr>
      </w:pPr>
      <w:r>
        <w:rPr>
          <w:rFonts w:hint="eastAsia"/>
          <w:b/>
          <w:color w:val="auto"/>
          <w:sz w:val="24"/>
          <w:szCs w:val="24"/>
          <w:lang w:eastAsia="zh-CN"/>
        </w:rPr>
        <w:t>投标</w:t>
      </w:r>
      <w:r>
        <w:rPr>
          <w:rFonts w:hint="eastAsia"/>
          <w:b/>
          <w:color w:val="auto"/>
          <w:spacing w:val="-2"/>
          <w:sz w:val="24"/>
          <w:szCs w:val="24"/>
          <w:lang w:eastAsia="zh-CN"/>
        </w:rPr>
        <w:t>人：</w:t>
      </w:r>
      <w:r>
        <w:rPr>
          <w:rFonts w:hint="eastAsia"/>
          <w:b/>
          <w:color w:val="auto"/>
          <w:spacing w:val="-2"/>
          <w:sz w:val="24"/>
          <w:szCs w:val="24"/>
          <w:u w:val="single"/>
          <w:lang w:eastAsia="zh-CN"/>
        </w:rPr>
        <w:t xml:space="preserve">      </w:t>
      </w:r>
      <w:r>
        <w:rPr>
          <w:rFonts w:hint="eastAsia"/>
          <w:b/>
          <w:color w:val="auto"/>
          <w:spacing w:val="-1"/>
          <w:sz w:val="24"/>
          <w:szCs w:val="24"/>
          <w:lang w:eastAsia="zh-CN"/>
        </w:rPr>
        <w:t>（盖单位章）</w:t>
      </w:r>
    </w:p>
    <w:p w14:paraId="02955DBA">
      <w:pPr>
        <w:spacing w:line="360" w:lineRule="auto"/>
        <w:ind w:firstLine="2409" w:firstLineChars="1000"/>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法定代表人或其委托代理人：</w:t>
      </w:r>
      <w:r>
        <w:rPr>
          <w:rFonts w:hint="eastAsia" w:ascii="宋体" w:hAnsi="宋体" w:eastAsia="宋体"/>
          <w:b/>
          <w:bCs/>
          <w:color w:val="auto"/>
          <w:sz w:val="24"/>
          <w:szCs w:val="24"/>
          <w:u w:val="single"/>
          <w:lang w:eastAsia="zh-CN"/>
        </w:rPr>
        <w:t xml:space="preserve">     </w:t>
      </w:r>
      <w:r>
        <w:rPr>
          <w:rFonts w:hint="eastAsia" w:ascii="宋体" w:hAnsi="宋体" w:eastAsia="宋体"/>
          <w:b/>
          <w:bCs/>
          <w:color w:val="auto"/>
          <w:sz w:val="24"/>
          <w:szCs w:val="24"/>
          <w:lang w:eastAsia="zh-CN"/>
        </w:rPr>
        <w:t>（签字或盖章）</w:t>
      </w:r>
    </w:p>
    <w:p w14:paraId="47E6D4AA">
      <w:pPr>
        <w:spacing w:line="360" w:lineRule="auto"/>
        <w:ind w:firstLine="4320" w:firstLineChars="1800"/>
        <w:rPr>
          <w:rFonts w:ascii="宋体" w:hAnsi="宋体" w:eastAsia="宋体"/>
          <w:color w:val="auto"/>
          <w:lang w:eastAsia="zh-CN"/>
        </w:rPr>
      </w:pP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年</w:t>
      </w:r>
      <w:r>
        <w:rPr>
          <w:rFonts w:hint="eastAsia" w:ascii="宋体" w:hAnsi="宋体" w:eastAsia="宋体"/>
          <w:color w:val="auto"/>
          <w:sz w:val="24"/>
          <w:szCs w:val="24"/>
          <w:u w:val="single"/>
          <w:lang w:eastAsia="zh-CN"/>
        </w:rPr>
        <w:t xml:space="preserve">      </w:t>
      </w:r>
      <w:r>
        <w:rPr>
          <w:rFonts w:hint="eastAsia" w:ascii="宋体" w:hAnsi="宋体" w:eastAsia="宋体"/>
          <w:color w:val="auto"/>
          <w:spacing w:val="-2"/>
          <w:sz w:val="24"/>
          <w:szCs w:val="24"/>
          <w:lang w:eastAsia="zh-CN"/>
        </w:rPr>
        <w:t>月</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日</w:t>
      </w:r>
    </w:p>
    <w:p w14:paraId="51CE69A0">
      <w:pPr>
        <w:pStyle w:val="5"/>
        <w:spacing w:after="240"/>
        <w:rPr>
          <w:rFonts w:ascii="宋体" w:hAnsi="宋体" w:eastAsia="宋体"/>
          <w:color w:val="auto"/>
          <w:lang w:eastAsia="zh-CN"/>
        </w:rPr>
      </w:pPr>
      <w:r>
        <w:rPr>
          <w:rFonts w:ascii="宋体" w:hAnsi="宋体" w:eastAsia="宋体"/>
          <w:color w:val="auto"/>
          <w:lang w:eastAsia="zh-CN"/>
        </w:rPr>
        <w:br w:type="page"/>
      </w:r>
      <w:bookmarkStart w:id="52" w:name="_Toc25072140"/>
      <w:r>
        <w:rPr>
          <w:rFonts w:hint="eastAsia" w:ascii="宋体" w:hAnsi="宋体" w:eastAsia="宋体"/>
          <w:color w:val="auto"/>
          <w:lang w:eastAsia="zh-CN"/>
        </w:rPr>
        <w:t>格式二  法定代表人身份证明、授权委托书</w:t>
      </w:r>
      <w:bookmarkEnd w:id="52"/>
    </w:p>
    <w:p w14:paraId="4E8E6A37">
      <w:pPr>
        <w:jc w:val="center"/>
        <w:rPr>
          <w:rFonts w:ascii="宋体" w:hAnsi="宋体" w:eastAsia="宋体"/>
          <w:b/>
          <w:color w:val="auto"/>
          <w:sz w:val="32"/>
          <w:szCs w:val="36"/>
          <w:lang w:eastAsia="zh-CN"/>
        </w:rPr>
      </w:pPr>
      <w:r>
        <w:rPr>
          <w:rFonts w:hint="eastAsia" w:ascii="宋体" w:hAnsi="宋体" w:eastAsia="宋体"/>
          <w:b/>
          <w:color w:val="auto"/>
          <w:sz w:val="32"/>
          <w:szCs w:val="36"/>
          <w:lang w:eastAsia="zh-CN"/>
        </w:rPr>
        <w:t>法定代表人身份证明</w:t>
      </w:r>
    </w:p>
    <w:p w14:paraId="0ADF75D5">
      <w:pPr>
        <w:spacing w:line="360" w:lineRule="auto"/>
        <w:rPr>
          <w:rFonts w:ascii="宋体" w:hAnsi="宋体" w:eastAsia="宋体"/>
          <w:color w:val="auto"/>
          <w:sz w:val="24"/>
          <w:szCs w:val="24"/>
          <w:lang w:eastAsia="zh-CN"/>
        </w:rPr>
      </w:pPr>
    </w:p>
    <w:p w14:paraId="5B9C7492">
      <w:pPr>
        <w:spacing w:line="360" w:lineRule="auto"/>
        <w:rPr>
          <w:rFonts w:ascii="宋体" w:hAnsi="宋体" w:eastAsia="宋体"/>
          <w:color w:val="auto"/>
          <w:sz w:val="24"/>
          <w:szCs w:val="24"/>
          <w:u w:val="single"/>
          <w:lang w:eastAsia="zh-CN"/>
        </w:rPr>
      </w:pPr>
      <w:r>
        <w:rPr>
          <w:rFonts w:ascii="宋体" w:hAnsi="宋体" w:eastAsia="宋体"/>
          <w:color w:val="auto"/>
          <w:sz w:val="24"/>
          <w:szCs w:val="24"/>
          <w:lang w:eastAsia="zh-CN"/>
        </w:rPr>
        <w:t>投标人名称：</w:t>
      </w:r>
      <w:r>
        <w:rPr>
          <w:rFonts w:hint="eastAsia" w:ascii="宋体" w:hAnsi="宋体" w:eastAsia="宋体"/>
          <w:color w:val="auto"/>
          <w:sz w:val="24"/>
          <w:szCs w:val="24"/>
          <w:u w:val="single"/>
          <w:lang w:eastAsia="zh-CN"/>
        </w:rPr>
        <w:t xml:space="preserve">                             </w:t>
      </w:r>
    </w:p>
    <w:p w14:paraId="56DF0B9A">
      <w:pPr>
        <w:spacing w:line="360" w:lineRule="auto"/>
        <w:rPr>
          <w:rFonts w:ascii="宋体" w:hAnsi="宋体" w:eastAsia="宋体"/>
          <w:color w:val="auto"/>
          <w:sz w:val="24"/>
          <w:szCs w:val="24"/>
          <w:lang w:eastAsia="zh-CN"/>
        </w:rPr>
      </w:pPr>
      <w:r>
        <w:rPr>
          <w:rFonts w:ascii="宋体" w:hAnsi="宋体" w:eastAsia="宋体"/>
          <w:color w:val="auto"/>
          <w:sz w:val="24"/>
          <w:szCs w:val="24"/>
          <w:lang w:eastAsia="zh-CN"/>
        </w:rPr>
        <w:t>姓名：</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性别：</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年龄：</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职务：</w:t>
      </w:r>
      <w:r>
        <w:rPr>
          <w:rFonts w:hint="eastAsia" w:ascii="宋体" w:hAnsi="宋体" w:eastAsia="宋体"/>
          <w:color w:val="auto"/>
          <w:sz w:val="24"/>
          <w:szCs w:val="24"/>
          <w:u w:val="single"/>
          <w:lang w:eastAsia="zh-CN"/>
        </w:rPr>
        <w:t xml:space="preserve">        </w:t>
      </w:r>
    </w:p>
    <w:p w14:paraId="577FC3F8">
      <w:pPr>
        <w:spacing w:line="360" w:lineRule="auto"/>
        <w:rPr>
          <w:rFonts w:ascii="宋体" w:hAnsi="宋体" w:eastAsia="宋体"/>
          <w:color w:val="auto"/>
          <w:sz w:val="24"/>
          <w:szCs w:val="24"/>
          <w:lang w:eastAsia="zh-CN"/>
        </w:rPr>
      </w:pPr>
    </w:p>
    <w:p w14:paraId="22D415B2">
      <w:pPr>
        <w:tabs>
          <w:tab w:val="left" w:pos="3080"/>
        </w:tabs>
        <w:spacing w:line="360" w:lineRule="auto"/>
        <w:rPr>
          <w:rFonts w:ascii="宋体" w:hAnsi="宋体" w:eastAsia="宋体"/>
          <w:color w:val="auto"/>
          <w:sz w:val="24"/>
          <w:szCs w:val="24"/>
          <w:lang w:eastAsia="zh-CN"/>
        </w:rPr>
      </w:pPr>
      <w:r>
        <w:rPr>
          <w:rFonts w:ascii="宋体" w:hAnsi="宋体" w:eastAsia="宋体"/>
          <w:color w:val="auto"/>
          <w:sz w:val="24"/>
          <w:szCs w:val="24"/>
          <w:lang w:eastAsia="zh-CN"/>
        </w:rPr>
        <w:t>系</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u w:val="single"/>
          <w:lang w:eastAsia="zh-CN"/>
        </w:rPr>
        <w:t>（投标人名称）</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的法定代表人。</w:t>
      </w:r>
    </w:p>
    <w:p w14:paraId="6B399E91">
      <w:pPr>
        <w:spacing w:line="360" w:lineRule="auto"/>
        <w:rPr>
          <w:rFonts w:ascii="宋体" w:hAnsi="宋体" w:eastAsia="宋体"/>
          <w:color w:val="auto"/>
          <w:sz w:val="24"/>
          <w:szCs w:val="24"/>
          <w:lang w:eastAsia="zh-CN"/>
        </w:rPr>
      </w:pPr>
    </w:p>
    <w:p w14:paraId="72FA68A9">
      <w:pPr>
        <w:spacing w:line="360" w:lineRule="auto"/>
        <w:rPr>
          <w:rFonts w:ascii="宋体" w:hAnsi="宋体" w:eastAsia="宋体"/>
          <w:color w:val="auto"/>
          <w:sz w:val="24"/>
          <w:szCs w:val="24"/>
          <w:lang w:eastAsia="zh-CN"/>
        </w:rPr>
      </w:pPr>
      <w:r>
        <w:rPr>
          <w:rFonts w:ascii="宋体" w:hAnsi="宋体" w:eastAsia="宋体"/>
          <w:color w:val="auto"/>
          <w:sz w:val="24"/>
          <w:szCs w:val="24"/>
          <w:lang w:eastAsia="zh-CN"/>
        </w:rPr>
        <w:t>特此证明。</w:t>
      </w:r>
    </w:p>
    <w:p w14:paraId="5ABF7DDF">
      <w:pPr>
        <w:spacing w:line="360" w:lineRule="auto"/>
        <w:rPr>
          <w:rFonts w:ascii="宋体" w:hAnsi="宋体" w:eastAsia="宋体"/>
          <w:color w:val="auto"/>
          <w:sz w:val="24"/>
          <w:szCs w:val="24"/>
          <w:lang w:eastAsia="zh-CN"/>
        </w:rPr>
      </w:pPr>
    </w:p>
    <w:p w14:paraId="77363E1D">
      <w:pPr>
        <w:spacing w:line="360" w:lineRule="auto"/>
        <w:rPr>
          <w:rFonts w:ascii="宋体" w:hAnsi="宋体" w:eastAsia="宋体"/>
          <w:color w:val="auto"/>
          <w:sz w:val="24"/>
          <w:szCs w:val="24"/>
          <w:lang w:eastAsia="zh-CN"/>
        </w:rPr>
      </w:pPr>
      <w:r>
        <w:rPr>
          <w:rFonts w:ascii="宋体" w:hAnsi="宋体" w:eastAsia="宋体"/>
          <w:color w:val="auto"/>
          <w:sz w:val="24"/>
          <w:szCs w:val="24"/>
          <w:lang w:eastAsia="zh-CN"/>
        </w:rPr>
        <w:t>附：法定代表人身份证</w:t>
      </w:r>
      <w:r>
        <w:rPr>
          <w:rFonts w:hint="eastAsia" w:ascii="宋体" w:hAnsi="宋体" w:eastAsia="宋体" w:cs="宋体"/>
          <w:bCs/>
          <w:color w:val="auto"/>
          <w:sz w:val="24"/>
          <w:szCs w:val="24"/>
          <w:lang w:eastAsia="zh-CN"/>
        </w:rPr>
        <w:t>扫描</w:t>
      </w:r>
      <w:r>
        <w:rPr>
          <w:rFonts w:ascii="宋体" w:hAnsi="宋体" w:eastAsia="宋体"/>
          <w:color w:val="auto"/>
          <w:sz w:val="24"/>
          <w:szCs w:val="24"/>
          <w:lang w:eastAsia="zh-CN"/>
        </w:rPr>
        <w:t>件。</w:t>
      </w:r>
    </w:p>
    <w:p w14:paraId="213B843F">
      <w:pPr>
        <w:spacing w:line="360" w:lineRule="auto"/>
        <w:rPr>
          <w:rFonts w:ascii="宋体" w:hAnsi="宋体" w:eastAsia="宋体"/>
          <w:color w:val="auto"/>
          <w:sz w:val="24"/>
          <w:szCs w:val="24"/>
          <w:lang w:eastAsia="zh-CN"/>
        </w:rPr>
      </w:pPr>
      <w:r>
        <w:rPr>
          <w:rFonts w:ascii="宋体" w:hAnsi="宋体" w:eastAsia="宋体"/>
          <w:color w:val="auto"/>
          <w:sz w:val="24"/>
          <w:szCs w:val="24"/>
          <w:lang w:eastAsia="zh-CN"/>
        </w:rPr>
        <w:t>注：本身份证明需由投标人加盖单位公章。</w:t>
      </w:r>
    </w:p>
    <w:p w14:paraId="339DC844">
      <w:pPr>
        <w:spacing w:line="360" w:lineRule="auto"/>
        <w:rPr>
          <w:rFonts w:ascii="宋体" w:hAnsi="宋体" w:eastAsia="宋体"/>
          <w:color w:val="auto"/>
          <w:sz w:val="24"/>
          <w:szCs w:val="24"/>
          <w:lang w:eastAsia="zh-CN"/>
        </w:rPr>
      </w:pPr>
    </w:p>
    <w:p w14:paraId="1B7E7075">
      <w:pPr>
        <w:tabs>
          <w:tab w:val="left" w:pos="6760"/>
        </w:tabs>
        <w:spacing w:line="360" w:lineRule="auto"/>
        <w:rPr>
          <w:rFonts w:ascii="宋体" w:hAnsi="宋体" w:eastAsia="宋体"/>
          <w:color w:val="auto"/>
          <w:sz w:val="24"/>
          <w:szCs w:val="24"/>
          <w:lang w:eastAsia="zh-CN"/>
        </w:rPr>
      </w:pPr>
      <w:r>
        <w:rPr>
          <w:rFonts w:ascii="宋体" w:hAnsi="宋体" w:eastAsia="宋体"/>
          <w:color w:val="auto"/>
          <w:sz w:val="24"/>
          <w:szCs w:val="24"/>
          <w:lang w:eastAsia="zh-CN"/>
        </w:rPr>
        <w:t>投标人：</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（盖单位章）</w:t>
      </w:r>
    </w:p>
    <w:p w14:paraId="3D5529E9">
      <w:pPr>
        <w:tabs>
          <w:tab w:val="left" w:pos="6440"/>
          <w:tab w:val="left" w:pos="7280"/>
        </w:tabs>
        <w:spacing w:line="360" w:lineRule="auto"/>
        <w:ind w:firstLine="480" w:firstLineChars="200"/>
        <w:rPr>
          <w:rFonts w:ascii="宋体" w:hAnsi="宋体" w:eastAsia="宋体"/>
          <w:color w:val="auto"/>
          <w:sz w:val="24"/>
          <w:szCs w:val="24"/>
          <w:lang w:eastAsia="zh-CN"/>
        </w:rPr>
      </w:pPr>
      <w:r>
        <w:rPr>
          <w:rFonts w:ascii="宋体" w:hAnsi="宋体" w:eastAsia="宋体"/>
          <w:color w:val="auto"/>
          <w:sz w:val="24"/>
          <w:szCs w:val="24"/>
          <w:lang w:eastAsia="zh-CN"/>
        </w:rPr>
        <w:t>年</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月</w:t>
      </w:r>
      <w:r>
        <w:rPr>
          <w:rFonts w:hint="eastAsia" w:ascii="宋体" w:hAnsi="宋体" w:eastAsia="宋体"/>
          <w:color w:val="auto"/>
          <w:sz w:val="24"/>
          <w:szCs w:val="24"/>
          <w:u w:val="single"/>
          <w:lang w:eastAsia="zh-CN"/>
        </w:rPr>
        <w:t xml:space="preserve">      </w:t>
      </w:r>
      <w:r>
        <w:rPr>
          <w:rFonts w:ascii="宋体" w:hAnsi="宋体" w:eastAsia="宋体"/>
          <w:color w:val="auto"/>
          <w:sz w:val="24"/>
          <w:szCs w:val="24"/>
          <w:lang w:eastAsia="zh-CN"/>
        </w:rPr>
        <w:t>日</w:t>
      </w:r>
    </w:p>
    <w:p w14:paraId="5E0A8AA8">
      <w:pPr>
        <w:jc w:val="center"/>
        <w:rPr>
          <w:rFonts w:ascii="宋体" w:hAnsi="宋体" w:eastAsia="宋体"/>
          <w:b/>
          <w:color w:val="auto"/>
          <w:sz w:val="32"/>
          <w:szCs w:val="36"/>
          <w:lang w:eastAsia="zh-CN"/>
        </w:rPr>
      </w:pPr>
      <w:r>
        <w:rPr>
          <w:rFonts w:ascii="宋体" w:hAnsi="宋体" w:eastAsia="宋体"/>
          <w:color w:val="auto"/>
          <w:sz w:val="24"/>
          <w:szCs w:val="24"/>
          <w:lang w:eastAsia="zh-CN"/>
        </w:rPr>
        <w:br w:type="page"/>
      </w:r>
      <w:r>
        <w:rPr>
          <w:rFonts w:hint="eastAsia" w:ascii="宋体" w:hAnsi="宋体" w:eastAsia="宋体"/>
          <w:b/>
          <w:color w:val="auto"/>
          <w:sz w:val="32"/>
          <w:szCs w:val="36"/>
          <w:lang w:eastAsia="zh-CN"/>
        </w:rPr>
        <w:t>授权委托书</w:t>
      </w:r>
    </w:p>
    <w:p w14:paraId="6FFCAD01">
      <w:pPr>
        <w:autoSpaceDE w:val="0"/>
        <w:autoSpaceDN w:val="0"/>
        <w:adjustRightInd w:val="0"/>
        <w:spacing w:before="18" w:line="240" w:lineRule="exact"/>
        <w:rPr>
          <w:rFonts w:ascii="宋体" w:hAnsi="宋体" w:eastAsia="宋体"/>
          <w:color w:val="auto"/>
          <w:sz w:val="24"/>
          <w:lang w:eastAsia="zh-CN"/>
        </w:rPr>
      </w:pPr>
    </w:p>
    <w:p w14:paraId="34137CC7">
      <w:pPr>
        <w:autoSpaceDE w:val="0"/>
        <w:autoSpaceDN w:val="0"/>
        <w:adjustRightInd w:val="0"/>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position w:val="-4"/>
          <w:sz w:val="24"/>
          <w:szCs w:val="24"/>
          <w:lang w:eastAsia="zh-CN"/>
        </w:rPr>
        <w:t>本人</w:t>
      </w:r>
      <w:r>
        <w:rPr>
          <w:rFonts w:hint="eastAsia" w:ascii="宋体" w:hAnsi="宋体" w:eastAsia="宋体"/>
          <w:color w:val="auto"/>
          <w:position w:val="-4"/>
          <w:sz w:val="24"/>
          <w:szCs w:val="24"/>
          <w:u w:val="single"/>
          <w:lang w:eastAsia="zh-CN"/>
        </w:rPr>
        <w:t xml:space="preserve">    （</w:t>
      </w:r>
      <w:r>
        <w:rPr>
          <w:rFonts w:hint="eastAsia" w:ascii="宋体" w:hAnsi="宋体" w:eastAsia="宋体"/>
          <w:color w:val="auto"/>
          <w:spacing w:val="-2"/>
          <w:position w:val="-4"/>
          <w:sz w:val="24"/>
          <w:szCs w:val="24"/>
          <w:u w:val="single"/>
          <w:lang w:eastAsia="zh-CN"/>
        </w:rPr>
        <w:t>姓</w:t>
      </w:r>
      <w:r>
        <w:rPr>
          <w:rFonts w:hint="eastAsia" w:ascii="宋体" w:hAnsi="宋体" w:eastAsia="宋体"/>
          <w:color w:val="auto"/>
          <w:position w:val="-4"/>
          <w:sz w:val="24"/>
          <w:szCs w:val="24"/>
          <w:u w:val="single"/>
          <w:lang w:eastAsia="zh-CN"/>
        </w:rPr>
        <w:t xml:space="preserve">名）    </w:t>
      </w:r>
      <w:r>
        <w:rPr>
          <w:rFonts w:hint="eastAsia" w:ascii="宋体" w:hAnsi="宋体" w:eastAsia="宋体"/>
          <w:color w:val="auto"/>
          <w:position w:val="-4"/>
          <w:sz w:val="24"/>
          <w:szCs w:val="24"/>
          <w:lang w:eastAsia="zh-CN"/>
        </w:rPr>
        <w:t>系</w:t>
      </w:r>
      <w:r>
        <w:rPr>
          <w:rFonts w:hint="eastAsia" w:ascii="宋体" w:hAnsi="宋体" w:eastAsia="宋体"/>
          <w:color w:val="auto"/>
          <w:position w:val="-4"/>
          <w:sz w:val="24"/>
          <w:szCs w:val="24"/>
          <w:u w:val="single"/>
          <w:lang w:eastAsia="zh-CN"/>
        </w:rPr>
        <w:t xml:space="preserve">   （投标人</w:t>
      </w:r>
      <w:r>
        <w:rPr>
          <w:rFonts w:hint="eastAsia" w:ascii="宋体" w:hAnsi="宋体" w:eastAsia="宋体"/>
          <w:color w:val="auto"/>
          <w:spacing w:val="-2"/>
          <w:position w:val="-4"/>
          <w:sz w:val="24"/>
          <w:szCs w:val="24"/>
          <w:u w:val="single"/>
          <w:lang w:eastAsia="zh-CN"/>
        </w:rPr>
        <w:t>名</w:t>
      </w:r>
      <w:r>
        <w:rPr>
          <w:rFonts w:hint="eastAsia" w:ascii="宋体" w:hAnsi="宋体" w:eastAsia="宋体"/>
          <w:color w:val="auto"/>
          <w:position w:val="-4"/>
          <w:sz w:val="24"/>
          <w:szCs w:val="24"/>
          <w:u w:val="single"/>
          <w:lang w:eastAsia="zh-CN"/>
        </w:rPr>
        <w:t xml:space="preserve">称）    </w:t>
      </w:r>
      <w:r>
        <w:rPr>
          <w:rFonts w:hint="eastAsia" w:ascii="宋体" w:hAnsi="宋体" w:eastAsia="宋体"/>
          <w:color w:val="auto"/>
          <w:position w:val="-4"/>
          <w:sz w:val="24"/>
          <w:szCs w:val="24"/>
          <w:lang w:eastAsia="zh-CN"/>
        </w:rPr>
        <w:t>的</w:t>
      </w:r>
      <w:r>
        <w:rPr>
          <w:rFonts w:hint="eastAsia" w:ascii="宋体" w:hAnsi="宋体" w:eastAsia="宋体"/>
          <w:color w:val="auto"/>
          <w:spacing w:val="-2"/>
          <w:position w:val="-4"/>
          <w:sz w:val="24"/>
          <w:szCs w:val="24"/>
          <w:lang w:eastAsia="zh-CN"/>
        </w:rPr>
        <w:t>法定</w:t>
      </w:r>
      <w:r>
        <w:rPr>
          <w:rFonts w:hint="eastAsia" w:ascii="宋体" w:hAnsi="宋体" w:eastAsia="宋体"/>
          <w:color w:val="auto"/>
          <w:position w:val="-4"/>
          <w:sz w:val="24"/>
          <w:szCs w:val="24"/>
          <w:lang w:eastAsia="zh-CN"/>
        </w:rPr>
        <w:t>代表人</w:t>
      </w:r>
      <w:r>
        <w:rPr>
          <w:rFonts w:hint="eastAsia" w:ascii="宋体" w:hAnsi="宋体" w:eastAsia="宋体"/>
          <w:color w:val="auto"/>
          <w:spacing w:val="-2"/>
          <w:position w:val="-4"/>
          <w:sz w:val="24"/>
          <w:szCs w:val="24"/>
          <w:lang w:eastAsia="zh-CN"/>
        </w:rPr>
        <w:t>，</w:t>
      </w:r>
      <w:r>
        <w:rPr>
          <w:rFonts w:hint="eastAsia" w:ascii="宋体" w:hAnsi="宋体" w:eastAsia="宋体"/>
          <w:color w:val="auto"/>
          <w:position w:val="-4"/>
          <w:sz w:val="24"/>
          <w:szCs w:val="24"/>
          <w:lang w:eastAsia="zh-CN"/>
        </w:rPr>
        <w:t>现</w:t>
      </w:r>
      <w:r>
        <w:rPr>
          <w:rFonts w:hint="eastAsia" w:ascii="宋体" w:hAnsi="宋体" w:eastAsia="宋体"/>
          <w:color w:val="auto"/>
          <w:position w:val="-2"/>
          <w:sz w:val="24"/>
          <w:szCs w:val="24"/>
          <w:lang w:eastAsia="zh-CN"/>
        </w:rPr>
        <w:t>委托</w:t>
      </w:r>
      <w:r>
        <w:rPr>
          <w:rFonts w:hint="eastAsia" w:ascii="宋体" w:hAnsi="宋体" w:eastAsia="宋体"/>
          <w:color w:val="auto"/>
          <w:position w:val="-2"/>
          <w:sz w:val="24"/>
          <w:szCs w:val="24"/>
          <w:u w:val="single"/>
          <w:lang w:eastAsia="zh-CN"/>
        </w:rPr>
        <w:t xml:space="preserve">   （姓</w:t>
      </w:r>
      <w:r>
        <w:rPr>
          <w:rFonts w:hint="eastAsia" w:ascii="宋体" w:hAnsi="宋体" w:eastAsia="宋体"/>
          <w:color w:val="auto"/>
          <w:spacing w:val="-2"/>
          <w:position w:val="-2"/>
          <w:sz w:val="24"/>
          <w:szCs w:val="24"/>
          <w:u w:val="single"/>
          <w:lang w:eastAsia="zh-CN"/>
        </w:rPr>
        <w:t>名</w:t>
      </w:r>
      <w:r>
        <w:rPr>
          <w:rFonts w:hint="eastAsia" w:ascii="宋体" w:hAnsi="宋体" w:eastAsia="宋体"/>
          <w:color w:val="auto"/>
          <w:position w:val="-2"/>
          <w:sz w:val="24"/>
          <w:szCs w:val="24"/>
          <w:u w:val="single"/>
          <w:lang w:eastAsia="zh-CN"/>
        </w:rPr>
        <w:t xml:space="preserve">）  </w:t>
      </w:r>
      <w:r>
        <w:rPr>
          <w:rFonts w:hint="eastAsia" w:ascii="宋体" w:hAnsi="宋体" w:eastAsia="宋体"/>
          <w:color w:val="auto"/>
          <w:position w:val="-2"/>
          <w:sz w:val="24"/>
          <w:szCs w:val="24"/>
          <w:lang w:eastAsia="zh-CN"/>
        </w:rPr>
        <w:t>为我方代</w:t>
      </w:r>
      <w:r>
        <w:rPr>
          <w:rFonts w:hint="eastAsia" w:ascii="宋体" w:hAnsi="宋体" w:eastAsia="宋体"/>
          <w:color w:val="auto"/>
          <w:spacing w:val="-2"/>
          <w:position w:val="-2"/>
          <w:sz w:val="24"/>
          <w:szCs w:val="24"/>
          <w:lang w:eastAsia="zh-CN"/>
        </w:rPr>
        <w:t>理</w:t>
      </w:r>
      <w:r>
        <w:rPr>
          <w:rFonts w:hint="eastAsia" w:ascii="宋体" w:hAnsi="宋体" w:eastAsia="宋体"/>
          <w:color w:val="auto"/>
          <w:position w:val="-2"/>
          <w:sz w:val="24"/>
          <w:szCs w:val="24"/>
          <w:lang w:eastAsia="zh-CN"/>
        </w:rPr>
        <w:t>人。代理</w:t>
      </w:r>
      <w:r>
        <w:rPr>
          <w:rFonts w:hint="eastAsia" w:ascii="宋体" w:hAnsi="宋体" w:eastAsia="宋体"/>
          <w:color w:val="auto"/>
          <w:spacing w:val="-2"/>
          <w:position w:val="-2"/>
          <w:sz w:val="24"/>
          <w:szCs w:val="24"/>
          <w:lang w:eastAsia="zh-CN"/>
        </w:rPr>
        <w:t>人</w:t>
      </w:r>
      <w:r>
        <w:rPr>
          <w:rFonts w:hint="eastAsia" w:ascii="宋体" w:hAnsi="宋体" w:eastAsia="宋体"/>
          <w:color w:val="auto"/>
          <w:position w:val="-2"/>
          <w:sz w:val="24"/>
          <w:szCs w:val="24"/>
          <w:lang w:eastAsia="zh-CN"/>
        </w:rPr>
        <w:t>根据授权，</w:t>
      </w:r>
      <w:r>
        <w:rPr>
          <w:rFonts w:hint="eastAsia" w:ascii="宋体" w:hAnsi="宋体" w:eastAsia="宋体"/>
          <w:color w:val="auto"/>
          <w:spacing w:val="-2"/>
          <w:position w:val="-2"/>
          <w:sz w:val="24"/>
          <w:szCs w:val="24"/>
          <w:lang w:eastAsia="zh-CN"/>
        </w:rPr>
        <w:t>以</w:t>
      </w:r>
      <w:r>
        <w:rPr>
          <w:rFonts w:hint="eastAsia" w:ascii="宋体" w:hAnsi="宋体" w:eastAsia="宋体"/>
          <w:color w:val="auto"/>
          <w:position w:val="-2"/>
          <w:sz w:val="24"/>
          <w:szCs w:val="24"/>
          <w:lang w:eastAsia="zh-CN"/>
        </w:rPr>
        <w:t>我方名义</w:t>
      </w:r>
      <w:r>
        <w:rPr>
          <w:rFonts w:hint="eastAsia" w:ascii="宋体" w:hAnsi="宋体" w:eastAsia="宋体"/>
          <w:color w:val="auto"/>
          <w:spacing w:val="-2"/>
          <w:position w:val="-2"/>
          <w:sz w:val="24"/>
          <w:szCs w:val="24"/>
          <w:lang w:eastAsia="zh-CN"/>
        </w:rPr>
        <w:t>签</w:t>
      </w:r>
      <w:r>
        <w:rPr>
          <w:rFonts w:hint="eastAsia" w:ascii="宋体" w:hAnsi="宋体" w:eastAsia="宋体"/>
          <w:color w:val="auto"/>
          <w:position w:val="-2"/>
          <w:sz w:val="24"/>
          <w:szCs w:val="24"/>
          <w:lang w:eastAsia="zh-CN"/>
        </w:rPr>
        <w:t>署、澄清确</w:t>
      </w:r>
      <w:r>
        <w:rPr>
          <w:rFonts w:hint="eastAsia" w:ascii="宋体" w:hAnsi="宋体" w:eastAsia="宋体"/>
          <w:color w:val="auto"/>
          <w:spacing w:val="-2"/>
          <w:position w:val="-2"/>
          <w:sz w:val="24"/>
          <w:szCs w:val="24"/>
          <w:lang w:eastAsia="zh-CN"/>
        </w:rPr>
        <w:t>认</w:t>
      </w:r>
      <w:r>
        <w:rPr>
          <w:rFonts w:hint="eastAsia" w:ascii="宋体" w:hAnsi="宋体" w:eastAsia="宋体"/>
          <w:color w:val="auto"/>
          <w:position w:val="-2"/>
          <w:sz w:val="24"/>
          <w:szCs w:val="24"/>
          <w:lang w:eastAsia="zh-CN"/>
        </w:rPr>
        <w:t>、递</w:t>
      </w:r>
      <w:r>
        <w:rPr>
          <w:rFonts w:hint="eastAsia" w:ascii="宋体" w:hAnsi="宋体" w:eastAsia="宋体"/>
          <w:color w:val="auto"/>
          <w:sz w:val="24"/>
          <w:szCs w:val="24"/>
          <w:lang w:eastAsia="zh-CN"/>
        </w:rPr>
        <w:t>交、</w:t>
      </w:r>
      <w:r>
        <w:rPr>
          <w:rFonts w:hint="eastAsia" w:ascii="宋体" w:hAnsi="宋体" w:eastAsia="宋体"/>
          <w:color w:val="auto"/>
          <w:spacing w:val="-2"/>
          <w:sz w:val="24"/>
          <w:szCs w:val="24"/>
          <w:lang w:eastAsia="zh-CN"/>
        </w:rPr>
        <w:t>撤</w:t>
      </w:r>
      <w:r>
        <w:rPr>
          <w:rFonts w:hint="eastAsia" w:ascii="宋体" w:hAnsi="宋体" w:eastAsia="宋体"/>
          <w:color w:val="auto"/>
          <w:sz w:val="24"/>
          <w:szCs w:val="24"/>
          <w:lang w:eastAsia="zh-CN"/>
        </w:rPr>
        <w:t>回</w:t>
      </w:r>
      <w:r>
        <w:rPr>
          <w:rFonts w:hint="eastAsia" w:ascii="宋体" w:hAnsi="宋体" w:eastAsia="宋体"/>
          <w:color w:val="auto"/>
          <w:spacing w:val="-2"/>
          <w:sz w:val="24"/>
          <w:szCs w:val="24"/>
          <w:lang w:eastAsia="zh-CN"/>
        </w:rPr>
        <w:t>、</w:t>
      </w:r>
      <w:r>
        <w:rPr>
          <w:rFonts w:hint="eastAsia" w:ascii="宋体" w:hAnsi="宋体" w:eastAsia="宋体"/>
          <w:color w:val="auto"/>
          <w:sz w:val="24"/>
          <w:szCs w:val="24"/>
          <w:lang w:eastAsia="zh-CN"/>
        </w:rPr>
        <w:t>修</w:t>
      </w:r>
      <w:r>
        <w:rPr>
          <w:rFonts w:hint="eastAsia" w:ascii="宋体" w:hAnsi="宋体" w:eastAsia="宋体"/>
          <w:color w:val="auto"/>
          <w:spacing w:val="-3"/>
          <w:sz w:val="24"/>
          <w:szCs w:val="24"/>
          <w:lang w:eastAsia="zh-CN"/>
        </w:rPr>
        <w:t>改</w:t>
      </w:r>
      <w:r>
        <w:rPr>
          <w:rFonts w:hint="eastAsia" w:ascii="宋体" w:hAnsi="宋体" w:eastAsia="宋体"/>
          <w:color w:val="auto"/>
          <w:spacing w:val="-2"/>
          <w:sz w:val="24"/>
          <w:szCs w:val="24"/>
          <w:lang w:eastAsia="zh-CN"/>
        </w:rPr>
        <w:t>投</w:t>
      </w:r>
      <w:r>
        <w:rPr>
          <w:rFonts w:hint="eastAsia" w:ascii="宋体" w:hAnsi="宋体" w:eastAsia="宋体"/>
          <w:color w:val="auto"/>
          <w:sz w:val="24"/>
          <w:szCs w:val="24"/>
          <w:lang w:eastAsia="zh-CN"/>
        </w:rPr>
        <w:t>标</w:t>
      </w:r>
      <w:r>
        <w:rPr>
          <w:rFonts w:hint="eastAsia" w:ascii="宋体" w:hAnsi="宋体" w:eastAsia="宋体"/>
          <w:color w:val="auto"/>
          <w:spacing w:val="-2"/>
          <w:sz w:val="24"/>
          <w:szCs w:val="24"/>
          <w:lang w:eastAsia="zh-CN"/>
        </w:rPr>
        <w:t>文</w:t>
      </w:r>
      <w:r>
        <w:rPr>
          <w:rFonts w:hint="eastAsia" w:ascii="宋体" w:hAnsi="宋体" w:eastAsia="宋体"/>
          <w:color w:val="auto"/>
          <w:sz w:val="24"/>
          <w:szCs w:val="24"/>
          <w:lang w:eastAsia="zh-CN"/>
        </w:rPr>
        <w:t>件</w:t>
      </w:r>
      <w:r>
        <w:rPr>
          <w:rFonts w:hint="eastAsia" w:ascii="宋体" w:hAnsi="宋体" w:eastAsia="宋体"/>
          <w:color w:val="auto"/>
          <w:spacing w:val="-2"/>
          <w:sz w:val="24"/>
          <w:szCs w:val="24"/>
          <w:lang w:eastAsia="zh-CN"/>
        </w:rPr>
        <w:t>、</w:t>
      </w:r>
      <w:r>
        <w:rPr>
          <w:rFonts w:hint="eastAsia" w:ascii="宋体" w:hAnsi="宋体" w:eastAsia="宋体"/>
          <w:color w:val="auto"/>
          <w:sz w:val="24"/>
          <w:szCs w:val="24"/>
          <w:lang w:eastAsia="zh-CN"/>
        </w:rPr>
        <w:t>签</w:t>
      </w:r>
      <w:r>
        <w:rPr>
          <w:rFonts w:hint="eastAsia" w:ascii="宋体" w:hAnsi="宋体" w:eastAsia="宋体"/>
          <w:color w:val="auto"/>
          <w:spacing w:val="-2"/>
          <w:sz w:val="24"/>
          <w:szCs w:val="24"/>
          <w:lang w:eastAsia="zh-CN"/>
        </w:rPr>
        <w:t>订</w:t>
      </w:r>
      <w:r>
        <w:rPr>
          <w:rFonts w:hint="eastAsia" w:ascii="宋体" w:hAnsi="宋体" w:eastAsia="宋体"/>
          <w:color w:val="auto"/>
          <w:sz w:val="24"/>
          <w:szCs w:val="24"/>
          <w:lang w:eastAsia="zh-CN"/>
        </w:rPr>
        <w:t>合</w:t>
      </w:r>
      <w:r>
        <w:rPr>
          <w:rFonts w:hint="eastAsia" w:ascii="宋体" w:hAnsi="宋体" w:eastAsia="宋体"/>
          <w:color w:val="auto"/>
          <w:spacing w:val="-2"/>
          <w:sz w:val="24"/>
          <w:szCs w:val="24"/>
          <w:lang w:eastAsia="zh-CN"/>
        </w:rPr>
        <w:t>同</w:t>
      </w:r>
      <w:r>
        <w:rPr>
          <w:rFonts w:hint="eastAsia" w:ascii="宋体" w:hAnsi="宋体" w:eastAsia="宋体"/>
          <w:color w:val="auto"/>
          <w:sz w:val="24"/>
          <w:szCs w:val="24"/>
          <w:lang w:eastAsia="zh-CN"/>
        </w:rPr>
        <w:t>和处</w:t>
      </w:r>
      <w:r>
        <w:rPr>
          <w:rFonts w:hint="eastAsia" w:ascii="宋体" w:hAnsi="宋体" w:eastAsia="宋体"/>
          <w:color w:val="auto"/>
          <w:spacing w:val="-2"/>
          <w:sz w:val="24"/>
          <w:szCs w:val="24"/>
          <w:lang w:eastAsia="zh-CN"/>
        </w:rPr>
        <w:t>理</w:t>
      </w:r>
      <w:r>
        <w:rPr>
          <w:rFonts w:hint="eastAsia" w:ascii="宋体" w:hAnsi="宋体" w:eastAsia="宋体"/>
          <w:color w:val="auto"/>
          <w:sz w:val="24"/>
          <w:szCs w:val="24"/>
          <w:lang w:eastAsia="zh-CN"/>
        </w:rPr>
        <w:t>有</w:t>
      </w:r>
      <w:r>
        <w:rPr>
          <w:rFonts w:hint="eastAsia" w:ascii="宋体" w:hAnsi="宋体" w:eastAsia="宋体"/>
          <w:color w:val="auto"/>
          <w:spacing w:val="-2"/>
          <w:sz w:val="24"/>
          <w:szCs w:val="24"/>
          <w:lang w:eastAsia="zh-CN"/>
        </w:rPr>
        <w:t>关</w:t>
      </w:r>
      <w:r>
        <w:rPr>
          <w:rFonts w:hint="eastAsia" w:ascii="宋体" w:hAnsi="宋体" w:eastAsia="宋体"/>
          <w:color w:val="auto"/>
          <w:sz w:val="24"/>
          <w:szCs w:val="24"/>
          <w:lang w:eastAsia="zh-CN"/>
        </w:rPr>
        <w:t>事</w:t>
      </w:r>
      <w:r>
        <w:rPr>
          <w:rFonts w:hint="eastAsia" w:ascii="宋体" w:hAnsi="宋体" w:eastAsia="宋体"/>
          <w:color w:val="auto"/>
          <w:spacing w:val="-2"/>
          <w:sz w:val="24"/>
          <w:szCs w:val="24"/>
          <w:lang w:eastAsia="zh-CN"/>
        </w:rPr>
        <w:t>宜</w:t>
      </w:r>
      <w:r>
        <w:rPr>
          <w:rFonts w:hint="eastAsia" w:ascii="宋体" w:hAnsi="宋体" w:eastAsia="宋体"/>
          <w:color w:val="auto"/>
          <w:sz w:val="24"/>
          <w:szCs w:val="24"/>
          <w:lang w:eastAsia="zh-CN"/>
        </w:rPr>
        <w:t>，</w:t>
      </w:r>
      <w:r>
        <w:rPr>
          <w:rFonts w:hint="eastAsia" w:ascii="宋体" w:hAnsi="宋体" w:eastAsia="宋体"/>
          <w:color w:val="auto"/>
          <w:spacing w:val="-2"/>
          <w:sz w:val="24"/>
          <w:szCs w:val="24"/>
          <w:lang w:eastAsia="zh-CN"/>
        </w:rPr>
        <w:t>其</w:t>
      </w:r>
      <w:r>
        <w:rPr>
          <w:rFonts w:hint="eastAsia" w:ascii="宋体" w:hAnsi="宋体" w:eastAsia="宋体"/>
          <w:color w:val="auto"/>
          <w:sz w:val="24"/>
          <w:szCs w:val="24"/>
          <w:lang w:eastAsia="zh-CN"/>
        </w:rPr>
        <w:t>法</w:t>
      </w:r>
      <w:r>
        <w:rPr>
          <w:rFonts w:hint="eastAsia" w:ascii="宋体" w:hAnsi="宋体" w:eastAsia="宋体"/>
          <w:color w:val="auto"/>
          <w:spacing w:val="-2"/>
          <w:sz w:val="24"/>
          <w:szCs w:val="24"/>
          <w:lang w:eastAsia="zh-CN"/>
        </w:rPr>
        <w:t>律</w:t>
      </w:r>
      <w:r>
        <w:rPr>
          <w:rFonts w:hint="eastAsia" w:ascii="宋体" w:hAnsi="宋体" w:eastAsia="宋体"/>
          <w:color w:val="auto"/>
          <w:sz w:val="24"/>
          <w:szCs w:val="24"/>
          <w:lang w:eastAsia="zh-CN"/>
        </w:rPr>
        <w:t>后果</w:t>
      </w:r>
      <w:r>
        <w:rPr>
          <w:rFonts w:hint="eastAsia" w:ascii="宋体" w:hAnsi="宋体" w:eastAsia="宋体"/>
          <w:color w:val="auto"/>
          <w:spacing w:val="-2"/>
          <w:sz w:val="24"/>
          <w:szCs w:val="24"/>
          <w:lang w:eastAsia="zh-CN"/>
        </w:rPr>
        <w:t>由</w:t>
      </w:r>
      <w:r>
        <w:rPr>
          <w:rFonts w:hint="eastAsia" w:ascii="宋体" w:hAnsi="宋体" w:eastAsia="宋体"/>
          <w:color w:val="auto"/>
          <w:sz w:val="24"/>
          <w:szCs w:val="24"/>
          <w:lang w:eastAsia="zh-CN"/>
        </w:rPr>
        <w:t>我</w:t>
      </w:r>
      <w:r>
        <w:rPr>
          <w:rFonts w:hint="eastAsia" w:ascii="宋体" w:hAnsi="宋体" w:eastAsia="宋体"/>
          <w:color w:val="auto"/>
          <w:spacing w:val="-2"/>
          <w:sz w:val="24"/>
          <w:szCs w:val="24"/>
          <w:lang w:eastAsia="zh-CN"/>
        </w:rPr>
        <w:t>方</w:t>
      </w:r>
      <w:r>
        <w:rPr>
          <w:rFonts w:hint="eastAsia" w:ascii="宋体" w:hAnsi="宋体" w:eastAsia="宋体"/>
          <w:color w:val="auto"/>
          <w:sz w:val="24"/>
          <w:szCs w:val="24"/>
          <w:lang w:eastAsia="zh-CN"/>
        </w:rPr>
        <w:t>承</w:t>
      </w:r>
      <w:r>
        <w:rPr>
          <w:rFonts w:hint="eastAsia" w:ascii="宋体" w:hAnsi="宋体" w:eastAsia="宋体"/>
          <w:color w:val="auto"/>
          <w:spacing w:val="-2"/>
          <w:sz w:val="24"/>
          <w:szCs w:val="24"/>
          <w:lang w:eastAsia="zh-CN"/>
        </w:rPr>
        <w:t>担</w:t>
      </w:r>
      <w:r>
        <w:rPr>
          <w:rFonts w:hint="eastAsia" w:ascii="宋体" w:hAnsi="宋体" w:eastAsia="宋体"/>
          <w:color w:val="auto"/>
          <w:sz w:val="24"/>
          <w:szCs w:val="24"/>
          <w:lang w:eastAsia="zh-CN"/>
        </w:rPr>
        <w:t>。</w:t>
      </w:r>
    </w:p>
    <w:p w14:paraId="56E00C0E">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position w:val="-4"/>
          <w:sz w:val="24"/>
          <w:szCs w:val="24"/>
          <w:lang w:eastAsia="zh-CN"/>
        </w:rPr>
        <w:t>委托</w:t>
      </w:r>
      <w:r>
        <w:rPr>
          <w:rFonts w:hint="eastAsia" w:ascii="宋体" w:hAnsi="宋体" w:eastAsia="宋体"/>
          <w:color w:val="auto"/>
          <w:spacing w:val="-2"/>
          <w:position w:val="-4"/>
          <w:sz w:val="24"/>
          <w:szCs w:val="24"/>
          <w:lang w:eastAsia="zh-CN"/>
        </w:rPr>
        <w:t>期</w:t>
      </w:r>
      <w:r>
        <w:rPr>
          <w:rFonts w:hint="eastAsia" w:ascii="宋体" w:hAnsi="宋体" w:eastAsia="宋体"/>
          <w:color w:val="auto"/>
          <w:position w:val="-4"/>
          <w:sz w:val="24"/>
          <w:szCs w:val="24"/>
          <w:lang w:eastAsia="zh-CN"/>
        </w:rPr>
        <w:t>限</w:t>
      </w:r>
      <w:r>
        <w:rPr>
          <w:rFonts w:hint="eastAsia" w:ascii="宋体" w:hAnsi="宋体" w:eastAsia="宋体"/>
          <w:color w:val="auto"/>
          <w:spacing w:val="-3"/>
          <w:position w:val="-4"/>
          <w:sz w:val="24"/>
          <w:szCs w:val="24"/>
          <w:lang w:eastAsia="zh-CN"/>
        </w:rPr>
        <w:t>：</w:t>
      </w:r>
      <w:r>
        <w:rPr>
          <w:rFonts w:hint="eastAsia" w:ascii="宋体" w:hAnsi="宋体" w:eastAsia="宋体"/>
          <w:color w:val="auto"/>
          <w:position w:val="-4"/>
          <w:sz w:val="24"/>
          <w:szCs w:val="24"/>
          <w:u w:val="single"/>
          <w:lang w:eastAsia="zh-CN"/>
        </w:rPr>
        <w:t xml:space="preserve">                      </w:t>
      </w:r>
      <w:r>
        <w:rPr>
          <w:rFonts w:hint="eastAsia" w:ascii="宋体" w:hAnsi="宋体" w:eastAsia="宋体"/>
          <w:color w:val="auto"/>
          <w:position w:val="-4"/>
          <w:sz w:val="24"/>
          <w:szCs w:val="24"/>
          <w:lang w:eastAsia="zh-CN"/>
        </w:rPr>
        <w:t>。</w:t>
      </w:r>
    </w:p>
    <w:p w14:paraId="485467B2">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代理</w:t>
      </w:r>
      <w:r>
        <w:rPr>
          <w:rFonts w:hint="eastAsia" w:ascii="宋体" w:hAnsi="宋体" w:eastAsia="宋体"/>
          <w:color w:val="auto"/>
          <w:spacing w:val="-2"/>
          <w:sz w:val="24"/>
          <w:szCs w:val="24"/>
          <w:lang w:eastAsia="zh-CN"/>
        </w:rPr>
        <w:t>人</w:t>
      </w:r>
      <w:r>
        <w:rPr>
          <w:rFonts w:hint="eastAsia" w:ascii="宋体" w:hAnsi="宋体" w:eastAsia="宋体"/>
          <w:color w:val="auto"/>
          <w:sz w:val="24"/>
          <w:szCs w:val="24"/>
          <w:lang w:eastAsia="zh-CN"/>
        </w:rPr>
        <w:t>无</w:t>
      </w:r>
      <w:r>
        <w:rPr>
          <w:rFonts w:hint="eastAsia" w:ascii="宋体" w:hAnsi="宋体" w:eastAsia="宋体"/>
          <w:color w:val="auto"/>
          <w:spacing w:val="-2"/>
          <w:sz w:val="24"/>
          <w:szCs w:val="24"/>
          <w:lang w:eastAsia="zh-CN"/>
        </w:rPr>
        <w:t>转</w:t>
      </w:r>
      <w:r>
        <w:rPr>
          <w:rFonts w:hint="eastAsia" w:ascii="宋体" w:hAnsi="宋体" w:eastAsia="宋体"/>
          <w:color w:val="auto"/>
          <w:sz w:val="24"/>
          <w:szCs w:val="24"/>
          <w:lang w:eastAsia="zh-CN"/>
        </w:rPr>
        <w:t>委</w:t>
      </w:r>
      <w:r>
        <w:rPr>
          <w:rFonts w:hint="eastAsia" w:ascii="宋体" w:hAnsi="宋体" w:eastAsia="宋体"/>
          <w:color w:val="auto"/>
          <w:spacing w:val="-2"/>
          <w:sz w:val="24"/>
          <w:szCs w:val="24"/>
          <w:lang w:eastAsia="zh-CN"/>
        </w:rPr>
        <w:t>托</w:t>
      </w:r>
      <w:r>
        <w:rPr>
          <w:rFonts w:hint="eastAsia" w:ascii="宋体" w:hAnsi="宋体" w:eastAsia="宋体"/>
          <w:color w:val="auto"/>
          <w:sz w:val="24"/>
          <w:szCs w:val="24"/>
          <w:lang w:eastAsia="zh-CN"/>
        </w:rPr>
        <w:t>权。</w:t>
      </w:r>
    </w:p>
    <w:p w14:paraId="331F8C17">
      <w:pPr>
        <w:autoSpaceDE w:val="0"/>
        <w:autoSpaceDN w:val="0"/>
        <w:adjustRightInd w:val="0"/>
        <w:spacing w:line="360" w:lineRule="auto"/>
        <w:rPr>
          <w:rFonts w:ascii="宋体" w:hAnsi="宋体" w:eastAsia="宋体"/>
          <w:color w:val="auto"/>
          <w:sz w:val="24"/>
          <w:szCs w:val="24"/>
          <w:lang w:eastAsia="zh-CN"/>
        </w:rPr>
      </w:pPr>
    </w:p>
    <w:p w14:paraId="1A5B47C3">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附：</w:t>
      </w:r>
      <w:r>
        <w:rPr>
          <w:rFonts w:hint="eastAsia" w:ascii="宋体" w:hAnsi="宋体" w:eastAsia="宋体"/>
          <w:color w:val="auto"/>
          <w:spacing w:val="-2"/>
          <w:sz w:val="24"/>
          <w:szCs w:val="24"/>
          <w:lang w:eastAsia="zh-CN"/>
        </w:rPr>
        <w:t>法</w:t>
      </w:r>
      <w:r>
        <w:rPr>
          <w:rFonts w:hint="eastAsia" w:ascii="宋体" w:hAnsi="宋体" w:eastAsia="宋体"/>
          <w:color w:val="auto"/>
          <w:sz w:val="24"/>
          <w:szCs w:val="24"/>
          <w:lang w:eastAsia="zh-CN"/>
        </w:rPr>
        <w:t>定</w:t>
      </w:r>
      <w:r>
        <w:rPr>
          <w:rFonts w:hint="eastAsia" w:ascii="宋体" w:hAnsi="宋体" w:eastAsia="宋体"/>
          <w:color w:val="auto"/>
          <w:spacing w:val="-2"/>
          <w:sz w:val="24"/>
          <w:szCs w:val="24"/>
          <w:lang w:eastAsia="zh-CN"/>
        </w:rPr>
        <w:t>代</w:t>
      </w:r>
      <w:r>
        <w:rPr>
          <w:rFonts w:hint="eastAsia" w:ascii="宋体" w:hAnsi="宋体" w:eastAsia="宋体"/>
          <w:color w:val="auto"/>
          <w:sz w:val="24"/>
          <w:szCs w:val="24"/>
          <w:lang w:eastAsia="zh-CN"/>
        </w:rPr>
        <w:t>表</w:t>
      </w:r>
      <w:r>
        <w:rPr>
          <w:rFonts w:hint="eastAsia" w:ascii="宋体" w:hAnsi="宋体" w:eastAsia="宋体"/>
          <w:color w:val="auto"/>
          <w:spacing w:val="-2"/>
          <w:sz w:val="24"/>
          <w:szCs w:val="24"/>
          <w:lang w:eastAsia="zh-CN"/>
        </w:rPr>
        <w:t>人</w:t>
      </w:r>
      <w:r>
        <w:rPr>
          <w:rFonts w:hint="eastAsia" w:ascii="宋体" w:hAnsi="宋体" w:eastAsia="宋体"/>
          <w:color w:val="auto"/>
          <w:sz w:val="24"/>
          <w:szCs w:val="24"/>
          <w:lang w:eastAsia="zh-CN"/>
        </w:rPr>
        <w:t>身</w:t>
      </w:r>
      <w:r>
        <w:rPr>
          <w:rFonts w:hint="eastAsia" w:ascii="宋体" w:hAnsi="宋体" w:eastAsia="宋体"/>
          <w:color w:val="auto"/>
          <w:spacing w:val="-2"/>
          <w:sz w:val="24"/>
          <w:szCs w:val="24"/>
          <w:lang w:eastAsia="zh-CN"/>
        </w:rPr>
        <w:t>份</w:t>
      </w:r>
      <w:r>
        <w:rPr>
          <w:rFonts w:hint="eastAsia" w:ascii="宋体" w:hAnsi="宋体" w:eastAsia="宋体"/>
          <w:color w:val="auto"/>
          <w:sz w:val="24"/>
          <w:szCs w:val="24"/>
          <w:lang w:eastAsia="zh-CN"/>
        </w:rPr>
        <w:t>证</w:t>
      </w:r>
      <w:r>
        <w:rPr>
          <w:rFonts w:hint="eastAsia" w:ascii="宋体" w:hAnsi="宋体" w:eastAsia="宋体" w:cs="宋体"/>
          <w:bCs/>
          <w:color w:val="auto"/>
          <w:sz w:val="24"/>
          <w:szCs w:val="24"/>
          <w:lang w:eastAsia="zh-CN"/>
        </w:rPr>
        <w:t>扫描</w:t>
      </w:r>
      <w:r>
        <w:rPr>
          <w:rFonts w:hint="eastAsia" w:ascii="宋体" w:hAnsi="宋体" w:eastAsia="宋体"/>
          <w:color w:val="auto"/>
          <w:sz w:val="24"/>
          <w:szCs w:val="24"/>
          <w:lang w:eastAsia="zh-CN"/>
        </w:rPr>
        <w:t>件</w:t>
      </w:r>
      <w:r>
        <w:rPr>
          <w:rFonts w:hint="eastAsia" w:ascii="宋体" w:hAnsi="宋体" w:eastAsia="宋体"/>
          <w:color w:val="auto"/>
          <w:spacing w:val="-2"/>
          <w:sz w:val="24"/>
          <w:szCs w:val="24"/>
          <w:lang w:eastAsia="zh-CN"/>
        </w:rPr>
        <w:t>及</w:t>
      </w:r>
      <w:r>
        <w:rPr>
          <w:rFonts w:hint="eastAsia" w:ascii="宋体" w:hAnsi="宋体" w:eastAsia="宋体"/>
          <w:color w:val="auto"/>
          <w:sz w:val="24"/>
          <w:szCs w:val="24"/>
          <w:lang w:eastAsia="zh-CN"/>
        </w:rPr>
        <w:t>委</w:t>
      </w:r>
      <w:r>
        <w:rPr>
          <w:rFonts w:hint="eastAsia" w:ascii="宋体" w:hAnsi="宋体" w:eastAsia="宋体"/>
          <w:color w:val="auto"/>
          <w:spacing w:val="-2"/>
          <w:sz w:val="24"/>
          <w:szCs w:val="24"/>
          <w:lang w:eastAsia="zh-CN"/>
        </w:rPr>
        <w:t>托</w:t>
      </w:r>
      <w:r>
        <w:rPr>
          <w:rFonts w:hint="eastAsia" w:ascii="宋体" w:hAnsi="宋体" w:eastAsia="宋体"/>
          <w:color w:val="auto"/>
          <w:sz w:val="24"/>
          <w:szCs w:val="24"/>
          <w:lang w:eastAsia="zh-CN"/>
        </w:rPr>
        <w:t>代</w:t>
      </w:r>
      <w:r>
        <w:rPr>
          <w:rFonts w:hint="eastAsia" w:ascii="宋体" w:hAnsi="宋体" w:eastAsia="宋体"/>
          <w:color w:val="auto"/>
          <w:spacing w:val="-2"/>
          <w:sz w:val="24"/>
          <w:szCs w:val="24"/>
          <w:lang w:eastAsia="zh-CN"/>
        </w:rPr>
        <w:t>理</w:t>
      </w:r>
      <w:r>
        <w:rPr>
          <w:rFonts w:hint="eastAsia" w:ascii="宋体" w:hAnsi="宋体" w:eastAsia="宋体"/>
          <w:color w:val="auto"/>
          <w:sz w:val="24"/>
          <w:szCs w:val="24"/>
          <w:lang w:eastAsia="zh-CN"/>
        </w:rPr>
        <w:t>人</w:t>
      </w:r>
      <w:r>
        <w:rPr>
          <w:rFonts w:hint="eastAsia" w:ascii="宋体" w:hAnsi="宋体" w:eastAsia="宋体"/>
          <w:color w:val="auto"/>
          <w:spacing w:val="-2"/>
          <w:sz w:val="24"/>
          <w:szCs w:val="24"/>
          <w:lang w:eastAsia="zh-CN"/>
        </w:rPr>
        <w:t>身</w:t>
      </w:r>
      <w:r>
        <w:rPr>
          <w:rFonts w:hint="eastAsia" w:ascii="宋体" w:hAnsi="宋体" w:eastAsia="宋体"/>
          <w:color w:val="auto"/>
          <w:sz w:val="24"/>
          <w:szCs w:val="24"/>
          <w:lang w:eastAsia="zh-CN"/>
        </w:rPr>
        <w:t>份</w:t>
      </w:r>
      <w:r>
        <w:rPr>
          <w:rFonts w:hint="eastAsia" w:ascii="宋体" w:hAnsi="宋体" w:eastAsia="宋体"/>
          <w:color w:val="auto"/>
          <w:spacing w:val="-2"/>
          <w:sz w:val="24"/>
          <w:szCs w:val="24"/>
          <w:lang w:eastAsia="zh-CN"/>
        </w:rPr>
        <w:t>证</w:t>
      </w:r>
      <w:r>
        <w:rPr>
          <w:rFonts w:hint="eastAsia" w:ascii="宋体" w:hAnsi="宋体" w:eastAsia="宋体" w:cs="宋体"/>
          <w:bCs/>
          <w:color w:val="auto"/>
          <w:sz w:val="24"/>
          <w:szCs w:val="24"/>
          <w:lang w:eastAsia="zh-CN"/>
        </w:rPr>
        <w:t>扫描</w:t>
      </w:r>
      <w:r>
        <w:rPr>
          <w:rFonts w:hint="eastAsia" w:ascii="宋体" w:hAnsi="宋体" w:eastAsia="宋体"/>
          <w:color w:val="auto"/>
          <w:sz w:val="24"/>
          <w:szCs w:val="24"/>
          <w:lang w:eastAsia="zh-CN"/>
        </w:rPr>
        <w:t>件 注：</w:t>
      </w:r>
      <w:r>
        <w:rPr>
          <w:rFonts w:hint="eastAsia" w:ascii="宋体" w:hAnsi="宋体" w:eastAsia="宋体"/>
          <w:color w:val="auto"/>
          <w:spacing w:val="-2"/>
          <w:sz w:val="24"/>
          <w:szCs w:val="24"/>
          <w:lang w:eastAsia="zh-CN"/>
        </w:rPr>
        <w:t>本</w:t>
      </w:r>
      <w:r>
        <w:rPr>
          <w:rFonts w:hint="eastAsia" w:ascii="宋体" w:hAnsi="宋体" w:eastAsia="宋体"/>
          <w:color w:val="auto"/>
          <w:sz w:val="24"/>
          <w:szCs w:val="24"/>
          <w:lang w:eastAsia="zh-CN"/>
        </w:rPr>
        <w:t>授</w:t>
      </w:r>
      <w:r>
        <w:rPr>
          <w:rFonts w:hint="eastAsia" w:ascii="宋体" w:hAnsi="宋体" w:eastAsia="宋体"/>
          <w:color w:val="auto"/>
          <w:spacing w:val="-2"/>
          <w:sz w:val="24"/>
          <w:szCs w:val="24"/>
          <w:lang w:eastAsia="zh-CN"/>
        </w:rPr>
        <w:t>权</w:t>
      </w:r>
      <w:r>
        <w:rPr>
          <w:rFonts w:hint="eastAsia" w:ascii="宋体" w:hAnsi="宋体" w:eastAsia="宋体"/>
          <w:color w:val="auto"/>
          <w:sz w:val="24"/>
          <w:szCs w:val="24"/>
          <w:lang w:eastAsia="zh-CN"/>
        </w:rPr>
        <w:t>委</w:t>
      </w:r>
      <w:r>
        <w:rPr>
          <w:rFonts w:hint="eastAsia" w:ascii="宋体" w:hAnsi="宋体" w:eastAsia="宋体"/>
          <w:color w:val="auto"/>
          <w:spacing w:val="-2"/>
          <w:sz w:val="24"/>
          <w:szCs w:val="24"/>
          <w:lang w:eastAsia="zh-CN"/>
        </w:rPr>
        <w:t>托</w:t>
      </w:r>
      <w:r>
        <w:rPr>
          <w:rFonts w:hint="eastAsia" w:ascii="宋体" w:hAnsi="宋体" w:eastAsia="宋体"/>
          <w:color w:val="auto"/>
          <w:sz w:val="24"/>
          <w:szCs w:val="24"/>
          <w:lang w:eastAsia="zh-CN"/>
        </w:rPr>
        <w:t>书</w:t>
      </w:r>
      <w:r>
        <w:rPr>
          <w:rFonts w:hint="eastAsia" w:ascii="宋体" w:hAnsi="宋体" w:eastAsia="宋体"/>
          <w:color w:val="auto"/>
          <w:spacing w:val="-2"/>
          <w:sz w:val="24"/>
          <w:szCs w:val="24"/>
          <w:lang w:eastAsia="zh-CN"/>
        </w:rPr>
        <w:t>需</w:t>
      </w:r>
      <w:r>
        <w:rPr>
          <w:rFonts w:hint="eastAsia" w:ascii="宋体" w:hAnsi="宋体" w:eastAsia="宋体"/>
          <w:color w:val="auto"/>
          <w:sz w:val="24"/>
          <w:szCs w:val="24"/>
          <w:lang w:eastAsia="zh-CN"/>
        </w:rPr>
        <w:t>由</w:t>
      </w:r>
      <w:r>
        <w:rPr>
          <w:rFonts w:hint="eastAsia" w:ascii="宋体" w:hAnsi="宋体" w:eastAsia="宋体"/>
          <w:color w:val="auto"/>
          <w:spacing w:val="-2"/>
          <w:sz w:val="24"/>
          <w:szCs w:val="24"/>
          <w:lang w:eastAsia="zh-CN"/>
        </w:rPr>
        <w:t>投</w:t>
      </w:r>
      <w:r>
        <w:rPr>
          <w:rFonts w:hint="eastAsia" w:ascii="宋体" w:hAnsi="宋体" w:eastAsia="宋体"/>
          <w:color w:val="auto"/>
          <w:sz w:val="24"/>
          <w:szCs w:val="24"/>
          <w:lang w:eastAsia="zh-CN"/>
        </w:rPr>
        <w:t>标人</w:t>
      </w:r>
      <w:r>
        <w:rPr>
          <w:rFonts w:hint="eastAsia" w:ascii="宋体" w:hAnsi="宋体" w:eastAsia="宋体"/>
          <w:color w:val="auto"/>
          <w:spacing w:val="-2"/>
          <w:sz w:val="24"/>
          <w:szCs w:val="24"/>
          <w:lang w:eastAsia="zh-CN"/>
        </w:rPr>
        <w:t>加</w:t>
      </w:r>
      <w:r>
        <w:rPr>
          <w:rFonts w:hint="eastAsia" w:ascii="宋体" w:hAnsi="宋体" w:eastAsia="宋体"/>
          <w:color w:val="auto"/>
          <w:sz w:val="24"/>
          <w:szCs w:val="24"/>
          <w:lang w:eastAsia="zh-CN"/>
        </w:rPr>
        <w:t>盖</w:t>
      </w:r>
      <w:r>
        <w:rPr>
          <w:rFonts w:hint="eastAsia" w:ascii="宋体" w:hAnsi="宋体" w:eastAsia="宋体"/>
          <w:color w:val="auto"/>
          <w:spacing w:val="-2"/>
          <w:sz w:val="24"/>
          <w:szCs w:val="24"/>
          <w:lang w:eastAsia="zh-CN"/>
        </w:rPr>
        <w:t>单</w:t>
      </w:r>
      <w:r>
        <w:rPr>
          <w:rFonts w:hint="eastAsia" w:ascii="宋体" w:hAnsi="宋体" w:eastAsia="宋体"/>
          <w:color w:val="auto"/>
          <w:sz w:val="24"/>
          <w:szCs w:val="24"/>
          <w:lang w:eastAsia="zh-CN"/>
        </w:rPr>
        <w:t>位</w:t>
      </w:r>
      <w:r>
        <w:rPr>
          <w:rFonts w:hint="eastAsia" w:ascii="宋体" w:hAnsi="宋体" w:eastAsia="宋体"/>
          <w:color w:val="auto"/>
          <w:spacing w:val="-2"/>
          <w:sz w:val="24"/>
          <w:szCs w:val="24"/>
          <w:lang w:eastAsia="zh-CN"/>
        </w:rPr>
        <w:t>公</w:t>
      </w:r>
      <w:r>
        <w:rPr>
          <w:rFonts w:hint="eastAsia" w:ascii="宋体" w:hAnsi="宋体" w:eastAsia="宋体"/>
          <w:color w:val="auto"/>
          <w:sz w:val="24"/>
          <w:szCs w:val="24"/>
          <w:lang w:eastAsia="zh-CN"/>
        </w:rPr>
        <w:t>章</w:t>
      </w:r>
      <w:r>
        <w:rPr>
          <w:rFonts w:hint="eastAsia" w:ascii="宋体" w:hAnsi="宋体" w:eastAsia="宋体"/>
          <w:color w:val="auto"/>
          <w:spacing w:val="-2"/>
          <w:sz w:val="24"/>
          <w:szCs w:val="24"/>
          <w:lang w:eastAsia="zh-CN"/>
        </w:rPr>
        <w:t>并</w:t>
      </w:r>
      <w:r>
        <w:rPr>
          <w:rFonts w:hint="eastAsia" w:ascii="宋体" w:hAnsi="宋体" w:eastAsia="宋体"/>
          <w:color w:val="auto"/>
          <w:sz w:val="24"/>
          <w:szCs w:val="24"/>
          <w:lang w:eastAsia="zh-CN"/>
        </w:rPr>
        <w:t>由</w:t>
      </w:r>
      <w:r>
        <w:rPr>
          <w:rFonts w:hint="eastAsia" w:ascii="宋体" w:hAnsi="宋体" w:eastAsia="宋体"/>
          <w:color w:val="auto"/>
          <w:spacing w:val="-2"/>
          <w:sz w:val="24"/>
          <w:szCs w:val="24"/>
          <w:lang w:eastAsia="zh-CN"/>
        </w:rPr>
        <w:t>其</w:t>
      </w:r>
      <w:r>
        <w:rPr>
          <w:rFonts w:hint="eastAsia" w:ascii="宋体" w:hAnsi="宋体" w:eastAsia="宋体"/>
          <w:color w:val="auto"/>
          <w:sz w:val="24"/>
          <w:szCs w:val="24"/>
          <w:lang w:eastAsia="zh-CN"/>
        </w:rPr>
        <w:t>法定</w:t>
      </w:r>
      <w:r>
        <w:rPr>
          <w:rFonts w:hint="eastAsia" w:ascii="宋体" w:hAnsi="宋体" w:eastAsia="宋体"/>
          <w:color w:val="auto"/>
          <w:spacing w:val="-2"/>
          <w:sz w:val="24"/>
          <w:szCs w:val="24"/>
          <w:lang w:eastAsia="zh-CN"/>
        </w:rPr>
        <w:t>代</w:t>
      </w:r>
      <w:r>
        <w:rPr>
          <w:rFonts w:hint="eastAsia" w:ascii="宋体" w:hAnsi="宋体" w:eastAsia="宋体"/>
          <w:color w:val="auto"/>
          <w:sz w:val="24"/>
          <w:szCs w:val="24"/>
          <w:lang w:eastAsia="zh-CN"/>
        </w:rPr>
        <w:t>表</w:t>
      </w:r>
      <w:r>
        <w:rPr>
          <w:rFonts w:hint="eastAsia" w:ascii="宋体" w:hAnsi="宋体" w:eastAsia="宋体"/>
          <w:color w:val="auto"/>
          <w:spacing w:val="-2"/>
          <w:sz w:val="24"/>
          <w:szCs w:val="24"/>
          <w:lang w:eastAsia="zh-CN"/>
        </w:rPr>
        <w:t>人</w:t>
      </w:r>
      <w:r>
        <w:rPr>
          <w:rFonts w:hint="eastAsia" w:ascii="宋体" w:hAnsi="宋体" w:eastAsia="宋体"/>
          <w:color w:val="auto"/>
          <w:sz w:val="24"/>
          <w:szCs w:val="24"/>
          <w:lang w:eastAsia="zh-CN"/>
        </w:rPr>
        <w:t>和</w:t>
      </w:r>
      <w:r>
        <w:rPr>
          <w:rFonts w:hint="eastAsia" w:ascii="宋体" w:hAnsi="宋体" w:eastAsia="宋体"/>
          <w:color w:val="auto"/>
          <w:spacing w:val="-2"/>
          <w:sz w:val="24"/>
          <w:szCs w:val="24"/>
          <w:lang w:eastAsia="zh-CN"/>
        </w:rPr>
        <w:t>委</w:t>
      </w:r>
      <w:r>
        <w:rPr>
          <w:rFonts w:hint="eastAsia" w:ascii="宋体" w:hAnsi="宋体" w:eastAsia="宋体"/>
          <w:color w:val="auto"/>
          <w:sz w:val="24"/>
          <w:szCs w:val="24"/>
          <w:lang w:eastAsia="zh-CN"/>
        </w:rPr>
        <w:t>托</w:t>
      </w:r>
      <w:r>
        <w:rPr>
          <w:rFonts w:hint="eastAsia" w:ascii="宋体" w:hAnsi="宋体" w:eastAsia="宋体"/>
          <w:color w:val="auto"/>
          <w:spacing w:val="-2"/>
          <w:sz w:val="24"/>
          <w:szCs w:val="24"/>
          <w:lang w:eastAsia="zh-CN"/>
        </w:rPr>
        <w:t>代</w:t>
      </w:r>
      <w:r>
        <w:rPr>
          <w:rFonts w:hint="eastAsia" w:ascii="宋体" w:hAnsi="宋体" w:eastAsia="宋体"/>
          <w:color w:val="auto"/>
          <w:sz w:val="24"/>
          <w:szCs w:val="24"/>
          <w:lang w:eastAsia="zh-CN"/>
        </w:rPr>
        <w:t>理</w:t>
      </w:r>
      <w:r>
        <w:rPr>
          <w:rFonts w:hint="eastAsia" w:ascii="宋体" w:hAnsi="宋体" w:eastAsia="宋体"/>
          <w:color w:val="auto"/>
          <w:spacing w:val="-2"/>
          <w:sz w:val="24"/>
          <w:szCs w:val="24"/>
          <w:lang w:eastAsia="zh-CN"/>
        </w:rPr>
        <w:t>人</w:t>
      </w:r>
      <w:r>
        <w:rPr>
          <w:rFonts w:hint="eastAsia" w:ascii="宋体" w:hAnsi="宋体" w:eastAsia="宋体"/>
          <w:color w:val="auto"/>
          <w:sz w:val="24"/>
          <w:szCs w:val="24"/>
          <w:lang w:eastAsia="zh-CN"/>
        </w:rPr>
        <w:t>签字</w:t>
      </w:r>
      <w:r>
        <w:rPr>
          <w:rFonts w:hint="eastAsia" w:ascii="宋体" w:hAnsi="宋体" w:eastAsia="宋体"/>
          <w:color w:val="auto"/>
          <w:spacing w:val="-2"/>
          <w:position w:val="-2"/>
          <w:sz w:val="24"/>
          <w:szCs w:val="24"/>
          <w:lang w:eastAsia="zh-CN"/>
        </w:rPr>
        <w:t>或盖章</w:t>
      </w:r>
      <w:r>
        <w:rPr>
          <w:rFonts w:hint="eastAsia" w:ascii="宋体" w:hAnsi="宋体" w:eastAsia="宋体"/>
          <w:color w:val="auto"/>
          <w:sz w:val="24"/>
          <w:szCs w:val="24"/>
          <w:lang w:eastAsia="zh-CN"/>
        </w:rPr>
        <w:t>。</w:t>
      </w:r>
    </w:p>
    <w:p w14:paraId="1FA9B684">
      <w:pPr>
        <w:autoSpaceDE w:val="0"/>
        <w:autoSpaceDN w:val="0"/>
        <w:adjustRightInd w:val="0"/>
        <w:spacing w:line="360" w:lineRule="auto"/>
        <w:rPr>
          <w:rFonts w:ascii="宋体" w:hAnsi="宋体" w:eastAsia="宋体"/>
          <w:color w:val="auto"/>
          <w:sz w:val="24"/>
          <w:szCs w:val="24"/>
          <w:lang w:eastAsia="zh-CN"/>
        </w:rPr>
      </w:pPr>
    </w:p>
    <w:p w14:paraId="2FC78144">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position w:val="-4"/>
          <w:sz w:val="24"/>
          <w:szCs w:val="24"/>
          <w:lang w:eastAsia="zh-CN"/>
        </w:rPr>
        <w:t>投标</w:t>
      </w:r>
      <w:r>
        <w:rPr>
          <w:rFonts w:hint="eastAsia" w:ascii="宋体" w:hAnsi="宋体" w:eastAsia="宋体"/>
          <w:color w:val="auto"/>
          <w:spacing w:val="-2"/>
          <w:position w:val="-4"/>
          <w:sz w:val="24"/>
          <w:szCs w:val="24"/>
          <w:lang w:eastAsia="zh-CN"/>
        </w:rPr>
        <w:t>人：</w:t>
      </w:r>
      <w:r>
        <w:rPr>
          <w:rFonts w:hint="eastAsia" w:ascii="宋体" w:hAnsi="宋体" w:eastAsia="宋体"/>
          <w:color w:val="auto"/>
          <w:position w:val="-4"/>
          <w:sz w:val="24"/>
          <w:szCs w:val="24"/>
          <w:u w:val="single"/>
          <w:lang w:eastAsia="zh-CN"/>
        </w:rPr>
        <w:t xml:space="preserve">           </w:t>
      </w:r>
      <w:r>
        <w:rPr>
          <w:rFonts w:hint="eastAsia" w:ascii="宋体" w:hAnsi="宋体" w:eastAsia="宋体"/>
          <w:color w:val="auto"/>
          <w:position w:val="-4"/>
          <w:sz w:val="24"/>
          <w:szCs w:val="24"/>
          <w:lang w:eastAsia="zh-CN"/>
        </w:rPr>
        <w:t>（盖</w:t>
      </w:r>
      <w:r>
        <w:rPr>
          <w:rFonts w:hint="eastAsia" w:ascii="宋体" w:hAnsi="宋体" w:eastAsia="宋体"/>
          <w:color w:val="auto"/>
          <w:spacing w:val="-2"/>
          <w:position w:val="-4"/>
          <w:sz w:val="24"/>
          <w:szCs w:val="24"/>
          <w:lang w:eastAsia="zh-CN"/>
        </w:rPr>
        <w:t>单</w:t>
      </w:r>
      <w:r>
        <w:rPr>
          <w:rFonts w:hint="eastAsia" w:ascii="宋体" w:hAnsi="宋体" w:eastAsia="宋体"/>
          <w:color w:val="auto"/>
          <w:spacing w:val="1"/>
          <w:position w:val="-4"/>
          <w:sz w:val="24"/>
          <w:szCs w:val="24"/>
          <w:lang w:eastAsia="zh-CN"/>
        </w:rPr>
        <w:t>位</w:t>
      </w:r>
      <w:r>
        <w:rPr>
          <w:rFonts w:hint="eastAsia" w:ascii="宋体" w:hAnsi="宋体" w:eastAsia="宋体"/>
          <w:color w:val="auto"/>
          <w:spacing w:val="-2"/>
          <w:position w:val="-4"/>
          <w:sz w:val="24"/>
          <w:szCs w:val="24"/>
          <w:lang w:eastAsia="zh-CN"/>
        </w:rPr>
        <w:t>章</w:t>
      </w:r>
      <w:r>
        <w:rPr>
          <w:rFonts w:hint="eastAsia" w:ascii="宋体" w:hAnsi="宋体" w:eastAsia="宋体"/>
          <w:color w:val="auto"/>
          <w:position w:val="-4"/>
          <w:sz w:val="24"/>
          <w:szCs w:val="24"/>
          <w:lang w:eastAsia="zh-CN"/>
        </w:rPr>
        <w:t>）</w:t>
      </w:r>
    </w:p>
    <w:p w14:paraId="33A7214A">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position w:val="-2"/>
          <w:sz w:val="24"/>
          <w:szCs w:val="24"/>
          <w:lang w:eastAsia="zh-CN"/>
        </w:rPr>
        <w:t>法定</w:t>
      </w:r>
      <w:r>
        <w:rPr>
          <w:rFonts w:hint="eastAsia" w:ascii="宋体" w:hAnsi="宋体" w:eastAsia="宋体"/>
          <w:color w:val="auto"/>
          <w:spacing w:val="-2"/>
          <w:position w:val="-2"/>
          <w:sz w:val="24"/>
          <w:szCs w:val="24"/>
          <w:lang w:eastAsia="zh-CN"/>
        </w:rPr>
        <w:t>代</w:t>
      </w:r>
      <w:r>
        <w:rPr>
          <w:rFonts w:hint="eastAsia" w:ascii="宋体" w:hAnsi="宋体" w:eastAsia="宋体"/>
          <w:color w:val="auto"/>
          <w:position w:val="-2"/>
          <w:sz w:val="24"/>
          <w:szCs w:val="24"/>
          <w:lang w:eastAsia="zh-CN"/>
        </w:rPr>
        <w:t>表</w:t>
      </w:r>
      <w:r>
        <w:rPr>
          <w:rFonts w:hint="eastAsia" w:ascii="宋体" w:hAnsi="宋体" w:eastAsia="宋体"/>
          <w:color w:val="auto"/>
          <w:spacing w:val="-2"/>
          <w:position w:val="-2"/>
          <w:sz w:val="24"/>
          <w:szCs w:val="24"/>
          <w:lang w:eastAsia="zh-CN"/>
        </w:rPr>
        <w:t>人</w:t>
      </w:r>
      <w:r>
        <w:rPr>
          <w:rFonts w:hint="eastAsia" w:ascii="宋体" w:hAnsi="宋体" w:eastAsia="宋体"/>
          <w:color w:val="auto"/>
          <w:spacing w:val="-3"/>
          <w:position w:val="-2"/>
          <w:sz w:val="24"/>
          <w:szCs w:val="24"/>
          <w:lang w:eastAsia="zh-CN"/>
        </w:rPr>
        <w:t>：</w:t>
      </w:r>
      <w:r>
        <w:rPr>
          <w:rFonts w:hint="eastAsia" w:ascii="宋体" w:hAnsi="宋体" w:eastAsia="宋体"/>
          <w:color w:val="auto"/>
          <w:position w:val="-4"/>
          <w:sz w:val="24"/>
          <w:szCs w:val="24"/>
          <w:u w:val="single"/>
          <w:lang w:eastAsia="zh-CN"/>
        </w:rPr>
        <w:t xml:space="preserve">           </w:t>
      </w:r>
      <w:r>
        <w:rPr>
          <w:rFonts w:hint="eastAsia" w:ascii="宋体" w:hAnsi="宋体" w:eastAsia="宋体"/>
          <w:color w:val="auto"/>
          <w:position w:val="-2"/>
          <w:sz w:val="24"/>
          <w:szCs w:val="24"/>
          <w:lang w:eastAsia="zh-CN"/>
        </w:rPr>
        <w:t>（签</w:t>
      </w:r>
      <w:r>
        <w:rPr>
          <w:rFonts w:hint="eastAsia" w:ascii="宋体" w:hAnsi="宋体" w:eastAsia="宋体"/>
          <w:color w:val="auto"/>
          <w:spacing w:val="-2"/>
          <w:position w:val="-2"/>
          <w:sz w:val="24"/>
          <w:szCs w:val="24"/>
          <w:lang w:eastAsia="zh-CN"/>
        </w:rPr>
        <w:t>字或盖章</w:t>
      </w:r>
      <w:r>
        <w:rPr>
          <w:rFonts w:hint="eastAsia" w:ascii="宋体" w:hAnsi="宋体" w:eastAsia="宋体"/>
          <w:color w:val="auto"/>
          <w:position w:val="-2"/>
          <w:sz w:val="24"/>
          <w:szCs w:val="24"/>
          <w:lang w:eastAsia="zh-CN"/>
        </w:rPr>
        <w:t>）</w:t>
      </w:r>
    </w:p>
    <w:p w14:paraId="584EE40A">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position w:val="-2"/>
          <w:sz w:val="24"/>
          <w:szCs w:val="24"/>
          <w:lang w:eastAsia="zh-CN"/>
        </w:rPr>
        <w:t>身份</w:t>
      </w:r>
      <w:r>
        <w:rPr>
          <w:rFonts w:hint="eastAsia" w:ascii="宋体" w:hAnsi="宋体" w:eastAsia="宋体"/>
          <w:color w:val="auto"/>
          <w:spacing w:val="-2"/>
          <w:position w:val="-2"/>
          <w:sz w:val="24"/>
          <w:szCs w:val="24"/>
          <w:lang w:eastAsia="zh-CN"/>
        </w:rPr>
        <w:t>证</w:t>
      </w:r>
      <w:r>
        <w:rPr>
          <w:rFonts w:hint="eastAsia" w:ascii="宋体" w:hAnsi="宋体" w:eastAsia="宋体"/>
          <w:color w:val="auto"/>
          <w:position w:val="-2"/>
          <w:sz w:val="24"/>
          <w:szCs w:val="24"/>
          <w:lang w:eastAsia="zh-CN"/>
        </w:rPr>
        <w:t>号</w:t>
      </w:r>
      <w:r>
        <w:rPr>
          <w:rFonts w:hint="eastAsia" w:ascii="宋体" w:hAnsi="宋体" w:eastAsia="宋体"/>
          <w:color w:val="auto"/>
          <w:spacing w:val="-2"/>
          <w:position w:val="-2"/>
          <w:sz w:val="24"/>
          <w:szCs w:val="24"/>
          <w:lang w:eastAsia="zh-CN"/>
        </w:rPr>
        <w:t>码</w:t>
      </w:r>
      <w:r>
        <w:rPr>
          <w:rFonts w:hint="eastAsia" w:ascii="宋体" w:hAnsi="宋体" w:eastAsia="宋体"/>
          <w:color w:val="auto"/>
          <w:spacing w:val="-3"/>
          <w:position w:val="-2"/>
          <w:sz w:val="24"/>
          <w:szCs w:val="24"/>
          <w:lang w:eastAsia="zh-CN"/>
        </w:rPr>
        <w:t>：</w:t>
      </w:r>
      <w:r>
        <w:rPr>
          <w:rFonts w:hint="eastAsia" w:ascii="宋体" w:hAnsi="宋体" w:eastAsia="宋体"/>
          <w:color w:val="auto"/>
          <w:position w:val="-4"/>
          <w:sz w:val="24"/>
          <w:szCs w:val="24"/>
          <w:u w:val="single"/>
          <w:lang w:eastAsia="zh-CN"/>
        </w:rPr>
        <w:t xml:space="preserve">           </w:t>
      </w:r>
    </w:p>
    <w:p w14:paraId="40172290">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position w:val="-2"/>
          <w:sz w:val="24"/>
          <w:szCs w:val="24"/>
          <w:lang w:eastAsia="zh-CN"/>
        </w:rPr>
        <w:t>委托</w:t>
      </w:r>
      <w:r>
        <w:rPr>
          <w:rFonts w:hint="eastAsia" w:ascii="宋体" w:hAnsi="宋体" w:eastAsia="宋体"/>
          <w:color w:val="auto"/>
          <w:spacing w:val="-2"/>
          <w:position w:val="-2"/>
          <w:sz w:val="24"/>
          <w:szCs w:val="24"/>
          <w:lang w:eastAsia="zh-CN"/>
        </w:rPr>
        <w:t>代</w:t>
      </w:r>
      <w:r>
        <w:rPr>
          <w:rFonts w:hint="eastAsia" w:ascii="宋体" w:hAnsi="宋体" w:eastAsia="宋体"/>
          <w:color w:val="auto"/>
          <w:position w:val="-2"/>
          <w:sz w:val="24"/>
          <w:szCs w:val="24"/>
          <w:lang w:eastAsia="zh-CN"/>
        </w:rPr>
        <w:t>理</w:t>
      </w:r>
      <w:r>
        <w:rPr>
          <w:rFonts w:hint="eastAsia" w:ascii="宋体" w:hAnsi="宋体" w:eastAsia="宋体"/>
          <w:color w:val="auto"/>
          <w:spacing w:val="-2"/>
          <w:position w:val="-2"/>
          <w:sz w:val="24"/>
          <w:szCs w:val="24"/>
          <w:lang w:eastAsia="zh-CN"/>
        </w:rPr>
        <w:t>人</w:t>
      </w:r>
      <w:r>
        <w:rPr>
          <w:rFonts w:hint="eastAsia" w:ascii="宋体" w:hAnsi="宋体" w:eastAsia="宋体"/>
          <w:color w:val="auto"/>
          <w:spacing w:val="-3"/>
          <w:position w:val="-2"/>
          <w:sz w:val="24"/>
          <w:szCs w:val="24"/>
          <w:lang w:eastAsia="zh-CN"/>
        </w:rPr>
        <w:t>：</w:t>
      </w:r>
      <w:r>
        <w:rPr>
          <w:rFonts w:hint="eastAsia" w:ascii="宋体" w:hAnsi="宋体" w:eastAsia="宋体"/>
          <w:color w:val="auto"/>
          <w:position w:val="-4"/>
          <w:sz w:val="24"/>
          <w:szCs w:val="24"/>
          <w:u w:val="single"/>
          <w:lang w:eastAsia="zh-CN"/>
        </w:rPr>
        <w:t xml:space="preserve">           </w:t>
      </w:r>
      <w:r>
        <w:rPr>
          <w:rFonts w:hint="eastAsia" w:ascii="宋体" w:hAnsi="宋体" w:eastAsia="宋体"/>
          <w:color w:val="auto"/>
          <w:position w:val="-2"/>
          <w:sz w:val="24"/>
          <w:szCs w:val="24"/>
          <w:lang w:eastAsia="zh-CN"/>
        </w:rPr>
        <w:t>（签</w:t>
      </w:r>
      <w:r>
        <w:rPr>
          <w:rFonts w:hint="eastAsia" w:ascii="宋体" w:hAnsi="宋体" w:eastAsia="宋体"/>
          <w:color w:val="auto"/>
          <w:spacing w:val="-2"/>
          <w:position w:val="-2"/>
          <w:sz w:val="24"/>
          <w:szCs w:val="24"/>
          <w:lang w:eastAsia="zh-CN"/>
        </w:rPr>
        <w:t>字或盖章</w:t>
      </w:r>
      <w:r>
        <w:rPr>
          <w:rFonts w:hint="eastAsia" w:ascii="宋体" w:hAnsi="宋体" w:eastAsia="宋体"/>
          <w:color w:val="auto"/>
          <w:position w:val="-2"/>
          <w:sz w:val="24"/>
          <w:szCs w:val="24"/>
          <w:lang w:eastAsia="zh-CN"/>
        </w:rPr>
        <w:t>）</w:t>
      </w:r>
    </w:p>
    <w:p w14:paraId="5A296E58">
      <w:pPr>
        <w:autoSpaceDE w:val="0"/>
        <w:autoSpaceDN w:val="0"/>
        <w:adjustRightInd w:val="0"/>
        <w:spacing w:line="360" w:lineRule="auto"/>
        <w:rPr>
          <w:rFonts w:ascii="宋体" w:hAnsi="宋体" w:eastAsia="宋体"/>
          <w:color w:val="auto"/>
          <w:sz w:val="24"/>
          <w:szCs w:val="24"/>
          <w:lang w:eastAsia="zh-CN"/>
        </w:rPr>
      </w:pPr>
      <w:r>
        <w:rPr>
          <w:rFonts w:hint="eastAsia" w:ascii="宋体" w:hAnsi="宋体" w:eastAsia="宋体"/>
          <w:color w:val="auto"/>
          <w:position w:val="-2"/>
          <w:sz w:val="24"/>
          <w:szCs w:val="24"/>
          <w:lang w:eastAsia="zh-CN"/>
        </w:rPr>
        <w:t>身份</w:t>
      </w:r>
      <w:r>
        <w:rPr>
          <w:rFonts w:hint="eastAsia" w:ascii="宋体" w:hAnsi="宋体" w:eastAsia="宋体"/>
          <w:color w:val="auto"/>
          <w:spacing w:val="-2"/>
          <w:position w:val="-2"/>
          <w:sz w:val="24"/>
          <w:szCs w:val="24"/>
          <w:lang w:eastAsia="zh-CN"/>
        </w:rPr>
        <w:t>证</w:t>
      </w:r>
      <w:r>
        <w:rPr>
          <w:rFonts w:hint="eastAsia" w:ascii="宋体" w:hAnsi="宋体" w:eastAsia="宋体"/>
          <w:color w:val="auto"/>
          <w:position w:val="-2"/>
          <w:sz w:val="24"/>
          <w:szCs w:val="24"/>
          <w:lang w:eastAsia="zh-CN"/>
        </w:rPr>
        <w:t>号</w:t>
      </w:r>
      <w:r>
        <w:rPr>
          <w:rFonts w:hint="eastAsia" w:ascii="宋体" w:hAnsi="宋体" w:eastAsia="宋体"/>
          <w:color w:val="auto"/>
          <w:spacing w:val="-2"/>
          <w:position w:val="-2"/>
          <w:sz w:val="24"/>
          <w:szCs w:val="24"/>
          <w:lang w:eastAsia="zh-CN"/>
        </w:rPr>
        <w:t>码</w:t>
      </w:r>
      <w:r>
        <w:rPr>
          <w:rFonts w:hint="eastAsia" w:ascii="宋体" w:hAnsi="宋体" w:eastAsia="宋体"/>
          <w:color w:val="auto"/>
          <w:spacing w:val="-3"/>
          <w:position w:val="-2"/>
          <w:sz w:val="24"/>
          <w:szCs w:val="24"/>
          <w:lang w:eastAsia="zh-CN"/>
        </w:rPr>
        <w:t>：</w:t>
      </w:r>
      <w:r>
        <w:rPr>
          <w:rFonts w:hint="eastAsia" w:ascii="宋体" w:hAnsi="宋体" w:eastAsia="宋体"/>
          <w:color w:val="auto"/>
          <w:position w:val="-4"/>
          <w:sz w:val="24"/>
          <w:szCs w:val="24"/>
          <w:u w:val="single"/>
          <w:lang w:eastAsia="zh-CN"/>
        </w:rPr>
        <w:t xml:space="preserve">           </w:t>
      </w:r>
    </w:p>
    <w:p w14:paraId="474E62BD">
      <w:pPr>
        <w:wordWrap w:val="0"/>
        <w:autoSpaceDE w:val="0"/>
        <w:autoSpaceDN w:val="0"/>
        <w:adjustRightInd w:val="0"/>
        <w:spacing w:line="360" w:lineRule="auto"/>
        <w:jc w:val="right"/>
        <w:rPr>
          <w:rFonts w:ascii="宋体" w:hAnsi="宋体" w:eastAsia="宋体"/>
          <w:color w:val="auto"/>
          <w:sz w:val="24"/>
          <w:szCs w:val="24"/>
          <w:lang w:eastAsia="zh-CN"/>
        </w:rPr>
      </w:pP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年</w:t>
      </w:r>
      <w:r>
        <w:rPr>
          <w:rFonts w:hint="eastAsia" w:ascii="宋体" w:hAnsi="宋体" w:eastAsia="宋体"/>
          <w:color w:val="auto"/>
          <w:sz w:val="24"/>
          <w:szCs w:val="24"/>
          <w:u w:val="single"/>
          <w:lang w:eastAsia="zh-CN"/>
        </w:rPr>
        <w:t xml:space="preserve">      </w:t>
      </w:r>
      <w:r>
        <w:rPr>
          <w:rFonts w:hint="eastAsia" w:ascii="宋体" w:hAnsi="宋体" w:eastAsia="宋体"/>
          <w:color w:val="auto"/>
          <w:spacing w:val="-2"/>
          <w:sz w:val="24"/>
          <w:szCs w:val="24"/>
          <w:lang w:eastAsia="zh-CN"/>
        </w:rPr>
        <w:t>月</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日</w:t>
      </w:r>
    </w:p>
    <w:p w14:paraId="33F5C7DC">
      <w:pPr>
        <w:widowControl/>
        <w:spacing w:line="360" w:lineRule="auto"/>
        <w:rPr>
          <w:rFonts w:ascii="宋体" w:hAnsi="宋体" w:eastAsia="宋体" w:cs="宋体"/>
          <w:color w:val="auto"/>
          <w:spacing w:val="2"/>
          <w:position w:val="-1"/>
          <w:sz w:val="24"/>
          <w:szCs w:val="24"/>
          <w:lang w:eastAsia="zh-CN"/>
        </w:rPr>
        <w:sectPr>
          <w:pgSz w:w="11907" w:h="16839"/>
          <w:pgMar w:top="1440" w:right="1440" w:bottom="1440" w:left="1440" w:header="0" w:footer="918" w:gutter="0"/>
          <w:cols w:space="720" w:num="1"/>
        </w:sectPr>
      </w:pPr>
    </w:p>
    <w:p w14:paraId="0919DDC7">
      <w:pPr>
        <w:pStyle w:val="5"/>
        <w:rPr>
          <w:rFonts w:hint="eastAsia" w:ascii="宋体" w:hAnsi="宋体" w:eastAsia="宋体"/>
          <w:color w:val="auto"/>
          <w:spacing w:val="2"/>
          <w:position w:val="-1"/>
          <w:lang w:eastAsia="zh-CN"/>
        </w:rPr>
      </w:pPr>
      <w:bookmarkStart w:id="53" w:name="_Toc63065955"/>
      <w:bookmarkStart w:id="54" w:name="_Toc50480839"/>
      <w:bookmarkStart w:id="55" w:name="_Toc25072143"/>
      <w:r>
        <w:rPr>
          <w:rFonts w:hint="eastAsia" w:ascii="宋体" w:hAnsi="宋体" w:eastAsia="宋体"/>
          <w:color w:val="auto"/>
          <w:spacing w:val="2"/>
          <w:position w:val="-1"/>
          <w:lang w:eastAsia="zh-CN"/>
        </w:rPr>
        <w:t>格式三：合作设计协议书</w:t>
      </w:r>
    </w:p>
    <w:p w14:paraId="7557BB94">
      <w:pPr>
        <w:pStyle w:val="5"/>
        <w:rPr>
          <w:rFonts w:ascii="宋体" w:hAnsi="宋体" w:eastAsia="宋体"/>
          <w:color w:val="auto"/>
          <w:spacing w:val="2"/>
          <w:position w:val="-1"/>
          <w:lang w:eastAsia="zh-CN"/>
        </w:rPr>
      </w:pPr>
      <w:r>
        <w:rPr>
          <w:rFonts w:hint="eastAsia" w:ascii="宋体" w:hAnsi="宋体" w:eastAsia="宋体"/>
          <w:color w:val="auto"/>
          <w:spacing w:val="2"/>
          <w:position w:val="-1"/>
          <w:lang w:eastAsia="zh-CN"/>
        </w:rPr>
        <w:t>合作设计协议书参考格式（格式仅供参考，适用于合作设计，否则可不提供）</w:t>
      </w:r>
      <w:bookmarkEnd w:id="53"/>
      <w:bookmarkEnd w:id="54"/>
    </w:p>
    <w:p w14:paraId="21EE7A27">
      <w:pPr>
        <w:jc w:val="center"/>
        <w:rPr>
          <w:rFonts w:ascii="宋体" w:hAnsi="宋体" w:eastAsia="宋体"/>
          <w:b/>
          <w:bCs/>
          <w:color w:val="auto"/>
          <w:sz w:val="32"/>
          <w:szCs w:val="32"/>
          <w:lang w:eastAsia="zh-CN"/>
        </w:rPr>
      </w:pPr>
    </w:p>
    <w:p w14:paraId="21544FBA">
      <w:pPr>
        <w:jc w:val="center"/>
        <w:rPr>
          <w:rFonts w:ascii="宋体" w:hAnsi="宋体" w:eastAsia="宋体"/>
          <w:b/>
          <w:bCs/>
          <w:color w:val="auto"/>
          <w:sz w:val="32"/>
          <w:szCs w:val="32"/>
          <w:lang w:eastAsia="zh-CN"/>
        </w:rPr>
      </w:pPr>
      <w:r>
        <w:rPr>
          <w:rFonts w:hint="eastAsia" w:ascii="宋体" w:hAnsi="宋体" w:eastAsia="宋体"/>
          <w:b/>
          <w:bCs/>
          <w:color w:val="auto"/>
          <w:sz w:val="32"/>
          <w:szCs w:val="32"/>
          <w:lang w:eastAsia="zh-CN"/>
        </w:rPr>
        <w:t>合作设计协议书</w:t>
      </w:r>
    </w:p>
    <w:p w14:paraId="718A9E6F">
      <w:pPr>
        <w:rPr>
          <w:rFonts w:ascii="宋体" w:hAnsi="宋体" w:eastAsia="宋体"/>
          <w:color w:val="auto"/>
          <w:sz w:val="24"/>
          <w:lang w:eastAsia="zh-CN"/>
        </w:rPr>
      </w:pPr>
    </w:p>
    <w:p w14:paraId="29941B87">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投标项目名称：</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w:t>
      </w:r>
    </w:p>
    <w:p w14:paraId="4E94CDDB">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致：</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（招标人）</w:t>
      </w:r>
    </w:p>
    <w:p w14:paraId="0F17BD9F">
      <w:pPr>
        <w:spacing w:line="360" w:lineRule="auto"/>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按照招标公告的规定，</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w:t>
      </w:r>
      <w:r>
        <w:rPr>
          <w:rFonts w:hint="eastAsia" w:ascii="宋体" w:hAnsi="宋体" w:eastAsia="宋体" w:cs="宋体"/>
          <w:color w:val="auto"/>
          <w:sz w:val="24"/>
          <w:szCs w:val="24"/>
          <w:shd w:val="clear" w:color="auto" w:fill="FFFFFF"/>
          <w:lang w:eastAsia="zh-CN"/>
        </w:rPr>
        <w:t>外国或澳门、台湾的设计企业</w:t>
      </w:r>
      <w:r>
        <w:rPr>
          <w:rFonts w:hint="eastAsia" w:ascii="宋体" w:hAnsi="宋体" w:eastAsia="宋体" w:cs="宋体"/>
          <w:b/>
          <w:color w:val="auto"/>
          <w:sz w:val="24"/>
          <w:szCs w:val="24"/>
          <w:u w:val="single"/>
          <w:shd w:val="clear" w:color="auto" w:fill="FFFFFF"/>
          <w:lang w:eastAsia="zh-CN"/>
        </w:rPr>
        <w:t>和香港不单独参加投标的设计企业</w:t>
      </w:r>
      <w:r>
        <w:rPr>
          <w:rFonts w:hint="eastAsia" w:ascii="宋体" w:hAnsi="宋体" w:eastAsia="宋体" w:cs="宋体"/>
          <w:color w:val="auto"/>
          <w:sz w:val="24"/>
          <w:szCs w:val="24"/>
          <w:lang w:eastAsia="zh-CN"/>
        </w:rPr>
        <w:t>）作为投标人（即“申请人”，下同）</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（符合招标公告第5.2条资质条件的企业）的合作设计方，参与本项目进行合作设计。若中标，各成员向招标人承担连带责任。合作设计方授权委托</w:t>
      </w:r>
      <w:r>
        <w:rPr>
          <w:rFonts w:hint="eastAsia" w:ascii="宋体" w:hAnsi="宋体" w:eastAsia="宋体" w:cs="宋体"/>
          <w:color w:val="auto"/>
          <w:sz w:val="24"/>
          <w:szCs w:val="24"/>
          <w:u w:val="single"/>
          <w:lang w:eastAsia="zh-CN"/>
        </w:rPr>
        <w:t xml:space="preserve">      </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（符合招标公告第5.2条资质条件的企业）代表所有合作成员参加投标、提交投标文件，以及与招标人签订合同，负责整个合同实施阶段的协调工作。</w:t>
      </w:r>
    </w:p>
    <w:p w14:paraId="3738A526">
      <w:pPr>
        <w:rPr>
          <w:rFonts w:ascii="宋体" w:hAnsi="宋体" w:eastAsia="宋体"/>
          <w:color w:val="auto"/>
          <w:sz w:val="24"/>
          <w:szCs w:val="24"/>
          <w:lang w:eastAsia="zh-CN"/>
        </w:rPr>
      </w:pPr>
    </w:p>
    <w:p w14:paraId="50FC0CC5">
      <w:pPr>
        <w:rPr>
          <w:rFonts w:ascii="宋体" w:hAnsi="宋体" w:eastAsia="宋体"/>
          <w:color w:val="auto"/>
          <w:sz w:val="24"/>
          <w:szCs w:val="24"/>
          <w:lang w:eastAsia="zh-CN"/>
        </w:rPr>
      </w:pPr>
    </w:p>
    <w:p w14:paraId="37E05183">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合作设计方：（盖章）</w:t>
      </w:r>
      <w:r>
        <w:rPr>
          <w:rFonts w:hint="eastAsia" w:ascii="宋体" w:hAnsi="宋体" w:eastAsia="宋体"/>
          <w:color w:val="auto"/>
          <w:sz w:val="24"/>
          <w:szCs w:val="24"/>
          <w:u w:val="single"/>
          <w:lang w:eastAsia="zh-CN"/>
        </w:rPr>
        <w:t xml:space="preserve">                                         </w:t>
      </w:r>
    </w:p>
    <w:p w14:paraId="4AB75942">
      <w:pPr>
        <w:spacing w:line="360" w:lineRule="auto"/>
        <w:rPr>
          <w:rFonts w:ascii="宋体" w:hAnsi="宋体" w:eastAsia="宋体"/>
          <w:color w:val="auto"/>
          <w:sz w:val="24"/>
          <w:szCs w:val="24"/>
          <w:u w:val="single"/>
          <w:lang w:eastAsia="zh-CN"/>
        </w:rPr>
      </w:pPr>
      <w:r>
        <w:rPr>
          <w:rFonts w:hint="eastAsia" w:ascii="宋体" w:hAnsi="宋体" w:eastAsia="宋体"/>
          <w:color w:val="auto"/>
          <w:sz w:val="24"/>
          <w:szCs w:val="24"/>
          <w:lang w:eastAsia="zh-CN"/>
        </w:rPr>
        <w:t>代表人：（签字或盖章）</w:t>
      </w:r>
      <w:r>
        <w:rPr>
          <w:rFonts w:hint="eastAsia" w:ascii="宋体" w:hAnsi="宋体" w:eastAsia="宋体"/>
          <w:color w:val="auto"/>
          <w:sz w:val="24"/>
          <w:szCs w:val="24"/>
          <w:u w:val="single"/>
          <w:lang w:eastAsia="zh-CN"/>
        </w:rPr>
        <w:t xml:space="preserve">                                       </w:t>
      </w:r>
    </w:p>
    <w:p w14:paraId="24B258A1">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分工内容：</w:t>
      </w:r>
      <w:r>
        <w:rPr>
          <w:rFonts w:hint="eastAsia" w:ascii="宋体" w:hAnsi="宋体" w:eastAsia="宋体"/>
          <w:color w:val="auto"/>
          <w:sz w:val="24"/>
          <w:szCs w:val="24"/>
          <w:u w:val="single"/>
          <w:lang w:eastAsia="zh-CN"/>
        </w:rPr>
        <w:t xml:space="preserve">                                                  </w:t>
      </w:r>
    </w:p>
    <w:p w14:paraId="184BB72E">
      <w:pPr>
        <w:spacing w:line="360" w:lineRule="auto"/>
        <w:rPr>
          <w:rFonts w:ascii="宋体" w:hAnsi="宋体" w:eastAsia="宋体"/>
          <w:color w:val="auto"/>
          <w:sz w:val="24"/>
          <w:szCs w:val="24"/>
          <w:lang w:eastAsia="zh-CN"/>
        </w:rPr>
      </w:pPr>
    </w:p>
    <w:p w14:paraId="73155E60">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投标人：（盖章）</w:t>
      </w:r>
      <w:r>
        <w:rPr>
          <w:rFonts w:hint="eastAsia" w:ascii="宋体" w:hAnsi="宋体" w:eastAsia="宋体"/>
          <w:color w:val="auto"/>
          <w:sz w:val="24"/>
          <w:szCs w:val="24"/>
          <w:u w:val="single"/>
          <w:lang w:eastAsia="zh-CN"/>
        </w:rPr>
        <w:t xml:space="preserve">                                             </w:t>
      </w:r>
    </w:p>
    <w:p w14:paraId="7C60789A">
      <w:pPr>
        <w:spacing w:line="360" w:lineRule="auto"/>
        <w:rPr>
          <w:rFonts w:ascii="宋体" w:hAnsi="宋体" w:eastAsia="宋体"/>
          <w:color w:val="auto"/>
          <w:sz w:val="24"/>
          <w:szCs w:val="24"/>
          <w:u w:val="single"/>
          <w:lang w:eastAsia="zh-CN"/>
        </w:rPr>
      </w:pPr>
      <w:r>
        <w:rPr>
          <w:rFonts w:hint="eastAsia" w:ascii="宋体" w:hAnsi="宋体" w:eastAsia="宋体"/>
          <w:color w:val="auto"/>
          <w:sz w:val="24"/>
          <w:szCs w:val="24"/>
          <w:lang w:eastAsia="zh-CN"/>
        </w:rPr>
        <w:t>法定代表人：（签字或盖章）</w:t>
      </w:r>
      <w:r>
        <w:rPr>
          <w:rFonts w:hint="eastAsia" w:ascii="宋体" w:hAnsi="宋体" w:eastAsia="宋体"/>
          <w:color w:val="auto"/>
          <w:sz w:val="24"/>
          <w:szCs w:val="24"/>
          <w:u w:val="single"/>
          <w:lang w:eastAsia="zh-CN"/>
        </w:rPr>
        <w:t xml:space="preserve">                                   </w:t>
      </w:r>
    </w:p>
    <w:p w14:paraId="5B62420E">
      <w:pPr>
        <w:spacing w:line="360" w:lineRule="auto"/>
        <w:rPr>
          <w:rFonts w:ascii="宋体" w:hAnsi="宋体" w:eastAsia="宋体"/>
          <w:color w:val="auto"/>
          <w:sz w:val="24"/>
          <w:szCs w:val="24"/>
          <w:lang w:eastAsia="zh-CN"/>
        </w:rPr>
      </w:pPr>
      <w:r>
        <w:rPr>
          <w:rFonts w:hint="eastAsia" w:ascii="宋体" w:hAnsi="宋体" w:eastAsia="宋体"/>
          <w:color w:val="auto"/>
          <w:sz w:val="24"/>
          <w:szCs w:val="24"/>
          <w:lang w:eastAsia="zh-CN"/>
        </w:rPr>
        <w:t>分工内容：</w:t>
      </w:r>
      <w:r>
        <w:rPr>
          <w:rFonts w:hint="eastAsia" w:ascii="宋体" w:hAnsi="宋体" w:eastAsia="宋体"/>
          <w:color w:val="auto"/>
          <w:sz w:val="24"/>
          <w:szCs w:val="24"/>
          <w:u w:val="single"/>
          <w:lang w:eastAsia="zh-CN"/>
        </w:rPr>
        <w:t xml:space="preserve">                                                  </w:t>
      </w:r>
    </w:p>
    <w:p w14:paraId="7E3F5ED5">
      <w:pPr>
        <w:pStyle w:val="5"/>
        <w:rPr>
          <w:rFonts w:ascii="宋体" w:hAnsi="宋体" w:eastAsia="宋体"/>
          <w:color w:val="auto"/>
          <w:spacing w:val="2"/>
          <w:position w:val="-1"/>
          <w:lang w:eastAsia="zh-CN"/>
        </w:rPr>
      </w:pPr>
      <w:r>
        <w:rPr>
          <w:rFonts w:ascii="宋体" w:hAnsi="宋体" w:eastAsia="宋体"/>
          <w:color w:val="auto"/>
          <w:spacing w:val="2"/>
          <w:position w:val="-1"/>
          <w:lang w:eastAsia="zh-CN"/>
        </w:rPr>
        <w:br w:type="page"/>
      </w:r>
      <w:r>
        <w:rPr>
          <w:rFonts w:hint="eastAsia" w:ascii="宋体" w:hAnsi="宋体" w:eastAsia="宋体"/>
          <w:color w:val="auto"/>
          <w:spacing w:val="2"/>
          <w:position w:val="-1"/>
          <w:lang w:eastAsia="zh-CN"/>
        </w:rPr>
        <w:t xml:space="preserve">格式四  </w:t>
      </w:r>
      <w:r>
        <w:rPr>
          <w:rFonts w:hint="eastAsia" w:ascii="宋体" w:hAnsi="宋体" w:eastAsia="宋体"/>
          <w:color w:val="auto"/>
          <w:lang w:eastAsia="zh-CN"/>
        </w:rPr>
        <w:t>投标人声明</w:t>
      </w:r>
      <w:bookmarkEnd w:id="55"/>
    </w:p>
    <w:p w14:paraId="3A0ADD50">
      <w:pPr>
        <w:autoSpaceDE w:val="0"/>
        <w:autoSpaceDN w:val="0"/>
        <w:adjustRightInd w:val="0"/>
        <w:spacing w:line="200" w:lineRule="exact"/>
        <w:rPr>
          <w:rFonts w:ascii="宋体" w:hAnsi="宋体" w:eastAsia="宋体"/>
          <w:color w:val="auto"/>
          <w:sz w:val="20"/>
          <w:szCs w:val="20"/>
          <w:lang w:eastAsia="zh-CN"/>
        </w:rPr>
      </w:pPr>
    </w:p>
    <w:p w14:paraId="518B14B2">
      <w:pPr>
        <w:pStyle w:val="5"/>
        <w:rPr>
          <w:rFonts w:ascii="宋体" w:hAnsi="宋体" w:eastAsia="宋体"/>
          <w:b w:val="0"/>
          <w:color w:val="auto"/>
          <w:lang w:eastAsia="zh-CN"/>
        </w:rPr>
      </w:pPr>
      <w:bookmarkStart w:id="56" w:name="_Toc25072144"/>
      <w:r>
        <w:rPr>
          <w:rFonts w:hint="eastAsia" w:ascii="宋体" w:hAnsi="宋体" w:eastAsia="宋体"/>
          <w:color w:val="auto"/>
          <w:lang w:eastAsia="zh-CN"/>
        </w:rPr>
        <w:t>格式详见公告附件</w:t>
      </w:r>
      <w:r>
        <w:rPr>
          <w:rFonts w:hint="eastAsia" w:ascii="宋体" w:hAnsi="宋体" w:eastAsia="宋体"/>
          <w:color w:val="auto"/>
          <w:lang w:eastAsia="zh-CN"/>
        </w:rPr>
        <w:br w:type="page"/>
      </w:r>
      <w:r>
        <w:rPr>
          <w:rFonts w:hint="eastAsia" w:ascii="宋体" w:hAnsi="宋体" w:eastAsia="宋体"/>
          <w:color w:val="auto"/>
          <w:lang w:eastAsia="zh-CN"/>
        </w:rPr>
        <w:t>格式五  设计费报价汇总表</w:t>
      </w:r>
    </w:p>
    <w:p w14:paraId="19082EB3">
      <w:pPr>
        <w:autoSpaceDE w:val="0"/>
        <w:autoSpaceDN w:val="0"/>
        <w:adjustRightInd w:val="0"/>
        <w:spacing w:before="7" w:line="110" w:lineRule="exact"/>
        <w:rPr>
          <w:rFonts w:ascii="宋体" w:hAnsi="宋体" w:eastAsia="宋体"/>
          <w:color w:val="auto"/>
          <w:sz w:val="11"/>
          <w:szCs w:val="11"/>
          <w:lang w:eastAsia="zh-CN"/>
        </w:rPr>
      </w:pPr>
    </w:p>
    <w:p w14:paraId="6813E66F">
      <w:pPr>
        <w:autoSpaceDE w:val="0"/>
        <w:autoSpaceDN w:val="0"/>
        <w:adjustRightInd w:val="0"/>
        <w:spacing w:line="200" w:lineRule="exact"/>
        <w:rPr>
          <w:rFonts w:ascii="宋体" w:hAnsi="宋体" w:eastAsia="宋体"/>
          <w:color w:val="auto"/>
          <w:sz w:val="20"/>
          <w:szCs w:val="20"/>
          <w:lang w:eastAsia="zh-CN"/>
        </w:rPr>
      </w:pPr>
    </w:p>
    <w:p w14:paraId="7F702567">
      <w:pPr>
        <w:jc w:val="center"/>
        <w:rPr>
          <w:rFonts w:ascii="宋体" w:hAnsi="宋体" w:eastAsia="宋体"/>
          <w:b/>
          <w:bCs/>
          <w:color w:val="auto"/>
          <w:sz w:val="32"/>
          <w:szCs w:val="32"/>
          <w:lang w:eastAsia="zh-CN"/>
        </w:rPr>
      </w:pPr>
      <w:r>
        <w:rPr>
          <w:rFonts w:hint="eastAsia" w:ascii="宋体" w:hAnsi="宋体" w:eastAsia="宋体"/>
          <w:b/>
          <w:bCs/>
          <w:color w:val="auto"/>
          <w:sz w:val="32"/>
          <w:szCs w:val="32"/>
          <w:lang w:eastAsia="zh-CN"/>
        </w:rPr>
        <w:t>设计费报价汇总表</w:t>
      </w:r>
    </w:p>
    <w:p w14:paraId="7B8DA1C2">
      <w:pPr>
        <w:spacing w:line="360" w:lineRule="auto"/>
        <w:rPr>
          <w:rFonts w:ascii="宋体" w:hAnsi="宋体" w:eastAsia="宋体" w:cs="仿宋_GB2312"/>
          <w:color w:val="auto"/>
          <w:szCs w:val="21"/>
          <w:lang w:eastAsia="zh-CN"/>
        </w:rPr>
      </w:pPr>
    </w:p>
    <w:tbl>
      <w:tblPr>
        <w:tblStyle w:val="24"/>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325"/>
        <w:gridCol w:w="1750"/>
        <w:gridCol w:w="1863"/>
        <w:gridCol w:w="1507"/>
        <w:gridCol w:w="1800"/>
      </w:tblGrid>
      <w:tr w14:paraId="6A62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25" w:type="dxa"/>
            <w:vMerge w:val="restart"/>
            <w:tcBorders>
              <w:top w:val="single" w:color="auto" w:sz="4" w:space="0"/>
              <w:left w:val="single" w:color="auto" w:sz="4" w:space="0"/>
              <w:right w:val="single" w:color="auto" w:sz="4" w:space="0"/>
            </w:tcBorders>
            <w:noWrap w:val="0"/>
            <w:vAlign w:val="center"/>
          </w:tcPr>
          <w:p w14:paraId="73D999E2">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序号</w:t>
            </w:r>
          </w:p>
        </w:tc>
        <w:tc>
          <w:tcPr>
            <w:tcW w:w="2325" w:type="dxa"/>
            <w:vMerge w:val="restart"/>
            <w:tcBorders>
              <w:top w:val="single" w:color="auto" w:sz="4" w:space="0"/>
              <w:left w:val="nil"/>
              <w:right w:val="single" w:color="auto" w:sz="4" w:space="0"/>
            </w:tcBorders>
            <w:noWrap w:val="0"/>
            <w:vAlign w:val="center"/>
          </w:tcPr>
          <w:p w14:paraId="4C470FC7">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计费项目</w:t>
            </w:r>
          </w:p>
        </w:tc>
        <w:tc>
          <w:tcPr>
            <w:tcW w:w="3613" w:type="dxa"/>
            <w:gridSpan w:val="2"/>
            <w:tcBorders>
              <w:top w:val="single" w:color="auto" w:sz="4" w:space="0"/>
              <w:left w:val="nil"/>
              <w:bottom w:val="single" w:color="auto" w:sz="4" w:space="0"/>
              <w:right w:val="single" w:color="auto" w:sz="4" w:space="0"/>
            </w:tcBorders>
            <w:noWrap w:val="0"/>
            <w:vAlign w:val="center"/>
          </w:tcPr>
          <w:p w14:paraId="681399E8">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rPr>
            </w:pPr>
            <w:r>
              <w:rPr>
                <w:rFonts w:hint="default" w:ascii="宋体" w:hAnsi="宋体" w:eastAsia="宋体" w:cs="Calibri"/>
                <w:color w:val="auto"/>
                <w:sz w:val="21"/>
                <w:szCs w:val="21"/>
              </w:rPr>
              <w:t>金额（元）</w:t>
            </w:r>
          </w:p>
        </w:tc>
        <w:tc>
          <w:tcPr>
            <w:tcW w:w="1507" w:type="dxa"/>
            <w:vMerge w:val="restart"/>
            <w:tcBorders>
              <w:top w:val="single" w:color="auto" w:sz="4" w:space="0"/>
              <w:left w:val="nil"/>
              <w:right w:val="single" w:color="auto" w:sz="4" w:space="0"/>
            </w:tcBorders>
            <w:noWrap w:val="0"/>
            <w:vAlign w:val="center"/>
          </w:tcPr>
          <w:p w14:paraId="4D21D7C2">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税率</w:t>
            </w:r>
          </w:p>
        </w:tc>
        <w:tc>
          <w:tcPr>
            <w:tcW w:w="1800" w:type="dxa"/>
            <w:vMerge w:val="restart"/>
            <w:tcBorders>
              <w:top w:val="single" w:color="auto" w:sz="4" w:space="0"/>
              <w:left w:val="nil"/>
              <w:right w:val="single" w:color="auto" w:sz="4" w:space="0"/>
            </w:tcBorders>
            <w:noWrap w:val="0"/>
            <w:vAlign w:val="center"/>
          </w:tcPr>
          <w:p w14:paraId="66EF79EE">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备注</w:t>
            </w:r>
          </w:p>
        </w:tc>
      </w:tr>
      <w:tr w14:paraId="1916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25" w:type="dxa"/>
            <w:vMerge w:val="continue"/>
            <w:tcBorders>
              <w:left w:val="single" w:color="auto" w:sz="4" w:space="0"/>
              <w:bottom w:val="single" w:color="auto" w:sz="4" w:space="0"/>
              <w:right w:val="single" w:color="auto" w:sz="4" w:space="0"/>
            </w:tcBorders>
            <w:noWrap w:val="0"/>
            <w:vAlign w:val="center"/>
          </w:tcPr>
          <w:p w14:paraId="5BDDB8D5">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rPr>
            </w:pPr>
          </w:p>
        </w:tc>
        <w:tc>
          <w:tcPr>
            <w:tcW w:w="2325" w:type="dxa"/>
            <w:vMerge w:val="continue"/>
            <w:tcBorders>
              <w:left w:val="nil"/>
              <w:bottom w:val="single" w:color="auto" w:sz="4" w:space="0"/>
              <w:right w:val="single" w:color="auto" w:sz="4" w:space="0"/>
            </w:tcBorders>
            <w:noWrap w:val="0"/>
            <w:vAlign w:val="center"/>
          </w:tcPr>
          <w:p w14:paraId="5FBD4AAC">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rPr>
            </w:pPr>
          </w:p>
        </w:tc>
        <w:tc>
          <w:tcPr>
            <w:tcW w:w="1750" w:type="dxa"/>
            <w:tcBorders>
              <w:top w:val="single" w:color="auto" w:sz="4" w:space="0"/>
              <w:left w:val="nil"/>
              <w:bottom w:val="single" w:color="auto" w:sz="4" w:space="0"/>
              <w:right w:val="single" w:color="auto" w:sz="4" w:space="0"/>
            </w:tcBorders>
            <w:noWrap w:val="0"/>
            <w:vAlign w:val="bottom"/>
          </w:tcPr>
          <w:p w14:paraId="000749B0">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rPr>
            </w:pPr>
            <w:r>
              <w:rPr>
                <w:rFonts w:hint="eastAsia" w:ascii="宋体" w:hAnsi="宋体" w:eastAsia="宋体" w:cs="Calibri"/>
                <w:color w:val="auto"/>
                <w:sz w:val="21"/>
                <w:szCs w:val="21"/>
                <w:lang w:eastAsia="zh-CN"/>
              </w:rPr>
              <w:t>含税</w:t>
            </w:r>
          </w:p>
        </w:tc>
        <w:tc>
          <w:tcPr>
            <w:tcW w:w="1863" w:type="dxa"/>
            <w:tcBorders>
              <w:top w:val="single" w:color="auto" w:sz="4" w:space="0"/>
              <w:left w:val="nil"/>
              <w:bottom w:val="single" w:color="auto" w:sz="4" w:space="0"/>
              <w:right w:val="single" w:color="auto" w:sz="4" w:space="0"/>
            </w:tcBorders>
            <w:noWrap w:val="0"/>
            <w:vAlign w:val="bottom"/>
          </w:tcPr>
          <w:p w14:paraId="165084C0">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rPr>
            </w:pPr>
            <w:r>
              <w:rPr>
                <w:rFonts w:hint="eastAsia" w:ascii="宋体" w:hAnsi="宋体" w:eastAsia="宋体" w:cs="Calibri"/>
                <w:color w:val="auto"/>
                <w:sz w:val="21"/>
                <w:szCs w:val="21"/>
                <w:lang w:val="en-US" w:eastAsia="zh-CN"/>
              </w:rPr>
              <w:t>不</w:t>
            </w:r>
            <w:r>
              <w:rPr>
                <w:rFonts w:hint="eastAsia" w:ascii="宋体" w:hAnsi="宋体" w:eastAsia="宋体" w:cs="Calibri"/>
                <w:color w:val="auto"/>
                <w:sz w:val="21"/>
                <w:szCs w:val="21"/>
                <w:lang w:eastAsia="zh-CN"/>
              </w:rPr>
              <w:t>含税</w:t>
            </w:r>
          </w:p>
        </w:tc>
        <w:tc>
          <w:tcPr>
            <w:tcW w:w="1507" w:type="dxa"/>
            <w:vMerge w:val="continue"/>
            <w:tcBorders>
              <w:left w:val="nil"/>
              <w:bottom w:val="single" w:color="auto" w:sz="4" w:space="0"/>
              <w:right w:val="single" w:color="auto" w:sz="4" w:space="0"/>
            </w:tcBorders>
            <w:noWrap w:val="0"/>
            <w:vAlign w:val="center"/>
          </w:tcPr>
          <w:p w14:paraId="46C030B5">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lang w:val="en-US" w:eastAsia="zh-CN"/>
              </w:rPr>
            </w:pPr>
          </w:p>
        </w:tc>
        <w:tc>
          <w:tcPr>
            <w:tcW w:w="1800" w:type="dxa"/>
            <w:vMerge w:val="continue"/>
            <w:tcBorders>
              <w:left w:val="nil"/>
              <w:bottom w:val="single" w:color="auto" w:sz="4" w:space="0"/>
              <w:right w:val="single" w:color="auto" w:sz="4" w:space="0"/>
            </w:tcBorders>
            <w:noWrap w:val="0"/>
            <w:vAlign w:val="center"/>
          </w:tcPr>
          <w:p w14:paraId="669544E4">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lang w:eastAsia="zh-CN"/>
              </w:rPr>
            </w:pPr>
          </w:p>
        </w:tc>
      </w:tr>
      <w:tr w14:paraId="2BFE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14:paraId="32D9A2F8">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w:t>
            </w:r>
            <w:r>
              <w:rPr>
                <w:rFonts w:hint="default" w:ascii="宋体" w:hAnsi="宋体" w:eastAsia="宋体" w:cs="Times New Roman"/>
                <w:color w:val="auto"/>
                <w:sz w:val="21"/>
                <w:szCs w:val="21"/>
              </w:rPr>
              <w:t>1</w:t>
            </w:r>
            <w:r>
              <w:rPr>
                <w:rFonts w:hint="eastAsia" w:ascii="宋体" w:hAnsi="宋体" w:eastAsia="宋体" w:cs="Times New Roman"/>
                <w:color w:val="auto"/>
                <w:sz w:val="21"/>
                <w:szCs w:val="21"/>
              </w:rPr>
              <w:t>）</w:t>
            </w:r>
          </w:p>
        </w:tc>
        <w:tc>
          <w:tcPr>
            <w:tcW w:w="2325" w:type="dxa"/>
            <w:tcBorders>
              <w:top w:val="single" w:color="auto" w:sz="4" w:space="0"/>
              <w:left w:val="nil"/>
              <w:bottom w:val="single" w:color="auto" w:sz="4" w:space="0"/>
              <w:right w:val="single" w:color="auto" w:sz="4" w:space="0"/>
            </w:tcBorders>
            <w:noWrap w:val="0"/>
            <w:vAlign w:val="center"/>
          </w:tcPr>
          <w:p w14:paraId="440AC860">
            <w:pPr>
              <w:keepNext w:val="0"/>
              <w:keepLines w:val="0"/>
              <w:suppressLineNumbers w:val="0"/>
              <w:spacing w:before="0" w:beforeAutospacing="0" w:after="0" w:afterAutospacing="0" w:line="288" w:lineRule="auto"/>
              <w:ind w:left="0" w:right="0"/>
              <w:jc w:val="center"/>
              <w:rPr>
                <w:rFonts w:hint="default" w:ascii="宋体" w:hAnsi="宋体" w:eastAsia="宋体" w:cs="Calibri"/>
                <w:color w:val="auto"/>
                <w:sz w:val="21"/>
                <w:szCs w:val="21"/>
                <w:lang w:eastAsia="zh-CN"/>
              </w:rPr>
            </w:pPr>
            <w:r>
              <w:rPr>
                <w:rFonts w:hint="eastAsia" w:ascii="宋体" w:hAnsi="宋体" w:eastAsia="宋体" w:cs="Times New Roman"/>
                <w:color w:val="auto"/>
                <w:sz w:val="21"/>
                <w:szCs w:val="21"/>
                <w:lang w:eastAsia="zh-CN"/>
              </w:rPr>
              <w:t>工程设计费投标报价</w:t>
            </w:r>
          </w:p>
        </w:tc>
        <w:tc>
          <w:tcPr>
            <w:tcW w:w="1750" w:type="dxa"/>
            <w:tcBorders>
              <w:top w:val="single" w:color="auto" w:sz="4" w:space="0"/>
              <w:left w:val="nil"/>
              <w:bottom w:val="single" w:color="auto" w:sz="4" w:space="0"/>
              <w:right w:val="single" w:color="auto" w:sz="4" w:space="0"/>
            </w:tcBorders>
            <w:noWrap w:val="0"/>
            <w:vAlign w:val="center"/>
          </w:tcPr>
          <w:p w14:paraId="040B8FE9">
            <w:pPr>
              <w:keepNext w:val="0"/>
              <w:keepLines w:val="0"/>
              <w:suppressLineNumbers w:val="0"/>
              <w:spacing w:before="0" w:beforeAutospacing="0" w:after="0" w:afterAutospacing="0" w:line="288" w:lineRule="auto"/>
              <w:ind w:left="0" w:right="0"/>
              <w:jc w:val="both"/>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小写：</w:t>
            </w:r>
          </w:p>
          <w:p w14:paraId="29A64DA3">
            <w:pPr>
              <w:keepNext w:val="0"/>
              <w:keepLines w:val="0"/>
              <w:suppressLineNumbers w:val="0"/>
              <w:spacing w:before="0" w:beforeAutospacing="0" w:after="0" w:afterAutospacing="0" w:line="288" w:lineRule="auto"/>
              <w:ind w:left="0" w:right="0"/>
              <w:jc w:val="both"/>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大写：</w:t>
            </w:r>
          </w:p>
        </w:tc>
        <w:tc>
          <w:tcPr>
            <w:tcW w:w="1863" w:type="dxa"/>
            <w:tcBorders>
              <w:top w:val="single" w:color="auto" w:sz="4" w:space="0"/>
              <w:left w:val="nil"/>
              <w:bottom w:val="single" w:color="auto" w:sz="4" w:space="0"/>
              <w:right w:val="single" w:color="auto" w:sz="4" w:space="0"/>
            </w:tcBorders>
            <w:noWrap w:val="0"/>
            <w:vAlign w:val="center"/>
          </w:tcPr>
          <w:p w14:paraId="32FF7B61">
            <w:pPr>
              <w:keepNext w:val="0"/>
              <w:keepLines w:val="0"/>
              <w:suppressLineNumbers w:val="0"/>
              <w:spacing w:before="0" w:beforeAutospacing="0" w:after="0" w:afterAutospacing="0" w:line="288" w:lineRule="auto"/>
              <w:ind w:left="0" w:right="0"/>
              <w:jc w:val="both"/>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小写：</w:t>
            </w:r>
          </w:p>
          <w:p w14:paraId="7CAD7BF4">
            <w:pPr>
              <w:keepNext w:val="0"/>
              <w:keepLines w:val="0"/>
              <w:suppressLineNumbers w:val="0"/>
              <w:spacing w:before="0" w:beforeAutospacing="0" w:after="0" w:afterAutospacing="0" w:line="288" w:lineRule="auto"/>
              <w:ind w:left="0" w:right="0"/>
              <w:jc w:val="both"/>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大写：</w:t>
            </w:r>
          </w:p>
        </w:tc>
        <w:tc>
          <w:tcPr>
            <w:tcW w:w="1507" w:type="dxa"/>
            <w:tcBorders>
              <w:top w:val="single" w:color="auto" w:sz="4" w:space="0"/>
              <w:left w:val="nil"/>
              <w:bottom w:val="single" w:color="auto" w:sz="4" w:space="0"/>
              <w:right w:val="single" w:color="auto" w:sz="4" w:space="0"/>
            </w:tcBorders>
            <w:noWrap w:val="0"/>
            <w:vAlign w:val="center"/>
          </w:tcPr>
          <w:p w14:paraId="598F022B">
            <w:pPr>
              <w:keepNext w:val="0"/>
              <w:keepLines w:val="0"/>
              <w:suppressLineNumbers w:val="0"/>
              <w:spacing w:before="0" w:beforeAutospacing="0" w:after="0" w:afterAutospacing="0" w:line="288" w:lineRule="auto"/>
              <w:ind w:left="0" w:right="0"/>
              <w:jc w:val="center"/>
              <w:rPr>
                <w:rFonts w:hint="default" w:ascii="Times New Roman" w:hAnsi="Times New Roman" w:eastAsia="宋体" w:cs="Times New Roman"/>
                <w:color w:val="auto"/>
                <w:lang w:eastAsia="zh-CN"/>
              </w:rPr>
            </w:pPr>
          </w:p>
        </w:tc>
        <w:tc>
          <w:tcPr>
            <w:tcW w:w="1800" w:type="dxa"/>
            <w:tcBorders>
              <w:top w:val="single" w:color="auto" w:sz="4" w:space="0"/>
              <w:left w:val="nil"/>
              <w:bottom w:val="single" w:color="auto" w:sz="4" w:space="0"/>
              <w:right w:val="single" w:color="auto" w:sz="4" w:space="0"/>
            </w:tcBorders>
            <w:noWrap w:val="0"/>
            <w:vAlign w:val="center"/>
          </w:tcPr>
          <w:p w14:paraId="4776C55C">
            <w:pPr>
              <w:keepNext w:val="0"/>
              <w:keepLines w:val="0"/>
              <w:suppressLineNumbers w:val="0"/>
              <w:spacing w:before="0" w:beforeAutospacing="0" w:after="0" w:afterAutospacing="0" w:line="288" w:lineRule="auto"/>
              <w:ind w:left="0" w:right="0"/>
              <w:jc w:val="center"/>
              <w:rPr>
                <w:rFonts w:hint="default"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对应报价金额不得超过最高投标限价</w:t>
            </w:r>
            <w:r>
              <w:rPr>
                <w:rFonts w:hint="eastAsia" w:ascii="宋体" w:hAnsi="宋体" w:eastAsia="宋体" w:cs="Times New Roman"/>
                <w:color w:val="auto"/>
                <w:sz w:val="21"/>
                <w:szCs w:val="21"/>
                <w:lang w:val="en-US" w:eastAsia="zh-CN"/>
              </w:rPr>
              <w:t>180.00</w:t>
            </w:r>
            <w:r>
              <w:rPr>
                <w:rFonts w:hint="eastAsia" w:ascii="宋体" w:hAnsi="宋体" w:eastAsia="宋体" w:cs="Times New Roman"/>
                <w:color w:val="auto"/>
                <w:sz w:val="21"/>
                <w:szCs w:val="21"/>
                <w:lang w:eastAsia="zh-CN"/>
              </w:rPr>
              <w:t>万元</w:t>
            </w:r>
          </w:p>
        </w:tc>
      </w:tr>
    </w:tbl>
    <w:p w14:paraId="484B26CD">
      <w:pPr>
        <w:spacing w:before="240" w:line="360" w:lineRule="auto"/>
        <w:rPr>
          <w:rFonts w:ascii="宋体" w:hAnsi="宋体" w:eastAsia="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eastAsia="宋体"/>
          <w:color w:val="auto"/>
          <w:sz w:val="21"/>
          <w:szCs w:val="21"/>
          <w:lang w:eastAsia="zh-CN"/>
        </w:rPr>
        <w:t>1、经算术复核的投标人报价与其投标报价不一致时，按就低不就高原则确定其最终报价。如修正后的投标总报价超出相应的最高投标限价总价，则由评标委员会作废标处理。</w:t>
      </w:r>
    </w:p>
    <w:p w14:paraId="448486B4">
      <w:pPr>
        <w:spacing w:line="360" w:lineRule="auto"/>
        <w:rPr>
          <w:rFonts w:ascii="宋体" w:hAnsi="宋体" w:eastAsia="宋体"/>
          <w:color w:val="auto"/>
          <w:sz w:val="21"/>
          <w:szCs w:val="21"/>
          <w:lang w:eastAsia="zh-CN"/>
        </w:rPr>
      </w:pPr>
      <w:r>
        <w:rPr>
          <w:rFonts w:hint="eastAsia" w:ascii="宋体" w:hAnsi="宋体" w:eastAsia="宋体"/>
          <w:color w:val="auto"/>
          <w:sz w:val="21"/>
          <w:szCs w:val="21"/>
          <w:lang w:eastAsia="zh-CN"/>
        </w:rPr>
        <w:t>2、按上述修正错误的原则及方法调整或修正投标文件的投标总报价，调整后的投标总报价对投标人起约束作用。如果投标人不接受修正后的报价，则取消其投标资格。</w:t>
      </w:r>
    </w:p>
    <w:p w14:paraId="66BEADD6">
      <w:pPr>
        <w:spacing w:line="360" w:lineRule="auto"/>
        <w:rPr>
          <w:rFonts w:ascii="宋体" w:hAnsi="宋体" w:eastAsia="宋体"/>
          <w:color w:val="auto"/>
          <w:sz w:val="21"/>
          <w:szCs w:val="21"/>
          <w:lang w:eastAsia="zh-CN"/>
        </w:rPr>
      </w:pPr>
    </w:p>
    <w:p w14:paraId="56A9F2DA">
      <w:pPr>
        <w:pStyle w:val="2"/>
        <w:kinsoku w:val="0"/>
        <w:overflowPunct w:val="0"/>
        <w:spacing w:line="360" w:lineRule="auto"/>
        <w:ind w:left="0" w:firstLine="2891" w:firstLineChars="1200"/>
        <w:rPr>
          <w:b/>
          <w:color w:val="auto"/>
          <w:sz w:val="24"/>
          <w:szCs w:val="24"/>
          <w:lang w:eastAsia="zh-CN"/>
        </w:rPr>
      </w:pPr>
      <w:r>
        <w:rPr>
          <w:rFonts w:hint="eastAsia"/>
          <w:b/>
          <w:color w:val="auto"/>
          <w:sz w:val="24"/>
          <w:szCs w:val="24"/>
          <w:lang w:eastAsia="zh-CN"/>
        </w:rPr>
        <w:t>投标</w:t>
      </w:r>
      <w:r>
        <w:rPr>
          <w:rFonts w:hint="eastAsia"/>
          <w:b/>
          <w:color w:val="auto"/>
          <w:spacing w:val="-2"/>
          <w:sz w:val="24"/>
          <w:szCs w:val="24"/>
          <w:lang w:eastAsia="zh-CN"/>
        </w:rPr>
        <w:t>人：</w:t>
      </w:r>
      <w:r>
        <w:rPr>
          <w:rFonts w:hint="eastAsia"/>
          <w:b/>
          <w:color w:val="auto"/>
          <w:spacing w:val="-2"/>
          <w:sz w:val="24"/>
          <w:szCs w:val="24"/>
          <w:u w:val="single"/>
          <w:lang w:eastAsia="zh-CN"/>
        </w:rPr>
        <w:t xml:space="preserve">      </w:t>
      </w:r>
      <w:r>
        <w:rPr>
          <w:rFonts w:hint="eastAsia"/>
          <w:b/>
          <w:color w:val="auto"/>
          <w:spacing w:val="-1"/>
          <w:sz w:val="24"/>
          <w:szCs w:val="24"/>
          <w:lang w:eastAsia="zh-CN"/>
        </w:rPr>
        <w:t>（盖单位章）</w:t>
      </w:r>
    </w:p>
    <w:p w14:paraId="0A32D6B8">
      <w:pPr>
        <w:spacing w:line="360" w:lineRule="auto"/>
        <w:ind w:firstLine="2891" w:firstLineChars="1200"/>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法定代表人或其委托代理人：</w:t>
      </w:r>
      <w:r>
        <w:rPr>
          <w:rFonts w:hint="eastAsia" w:ascii="宋体" w:hAnsi="宋体" w:eastAsia="宋体"/>
          <w:b/>
          <w:bCs/>
          <w:color w:val="auto"/>
          <w:sz w:val="24"/>
          <w:szCs w:val="24"/>
          <w:u w:val="single"/>
          <w:lang w:eastAsia="zh-CN"/>
        </w:rPr>
        <w:t xml:space="preserve">     </w:t>
      </w:r>
      <w:r>
        <w:rPr>
          <w:rFonts w:hint="eastAsia" w:ascii="宋体" w:hAnsi="宋体" w:eastAsia="宋体"/>
          <w:b/>
          <w:bCs/>
          <w:color w:val="auto"/>
          <w:sz w:val="24"/>
          <w:szCs w:val="24"/>
          <w:lang w:eastAsia="zh-CN"/>
        </w:rPr>
        <w:t>（签字或盖章）</w:t>
      </w:r>
    </w:p>
    <w:p w14:paraId="472817FA">
      <w:pPr>
        <w:spacing w:line="360" w:lineRule="auto"/>
        <w:ind w:firstLine="4080" w:firstLineChars="1700"/>
        <w:rPr>
          <w:rFonts w:eastAsia="宋体"/>
          <w:color w:val="auto"/>
          <w:lang w:eastAsia="zh-CN"/>
        </w:rPr>
      </w:pP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年</w:t>
      </w:r>
      <w:r>
        <w:rPr>
          <w:rFonts w:hint="eastAsia" w:ascii="宋体" w:hAnsi="宋体" w:eastAsia="宋体"/>
          <w:color w:val="auto"/>
          <w:sz w:val="24"/>
          <w:szCs w:val="24"/>
          <w:u w:val="single"/>
          <w:lang w:eastAsia="zh-CN"/>
        </w:rPr>
        <w:t xml:space="preserve">      </w:t>
      </w:r>
      <w:r>
        <w:rPr>
          <w:rFonts w:hint="eastAsia" w:ascii="宋体" w:hAnsi="宋体" w:eastAsia="宋体"/>
          <w:color w:val="auto"/>
          <w:spacing w:val="-2"/>
          <w:sz w:val="24"/>
          <w:szCs w:val="24"/>
          <w:lang w:eastAsia="zh-CN"/>
        </w:rPr>
        <w:t>月</w:t>
      </w:r>
      <w:r>
        <w:rPr>
          <w:rFonts w:hint="eastAsia" w:ascii="宋体" w:hAnsi="宋体" w:eastAsia="宋体"/>
          <w:color w:val="auto"/>
          <w:sz w:val="24"/>
          <w:szCs w:val="24"/>
          <w:u w:val="single"/>
          <w:lang w:eastAsia="zh-CN"/>
        </w:rPr>
        <w:t xml:space="preserve">     </w:t>
      </w:r>
      <w:r>
        <w:rPr>
          <w:rFonts w:hint="eastAsia" w:ascii="宋体" w:hAnsi="宋体" w:eastAsia="宋体"/>
          <w:color w:val="auto"/>
          <w:sz w:val="24"/>
          <w:szCs w:val="24"/>
          <w:lang w:eastAsia="zh-CN"/>
        </w:rPr>
        <w:t>日</w:t>
      </w:r>
    </w:p>
    <w:p w14:paraId="34270DC8">
      <w:pPr>
        <w:spacing w:line="360" w:lineRule="auto"/>
        <w:ind w:firstLine="3740" w:firstLineChars="1700"/>
        <w:rPr>
          <w:rFonts w:eastAsia="宋体"/>
          <w:color w:val="auto"/>
          <w:lang w:eastAsia="zh-CN"/>
        </w:rPr>
      </w:pPr>
    </w:p>
    <w:p w14:paraId="1E42DD85">
      <w:pPr>
        <w:pStyle w:val="7"/>
        <w:rPr>
          <w:color w:val="auto"/>
        </w:rPr>
      </w:pPr>
    </w:p>
    <w:p w14:paraId="39161795">
      <w:pPr>
        <w:pStyle w:val="7"/>
        <w:rPr>
          <w:color w:val="auto"/>
        </w:rPr>
      </w:pPr>
    </w:p>
    <w:p w14:paraId="0B2F567C">
      <w:pPr>
        <w:pStyle w:val="7"/>
        <w:rPr>
          <w:color w:val="auto"/>
        </w:rPr>
      </w:pPr>
    </w:p>
    <w:p w14:paraId="3DE7B32A">
      <w:pPr>
        <w:pStyle w:val="7"/>
        <w:rPr>
          <w:color w:val="auto"/>
        </w:rPr>
      </w:pPr>
    </w:p>
    <w:p w14:paraId="02363C28">
      <w:pPr>
        <w:pStyle w:val="7"/>
        <w:rPr>
          <w:color w:val="auto"/>
        </w:rPr>
      </w:pPr>
    </w:p>
    <w:p w14:paraId="2D5B7FD9">
      <w:pPr>
        <w:pStyle w:val="7"/>
        <w:rPr>
          <w:color w:val="auto"/>
        </w:rPr>
      </w:pPr>
    </w:p>
    <w:p w14:paraId="05809204">
      <w:pPr>
        <w:pStyle w:val="7"/>
        <w:rPr>
          <w:color w:val="auto"/>
        </w:rPr>
      </w:pPr>
    </w:p>
    <w:bookmarkEnd w:id="56"/>
    <w:p w14:paraId="328B22D6">
      <w:pPr>
        <w:pStyle w:val="41"/>
        <w:jc w:val="both"/>
        <w:rPr>
          <w:rFonts w:hint="eastAsia" w:ascii="宋体" w:hAnsi="宋体" w:eastAsia="宋体"/>
          <w:color w:val="auto"/>
          <w:sz w:val="32"/>
          <w:szCs w:val="32"/>
          <w:lang w:eastAsia="zh-CN"/>
        </w:rPr>
      </w:pPr>
      <w:r>
        <w:rPr>
          <w:rFonts w:ascii="宋体" w:hAnsi="宋体" w:eastAsia="宋体"/>
          <w:b w:val="0"/>
          <w:color w:val="auto"/>
          <w:sz w:val="24"/>
          <w:szCs w:val="24"/>
          <w:lang w:eastAsia="zh-CN"/>
        </w:rPr>
        <w:br w:type="page"/>
      </w:r>
      <w:r>
        <w:rPr>
          <w:rFonts w:hint="eastAsia" w:ascii="宋体" w:hAnsi="宋体" w:eastAsia="宋体"/>
          <w:color w:val="auto"/>
          <w:sz w:val="32"/>
          <w:szCs w:val="32"/>
          <w:lang w:eastAsia="zh-CN"/>
        </w:rPr>
        <w:t>格式六：</w:t>
      </w:r>
    </w:p>
    <w:p w14:paraId="2FF45795">
      <w:pPr>
        <w:jc w:val="center"/>
        <w:rPr>
          <w:rFonts w:ascii="宋体" w:hAnsi="宋体" w:eastAsia="宋体"/>
          <w:b/>
          <w:bCs/>
          <w:color w:val="auto"/>
          <w:sz w:val="32"/>
          <w:szCs w:val="32"/>
          <w:lang w:eastAsia="zh-CN"/>
        </w:rPr>
      </w:pPr>
      <w:r>
        <w:rPr>
          <w:rFonts w:hint="eastAsia" w:ascii="宋体" w:hAnsi="宋体" w:eastAsia="宋体"/>
          <w:b/>
          <w:bCs/>
          <w:color w:val="auto"/>
          <w:sz w:val="32"/>
          <w:szCs w:val="32"/>
          <w:lang w:eastAsia="zh-CN"/>
        </w:rPr>
        <w:t>主要人员简历表</w:t>
      </w:r>
    </w:p>
    <w:p w14:paraId="7BFE5767">
      <w:pPr>
        <w:rPr>
          <w:rFonts w:ascii="宋体" w:hAnsi="宋体" w:eastAsia="宋体"/>
          <w:b/>
          <w:bCs/>
          <w:color w:val="auto"/>
          <w:sz w:val="32"/>
          <w:szCs w:val="32"/>
          <w:lang w:eastAsia="zh-CN"/>
        </w:rPr>
      </w:pPr>
    </w:p>
    <w:tbl>
      <w:tblPr>
        <w:tblStyle w:val="24"/>
        <w:tblW w:w="0" w:type="auto"/>
        <w:tblInd w:w="0" w:type="dxa"/>
        <w:tblLayout w:type="fixed"/>
        <w:tblCellMar>
          <w:top w:w="0" w:type="dxa"/>
          <w:left w:w="0" w:type="dxa"/>
          <w:bottom w:w="0" w:type="dxa"/>
          <w:right w:w="0" w:type="dxa"/>
        </w:tblCellMar>
      </w:tblPr>
      <w:tblGrid>
        <w:gridCol w:w="1254"/>
        <w:gridCol w:w="381"/>
        <w:gridCol w:w="731"/>
        <w:gridCol w:w="1015"/>
        <w:gridCol w:w="1130"/>
        <w:gridCol w:w="746"/>
        <w:gridCol w:w="1334"/>
        <w:gridCol w:w="426"/>
        <w:gridCol w:w="2009"/>
      </w:tblGrid>
      <w:tr w14:paraId="2310BB7D">
        <w:tblPrEx>
          <w:tblCellMar>
            <w:top w:w="0" w:type="dxa"/>
            <w:left w:w="0" w:type="dxa"/>
            <w:bottom w:w="0" w:type="dxa"/>
            <w:right w:w="0" w:type="dxa"/>
          </w:tblCellMar>
        </w:tblPrEx>
        <w:trPr>
          <w:trHeight w:val="890" w:hRule="atLeast"/>
        </w:trPr>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0DC6AD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姓</w:t>
            </w:r>
            <w:r>
              <w:rPr>
                <w:rFonts w:hint="eastAsia" w:ascii="宋体" w:hAnsi="宋体" w:eastAsia="宋体" w:cs="Times New Roman"/>
                <w:color w:val="auto"/>
                <w:sz w:val="21"/>
                <w:szCs w:val="21"/>
              </w:rPr>
              <w:tab/>
            </w:r>
            <w:r>
              <w:rPr>
                <w:rFonts w:hint="eastAsia" w:ascii="宋体" w:hAnsi="宋体" w:eastAsia="宋体" w:cs="Times New Roman"/>
                <w:color w:val="auto"/>
                <w:sz w:val="21"/>
                <w:szCs w:val="21"/>
              </w:rPr>
              <w:t>名</w:t>
            </w:r>
          </w:p>
        </w:tc>
        <w:tc>
          <w:tcPr>
            <w:tcW w:w="1112" w:type="dxa"/>
            <w:gridSpan w:val="2"/>
            <w:tcBorders>
              <w:top w:val="single" w:color="000000" w:sz="4" w:space="0"/>
              <w:left w:val="nil"/>
              <w:bottom w:val="single" w:color="000000" w:sz="4" w:space="0"/>
              <w:right w:val="single" w:color="000000" w:sz="4" w:space="0"/>
            </w:tcBorders>
            <w:noWrap w:val="0"/>
            <w:vAlign w:val="center"/>
          </w:tcPr>
          <w:p w14:paraId="2ADB21EC">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015" w:type="dxa"/>
            <w:tcBorders>
              <w:top w:val="single" w:color="000000" w:sz="4" w:space="0"/>
              <w:left w:val="nil"/>
              <w:bottom w:val="single" w:color="000000" w:sz="4" w:space="0"/>
              <w:right w:val="single" w:color="000000" w:sz="4" w:space="0"/>
            </w:tcBorders>
            <w:noWrap w:val="0"/>
            <w:vAlign w:val="center"/>
          </w:tcPr>
          <w:p w14:paraId="47DA57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年龄</w:t>
            </w:r>
          </w:p>
        </w:tc>
        <w:tc>
          <w:tcPr>
            <w:tcW w:w="1130" w:type="dxa"/>
            <w:tcBorders>
              <w:top w:val="single" w:color="000000" w:sz="4" w:space="0"/>
              <w:left w:val="nil"/>
              <w:bottom w:val="single" w:color="000000" w:sz="4" w:space="0"/>
              <w:right w:val="single" w:color="000000" w:sz="4" w:space="0"/>
            </w:tcBorders>
            <w:noWrap w:val="0"/>
            <w:vAlign w:val="center"/>
          </w:tcPr>
          <w:p w14:paraId="0451C2E3">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506" w:type="dxa"/>
            <w:gridSpan w:val="3"/>
            <w:tcBorders>
              <w:top w:val="single" w:color="000000" w:sz="4" w:space="0"/>
              <w:left w:val="nil"/>
              <w:bottom w:val="single" w:color="000000" w:sz="4" w:space="0"/>
              <w:right w:val="single" w:color="000000" w:sz="4" w:space="0"/>
            </w:tcBorders>
            <w:noWrap w:val="0"/>
            <w:vAlign w:val="center"/>
          </w:tcPr>
          <w:p w14:paraId="395AA39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lang w:eastAsia="zh-CN"/>
              </w:rPr>
            </w:pPr>
            <w:r>
              <w:rPr>
                <w:rFonts w:hint="eastAsia" w:ascii="宋体" w:hAnsi="宋体" w:eastAsia="宋体" w:cs="Times New Roman"/>
                <w:color w:val="auto"/>
                <w:sz w:val="21"/>
                <w:szCs w:val="21"/>
                <w:lang w:eastAsia="zh-CN"/>
              </w:rPr>
              <w:t>注册执业</w:t>
            </w:r>
            <w:r>
              <w:rPr>
                <w:rFonts w:hint="eastAsia" w:ascii="宋体" w:hAnsi="宋体" w:eastAsia="宋体" w:cs="Times New Roman"/>
                <w:color w:val="auto"/>
                <w:spacing w:val="-2"/>
                <w:sz w:val="21"/>
                <w:szCs w:val="21"/>
                <w:lang w:eastAsia="zh-CN"/>
              </w:rPr>
              <w:t>资</w:t>
            </w:r>
            <w:r>
              <w:rPr>
                <w:rFonts w:hint="eastAsia" w:ascii="宋体" w:hAnsi="宋体" w:eastAsia="宋体" w:cs="Times New Roman"/>
                <w:color w:val="auto"/>
                <w:sz w:val="21"/>
                <w:szCs w:val="21"/>
                <w:lang w:eastAsia="zh-CN"/>
              </w:rPr>
              <w:t>格</w:t>
            </w:r>
            <w:r>
              <w:rPr>
                <w:rFonts w:hint="eastAsia" w:ascii="宋体" w:hAnsi="宋体" w:eastAsia="宋体" w:cs="Times New Roman"/>
                <w:color w:val="auto"/>
                <w:spacing w:val="-2"/>
                <w:sz w:val="21"/>
                <w:szCs w:val="21"/>
                <w:lang w:eastAsia="zh-CN"/>
              </w:rPr>
              <w:t>证</w:t>
            </w:r>
            <w:r>
              <w:rPr>
                <w:rFonts w:hint="eastAsia" w:ascii="宋体" w:hAnsi="宋体" w:eastAsia="宋体" w:cs="Times New Roman"/>
                <w:color w:val="auto"/>
                <w:sz w:val="21"/>
                <w:szCs w:val="21"/>
                <w:lang w:eastAsia="zh-CN"/>
              </w:rPr>
              <w:t>书</w:t>
            </w:r>
            <w:r>
              <w:rPr>
                <w:rFonts w:hint="eastAsia" w:ascii="宋体" w:hAnsi="宋体" w:eastAsia="宋体" w:cs="Times New Roman"/>
                <w:color w:val="auto"/>
                <w:spacing w:val="-2"/>
                <w:sz w:val="21"/>
                <w:szCs w:val="21"/>
                <w:lang w:eastAsia="zh-CN"/>
              </w:rPr>
              <w:t>（</w:t>
            </w:r>
            <w:r>
              <w:rPr>
                <w:rFonts w:hint="eastAsia" w:ascii="宋体" w:hAnsi="宋体" w:eastAsia="宋体" w:cs="Times New Roman"/>
                <w:color w:val="auto"/>
                <w:sz w:val="21"/>
                <w:szCs w:val="21"/>
                <w:lang w:eastAsia="zh-CN"/>
              </w:rPr>
              <w:t>或</w:t>
            </w:r>
            <w:r>
              <w:rPr>
                <w:rFonts w:hint="eastAsia" w:ascii="宋体" w:hAnsi="宋体" w:eastAsia="宋体" w:cs="Times New Roman"/>
                <w:color w:val="auto"/>
                <w:spacing w:val="-2"/>
                <w:sz w:val="21"/>
                <w:szCs w:val="21"/>
                <w:lang w:eastAsia="zh-CN"/>
              </w:rPr>
              <w:t>上</w:t>
            </w:r>
            <w:r>
              <w:rPr>
                <w:rFonts w:hint="eastAsia" w:ascii="宋体" w:hAnsi="宋体" w:eastAsia="宋体" w:cs="Times New Roman"/>
                <w:color w:val="auto"/>
                <w:sz w:val="21"/>
                <w:szCs w:val="21"/>
                <w:lang w:eastAsia="zh-CN"/>
              </w:rPr>
              <w:t>岗证书</w:t>
            </w:r>
            <w:r>
              <w:rPr>
                <w:rFonts w:hint="eastAsia" w:ascii="宋体" w:hAnsi="宋体" w:eastAsia="宋体" w:cs="Times New Roman"/>
                <w:color w:val="auto"/>
                <w:spacing w:val="-2"/>
                <w:sz w:val="21"/>
                <w:szCs w:val="21"/>
                <w:lang w:eastAsia="zh-CN"/>
              </w:rPr>
              <w:t>）</w:t>
            </w:r>
            <w:r>
              <w:rPr>
                <w:rFonts w:hint="eastAsia" w:ascii="宋体" w:hAnsi="宋体" w:eastAsia="宋体" w:cs="Times New Roman"/>
                <w:color w:val="auto"/>
                <w:sz w:val="21"/>
                <w:szCs w:val="21"/>
                <w:lang w:eastAsia="zh-CN"/>
              </w:rPr>
              <w:t>名称</w:t>
            </w:r>
          </w:p>
        </w:tc>
        <w:tc>
          <w:tcPr>
            <w:tcW w:w="2009" w:type="dxa"/>
            <w:tcBorders>
              <w:top w:val="single" w:color="000000" w:sz="4" w:space="0"/>
              <w:left w:val="nil"/>
              <w:bottom w:val="single" w:color="000000" w:sz="4" w:space="0"/>
              <w:right w:val="single" w:color="000000" w:sz="4" w:space="0"/>
            </w:tcBorders>
            <w:noWrap w:val="0"/>
            <w:vAlign w:val="center"/>
          </w:tcPr>
          <w:p w14:paraId="640A6889">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lang w:eastAsia="zh-CN"/>
              </w:rPr>
            </w:pPr>
          </w:p>
        </w:tc>
      </w:tr>
      <w:tr w14:paraId="46D4A2D7">
        <w:tblPrEx>
          <w:tblCellMar>
            <w:top w:w="0" w:type="dxa"/>
            <w:left w:w="0" w:type="dxa"/>
            <w:bottom w:w="0" w:type="dxa"/>
            <w:right w:w="0" w:type="dxa"/>
          </w:tblCellMar>
        </w:tblPrEx>
        <w:trPr>
          <w:trHeight w:val="698" w:hRule="atLeast"/>
        </w:trPr>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EACE9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职</w:t>
            </w:r>
            <w:r>
              <w:rPr>
                <w:rFonts w:hint="eastAsia" w:ascii="宋体" w:hAnsi="宋体" w:eastAsia="宋体" w:cs="Times New Roman"/>
                <w:color w:val="auto"/>
                <w:sz w:val="21"/>
                <w:szCs w:val="21"/>
              </w:rPr>
              <w:tab/>
            </w:r>
            <w:r>
              <w:rPr>
                <w:rFonts w:hint="eastAsia" w:ascii="宋体" w:hAnsi="宋体" w:eastAsia="宋体" w:cs="Times New Roman"/>
                <w:color w:val="auto"/>
                <w:sz w:val="21"/>
                <w:szCs w:val="21"/>
              </w:rPr>
              <w:t>称</w:t>
            </w:r>
          </w:p>
        </w:tc>
        <w:tc>
          <w:tcPr>
            <w:tcW w:w="1112" w:type="dxa"/>
            <w:gridSpan w:val="2"/>
            <w:tcBorders>
              <w:top w:val="single" w:color="000000" w:sz="4" w:space="0"/>
              <w:left w:val="nil"/>
              <w:bottom w:val="single" w:color="000000" w:sz="4" w:space="0"/>
              <w:right w:val="single" w:color="000000" w:sz="4" w:space="0"/>
            </w:tcBorders>
            <w:noWrap w:val="0"/>
            <w:vAlign w:val="center"/>
          </w:tcPr>
          <w:p w14:paraId="3462D731">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015" w:type="dxa"/>
            <w:tcBorders>
              <w:top w:val="single" w:color="000000" w:sz="4" w:space="0"/>
              <w:left w:val="nil"/>
              <w:bottom w:val="single" w:color="000000" w:sz="4" w:space="0"/>
              <w:right w:val="single" w:color="000000" w:sz="4" w:space="0"/>
            </w:tcBorders>
            <w:noWrap w:val="0"/>
            <w:vAlign w:val="center"/>
          </w:tcPr>
          <w:p w14:paraId="4B2CAA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学历</w:t>
            </w:r>
          </w:p>
        </w:tc>
        <w:tc>
          <w:tcPr>
            <w:tcW w:w="1130" w:type="dxa"/>
            <w:tcBorders>
              <w:top w:val="single" w:color="000000" w:sz="4" w:space="0"/>
              <w:left w:val="nil"/>
              <w:bottom w:val="single" w:color="000000" w:sz="4" w:space="0"/>
              <w:right w:val="single" w:color="000000" w:sz="4" w:space="0"/>
            </w:tcBorders>
            <w:noWrap w:val="0"/>
            <w:vAlign w:val="center"/>
          </w:tcPr>
          <w:p w14:paraId="51707FEC">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506" w:type="dxa"/>
            <w:gridSpan w:val="3"/>
            <w:tcBorders>
              <w:top w:val="single" w:color="000000" w:sz="4" w:space="0"/>
              <w:left w:val="nil"/>
              <w:bottom w:val="single" w:color="000000" w:sz="4" w:space="0"/>
              <w:right w:val="single" w:color="000000" w:sz="4" w:space="0"/>
            </w:tcBorders>
            <w:noWrap w:val="0"/>
            <w:vAlign w:val="center"/>
          </w:tcPr>
          <w:p w14:paraId="6D5754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拟在</w:t>
            </w:r>
            <w:r>
              <w:rPr>
                <w:rFonts w:hint="eastAsia" w:ascii="宋体" w:hAnsi="宋体" w:eastAsia="宋体" w:cs="Times New Roman"/>
                <w:color w:val="auto"/>
                <w:spacing w:val="-2"/>
                <w:sz w:val="21"/>
                <w:szCs w:val="21"/>
              </w:rPr>
              <w:t>本</w:t>
            </w:r>
            <w:r>
              <w:rPr>
                <w:rFonts w:hint="eastAsia" w:ascii="宋体" w:hAnsi="宋体" w:eastAsia="宋体" w:cs="Times New Roman"/>
                <w:color w:val="auto"/>
                <w:sz w:val="21"/>
                <w:szCs w:val="21"/>
              </w:rPr>
              <w:t>项</w:t>
            </w:r>
            <w:r>
              <w:rPr>
                <w:rFonts w:hint="eastAsia" w:ascii="宋体" w:hAnsi="宋体" w:eastAsia="宋体" w:cs="Times New Roman"/>
                <w:color w:val="auto"/>
                <w:spacing w:val="-2"/>
                <w:sz w:val="21"/>
                <w:szCs w:val="21"/>
              </w:rPr>
              <w:t>目</w:t>
            </w:r>
            <w:r>
              <w:rPr>
                <w:rFonts w:hint="eastAsia" w:ascii="宋体" w:hAnsi="宋体" w:eastAsia="宋体" w:cs="Times New Roman"/>
                <w:color w:val="auto"/>
                <w:sz w:val="21"/>
                <w:szCs w:val="21"/>
              </w:rPr>
              <w:t>任职</w:t>
            </w:r>
          </w:p>
        </w:tc>
        <w:tc>
          <w:tcPr>
            <w:tcW w:w="2009" w:type="dxa"/>
            <w:tcBorders>
              <w:top w:val="single" w:color="000000" w:sz="4" w:space="0"/>
              <w:left w:val="nil"/>
              <w:bottom w:val="single" w:color="000000" w:sz="4" w:space="0"/>
              <w:right w:val="single" w:color="000000" w:sz="4" w:space="0"/>
            </w:tcBorders>
            <w:noWrap w:val="0"/>
            <w:vAlign w:val="center"/>
          </w:tcPr>
          <w:p w14:paraId="6A5842CE">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72656915">
        <w:tblPrEx>
          <w:tblCellMar>
            <w:top w:w="0" w:type="dxa"/>
            <w:left w:w="0" w:type="dxa"/>
            <w:bottom w:w="0" w:type="dxa"/>
            <w:right w:w="0" w:type="dxa"/>
          </w:tblCellMar>
        </w:tblPrEx>
        <w:trPr>
          <w:trHeight w:val="701" w:hRule="atLeast"/>
        </w:trPr>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5B5258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工作</w:t>
            </w:r>
            <w:r>
              <w:rPr>
                <w:rFonts w:hint="eastAsia" w:ascii="宋体" w:hAnsi="宋体" w:eastAsia="宋体" w:cs="Times New Roman"/>
                <w:color w:val="auto"/>
                <w:spacing w:val="-2"/>
                <w:sz w:val="21"/>
                <w:szCs w:val="21"/>
              </w:rPr>
              <w:t>年</w:t>
            </w:r>
            <w:r>
              <w:rPr>
                <w:rFonts w:hint="eastAsia" w:ascii="宋体" w:hAnsi="宋体" w:eastAsia="宋体" w:cs="Times New Roman"/>
                <w:color w:val="auto"/>
                <w:sz w:val="21"/>
                <w:szCs w:val="21"/>
              </w:rPr>
              <w:t>限</w:t>
            </w:r>
          </w:p>
        </w:tc>
        <w:tc>
          <w:tcPr>
            <w:tcW w:w="3257" w:type="dxa"/>
            <w:gridSpan w:val="4"/>
            <w:tcBorders>
              <w:top w:val="single" w:color="000000" w:sz="4" w:space="0"/>
              <w:left w:val="nil"/>
              <w:bottom w:val="single" w:color="000000" w:sz="4" w:space="0"/>
              <w:right w:val="single" w:color="000000" w:sz="4" w:space="0"/>
            </w:tcBorders>
            <w:noWrap w:val="0"/>
            <w:vAlign w:val="center"/>
          </w:tcPr>
          <w:p w14:paraId="1B2494DD">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506" w:type="dxa"/>
            <w:gridSpan w:val="3"/>
            <w:tcBorders>
              <w:top w:val="single" w:color="000000" w:sz="4" w:space="0"/>
              <w:left w:val="nil"/>
              <w:bottom w:val="single" w:color="000000" w:sz="4" w:space="0"/>
              <w:right w:val="single" w:color="000000" w:sz="4" w:space="0"/>
            </w:tcBorders>
            <w:noWrap w:val="0"/>
            <w:vAlign w:val="center"/>
          </w:tcPr>
          <w:p w14:paraId="65CD4B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从事</w:t>
            </w:r>
            <w:r>
              <w:rPr>
                <w:rFonts w:hint="eastAsia" w:ascii="宋体" w:hAnsi="宋体" w:eastAsia="宋体" w:cs="Times New Roman"/>
                <w:color w:val="auto"/>
                <w:spacing w:val="-2"/>
                <w:sz w:val="21"/>
                <w:szCs w:val="21"/>
              </w:rPr>
              <w:t>设</w:t>
            </w:r>
            <w:r>
              <w:rPr>
                <w:rFonts w:hint="eastAsia" w:ascii="宋体" w:hAnsi="宋体" w:eastAsia="宋体" w:cs="Times New Roman"/>
                <w:color w:val="auto"/>
                <w:sz w:val="21"/>
                <w:szCs w:val="21"/>
              </w:rPr>
              <w:t>计</w:t>
            </w:r>
            <w:r>
              <w:rPr>
                <w:rFonts w:hint="eastAsia" w:ascii="宋体" w:hAnsi="宋体" w:eastAsia="宋体" w:cs="Times New Roman"/>
                <w:color w:val="auto"/>
                <w:spacing w:val="-2"/>
                <w:sz w:val="21"/>
                <w:szCs w:val="21"/>
              </w:rPr>
              <w:t>工</w:t>
            </w:r>
            <w:r>
              <w:rPr>
                <w:rFonts w:hint="eastAsia" w:ascii="宋体" w:hAnsi="宋体" w:eastAsia="宋体" w:cs="Times New Roman"/>
                <w:color w:val="auto"/>
                <w:sz w:val="21"/>
                <w:szCs w:val="21"/>
              </w:rPr>
              <w:t>作</w:t>
            </w:r>
            <w:r>
              <w:rPr>
                <w:rFonts w:hint="eastAsia" w:ascii="宋体" w:hAnsi="宋体" w:eastAsia="宋体" w:cs="Times New Roman"/>
                <w:color w:val="auto"/>
                <w:spacing w:val="-2"/>
                <w:sz w:val="21"/>
                <w:szCs w:val="21"/>
              </w:rPr>
              <w:t>年</w:t>
            </w:r>
            <w:r>
              <w:rPr>
                <w:rFonts w:hint="eastAsia" w:ascii="宋体" w:hAnsi="宋体" w:eastAsia="宋体" w:cs="Times New Roman"/>
                <w:color w:val="auto"/>
                <w:sz w:val="21"/>
                <w:szCs w:val="21"/>
              </w:rPr>
              <w:t>限</w:t>
            </w:r>
          </w:p>
        </w:tc>
        <w:tc>
          <w:tcPr>
            <w:tcW w:w="2009" w:type="dxa"/>
            <w:tcBorders>
              <w:top w:val="single" w:color="000000" w:sz="4" w:space="0"/>
              <w:left w:val="nil"/>
              <w:bottom w:val="single" w:color="000000" w:sz="4" w:space="0"/>
              <w:right w:val="single" w:color="000000" w:sz="4" w:space="0"/>
            </w:tcBorders>
            <w:noWrap w:val="0"/>
            <w:vAlign w:val="center"/>
          </w:tcPr>
          <w:p w14:paraId="7A71CBEE">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19366F95">
        <w:tblPrEx>
          <w:tblCellMar>
            <w:top w:w="0" w:type="dxa"/>
            <w:left w:w="0" w:type="dxa"/>
            <w:bottom w:w="0" w:type="dxa"/>
            <w:right w:w="0"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C956BC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毕业</w:t>
            </w:r>
            <w:r>
              <w:rPr>
                <w:rFonts w:hint="eastAsia" w:ascii="宋体" w:hAnsi="宋体" w:eastAsia="宋体" w:cs="Times New Roman"/>
                <w:color w:val="auto"/>
                <w:spacing w:val="-2"/>
                <w:sz w:val="21"/>
                <w:szCs w:val="21"/>
              </w:rPr>
              <w:t>学</w:t>
            </w:r>
            <w:r>
              <w:rPr>
                <w:rFonts w:hint="eastAsia" w:ascii="宋体" w:hAnsi="宋体" w:eastAsia="宋体" w:cs="Times New Roman"/>
                <w:color w:val="auto"/>
                <w:sz w:val="21"/>
                <w:szCs w:val="21"/>
              </w:rPr>
              <w:t>校</w:t>
            </w:r>
          </w:p>
        </w:tc>
        <w:tc>
          <w:tcPr>
            <w:tcW w:w="7772" w:type="dxa"/>
            <w:gridSpan w:val="8"/>
            <w:tcBorders>
              <w:top w:val="single" w:color="000000" w:sz="4" w:space="0"/>
              <w:left w:val="nil"/>
              <w:bottom w:val="single" w:color="000000" w:sz="4" w:space="0"/>
              <w:right w:val="single" w:color="000000" w:sz="4" w:space="0"/>
            </w:tcBorders>
            <w:noWrap w:val="0"/>
            <w:vAlign w:val="center"/>
          </w:tcPr>
          <w:p w14:paraId="7FA9F9C3">
            <w:pPr>
              <w:keepNext w:val="0"/>
              <w:keepLines w:val="0"/>
              <w:suppressLineNumbers w:val="0"/>
              <w:autoSpaceDE w:val="0"/>
              <w:autoSpaceDN w:val="0"/>
              <w:adjustRightInd w:val="0"/>
              <w:spacing w:before="0" w:beforeAutospacing="0" w:after="0" w:afterAutospacing="0"/>
              <w:ind w:left="0" w:right="0" w:firstLine="420" w:firstLineChars="200"/>
              <w:rPr>
                <w:rFonts w:hint="default" w:ascii="宋体" w:hAnsi="宋体" w:eastAsia="宋体" w:cs="Calibri"/>
                <w:color w:val="auto"/>
                <w:sz w:val="21"/>
                <w:szCs w:val="21"/>
              </w:rPr>
            </w:pPr>
            <w:r>
              <w:rPr>
                <w:rFonts w:hint="eastAsia" w:ascii="宋体" w:hAnsi="宋体" w:eastAsia="宋体" w:cs="Times New Roman"/>
                <w:color w:val="auto"/>
                <w:sz w:val="21"/>
                <w:szCs w:val="21"/>
              </w:rPr>
              <w:t>年毕</w:t>
            </w:r>
            <w:r>
              <w:rPr>
                <w:rFonts w:hint="eastAsia" w:ascii="宋体" w:hAnsi="宋体" w:eastAsia="宋体" w:cs="Times New Roman"/>
                <w:color w:val="auto"/>
                <w:spacing w:val="-2"/>
                <w:sz w:val="21"/>
                <w:szCs w:val="21"/>
              </w:rPr>
              <w:t>业</w:t>
            </w:r>
            <w:r>
              <w:rPr>
                <w:rFonts w:hint="eastAsia" w:ascii="宋体" w:hAnsi="宋体" w:eastAsia="宋体" w:cs="Times New Roman"/>
                <w:color w:val="auto"/>
                <w:sz w:val="21"/>
                <w:szCs w:val="21"/>
              </w:rPr>
              <w:t>于</w:t>
            </w:r>
            <w:r>
              <w:rPr>
                <w:rFonts w:hint="eastAsia" w:ascii="宋体" w:hAnsi="宋体" w:eastAsia="宋体" w:cs="Times New Roman"/>
                <w:color w:val="auto"/>
                <w:sz w:val="21"/>
                <w:szCs w:val="21"/>
              </w:rPr>
              <w:tab/>
            </w:r>
            <w:r>
              <w:rPr>
                <w:rFonts w:hint="eastAsia" w:ascii="宋体" w:hAnsi="宋体" w:eastAsia="宋体" w:cs="Times New Roman"/>
                <w:color w:val="auto"/>
                <w:sz w:val="21"/>
                <w:szCs w:val="21"/>
              </w:rPr>
              <w:t xml:space="preserve">      </w:t>
            </w:r>
            <w:r>
              <w:rPr>
                <w:rFonts w:hint="eastAsia" w:ascii="宋体" w:hAnsi="宋体" w:eastAsia="宋体" w:cs="Times New Roman"/>
                <w:color w:val="auto"/>
                <w:spacing w:val="-2"/>
                <w:sz w:val="21"/>
                <w:szCs w:val="21"/>
              </w:rPr>
              <w:t>学</w:t>
            </w:r>
            <w:r>
              <w:rPr>
                <w:rFonts w:hint="eastAsia" w:ascii="宋体" w:hAnsi="宋体" w:eastAsia="宋体" w:cs="Times New Roman"/>
                <w:color w:val="auto"/>
                <w:sz w:val="21"/>
                <w:szCs w:val="21"/>
              </w:rPr>
              <w:t>校</w:t>
            </w:r>
            <w:r>
              <w:rPr>
                <w:rFonts w:hint="eastAsia" w:ascii="宋体" w:hAnsi="宋体" w:eastAsia="宋体" w:cs="Times New Roman"/>
                <w:color w:val="auto"/>
                <w:sz w:val="21"/>
                <w:szCs w:val="21"/>
              </w:rPr>
              <w:tab/>
            </w:r>
            <w:r>
              <w:rPr>
                <w:rFonts w:hint="eastAsia" w:ascii="宋体" w:hAnsi="宋体" w:eastAsia="宋体" w:cs="Times New Roman"/>
                <w:color w:val="auto"/>
                <w:sz w:val="21"/>
                <w:szCs w:val="21"/>
              </w:rPr>
              <w:t xml:space="preserve">      专业</w:t>
            </w:r>
          </w:p>
        </w:tc>
      </w:tr>
      <w:tr w14:paraId="423DD0BE">
        <w:tblPrEx>
          <w:tblCellMar>
            <w:top w:w="0" w:type="dxa"/>
            <w:left w:w="0" w:type="dxa"/>
            <w:bottom w:w="0" w:type="dxa"/>
            <w:right w:w="0" w:type="dxa"/>
          </w:tblCellMar>
        </w:tblPrEx>
        <w:trPr>
          <w:trHeight w:val="718"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14:paraId="27FB00F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时</w:t>
            </w:r>
            <w:r>
              <w:rPr>
                <w:rFonts w:hint="eastAsia" w:ascii="宋体" w:hAnsi="宋体" w:eastAsia="宋体" w:cs="Times New Roman"/>
                <w:color w:val="auto"/>
                <w:sz w:val="21"/>
                <w:szCs w:val="21"/>
              </w:rPr>
              <w:tab/>
            </w:r>
            <w:r>
              <w:rPr>
                <w:rFonts w:hint="eastAsia" w:ascii="宋体" w:hAnsi="宋体" w:eastAsia="宋体" w:cs="Times New Roman"/>
                <w:color w:val="auto"/>
                <w:sz w:val="21"/>
                <w:szCs w:val="21"/>
              </w:rPr>
              <w:t>间</w:t>
            </w:r>
          </w:p>
        </w:tc>
        <w:tc>
          <w:tcPr>
            <w:tcW w:w="3622" w:type="dxa"/>
            <w:gridSpan w:val="4"/>
            <w:tcBorders>
              <w:top w:val="single" w:color="000000" w:sz="4" w:space="0"/>
              <w:left w:val="nil"/>
              <w:bottom w:val="single" w:color="000000" w:sz="4" w:space="0"/>
              <w:right w:val="single" w:color="000000" w:sz="4" w:space="0"/>
            </w:tcBorders>
            <w:noWrap w:val="0"/>
            <w:vAlign w:val="center"/>
          </w:tcPr>
          <w:p w14:paraId="2D7DEED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参加</w:t>
            </w:r>
            <w:r>
              <w:rPr>
                <w:rFonts w:hint="eastAsia" w:ascii="宋体" w:hAnsi="宋体" w:eastAsia="宋体" w:cs="Times New Roman"/>
                <w:color w:val="auto"/>
                <w:spacing w:val="-2"/>
                <w:sz w:val="21"/>
                <w:szCs w:val="21"/>
              </w:rPr>
              <w:t>过</w:t>
            </w:r>
            <w:r>
              <w:rPr>
                <w:rFonts w:hint="eastAsia" w:ascii="宋体" w:hAnsi="宋体" w:eastAsia="宋体" w:cs="Times New Roman"/>
                <w:color w:val="auto"/>
                <w:sz w:val="21"/>
                <w:szCs w:val="21"/>
              </w:rPr>
              <w:t>的</w:t>
            </w:r>
            <w:r>
              <w:rPr>
                <w:rFonts w:hint="eastAsia" w:ascii="宋体" w:hAnsi="宋体" w:eastAsia="宋体" w:cs="Times New Roman"/>
                <w:color w:val="auto"/>
                <w:spacing w:val="-2"/>
                <w:sz w:val="21"/>
                <w:szCs w:val="21"/>
              </w:rPr>
              <w:t>类</w:t>
            </w:r>
            <w:r>
              <w:rPr>
                <w:rFonts w:hint="eastAsia" w:ascii="宋体" w:hAnsi="宋体" w:eastAsia="宋体" w:cs="Times New Roman"/>
                <w:color w:val="auto"/>
                <w:sz w:val="21"/>
                <w:szCs w:val="21"/>
              </w:rPr>
              <w:t>似</w:t>
            </w:r>
            <w:r>
              <w:rPr>
                <w:rFonts w:hint="eastAsia" w:ascii="宋体" w:hAnsi="宋体" w:eastAsia="宋体" w:cs="Times New Roman"/>
                <w:color w:val="auto"/>
                <w:spacing w:val="-2"/>
                <w:sz w:val="21"/>
                <w:szCs w:val="21"/>
              </w:rPr>
              <w:t>项</w:t>
            </w:r>
            <w:r>
              <w:rPr>
                <w:rFonts w:hint="eastAsia" w:ascii="宋体" w:hAnsi="宋体" w:eastAsia="宋体" w:cs="Times New Roman"/>
                <w:color w:val="auto"/>
                <w:sz w:val="21"/>
                <w:szCs w:val="21"/>
              </w:rPr>
              <w:t>目</w:t>
            </w:r>
          </w:p>
        </w:tc>
        <w:tc>
          <w:tcPr>
            <w:tcW w:w="1334" w:type="dxa"/>
            <w:tcBorders>
              <w:top w:val="single" w:color="000000" w:sz="4" w:space="0"/>
              <w:left w:val="nil"/>
              <w:bottom w:val="single" w:color="000000" w:sz="4" w:space="0"/>
              <w:right w:val="single" w:color="000000" w:sz="4" w:space="0"/>
            </w:tcBorders>
            <w:noWrap w:val="0"/>
            <w:vAlign w:val="center"/>
          </w:tcPr>
          <w:p w14:paraId="705DF5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担任</w:t>
            </w:r>
            <w:r>
              <w:rPr>
                <w:rFonts w:hint="eastAsia" w:ascii="宋体" w:hAnsi="宋体" w:eastAsia="宋体" w:cs="Times New Roman"/>
                <w:color w:val="auto"/>
                <w:spacing w:val="-2"/>
                <w:sz w:val="21"/>
                <w:szCs w:val="21"/>
              </w:rPr>
              <w:t>职</w:t>
            </w:r>
            <w:r>
              <w:rPr>
                <w:rFonts w:hint="eastAsia" w:ascii="宋体" w:hAnsi="宋体" w:eastAsia="宋体" w:cs="Times New Roman"/>
                <w:color w:val="auto"/>
                <w:sz w:val="21"/>
                <w:szCs w:val="21"/>
              </w:rPr>
              <w:t>务</w:t>
            </w:r>
          </w:p>
        </w:tc>
        <w:tc>
          <w:tcPr>
            <w:tcW w:w="2435" w:type="dxa"/>
            <w:gridSpan w:val="2"/>
            <w:tcBorders>
              <w:top w:val="single" w:color="000000" w:sz="4" w:space="0"/>
              <w:left w:val="nil"/>
              <w:bottom w:val="single" w:color="000000" w:sz="4" w:space="0"/>
              <w:right w:val="single" w:color="000000" w:sz="4" w:space="0"/>
            </w:tcBorders>
            <w:noWrap w:val="0"/>
            <w:vAlign w:val="center"/>
          </w:tcPr>
          <w:p w14:paraId="2449527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Calibri"/>
                <w:color w:val="auto"/>
                <w:sz w:val="21"/>
                <w:szCs w:val="21"/>
              </w:rPr>
            </w:pPr>
            <w:r>
              <w:rPr>
                <w:rFonts w:hint="eastAsia" w:ascii="宋体" w:hAnsi="宋体" w:eastAsia="宋体" w:cs="Times New Roman"/>
                <w:color w:val="auto"/>
                <w:sz w:val="21"/>
                <w:szCs w:val="21"/>
              </w:rPr>
              <w:t>发包</w:t>
            </w:r>
            <w:r>
              <w:rPr>
                <w:rFonts w:hint="eastAsia" w:ascii="宋体" w:hAnsi="宋体" w:eastAsia="宋体" w:cs="Times New Roman"/>
                <w:color w:val="auto"/>
                <w:spacing w:val="-2"/>
                <w:sz w:val="21"/>
                <w:szCs w:val="21"/>
              </w:rPr>
              <w:t>人</w:t>
            </w:r>
            <w:r>
              <w:rPr>
                <w:rFonts w:hint="eastAsia" w:ascii="宋体" w:hAnsi="宋体" w:eastAsia="宋体" w:cs="Times New Roman"/>
                <w:color w:val="auto"/>
                <w:sz w:val="21"/>
                <w:szCs w:val="21"/>
              </w:rPr>
              <w:t>及</w:t>
            </w:r>
            <w:r>
              <w:rPr>
                <w:rFonts w:hint="eastAsia" w:ascii="宋体" w:hAnsi="宋体" w:eastAsia="宋体" w:cs="Times New Roman"/>
                <w:color w:val="auto"/>
                <w:spacing w:val="-2"/>
                <w:sz w:val="21"/>
                <w:szCs w:val="21"/>
              </w:rPr>
              <w:t>联</w:t>
            </w:r>
            <w:r>
              <w:rPr>
                <w:rFonts w:hint="eastAsia" w:ascii="宋体" w:hAnsi="宋体" w:eastAsia="宋体" w:cs="Times New Roman"/>
                <w:color w:val="auto"/>
                <w:sz w:val="21"/>
                <w:szCs w:val="21"/>
              </w:rPr>
              <w:t>系</w:t>
            </w:r>
            <w:r>
              <w:rPr>
                <w:rFonts w:hint="eastAsia" w:ascii="宋体" w:hAnsi="宋体" w:eastAsia="宋体" w:cs="Times New Roman"/>
                <w:color w:val="auto"/>
                <w:spacing w:val="-2"/>
                <w:sz w:val="21"/>
                <w:szCs w:val="21"/>
              </w:rPr>
              <w:t>电</w:t>
            </w:r>
            <w:r>
              <w:rPr>
                <w:rFonts w:hint="eastAsia" w:ascii="宋体" w:hAnsi="宋体" w:eastAsia="宋体" w:cs="Times New Roman"/>
                <w:color w:val="auto"/>
                <w:sz w:val="21"/>
                <w:szCs w:val="21"/>
              </w:rPr>
              <w:t>话</w:t>
            </w:r>
          </w:p>
        </w:tc>
      </w:tr>
      <w:tr w14:paraId="50D9DD1C">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048B0068">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37AD9BD6">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47B9E118">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09312ED7">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70674CA7">
        <w:tblPrEx>
          <w:tblCellMar>
            <w:top w:w="0" w:type="dxa"/>
            <w:left w:w="0" w:type="dxa"/>
            <w:bottom w:w="0" w:type="dxa"/>
            <w:right w:w="0" w:type="dxa"/>
          </w:tblCellMar>
        </w:tblPrEx>
        <w:trPr>
          <w:trHeight w:val="698"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5DF01CA2">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7015E45C">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52CAA419">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31CE6F85">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10F87682">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767D52D1">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5792C315">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7066347E">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7032B94E">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495A0050">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356CBFC8">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7725A284">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510A0789">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764FD8E4">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1F9EBA53">
        <w:tblPrEx>
          <w:tblCellMar>
            <w:top w:w="0" w:type="dxa"/>
            <w:left w:w="0" w:type="dxa"/>
            <w:bottom w:w="0" w:type="dxa"/>
            <w:right w:w="0" w:type="dxa"/>
          </w:tblCellMar>
        </w:tblPrEx>
        <w:trPr>
          <w:trHeight w:val="699"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75BA594D">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2C224C48">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4035801F">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7543481D">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066C81F4">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34C826A7">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3CA736B9">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17BC6C6A">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33C2DA97">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r w14:paraId="67C408A2">
        <w:tblPrEx>
          <w:tblCellMar>
            <w:top w:w="0" w:type="dxa"/>
            <w:left w:w="0" w:type="dxa"/>
            <w:bottom w:w="0" w:type="dxa"/>
            <w:right w:w="0" w:type="dxa"/>
          </w:tblCellMar>
        </w:tblPrEx>
        <w:trPr>
          <w:trHeight w:val="701" w:hRule="atLeast"/>
        </w:trPr>
        <w:tc>
          <w:tcPr>
            <w:tcW w:w="1635" w:type="dxa"/>
            <w:gridSpan w:val="2"/>
            <w:tcBorders>
              <w:top w:val="single" w:color="000000" w:sz="4" w:space="0"/>
              <w:left w:val="single" w:color="000000" w:sz="4" w:space="0"/>
              <w:bottom w:val="single" w:color="000000" w:sz="4" w:space="0"/>
              <w:right w:val="single" w:color="000000" w:sz="4" w:space="0"/>
            </w:tcBorders>
            <w:noWrap w:val="0"/>
            <w:vAlign w:val="top"/>
          </w:tcPr>
          <w:p w14:paraId="17774DA6">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3622" w:type="dxa"/>
            <w:gridSpan w:val="4"/>
            <w:tcBorders>
              <w:top w:val="single" w:color="000000" w:sz="4" w:space="0"/>
              <w:left w:val="nil"/>
              <w:bottom w:val="single" w:color="000000" w:sz="4" w:space="0"/>
              <w:right w:val="single" w:color="000000" w:sz="4" w:space="0"/>
            </w:tcBorders>
            <w:noWrap w:val="0"/>
            <w:vAlign w:val="top"/>
          </w:tcPr>
          <w:p w14:paraId="22670818">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1334" w:type="dxa"/>
            <w:tcBorders>
              <w:top w:val="single" w:color="000000" w:sz="4" w:space="0"/>
              <w:left w:val="nil"/>
              <w:bottom w:val="single" w:color="000000" w:sz="4" w:space="0"/>
              <w:right w:val="single" w:color="000000" w:sz="4" w:space="0"/>
            </w:tcBorders>
            <w:noWrap w:val="0"/>
            <w:vAlign w:val="top"/>
          </w:tcPr>
          <w:p w14:paraId="6B506997">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c>
          <w:tcPr>
            <w:tcW w:w="2435" w:type="dxa"/>
            <w:gridSpan w:val="2"/>
            <w:tcBorders>
              <w:top w:val="single" w:color="000000" w:sz="4" w:space="0"/>
              <w:left w:val="nil"/>
              <w:bottom w:val="single" w:color="000000" w:sz="4" w:space="0"/>
              <w:right w:val="single" w:color="000000" w:sz="4" w:space="0"/>
            </w:tcBorders>
            <w:noWrap w:val="0"/>
            <w:vAlign w:val="top"/>
          </w:tcPr>
          <w:p w14:paraId="6F2AE373">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Calibri"/>
                <w:color w:val="auto"/>
                <w:sz w:val="21"/>
                <w:szCs w:val="21"/>
              </w:rPr>
            </w:pPr>
          </w:p>
        </w:tc>
      </w:tr>
    </w:tbl>
    <w:p w14:paraId="7E809B5E">
      <w:pPr>
        <w:autoSpaceDE w:val="0"/>
        <w:autoSpaceDN w:val="0"/>
        <w:adjustRightInd w:val="0"/>
        <w:spacing w:line="110" w:lineRule="exact"/>
        <w:rPr>
          <w:rFonts w:ascii="宋体" w:hAnsi="宋体" w:eastAsia="宋体" w:cs="Calibri"/>
          <w:color w:val="auto"/>
          <w:sz w:val="11"/>
          <w:szCs w:val="11"/>
        </w:rPr>
      </w:pPr>
      <w:r>
        <w:rPr>
          <w:rFonts w:hint="eastAsia" w:ascii="宋体" w:hAnsi="宋体" w:eastAsia="宋体"/>
          <w:color w:val="auto"/>
          <w:sz w:val="11"/>
          <w:szCs w:val="11"/>
        </w:rPr>
        <w:t xml:space="preserve"> </w:t>
      </w:r>
    </w:p>
    <w:p w14:paraId="44BC83E0">
      <w:pPr>
        <w:rPr>
          <w:rFonts w:ascii="宋体" w:hAnsi="宋体" w:eastAsia="宋体"/>
          <w:color w:val="auto"/>
          <w:lang w:eastAsia="zh-CN"/>
        </w:rPr>
      </w:pPr>
      <w:r>
        <w:rPr>
          <w:rFonts w:hint="eastAsia" w:ascii="宋体" w:hAnsi="宋体" w:eastAsia="宋体"/>
          <w:color w:val="auto"/>
          <w:lang w:eastAsia="zh-CN"/>
        </w:rPr>
        <w:t>注：需根据评分表备注的评审评分材料要求提供相应证明材料。</w:t>
      </w:r>
    </w:p>
    <w:p w14:paraId="3245B146">
      <w:pPr>
        <w:rPr>
          <w:rFonts w:ascii="宋体" w:hAnsi="宋体" w:eastAsia="宋体"/>
          <w:color w:val="auto"/>
          <w:sz w:val="21"/>
          <w:szCs w:val="21"/>
          <w:lang w:eastAsia="zh-CN"/>
        </w:rPr>
      </w:pPr>
    </w:p>
    <w:p w14:paraId="32CECD70">
      <w:pPr>
        <w:jc w:val="center"/>
        <w:rPr>
          <w:rFonts w:ascii="宋体" w:hAnsi="宋体" w:eastAsia="宋体"/>
          <w:color w:val="auto"/>
          <w:sz w:val="21"/>
          <w:szCs w:val="21"/>
          <w:lang w:eastAsia="zh-CN"/>
        </w:rPr>
        <w:sectPr>
          <w:pgSz w:w="11907" w:h="16839"/>
          <w:pgMar w:top="1440" w:right="1440" w:bottom="1440" w:left="1440" w:header="0" w:footer="918" w:gutter="0"/>
          <w:cols w:space="720" w:num="1"/>
        </w:sectPr>
      </w:pPr>
    </w:p>
    <w:p w14:paraId="0187BE4B">
      <w:pPr>
        <w:pStyle w:val="5"/>
        <w:spacing w:after="240"/>
        <w:rPr>
          <w:rFonts w:ascii="宋体" w:hAnsi="宋体" w:eastAsia="宋体"/>
          <w:color w:val="auto"/>
          <w:lang w:eastAsia="zh-CN"/>
        </w:rPr>
      </w:pPr>
      <w:bookmarkStart w:id="57" w:name="_Toc25072146"/>
      <w:r>
        <w:rPr>
          <w:rFonts w:hint="eastAsia" w:ascii="宋体" w:hAnsi="宋体" w:eastAsia="宋体"/>
          <w:color w:val="auto"/>
          <w:lang w:eastAsia="zh-CN"/>
        </w:rPr>
        <w:t>格式七  类似项目业绩情况</w:t>
      </w:r>
      <w:bookmarkEnd w:id="57"/>
    </w:p>
    <w:p w14:paraId="188D70C0">
      <w:pPr>
        <w:pStyle w:val="5"/>
        <w:spacing w:after="240"/>
        <w:jc w:val="center"/>
        <w:rPr>
          <w:rFonts w:ascii="宋体" w:hAnsi="宋体" w:eastAsia="宋体"/>
          <w:color w:val="auto"/>
          <w:lang w:eastAsia="zh-CN"/>
        </w:rPr>
      </w:pPr>
      <w:r>
        <w:rPr>
          <w:rFonts w:hint="eastAsia" w:ascii="宋体" w:hAnsi="宋体" w:eastAsia="宋体"/>
          <w:color w:val="auto"/>
          <w:lang w:eastAsia="zh-CN"/>
        </w:rPr>
        <w:t>类似项目业绩情况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36"/>
        <w:gridCol w:w="2306"/>
        <w:gridCol w:w="1295"/>
        <w:gridCol w:w="1295"/>
        <w:gridCol w:w="1292"/>
      </w:tblGrid>
      <w:tr w14:paraId="716A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22E64BFF">
            <w:pPr>
              <w:keepNext w:val="0"/>
              <w:keepLines w:val="0"/>
              <w:suppressLineNumbers w:val="0"/>
              <w:spacing w:before="0" w:beforeAutospacing="0" w:after="0" w:afterAutospacing="0"/>
              <w:ind w:left="0" w:right="0"/>
              <w:jc w:val="center"/>
              <w:rPr>
                <w:rFonts w:hint="default" w:ascii="宋体" w:hAnsi="宋体" w:eastAsia="宋体" w:cs="Times New Roman"/>
                <w:color w:val="auto"/>
              </w:rPr>
            </w:pPr>
            <w:r>
              <w:rPr>
                <w:rFonts w:hint="eastAsia" w:ascii="宋体" w:hAnsi="宋体" w:eastAsia="宋体" w:cs="Times New Roman"/>
                <w:color w:val="auto"/>
                <w:lang w:eastAsia="zh-CN"/>
              </w:rPr>
              <w:t>项目名称</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57CB5FE">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r>
              <w:rPr>
                <w:rFonts w:hint="eastAsia" w:ascii="宋体" w:hAnsi="宋体" w:eastAsia="宋体" w:cs="Times New Roman"/>
                <w:color w:val="auto"/>
              </w:rPr>
              <w:t>合同签订时间</w:t>
            </w:r>
          </w:p>
        </w:tc>
        <w:tc>
          <w:tcPr>
            <w:tcW w:w="2306" w:type="dxa"/>
            <w:tcBorders>
              <w:top w:val="single" w:color="auto" w:sz="4" w:space="0"/>
              <w:left w:val="nil"/>
              <w:bottom w:val="single" w:color="auto" w:sz="4" w:space="0"/>
              <w:right w:val="single" w:color="auto" w:sz="4" w:space="0"/>
            </w:tcBorders>
            <w:noWrap w:val="0"/>
            <w:vAlign w:val="center"/>
          </w:tcPr>
          <w:p w14:paraId="0A0222BC">
            <w:pPr>
              <w:keepNext w:val="0"/>
              <w:keepLines w:val="0"/>
              <w:suppressLineNumbers w:val="0"/>
              <w:spacing w:before="0" w:beforeAutospacing="0" w:after="0" w:afterAutospacing="0"/>
              <w:ind w:left="0" w:right="0"/>
              <w:jc w:val="center"/>
              <w:rPr>
                <w:rFonts w:hint="default" w:ascii="宋体" w:hAnsi="宋体" w:eastAsia="宋体" w:cs="Times New Roman"/>
                <w:color w:val="auto"/>
                <w:lang w:eastAsia="zh-CN"/>
              </w:rPr>
            </w:pPr>
            <w:r>
              <w:rPr>
                <w:rFonts w:hint="eastAsia" w:ascii="宋体" w:hAnsi="宋体" w:eastAsia="宋体" w:cs="Times New Roman"/>
                <w:color w:val="auto"/>
                <w:lang w:eastAsia="zh-CN"/>
              </w:rPr>
              <w:t>项目概况</w:t>
            </w:r>
          </w:p>
          <w:p w14:paraId="263CBD5D">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lang w:eastAsia="zh-CN"/>
              </w:rPr>
            </w:pPr>
            <w:r>
              <w:rPr>
                <w:rFonts w:hint="eastAsia" w:ascii="宋体" w:hAnsi="宋体" w:eastAsia="宋体" w:cs="Times New Roman"/>
                <w:color w:val="auto"/>
                <w:szCs w:val="21"/>
                <w:lang w:eastAsia="zh-CN"/>
              </w:rPr>
              <w:t>（总投资/建筑面积）</w:t>
            </w:r>
          </w:p>
        </w:tc>
        <w:tc>
          <w:tcPr>
            <w:tcW w:w="1295" w:type="dxa"/>
            <w:tcBorders>
              <w:top w:val="single" w:color="auto" w:sz="4" w:space="0"/>
              <w:left w:val="nil"/>
              <w:bottom w:val="single" w:color="auto" w:sz="4" w:space="0"/>
              <w:right w:val="single" w:color="auto" w:sz="4" w:space="0"/>
            </w:tcBorders>
            <w:noWrap w:val="0"/>
            <w:vAlign w:val="center"/>
          </w:tcPr>
          <w:p w14:paraId="0ED46D8E">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r>
              <w:rPr>
                <w:rFonts w:hint="eastAsia" w:ascii="宋体" w:hAnsi="宋体" w:eastAsia="宋体" w:cs="Times New Roman"/>
                <w:color w:val="auto"/>
              </w:rPr>
              <w:t>业主单位</w:t>
            </w:r>
          </w:p>
        </w:tc>
        <w:tc>
          <w:tcPr>
            <w:tcW w:w="1295" w:type="dxa"/>
            <w:tcBorders>
              <w:top w:val="single" w:color="auto" w:sz="4" w:space="0"/>
              <w:left w:val="nil"/>
              <w:bottom w:val="single" w:color="auto" w:sz="4" w:space="0"/>
              <w:right w:val="single" w:color="auto" w:sz="4" w:space="0"/>
            </w:tcBorders>
            <w:noWrap w:val="0"/>
            <w:vAlign w:val="center"/>
          </w:tcPr>
          <w:p w14:paraId="40542D2D">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r>
              <w:rPr>
                <w:rFonts w:hint="eastAsia" w:ascii="宋体" w:hAnsi="宋体" w:eastAsia="宋体" w:cs="Times New Roman"/>
                <w:color w:val="auto"/>
              </w:rPr>
              <w:t>完成情况</w:t>
            </w:r>
          </w:p>
        </w:tc>
        <w:tc>
          <w:tcPr>
            <w:tcW w:w="1292" w:type="dxa"/>
            <w:tcBorders>
              <w:top w:val="single" w:color="auto" w:sz="4" w:space="0"/>
              <w:left w:val="nil"/>
              <w:bottom w:val="single" w:color="auto" w:sz="4" w:space="0"/>
              <w:right w:val="single" w:color="auto" w:sz="4" w:space="0"/>
            </w:tcBorders>
            <w:noWrap w:val="0"/>
            <w:vAlign w:val="center"/>
          </w:tcPr>
          <w:p w14:paraId="215352B0">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r>
              <w:rPr>
                <w:rFonts w:hint="eastAsia" w:ascii="宋体" w:hAnsi="宋体" w:eastAsia="宋体" w:cs="Times New Roman"/>
                <w:color w:val="auto"/>
              </w:rPr>
              <w:t>备注</w:t>
            </w:r>
          </w:p>
        </w:tc>
      </w:tr>
      <w:tr w14:paraId="76EE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35BEB1C5">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CDBA08B">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2306" w:type="dxa"/>
            <w:tcBorders>
              <w:top w:val="single" w:color="auto" w:sz="4" w:space="0"/>
              <w:left w:val="nil"/>
              <w:bottom w:val="single" w:color="auto" w:sz="4" w:space="0"/>
              <w:right w:val="single" w:color="auto" w:sz="4" w:space="0"/>
            </w:tcBorders>
            <w:noWrap w:val="0"/>
            <w:vAlign w:val="center"/>
          </w:tcPr>
          <w:p w14:paraId="74D7507A">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62F0CA2B">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7F722825">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2" w:type="dxa"/>
            <w:tcBorders>
              <w:top w:val="single" w:color="auto" w:sz="4" w:space="0"/>
              <w:left w:val="nil"/>
              <w:bottom w:val="single" w:color="auto" w:sz="4" w:space="0"/>
              <w:right w:val="single" w:color="auto" w:sz="4" w:space="0"/>
            </w:tcBorders>
            <w:noWrap w:val="0"/>
            <w:vAlign w:val="center"/>
          </w:tcPr>
          <w:p w14:paraId="3268289E">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r>
      <w:tr w14:paraId="63EE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0168D011">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0A23D852">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2306" w:type="dxa"/>
            <w:tcBorders>
              <w:top w:val="single" w:color="auto" w:sz="4" w:space="0"/>
              <w:left w:val="nil"/>
              <w:bottom w:val="single" w:color="auto" w:sz="4" w:space="0"/>
              <w:right w:val="single" w:color="auto" w:sz="4" w:space="0"/>
            </w:tcBorders>
            <w:noWrap w:val="0"/>
            <w:vAlign w:val="center"/>
          </w:tcPr>
          <w:p w14:paraId="6AAA4FB6">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17826851">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3D49C576">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2" w:type="dxa"/>
            <w:tcBorders>
              <w:top w:val="single" w:color="auto" w:sz="4" w:space="0"/>
              <w:left w:val="nil"/>
              <w:bottom w:val="single" w:color="auto" w:sz="4" w:space="0"/>
              <w:right w:val="single" w:color="auto" w:sz="4" w:space="0"/>
            </w:tcBorders>
            <w:noWrap w:val="0"/>
            <w:vAlign w:val="center"/>
          </w:tcPr>
          <w:p w14:paraId="391E6026">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r>
      <w:tr w14:paraId="0B36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6C1DCC0D">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3490A6D">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2306" w:type="dxa"/>
            <w:tcBorders>
              <w:top w:val="single" w:color="auto" w:sz="4" w:space="0"/>
              <w:left w:val="nil"/>
              <w:bottom w:val="single" w:color="auto" w:sz="4" w:space="0"/>
              <w:right w:val="single" w:color="auto" w:sz="4" w:space="0"/>
            </w:tcBorders>
            <w:noWrap w:val="0"/>
            <w:vAlign w:val="center"/>
          </w:tcPr>
          <w:p w14:paraId="486B6232">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1EDDEF62">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0947CE2B">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2" w:type="dxa"/>
            <w:tcBorders>
              <w:top w:val="single" w:color="auto" w:sz="4" w:space="0"/>
              <w:left w:val="nil"/>
              <w:bottom w:val="single" w:color="auto" w:sz="4" w:space="0"/>
              <w:right w:val="single" w:color="auto" w:sz="4" w:space="0"/>
            </w:tcBorders>
            <w:noWrap w:val="0"/>
            <w:vAlign w:val="center"/>
          </w:tcPr>
          <w:p w14:paraId="4B6B941B">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r>
      <w:tr w14:paraId="075E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074B1538">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5E58826">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2306" w:type="dxa"/>
            <w:tcBorders>
              <w:top w:val="single" w:color="auto" w:sz="4" w:space="0"/>
              <w:left w:val="nil"/>
              <w:bottom w:val="single" w:color="auto" w:sz="4" w:space="0"/>
              <w:right w:val="single" w:color="auto" w:sz="4" w:space="0"/>
            </w:tcBorders>
            <w:noWrap w:val="0"/>
            <w:vAlign w:val="center"/>
          </w:tcPr>
          <w:p w14:paraId="79A6A2F4">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5F3DCB55">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3E3DFB29">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2" w:type="dxa"/>
            <w:tcBorders>
              <w:top w:val="single" w:color="auto" w:sz="4" w:space="0"/>
              <w:left w:val="nil"/>
              <w:bottom w:val="single" w:color="auto" w:sz="4" w:space="0"/>
              <w:right w:val="single" w:color="auto" w:sz="4" w:space="0"/>
            </w:tcBorders>
            <w:noWrap w:val="0"/>
            <w:vAlign w:val="center"/>
          </w:tcPr>
          <w:p w14:paraId="347D85D7">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r>
      <w:tr w14:paraId="7BC5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40CAE961">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67F7D56B">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2306" w:type="dxa"/>
            <w:tcBorders>
              <w:top w:val="single" w:color="auto" w:sz="4" w:space="0"/>
              <w:left w:val="nil"/>
              <w:bottom w:val="single" w:color="auto" w:sz="4" w:space="0"/>
              <w:right w:val="single" w:color="auto" w:sz="4" w:space="0"/>
            </w:tcBorders>
            <w:noWrap w:val="0"/>
            <w:vAlign w:val="center"/>
          </w:tcPr>
          <w:p w14:paraId="49DD6A7C">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12EE9620">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5" w:type="dxa"/>
            <w:tcBorders>
              <w:top w:val="single" w:color="auto" w:sz="4" w:space="0"/>
              <w:left w:val="nil"/>
              <w:bottom w:val="single" w:color="auto" w:sz="4" w:space="0"/>
              <w:right w:val="single" w:color="auto" w:sz="4" w:space="0"/>
            </w:tcBorders>
            <w:noWrap w:val="0"/>
            <w:vAlign w:val="center"/>
          </w:tcPr>
          <w:p w14:paraId="1C43FF6E">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c>
          <w:tcPr>
            <w:tcW w:w="1292" w:type="dxa"/>
            <w:tcBorders>
              <w:top w:val="single" w:color="auto" w:sz="4" w:space="0"/>
              <w:left w:val="nil"/>
              <w:bottom w:val="single" w:color="auto" w:sz="4" w:space="0"/>
              <w:right w:val="single" w:color="auto" w:sz="4" w:space="0"/>
            </w:tcBorders>
            <w:noWrap w:val="0"/>
            <w:vAlign w:val="center"/>
          </w:tcPr>
          <w:p w14:paraId="14C1D5A6">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rPr>
            </w:pPr>
          </w:p>
        </w:tc>
      </w:tr>
      <w:bookmarkEnd w:id="49"/>
      <w:bookmarkEnd w:id="50"/>
      <w:bookmarkEnd w:id="51"/>
    </w:tbl>
    <w:p w14:paraId="64B8D72E">
      <w:pPr>
        <w:pStyle w:val="9"/>
        <w:spacing w:before="240"/>
        <w:rPr>
          <w:b/>
          <w:bCs/>
          <w:color w:val="auto"/>
          <w:lang w:eastAsia="zh-CN"/>
        </w:rPr>
      </w:pPr>
      <w:r>
        <w:rPr>
          <w:rFonts w:hint="eastAsia"/>
          <w:b/>
          <w:bCs/>
          <w:color w:val="auto"/>
          <w:lang w:eastAsia="zh-CN"/>
        </w:rPr>
        <w:t>注：需根据评分表备注的评审评分材料要求提供相应证明材料。</w:t>
      </w:r>
    </w:p>
    <w:p w14:paraId="7F05C72D">
      <w:pPr>
        <w:rPr>
          <w:rFonts w:ascii="宋体" w:hAnsi="宋体" w:eastAsia="宋体"/>
          <w:color w:val="auto"/>
          <w:lang w:eastAsia="zh-CN"/>
        </w:rPr>
      </w:pPr>
    </w:p>
    <w:p w14:paraId="5F95B107">
      <w:pPr>
        <w:pStyle w:val="2"/>
        <w:kinsoku w:val="0"/>
        <w:overflowPunct w:val="0"/>
        <w:spacing w:line="360" w:lineRule="auto"/>
        <w:ind w:left="0" w:firstLine="2891" w:firstLineChars="1200"/>
        <w:rPr>
          <w:b/>
          <w:color w:val="auto"/>
          <w:sz w:val="24"/>
          <w:szCs w:val="24"/>
          <w:lang w:eastAsia="zh-CN"/>
        </w:rPr>
      </w:pPr>
    </w:p>
    <w:p w14:paraId="164006F0">
      <w:pPr>
        <w:pStyle w:val="2"/>
        <w:kinsoku w:val="0"/>
        <w:overflowPunct w:val="0"/>
        <w:spacing w:line="360" w:lineRule="auto"/>
        <w:ind w:left="0" w:firstLine="2891" w:firstLineChars="1200"/>
        <w:rPr>
          <w:b/>
          <w:color w:val="auto"/>
          <w:sz w:val="24"/>
          <w:szCs w:val="24"/>
          <w:lang w:eastAsia="zh-CN"/>
        </w:rPr>
      </w:pPr>
    </w:p>
    <w:p w14:paraId="74BA0F54">
      <w:pPr>
        <w:pStyle w:val="2"/>
        <w:kinsoku w:val="0"/>
        <w:overflowPunct w:val="0"/>
        <w:spacing w:line="360" w:lineRule="auto"/>
        <w:ind w:left="0" w:firstLine="2891" w:firstLineChars="1200"/>
        <w:rPr>
          <w:b/>
          <w:color w:val="auto"/>
          <w:sz w:val="24"/>
          <w:szCs w:val="24"/>
          <w:lang w:eastAsia="zh-CN"/>
        </w:rPr>
      </w:pPr>
      <w:r>
        <w:rPr>
          <w:rFonts w:hint="eastAsia"/>
          <w:b/>
          <w:color w:val="auto"/>
          <w:sz w:val="24"/>
          <w:szCs w:val="24"/>
          <w:lang w:eastAsia="zh-CN"/>
        </w:rPr>
        <w:t>投标</w:t>
      </w:r>
      <w:r>
        <w:rPr>
          <w:rFonts w:hint="eastAsia"/>
          <w:b/>
          <w:color w:val="auto"/>
          <w:spacing w:val="-2"/>
          <w:sz w:val="24"/>
          <w:szCs w:val="24"/>
          <w:lang w:eastAsia="zh-CN"/>
        </w:rPr>
        <w:t>人：</w:t>
      </w:r>
      <w:r>
        <w:rPr>
          <w:rFonts w:hint="eastAsia"/>
          <w:b/>
          <w:color w:val="auto"/>
          <w:spacing w:val="-2"/>
          <w:sz w:val="24"/>
          <w:szCs w:val="24"/>
          <w:u w:val="single"/>
          <w:lang w:eastAsia="zh-CN"/>
        </w:rPr>
        <w:t xml:space="preserve">      </w:t>
      </w:r>
      <w:r>
        <w:rPr>
          <w:rFonts w:hint="eastAsia"/>
          <w:b/>
          <w:color w:val="auto"/>
          <w:spacing w:val="-1"/>
          <w:sz w:val="24"/>
          <w:szCs w:val="24"/>
          <w:lang w:eastAsia="zh-CN"/>
        </w:rPr>
        <w:t>（盖单位章）</w:t>
      </w:r>
    </w:p>
    <w:p w14:paraId="2D15C443">
      <w:pPr>
        <w:spacing w:line="360" w:lineRule="auto"/>
        <w:ind w:firstLine="2891" w:firstLineChars="1200"/>
        <w:rPr>
          <w:rFonts w:ascii="宋体" w:hAnsi="宋体" w:eastAsia="宋体"/>
          <w:b/>
          <w:bCs/>
          <w:color w:val="auto"/>
          <w:sz w:val="24"/>
          <w:szCs w:val="24"/>
          <w:lang w:eastAsia="zh-CN"/>
        </w:rPr>
      </w:pPr>
      <w:r>
        <w:rPr>
          <w:rFonts w:hint="eastAsia" w:ascii="宋体" w:hAnsi="宋体" w:eastAsia="宋体"/>
          <w:b/>
          <w:bCs/>
          <w:color w:val="auto"/>
          <w:sz w:val="24"/>
          <w:szCs w:val="24"/>
          <w:lang w:eastAsia="zh-CN"/>
        </w:rPr>
        <w:t>法定代表人或其委托代理人：</w:t>
      </w:r>
      <w:r>
        <w:rPr>
          <w:rFonts w:hint="eastAsia" w:ascii="宋体" w:hAnsi="宋体" w:eastAsia="宋体"/>
          <w:b/>
          <w:bCs/>
          <w:color w:val="auto"/>
          <w:sz w:val="24"/>
          <w:szCs w:val="24"/>
          <w:u w:val="single"/>
          <w:lang w:eastAsia="zh-CN"/>
        </w:rPr>
        <w:t xml:space="preserve">     </w:t>
      </w:r>
      <w:r>
        <w:rPr>
          <w:rFonts w:hint="eastAsia" w:ascii="宋体" w:hAnsi="宋体" w:eastAsia="宋体"/>
          <w:b/>
          <w:bCs/>
          <w:color w:val="auto"/>
          <w:sz w:val="24"/>
          <w:szCs w:val="24"/>
          <w:lang w:eastAsia="zh-CN"/>
        </w:rPr>
        <w:t>（签字或盖章）</w:t>
      </w:r>
    </w:p>
    <w:p w14:paraId="39CAF1ED">
      <w:pPr>
        <w:jc w:val="center"/>
        <w:rPr>
          <w:rFonts w:ascii="宋体" w:hAnsi="宋体" w:eastAsia="宋体"/>
          <w:b/>
          <w:color w:val="auto"/>
          <w:sz w:val="24"/>
          <w:szCs w:val="24"/>
          <w:lang w:eastAsia="zh-CN"/>
        </w:rPr>
      </w:pPr>
      <w:r>
        <w:rPr>
          <w:rFonts w:hint="eastAsia" w:ascii="宋体" w:hAnsi="宋体" w:eastAsia="宋体"/>
          <w:b/>
          <w:color w:val="auto"/>
          <w:sz w:val="24"/>
          <w:szCs w:val="24"/>
          <w:lang w:eastAsia="zh-CN"/>
        </w:rPr>
        <w:t>年</w:t>
      </w:r>
      <w:r>
        <w:rPr>
          <w:rFonts w:ascii="宋体" w:hAnsi="宋体" w:eastAsia="宋体"/>
          <w:b/>
          <w:color w:val="auto"/>
          <w:sz w:val="24"/>
          <w:szCs w:val="24"/>
          <w:u w:val="single"/>
          <w:lang w:eastAsia="zh-CN"/>
        </w:rPr>
        <w:tab/>
      </w:r>
      <w:r>
        <w:rPr>
          <w:rFonts w:hint="eastAsia" w:ascii="宋体" w:hAnsi="宋体" w:eastAsia="宋体"/>
          <w:b/>
          <w:color w:val="auto"/>
          <w:sz w:val="24"/>
          <w:szCs w:val="24"/>
          <w:lang w:eastAsia="zh-CN"/>
        </w:rPr>
        <w:t>月</w:t>
      </w:r>
      <w:r>
        <w:rPr>
          <w:rFonts w:ascii="宋体" w:hAnsi="宋体" w:eastAsia="宋体"/>
          <w:b/>
          <w:color w:val="auto"/>
          <w:sz w:val="24"/>
          <w:szCs w:val="24"/>
          <w:u w:val="single"/>
          <w:lang w:eastAsia="zh-CN"/>
        </w:rPr>
        <w:tab/>
      </w:r>
      <w:r>
        <w:rPr>
          <w:rFonts w:hint="eastAsia" w:ascii="宋体" w:hAnsi="宋体" w:eastAsia="宋体"/>
          <w:b/>
          <w:color w:val="auto"/>
          <w:sz w:val="24"/>
          <w:szCs w:val="24"/>
          <w:lang w:eastAsia="zh-CN"/>
        </w:rPr>
        <w:t>日</w:t>
      </w:r>
    </w:p>
    <w:p w14:paraId="5D77E9FA">
      <w:pPr>
        <w:rPr>
          <w:color w:val="auto"/>
          <w:lang w:eastAsia="zh-CN"/>
        </w:rPr>
      </w:pPr>
    </w:p>
    <w:p w14:paraId="4FFB44B4">
      <w:pPr>
        <w:rPr>
          <w:color w:val="auto"/>
          <w:lang w:eastAsia="zh-CN"/>
        </w:rPr>
      </w:pPr>
    </w:p>
    <w:p w14:paraId="4F1A2AFB">
      <w:pPr>
        <w:rPr>
          <w:color w:val="auto"/>
          <w:lang w:eastAsia="zh-CN"/>
        </w:rPr>
      </w:pPr>
    </w:p>
    <w:p w14:paraId="7C2ACBC7">
      <w:pPr>
        <w:rPr>
          <w:color w:val="auto"/>
          <w:lang w:eastAsia="zh-CN"/>
        </w:rPr>
      </w:pPr>
    </w:p>
    <w:p w14:paraId="2342E8FD">
      <w:pPr>
        <w:rPr>
          <w:color w:val="auto"/>
          <w:lang w:eastAsia="zh-CN"/>
        </w:rPr>
      </w:pPr>
    </w:p>
    <w:p w14:paraId="4BDE2E04">
      <w:pPr>
        <w:rPr>
          <w:color w:val="auto"/>
          <w:lang w:eastAsia="zh-CN"/>
        </w:rPr>
      </w:pPr>
    </w:p>
    <w:p w14:paraId="2D25DD2F">
      <w:pPr>
        <w:rPr>
          <w:color w:val="auto"/>
          <w:lang w:eastAsia="zh-CN"/>
        </w:rPr>
      </w:pPr>
    </w:p>
    <w:p w14:paraId="6ABD15CE">
      <w:pPr>
        <w:rPr>
          <w:color w:val="auto"/>
          <w:lang w:eastAsia="zh-CN"/>
        </w:rPr>
      </w:pPr>
    </w:p>
    <w:p w14:paraId="79F9F722">
      <w:pPr>
        <w:rPr>
          <w:color w:val="auto"/>
          <w:lang w:eastAsia="zh-CN"/>
        </w:rPr>
      </w:pPr>
    </w:p>
    <w:p w14:paraId="25EACA1F">
      <w:pPr>
        <w:pStyle w:val="7"/>
        <w:rPr>
          <w:color w:val="auto"/>
        </w:rPr>
      </w:pPr>
    </w:p>
    <w:p w14:paraId="16FD8773">
      <w:pPr>
        <w:pStyle w:val="7"/>
        <w:rPr>
          <w:color w:val="auto"/>
        </w:rPr>
      </w:pPr>
    </w:p>
    <w:p w14:paraId="4CC0E34E">
      <w:pPr>
        <w:pStyle w:val="5"/>
        <w:ind w:left="0"/>
        <w:rPr>
          <w:rFonts w:ascii="宋体" w:hAnsi="宋体" w:eastAsia="宋体"/>
          <w:color w:val="auto"/>
          <w:lang w:eastAsia="zh-CN"/>
        </w:rPr>
      </w:pPr>
      <w:r>
        <w:rPr>
          <w:rFonts w:ascii="宋体" w:hAnsi="宋体" w:eastAsia="宋体"/>
          <w:color w:val="auto"/>
          <w:lang w:eastAsia="zh-CN"/>
        </w:rPr>
        <w:br w:type="page"/>
      </w:r>
      <w:r>
        <w:rPr>
          <w:rFonts w:hint="eastAsia" w:ascii="宋体" w:hAnsi="宋体" w:eastAsia="宋体"/>
          <w:color w:val="auto"/>
          <w:lang w:eastAsia="zh-CN"/>
        </w:rPr>
        <w:t>格式八  企业业绩获奖情况</w:t>
      </w:r>
    </w:p>
    <w:p w14:paraId="522D099F">
      <w:pPr>
        <w:rPr>
          <w:rFonts w:eastAsia="等线"/>
          <w:color w:val="auto"/>
          <w:lang w:eastAsia="zh-CN"/>
        </w:rPr>
      </w:pPr>
    </w:p>
    <w:p w14:paraId="721DB509">
      <w:pPr>
        <w:jc w:val="center"/>
        <w:rPr>
          <w:rFonts w:ascii="宋体" w:hAnsi="宋体" w:eastAsia="宋体"/>
          <w:b/>
          <w:color w:val="auto"/>
          <w:spacing w:val="2"/>
          <w:position w:val="-1"/>
          <w:sz w:val="32"/>
          <w:szCs w:val="32"/>
          <w:lang w:eastAsia="zh-CN"/>
        </w:rPr>
      </w:pPr>
      <w:r>
        <w:rPr>
          <w:rFonts w:hint="eastAsia" w:ascii="宋体" w:hAnsi="宋体" w:eastAsia="宋体"/>
          <w:b/>
          <w:color w:val="auto"/>
          <w:spacing w:val="2"/>
          <w:position w:val="-1"/>
          <w:sz w:val="32"/>
          <w:szCs w:val="32"/>
          <w:lang w:eastAsia="zh-CN"/>
        </w:rPr>
        <w:t>企业业绩获奖一览表</w:t>
      </w:r>
    </w:p>
    <w:p w14:paraId="4977B4E2">
      <w:pPr>
        <w:rPr>
          <w:rFonts w:ascii="宋体" w:hAnsi="宋体" w:eastAsia="宋体"/>
          <w:color w:val="auto"/>
          <w:spacing w:val="2"/>
          <w:position w:val="-1"/>
          <w:sz w:val="32"/>
          <w:szCs w:val="32"/>
          <w:lang w:eastAsia="zh-CN"/>
        </w:rPr>
      </w:pPr>
    </w:p>
    <w:tbl>
      <w:tblPr>
        <w:tblStyle w:val="2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1BA5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75C095FC">
            <w:pPr>
              <w:pStyle w:val="42"/>
              <w:keepNext w:val="0"/>
              <w:keepLines w:val="0"/>
              <w:suppressLineNumbers w:val="0"/>
              <w:spacing w:before="0" w:beforeAutospacing="0" w:after="0" w:afterAutospacing="0"/>
              <w:ind w:left="0" w:right="0"/>
              <w:rPr>
                <w:rFonts w:hint="default" w:ascii="宋体" w:hAnsi="宋体" w:cs="Times New Roman"/>
                <w:b/>
                <w:color w:val="auto"/>
                <w:sz w:val="22"/>
              </w:rPr>
            </w:pPr>
            <w:r>
              <w:rPr>
                <w:rFonts w:hint="eastAsia" w:ascii="宋体" w:hAnsi="宋体" w:cs="Times New Roman"/>
                <w:b/>
                <w:color w:val="auto"/>
                <w:sz w:val="22"/>
              </w:rPr>
              <w:t>序号</w:t>
            </w:r>
          </w:p>
        </w:tc>
        <w:tc>
          <w:tcPr>
            <w:tcW w:w="2410" w:type="dxa"/>
            <w:noWrap w:val="0"/>
            <w:vAlign w:val="center"/>
          </w:tcPr>
          <w:p w14:paraId="3535FA5E">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2"/>
              </w:rPr>
            </w:pPr>
            <w:r>
              <w:rPr>
                <w:rFonts w:hint="eastAsia" w:ascii="宋体" w:hAnsi="宋体" w:cs="Times New Roman"/>
                <w:b/>
                <w:color w:val="auto"/>
                <w:sz w:val="22"/>
              </w:rPr>
              <w:t>项目名称</w:t>
            </w:r>
          </w:p>
        </w:tc>
        <w:tc>
          <w:tcPr>
            <w:tcW w:w="1276" w:type="dxa"/>
            <w:noWrap w:val="0"/>
            <w:vAlign w:val="center"/>
          </w:tcPr>
          <w:p w14:paraId="3E27D407">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2"/>
              </w:rPr>
            </w:pPr>
            <w:r>
              <w:rPr>
                <w:rFonts w:hint="eastAsia" w:ascii="宋体" w:hAnsi="宋体" w:cs="Times New Roman"/>
                <w:b/>
                <w:color w:val="auto"/>
                <w:sz w:val="22"/>
              </w:rPr>
              <w:t>奖项名称</w:t>
            </w:r>
          </w:p>
        </w:tc>
        <w:tc>
          <w:tcPr>
            <w:tcW w:w="1842" w:type="dxa"/>
            <w:noWrap w:val="0"/>
            <w:vAlign w:val="center"/>
          </w:tcPr>
          <w:p w14:paraId="74F1D095">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2"/>
              </w:rPr>
            </w:pPr>
            <w:r>
              <w:rPr>
                <w:rFonts w:hint="eastAsia" w:ascii="宋体" w:hAnsi="宋体" w:cs="Times New Roman"/>
                <w:b/>
                <w:color w:val="auto"/>
                <w:sz w:val="22"/>
              </w:rPr>
              <w:t>奖项级别</w:t>
            </w:r>
          </w:p>
        </w:tc>
        <w:tc>
          <w:tcPr>
            <w:tcW w:w="1418" w:type="dxa"/>
            <w:noWrap w:val="0"/>
            <w:vAlign w:val="center"/>
          </w:tcPr>
          <w:p w14:paraId="008D2F83">
            <w:pPr>
              <w:pStyle w:val="42"/>
              <w:keepNext w:val="0"/>
              <w:keepLines w:val="0"/>
              <w:suppressLineNumbers w:val="0"/>
              <w:spacing w:before="0" w:beforeAutospacing="0" w:after="0" w:afterAutospacing="0"/>
              <w:ind w:left="0" w:right="0" w:firstLine="108" w:firstLineChars="49"/>
              <w:jc w:val="center"/>
              <w:rPr>
                <w:rFonts w:hint="default" w:ascii="宋体" w:hAnsi="宋体" w:cs="Times New Roman"/>
                <w:b/>
                <w:color w:val="auto"/>
                <w:sz w:val="22"/>
              </w:rPr>
            </w:pPr>
            <w:r>
              <w:rPr>
                <w:rFonts w:hint="eastAsia" w:ascii="宋体" w:hAnsi="宋体" w:cs="Times New Roman"/>
                <w:b/>
                <w:color w:val="auto"/>
                <w:sz w:val="22"/>
              </w:rPr>
              <w:t>获奖时间</w:t>
            </w:r>
          </w:p>
        </w:tc>
        <w:tc>
          <w:tcPr>
            <w:tcW w:w="1530" w:type="dxa"/>
            <w:noWrap w:val="0"/>
            <w:vAlign w:val="center"/>
          </w:tcPr>
          <w:p w14:paraId="50B10724">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2"/>
              </w:rPr>
            </w:pPr>
            <w:r>
              <w:rPr>
                <w:rFonts w:hint="eastAsia" w:ascii="宋体" w:hAnsi="宋体" w:cs="Times New Roman"/>
                <w:b/>
                <w:color w:val="auto"/>
                <w:sz w:val="22"/>
              </w:rPr>
              <w:t>授奖机构</w:t>
            </w:r>
          </w:p>
        </w:tc>
      </w:tr>
      <w:tr w14:paraId="47A3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4A1F41C6">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1</w:t>
            </w:r>
          </w:p>
        </w:tc>
        <w:tc>
          <w:tcPr>
            <w:tcW w:w="2410" w:type="dxa"/>
            <w:noWrap w:val="0"/>
            <w:vAlign w:val="center"/>
          </w:tcPr>
          <w:p w14:paraId="51F5609C">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11C44981">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71AFBBDB">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1185BFBF">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3BDC5B8F">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33C0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17B1AD6E">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2</w:t>
            </w:r>
          </w:p>
        </w:tc>
        <w:tc>
          <w:tcPr>
            <w:tcW w:w="2410" w:type="dxa"/>
            <w:noWrap w:val="0"/>
            <w:vAlign w:val="center"/>
          </w:tcPr>
          <w:p w14:paraId="029C232B">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3B117F04">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08445D0E">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73ABF99E">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2FCEDD5C">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301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1A44F75B">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3</w:t>
            </w:r>
          </w:p>
        </w:tc>
        <w:tc>
          <w:tcPr>
            <w:tcW w:w="2410" w:type="dxa"/>
            <w:noWrap w:val="0"/>
            <w:vAlign w:val="center"/>
          </w:tcPr>
          <w:p w14:paraId="21617CD7">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6281A9FA">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73FA6979">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5F3BC44A">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3A9A5733">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3B15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00958C6B">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4</w:t>
            </w:r>
          </w:p>
        </w:tc>
        <w:tc>
          <w:tcPr>
            <w:tcW w:w="2410" w:type="dxa"/>
            <w:noWrap w:val="0"/>
            <w:vAlign w:val="center"/>
          </w:tcPr>
          <w:p w14:paraId="58735DCC">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63B651AC">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69A2E22F">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065C0DCB">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5108F5AA">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497C3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30374659">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5</w:t>
            </w:r>
          </w:p>
        </w:tc>
        <w:tc>
          <w:tcPr>
            <w:tcW w:w="2410" w:type="dxa"/>
            <w:noWrap w:val="0"/>
            <w:vAlign w:val="center"/>
          </w:tcPr>
          <w:p w14:paraId="17D4AF97">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2F77C6BD">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6D83901B">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0BCA9266">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4590A4D5">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22662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3FF1D0D4">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6</w:t>
            </w:r>
          </w:p>
        </w:tc>
        <w:tc>
          <w:tcPr>
            <w:tcW w:w="2410" w:type="dxa"/>
            <w:noWrap w:val="0"/>
            <w:vAlign w:val="center"/>
          </w:tcPr>
          <w:p w14:paraId="02086FF4">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6B66CF44">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3D207489">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3E1C6C80">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4EF77B55">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61CF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0395AF84">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7</w:t>
            </w:r>
          </w:p>
        </w:tc>
        <w:tc>
          <w:tcPr>
            <w:tcW w:w="2410" w:type="dxa"/>
            <w:noWrap w:val="0"/>
            <w:vAlign w:val="center"/>
          </w:tcPr>
          <w:p w14:paraId="369D9571">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2A78FDDB">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572EEDC1">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4E618E43">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1CB7DC78">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536D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49DA9A72">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8</w:t>
            </w:r>
          </w:p>
        </w:tc>
        <w:tc>
          <w:tcPr>
            <w:tcW w:w="2410" w:type="dxa"/>
            <w:noWrap w:val="0"/>
            <w:vAlign w:val="center"/>
          </w:tcPr>
          <w:p w14:paraId="5687D189">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24BBB45A">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69AED420">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31EE60BA">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7F4A61FF">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42FF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6B7EA00E">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9</w:t>
            </w:r>
          </w:p>
        </w:tc>
        <w:tc>
          <w:tcPr>
            <w:tcW w:w="2410" w:type="dxa"/>
            <w:noWrap w:val="0"/>
            <w:vAlign w:val="center"/>
          </w:tcPr>
          <w:p w14:paraId="0CD4CEA8">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2C0A59CD">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2D95607E">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3D04864C">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2B84B626">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r w14:paraId="6F0D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noWrap w:val="0"/>
            <w:vAlign w:val="center"/>
          </w:tcPr>
          <w:p w14:paraId="26218631">
            <w:pPr>
              <w:pStyle w:val="42"/>
              <w:keepNext w:val="0"/>
              <w:keepLines w:val="0"/>
              <w:suppressLineNumbers w:val="0"/>
              <w:spacing w:before="0" w:beforeAutospacing="0" w:after="0" w:afterAutospacing="0"/>
              <w:ind w:left="0" w:right="0"/>
              <w:jc w:val="center"/>
              <w:rPr>
                <w:rFonts w:hint="default" w:ascii="宋体" w:hAnsi="宋体" w:cs="Times New Roman"/>
                <w:color w:val="auto"/>
                <w:sz w:val="22"/>
              </w:rPr>
            </w:pPr>
            <w:r>
              <w:rPr>
                <w:rFonts w:hint="eastAsia" w:ascii="宋体" w:hAnsi="宋体" w:cs="Times New Roman"/>
                <w:color w:val="auto"/>
                <w:sz w:val="22"/>
              </w:rPr>
              <w:t>1</w:t>
            </w:r>
            <w:r>
              <w:rPr>
                <w:rFonts w:hint="default" w:ascii="宋体" w:hAnsi="宋体" w:cs="Times New Roman"/>
                <w:color w:val="auto"/>
                <w:sz w:val="22"/>
              </w:rPr>
              <w:t>0</w:t>
            </w:r>
          </w:p>
        </w:tc>
        <w:tc>
          <w:tcPr>
            <w:tcW w:w="2410" w:type="dxa"/>
            <w:noWrap w:val="0"/>
            <w:vAlign w:val="center"/>
          </w:tcPr>
          <w:p w14:paraId="64C3C22D">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276" w:type="dxa"/>
            <w:noWrap w:val="0"/>
            <w:vAlign w:val="center"/>
          </w:tcPr>
          <w:p w14:paraId="182B3BEA">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842" w:type="dxa"/>
            <w:noWrap w:val="0"/>
            <w:vAlign w:val="center"/>
          </w:tcPr>
          <w:p w14:paraId="46DDE8D5">
            <w:pPr>
              <w:pStyle w:val="42"/>
              <w:keepNext w:val="0"/>
              <w:keepLines w:val="0"/>
              <w:suppressLineNumbers w:val="0"/>
              <w:spacing w:before="0" w:beforeAutospacing="0" w:after="0" w:afterAutospacing="0"/>
              <w:ind w:left="0" w:right="0"/>
              <w:jc w:val="center"/>
              <w:rPr>
                <w:rFonts w:hint="default" w:ascii="宋体" w:hAnsi="宋体" w:cs="Times New Roman"/>
                <w:b/>
                <w:color w:val="auto"/>
                <w:sz w:val="24"/>
              </w:rPr>
            </w:pPr>
          </w:p>
        </w:tc>
        <w:tc>
          <w:tcPr>
            <w:tcW w:w="1418" w:type="dxa"/>
            <w:noWrap w:val="0"/>
            <w:vAlign w:val="center"/>
          </w:tcPr>
          <w:p w14:paraId="30F81E17">
            <w:pPr>
              <w:pStyle w:val="42"/>
              <w:keepNext w:val="0"/>
              <w:keepLines w:val="0"/>
              <w:suppressLineNumbers w:val="0"/>
              <w:spacing w:before="0" w:beforeAutospacing="0" w:after="0" w:afterAutospacing="0"/>
              <w:ind w:left="0" w:right="0" w:firstLine="118" w:firstLineChars="49"/>
              <w:jc w:val="center"/>
              <w:rPr>
                <w:rFonts w:hint="default" w:ascii="宋体" w:hAnsi="宋体" w:cs="Times New Roman"/>
                <w:b/>
                <w:color w:val="auto"/>
                <w:sz w:val="24"/>
              </w:rPr>
            </w:pPr>
          </w:p>
        </w:tc>
        <w:tc>
          <w:tcPr>
            <w:tcW w:w="1530" w:type="dxa"/>
            <w:noWrap w:val="0"/>
            <w:vAlign w:val="center"/>
          </w:tcPr>
          <w:p w14:paraId="1735503C">
            <w:pPr>
              <w:pStyle w:val="42"/>
              <w:keepNext w:val="0"/>
              <w:keepLines w:val="0"/>
              <w:suppressLineNumbers w:val="0"/>
              <w:spacing w:before="0" w:beforeAutospacing="0" w:after="0" w:afterAutospacing="0"/>
              <w:ind w:left="0" w:right="0" w:firstLine="482"/>
              <w:jc w:val="center"/>
              <w:rPr>
                <w:rFonts w:hint="default" w:ascii="宋体" w:hAnsi="宋体" w:cs="Times New Roman"/>
                <w:b/>
                <w:color w:val="auto"/>
                <w:sz w:val="24"/>
              </w:rPr>
            </w:pPr>
          </w:p>
        </w:tc>
      </w:tr>
    </w:tbl>
    <w:p w14:paraId="1A8DE56E">
      <w:pPr>
        <w:pStyle w:val="9"/>
        <w:spacing w:before="240"/>
        <w:rPr>
          <w:b/>
          <w:bCs/>
          <w:color w:val="auto"/>
          <w:lang w:eastAsia="zh-CN"/>
        </w:rPr>
      </w:pPr>
      <w:r>
        <w:rPr>
          <w:rFonts w:hint="eastAsia"/>
          <w:b/>
          <w:bCs/>
          <w:color w:val="auto"/>
          <w:lang w:eastAsia="zh-CN"/>
        </w:rPr>
        <w:t>注：需根据评分表备注的评审评分材料要求提供相应证明材料。</w:t>
      </w:r>
    </w:p>
    <w:p w14:paraId="290BA396">
      <w:pPr>
        <w:rPr>
          <w:rFonts w:ascii="宋体" w:hAnsi="宋体" w:eastAsia="宋体"/>
          <w:color w:val="auto"/>
          <w:lang w:eastAsia="zh-CN"/>
        </w:rPr>
      </w:pPr>
    </w:p>
    <w:p w14:paraId="120D6864">
      <w:pPr>
        <w:pStyle w:val="2"/>
        <w:kinsoku w:val="0"/>
        <w:overflowPunct w:val="0"/>
        <w:spacing w:line="360" w:lineRule="auto"/>
        <w:ind w:left="0" w:firstLine="2891" w:firstLineChars="1200"/>
        <w:rPr>
          <w:b/>
          <w:color w:val="auto"/>
          <w:sz w:val="24"/>
          <w:szCs w:val="24"/>
          <w:lang w:eastAsia="zh-CN"/>
        </w:rPr>
      </w:pPr>
    </w:p>
    <w:p w14:paraId="2328BE43">
      <w:pPr>
        <w:pStyle w:val="2"/>
        <w:kinsoku w:val="0"/>
        <w:overflowPunct w:val="0"/>
        <w:spacing w:line="360" w:lineRule="auto"/>
        <w:ind w:left="0" w:firstLine="2891" w:firstLineChars="1200"/>
        <w:rPr>
          <w:b/>
          <w:color w:val="auto"/>
          <w:sz w:val="24"/>
          <w:szCs w:val="24"/>
          <w:lang w:eastAsia="zh-CN"/>
        </w:rPr>
      </w:pPr>
    </w:p>
    <w:p w14:paraId="1E7F1619">
      <w:pPr>
        <w:pStyle w:val="2"/>
        <w:kinsoku w:val="0"/>
        <w:overflowPunct w:val="0"/>
        <w:spacing w:line="360" w:lineRule="auto"/>
        <w:ind w:left="0" w:firstLine="2891" w:firstLineChars="1200"/>
        <w:rPr>
          <w:b/>
          <w:color w:val="auto"/>
          <w:sz w:val="24"/>
          <w:szCs w:val="24"/>
          <w:lang w:eastAsia="zh-CN"/>
        </w:rPr>
      </w:pPr>
    </w:p>
    <w:p w14:paraId="37EDEF73">
      <w:pPr>
        <w:pStyle w:val="2"/>
        <w:kinsoku w:val="0"/>
        <w:overflowPunct w:val="0"/>
        <w:spacing w:line="360" w:lineRule="auto"/>
        <w:ind w:left="0" w:firstLine="2891" w:firstLineChars="1200"/>
        <w:rPr>
          <w:b/>
          <w:color w:val="auto"/>
          <w:sz w:val="24"/>
          <w:szCs w:val="24"/>
          <w:lang w:eastAsia="zh-CN"/>
        </w:rPr>
      </w:pPr>
      <w:r>
        <w:rPr>
          <w:rFonts w:hint="eastAsia"/>
          <w:b/>
          <w:color w:val="auto"/>
          <w:sz w:val="24"/>
          <w:szCs w:val="24"/>
          <w:lang w:eastAsia="zh-CN"/>
        </w:rPr>
        <w:t>投标</w:t>
      </w:r>
      <w:r>
        <w:rPr>
          <w:rFonts w:hint="eastAsia"/>
          <w:b/>
          <w:color w:val="auto"/>
          <w:spacing w:val="-2"/>
          <w:sz w:val="24"/>
          <w:szCs w:val="24"/>
          <w:lang w:eastAsia="zh-CN"/>
        </w:rPr>
        <w:t>人：</w:t>
      </w:r>
      <w:r>
        <w:rPr>
          <w:rFonts w:hint="eastAsia"/>
          <w:b/>
          <w:color w:val="auto"/>
          <w:spacing w:val="-2"/>
          <w:sz w:val="24"/>
          <w:szCs w:val="24"/>
          <w:u w:val="single"/>
          <w:lang w:eastAsia="zh-CN"/>
        </w:rPr>
        <w:t xml:space="preserve">      </w:t>
      </w:r>
      <w:r>
        <w:rPr>
          <w:rFonts w:hint="eastAsia"/>
          <w:b/>
          <w:color w:val="auto"/>
          <w:spacing w:val="-1"/>
          <w:sz w:val="24"/>
          <w:szCs w:val="24"/>
          <w:lang w:eastAsia="zh-CN"/>
        </w:rPr>
        <w:t>（盖单位章）</w:t>
      </w:r>
    </w:p>
    <w:p w14:paraId="401B2A38">
      <w:pPr>
        <w:spacing w:line="360" w:lineRule="auto"/>
        <w:ind w:firstLine="2891" w:firstLineChars="1200"/>
        <w:rPr>
          <w:rFonts w:ascii="宋体" w:hAnsi="宋体" w:eastAsia="宋体"/>
          <w:b/>
          <w:bCs/>
          <w:color w:val="auto"/>
          <w:sz w:val="24"/>
          <w:szCs w:val="24"/>
          <w:lang w:eastAsia="zh-CN"/>
        </w:rPr>
      </w:pPr>
      <w:r>
        <w:rPr>
          <w:rFonts w:hint="eastAsia" w:ascii="宋体" w:hAnsi="宋体" w:eastAsia="宋体"/>
          <w:b/>
          <w:bCs/>
          <w:color w:val="auto"/>
          <w:sz w:val="24"/>
          <w:szCs w:val="24"/>
          <w:lang w:eastAsia="zh-CN"/>
        </w:rPr>
        <w:t>法定代表人或其委托代理人：</w:t>
      </w:r>
      <w:r>
        <w:rPr>
          <w:rFonts w:hint="eastAsia" w:ascii="宋体" w:hAnsi="宋体" w:eastAsia="宋体"/>
          <w:b/>
          <w:bCs/>
          <w:color w:val="auto"/>
          <w:sz w:val="24"/>
          <w:szCs w:val="24"/>
          <w:u w:val="single"/>
          <w:lang w:eastAsia="zh-CN"/>
        </w:rPr>
        <w:t xml:space="preserve">     </w:t>
      </w:r>
      <w:r>
        <w:rPr>
          <w:rFonts w:hint="eastAsia" w:ascii="宋体" w:hAnsi="宋体" w:eastAsia="宋体"/>
          <w:b/>
          <w:bCs/>
          <w:color w:val="auto"/>
          <w:sz w:val="24"/>
          <w:szCs w:val="24"/>
          <w:lang w:eastAsia="zh-CN"/>
        </w:rPr>
        <w:t>（签字或盖章）</w:t>
      </w:r>
    </w:p>
    <w:p w14:paraId="1AC55126">
      <w:pPr>
        <w:ind w:firstLine="4337" w:firstLineChars="1800"/>
        <w:rPr>
          <w:color w:val="auto"/>
          <w:lang w:eastAsia="zh-CN"/>
        </w:rPr>
      </w:pPr>
      <w:r>
        <w:rPr>
          <w:rFonts w:hint="eastAsia" w:ascii="宋体" w:hAnsi="宋体" w:eastAsia="宋体"/>
          <w:b/>
          <w:color w:val="auto"/>
          <w:sz w:val="24"/>
          <w:szCs w:val="24"/>
          <w:lang w:eastAsia="zh-CN"/>
        </w:rPr>
        <w:t>年</w:t>
      </w:r>
      <w:r>
        <w:rPr>
          <w:rFonts w:ascii="宋体" w:hAnsi="宋体" w:eastAsia="宋体"/>
          <w:b/>
          <w:color w:val="auto"/>
          <w:sz w:val="24"/>
          <w:szCs w:val="24"/>
          <w:u w:val="single"/>
          <w:lang w:eastAsia="zh-CN"/>
        </w:rPr>
        <w:tab/>
      </w:r>
      <w:r>
        <w:rPr>
          <w:rFonts w:hint="eastAsia" w:ascii="宋体" w:hAnsi="宋体" w:eastAsia="宋体"/>
          <w:b/>
          <w:color w:val="auto"/>
          <w:sz w:val="24"/>
          <w:szCs w:val="24"/>
          <w:lang w:eastAsia="zh-CN"/>
        </w:rPr>
        <w:t>月</w:t>
      </w:r>
      <w:r>
        <w:rPr>
          <w:rFonts w:ascii="宋体" w:hAnsi="宋体" w:eastAsia="宋体"/>
          <w:b/>
          <w:color w:val="auto"/>
          <w:sz w:val="24"/>
          <w:szCs w:val="24"/>
          <w:u w:val="single"/>
          <w:lang w:eastAsia="zh-CN"/>
        </w:rPr>
        <w:tab/>
      </w:r>
      <w:r>
        <w:rPr>
          <w:rFonts w:hint="eastAsia" w:ascii="宋体" w:hAnsi="宋体" w:eastAsia="宋体"/>
          <w:b/>
          <w:color w:val="auto"/>
          <w:sz w:val="24"/>
          <w:szCs w:val="24"/>
          <w:lang w:eastAsia="zh-CN"/>
        </w:rPr>
        <w:t>日</w:t>
      </w:r>
    </w:p>
    <w:p w14:paraId="261A83B1">
      <w:pPr>
        <w:pStyle w:val="7"/>
        <w:rPr>
          <w:color w:val="auto"/>
        </w:rPr>
      </w:pPr>
    </w:p>
    <w:p w14:paraId="4287291A">
      <w:pPr>
        <w:pStyle w:val="5"/>
        <w:rPr>
          <w:rFonts w:ascii="宋体" w:hAnsi="宋体" w:eastAsia="宋体"/>
          <w:color w:val="auto"/>
          <w:lang w:eastAsia="zh-CN"/>
        </w:rPr>
        <w:sectPr>
          <w:footerReference r:id="rId9" w:type="first"/>
          <w:footerReference r:id="rId8" w:type="default"/>
          <w:pgSz w:w="11907" w:h="16839"/>
          <w:pgMar w:top="1440" w:right="1440" w:bottom="1440" w:left="1440" w:header="0" w:footer="918" w:gutter="0"/>
          <w:cols w:space="720" w:num="1"/>
          <w:docGrid w:linePitch="299" w:charSpace="0"/>
        </w:sectPr>
      </w:pPr>
    </w:p>
    <w:p w14:paraId="04971713">
      <w:pPr>
        <w:pStyle w:val="2"/>
        <w:kinsoku w:val="0"/>
        <w:overflowPunct w:val="0"/>
        <w:spacing w:line="360" w:lineRule="auto"/>
        <w:ind w:left="0"/>
        <w:rPr>
          <w:b/>
          <w:color w:val="auto"/>
          <w:sz w:val="24"/>
          <w:szCs w:val="24"/>
          <w:lang w:eastAsia="zh-CN"/>
        </w:rPr>
      </w:pPr>
    </w:p>
    <w:p w14:paraId="383161A9">
      <w:pPr>
        <w:pStyle w:val="5"/>
        <w:ind w:left="0"/>
        <w:rPr>
          <w:rFonts w:ascii="宋体" w:hAnsi="宋体" w:eastAsia="宋体"/>
          <w:color w:val="auto"/>
          <w:lang w:eastAsia="zh-CN"/>
        </w:rPr>
      </w:pPr>
      <w:r>
        <w:rPr>
          <w:rFonts w:hint="eastAsia" w:ascii="宋体" w:hAnsi="宋体" w:eastAsia="宋体"/>
          <w:color w:val="auto"/>
          <w:lang w:eastAsia="zh-CN"/>
        </w:rPr>
        <w:t>格式九 其他资料</w:t>
      </w:r>
    </w:p>
    <w:p w14:paraId="711415D1">
      <w:pPr>
        <w:ind w:firstLine="300"/>
        <w:rPr>
          <w:color w:val="auto"/>
          <w:lang w:eastAsia="zh-CN"/>
        </w:rPr>
      </w:pPr>
    </w:p>
    <w:p w14:paraId="4877D3DC">
      <w:pPr>
        <w:rPr>
          <w:color w:val="auto"/>
        </w:rPr>
      </w:pPr>
    </w:p>
    <w:p w14:paraId="35C1B7C1">
      <w:pPr>
        <w:rPr>
          <w:color w:val="auto"/>
        </w:rPr>
      </w:pPr>
    </w:p>
    <w:p w14:paraId="50B4198E">
      <w:pPr>
        <w:rPr>
          <w:color w:val="auto"/>
        </w:rPr>
      </w:pPr>
    </w:p>
    <w:sectPr>
      <w:pgSz w:w="11907" w:h="16839"/>
      <w:pgMar w:top="1440" w:right="1440" w:bottom="1440" w:left="1440" w:header="0" w:footer="91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36C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25F3">
    <w:pPr>
      <w:pStyle w:val="15"/>
      <w:jc w:val="center"/>
    </w:pPr>
    <w:r>
      <w:fldChar w:fldCharType="begin"/>
    </w:r>
    <w:r>
      <w:instrText xml:space="preserve"> PAGE   \* MERGEFORMAT </w:instrText>
    </w:r>
    <w:r>
      <w:fldChar w:fldCharType="separate"/>
    </w:r>
    <w:r>
      <w:rPr>
        <w:lang w:val="zh-CN" w:eastAsia="zh-CN"/>
      </w:rPr>
      <w:t>3</w:t>
    </w:r>
    <w:r>
      <w:fldChar w:fldCharType="end"/>
    </w:r>
  </w:p>
  <w:p w14:paraId="4108D9F3">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8A86">
    <w:pPr>
      <w:pStyle w:val="15"/>
      <w:jc w:val="center"/>
    </w:pPr>
    <w:r>
      <w:fldChar w:fldCharType="begin"/>
    </w:r>
    <w:r>
      <w:instrText xml:space="preserve"> PAGE   \* MERGEFORMAT </w:instrText>
    </w:r>
    <w:r>
      <w:fldChar w:fldCharType="separate"/>
    </w:r>
    <w:r>
      <w:rPr>
        <w:lang w:val="zh-CN" w:eastAsia="zh-CN"/>
      </w:rPr>
      <w:t>39</w:t>
    </w:r>
    <w:r>
      <w:fldChar w:fldCharType="end"/>
    </w:r>
  </w:p>
  <w:p w14:paraId="00AB7677">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E6AE">
    <w:pPr>
      <w:pStyle w:val="15"/>
      <w:jc w:val="center"/>
    </w:pPr>
    <w:r>
      <w:fldChar w:fldCharType="begin"/>
    </w:r>
    <w:r>
      <w:instrText xml:space="preserve"> PAGE   \* MERGEFORMAT </w:instrText>
    </w:r>
    <w:r>
      <w:fldChar w:fldCharType="separate"/>
    </w:r>
    <w:r>
      <w:rPr>
        <w:lang w:val="zh-CN" w:eastAsia="zh-CN"/>
      </w:rPr>
      <w:t>51</w:t>
    </w:r>
    <w:r>
      <w:fldChar w:fldCharType="end"/>
    </w:r>
  </w:p>
  <w:p w14:paraId="7A64CFA3">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557C">
    <w:pPr>
      <w:pStyle w:val="15"/>
      <w:jc w:val="center"/>
    </w:pPr>
    <w:r>
      <w:fldChar w:fldCharType="begin"/>
    </w:r>
    <w:r>
      <w:instrText xml:space="preserve"> PAGE   \* MERGEFORMAT </w:instrText>
    </w:r>
    <w:r>
      <w:fldChar w:fldCharType="separate"/>
    </w:r>
    <w:r>
      <w:rPr>
        <w:lang w:val="zh-CN" w:eastAsia="zh-CN"/>
      </w:rPr>
      <w:t>49</w:t>
    </w:r>
    <w:r>
      <w:fldChar w:fldCharType="end"/>
    </w:r>
  </w:p>
  <w:p w14:paraId="17501551">
    <w:pPr>
      <w:pStyle w:val="1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9ACB">
    <w:pPr>
      <w:spacing w:line="14" w:lineRule="auto"/>
      <w:rPr>
        <w:rFonts w:eastAsia="宋体"/>
        <w:sz w:val="20"/>
        <w:szCs w:val="20"/>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14935" cy="131445"/>
                      </a:xfrm>
                      <a:prstGeom prst="rect">
                        <a:avLst/>
                      </a:prstGeom>
                      <a:noFill/>
                      <a:ln>
                        <a:noFill/>
                      </a:ln>
                    </wps:spPr>
                    <wps:txbx>
                      <w:txbxContent>
                        <w:p w14:paraId="6E139848">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66</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jOhiV&#10;7AEAANIDAAAOAAAAAAAAAAEAIAAAAB8BAABkcnMvZTJvRG9jLnhtbFBLBQYAAAAABgAGAFkBAAB9&#10;BQAAAAA=&#10;">
              <v:fill on="f" focussize="0,0"/>
              <v:stroke on="f"/>
              <v:imagedata o:title=""/>
              <o:lock v:ext="edit" text="t" aspectratio="t"/>
              <v:textbox inset="0mm,0mm,0mm,0mm" style="mso-fit-shape-to-text:t;">
                <w:txbxContent>
                  <w:p w14:paraId="6E139848">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66</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9EA0">
    <w:pPr>
      <w:pStyle w:val="15"/>
      <w:jc w:val="center"/>
    </w:pPr>
    <w:r>
      <w:fldChar w:fldCharType="begin"/>
    </w:r>
    <w:r>
      <w:instrText xml:space="preserve"> PAGE   \* MERGEFORMAT </w:instrText>
    </w:r>
    <w:r>
      <w:fldChar w:fldCharType="separate"/>
    </w:r>
    <w:r>
      <w:rPr>
        <w:lang w:val="zh-CN" w:eastAsia="zh-CN"/>
      </w:rPr>
      <w:t>67</w:t>
    </w:r>
    <w:r>
      <w:fldChar w:fldCharType="end"/>
    </w:r>
  </w:p>
  <w:p w14:paraId="25153621">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7B9A4"/>
    <w:multiLevelType w:val="singleLevel"/>
    <w:tmpl w:val="4447B9A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DkxYWMzZWFhNzQ4M2ZhMzBjZjY2NjRjZDQ4YjMifQ=="/>
  </w:docVars>
  <w:rsids>
    <w:rsidRoot w:val="00650CB5"/>
    <w:rsid w:val="00000A55"/>
    <w:rsid w:val="00010B0F"/>
    <w:rsid w:val="000341AE"/>
    <w:rsid w:val="000441C1"/>
    <w:rsid w:val="00050060"/>
    <w:rsid w:val="00055AAB"/>
    <w:rsid w:val="00065AF2"/>
    <w:rsid w:val="00066927"/>
    <w:rsid w:val="00085863"/>
    <w:rsid w:val="00085D7B"/>
    <w:rsid w:val="000906C1"/>
    <w:rsid w:val="000C0EF7"/>
    <w:rsid w:val="000D17CB"/>
    <w:rsid w:val="000F1227"/>
    <w:rsid w:val="00105E4B"/>
    <w:rsid w:val="0010756F"/>
    <w:rsid w:val="00110A9B"/>
    <w:rsid w:val="00113C4B"/>
    <w:rsid w:val="00124DFC"/>
    <w:rsid w:val="00125D40"/>
    <w:rsid w:val="00132318"/>
    <w:rsid w:val="001521EA"/>
    <w:rsid w:val="00152D84"/>
    <w:rsid w:val="001614C6"/>
    <w:rsid w:val="00165EB8"/>
    <w:rsid w:val="001A7D20"/>
    <w:rsid w:val="001B2553"/>
    <w:rsid w:val="001D7155"/>
    <w:rsid w:val="001E16C3"/>
    <w:rsid w:val="001E4A9C"/>
    <w:rsid w:val="002132C3"/>
    <w:rsid w:val="00216966"/>
    <w:rsid w:val="00217ED2"/>
    <w:rsid w:val="0025041C"/>
    <w:rsid w:val="0025345A"/>
    <w:rsid w:val="0025400F"/>
    <w:rsid w:val="002701E3"/>
    <w:rsid w:val="002811A9"/>
    <w:rsid w:val="002C3D58"/>
    <w:rsid w:val="002D351E"/>
    <w:rsid w:val="002E2724"/>
    <w:rsid w:val="002E4F74"/>
    <w:rsid w:val="00324E12"/>
    <w:rsid w:val="00343DC1"/>
    <w:rsid w:val="003444A1"/>
    <w:rsid w:val="00345C06"/>
    <w:rsid w:val="00353DBA"/>
    <w:rsid w:val="00365759"/>
    <w:rsid w:val="00365D1E"/>
    <w:rsid w:val="00366B5D"/>
    <w:rsid w:val="003841EA"/>
    <w:rsid w:val="00396C78"/>
    <w:rsid w:val="003A6B66"/>
    <w:rsid w:val="003D1F9A"/>
    <w:rsid w:val="003D3AEB"/>
    <w:rsid w:val="003D7B25"/>
    <w:rsid w:val="003F45DF"/>
    <w:rsid w:val="00412EC1"/>
    <w:rsid w:val="00421476"/>
    <w:rsid w:val="00423CB0"/>
    <w:rsid w:val="00427555"/>
    <w:rsid w:val="00436477"/>
    <w:rsid w:val="00443B09"/>
    <w:rsid w:val="004529FA"/>
    <w:rsid w:val="004543B3"/>
    <w:rsid w:val="004577E5"/>
    <w:rsid w:val="004643E6"/>
    <w:rsid w:val="00486416"/>
    <w:rsid w:val="00495683"/>
    <w:rsid w:val="004B3E8F"/>
    <w:rsid w:val="004D2193"/>
    <w:rsid w:val="004D2704"/>
    <w:rsid w:val="004E138C"/>
    <w:rsid w:val="004E6C23"/>
    <w:rsid w:val="004F0B56"/>
    <w:rsid w:val="004F63B8"/>
    <w:rsid w:val="00505003"/>
    <w:rsid w:val="00506DE5"/>
    <w:rsid w:val="00541474"/>
    <w:rsid w:val="00543836"/>
    <w:rsid w:val="00550CFC"/>
    <w:rsid w:val="00567E95"/>
    <w:rsid w:val="00585668"/>
    <w:rsid w:val="00585756"/>
    <w:rsid w:val="005A3466"/>
    <w:rsid w:val="005B5F59"/>
    <w:rsid w:val="005D0C58"/>
    <w:rsid w:val="005E1960"/>
    <w:rsid w:val="005E4200"/>
    <w:rsid w:val="005E7087"/>
    <w:rsid w:val="005F14BC"/>
    <w:rsid w:val="005F1F68"/>
    <w:rsid w:val="005F5D85"/>
    <w:rsid w:val="006058E9"/>
    <w:rsid w:val="00611182"/>
    <w:rsid w:val="00617E06"/>
    <w:rsid w:val="00621388"/>
    <w:rsid w:val="00621C19"/>
    <w:rsid w:val="00632B4F"/>
    <w:rsid w:val="00650CB5"/>
    <w:rsid w:val="00654451"/>
    <w:rsid w:val="006548AE"/>
    <w:rsid w:val="00670AC0"/>
    <w:rsid w:val="006744FB"/>
    <w:rsid w:val="006749C8"/>
    <w:rsid w:val="00680B02"/>
    <w:rsid w:val="006858F6"/>
    <w:rsid w:val="0068600B"/>
    <w:rsid w:val="006A55C8"/>
    <w:rsid w:val="006C4CD0"/>
    <w:rsid w:val="006C6FAD"/>
    <w:rsid w:val="006D249C"/>
    <w:rsid w:val="006E62B1"/>
    <w:rsid w:val="006E7C77"/>
    <w:rsid w:val="006F0F13"/>
    <w:rsid w:val="006F423F"/>
    <w:rsid w:val="007001ED"/>
    <w:rsid w:val="0070043C"/>
    <w:rsid w:val="00705FD4"/>
    <w:rsid w:val="007221D7"/>
    <w:rsid w:val="00731DF0"/>
    <w:rsid w:val="007414CD"/>
    <w:rsid w:val="00760ADA"/>
    <w:rsid w:val="00767243"/>
    <w:rsid w:val="00770143"/>
    <w:rsid w:val="00776E46"/>
    <w:rsid w:val="00780E14"/>
    <w:rsid w:val="007837D7"/>
    <w:rsid w:val="00792057"/>
    <w:rsid w:val="00795555"/>
    <w:rsid w:val="007A1A5A"/>
    <w:rsid w:val="007B35F2"/>
    <w:rsid w:val="007B6094"/>
    <w:rsid w:val="007C1EEC"/>
    <w:rsid w:val="007F4E20"/>
    <w:rsid w:val="00803AB4"/>
    <w:rsid w:val="00805110"/>
    <w:rsid w:val="00827463"/>
    <w:rsid w:val="00843595"/>
    <w:rsid w:val="00872B16"/>
    <w:rsid w:val="008743C8"/>
    <w:rsid w:val="008773B3"/>
    <w:rsid w:val="00891B4D"/>
    <w:rsid w:val="00894520"/>
    <w:rsid w:val="008A715F"/>
    <w:rsid w:val="008B4800"/>
    <w:rsid w:val="008B66FB"/>
    <w:rsid w:val="008C3EF0"/>
    <w:rsid w:val="008C66D0"/>
    <w:rsid w:val="008D6B97"/>
    <w:rsid w:val="008F27D4"/>
    <w:rsid w:val="00913DBD"/>
    <w:rsid w:val="009368D0"/>
    <w:rsid w:val="009540CD"/>
    <w:rsid w:val="009572A3"/>
    <w:rsid w:val="00960B7B"/>
    <w:rsid w:val="00964845"/>
    <w:rsid w:val="009679AB"/>
    <w:rsid w:val="00983525"/>
    <w:rsid w:val="00992E87"/>
    <w:rsid w:val="009A6411"/>
    <w:rsid w:val="009B23BA"/>
    <w:rsid w:val="009B31B5"/>
    <w:rsid w:val="009B47B4"/>
    <w:rsid w:val="009C2180"/>
    <w:rsid w:val="00A030BA"/>
    <w:rsid w:val="00A14614"/>
    <w:rsid w:val="00A15FCF"/>
    <w:rsid w:val="00A227D6"/>
    <w:rsid w:val="00A432A8"/>
    <w:rsid w:val="00A43BC7"/>
    <w:rsid w:val="00A6303B"/>
    <w:rsid w:val="00A7127F"/>
    <w:rsid w:val="00A713A8"/>
    <w:rsid w:val="00A756C8"/>
    <w:rsid w:val="00A84E5F"/>
    <w:rsid w:val="00A85A39"/>
    <w:rsid w:val="00A90F4D"/>
    <w:rsid w:val="00A9573F"/>
    <w:rsid w:val="00AA07FF"/>
    <w:rsid w:val="00AA3C90"/>
    <w:rsid w:val="00AC6FB3"/>
    <w:rsid w:val="00AC7149"/>
    <w:rsid w:val="00AE3F94"/>
    <w:rsid w:val="00AF73E0"/>
    <w:rsid w:val="00B033CE"/>
    <w:rsid w:val="00B23AF6"/>
    <w:rsid w:val="00B356C0"/>
    <w:rsid w:val="00B37B4A"/>
    <w:rsid w:val="00B43381"/>
    <w:rsid w:val="00BB3D6C"/>
    <w:rsid w:val="00BC65DF"/>
    <w:rsid w:val="00BE6822"/>
    <w:rsid w:val="00C07E46"/>
    <w:rsid w:val="00C14349"/>
    <w:rsid w:val="00C2232A"/>
    <w:rsid w:val="00C27423"/>
    <w:rsid w:val="00C42BD9"/>
    <w:rsid w:val="00C45512"/>
    <w:rsid w:val="00C65530"/>
    <w:rsid w:val="00C86695"/>
    <w:rsid w:val="00CA51B0"/>
    <w:rsid w:val="00CC04E0"/>
    <w:rsid w:val="00CE354E"/>
    <w:rsid w:val="00D14FDB"/>
    <w:rsid w:val="00D21C59"/>
    <w:rsid w:val="00D357CF"/>
    <w:rsid w:val="00D416DE"/>
    <w:rsid w:val="00D524C8"/>
    <w:rsid w:val="00D61027"/>
    <w:rsid w:val="00D72577"/>
    <w:rsid w:val="00D86091"/>
    <w:rsid w:val="00DA3845"/>
    <w:rsid w:val="00DC775F"/>
    <w:rsid w:val="00DD6E80"/>
    <w:rsid w:val="00E11BB9"/>
    <w:rsid w:val="00E25A3F"/>
    <w:rsid w:val="00E547E0"/>
    <w:rsid w:val="00E64C91"/>
    <w:rsid w:val="00E776BB"/>
    <w:rsid w:val="00E8253F"/>
    <w:rsid w:val="00E849BB"/>
    <w:rsid w:val="00E84EB3"/>
    <w:rsid w:val="00E90F3D"/>
    <w:rsid w:val="00EA26AC"/>
    <w:rsid w:val="00EB19FA"/>
    <w:rsid w:val="00EB380D"/>
    <w:rsid w:val="00EC2BBC"/>
    <w:rsid w:val="00ED6D62"/>
    <w:rsid w:val="00F421E3"/>
    <w:rsid w:val="00F46F27"/>
    <w:rsid w:val="00F56BA6"/>
    <w:rsid w:val="00F91DAD"/>
    <w:rsid w:val="00F979CC"/>
    <w:rsid w:val="00FA1C77"/>
    <w:rsid w:val="00FD0651"/>
    <w:rsid w:val="00FD782D"/>
    <w:rsid w:val="00FE09D6"/>
    <w:rsid w:val="010D427B"/>
    <w:rsid w:val="01545A05"/>
    <w:rsid w:val="015806E1"/>
    <w:rsid w:val="01BC400A"/>
    <w:rsid w:val="01D075AE"/>
    <w:rsid w:val="020016E9"/>
    <w:rsid w:val="02123A78"/>
    <w:rsid w:val="03094298"/>
    <w:rsid w:val="03127CBC"/>
    <w:rsid w:val="0341154B"/>
    <w:rsid w:val="03945211"/>
    <w:rsid w:val="03BF0F3B"/>
    <w:rsid w:val="03C53772"/>
    <w:rsid w:val="048760F2"/>
    <w:rsid w:val="04E75190"/>
    <w:rsid w:val="04FB0ECF"/>
    <w:rsid w:val="05867C91"/>
    <w:rsid w:val="05940AC6"/>
    <w:rsid w:val="05F132A5"/>
    <w:rsid w:val="06D123A2"/>
    <w:rsid w:val="07027D3D"/>
    <w:rsid w:val="0785182D"/>
    <w:rsid w:val="07D57E2B"/>
    <w:rsid w:val="07E55609"/>
    <w:rsid w:val="07FB6BDB"/>
    <w:rsid w:val="08777BCA"/>
    <w:rsid w:val="087B457E"/>
    <w:rsid w:val="08943E20"/>
    <w:rsid w:val="092A629E"/>
    <w:rsid w:val="092C29D3"/>
    <w:rsid w:val="098A6AB8"/>
    <w:rsid w:val="09920F41"/>
    <w:rsid w:val="0A0655BF"/>
    <w:rsid w:val="0A1D1ABD"/>
    <w:rsid w:val="0A274724"/>
    <w:rsid w:val="0A3A0FC1"/>
    <w:rsid w:val="0AAE262A"/>
    <w:rsid w:val="0AFE4378"/>
    <w:rsid w:val="0B354AFA"/>
    <w:rsid w:val="0B4C2139"/>
    <w:rsid w:val="0B5F3883"/>
    <w:rsid w:val="0BE678A2"/>
    <w:rsid w:val="0C252B18"/>
    <w:rsid w:val="0C8A701F"/>
    <w:rsid w:val="0CA65AE5"/>
    <w:rsid w:val="0CD11F5B"/>
    <w:rsid w:val="0D5F26B8"/>
    <w:rsid w:val="0D7C7ACB"/>
    <w:rsid w:val="0DA373F7"/>
    <w:rsid w:val="0DC90FB7"/>
    <w:rsid w:val="0E1E442E"/>
    <w:rsid w:val="0E4D2DF9"/>
    <w:rsid w:val="0F15207A"/>
    <w:rsid w:val="0F627AB5"/>
    <w:rsid w:val="1007415E"/>
    <w:rsid w:val="102754BA"/>
    <w:rsid w:val="114B335B"/>
    <w:rsid w:val="117562F1"/>
    <w:rsid w:val="11C911E4"/>
    <w:rsid w:val="121A1739"/>
    <w:rsid w:val="12E16087"/>
    <w:rsid w:val="12E320E2"/>
    <w:rsid w:val="12F4613D"/>
    <w:rsid w:val="131022D5"/>
    <w:rsid w:val="13CD4381"/>
    <w:rsid w:val="141259D8"/>
    <w:rsid w:val="14411E19"/>
    <w:rsid w:val="14DD7BA6"/>
    <w:rsid w:val="14EE06E6"/>
    <w:rsid w:val="14FB2FD5"/>
    <w:rsid w:val="15D53161"/>
    <w:rsid w:val="15F829AC"/>
    <w:rsid w:val="16005432"/>
    <w:rsid w:val="163712B2"/>
    <w:rsid w:val="16730284"/>
    <w:rsid w:val="16851188"/>
    <w:rsid w:val="171664EC"/>
    <w:rsid w:val="172422A9"/>
    <w:rsid w:val="17797F9A"/>
    <w:rsid w:val="17A66EC7"/>
    <w:rsid w:val="17A8649A"/>
    <w:rsid w:val="17EC3FE4"/>
    <w:rsid w:val="17FD7D5B"/>
    <w:rsid w:val="189D44F3"/>
    <w:rsid w:val="18C93CB2"/>
    <w:rsid w:val="18FC45FA"/>
    <w:rsid w:val="192341E3"/>
    <w:rsid w:val="193B06B8"/>
    <w:rsid w:val="19AD490E"/>
    <w:rsid w:val="19BE3F0C"/>
    <w:rsid w:val="1B0A3A3D"/>
    <w:rsid w:val="1B0F0EC3"/>
    <w:rsid w:val="1BA801E2"/>
    <w:rsid w:val="1BD619E1"/>
    <w:rsid w:val="1C86190B"/>
    <w:rsid w:val="1CC65F34"/>
    <w:rsid w:val="1D086E56"/>
    <w:rsid w:val="1D9E02DC"/>
    <w:rsid w:val="1DB57ED7"/>
    <w:rsid w:val="1DEC4DD5"/>
    <w:rsid w:val="1EE43FB7"/>
    <w:rsid w:val="1F0766AF"/>
    <w:rsid w:val="1F3770E0"/>
    <w:rsid w:val="1F9F3F5E"/>
    <w:rsid w:val="1FA863AA"/>
    <w:rsid w:val="1FB57B5F"/>
    <w:rsid w:val="1FE94FDC"/>
    <w:rsid w:val="203478A5"/>
    <w:rsid w:val="21B005DE"/>
    <w:rsid w:val="22192483"/>
    <w:rsid w:val="22284B82"/>
    <w:rsid w:val="226D063F"/>
    <w:rsid w:val="22CA19DE"/>
    <w:rsid w:val="22F37B3A"/>
    <w:rsid w:val="2330763E"/>
    <w:rsid w:val="239A1546"/>
    <w:rsid w:val="23FC1A32"/>
    <w:rsid w:val="242332EA"/>
    <w:rsid w:val="2437134F"/>
    <w:rsid w:val="24AF4E2E"/>
    <w:rsid w:val="24FD0ED1"/>
    <w:rsid w:val="252172EA"/>
    <w:rsid w:val="2617696A"/>
    <w:rsid w:val="26583EBF"/>
    <w:rsid w:val="26606184"/>
    <w:rsid w:val="26C708A4"/>
    <w:rsid w:val="274E0CBE"/>
    <w:rsid w:val="278247CB"/>
    <w:rsid w:val="28335A49"/>
    <w:rsid w:val="28444153"/>
    <w:rsid w:val="28F251EA"/>
    <w:rsid w:val="292F4396"/>
    <w:rsid w:val="295403E9"/>
    <w:rsid w:val="29E177FC"/>
    <w:rsid w:val="2A333C1C"/>
    <w:rsid w:val="2A7147D9"/>
    <w:rsid w:val="2C881F18"/>
    <w:rsid w:val="2C89512E"/>
    <w:rsid w:val="2CCE2260"/>
    <w:rsid w:val="2D7B7AF5"/>
    <w:rsid w:val="2DCC1BFB"/>
    <w:rsid w:val="2E366468"/>
    <w:rsid w:val="2EEB46D3"/>
    <w:rsid w:val="2F484601"/>
    <w:rsid w:val="2FA41E81"/>
    <w:rsid w:val="2FEA3DA6"/>
    <w:rsid w:val="2FFF19FD"/>
    <w:rsid w:val="301B4887"/>
    <w:rsid w:val="30444C39"/>
    <w:rsid w:val="30CB2D3F"/>
    <w:rsid w:val="31126BC0"/>
    <w:rsid w:val="31B47818"/>
    <w:rsid w:val="3202774E"/>
    <w:rsid w:val="32FB1250"/>
    <w:rsid w:val="334E2559"/>
    <w:rsid w:val="335D6D76"/>
    <w:rsid w:val="3375653F"/>
    <w:rsid w:val="34337579"/>
    <w:rsid w:val="34735BC7"/>
    <w:rsid w:val="348E00EB"/>
    <w:rsid w:val="34C63061"/>
    <w:rsid w:val="35134BAC"/>
    <w:rsid w:val="3538101C"/>
    <w:rsid w:val="355A3B64"/>
    <w:rsid w:val="356E638F"/>
    <w:rsid w:val="35AE4064"/>
    <w:rsid w:val="35E209B5"/>
    <w:rsid w:val="3619790A"/>
    <w:rsid w:val="361F6659"/>
    <w:rsid w:val="366E37DC"/>
    <w:rsid w:val="37F542B8"/>
    <w:rsid w:val="380028EC"/>
    <w:rsid w:val="3872117F"/>
    <w:rsid w:val="38C60EFB"/>
    <w:rsid w:val="38E31D7A"/>
    <w:rsid w:val="39700927"/>
    <w:rsid w:val="39B93D6E"/>
    <w:rsid w:val="3A461688"/>
    <w:rsid w:val="3A6B10EF"/>
    <w:rsid w:val="3ADB7763"/>
    <w:rsid w:val="3B1E4B58"/>
    <w:rsid w:val="3B7339AE"/>
    <w:rsid w:val="3BA07529"/>
    <w:rsid w:val="3CFE3C20"/>
    <w:rsid w:val="3D040CE0"/>
    <w:rsid w:val="3D0A3D9C"/>
    <w:rsid w:val="3D6E336A"/>
    <w:rsid w:val="3D90216B"/>
    <w:rsid w:val="3DC079AC"/>
    <w:rsid w:val="3E6F38A3"/>
    <w:rsid w:val="3EE93EED"/>
    <w:rsid w:val="3EF2616B"/>
    <w:rsid w:val="3F32042D"/>
    <w:rsid w:val="3F6820A1"/>
    <w:rsid w:val="3F7722E4"/>
    <w:rsid w:val="3FA70982"/>
    <w:rsid w:val="3FBF5061"/>
    <w:rsid w:val="3FF6000D"/>
    <w:rsid w:val="3FF93979"/>
    <w:rsid w:val="40212CB4"/>
    <w:rsid w:val="405721A3"/>
    <w:rsid w:val="40DD27F0"/>
    <w:rsid w:val="40FD375C"/>
    <w:rsid w:val="4100402D"/>
    <w:rsid w:val="41EC168D"/>
    <w:rsid w:val="42F91602"/>
    <w:rsid w:val="437C4E0D"/>
    <w:rsid w:val="43E50084"/>
    <w:rsid w:val="4467548B"/>
    <w:rsid w:val="44876AFB"/>
    <w:rsid w:val="451C1963"/>
    <w:rsid w:val="453D37F0"/>
    <w:rsid w:val="456B4335"/>
    <w:rsid w:val="45BA2B02"/>
    <w:rsid w:val="45D24F5B"/>
    <w:rsid w:val="467C3102"/>
    <w:rsid w:val="46B01D27"/>
    <w:rsid w:val="46D123FD"/>
    <w:rsid w:val="46FF153C"/>
    <w:rsid w:val="471F61C6"/>
    <w:rsid w:val="478054C3"/>
    <w:rsid w:val="47B642F1"/>
    <w:rsid w:val="48445CB6"/>
    <w:rsid w:val="48D53DA5"/>
    <w:rsid w:val="490D6193"/>
    <w:rsid w:val="49425710"/>
    <w:rsid w:val="49466611"/>
    <w:rsid w:val="49AF4F2B"/>
    <w:rsid w:val="49CE41A9"/>
    <w:rsid w:val="49CF33B6"/>
    <w:rsid w:val="4A355CC3"/>
    <w:rsid w:val="4AA04C05"/>
    <w:rsid w:val="4AE519D1"/>
    <w:rsid w:val="4AEC2662"/>
    <w:rsid w:val="4B596785"/>
    <w:rsid w:val="4BB02E05"/>
    <w:rsid w:val="4BEA049E"/>
    <w:rsid w:val="4C322CF9"/>
    <w:rsid w:val="4CA36B1E"/>
    <w:rsid w:val="4CAA5AA7"/>
    <w:rsid w:val="4D0072CE"/>
    <w:rsid w:val="4D730871"/>
    <w:rsid w:val="4D7C3FCF"/>
    <w:rsid w:val="4DA2678B"/>
    <w:rsid w:val="4DD95AF4"/>
    <w:rsid w:val="4DDF0ECE"/>
    <w:rsid w:val="4E2832AD"/>
    <w:rsid w:val="4E660AF6"/>
    <w:rsid w:val="4E9C3138"/>
    <w:rsid w:val="4EA01857"/>
    <w:rsid w:val="4EAD31F9"/>
    <w:rsid w:val="505828B7"/>
    <w:rsid w:val="50946A1B"/>
    <w:rsid w:val="50B62DBF"/>
    <w:rsid w:val="50CC1778"/>
    <w:rsid w:val="50E94A89"/>
    <w:rsid w:val="50F90FB0"/>
    <w:rsid w:val="51F76DE0"/>
    <w:rsid w:val="52836045"/>
    <w:rsid w:val="52AB072B"/>
    <w:rsid w:val="52AF3804"/>
    <w:rsid w:val="52E6208F"/>
    <w:rsid w:val="530A5D69"/>
    <w:rsid w:val="536F438F"/>
    <w:rsid w:val="539E6A2C"/>
    <w:rsid w:val="53FA566A"/>
    <w:rsid w:val="54191480"/>
    <w:rsid w:val="54BC0090"/>
    <w:rsid w:val="54EB07ED"/>
    <w:rsid w:val="554B78CD"/>
    <w:rsid w:val="556C2493"/>
    <w:rsid w:val="558A7FCB"/>
    <w:rsid w:val="55992B5C"/>
    <w:rsid w:val="55C252EB"/>
    <w:rsid w:val="55CD23CA"/>
    <w:rsid w:val="55D23E73"/>
    <w:rsid w:val="55F1520B"/>
    <w:rsid w:val="56EC1FFC"/>
    <w:rsid w:val="58854EFA"/>
    <w:rsid w:val="58C578AE"/>
    <w:rsid w:val="59916541"/>
    <w:rsid w:val="59FF0454"/>
    <w:rsid w:val="5A061402"/>
    <w:rsid w:val="5A257740"/>
    <w:rsid w:val="5A3F2AAB"/>
    <w:rsid w:val="5A9D72E2"/>
    <w:rsid w:val="5AA30659"/>
    <w:rsid w:val="5AC31CEE"/>
    <w:rsid w:val="5AE843BC"/>
    <w:rsid w:val="5B6F03CE"/>
    <w:rsid w:val="5B7536CF"/>
    <w:rsid w:val="5BAA161F"/>
    <w:rsid w:val="5C083989"/>
    <w:rsid w:val="5C1D6295"/>
    <w:rsid w:val="5C837D51"/>
    <w:rsid w:val="5CE70651"/>
    <w:rsid w:val="5D90099A"/>
    <w:rsid w:val="5ECA19EC"/>
    <w:rsid w:val="5ED5642E"/>
    <w:rsid w:val="5EF01A3F"/>
    <w:rsid w:val="5F645470"/>
    <w:rsid w:val="5F69333A"/>
    <w:rsid w:val="60094AF5"/>
    <w:rsid w:val="6065729D"/>
    <w:rsid w:val="606F2D5D"/>
    <w:rsid w:val="60787F3E"/>
    <w:rsid w:val="60D86EB4"/>
    <w:rsid w:val="61211287"/>
    <w:rsid w:val="61436FDD"/>
    <w:rsid w:val="61471CE2"/>
    <w:rsid w:val="615C77E3"/>
    <w:rsid w:val="6198016C"/>
    <w:rsid w:val="62AF6E89"/>
    <w:rsid w:val="62DA0C6A"/>
    <w:rsid w:val="62E77A74"/>
    <w:rsid w:val="63966935"/>
    <w:rsid w:val="641B6423"/>
    <w:rsid w:val="647D17D3"/>
    <w:rsid w:val="64E5034A"/>
    <w:rsid w:val="651B533C"/>
    <w:rsid w:val="652348B9"/>
    <w:rsid w:val="65422E2C"/>
    <w:rsid w:val="656126A9"/>
    <w:rsid w:val="65660CAD"/>
    <w:rsid w:val="656A4E94"/>
    <w:rsid w:val="65784910"/>
    <w:rsid w:val="65A151E6"/>
    <w:rsid w:val="65E525A7"/>
    <w:rsid w:val="66011168"/>
    <w:rsid w:val="66637402"/>
    <w:rsid w:val="66783F59"/>
    <w:rsid w:val="66AD7EAB"/>
    <w:rsid w:val="66DB2FD4"/>
    <w:rsid w:val="66F0256D"/>
    <w:rsid w:val="675C31C2"/>
    <w:rsid w:val="67AA5C81"/>
    <w:rsid w:val="67FF7197"/>
    <w:rsid w:val="680E2F36"/>
    <w:rsid w:val="68430781"/>
    <w:rsid w:val="68C905CA"/>
    <w:rsid w:val="68CA4025"/>
    <w:rsid w:val="68FD62F9"/>
    <w:rsid w:val="693E3CEF"/>
    <w:rsid w:val="69D0388D"/>
    <w:rsid w:val="69FB2BF2"/>
    <w:rsid w:val="6A5B1DE2"/>
    <w:rsid w:val="6A601985"/>
    <w:rsid w:val="6B4A084F"/>
    <w:rsid w:val="6BD14C21"/>
    <w:rsid w:val="6BEF6560"/>
    <w:rsid w:val="6BFB79DF"/>
    <w:rsid w:val="6C243D93"/>
    <w:rsid w:val="6D205C2D"/>
    <w:rsid w:val="6D480516"/>
    <w:rsid w:val="6DAA73FE"/>
    <w:rsid w:val="6DE97CFE"/>
    <w:rsid w:val="6E0D4B7A"/>
    <w:rsid w:val="6E3D3A87"/>
    <w:rsid w:val="6E9D3800"/>
    <w:rsid w:val="6EC90FEA"/>
    <w:rsid w:val="6EDF4F13"/>
    <w:rsid w:val="6F264071"/>
    <w:rsid w:val="6F524050"/>
    <w:rsid w:val="6F7013EE"/>
    <w:rsid w:val="6FFA527B"/>
    <w:rsid w:val="70263260"/>
    <w:rsid w:val="70450A96"/>
    <w:rsid w:val="70730722"/>
    <w:rsid w:val="71341C5F"/>
    <w:rsid w:val="71445C1A"/>
    <w:rsid w:val="71566099"/>
    <w:rsid w:val="7214383E"/>
    <w:rsid w:val="724E32D1"/>
    <w:rsid w:val="727F32AC"/>
    <w:rsid w:val="73050E0B"/>
    <w:rsid w:val="73B66806"/>
    <w:rsid w:val="73BE0515"/>
    <w:rsid w:val="73DE4104"/>
    <w:rsid w:val="73F25AA4"/>
    <w:rsid w:val="740133CF"/>
    <w:rsid w:val="741B675E"/>
    <w:rsid w:val="7488554D"/>
    <w:rsid w:val="74994CBD"/>
    <w:rsid w:val="74D808EF"/>
    <w:rsid w:val="7529438C"/>
    <w:rsid w:val="75530036"/>
    <w:rsid w:val="75562789"/>
    <w:rsid w:val="75623FDD"/>
    <w:rsid w:val="756A088D"/>
    <w:rsid w:val="75D5437D"/>
    <w:rsid w:val="761E4C8C"/>
    <w:rsid w:val="765C0ED7"/>
    <w:rsid w:val="765E1B24"/>
    <w:rsid w:val="769E7691"/>
    <w:rsid w:val="775008A7"/>
    <w:rsid w:val="776E2853"/>
    <w:rsid w:val="77F85DFE"/>
    <w:rsid w:val="780D398B"/>
    <w:rsid w:val="78FC380E"/>
    <w:rsid w:val="7963152E"/>
    <w:rsid w:val="7A1D7718"/>
    <w:rsid w:val="7A326F58"/>
    <w:rsid w:val="7A4B3A68"/>
    <w:rsid w:val="7A873194"/>
    <w:rsid w:val="7AB43E11"/>
    <w:rsid w:val="7ABE3201"/>
    <w:rsid w:val="7B27303A"/>
    <w:rsid w:val="7B956BB7"/>
    <w:rsid w:val="7C73357D"/>
    <w:rsid w:val="7C74426A"/>
    <w:rsid w:val="7CB63742"/>
    <w:rsid w:val="7CD249D8"/>
    <w:rsid w:val="7CD32199"/>
    <w:rsid w:val="7D392032"/>
    <w:rsid w:val="7D4B339D"/>
    <w:rsid w:val="7DD16A88"/>
    <w:rsid w:val="7DE809B6"/>
    <w:rsid w:val="7E1118BF"/>
    <w:rsid w:val="7E215319"/>
    <w:rsid w:val="7E6E1E28"/>
    <w:rsid w:val="7E9B4DD4"/>
    <w:rsid w:val="7EAF215A"/>
    <w:rsid w:val="7F763B10"/>
    <w:rsid w:val="7FC1291D"/>
    <w:rsid w:val="7FC12E46"/>
    <w:rsid w:val="7FDB57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link w:val="30"/>
    <w:qFormat/>
    <w:uiPriority w:val="1"/>
    <w:pPr>
      <w:ind w:left="3"/>
      <w:outlineLvl w:val="0"/>
    </w:pPr>
    <w:rPr>
      <w:rFonts w:ascii="Microsoft JhengHei" w:hAnsi="Microsoft JhengHei" w:eastAsia="Microsoft JhengHei"/>
      <w:b/>
      <w:bCs/>
      <w:sz w:val="44"/>
      <w:szCs w:val="44"/>
    </w:rPr>
  </w:style>
  <w:style w:type="paragraph" w:styleId="4">
    <w:name w:val="heading 2"/>
    <w:basedOn w:val="1"/>
    <w:next w:val="1"/>
    <w:qFormat/>
    <w:uiPriority w:val="0"/>
    <w:pPr>
      <w:keepNext/>
      <w:keepLines/>
      <w:spacing w:before="260" w:after="260" w:line="416" w:lineRule="auto"/>
      <w:outlineLvl w:val="1"/>
    </w:pPr>
    <w:rPr>
      <w:rFonts w:ascii="等线 Light" w:hAnsi="等线 Light"/>
      <w:b/>
      <w:bCs/>
      <w:sz w:val="28"/>
      <w:szCs w:val="32"/>
    </w:rPr>
  </w:style>
  <w:style w:type="paragraph" w:styleId="5">
    <w:name w:val="heading 3"/>
    <w:basedOn w:val="1"/>
    <w:next w:val="1"/>
    <w:link w:val="31"/>
    <w:qFormat/>
    <w:uiPriority w:val="1"/>
    <w:pPr>
      <w:ind w:left="100"/>
      <w:outlineLvl w:val="2"/>
    </w:pPr>
    <w:rPr>
      <w:rFonts w:ascii="Microsoft JhengHei" w:hAnsi="Microsoft JhengHei" w:eastAsia="Microsoft JhengHei"/>
      <w:b/>
      <w:bCs/>
      <w:sz w:val="32"/>
      <w:szCs w:val="32"/>
    </w:rPr>
  </w:style>
  <w:style w:type="paragraph" w:styleId="6">
    <w:name w:val="heading 4"/>
    <w:basedOn w:val="1"/>
    <w:next w:val="1"/>
    <w:link w:val="32"/>
    <w:qFormat/>
    <w:uiPriority w:val="1"/>
    <w:pPr>
      <w:ind w:left="237"/>
      <w:outlineLvl w:val="3"/>
    </w:pPr>
    <w:rPr>
      <w:rFonts w:ascii="宋体" w:hAnsi="宋体" w:eastAsia="宋体"/>
      <w:sz w:val="28"/>
      <w:szCs w:val="28"/>
    </w:rPr>
  </w:style>
  <w:style w:type="character" w:default="1" w:styleId="25">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29"/>
    <w:qFormat/>
    <w:uiPriority w:val="1"/>
    <w:pPr>
      <w:ind w:left="100"/>
    </w:pPr>
    <w:rPr>
      <w:rFonts w:ascii="宋体" w:hAnsi="宋体" w:eastAsia="宋体"/>
      <w:sz w:val="21"/>
      <w:szCs w:val="21"/>
    </w:rPr>
  </w:style>
  <w:style w:type="paragraph" w:styleId="7">
    <w:name w:val="Normal Indent"/>
    <w:basedOn w:val="1"/>
    <w:qFormat/>
    <w:uiPriority w:val="0"/>
    <w:pPr>
      <w:ind w:firstLine="420"/>
      <w:jc w:val="both"/>
    </w:pPr>
    <w:rPr>
      <w:rFonts w:ascii="仿宋_GB2312" w:eastAsia="宋体"/>
      <w:b/>
      <w:kern w:val="2"/>
      <w:sz w:val="32"/>
      <w:szCs w:val="20"/>
      <w:lang w:eastAsia="zh-CN"/>
    </w:rPr>
  </w:style>
  <w:style w:type="paragraph" w:styleId="8">
    <w:name w:val="annotation text"/>
    <w:basedOn w:val="1"/>
    <w:link w:val="33"/>
    <w:qFormat/>
    <w:uiPriority w:val="0"/>
    <w:pPr>
      <w:keepNext w:val="0"/>
      <w:keepLines w:val="0"/>
      <w:widowControl w:val="0"/>
      <w:suppressLineNumbers w:val="0"/>
      <w:spacing w:before="0" w:beforeAutospacing="0" w:after="0" w:afterAutospacing="0" w:line="300" w:lineRule="auto"/>
      <w:ind w:left="0" w:right="0"/>
      <w:jc w:val="left"/>
    </w:pPr>
    <w:rPr>
      <w:rFonts w:hint="eastAsia" w:ascii="宋体" w:hAnsi="宋体" w:eastAsia="宋体" w:cs="宋体"/>
      <w:kern w:val="0"/>
      <w:sz w:val="21"/>
      <w:szCs w:val="21"/>
      <w:lang w:val="en-US" w:eastAsia="zh-CN" w:bidi="ar"/>
    </w:rPr>
  </w:style>
  <w:style w:type="paragraph" w:styleId="9">
    <w:name w:val="Body Text 3"/>
    <w:basedOn w:val="1"/>
    <w:link w:val="34"/>
    <w:qFormat/>
    <w:uiPriority w:val="0"/>
    <w:pPr>
      <w:jc w:val="both"/>
    </w:pPr>
    <w:rPr>
      <w:rFonts w:ascii="宋体" w:eastAsia="宋体"/>
      <w:kern w:val="2"/>
      <w:sz w:val="24"/>
      <w:szCs w:val="20"/>
    </w:rPr>
  </w:style>
  <w:style w:type="paragraph" w:styleId="10">
    <w:name w:val="Body Text Indent"/>
    <w:basedOn w:val="1"/>
    <w:next w:val="11"/>
    <w:qFormat/>
    <w:uiPriority w:val="0"/>
    <w:pPr>
      <w:ind w:firstLine="600" w:firstLineChars="200"/>
    </w:pPr>
    <w:rPr>
      <w:rFonts w:ascii="宋体"/>
      <w:sz w:val="30"/>
      <w:szCs w:val="20"/>
    </w:rPr>
  </w:style>
  <w:style w:type="paragraph" w:styleId="11">
    <w:name w:val="envelope return"/>
    <w:basedOn w:val="1"/>
    <w:qFormat/>
    <w:uiPriority w:val="0"/>
    <w:pPr>
      <w:snapToGrid w:val="0"/>
    </w:pPr>
    <w:rPr>
      <w:rFonts w:ascii="Arial" w:hAnsi="Arial" w:eastAsia="宋体"/>
      <w:szCs w:val="24"/>
    </w:rPr>
  </w:style>
  <w:style w:type="paragraph" w:styleId="12">
    <w:name w:val="toc 3"/>
    <w:basedOn w:val="1"/>
    <w:next w:val="1"/>
    <w:qFormat/>
    <w:uiPriority w:val="39"/>
    <w:pPr>
      <w:ind w:left="520"/>
    </w:pPr>
    <w:rPr>
      <w:rFonts w:ascii="宋体" w:hAnsi="宋体" w:eastAsia="宋体"/>
      <w:sz w:val="21"/>
      <w:szCs w:val="21"/>
    </w:rPr>
  </w:style>
  <w:style w:type="paragraph" w:styleId="13">
    <w:name w:val="Plain Text"/>
    <w:basedOn w:val="1"/>
    <w:next w:val="1"/>
    <w:link w:val="35"/>
    <w:qFormat/>
    <w:uiPriority w:val="0"/>
    <w:pPr>
      <w:jc w:val="both"/>
    </w:pPr>
    <w:rPr>
      <w:rFonts w:ascii="宋体" w:hAnsi="Courier New" w:eastAsia="宋体"/>
      <w:kern w:val="2"/>
      <w:sz w:val="21"/>
      <w:szCs w:val="20"/>
    </w:rPr>
  </w:style>
  <w:style w:type="paragraph" w:styleId="14">
    <w:name w:val="Balloon Text"/>
    <w:basedOn w:val="1"/>
    <w:link w:val="36"/>
    <w:qFormat/>
    <w:uiPriority w:val="0"/>
    <w:rPr>
      <w:sz w:val="18"/>
      <w:szCs w:val="18"/>
    </w:rPr>
  </w:style>
  <w:style w:type="paragraph" w:styleId="15">
    <w:name w:val="footer"/>
    <w:basedOn w:val="1"/>
    <w:link w:val="37"/>
    <w:qFormat/>
    <w:uiPriority w:val="99"/>
    <w:pPr>
      <w:tabs>
        <w:tab w:val="center" w:pos="4153"/>
        <w:tab w:val="right" w:pos="8306"/>
      </w:tabs>
      <w:snapToGrid w:val="0"/>
    </w:pPr>
    <w:rPr>
      <w:sz w:val="18"/>
      <w:szCs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宋体" w:hAnsi="宋体" w:eastAsia="宋体"/>
      <w:sz w:val="21"/>
      <w:szCs w:val="21"/>
    </w:rPr>
  </w:style>
  <w:style w:type="paragraph" w:styleId="18">
    <w:name w:val="toc 2"/>
    <w:basedOn w:val="1"/>
    <w:next w:val="1"/>
    <w:qFormat/>
    <w:uiPriority w:val="1"/>
    <w:pPr>
      <w:ind w:left="100"/>
    </w:pPr>
    <w:rPr>
      <w:rFonts w:ascii="宋体" w:hAnsi="宋体" w:eastAsia="宋体"/>
      <w:sz w:val="21"/>
      <w:szCs w:val="21"/>
    </w:rPr>
  </w:style>
  <w:style w:type="paragraph" w:styleId="19">
    <w:name w:val="Normal (Web)"/>
    <w:basedOn w:val="1"/>
    <w:unhideWhenUsed/>
    <w:qFormat/>
    <w:uiPriority w:val="99"/>
    <w:pPr>
      <w:widowControl/>
    </w:pPr>
    <w:rPr>
      <w:rFonts w:ascii="微软雅黑" w:hAnsi="微软雅黑" w:eastAsia="微软雅黑" w:cs="宋体"/>
      <w:sz w:val="24"/>
      <w:szCs w:val="24"/>
      <w:lang w:eastAsia="zh-CN"/>
    </w:rPr>
  </w:style>
  <w:style w:type="paragraph" w:styleId="20">
    <w:name w:val="Title"/>
    <w:basedOn w:val="1"/>
    <w:qFormat/>
    <w:uiPriority w:val="0"/>
    <w:pPr>
      <w:adjustRightInd w:val="0"/>
      <w:spacing w:before="240" w:after="60" w:line="420" w:lineRule="atLeast"/>
      <w:jc w:val="center"/>
      <w:textAlignment w:val="baseline"/>
      <w:outlineLvl w:val="0"/>
    </w:pPr>
    <w:rPr>
      <w:rFonts w:ascii="Arial" w:hAnsi="Arial"/>
      <w:b/>
      <w:sz w:val="32"/>
    </w:rPr>
  </w:style>
  <w:style w:type="paragraph" w:styleId="21">
    <w:name w:val="annotation subject"/>
    <w:basedOn w:val="8"/>
    <w:next w:val="8"/>
    <w:link w:val="39"/>
    <w:qFormat/>
    <w:uiPriority w:val="0"/>
    <w:rPr>
      <w:b/>
      <w:bCs/>
    </w:rPr>
  </w:style>
  <w:style w:type="paragraph" w:styleId="22">
    <w:name w:val="Body Text First Indent"/>
    <w:basedOn w:val="2"/>
    <w:qFormat/>
    <w:uiPriority w:val="0"/>
    <w:pPr>
      <w:widowControl w:val="0"/>
      <w:spacing w:line="240" w:lineRule="auto"/>
      <w:ind w:firstLine="420"/>
      <w:jc w:val="both"/>
    </w:pPr>
    <w:rPr>
      <w:rFonts w:eastAsia="宋体"/>
      <w:color w:val="auto"/>
      <w:kern w:val="0"/>
      <w:sz w:val="20"/>
      <w:szCs w:val="20"/>
    </w:rPr>
  </w:style>
  <w:style w:type="paragraph" w:styleId="23">
    <w:name w:val="Body Text First Indent 2"/>
    <w:basedOn w:val="10"/>
    <w:qFormat/>
    <w:uiPriority w:val="0"/>
    <w:pPr>
      <w:spacing w:after="120"/>
      <w:ind w:left="420" w:leftChars="200" w:firstLine="420"/>
    </w:pPr>
    <w:rPr>
      <w:rFonts w:ascii="Calibri" w:hAnsi="Calibri"/>
      <w:sz w:val="20"/>
      <w:szCs w:val="24"/>
    </w:rPr>
  </w:style>
  <w:style w:type="character" w:styleId="26">
    <w:name w:val="Strong"/>
    <w:qFormat/>
    <w:uiPriority w:val="0"/>
    <w:rPr>
      <w:b/>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正文文本 字符"/>
    <w:link w:val="2"/>
    <w:qFormat/>
    <w:uiPriority w:val="1"/>
    <w:rPr>
      <w:rFonts w:ascii="宋体" w:hAnsi="宋体" w:eastAsia="宋体" w:cs="Times New Roman"/>
      <w:kern w:val="0"/>
      <w:szCs w:val="21"/>
      <w:lang w:eastAsia="en-US"/>
    </w:rPr>
  </w:style>
  <w:style w:type="character" w:customStyle="1" w:styleId="30">
    <w:name w:val="标题 1 字符"/>
    <w:link w:val="3"/>
    <w:qFormat/>
    <w:uiPriority w:val="1"/>
    <w:rPr>
      <w:rFonts w:ascii="Microsoft JhengHei" w:hAnsi="Microsoft JhengHei" w:eastAsia="Microsoft JhengHei" w:cs="Times New Roman"/>
      <w:b/>
      <w:bCs/>
      <w:kern w:val="0"/>
      <w:sz w:val="44"/>
      <w:szCs w:val="44"/>
      <w:lang w:eastAsia="en-US"/>
    </w:rPr>
  </w:style>
  <w:style w:type="character" w:customStyle="1" w:styleId="31">
    <w:name w:val="标题 3 字符"/>
    <w:link w:val="5"/>
    <w:qFormat/>
    <w:uiPriority w:val="1"/>
    <w:rPr>
      <w:rFonts w:ascii="Microsoft JhengHei" w:hAnsi="Microsoft JhengHei" w:eastAsia="Microsoft JhengHei" w:cs="Times New Roman"/>
      <w:b/>
      <w:bCs/>
      <w:kern w:val="0"/>
      <w:sz w:val="32"/>
      <w:szCs w:val="32"/>
      <w:lang w:eastAsia="en-US"/>
    </w:rPr>
  </w:style>
  <w:style w:type="character" w:customStyle="1" w:styleId="32">
    <w:name w:val="标题 4 字符"/>
    <w:link w:val="6"/>
    <w:qFormat/>
    <w:uiPriority w:val="1"/>
    <w:rPr>
      <w:rFonts w:ascii="宋体" w:hAnsi="宋体" w:eastAsia="宋体" w:cs="Times New Roman"/>
      <w:kern w:val="0"/>
      <w:sz w:val="28"/>
      <w:szCs w:val="28"/>
      <w:lang w:eastAsia="en-US"/>
    </w:rPr>
  </w:style>
  <w:style w:type="character" w:customStyle="1" w:styleId="33">
    <w:name w:val="批注文字 字符"/>
    <w:link w:val="8"/>
    <w:qFormat/>
    <w:uiPriority w:val="0"/>
    <w:rPr>
      <w:rFonts w:ascii="Times New Roman" w:hAnsi="Times New Roman" w:eastAsia="Calibri" w:cs="Times New Roman"/>
      <w:kern w:val="0"/>
      <w:sz w:val="22"/>
      <w:szCs w:val="22"/>
      <w:lang w:eastAsia="en-US"/>
    </w:rPr>
  </w:style>
  <w:style w:type="character" w:customStyle="1" w:styleId="34">
    <w:name w:val="正文文本 3 字符"/>
    <w:link w:val="9"/>
    <w:qFormat/>
    <w:uiPriority w:val="0"/>
    <w:rPr>
      <w:rFonts w:ascii="宋体" w:hAnsi="Times New Roman" w:eastAsia="宋体" w:cs="Times New Roman"/>
      <w:sz w:val="24"/>
      <w:szCs w:val="20"/>
      <w:lang w:eastAsia="en-US"/>
    </w:rPr>
  </w:style>
  <w:style w:type="character" w:customStyle="1" w:styleId="35">
    <w:name w:val="纯文本 字符"/>
    <w:link w:val="13"/>
    <w:qFormat/>
    <w:uiPriority w:val="0"/>
    <w:rPr>
      <w:rFonts w:ascii="宋体" w:hAnsi="Courier New" w:eastAsia="宋体" w:cs="Times New Roman"/>
      <w:szCs w:val="20"/>
      <w:lang w:eastAsia="en-US"/>
    </w:rPr>
  </w:style>
  <w:style w:type="character" w:customStyle="1" w:styleId="36">
    <w:name w:val="批注框文本 字符"/>
    <w:link w:val="14"/>
    <w:qFormat/>
    <w:uiPriority w:val="0"/>
    <w:rPr>
      <w:rFonts w:ascii="Times New Roman" w:hAnsi="Times New Roman" w:eastAsia="Calibri" w:cs="Times New Roman"/>
      <w:kern w:val="0"/>
      <w:sz w:val="18"/>
      <w:szCs w:val="18"/>
      <w:lang w:eastAsia="en-US"/>
    </w:rPr>
  </w:style>
  <w:style w:type="character" w:customStyle="1" w:styleId="37">
    <w:name w:val="页脚 字符"/>
    <w:link w:val="15"/>
    <w:qFormat/>
    <w:uiPriority w:val="99"/>
    <w:rPr>
      <w:rFonts w:ascii="Times New Roman" w:hAnsi="Times New Roman" w:eastAsia="Calibri" w:cs="Times New Roman"/>
      <w:kern w:val="0"/>
      <w:sz w:val="18"/>
      <w:szCs w:val="18"/>
      <w:lang w:eastAsia="en-US"/>
    </w:rPr>
  </w:style>
  <w:style w:type="character" w:customStyle="1" w:styleId="38">
    <w:name w:val="页眉 字符"/>
    <w:link w:val="16"/>
    <w:qFormat/>
    <w:uiPriority w:val="0"/>
    <w:rPr>
      <w:rFonts w:ascii="Times New Roman" w:hAnsi="Times New Roman" w:eastAsia="Calibri" w:cs="Times New Roman"/>
      <w:kern w:val="0"/>
      <w:sz w:val="18"/>
      <w:szCs w:val="18"/>
      <w:lang w:eastAsia="en-US"/>
    </w:rPr>
  </w:style>
  <w:style w:type="character" w:customStyle="1" w:styleId="39">
    <w:name w:val="批注主题 字符"/>
    <w:link w:val="21"/>
    <w:qFormat/>
    <w:uiPriority w:val="0"/>
    <w:rPr>
      <w:rFonts w:ascii="Times New Roman" w:hAnsi="Times New Roman" w:eastAsia="Calibri" w:cs="Times New Roman"/>
      <w:b/>
      <w:bCs/>
      <w:kern w:val="0"/>
      <w:sz w:val="22"/>
      <w:szCs w:val="22"/>
      <w:lang w:eastAsia="en-US"/>
    </w:rPr>
  </w:style>
  <w:style w:type="paragraph" w:customStyle="1" w:styleId="40">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paragraph" w:customStyle="1" w:styleId="41">
    <w:name w:val="样式 宋体 行距: 1.5 倍行距"/>
    <w:basedOn w:val="1"/>
    <w:qFormat/>
    <w:uiPriority w:val="99"/>
    <w:pPr>
      <w:jc w:val="center"/>
    </w:pPr>
    <w:rPr>
      <w:b/>
      <w:bCs/>
    </w:rPr>
  </w:style>
  <w:style w:type="paragraph" w:customStyle="1" w:styleId="42">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43">
    <w:name w:val="文二"/>
    <w:basedOn w:val="1"/>
    <w:qFormat/>
    <w:uiPriority w:val="0"/>
    <w:rPr>
      <w:rFonts w:ascii="宋体" w:hAnsi="宋体" w:eastAsia="宋体"/>
      <w:kern w:val="2"/>
      <w:sz w:val="21"/>
      <w:szCs w:val="21"/>
      <w:lang w:eastAsia="zh-CN"/>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列出段落1"/>
    <w:basedOn w:val="1"/>
    <w:unhideWhenUsed/>
    <w:qFormat/>
    <w:uiPriority w:val="99"/>
    <w:pPr>
      <w:ind w:firstLine="420" w:firstLineChars="200"/>
      <w:jc w:val="both"/>
    </w:pPr>
    <w:rPr>
      <w:rFonts w:eastAsia="宋体"/>
      <w:kern w:val="2"/>
      <w:sz w:val="21"/>
      <w:szCs w:val="24"/>
      <w:lang w:eastAsia="zh-CN"/>
    </w:rPr>
  </w:style>
  <w:style w:type="paragraph" w:customStyle="1" w:styleId="46">
    <w:name w:val="修订1"/>
    <w:semiHidden/>
    <w:qFormat/>
    <w:uiPriority w:val="99"/>
    <w:rPr>
      <w:rFonts w:ascii="Times New Roman" w:hAnsi="Times New Roman" w:eastAsia="Calibri" w:cs="Times New Roman"/>
      <w:sz w:val="22"/>
      <w:szCs w:val="22"/>
      <w:lang w:val="en-US" w:eastAsia="en-US" w:bidi="ar-SA"/>
    </w:rPr>
  </w:style>
  <w:style w:type="paragraph" w:customStyle="1" w:styleId="47">
    <w:name w:val="Other|1"/>
    <w:basedOn w:val="1"/>
    <w:qFormat/>
    <w:uiPriority w:val="0"/>
    <w:pPr>
      <w:spacing w:line="228" w:lineRule="exact"/>
    </w:pPr>
    <w:rPr>
      <w:rFonts w:ascii="宋体" w:hAnsi="宋体" w:eastAsia="宋体" w:cs="宋体"/>
      <w:sz w:val="17"/>
      <w:szCs w:val="17"/>
      <w:lang w:val="zh-TW" w:eastAsia="zh-TW" w:bidi="zh-TW"/>
    </w:rPr>
  </w:style>
  <w:style w:type="paragraph" w:customStyle="1" w:styleId="4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Table Paragraph"/>
    <w:basedOn w:val="1"/>
    <w:qFormat/>
    <w:uiPriority w:val="0"/>
  </w:style>
  <w:style w:type="paragraph" w:customStyle="1" w:styleId="50">
    <w:name w:val="AE_数据表"/>
    <w:basedOn w:val="51"/>
    <w:qFormat/>
    <w:uiPriority w:val="0"/>
    <w:pPr>
      <w:ind w:firstLine="478" w:firstLineChars="200"/>
      <w:jc w:val="center"/>
    </w:pPr>
  </w:style>
  <w:style w:type="paragraph" w:styleId="51">
    <w:name w:val="No Spacing"/>
    <w:qFormat/>
    <w:uiPriority w:val="1"/>
    <w:pPr>
      <w:widowControl w:val="0"/>
      <w:jc w:val="both"/>
    </w:pPr>
    <w:rPr>
      <w:rFonts w:ascii="Times New Roman" w:hAnsi="Times New Roman" w:eastAsia="宋体" w:cs="Times New Roman"/>
      <w:kern w:val="2"/>
      <w:lang w:val="en-US" w:eastAsia="zh-CN" w:bidi="ar-SA"/>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_Style 52"/>
    <w:unhideWhenUsed/>
    <w:qFormat/>
    <w:uiPriority w:val="99"/>
    <w:rPr>
      <w:rFonts w:ascii="Times New Roman" w:hAnsi="Times New Roman" w:eastAsia="Calibri" w:cs="Times New Roman"/>
      <w:sz w:val="22"/>
      <w:szCs w:val="22"/>
      <w:lang w:val="en-US" w:eastAsia="en-US" w:bidi="ar-SA"/>
    </w:rPr>
  </w:style>
  <w:style w:type="paragraph" w:customStyle="1" w:styleId="54">
    <w:name w:val="正文缩进2格"/>
    <w:basedOn w:val="1"/>
    <w:qFormat/>
    <w:uiPriority w:val="0"/>
    <w:pPr>
      <w:spacing w:line="600" w:lineRule="exact"/>
      <w:ind w:firstLine="639" w:firstLineChars="206"/>
    </w:pPr>
    <w:rPr>
      <w:rFonts w:ascii="仿宋_GB2312" w:hAnsi="宋体" w:eastAsia="仿宋_GB2312"/>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17170</Words>
  <Characters>18168</Characters>
  <Lines>19665</Lines>
  <Paragraphs>19664</Paragraphs>
  <TotalTime>15</TotalTime>
  <ScaleCrop>false</ScaleCrop>
  <LinksUpToDate>false</LinksUpToDate>
  <CharactersWithSpaces>18280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2024-12-12T03:41:00Z</dcterms:created>
  <dc:creator>羽 潘</dc:creator>
  <cp:lastModifiedBy>aaa</cp:lastModifiedBy>
  <cp:lastPrinted>2024-03-26T09:42:00Z</cp:lastPrinted>
  <dcterms:modified xsi:type="dcterms:W3CDTF">2025-08-22T01:33:17Z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947409EDBCDE4581AD3CBCEB42661538_13</vt:lpwstr>
  </property>
  <property fmtid="{D5CDD505-2E9C-101B-9397-08002B2CF9AE}" pid="4" name="KSOTemplateDocerSaveRecord">
    <vt:lpwstr>eyJoZGlkIjoiMWM4OGU1M2EyOTU5ZjMyZDI2MjYzZjdjNTMxMjY3ZTEiLCJ1c2VySWQiOiI0NTU2MDI0MDYifQ==</vt:lpwstr>
  </property>
</Properties>
</file>