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0EBDA">
      <w:pPr>
        <w:autoSpaceDE w:val="0"/>
        <w:autoSpaceDN w:val="0"/>
        <w:adjustRightInd w:val="0"/>
        <w:jc w:val="center"/>
        <w:rPr>
          <w:b/>
          <w:color w:val="auto"/>
          <w:sz w:val="44"/>
          <w:szCs w:val="44"/>
          <w:highlight w:val="none"/>
        </w:rPr>
      </w:pPr>
    </w:p>
    <w:p w14:paraId="24A8F8AF">
      <w:pPr>
        <w:spacing w:line="360" w:lineRule="auto"/>
        <w:jc w:val="center"/>
        <w:rPr>
          <w:rFonts w:hint="eastAsia" w:ascii="宋体" w:hAnsi="宋体"/>
          <w:b/>
          <w:color w:val="auto"/>
          <w:sz w:val="48"/>
          <w:szCs w:val="48"/>
          <w:highlight w:val="none"/>
        </w:rPr>
      </w:pPr>
    </w:p>
    <w:p w14:paraId="4FA03A07">
      <w:pPr>
        <w:spacing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花果山产业小镇综合配套工程建设项目</w:t>
      </w:r>
    </w:p>
    <w:p w14:paraId="1D237CDE">
      <w:pPr>
        <w:autoSpaceDE w:val="0"/>
        <w:autoSpaceDN w:val="0"/>
        <w:adjustRightInd w:val="0"/>
        <w:jc w:val="center"/>
        <w:rPr>
          <w:b/>
          <w:color w:val="auto"/>
          <w:sz w:val="48"/>
          <w:szCs w:val="48"/>
          <w:highlight w:val="none"/>
        </w:rPr>
      </w:pPr>
      <w:r>
        <w:rPr>
          <w:rFonts w:hint="eastAsia"/>
          <w:b/>
          <w:color w:val="auto"/>
          <w:sz w:val="48"/>
          <w:szCs w:val="48"/>
          <w:highlight w:val="none"/>
          <w:lang w:eastAsia="zh-CN"/>
        </w:rPr>
        <w:t>土壤污染修复监理服务</w:t>
      </w:r>
    </w:p>
    <w:p w14:paraId="74166D6B">
      <w:pPr>
        <w:pStyle w:val="2"/>
        <w:rPr>
          <w:color w:val="auto"/>
          <w:highlight w:val="none"/>
        </w:rPr>
      </w:pPr>
    </w:p>
    <w:p w14:paraId="097FC8E6">
      <w:pPr>
        <w:pStyle w:val="8"/>
        <w:spacing w:after="0"/>
        <w:rPr>
          <w:color w:val="auto"/>
          <w:highlight w:val="none"/>
        </w:rPr>
      </w:pPr>
    </w:p>
    <w:p w14:paraId="2A1256DE">
      <w:pPr>
        <w:spacing w:line="400" w:lineRule="exact"/>
        <w:rPr>
          <w:rFonts w:ascii="Times New Roman" w:hAnsi="Times New Roman"/>
          <w:color w:val="auto"/>
          <w:highlight w:val="none"/>
        </w:rPr>
      </w:pPr>
    </w:p>
    <w:p w14:paraId="438C444B">
      <w:pPr>
        <w:spacing w:line="400" w:lineRule="exact"/>
        <w:jc w:val="right"/>
        <w:rPr>
          <w:rFonts w:ascii="Times New Roman" w:hAnsi="Times New Roman"/>
          <w:color w:val="auto"/>
          <w:highlight w:val="none"/>
        </w:rPr>
      </w:pPr>
    </w:p>
    <w:p w14:paraId="35232B37">
      <w:pPr>
        <w:rPr>
          <w:rFonts w:ascii="Times New Roman" w:hAnsi="Times New Roman"/>
          <w:color w:val="auto"/>
          <w:sz w:val="28"/>
          <w:szCs w:val="28"/>
          <w:highlight w:val="none"/>
        </w:rPr>
      </w:pPr>
    </w:p>
    <w:p w14:paraId="03961E47">
      <w:pPr>
        <w:rPr>
          <w:rFonts w:ascii="Times New Roman" w:hAnsi="Times New Roman"/>
          <w:color w:val="auto"/>
          <w:sz w:val="28"/>
          <w:szCs w:val="28"/>
          <w:highlight w:val="none"/>
        </w:rPr>
      </w:pPr>
    </w:p>
    <w:p w14:paraId="47BD028A">
      <w:pPr>
        <w:rPr>
          <w:rFonts w:ascii="Times New Roman" w:hAnsi="Times New Roman"/>
          <w:color w:val="auto"/>
          <w:sz w:val="28"/>
          <w:szCs w:val="28"/>
          <w:highlight w:val="none"/>
        </w:rPr>
      </w:pPr>
    </w:p>
    <w:p w14:paraId="426EA29C">
      <w:pPr>
        <w:rPr>
          <w:rFonts w:ascii="Times New Roman" w:hAnsi="Times New Roman"/>
          <w:color w:val="auto"/>
          <w:sz w:val="28"/>
          <w:szCs w:val="28"/>
          <w:highlight w:val="none"/>
        </w:rPr>
      </w:pPr>
    </w:p>
    <w:p w14:paraId="6B6EEEA8">
      <w:pPr>
        <w:rPr>
          <w:rFonts w:ascii="Times New Roman" w:hAnsi="Times New Roman"/>
          <w:color w:val="auto"/>
          <w:sz w:val="28"/>
          <w:szCs w:val="28"/>
          <w:highlight w:val="none"/>
        </w:rPr>
      </w:pPr>
    </w:p>
    <w:p w14:paraId="7D0E157B">
      <w:pPr>
        <w:rPr>
          <w:rFonts w:ascii="Times New Roman" w:hAnsi="Times New Roman"/>
          <w:color w:val="auto"/>
          <w:sz w:val="28"/>
          <w:highlight w:val="none"/>
        </w:rPr>
      </w:pPr>
    </w:p>
    <w:p w14:paraId="0CEFBF7E">
      <w:pPr>
        <w:spacing w:line="360" w:lineRule="auto"/>
        <w:jc w:val="center"/>
        <w:rPr>
          <w:rFonts w:ascii="宋体" w:hAnsi="宋体" w:cs="宋体"/>
          <w:b/>
          <w:bCs/>
          <w:color w:val="auto"/>
          <w:spacing w:val="26"/>
          <w:sz w:val="110"/>
          <w:szCs w:val="110"/>
          <w:highlight w:val="none"/>
        </w:rPr>
      </w:pPr>
      <w:bookmarkStart w:id="0" w:name="_Toc152045511"/>
      <w:bookmarkStart w:id="1" w:name="_Toc144974479"/>
      <w:bookmarkStart w:id="2" w:name="_Toc152042287"/>
      <w:r>
        <w:rPr>
          <w:rFonts w:hint="eastAsia" w:ascii="宋体" w:hAnsi="宋体" w:cs="宋体"/>
          <w:b/>
          <w:bCs/>
          <w:color w:val="auto"/>
          <w:spacing w:val="26"/>
          <w:sz w:val="96"/>
          <w:szCs w:val="110"/>
          <w:highlight w:val="none"/>
        </w:rPr>
        <w:t>招标文件</w:t>
      </w:r>
    </w:p>
    <w:p w14:paraId="109CA380">
      <w:pPr>
        <w:spacing w:line="360" w:lineRule="auto"/>
        <w:rPr>
          <w:rFonts w:ascii="宋体" w:hAnsi="宋体" w:cs="宋体"/>
          <w:color w:val="auto"/>
          <w:sz w:val="32"/>
          <w:highlight w:val="none"/>
        </w:rPr>
      </w:pPr>
    </w:p>
    <w:p w14:paraId="600CC7F8">
      <w:pPr>
        <w:spacing w:line="360" w:lineRule="auto"/>
        <w:rPr>
          <w:rFonts w:ascii="宋体" w:hAnsi="宋体" w:cs="宋体"/>
          <w:color w:val="auto"/>
          <w:sz w:val="52"/>
          <w:highlight w:val="none"/>
        </w:rPr>
      </w:pPr>
    </w:p>
    <w:p w14:paraId="3E86B909">
      <w:pPr>
        <w:pStyle w:val="15"/>
        <w:ind w:left="0" w:leftChars="0" w:firstLine="0" w:firstLineChars="0"/>
        <w:rPr>
          <w:rFonts w:ascii="宋体" w:hAnsi="宋体" w:eastAsia="宋体" w:cs="宋体"/>
          <w:color w:val="auto"/>
          <w:highlight w:val="none"/>
        </w:rPr>
      </w:pPr>
    </w:p>
    <w:p w14:paraId="48484D95">
      <w:pPr>
        <w:pStyle w:val="15"/>
        <w:ind w:left="0" w:leftChars="0" w:firstLine="0" w:firstLineChars="0"/>
        <w:rPr>
          <w:rFonts w:ascii="宋体" w:hAnsi="宋体" w:eastAsia="宋体" w:cs="宋体"/>
          <w:color w:val="auto"/>
          <w:highlight w:val="none"/>
        </w:rPr>
      </w:pPr>
    </w:p>
    <w:p w14:paraId="09FD6262">
      <w:pPr>
        <w:spacing w:line="48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招标单位：广州市越秀区代建项目管理中心</w:t>
      </w:r>
    </w:p>
    <w:p w14:paraId="46023D2F">
      <w:pPr>
        <w:spacing w:line="48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招标代理机构：广州珠江监理咨询集团有限公司</w:t>
      </w:r>
    </w:p>
    <w:p w14:paraId="244CEF7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highlight w:val="none"/>
          <w:lang w:val="zh-CN" w:eastAsia="zh-CN"/>
        </w:rPr>
      </w:pPr>
      <w:r>
        <w:rPr>
          <w:rFonts w:hint="eastAsia" w:ascii="宋体" w:hAnsi="宋体" w:eastAsia="宋体" w:cs="宋体"/>
          <w:color w:val="auto"/>
          <w:sz w:val="32"/>
          <w:szCs w:val="32"/>
          <w:highlight w:val="none"/>
          <w:lang w:val="en-US" w:eastAsia="zh-CN"/>
        </w:rPr>
        <w:t>日     期：</w:t>
      </w:r>
      <w:r>
        <w:rPr>
          <w:rFonts w:hint="eastAsia" w:ascii="宋体" w:hAnsi="宋体" w:eastAsia="宋体" w:cs="宋体"/>
          <w:color w:val="auto"/>
          <w:sz w:val="32"/>
          <w:szCs w:val="32"/>
          <w:highlight w:val="none"/>
          <w:u w:val="single"/>
          <w:lang w:val="en-US" w:eastAsia="zh-CN"/>
        </w:rPr>
        <w:t>2025</w:t>
      </w:r>
      <w:r>
        <w:rPr>
          <w:rFonts w:hint="eastAsia" w:ascii="宋体" w:hAnsi="宋体" w:eastAsia="宋体" w:cs="宋体"/>
          <w:color w:val="auto"/>
          <w:sz w:val="32"/>
          <w:szCs w:val="32"/>
          <w:highlight w:val="none"/>
          <w:lang w:val="en-US" w:eastAsia="zh-CN"/>
        </w:rPr>
        <w:t>年</w:t>
      </w:r>
      <w:r>
        <w:rPr>
          <w:rFonts w:hint="eastAsia" w:ascii="宋体" w:hAnsi="宋体" w:cs="宋体"/>
          <w:color w:val="auto"/>
          <w:sz w:val="32"/>
          <w:szCs w:val="32"/>
          <w:highlight w:val="none"/>
          <w:u w:val="single"/>
          <w:lang w:val="en-US" w:eastAsia="zh-CN"/>
        </w:rPr>
        <w:t>8</w:t>
      </w:r>
      <w:r>
        <w:rPr>
          <w:rFonts w:hint="eastAsia" w:ascii="宋体" w:hAnsi="宋体" w:eastAsia="宋体" w:cs="宋体"/>
          <w:color w:val="auto"/>
          <w:sz w:val="32"/>
          <w:szCs w:val="32"/>
          <w:highlight w:val="none"/>
          <w:lang w:val="en-US" w:eastAsia="zh-CN"/>
        </w:rPr>
        <w:t>月</w:t>
      </w:r>
    </w:p>
    <w:p w14:paraId="102F6484">
      <w:pPr>
        <w:rPr>
          <w:rFonts w:ascii="Times New Roman" w:hAnsi="Times New Roman" w:eastAsia="黑体"/>
          <w:b w:val="0"/>
          <w:color w:val="auto"/>
          <w:highlight w:val="none"/>
          <w:lang w:val="zh-CN"/>
        </w:rPr>
      </w:pPr>
    </w:p>
    <w:p w14:paraId="722AC4FA">
      <w:pPr>
        <w:pStyle w:val="19"/>
        <w:rPr>
          <w:color w:val="auto"/>
          <w:highlight w:val="none"/>
          <w:lang w:val="zh-CN"/>
        </w:rPr>
      </w:pPr>
    </w:p>
    <w:p w14:paraId="5CEBCB65">
      <w:pPr>
        <w:pStyle w:val="20"/>
        <w:keepNext w:val="0"/>
        <w:keepLines w:val="0"/>
        <w:widowControl w:val="0"/>
        <w:jc w:val="center"/>
        <w:rPr>
          <w:rFonts w:ascii="Times New Roman" w:hAnsi="Times New Roman" w:eastAsia="黑体"/>
          <w:b w:val="0"/>
          <w:color w:val="auto"/>
          <w:highlight w:val="none"/>
        </w:rPr>
      </w:pPr>
      <w:r>
        <w:rPr>
          <w:rFonts w:ascii="Times New Roman" w:hAnsi="Times New Roman" w:eastAsia="黑体"/>
          <w:b w:val="0"/>
          <w:color w:val="auto"/>
          <w:highlight w:val="none"/>
          <w:lang w:val="zh-CN"/>
        </w:rPr>
        <w:t>目  录</w:t>
      </w:r>
    </w:p>
    <w:p w14:paraId="1F136060">
      <w:pPr>
        <w:pStyle w:val="12"/>
        <w:tabs>
          <w:tab w:val="right" w:leader="dot" w:pos="8630"/>
        </w:tabs>
        <w:jc w:val="center"/>
        <w:rPr>
          <w:rFonts w:ascii="Times New Roman" w:hAnsi="Times New Roman"/>
          <w:color w:val="auto"/>
          <w:sz w:val="28"/>
          <w:szCs w:val="28"/>
          <w:highlight w:val="none"/>
        </w:rPr>
      </w:pPr>
    </w:p>
    <w:p w14:paraId="5BD39AD5">
      <w:pPr>
        <w:pStyle w:val="12"/>
        <w:tabs>
          <w:tab w:val="right" w:leader="dot" w:pos="8640"/>
        </w:tabs>
        <w:spacing w:line="360" w:lineRule="auto"/>
        <w:rPr>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TOC \o "1-3" \h \z \u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_Toc22250 </w:instrText>
      </w:r>
      <w:r>
        <w:rPr>
          <w:rFonts w:ascii="Times New Roman" w:hAnsi="Times New Roman"/>
          <w:color w:val="auto"/>
          <w:sz w:val="28"/>
          <w:szCs w:val="28"/>
          <w:highlight w:val="none"/>
        </w:rPr>
        <w:fldChar w:fldCharType="separate"/>
      </w:r>
      <w:r>
        <w:rPr>
          <w:color w:val="auto"/>
          <w:sz w:val="28"/>
          <w:szCs w:val="28"/>
          <w:highlight w:val="none"/>
        </w:rPr>
        <w:t>第一卷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_Toc22250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imes New Roman" w:hAnsi="Times New Roman"/>
          <w:color w:val="auto"/>
          <w:sz w:val="28"/>
          <w:szCs w:val="28"/>
          <w:highlight w:val="none"/>
        </w:rPr>
        <w:fldChar w:fldCharType="end"/>
      </w:r>
    </w:p>
    <w:p w14:paraId="0D8D7ED2">
      <w:pPr>
        <w:pStyle w:val="12"/>
        <w:tabs>
          <w:tab w:val="right" w:leader="dot" w:pos="8640"/>
        </w:tabs>
        <w:spacing w:line="360" w:lineRule="auto"/>
        <w:rPr>
          <w:rFonts w:hint="eastAsia"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_Toc27666 </w:instrText>
      </w:r>
      <w:r>
        <w:rPr>
          <w:rFonts w:ascii="Times New Roman" w:hAnsi="Times New Roman"/>
          <w:color w:val="auto"/>
          <w:sz w:val="28"/>
          <w:szCs w:val="28"/>
          <w:highlight w:val="none"/>
        </w:rPr>
        <w:fldChar w:fldCharType="separate"/>
      </w:r>
      <w:r>
        <w:rPr>
          <w:rFonts w:hint="eastAsia"/>
          <w:color w:val="auto"/>
          <w:sz w:val="28"/>
          <w:szCs w:val="28"/>
          <w:highlight w:val="none"/>
        </w:rPr>
        <w:t>第一章</w:t>
      </w:r>
      <w:r>
        <w:rPr>
          <w:rFonts w:hint="eastAsia"/>
          <w:color w:val="auto"/>
          <w:sz w:val="28"/>
          <w:szCs w:val="28"/>
          <w:highlight w:val="none"/>
          <w:lang w:val="en-US" w:eastAsia="zh-CN"/>
        </w:rPr>
        <w:t xml:space="preserve"> </w:t>
      </w:r>
      <w:r>
        <w:rPr>
          <w:color w:val="auto"/>
          <w:sz w:val="28"/>
          <w:szCs w:val="28"/>
          <w:highlight w:val="none"/>
        </w:rPr>
        <w:t>招标公告</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3</w:t>
      </w:r>
    </w:p>
    <w:p w14:paraId="550E7B1E">
      <w:pPr>
        <w:pStyle w:val="12"/>
        <w:tabs>
          <w:tab w:val="right" w:leader="dot" w:pos="8640"/>
        </w:tabs>
        <w:spacing w:line="360" w:lineRule="auto"/>
        <w:rPr>
          <w:rFonts w:hint="eastAsia"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_Toc1057 </w:instrText>
      </w:r>
      <w:r>
        <w:rPr>
          <w:rFonts w:ascii="Times New Roman" w:hAnsi="Times New Roman"/>
          <w:color w:val="auto"/>
          <w:sz w:val="28"/>
          <w:szCs w:val="28"/>
          <w:highlight w:val="none"/>
        </w:rPr>
        <w:fldChar w:fldCharType="separate"/>
      </w:r>
      <w:r>
        <w:rPr>
          <w:color w:val="auto"/>
          <w:sz w:val="28"/>
          <w:szCs w:val="28"/>
          <w:highlight w:val="none"/>
        </w:rPr>
        <w:t>第二章</w:t>
      </w:r>
      <w:r>
        <w:rPr>
          <w:rFonts w:hint="eastAsia"/>
          <w:color w:val="auto"/>
          <w:sz w:val="28"/>
          <w:szCs w:val="28"/>
          <w:highlight w:val="none"/>
          <w:lang w:val="en-US" w:eastAsia="zh-CN"/>
        </w:rPr>
        <w:t xml:space="preserve"> </w:t>
      </w:r>
      <w:r>
        <w:rPr>
          <w:color w:val="auto"/>
          <w:sz w:val="28"/>
          <w:szCs w:val="28"/>
          <w:highlight w:val="none"/>
        </w:rPr>
        <w:t>投标人须知</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4</w:t>
      </w:r>
    </w:p>
    <w:p w14:paraId="3C434295">
      <w:pPr>
        <w:pStyle w:val="12"/>
        <w:tabs>
          <w:tab w:val="right" w:leader="dot" w:pos="8640"/>
        </w:tabs>
        <w:spacing w:line="360" w:lineRule="auto"/>
        <w:rPr>
          <w:rFonts w:hint="default"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_Toc25283 </w:instrText>
      </w:r>
      <w:r>
        <w:rPr>
          <w:rFonts w:ascii="Times New Roman" w:hAnsi="Times New Roman"/>
          <w:color w:val="auto"/>
          <w:sz w:val="28"/>
          <w:szCs w:val="28"/>
          <w:highlight w:val="none"/>
        </w:rPr>
        <w:fldChar w:fldCharType="separate"/>
      </w:r>
      <w:r>
        <w:rPr>
          <w:color w:val="auto"/>
          <w:sz w:val="28"/>
          <w:szCs w:val="28"/>
          <w:highlight w:val="none"/>
        </w:rPr>
        <w:t>第三章</w:t>
      </w:r>
      <w:r>
        <w:rPr>
          <w:rFonts w:hint="eastAsia"/>
          <w:color w:val="auto"/>
          <w:sz w:val="28"/>
          <w:szCs w:val="28"/>
          <w:highlight w:val="none"/>
          <w:lang w:val="en-US" w:eastAsia="zh-CN"/>
        </w:rPr>
        <w:t xml:space="preserve"> </w:t>
      </w:r>
      <w:r>
        <w:rPr>
          <w:color w:val="auto"/>
          <w:sz w:val="28"/>
          <w:szCs w:val="28"/>
          <w:highlight w:val="none"/>
        </w:rPr>
        <w:t>评标办法（综合评估法）</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31</w:t>
      </w:r>
    </w:p>
    <w:p w14:paraId="7FE2FDA3">
      <w:pPr>
        <w:pStyle w:val="12"/>
        <w:tabs>
          <w:tab w:val="right" w:leader="dot" w:pos="8640"/>
        </w:tabs>
        <w:spacing w:line="360" w:lineRule="auto"/>
        <w:rPr>
          <w:rFonts w:hint="default"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_Toc24830 </w:instrText>
      </w:r>
      <w:r>
        <w:rPr>
          <w:rFonts w:ascii="Times New Roman" w:hAnsi="Times New Roman"/>
          <w:color w:val="auto"/>
          <w:sz w:val="28"/>
          <w:szCs w:val="28"/>
          <w:highlight w:val="none"/>
        </w:rPr>
        <w:fldChar w:fldCharType="separate"/>
      </w:r>
      <w:r>
        <w:rPr>
          <w:color w:val="auto"/>
          <w:sz w:val="28"/>
          <w:szCs w:val="28"/>
          <w:highlight w:val="none"/>
        </w:rPr>
        <w:t>第四章</w:t>
      </w:r>
      <w:r>
        <w:rPr>
          <w:rFonts w:hint="eastAsia"/>
          <w:color w:val="auto"/>
          <w:sz w:val="28"/>
          <w:szCs w:val="28"/>
          <w:highlight w:val="none"/>
          <w:lang w:val="en-US" w:eastAsia="zh-CN"/>
        </w:rPr>
        <w:t xml:space="preserve"> </w:t>
      </w:r>
      <w:r>
        <w:rPr>
          <w:color w:val="auto"/>
          <w:sz w:val="28"/>
          <w:szCs w:val="28"/>
          <w:highlight w:val="none"/>
        </w:rPr>
        <w:t>合同条款及格式</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38</w:t>
      </w:r>
    </w:p>
    <w:p w14:paraId="46A179BE">
      <w:pPr>
        <w:pStyle w:val="12"/>
        <w:tabs>
          <w:tab w:val="right" w:leader="dot" w:pos="8640"/>
        </w:tabs>
        <w:spacing w:line="360" w:lineRule="auto"/>
        <w:rPr>
          <w:rFonts w:hint="eastAsia" w:ascii="Times New Roman" w:hAnsi="Times New Roman"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_Toc22250 </w:instrText>
      </w:r>
      <w:r>
        <w:rPr>
          <w:rFonts w:ascii="Times New Roman" w:hAnsi="Times New Roman"/>
          <w:color w:val="auto"/>
          <w:sz w:val="28"/>
          <w:szCs w:val="28"/>
          <w:highlight w:val="none"/>
        </w:rPr>
        <w:fldChar w:fldCharType="separate"/>
      </w:r>
      <w:r>
        <w:rPr>
          <w:color w:val="auto"/>
          <w:sz w:val="28"/>
          <w:szCs w:val="28"/>
          <w:highlight w:val="none"/>
        </w:rPr>
        <w:t>第</w:t>
      </w:r>
      <w:r>
        <w:rPr>
          <w:rFonts w:hint="eastAsia"/>
          <w:color w:val="auto"/>
          <w:sz w:val="28"/>
          <w:szCs w:val="28"/>
          <w:highlight w:val="none"/>
          <w:lang w:val="en-US" w:eastAsia="zh-CN"/>
        </w:rPr>
        <w:t>二</w:t>
      </w:r>
      <w:r>
        <w:rPr>
          <w:color w:val="auto"/>
          <w:sz w:val="28"/>
          <w:szCs w:val="28"/>
          <w:highlight w:val="none"/>
        </w:rPr>
        <w:t>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_Toc22250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9</w:t>
      </w:r>
    </w:p>
    <w:p w14:paraId="32B6FF78">
      <w:pPr>
        <w:pStyle w:val="12"/>
        <w:tabs>
          <w:tab w:val="right" w:leader="dot" w:pos="8640"/>
        </w:tabs>
        <w:spacing w:line="360" w:lineRule="auto"/>
        <w:rPr>
          <w:rFonts w:hint="default"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_Toc4043 </w:instrText>
      </w:r>
      <w:r>
        <w:rPr>
          <w:rFonts w:ascii="Times New Roman" w:hAnsi="Times New Roman"/>
          <w:color w:val="auto"/>
          <w:sz w:val="28"/>
          <w:szCs w:val="28"/>
          <w:highlight w:val="none"/>
        </w:rPr>
        <w:fldChar w:fldCharType="separate"/>
      </w:r>
      <w:r>
        <w:rPr>
          <w:color w:val="auto"/>
          <w:sz w:val="28"/>
          <w:szCs w:val="28"/>
          <w:highlight w:val="none"/>
        </w:rPr>
        <w:t>第五章</w:t>
      </w:r>
      <w:r>
        <w:rPr>
          <w:rFonts w:hint="eastAsia"/>
          <w:color w:val="auto"/>
          <w:sz w:val="28"/>
          <w:szCs w:val="28"/>
          <w:highlight w:val="none"/>
          <w:lang w:val="en-US" w:eastAsia="zh-CN"/>
        </w:rPr>
        <w:t xml:space="preserve"> </w:t>
      </w:r>
      <w:r>
        <w:rPr>
          <w:color w:val="auto"/>
          <w:sz w:val="28"/>
          <w:szCs w:val="28"/>
          <w:highlight w:val="none"/>
        </w:rPr>
        <w:t>委托人要求</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39</w:t>
      </w:r>
    </w:p>
    <w:p w14:paraId="49852357">
      <w:pPr>
        <w:pStyle w:val="12"/>
        <w:tabs>
          <w:tab w:val="right" w:leader="dot" w:pos="8640"/>
        </w:tabs>
        <w:spacing w:line="360" w:lineRule="auto"/>
        <w:rPr>
          <w:rFonts w:hint="eastAsia" w:ascii="Times New Roman" w:hAnsi="Times New Roman"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_Toc22250 </w:instrText>
      </w:r>
      <w:r>
        <w:rPr>
          <w:rFonts w:ascii="Times New Roman" w:hAnsi="Times New Roman"/>
          <w:color w:val="auto"/>
          <w:sz w:val="28"/>
          <w:szCs w:val="28"/>
          <w:highlight w:val="none"/>
        </w:rPr>
        <w:fldChar w:fldCharType="separate"/>
      </w:r>
      <w:r>
        <w:rPr>
          <w:color w:val="auto"/>
          <w:sz w:val="28"/>
          <w:szCs w:val="28"/>
          <w:highlight w:val="none"/>
        </w:rPr>
        <w:t>第</w:t>
      </w:r>
      <w:r>
        <w:rPr>
          <w:rFonts w:hint="eastAsia"/>
          <w:color w:val="auto"/>
          <w:sz w:val="28"/>
          <w:szCs w:val="28"/>
          <w:highlight w:val="none"/>
          <w:lang w:val="en-US" w:eastAsia="zh-CN"/>
        </w:rPr>
        <w:t>二</w:t>
      </w:r>
      <w:r>
        <w:rPr>
          <w:color w:val="auto"/>
          <w:sz w:val="28"/>
          <w:szCs w:val="28"/>
          <w:highlight w:val="none"/>
        </w:rPr>
        <w:t>卷</w:t>
      </w:r>
      <w:r>
        <w:rPr>
          <w:color w:val="auto"/>
          <w:sz w:val="28"/>
          <w:szCs w:val="28"/>
          <w:highlight w:val="none"/>
        </w:rPr>
        <w:tab/>
      </w:r>
      <w:r>
        <w:rPr>
          <w:rFonts w:hint="eastAsia"/>
          <w:color w:val="auto"/>
          <w:sz w:val="28"/>
          <w:szCs w:val="28"/>
          <w:highlight w:val="none"/>
          <w:lang w:val="en-US" w:eastAsia="zh-CN"/>
        </w:rPr>
        <w:t>4</w:t>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4</w:t>
      </w:r>
    </w:p>
    <w:p w14:paraId="056D71CF">
      <w:pPr>
        <w:pStyle w:val="12"/>
        <w:tabs>
          <w:tab w:val="right" w:leader="dot" w:pos="8640"/>
        </w:tabs>
        <w:spacing w:line="360" w:lineRule="auto"/>
        <w:rPr>
          <w:rFonts w:hint="default"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_Toc6708 </w:instrText>
      </w:r>
      <w:r>
        <w:rPr>
          <w:rFonts w:ascii="Times New Roman" w:hAnsi="Times New Roman"/>
          <w:color w:val="auto"/>
          <w:sz w:val="28"/>
          <w:szCs w:val="28"/>
          <w:highlight w:val="none"/>
        </w:rPr>
        <w:fldChar w:fldCharType="separate"/>
      </w:r>
      <w:r>
        <w:rPr>
          <w:color w:val="auto"/>
          <w:sz w:val="28"/>
          <w:szCs w:val="28"/>
          <w:highlight w:val="none"/>
        </w:rPr>
        <w:t>第六章</w:t>
      </w:r>
      <w:r>
        <w:rPr>
          <w:rFonts w:hint="eastAsia"/>
          <w:color w:val="auto"/>
          <w:sz w:val="28"/>
          <w:szCs w:val="28"/>
          <w:highlight w:val="none"/>
        </w:rPr>
        <w:t xml:space="preserve"> </w:t>
      </w:r>
      <w:r>
        <w:rPr>
          <w:color w:val="auto"/>
          <w:sz w:val="28"/>
          <w:szCs w:val="28"/>
          <w:highlight w:val="none"/>
        </w:rPr>
        <w:t>投标文件格式</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44</w:t>
      </w:r>
    </w:p>
    <w:p w14:paraId="28AD6591">
      <w:pPr>
        <w:spacing w:line="360" w:lineRule="auto"/>
        <w:rPr>
          <w:color w:val="auto"/>
          <w:sz w:val="28"/>
          <w:szCs w:val="28"/>
          <w:highlight w:val="none"/>
        </w:rPr>
        <w:sectPr>
          <w:footerReference r:id="rId3" w:type="default"/>
          <w:pgSz w:w="12240" w:h="15840"/>
          <w:pgMar w:top="1440" w:right="1800" w:bottom="1440" w:left="1800" w:header="720" w:footer="720" w:gutter="0"/>
          <w:pgNumType w:start="1"/>
          <w:cols w:space="720" w:num="1"/>
          <w:docGrid w:linePitch="285" w:charSpace="0"/>
        </w:sectPr>
      </w:pPr>
      <w:r>
        <w:rPr>
          <w:rFonts w:ascii="Times New Roman" w:hAnsi="Times New Roman"/>
          <w:color w:val="auto"/>
          <w:sz w:val="28"/>
          <w:szCs w:val="28"/>
          <w:highlight w:val="none"/>
        </w:rPr>
        <w:fldChar w:fldCharType="end"/>
      </w:r>
    </w:p>
    <w:p w14:paraId="003FED98">
      <w:pPr>
        <w:pStyle w:val="3"/>
        <w:keepNext w:val="0"/>
        <w:keepLines w:val="0"/>
        <w:spacing w:line="560" w:lineRule="exact"/>
        <w:jc w:val="center"/>
        <w:rPr>
          <w:color w:val="auto"/>
          <w:highlight w:val="none"/>
        </w:rPr>
      </w:pPr>
      <w:bookmarkStart w:id="3" w:name="_Toc511557024"/>
      <w:bookmarkStart w:id="4" w:name="_Toc22250"/>
      <w:r>
        <w:rPr>
          <w:color w:val="auto"/>
          <w:highlight w:val="none"/>
        </w:rPr>
        <w:t>第</w:t>
      </w:r>
      <w:bookmarkEnd w:id="0"/>
      <w:bookmarkEnd w:id="1"/>
      <w:bookmarkEnd w:id="2"/>
      <w:bookmarkEnd w:id="3"/>
      <w:r>
        <w:rPr>
          <w:color w:val="auto"/>
          <w:highlight w:val="none"/>
        </w:rPr>
        <w:t>一卷</w:t>
      </w:r>
      <w:bookmarkEnd w:id="4"/>
    </w:p>
    <w:p w14:paraId="3FA9D452">
      <w:pPr>
        <w:pStyle w:val="3"/>
        <w:keepNext w:val="0"/>
        <w:keepLines w:val="0"/>
        <w:spacing w:line="560" w:lineRule="exact"/>
        <w:jc w:val="center"/>
        <w:rPr>
          <w:color w:val="auto"/>
          <w:highlight w:val="none"/>
        </w:rPr>
      </w:pPr>
      <w:bookmarkStart w:id="5" w:name="_Toc27666"/>
      <w:r>
        <w:rPr>
          <w:rFonts w:hint="eastAsia"/>
          <w:color w:val="auto"/>
          <w:highlight w:val="none"/>
        </w:rPr>
        <w:t>第一章</w:t>
      </w:r>
      <w:r>
        <w:rPr>
          <w:rFonts w:hint="eastAsia"/>
          <w:color w:val="auto"/>
          <w:highlight w:val="none"/>
          <w:lang w:val="en-US" w:eastAsia="zh-CN"/>
        </w:rPr>
        <w:t xml:space="preserve"> </w:t>
      </w:r>
      <w:r>
        <w:rPr>
          <w:color w:val="auto"/>
          <w:highlight w:val="none"/>
        </w:rPr>
        <w:t>招标公告</w:t>
      </w:r>
      <w:bookmarkEnd w:id="5"/>
    </w:p>
    <w:p w14:paraId="49A3EBEE">
      <w:pPr>
        <w:adjustRightInd w:val="0"/>
        <w:snapToGrid w:val="0"/>
        <w:spacing w:line="360" w:lineRule="auto"/>
        <w:jc w:val="center"/>
        <w:rPr>
          <w:color w:val="auto"/>
          <w:highlight w:val="none"/>
        </w:rPr>
      </w:pPr>
      <w:r>
        <w:rPr>
          <w:rFonts w:hint="eastAsia" w:ascii="宋体" w:hAnsi="宋体" w:cs="宋体"/>
          <w:b/>
          <w:color w:val="auto"/>
          <w:sz w:val="36"/>
          <w:szCs w:val="36"/>
          <w:highlight w:val="none"/>
        </w:rPr>
        <w:t>（另册）</w:t>
      </w:r>
    </w:p>
    <w:p w14:paraId="221066A4">
      <w:pPr>
        <w:rPr>
          <w:color w:val="auto"/>
          <w:highlight w:val="none"/>
        </w:rPr>
      </w:pPr>
    </w:p>
    <w:p w14:paraId="36A67DAB">
      <w:pPr>
        <w:adjustRightInd w:val="0"/>
        <w:snapToGrid w:val="0"/>
        <w:spacing w:line="360" w:lineRule="auto"/>
        <w:ind w:firstLine="420" w:firstLineChars="200"/>
        <w:jc w:val="right"/>
        <w:rPr>
          <w:color w:val="auto"/>
          <w:highlight w:val="none"/>
        </w:rPr>
      </w:pPr>
      <w:r>
        <w:rPr>
          <w:color w:val="auto"/>
          <w:highlight w:val="none"/>
        </w:rPr>
        <w:br w:type="page"/>
      </w:r>
    </w:p>
    <w:p w14:paraId="58F4E0F3">
      <w:pPr>
        <w:pStyle w:val="3"/>
        <w:keepNext w:val="0"/>
        <w:keepLines w:val="0"/>
        <w:spacing w:before="100" w:after="100" w:line="360" w:lineRule="auto"/>
        <w:jc w:val="center"/>
        <w:rPr>
          <w:color w:val="auto"/>
          <w:highlight w:val="none"/>
        </w:rPr>
      </w:pPr>
      <w:bookmarkStart w:id="6" w:name="_Toc1057"/>
      <w:r>
        <w:rPr>
          <w:color w:val="auto"/>
          <w:highlight w:val="none"/>
        </w:rPr>
        <w:t>第二章</w:t>
      </w:r>
      <w:r>
        <w:rPr>
          <w:rFonts w:hint="eastAsia"/>
          <w:color w:val="auto"/>
          <w:highlight w:val="none"/>
          <w:lang w:val="en-US" w:eastAsia="zh-CN"/>
        </w:rPr>
        <w:t xml:space="preserve"> </w:t>
      </w:r>
      <w:r>
        <w:rPr>
          <w:color w:val="auto"/>
          <w:highlight w:val="none"/>
        </w:rPr>
        <w:t>投标人须知</w:t>
      </w:r>
      <w:bookmarkEnd w:id="6"/>
    </w:p>
    <w:p w14:paraId="04B7D846">
      <w:pPr>
        <w:pStyle w:val="4"/>
        <w:keepNext w:val="0"/>
        <w:keepLines w:val="0"/>
        <w:spacing w:before="20" w:after="0" w:line="360" w:lineRule="auto"/>
        <w:jc w:val="center"/>
        <w:rPr>
          <w:rFonts w:ascii="Times New Roman" w:hAnsi="Times New Roman"/>
          <w:color w:val="auto"/>
          <w:highlight w:val="none"/>
        </w:rPr>
      </w:pPr>
      <w:bookmarkStart w:id="7" w:name="_Toc13533"/>
      <w:bookmarkStart w:id="8" w:name="_Toc19759"/>
      <w:r>
        <w:rPr>
          <w:rFonts w:ascii="Times New Roman" w:hAnsi="Times New Roman"/>
          <w:color w:val="auto"/>
          <w:highlight w:val="none"/>
        </w:rPr>
        <w:t>投标人须知前附表</w:t>
      </w:r>
      <w:bookmarkEnd w:id="7"/>
      <w:bookmarkEnd w:id="8"/>
    </w:p>
    <w:tbl>
      <w:tblPr>
        <w:tblStyle w:val="16"/>
        <w:tblpPr w:leftFromText="180" w:rightFromText="180" w:vertAnchor="text" w:horzAnchor="page" w:tblpX="1635" w:tblpY="612"/>
        <w:tblOverlap w:val="never"/>
        <w:tblW w:w="96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8"/>
        <w:gridCol w:w="1650"/>
        <w:gridCol w:w="6863"/>
      </w:tblGrid>
      <w:tr w14:paraId="0B8C2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trPr>
        <w:tc>
          <w:tcPr>
            <w:tcW w:w="1178" w:type="dxa"/>
            <w:vAlign w:val="center"/>
          </w:tcPr>
          <w:p w14:paraId="27C58DD0">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条款号</w:t>
            </w:r>
          </w:p>
        </w:tc>
        <w:tc>
          <w:tcPr>
            <w:tcW w:w="1650" w:type="dxa"/>
            <w:vAlign w:val="center"/>
          </w:tcPr>
          <w:p w14:paraId="01AD67C4">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条款名称</w:t>
            </w:r>
          </w:p>
        </w:tc>
        <w:tc>
          <w:tcPr>
            <w:tcW w:w="6863" w:type="dxa"/>
            <w:vAlign w:val="center"/>
          </w:tcPr>
          <w:p w14:paraId="17F34A72">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编列内容</w:t>
            </w:r>
          </w:p>
        </w:tc>
      </w:tr>
      <w:tr w14:paraId="7EB87E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6CD469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1.1.2</w:t>
            </w:r>
          </w:p>
        </w:tc>
        <w:tc>
          <w:tcPr>
            <w:tcW w:w="1650" w:type="dxa"/>
            <w:vAlign w:val="center"/>
          </w:tcPr>
          <w:p w14:paraId="6617A1C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招标人</w:t>
            </w:r>
          </w:p>
        </w:tc>
        <w:tc>
          <w:tcPr>
            <w:tcW w:w="6863" w:type="dxa"/>
            <w:vAlign w:val="center"/>
          </w:tcPr>
          <w:p w14:paraId="5B19F8DF">
            <w:pPr>
              <w:keepNext w:val="0"/>
              <w:keepLines w:val="0"/>
              <w:suppressLineNumbers w:val="0"/>
              <w:snapToGrid w:val="0"/>
              <w:spacing w:before="0" w:beforeAutospacing="0" w:after="0" w:afterAutospacing="0"/>
              <w:ind w:left="0" w:right="0"/>
              <w:rPr>
                <w:rFonts w:hint="default" w:ascii="宋体" w:hAnsi="宋体" w:eastAsia="宋体"/>
                <w:color w:val="auto"/>
                <w:szCs w:val="21"/>
                <w:highlight w:val="none"/>
                <w:u w:val="single"/>
                <w:lang w:val="en-US" w:eastAsia="zh-CN"/>
              </w:rPr>
            </w:pPr>
            <w:r>
              <w:rPr>
                <w:rFonts w:hint="default" w:ascii="宋体" w:hAnsi="宋体" w:eastAsia="宋体"/>
                <w:color w:val="auto"/>
                <w:szCs w:val="21"/>
                <w:highlight w:val="none"/>
                <w:u w:val="single"/>
                <w:lang w:val="en-US" w:eastAsia="zh-CN"/>
              </w:rPr>
              <w:t>名称：广州市越秀区代建项目管理中心</w:t>
            </w:r>
          </w:p>
          <w:p w14:paraId="0356BBCB">
            <w:pPr>
              <w:keepNext w:val="0"/>
              <w:keepLines w:val="0"/>
              <w:suppressLineNumbers w:val="0"/>
              <w:snapToGrid w:val="0"/>
              <w:spacing w:before="0" w:beforeAutospacing="0" w:after="0" w:afterAutospacing="0"/>
              <w:ind w:left="0" w:right="0"/>
              <w:rPr>
                <w:rFonts w:hint="default" w:ascii="宋体" w:hAnsi="宋体" w:eastAsia="宋体"/>
                <w:color w:val="auto"/>
                <w:szCs w:val="21"/>
                <w:highlight w:val="none"/>
                <w:u w:val="single"/>
                <w:lang w:val="en-US" w:eastAsia="zh-CN"/>
              </w:rPr>
            </w:pPr>
            <w:r>
              <w:rPr>
                <w:rFonts w:hint="default" w:ascii="宋体" w:hAnsi="宋体" w:eastAsia="宋体"/>
                <w:color w:val="auto"/>
                <w:szCs w:val="21"/>
                <w:highlight w:val="none"/>
                <w:u w:val="single"/>
                <w:lang w:val="en-US" w:eastAsia="zh-CN"/>
              </w:rPr>
              <w:t>地址：广州市越秀区东华西路永胜街51号</w:t>
            </w:r>
          </w:p>
          <w:p w14:paraId="56C3BA99">
            <w:pPr>
              <w:keepNext w:val="0"/>
              <w:keepLines w:val="0"/>
              <w:suppressLineNumbers w:val="0"/>
              <w:snapToGrid w:val="0"/>
              <w:spacing w:before="0" w:beforeAutospacing="0" w:after="0" w:afterAutospacing="0"/>
              <w:ind w:left="0" w:right="0"/>
              <w:rPr>
                <w:rFonts w:hint="default" w:ascii="宋体" w:hAnsi="宋体" w:eastAsia="宋体"/>
                <w:color w:val="auto"/>
                <w:szCs w:val="21"/>
                <w:highlight w:val="none"/>
                <w:u w:val="single"/>
                <w:lang w:val="en-US" w:eastAsia="zh-CN"/>
              </w:rPr>
            </w:pPr>
            <w:r>
              <w:rPr>
                <w:rFonts w:hint="default" w:ascii="宋体" w:hAnsi="宋体" w:eastAsia="宋体"/>
                <w:color w:val="auto"/>
                <w:szCs w:val="21"/>
                <w:highlight w:val="none"/>
                <w:u w:val="single"/>
                <w:lang w:val="en-US" w:eastAsia="zh-CN"/>
              </w:rPr>
              <w:t>联系人：杜工</w:t>
            </w:r>
          </w:p>
          <w:p w14:paraId="5372641C">
            <w:pPr>
              <w:keepNext w:val="0"/>
              <w:keepLines w:val="0"/>
              <w:suppressLineNumbers w:val="0"/>
              <w:snapToGrid w:val="0"/>
              <w:spacing w:before="0" w:beforeAutospacing="0" w:after="0" w:afterAutospacing="0"/>
              <w:ind w:left="0" w:right="0"/>
              <w:rPr>
                <w:rFonts w:hint="default" w:ascii="宋体" w:hAnsi="宋体" w:eastAsia="宋体"/>
                <w:color w:val="auto"/>
                <w:szCs w:val="21"/>
                <w:highlight w:val="none"/>
                <w:u w:val="single"/>
                <w:lang w:val="en-US" w:eastAsia="zh-CN"/>
              </w:rPr>
            </w:pPr>
            <w:r>
              <w:rPr>
                <w:rFonts w:hint="default" w:ascii="宋体" w:hAnsi="宋体" w:eastAsia="宋体"/>
                <w:color w:val="auto"/>
                <w:szCs w:val="21"/>
                <w:highlight w:val="none"/>
                <w:u w:val="single"/>
                <w:lang w:val="en-US" w:eastAsia="zh-CN"/>
              </w:rPr>
              <w:t xml:space="preserve">电话：020-83520212 </w:t>
            </w:r>
          </w:p>
        </w:tc>
      </w:tr>
      <w:tr w14:paraId="28FB75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1178" w:type="dxa"/>
            <w:vAlign w:val="center"/>
          </w:tcPr>
          <w:p w14:paraId="4A27655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1.1.3</w:t>
            </w:r>
          </w:p>
        </w:tc>
        <w:tc>
          <w:tcPr>
            <w:tcW w:w="1650" w:type="dxa"/>
            <w:vAlign w:val="center"/>
          </w:tcPr>
          <w:p w14:paraId="3B03CF9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招标代理机构</w:t>
            </w:r>
          </w:p>
        </w:tc>
        <w:tc>
          <w:tcPr>
            <w:tcW w:w="6863" w:type="dxa"/>
            <w:vAlign w:val="center"/>
          </w:tcPr>
          <w:p w14:paraId="1AF22F28">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u w:val="single"/>
              </w:rPr>
              <w:t>名称：</w:t>
            </w:r>
            <w:r>
              <w:rPr>
                <w:rFonts w:hint="default" w:ascii="宋体" w:hAnsi="宋体"/>
                <w:color w:val="auto"/>
                <w:szCs w:val="21"/>
                <w:highlight w:val="none"/>
                <w:u w:val="single"/>
                <w:lang w:eastAsia="zh-CN"/>
              </w:rPr>
              <w:t>广州珠江监理咨询集团有限公司</w:t>
            </w:r>
          </w:p>
          <w:p w14:paraId="05965D2C">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u w:val="single"/>
              </w:rPr>
              <w:t>地址：</w:t>
            </w:r>
            <w:r>
              <w:rPr>
                <w:rFonts w:hint="default" w:ascii="宋体" w:hAnsi="宋体"/>
                <w:color w:val="auto"/>
                <w:szCs w:val="21"/>
                <w:highlight w:val="none"/>
                <w:u w:val="single"/>
                <w:lang w:eastAsia="zh-CN"/>
              </w:rPr>
              <w:t>广州市越秀区永泰路50号101房</w:t>
            </w:r>
          </w:p>
          <w:p w14:paraId="1B7352F0">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u w:val="single"/>
              </w:rPr>
              <w:t>联系人：</w:t>
            </w:r>
            <w:r>
              <w:rPr>
                <w:rFonts w:hint="default" w:ascii="宋体" w:hAnsi="宋体"/>
                <w:color w:val="auto"/>
                <w:szCs w:val="21"/>
                <w:highlight w:val="none"/>
                <w:u w:val="single"/>
                <w:lang w:val="en-US" w:eastAsia="zh-CN"/>
              </w:rPr>
              <w:t>张工、叶工</w:t>
            </w:r>
          </w:p>
          <w:p w14:paraId="5FC8889D">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u w:val="single"/>
              </w:rPr>
              <w:t>电话：</w:t>
            </w:r>
            <w:r>
              <w:rPr>
                <w:rFonts w:hint="default" w:ascii="宋体" w:hAnsi="宋体"/>
                <w:color w:val="auto"/>
                <w:szCs w:val="21"/>
                <w:highlight w:val="none"/>
                <w:u w:val="single"/>
                <w:lang w:eastAsia="zh-CN"/>
              </w:rPr>
              <w:t>020-83492175</w:t>
            </w:r>
            <w:r>
              <w:rPr>
                <w:rFonts w:hint="default" w:ascii="宋体" w:hAnsi="宋体"/>
                <w:color w:val="auto"/>
                <w:szCs w:val="21"/>
                <w:highlight w:val="none"/>
                <w:u w:val="single"/>
                <w:lang w:val="en-US" w:eastAsia="zh-CN"/>
              </w:rPr>
              <w:t>-813</w:t>
            </w:r>
          </w:p>
        </w:tc>
      </w:tr>
      <w:tr w14:paraId="5B46DF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455206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1.1.4</w:t>
            </w:r>
          </w:p>
        </w:tc>
        <w:tc>
          <w:tcPr>
            <w:tcW w:w="1650" w:type="dxa"/>
            <w:vAlign w:val="center"/>
          </w:tcPr>
          <w:p w14:paraId="2398F82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招标项目名称</w:t>
            </w:r>
          </w:p>
        </w:tc>
        <w:tc>
          <w:tcPr>
            <w:tcW w:w="6863" w:type="dxa"/>
            <w:vAlign w:val="center"/>
          </w:tcPr>
          <w:p w14:paraId="2BF7BD1D">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花果山产业小镇综合配套工程建设项目土壤污染修复监理服务</w:t>
            </w:r>
          </w:p>
        </w:tc>
      </w:tr>
      <w:tr w14:paraId="3DD485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FA68A6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1.1.5</w:t>
            </w:r>
          </w:p>
        </w:tc>
        <w:tc>
          <w:tcPr>
            <w:tcW w:w="1650" w:type="dxa"/>
            <w:vAlign w:val="center"/>
          </w:tcPr>
          <w:p w14:paraId="68113FA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项目建设地点</w:t>
            </w:r>
          </w:p>
        </w:tc>
        <w:tc>
          <w:tcPr>
            <w:tcW w:w="6863" w:type="dxa"/>
            <w:vAlign w:val="center"/>
          </w:tcPr>
          <w:p w14:paraId="255C12C9">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lang w:eastAsia="zh-CN"/>
              </w:rPr>
              <w:t>详见招标公告</w:t>
            </w:r>
            <w:r>
              <w:rPr>
                <w:rFonts w:hint="eastAsia" w:ascii="宋体" w:hAnsi="宋体" w:cs="宋体"/>
                <w:color w:val="auto"/>
                <w:szCs w:val="21"/>
                <w:highlight w:val="none"/>
              </w:rPr>
              <w:t>。</w:t>
            </w:r>
          </w:p>
        </w:tc>
      </w:tr>
      <w:tr w14:paraId="422094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93CD8F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1.1.6</w:t>
            </w:r>
          </w:p>
        </w:tc>
        <w:tc>
          <w:tcPr>
            <w:tcW w:w="1650" w:type="dxa"/>
            <w:vAlign w:val="center"/>
          </w:tcPr>
          <w:p w14:paraId="680EAAD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项目建设规模</w:t>
            </w:r>
          </w:p>
        </w:tc>
        <w:tc>
          <w:tcPr>
            <w:tcW w:w="6863" w:type="dxa"/>
          </w:tcPr>
          <w:p w14:paraId="358233C5">
            <w:pPr>
              <w:keepNext w:val="0"/>
              <w:keepLines w:val="0"/>
              <w:suppressLineNumbers w:val="0"/>
              <w:snapToGrid w:val="0"/>
              <w:spacing w:before="0" w:beforeAutospacing="0" w:after="0" w:afterAutospacing="0"/>
              <w:ind w:left="0" w:right="106"/>
              <w:rPr>
                <w:rFonts w:hint="default" w:ascii="宋体" w:hAnsi="宋体" w:cs="宋体"/>
                <w:color w:val="auto"/>
                <w:szCs w:val="21"/>
                <w:highlight w:val="none"/>
              </w:rPr>
            </w:pPr>
            <w:r>
              <w:rPr>
                <w:rFonts w:hint="eastAsia" w:ascii="宋体" w:hAnsi="宋体" w:cs="宋体"/>
                <w:color w:val="auto"/>
                <w:szCs w:val="21"/>
                <w:highlight w:val="none"/>
                <w:lang w:eastAsia="zh-CN"/>
              </w:rPr>
              <w:t>详见招标公告</w:t>
            </w:r>
            <w:r>
              <w:rPr>
                <w:rFonts w:hint="eastAsia" w:ascii="宋体" w:hAnsi="宋体" w:cs="宋体"/>
                <w:color w:val="auto"/>
                <w:szCs w:val="21"/>
                <w:highlight w:val="none"/>
              </w:rPr>
              <w:t>。</w:t>
            </w:r>
          </w:p>
        </w:tc>
      </w:tr>
      <w:tr w14:paraId="3117D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4C8850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bookmarkStart w:id="9" w:name="_Hlk136173529"/>
            <w:r>
              <w:rPr>
                <w:rFonts w:hint="default" w:ascii="宋体" w:hAnsi="宋体"/>
                <w:color w:val="auto"/>
                <w:szCs w:val="21"/>
                <w:highlight w:val="none"/>
              </w:rPr>
              <w:t>1.1.7</w:t>
            </w:r>
          </w:p>
        </w:tc>
        <w:tc>
          <w:tcPr>
            <w:tcW w:w="1650" w:type="dxa"/>
            <w:vAlign w:val="center"/>
          </w:tcPr>
          <w:p w14:paraId="1AA58FB5">
            <w:pPr>
              <w:keepNext w:val="0"/>
              <w:keepLines w:val="0"/>
              <w:suppressLineNumbers w:val="0"/>
              <w:snapToGrid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工期</w:t>
            </w:r>
          </w:p>
        </w:tc>
        <w:tc>
          <w:tcPr>
            <w:tcW w:w="6863" w:type="dxa"/>
            <w:vAlign w:val="center"/>
          </w:tcPr>
          <w:p w14:paraId="16F6EAB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olor w:val="auto"/>
                <w:szCs w:val="21"/>
                <w:highlight w:val="none"/>
                <w:lang w:eastAsia="zh-CN"/>
              </w:rPr>
              <w:t>详见招标公告</w:t>
            </w:r>
            <w:r>
              <w:rPr>
                <w:rFonts w:hint="eastAsia" w:ascii="宋体" w:hAnsi="宋体"/>
                <w:color w:val="auto"/>
                <w:szCs w:val="21"/>
                <w:highlight w:val="none"/>
              </w:rPr>
              <w:t>。</w:t>
            </w:r>
          </w:p>
        </w:tc>
      </w:tr>
      <w:bookmarkEnd w:id="9"/>
      <w:tr w14:paraId="519BC6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FB6947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1.2.1</w:t>
            </w:r>
          </w:p>
        </w:tc>
        <w:tc>
          <w:tcPr>
            <w:tcW w:w="1650" w:type="dxa"/>
            <w:vAlign w:val="center"/>
          </w:tcPr>
          <w:p w14:paraId="5B4F3BD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资金来源及比例</w:t>
            </w:r>
          </w:p>
        </w:tc>
        <w:tc>
          <w:tcPr>
            <w:tcW w:w="6863" w:type="dxa"/>
            <w:vAlign w:val="center"/>
          </w:tcPr>
          <w:p w14:paraId="6ECF7A47">
            <w:pPr>
              <w:keepNext w:val="0"/>
              <w:keepLines w:val="0"/>
              <w:suppressLineNumbers w:val="0"/>
              <w:snapToGrid w:val="0"/>
              <w:spacing w:before="0" w:beforeAutospacing="0" w:after="0" w:afterAutospacing="0"/>
              <w:ind w:left="0" w:right="0"/>
              <w:rPr>
                <w:rFonts w:hint="default" w:ascii="宋体" w:hAnsi="宋体" w:eastAsia="宋体" w:cs="宋体"/>
                <w:color w:val="auto"/>
                <w:szCs w:val="21"/>
                <w:highlight w:val="none"/>
                <w:lang w:val="en-US" w:eastAsia="zh-CN"/>
              </w:rPr>
            </w:pPr>
            <w:r>
              <w:rPr>
                <w:rFonts w:hint="eastAsia" w:ascii="宋体" w:hAnsi="宋体"/>
                <w:color w:val="auto"/>
                <w:szCs w:val="21"/>
                <w:highlight w:val="none"/>
                <w:u w:val="single"/>
                <w:lang w:val="en-US" w:eastAsia="zh-CN"/>
              </w:rPr>
              <w:t>区财政资金100%</w:t>
            </w:r>
          </w:p>
        </w:tc>
      </w:tr>
      <w:tr w14:paraId="786AA3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C102AB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1.2.2</w:t>
            </w:r>
          </w:p>
        </w:tc>
        <w:tc>
          <w:tcPr>
            <w:tcW w:w="1650" w:type="dxa"/>
            <w:vAlign w:val="center"/>
          </w:tcPr>
          <w:p w14:paraId="4515D6E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资金落实情况</w:t>
            </w:r>
          </w:p>
        </w:tc>
        <w:tc>
          <w:tcPr>
            <w:tcW w:w="6863" w:type="dxa"/>
            <w:vAlign w:val="center"/>
          </w:tcPr>
          <w:p w14:paraId="2ADD642B">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已落实</w:t>
            </w:r>
          </w:p>
        </w:tc>
      </w:tr>
      <w:tr w14:paraId="3524C8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97978F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1.3.1</w:t>
            </w:r>
          </w:p>
        </w:tc>
        <w:tc>
          <w:tcPr>
            <w:tcW w:w="1650" w:type="dxa"/>
            <w:vAlign w:val="center"/>
          </w:tcPr>
          <w:p w14:paraId="3B1DE95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招标范围</w:t>
            </w:r>
          </w:p>
        </w:tc>
        <w:tc>
          <w:tcPr>
            <w:tcW w:w="6863" w:type="dxa"/>
          </w:tcPr>
          <w:p w14:paraId="4DD07DEB">
            <w:pPr>
              <w:keepNext w:val="0"/>
              <w:keepLines w:val="0"/>
              <w:suppressLineNumbers w:val="0"/>
              <w:snapToGrid w:val="0"/>
              <w:spacing w:before="0" w:beforeAutospacing="0" w:after="0" w:afterAutospacing="0"/>
              <w:ind w:left="0" w:right="106"/>
              <w:rPr>
                <w:rFonts w:hint="default" w:ascii="宋体" w:hAnsi="宋体" w:cs="宋体"/>
                <w:color w:val="auto"/>
                <w:szCs w:val="21"/>
                <w:highlight w:val="none"/>
              </w:rPr>
            </w:pPr>
            <w:r>
              <w:rPr>
                <w:rFonts w:hint="eastAsia" w:ascii="宋体" w:hAnsi="宋体" w:cs="宋体"/>
                <w:color w:val="auto"/>
                <w:szCs w:val="21"/>
                <w:highlight w:val="none"/>
                <w:lang w:eastAsia="zh-CN"/>
              </w:rPr>
              <w:t>详见招标公告</w:t>
            </w:r>
            <w:r>
              <w:rPr>
                <w:rFonts w:hint="eastAsia" w:ascii="宋体" w:hAnsi="宋体" w:cs="宋体"/>
                <w:color w:val="auto"/>
                <w:szCs w:val="21"/>
                <w:highlight w:val="none"/>
              </w:rPr>
              <w:t>。</w:t>
            </w:r>
          </w:p>
        </w:tc>
      </w:tr>
      <w:tr w14:paraId="16840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1178" w:type="dxa"/>
            <w:vAlign w:val="center"/>
          </w:tcPr>
          <w:p w14:paraId="57D283E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1.3.2</w:t>
            </w:r>
          </w:p>
        </w:tc>
        <w:tc>
          <w:tcPr>
            <w:tcW w:w="1650" w:type="dxa"/>
            <w:vAlign w:val="center"/>
          </w:tcPr>
          <w:p w14:paraId="2AC6D5E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服务期限</w:t>
            </w:r>
          </w:p>
        </w:tc>
        <w:tc>
          <w:tcPr>
            <w:tcW w:w="6863" w:type="dxa"/>
          </w:tcPr>
          <w:p w14:paraId="28697237">
            <w:pPr>
              <w:keepNext w:val="0"/>
              <w:keepLines w:val="0"/>
              <w:suppressLineNumbers w:val="0"/>
              <w:snapToGrid w:val="0"/>
              <w:spacing w:before="0" w:beforeAutospacing="0" w:after="0" w:afterAutospacing="0"/>
              <w:ind w:left="0" w:right="106"/>
              <w:rPr>
                <w:rFonts w:hint="default" w:ascii="宋体" w:hAnsi="宋体" w:cs="宋体"/>
                <w:color w:val="auto"/>
                <w:szCs w:val="21"/>
                <w:highlight w:val="none"/>
              </w:rPr>
            </w:pPr>
            <w:r>
              <w:rPr>
                <w:rFonts w:hint="eastAsia" w:ascii="宋体" w:hAnsi="宋体" w:cs="宋体"/>
                <w:color w:val="auto"/>
                <w:szCs w:val="21"/>
                <w:highlight w:val="none"/>
                <w:lang w:eastAsia="zh-CN"/>
              </w:rPr>
              <w:t>详见招标公告</w:t>
            </w:r>
            <w:r>
              <w:rPr>
                <w:rFonts w:hint="eastAsia" w:ascii="宋体" w:hAnsi="宋体" w:cs="宋体"/>
                <w:color w:val="auto"/>
                <w:szCs w:val="21"/>
                <w:highlight w:val="none"/>
              </w:rPr>
              <w:t>。</w:t>
            </w:r>
          </w:p>
        </w:tc>
      </w:tr>
      <w:tr w14:paraId="5A1E0F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178" w:type="dxa"/>
            <w:vAlign w:val="center"/>
          </w:tcPr>
          <w:p w14:paraId="7355B71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1.3.3</w:t>
            </w:r>
          </w:p>
        </w:tc>
        <w:tc>
          <w:tcPr>
            <w:tcW w:w="1650" w:type="dxa"/>
            <w:vAlign w:val="center"/>
          </w:tcPr>
          <w:p w14:paraId="1644FE2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质量标准</w:t>
            </w:r>
          </w:p>
        </w:tc>
        <w:tc>
          <w:tcPr>
            <w:tcW w:w="6863" w:type="dxa"/>
            <w:vAlign w:val="center"/>
          </w:tcPr>
          <w:p w14:paraId="40EBD54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须完成土壤污染治理与修复的各项工作，确保修复实施方案通过广东省、</w:t>
            </w:r>
            <w:r>
              <w:rPr>
                <w:rFonts w:hint="eastAsia" w:ascii="宋体" w:hAnsi="宋体" w:cs="宋体"/>
                <w:color w:val="auto"/>
                <w:szCs w:val="21"/>
                <w:highlight w:val="none"/>
                <w:lang w:val="en-US" w:eastAsia="zh-CN"/>
              </w:rPr>
              <w:t>广州</w:t>
            </w:r>
            <w:r>
              <w:rPr>
                <w:rFonts w:hint="eastAsia" w:ascii="宋体" w:hAnsi="宋体" w:eastAsia="宋体" w:cs="宋体"/>
                <w:color w:val="auto"/>
                <w:szCs w:val="21"/>
                <w:highlight w:val="none"/>
                <w:lang w:eastAsia="zh-CN"/>
              </w:rPr>
              <w:t>市生态环境主管部门组织的专家评审会，通过广东省、</w:t>
            </w:r>
            <w:r>
              <w:rPr>
                <w:rFonts w:hint="eastAsia" w:ascii="宋体" w:hAnsi="宋体" w:cs="宋体"/>
                <w:color w:val="auto"/>
                <w:szCs w:val="21"/>
                <w:highlight w:val="none"/>
                <w:lang w:val="en-US" w:eastAsia="zh-CN"/>
              </w:rPr>
              <w:t>广州</w:t>
            </w:r>
            <w:r>
              <w:rPr>
                <w:rFonts w:hint="eastAsia" w:ascii="宋体" w:hAnsi="宋体" w:eastAsia="宋体" w:cs="宋体"/>
                <w:color w:val="auto"/>
                <w:szCs w:val="21"/>
                <w:highlight w:val="none"/>
                <w:lang w:eastAsia="zh-CN"/>
              </w:rPr>
              <w:t>市生态环境主管部门审核审查，并按广东省、</w:t>
            </w:r>
            <w:r>
              <w:rPr>
                <w:rFonts w:hint="eastAsia" w:ascii="宋体" w:hAnsi="宋体" w:cs="宋体"/>
                <w:color w:val="auto"/>
                <w:szCs w:val="21"/>
                <w:highlight w:val="none"/>
                <w:lang w:eastAsia="zh-CN"/>
              </w:rPr>
              <w:t>广州市</w:t>
            </w:r>
            <w:r>
              <w:rPr>
                <w:rFonts w:hint="eastAsia" w:ascii="宋体" w:hAnsi="宋体" w:eastAsia="宋体" w:cs="宋体"/>
                <w:color w:val="auto"/>
                <w:szCs w:val="21"/>
                <w:highlight w:val="none"/>
                <w:lang w:eastAsia="zh-CN"/>
              </w:rPr>
              <w:t>市土壤修复管理有关规定报省、市环保主管部门等相关政府部门审批备案；确保本项目《修复效果评估报告》达到广东省、</w:t>
            </w:r>
            <w:r>
              <w:rPr>
                <w:rFonts w:hint="eastAsia" w:ascii="宋体" w:hAnsi="宋体" w:cs="宋体"/>
                <w:color w:val="auto"/>
                <w:szCs w:val="21"/>
                <w:highlight w:val="none"/>
                <w:lang w:eastAsia="zh-CN"/>
              </w:rPr>
              <w:t>广州</w:t>
            </w:r>
            <w:r>
              <w:rPr>
                <w:rFonts w:hint="eastAsia" w:ascii="宋体" w:hAnsi="宋体" w:eastAsia="宋体" w:cs="宋体"/>
                <w:color w:val="auto"/>
                <w:szCs w:val="21"/>
                <w:highlight w:val="none"/>
                <w:lang w:eastAsia="zh-CN"/>
              </w:rPr>
              <w:t>市生态环境主管部门的验收备案条件，并能通过广东省、</w:t>
            </w:r>
            <w:r>
              <w:rPr>
                <w:rFonts w:hint="eastAsia" w:ascii="宋体" w:hAnsi="宋体" w:cs="宋体"/>
                <w:color w:val="auto"/>
                <w:szCs w:val="21"/>
                <w:highlight w:val="none"/>
                <w:lang w:eastAsia="zh-CN"/>
              </w:rPr>
              <w:t>广州</w:t>
            </w:r>
            <w:r>
              <w:rPr>
                <w:rFonts w:hint="eastAsia" w:ascii="宋体" w:hAnsi="宋体" w:eastAsia="宋体" w:cs="宋体"/>
                <w:color w:val="auto"/>
                <w:szCs w:val="21"/>
                <w:highlight w:val="none"/>
                <w:lang w:eastAsia="zh-CN"/>
              </w:rPr>
              <w:t>市生态环境主管部门验收，最终完成项目地块的广东省建设用地土壤污染风险管控和修复名录移出工作。</w:t>
            </w:r>
          </w:p>
        </w:tc>
      </w:tr>
      <w:tr w14:paraId="78A785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D59A87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1.4.1</w:t>
            </w:r>
          </w:p>
        </w:tc>
        <w:tc>
          <w:tcPr>
            <w:tcW w:w="1650" w:type="dxa"/>
            <w:vAlign w:val="center"/>
          </w:tcPr>
          <w:p w14:paraId="4536481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投标人资质条件、能力、信誉</w:t>
            </w:r>
          </w:p>
        </w:tc>
        <w:tc>
          <w:tcPr>
            <w:tcW w:w="6863" w:type="dxa"/>
            <w:vAlign w:val="center"/>
          </w:tcPr>
          <w:p w14:paraId="12685D7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详见招标公告第3点要求</w:t>
            </w:r>
          </w:p>
        </w:tc>
      </w:tr>
      <w:tr w14:paraId="7157A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18D9EF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1.4.2</w:t>
            </w:r>
          </w:p>
        </w:tc>
        <w:tc>
          <w:tcPr>
            <w:tcW w:w="1650" w:type="dxa"/>
            <w:vAlign w:val="center"/>
          </w:tcPr>
          <w:p w14:paraId="3469158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是否接受联合体投标</w:t>
            </w:r>
          </w:p>
        </w:tc>
        <w:tc>
          <w:tcPr>
            <w:tcW w:w="6863" w:type="dxa"/>
            <w:vAlign w:val="center"/>
          </w:tcPr>
          <w:p w14:paraId="43C304C5">
            <w:pPr>
              <w:keepNext w:val="0"/>
              <w:keepLines w:val="0"/>
              <w:suppressLineNumbers w:val="0"/>
              <w:spacing w:before="0" w:beforeAutospacing="0" w:after="0" w:afterAutospacing="0" w:line="280" w:lineRule="exact"/>
              <w:ind w:left="0" w:right="0"/>
              <w:rPr>
                <w:rFonts w:hint="default"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不接受</w:t>
            </w:r>
            <w:r>
              <w:rPr>
                <w:rFonts w:hint="default" w:ascii="宋体" w:hAnsi="宋体"/>
                <w:color w:val="auto"/>
                <w:szCs w:val="21"/>
                <w:highlight w:val="none"/>
              </w:rPr>
              <w:t xml:space="preserve"> </w:t>
            </w:r>
          </w:p>
          <w:p w14:paraId="6E6EE19E">
            <w:pPr>
              <w:keepNext w:val="0"/>
              <w:keepLines w:val="0"/>
              <w:suppressLineNumbers w:val="0"/>
              <w:spacing w:before="0" w:beforeAutospacing="0" w:after="0" w:afterAutospacing="0" w:line="280" w:lineRule="exact"/>
              <w:ind w:left="0" w:right="0"/>
              <w:rPr>
                <w:rFonts w:hint="default" w:ascii="宋体" w:hAnsi="宋体"/>
                <w:color w:val="auto"/>
                <w:szCs w:val="21"/>
                <w:highlight w:val="none"/>
              </w:rPr>
            </w:pPr>
            <w:r>
              <w:rPr>
                <w:rFonts w:hint="default" w:hAnsi="宋体"/>
                <w:color w:val="auto"/>
                <w:szCs w:val="21"/>
                <w:highlight w:val="none"/>
              </w:rPr>
              <w:sym w:font="Wingdings 2" w:char="00A3"/>
            </w:r>
            <w:r>
              <w:rPr>
                <w:rFonts w:hint="eastAsia" w:ascii="宋体" w:hAnsi="宋体"/>
                <w:color w:val="auto"/>
                <w:szCs w:val="21"/>
                <w:highlight w:val="none"/>
              </w:rPr>
              <w:t>接受，应满足下列要求：</w:t>
            </w:r>
            <w:r>
              <w:rPr>
                <w:rFonts w:hint="eastAsia" w:ascii="宋体" w:hAnsi="宋体"/>
                <w:color w:val="auto"/>
                <w:szCs w:val="21"/>
                <w:highlight w:val="none"/>
                <w:u w:val="single"/>
              </w:rPr>
              <w:t xml:space="preserve"> /。</w:t>
            </w:r>
          </w:p>
        </w:tc>
      </w:tr>
      <w:tr w14:paraId="2A7DC7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A3B377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1.4.3</w:t>
            </w:r>
          </w:p>
        </w:tc>
        <w:tc>
          <w:tcPr>
            <w:tcW w:w="1650" w:type="dxa"/>
            <w:vAlign w:val="center"/>
          </w:tcPr>
          <w:p w14:paraId="4CF59F0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投标人不得存在的</w:t>
            </w:r>
            <w:r>
              <w:rPr>
                <w:rFonts w:hint="eastAsia" w:ascii="宋体" w:hAnsi="宋体"/>
                <w:color w:val="auto"/>
                <w:szCs w:val="21"/>
                <w:highlight w:val="none"/>
              </w:rPr>
              <w:t>其他</w:t>
            </w:r>
            <w:r>
              <w:rPr>
                <w:rFonts w:hint="default" w:ascii="宋体" w:hAnsi="宋体"/>
                <w:color w:val="auto"/>
                <w:szCs w:val="21"/>
                <w:highlight w:val="none"/>
              </w:rPr>
              <w:t>情形</w:t>
            </w:r>
          </w:p>
        </w:tc>
        <w:tc>
          <w:tcPr>
            <w:tcW w:w="6863" w:type="dxa"/>
            <w:vAlign w:val="center"/>
          </w:tcPr>
          <w:p w14:paraId="04AB58C7">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 xml:space="preserve"> / </w:t>
            </w:r>
          </w:p>
        </w:tc>
      </w:tr>
      <w:tr w14:paraId="5E6715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AC79B0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1.9.1</w:t>
            </w:r>
          </w:p>
        </w:tc>
        <w:tc>
          <w:tcPr>
            <w:tcW w:w="1650" w:type="dxa"/>
            <w:vAlign w:val="center"/>
          </w:tcPr>
          <w:p w14:paraId="29632A4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踏勘现场</w:t>
            </w:r>
          </w:p>
        </w:tc>
        <w:tc>
          <w:tcPr>
            <w:tcW w:w="6863" w:type="dxa"/>
            <w:vAlign w:val="center"/>
          </w:tcPr>
          <w:p w14:paraId="166C39A0">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eastAsia"/>
                <w:color w:val="auto"/>
                <w:sz w:val="21"/>
                <w:szCs w:val="21"/>
                <w:highlight w:val="none"/>
              </w:rPr>
              <w:t>■</w:t>
            </w:r>
            <w:r>
              <w:rPr>
                <w:rFonts w:hint="default" w:hAnsi="宋体"/>
                <w:color w:val="auto"/>
                <w:sz w:val="21"/>
                <w:szCs w:val="21"/>
                <w:highlight w:val="none"/>
              </w:rPr>
              <w:t>不组织</w:t>
            </w:r>
          </w:p>
          <w:p w14:paraId="0F969C69">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default" w:hAnsi="宋体"/>
                <w:color w:val="auto"/>
                <w:sz w:val="21"/>
                <w:szCs w:val="21"/>
                <w:highlight w:val="none"/>
              </w:rPr>
              <w:sym w:font="Wingdings 2" w:char="00A3"/>
            </w:r>
            <w:r>
              <w:rPr>
                <w:rFonts w:hint="default" w:hAnsi="宋体"/>
                <w:color w:val="auto"/>
                <w:sz w:val="21"/>
                <w:szCs w:val="21"/>
                <w:highlight w:val="none"/>
              </w:rPr>
              <w:t>组织，踏勘时间：</w:t>
            </w:r>
            <w:r>
              <w:rPr>
                <w:rFonts w:hint="eastAsia" w:hAnsi="宋体"/>
                <w:color w:val="auto"/>
                <w:sz w:val="21"/>
                <w:szCs w:val="21"/>
                <w:highlight w:val="none"/>
                <w:u w:val="single"/>
              </w:rPr>
              <w:t xml:space="preserve"> / </w:t>
            </w:r>
          </w:p>
          <w:p w14:paraId="446CB9FA">
            <w:pPr>
              <w:pStyle w:val="7"/>
              <w:keepNext w:val="0"/>
              <w:keepLines w:val="0"/>
              <w:suppressLineNumbers w:val="0"/>
              <w:topLinePunct/>
              <w:snapToGrid w:val="0"/>
              <w:spacing w:before="0" w:beforeAutospacing="0" w:after="0" w:afterAutospacing="0"/>
              <w:ind w:left="0" w:right="0" w:firstLine="840" w:firstLineChars="400"/>
              <w:rPr>
                <w:rFonts w:hint="default" w:hAnsi="宋体"/>
                <w:color w:val="auto"/>
                <w:sz w:val="21"/>
                <w:szCs w:val="21"/>
                <w:highlight w:val="none"/>
              </w:rPr>
            </w:pPr>
            <w:r>
              <w:rPr>
                <w:rFonts w:hint="default" w:hAnsi="宋体"/>
                <w:color w:val="auto"/>
                <w:sz w:val="21"/>
                <w:szCs w:val="21"/>
                <w:highlight w:val="none"/>
              </w:rPr>
              <w:t>踏勘集中地点：</w:t>
            </w:r>
            <w:r>
              <w:rPr>
                <w:rFonts w:hint="eastAsia" w:hAnsi="宋体"/>
                <w:color w:val="auto"/>
                <w:sz w:val="21"/>
                <w:szCs w:val="21"/>
                <w:highlight w:val="none"/>
                <w:u w:val="single"/>
              </w:rPr>
              <w:t xml:space="preserve"> / </w:t>
            </w:r>
          </w:p>
        </w:tc>
      </w:tr>
      <w:tr w14:paraId="16417B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EA16AB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1.10.1</w:t>
            </w:r>
          </w:p>
        </w:tc>
        <w:tc>
          <w:tcPr>
            <w:tcW w:w="1650" w:type="dxa"/>
            <w:vAlign w:val="center"/>
          </w:tcPr>
          <w:p w14:paraId="02FCF47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投标预备会</w:t>
            </w:r>
          </w:p>
        </w:tc>
        <w:tc>
          <w:tcPr>
            <w:tcW w:w="6863" w:type="dxa"/>
            <w:vAlign w:val="center"/>
          </w:tcPr>
          <w:p w14:paraId="25EE205E">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eastAsia"/>
                <w:color w:val="auto"/>
                <w:sz w:val="21"/>
                <w:szCs w:val="21"/>
                <w:highlight w:val="none"/>
              </w:rPr>
              <w:t>■</w:t>
            </w:r>
            <w:r>
              <w:rPr>
                <w:rFonts w:hint="default" w:hAnsi="宋体"/>
                <w:color w:val="auto"/>
                <w:sz w:val="21"/>
                <w:szCs w:val="21"/>
                <w:highlight w:val="none"/>
              </w:rPr>
              <w:t>不召开</w:t>
            </w:r>
          </w:p>
          <w:p w14:paraId="27548164">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sym w:font="Wingdings 2" w:char="00A3"/>
            </w:r>
            <w:r>
              <w:rPr>
                <w:rFonts w:hint="default" w:ascii="宋体" w:hAnsi="宋体"/>
                <w:color w:val="auto"/>
                <w:szCs w:val="21"/>
                <w:highlight w:val="none"/>
              </w:rPr>
              <w:t>召开，召开时间：</w:t>
            </w:r>
            <w:r>
              <w:rPr>
                <w:rFonts w:hint="eastAsia" w:ascii="宋体" w:hAnsi="宋体"/>
                <w:color w:val="auto"/>
                <w:szCs w:val="21"/>
                <w:highlight w:val="none"/>
                <w:u w:val="single"/>
              </w:rPr>
              <w:t xml:space="preserve"> / </w:t>
            </w:r>
          </w:p>
          <w:p w14:paraId="3E2958E2">
            <w:pPr>
              <w:keepNext w:val="0"/>
              <w:keepLines w:val="0"/>
              <w:suppressLineNumbers w:val="0"/>
              <w:snapToGrid w:val="0"/>
              <w:spacing w:before="0" w:beforeAutospacing="0" w:after="0" w:afterAutospacing="0"/>
              <w:ind w:left="0" w:right="0" w:firstLine="840" w:firstLineChars="400"/>
              <w:rPr>
                <w:rFonts w:hint="default" w:ascii="宋体" w:hAnsi="宋体"/>
                <w:color w:val="auto"/>
                <w:szCs w:val="21"/>
                <w:highlight w:val="none"/>
              </w:rPr>
            </w:pPr>
            <w:r>
              <w:rPr>
                <w:rFonts w:hint="default" w:ascii="宋体" w:hAnsi="宋体"/>
                <w:color w:val="auto"/>
                <w:szCs w:val="21"/>
                <w:highlight w:val="none"/>
              </w:rPr>
              <w:t>召开地点：</w:t>
            </w:r>
            <w:r>
              <w:rPr>
                <w:rFonts w:hint="eastAsia" w:ascii="宋体" w:hAnsi="宋体"/>
                <w:color w:val="auto"/>
                <w:szCs w:val="21"/>
                <w:highlight w:val="none"/>
                <w:u w:val="single"/>
              </w:rPr>
              <w:t xml:space="preserve"> / </w:t>
            </w:r>
          </w:p>
        </w:tc>
      </w:tr>
      <w:tr w14:paraId="0E2CBB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Merge w:val="restart"/>
            <w:vAlign w:val="center"/>
          </w:tcPr>
          <w:p w14:paraId="45BD65D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1.10.2</w:t>
            </w:r>
          </w:p>
        </w:tc>
        <w:tc>
          <w:tcPr>
            <w:tcW w:w="1650" w:type="dxa"/>
            <w:vMerge w:val="restart"/>
            <w:vAlign w:val="center"/>
          </w:tcPr>
          <w:p w14:paraId="6CBBF5E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投标人在投标预备会前提出问题</w:t>
            </w:r>
          </w:p>
        </w:tc>
        <w:tc>
          <w:tcPr>
            <w:tcW w:w="6863" w:type="dxa"/>
            <w:vAlign w:val="center"/>
          </w:tcPr>
          <w:p w14:paraId="265E45DD">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时间：</w:t>
            </w:r>
            <w:r>
              <w:rPr>
                <w:rFonts w:hint="eastAsia" w:ascii="宋体" w:hAnsi="宋体"/>
                <w:color w:val="auto"/>
                <w:szCs w:val="21"/>
                <w:highlight w:val="none"/>
                <w:u w:val="single"/>
              </w:rPr>
              <w:t xml:space="preserve"> / </w:t>
            </w:r>
          </w:p>
        </w:tc>
      </w:tr>
      <w:tr w14:paraId="076839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Merge w:val="continue"/>
            <w:vAlign w:val="center"/>
          </w:tcPr>
          <w:p w14:paraId="2A8C4FB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1650" w:type="dxa"/>
            <w:vMerge w:val="continue"/>
            <w:vAlign w:val="center"/>
          </w:tcPr>
          <w:p w14:paraId="1FEA8E0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6863" w:type="dxa"/>
            <w:vAlign w:val="center"/>
          </w:tcPr>
          <w:p w14:paraId="79BE0780">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形式：</w:t>
            </w:r>
            <w:r>
              <w:rPr>
                <w:rFonts w:hint="eastAsia" w:ascii="宋体" w:hAnsi="宋体"/>
                <w:color w:val="auto"/>
                <w:szCs w:val="21"/>
                <w:highlight w:val="none"/>
                <w:u w:val="single"/>
              </w:rPr>
              <w:t xml:space="preserve"> / </w:t>
            </w:r>
          </w:p>
        </w:tc>
      </w:tr>
      <w:tr w14:paraId="104F46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291B64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1.10.3</w:t>
            </w:r>
          </w:p>
        </w:tc>
        <w:tc>
          <w:tcPr>
            <w:tcW w:w="1650" w:type="dxa"/>
            <w:vAlign w:val="center"/>
          </w:tcPr>
          <w:p w14:paraId="743DDF1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招标文件澄清发出的形式</w:t>
            </w:r>
          </w:p>
        </w:tc>
        <w:tc>
          <w:tcPr>
            <w:tcW w:w="6863" w:type="dxa"/>
            <w:vAlign w:val="center"/>
          </w:tcPr>
          <w:p w14:paraId="5FE2181C">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网站“招标答疑”专区发布。</w:t>
            </w:r>
          </w:p>
        </w:tc>
      </w:tr>
      <w:tr w14:paraId="3B77A5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89CFFD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1.12.1</w:t>
            </w:r>
          </w:p>
        </w:tc>
        <w:tc>
          <w:tcPr>
            <w:tcW w:w="1650" w:type="dxa"/>
            <w:vAlign w:val="center"/>
          </w:tcPr>
          <w:p w14:paraId="4DAA227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实质性要求和条件</w:t>
            </w:r>
          </w:p>
        </w:tc>
        <w:tc>
          <w:tcPr>
            <w:tcW w:w="6863" w:type="dxa"/>
            <w:vAlign w:val="center"/>
          </w:tcPr>
          <w:p w14:paraId="7B273A98">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eastAsia" w:hAnsi="宋体"/>
                <w:color w:val="auto"/>
                <w:sz w:val="21"/>
                <w:szCs w:val="21"/>
                <w:highlight w:val="none"/>
                <w:u w:val="single"/>
              </w:rPr>
              <w:t>详见评标办法前附表中2.1.1、2.1.2、2.1.3的评审标准。</w:t>
            </w:r>
          </w:p>
        </w:tc>
      </w:tr>
      <w:tr w14:paraId="409DF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3FA794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1.12.3</w:t>
            </w:r>
          </w:p>
        </w:tc>
        <w:tc>
          <w:tcPr>
            <w:tcW w:w="1650" w:type="dxa"/>
            <w:vAlign w:val="center"/>
          </w:tcPr>
          <w:p w14:paraId="1651021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偏差</w:t>
            </w:r>
          </w:p>
        </w:tc>
        <w:tc>
          <w:tcPr>
            <w:tcW w:w="6863" w:type="dxa"/>
          </w:tcPr>
          <w:p w14:paraId="65139946">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color w:val="auto"/>
                <w:szCs w:val="21"/>
                <w:highlight w:val="none"/>
              </w:rPr>
              <w:t>■</w:t>
            </w:r>
            <w:r>
              <w:rPr>
                <w:rFonts w:hint="default" w:ascii="宋体" w:hAnsi="宋体"/>
                <w:color w:val="auto"/>
                <w:szCs w:val="21"/>
                <w:highlight w:val="none"/>
              </w:rPr>
              <w:t>不允许</w:t>
            </w:r>
          </w:p>
          <w:p w14:paraId="1CF4AC28">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sym w:font="Wingdings 2" w:char="00A3"/>
            </w:r>
            <w:r>
              <w:rPr>
                <w:rFonts w:hint="default" w:ascii="宋体" w:hAnsi="宋体"/>
                <w:color w:val="auto"/>
                <w:szCs w:val="21"/>
                <w:highlight w:val="none"/>
              </w:rPr>
              <w:t>允许，偏差范围：</w:t>
            </w:r>
            <w:r>
              <w:rPr>
                <w:rFonts w:hint="eastAsia" w:ascii="宋体" w:hAnsi="宋体"/>
                <w:color w:val="auto"/>
                <w:szCs w:val="21"/>
                <w:highlight w:val="none"/>
                <w:u w:val="single"/>
              </w:rPr>
              <w:t xml:space="preserve"> / </w:t>
            </w:r>
          </w:p>
          <w:p w14:paraId="04E961E7">
            <w:pPr>
              <w:pStyle w:val="7"/>
              <w:keepNext w:val="0"/>
              <w:keepLines w:val="0"/>
              <w:suppressLineNumbers w:val="0"/>
              <w:topLinePunct/>
              <w:snapToGrid w:val="0"/>
              <w:spacing w:before="0" w:beforeAutospacing="0" w:after="0" w:afterAutospacing="0"/>
              <w:ind w:left="0" w:right="0" w:firstLine="840" w:firstLineChars="400"/>
              <w:rPr>
                <w:rFonts w:hint="default" w:hAnsi="宋体"/>
                <w:color w:val="auto"/>
                <w:sz w:val="21"/>
                <w:szCs w:val="21"/>
                <w:highlight w:val="none"/>
              </w:rPr>
            </w:pPr>
            <w:r>
              <w:rPr>
                <w:rFonts w:hint="default" w:hAnsi="宋体"/>
                <w:color w:val="auto"/>
                <w:sz w:val="21"/>
                <w:szCs w:val="21"/>
                <w:highlight w:val="none"/>
              </w:rPr>
              <w:t>偏差幅度：</w:t>
            </w:r>
            <w:r>
              <w:rPr>
                <w:rFonts w:hint="eastAsia" w:hAnsi="宋体"/>
                <w:color w:val="auto"/>
                <w:sz w:val="21"/>
                <w:szCs w:val="21"/>
                <w:highlight w:val="none"/>
                <w:u w:val="single"/>
              </w:rPr>
              <w:t xml:space="preserve"> / </w:t>
            </w:r>
          </w:p>
        </w:tc>
      </w:tr>
      <w:tr w14:paraId="69EB5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218D13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2.1</w:t>
            </w:r>
          </w:p>
        </w:tc>
        <w:tc>
          <w:tcPr>
            <w:tcW w:w="1650" w:type="dxa"/>
            <w:vAlign w:val="center"/>
          </w:tcPr>
          <w:p w14:paraId="0F06605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构成招标文件的其他资料</w:t>
            </w:r>
          </w:p>
        </w:tc>
        <w:tc>
          <w:tcPr>
            <w:tcW w:w="6863" w:type="dxa"/>
            <w:vAlign w:val="center"/>
          </w:tcPr>
          <w:p w14:paraId="01B96A4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 </w:t>
            </w:r>
          </w:p>
        </w:tc>
      </w:tr>
      <w:tr w14:paraId="3D9171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178" w:type="dxa"/>
            <w:vMerge w:val="restart"/>
            <w:vAlign w:val="center"/>
          </w:tcPr>
          <w:p w14:paraId="2494FCB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bookmarkStart w:id="10" w:name="_Hlk136173546"/>
            <w:r>
              <w:rPr>
                <w:rFonts w:hint="default" w:ascii="宋体" w:hAnsi="宋体"/>
                <w:color w:val="auto"/>
                <w:szCs w:val="21"/>
                <w:highlight w:val="none"/>
              </w:rPr>
              <w:t>2.2.1</w:t>
            </w:r>
          </w:p>
        </w:tc>
        <w:tc>
          <w:tcPr>
            <w:tcW w:w="1650" w:type="dxa"/>
            <w:vMerge w:val="restart"/>
            <w:vAlign w:val="center"/>
          </w:tcPr>
          <w:p w14:paraId="7987E87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投标人要求澄清招标文件</w:t>
            </w:r>
          </w:p>
        </w:tc>
        <w:tc>
          <w:tcPr>
            <w:tcW w:w="6863" w:type="dxa"/>
            <w:tcBorders>
              <w:bottom w:val="single" w:color="auto" w:sz="4" w:space="0"/>
            </w:tcBorders>
            <w:vAlign w:val="center"/>
          </w:tcPr>
          <w:p w14:paraId="1E6E077C">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时间：在提交投标文件截止时间18天前提出</w:t>
            </w:r>
          </w:p>
        </w:tc>
      </w:tr>
      <w:tr w14:paraId="6AE6E0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7" w:hRule="atLeast"/>
        </w:trPr>
        <w:tc>
          <w:tcPr>
            <w:tcW w:w="1178" w:type="dxa"/>
            <w:vMerge w:val="continue"/>
            <w:vAlign w:val="center"/>
          </w:tcPr>
          <w:p w14:paraId="56B2E74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1650" w:type="dxa"/>
            <w:vMerge w:val="continue"/>
            <w:vAlign w:val="center"/>
          </w:tcPr>
          <w:p w14:paraId="5EE38CE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6863" w:type="dxa"/>
            <w:tcBorders>
              <w:top w:val="single" w:color="auto" w:sz="4" w:space="0"/>
            </w:tcBorders>
            <w:vAlign w:val="center"/>
          </w:tcPr>
          <w:p w14:paraId="005E403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形式：投标人的疑问通过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数字交易平台提交。具体要求：操作详见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网站发布的《房屋建筑和市政基础设施工程全流程电子化项目专章》。提问一律不得署名。</w:t>
            </w:r>
          </w:p>
        </w:tc>
      </w:tr>
      <w:bookmarkEnd w:id="10"/>
      <w:tr w14:paraId="3E72B6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4CFBEE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2.2.2</w:t>
            </w:r>
          </w:p>
        </w:tc>
        <w:tc>
          <w:tcPr>
            <w:tcW w:w="1650" w:type="dxa"/>
            <w:vAlign w:val="center"/>
          </w:tcPr>
          <w:p w14:paraId="48A6897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招标文件澄清发出的形式</w:t>
            </w:r>
          </w:p>
        </w:tc>
        <w:tc>
          <w:tcPr>
            <w:tcW w:w="6863" w:type="dxa"/>
            <w:vAlign w:val="center"/>
          </w:tcPr>
          <w:p w14:paraId="01740945">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在递交投标文件截止时间15天前；在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网站通过项目答疑专区公开发布。</w:t>
            </w:r>
          </w:p>
        </w:tc>
      </w:tr>
      <w:tr w14:paraId="5E14E5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1178" w:type="dxa"/>
            <w:vAlign w:val="center"/>
          </w:tcPr>
          <w:p w14:paraId="4FE75DC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2.2.3</w:t>
            </w:r>
          </w:p>
        </w:tc>
        <w:tc>
          <w:tcPr>
            <w:tcW w:w="1650" w:type="dxa"/>
            <w:vAlign w:val="center"/>
          </w:tcPr>
          <w:p w14:paraId="10E0874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投标人确认收到招标文件澄清</w:t>
            </w:r>
          </w:p>
        </w:tc>
        <w:tc>
          <w:tcPr>
            <w:tcW w:w="6863" w:type="dxa"/>
            <w:vAlign w:val="center"/>
          </w:tcPr>
          <w:p w14:paraId="17725F12">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从招标文件澄清及答疑文件发布之日起即视为投标人已确认收到。招标文件澄清（招标答疑纪要）一经在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网站发布，视作已发放给所有投标人。</w:t>
            </w:r>
          </w:p>
        </w:tc>
      </w:tr>
      <w:tr w14:paraId="12034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01CCA3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2.3.1</w:t>
            </w:r>
          </w:p>
        </w:tc>
        <w:tc>
          <w:tcPr>
            <w:tcW w:w="1650" w:type="dxa"/>
            <w:vAlign w:val="center"/>
          </w:tcPr>
          <w:p w14:paraId="736B897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招标文件修改发出的形式</w:t>
            </w:r>
          </w:p>
        </w:tc>
        <w:tc>
          <w:tcPr>
            <w:tcW w:w="6863" w:type="dxa"/>
            <w:vAlign w:val="center"/>
          </w:tcPr>
          <w:p w14:paraId="6DD38DF7">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以补充公告或项目答疑澄清的方式在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网站公开发布。</w:t>
            </w:r>
          </w:p>
        </w:tc>
      </w:tr>
      <w:tr w14:paraId="48DA8B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F00E6D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2.3.2</w:t>
            </w:r>
          </w:p>
        </w:tc>
        <w:tc>
          <w:tcPr>
            <w:tcW w:w="1650" w:type="dxa"/>
            <w:vAlign w:val="center"/>
          </w:tcPr>
          <w:p w14:paraId="5493E42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投标人确认收到招标文件修改</w:t>
            </w:r>
          </w:p>
        </w:tc>
        <w:tc>
          <w:tcPr>
            <w:tcW w:w="6863" w:type="dxa"/>
            <w:vAlign w:val="center"/>
          </w:tcPr>
          <w:p w14:paraId="11FE0FDB">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招标文件修改一经在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网站发布，视作已发放给所有投标人，无需确认。潜在投标人应自行关注招标公告公布的网站公告，投标人因自身贻误行为导致投标失败的，责任自负。</w:t>
            </w:r>
          </w:p>
        </w:tc>
      </w:tr>
      <w:tr w14:paraId="09A806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1BDE08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3.1.1</w:t>
            </w:r>
          </w:p>
        </w:tc>
        <w:tc>
          <w:tcPr>
            <w:tcW w:w="1650" w:type="dxa"/>
            <w:vAlign w:val="center"/>
          </w:tcPr>
          <w:p w14:paraId="3FAE1E9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构成投标文件的其他资料</w:t>
            </w:r>
          </w:p>
        </w:tc>
        <w:tc>
          <w:tcPr>
            <w:tcW w:w="6863" w:type="dxa"/>
            <w:vAlign w:val="center"/>
          </w:tcPr>
          <w:p w14:paraId="1AFF82A3">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 </w:t>
            </w:r>
          </w:p>
        </w:tc>
      </w:tr>
      <w:tr w14:paraId="6F328A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2C1A75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3.2.1</w:t>
            </w:r>
          </w:p>
        </w:tc>
        <w:tc>
          <w:tcPr>
            <w:tcW w:w="1650" w:type="dxa"/>
            <w:vAlign w:val="center"/>
          </w:tcPr>
          <w:p w14:paraId="269AC65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增值税税金的计算方法</w:t>
            </w:r>
          </w:p>
        </w:tc>
        <w:tc>
          <w:tcPr>
            <w:tcW w:w="6863" w:type="dxa"/>
            <w:vAlign w:val="center"/>
          </w:tcPr>
          <w:p w14:paraId="1187F33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 </w:t>
            </w:r>
          </w:p>
        </w:tc>
      </w:tr>
      <w:tr w14:paraId="6BBE48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ED6784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3.2.3</w:t>
            </w:r>
          </w:p>
        </w:tc>
        <w:tc>
          <w:tcPr>
            <w:tcW w:w="1650" w:type="dxa"/>
            <w:vAlign w:val="center"/>
          </w:tcPr>
          <w:p w14:paraId="6EF492F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报价方式</w:t>
            </w:r>
          </w:p>
        </w:tc>
        <w:tc>
          <w:tcPr>
            <w:tcW w:w="6863" w:type="dxa"/>
            <w:vAlign w:val="center"/>
          </w:tcPr>
          <w:p w14:paraId="2DE9D2A2">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cs="宋体"/>
                <w:color w:val="auto"/>
                <w:szCs w:val="21"/>
                <w:highlight w:val="none"/>
                <w:lang w:val="zh-CN"/>
              </w:rPr>
              <w:t>各投标单位在</w:t>
            </w:r>
            <w:r>
              <w:rPr>
                <w:rFonts w:hint="eastAsia" w:ascii="宋体" w:cs="宋体"/>
                <w:color w:val="auto"/>
                <w:szCs w:val="21"/>
                <w:highlight w:val="none"/>
              </w:rPr>
              <w:t>最高投标限价</w:t>
            </w:r>
            <w:r>
              <w:rPr>
                <w:rFonts w:hint="eastAsia" w:ascii="宋体" w:cs="宋体"/>
                <w:color w:val="auto"/>
                <w:szCs w:val="21"/>
                <w:highlight w:val="none"/>
                <w:lang w:val="zh-CN"/>
              </w:rPr>
              <w:t>内根据企业自身实力进行报价（以元为单位，保留两位小数，第三位小数四舍五入）,</w:t>
            </w:r>
            <w:r>
              <w:rPr>
                <w:rFonts w:hint="eastAsia" w:ascii="宋体" w:hAnsi="Calibri" w:eastAsia="宋体" w:cs="宋体"/>
                <w:bCs w:val="0"/>
                <w:color w:val="auto"/>
                <w:sz w:val="21"/>
                <w:szCs w:val="21"/>
                <w:highlight w:val="none"/>
                <w:lang w:val="zh-CN"/>
              </w:rPr>
              <w:t>本项目实行双限价，即:投标人的投标总报价及综合单价都不能超过招标人公布的最高投标限价或综合单价限价</w:t>
            </w:r>
            <w:r>
              <w:rPr>
                <w:rFonts w:hint="eastAsia" w:ascii="宋体" w:hAnsi="Calibri" w:eastAsia="宋体" w:cs="宋体"/>
                <w:bCs w:val="0"/>
                <w:color w:val="auto"/>
                <w:sz w:val="21"/>
                <w:szCs w:val="21"/>
                <w:highlight w:val="none"/>
                <w:u w:val="none"/>
                <w:lang w:val="zh-CN"/>
              </w:rPr>
              <w:t>，</w:t>
            </w:r>
            <w:r>
              <w:rPr>
                <w:rFonts w:hint="eastAsia" w:ascii="宋体" w:hAnsi="Calibri" w:eastAsia="宋体" w:cs="宋体"/>
                <w:bCs w:val="0"/>
                <w:color w:val="auto"/>
                <w:sz w:val="21"/>
                <w:szCs w:val="21"/>
                <w:highlight w:val="none"/>
                <w:lang w:val="zh-CN"/>
              </w:rPr>
              <w:t>投标总报价超过最高投标限价或投标综合单价超过综合单价限价的投标文件将被拒绝。</w:t>
            </w:r>
          </w:p>
        </w:tc>
      </w:tr>
      <w:tr w14:paraId="79368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178" w:type="dxa"/>
            <w:vAlign w:val="center"/>
          </w:tcPr>
          <w:p w14:paraId="0101A39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3.2.4</w:t>
            </w:r>
          </w:p>
        </w:tc>
        <w:tc>
          <w:tcPr>
            <w:tcW w:w="1650" w:type="dxa"/>
            <w:vAlign w:val="center"/>
          </w:tcPr>
          <w:p w14:paraId="54800E1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最高投标限价</w:t>
            </w:r>
          </w:p>
        </w:tc>
        <w:tc>
          <w:tcPr>
            <w:tcW w:w="6863" w:type="dxa"/>
            <w:vAlign w:val="center"/>
          </w:tcPr>
          <w:p w14:paraId="49510725">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rPr>
              <w:t>最高投标限价：</w:t>
            </w:r>
            <w:r>
              <w:rPr>
                <w:rFonts w:hint="default" w:ascii="宋体" w:hAnsi="宋体"/>
                <w:color w:val="auto"/>
                <w:szCs w:val="21"/>
                <w:highlight w:val="none"/>
                <w:lang w:val="en-US" w:eastAsia="zh-CN"/>
              </w:rPr>
              <w:t>1,339,404.30</w:t>
            </w:r>
            <w:r>
              <w:rPr>
                <w:rFonts w:hint="eastAsia" w:ascii="宋体" w:hAnsi="宋体"/>
                <w:color w:val="auto"/>
                <w:szCs w:val="21"/>
                <w:highlight w:val="none"/>
                <w:lang w:val="en-US" w:eastAsia="zh-CN"/>
              </w:rPr>
              <w:t>元。</w:t>
            </w:r>
          </w:p>
        </w:tc>
      </w:tr>
      <w:tr w14:paraId="306D03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AF42AF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3.2.5</w:t>
            </w:r>
          </w:p>
        </w:tc>
        <w:tc>
          <w:tcPr>
            <w:tcW w:w="1650" w:type="dxa"/>
            <w:vAlign w:val="center"/>
          </w:tcPr>
          <w:p w14:paraId="68143F2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投标报价的其他要求</w:t>
            </w:r>
          </w:p>
        </w:tc>
        <w:tc>
          <w:tcPr>
            <w:tcW w:w="6863" w:type="dxa"/>
            <w:vAlign w:val="center"/>
          </w:tcPr>
          <w:p w14:paraId="7AA3904B">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 </w:t>
            </w:r>
          </w:p>
        </w:tc>
      </w:tr>
      <w:tr w14:paraId="6F6727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0468F0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3.3.1</w:t>
            </w:r>
          </w:p>
        </w:tc>
        <w:tc>
          <w:tcPr>
            <w:tcW w:w="1650" w:type="dxa"/>
            <w:vAlign w:val="center"/>
          </w:tcPr>
          <w:p w14:paraId="5BDDF2E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投标有效期</w:t>
            </w:r>
          </w:p>
        </w:tc>
        <w:tc>
          <w:tcPr>
            <w:tcW w:w="6863" w:type="dxa"/>
            <w:vAlign w:val="center"/>
          </w:tcPr>
          <w:p w14:paraId="0F75AFF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bookmarkStart w:id="11" w:name="_Toc300834946"/>
            <w:bookmarkStart w:id="12" w:name="_Toc361508582"/>
            <w:bookmarkStart w:id="13" w:name="_Toc352691470"/>
            <w:bookmarkStart w:id="14" w:name="_Toc384308207"/>
            <w:bookmarkStart w:id="15" w:name="_Toc369531512"/>
            <w:bookmarkStart w:id="16" w:name="_Toc1789"/>
            <w:r>
              <w:rPr>
                <w:rFonts w:hint="eastAsia" w:ascii="宋体" w:hAnsi="宋体"/>
                <w:color w:val="auto"/>
                <w:szCs w:val="21"/>
                <w:highlight w:val="none"/>
                <w:u w:val="single"/>
              </w:rPr>
              <w:t>90</w:t>
            </w:r>
            <w:r>
              <w:rPr>
                <w:rFonts w:hint="eastAsia" w:ascii="宋体" w:hAnsi="宋体"/>
                <w:color w:val="auto"/>
                <w:szCs w:val="21"/>
                <w:highlight w:val="none"/>
              </w:rPr>
              <w:t>日历天（从投标截止之日算起）。</w:t>
            </w:r>
          </w:p>
        </w:tc>
      </w:tr>
      <w:bookmarkEnd w:id="11"/>
      <w:bookmarkEnd w:id="12"/>
      <w:bookmarkEnd w:id="13"/>
      <w:bookmarkEnd w:id="14"/>
      <w:bookmarkEnd w:id="15"/>
      <w:bookmarkEnd w:id="16"/>
      <w:tr w14:paraId="2D7880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68D829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bookmarkStart w:id="17" w:name="_Hlk136173941"/>
            <w:r>
              <w:rPr>
                <w:rFonts w:hint="default" w:ascii="宋体" w:hAnsi="宋体"/>
                <w:color w:val="auto"/>
                <w:szCs w:val="21"/>
                <w:highlight w:val="none"/>
              </w:rPr>
              <w:t>3.4.1</w:t>
            </w:r>
          </w:p>
        </w:tc>
        <w:tc>
          <w:tcPr>
            <w:tcW w:w="1650" w:type="dxa"/>
            <w:vAlign w:val="center"/>
          </w:tcPr>
          <w:p w14:paraId="175AD5F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投标保证金</w:t>
            </w:r>
          </w:p>
        </w:tc>
        <w:tc>
          <w:tcPr>
            <w:tcW w:w="6863" w:type="dxa"/>
            <w:vAlign w:val="center"/>
          </w:tcPr>
          <w:p w14:paraId="2EF083AF">
            <w:pPr>
              <w:keepNext w:val="0"/>
              <w:keepLines w:val="0"/>
              <w:suppressLineNumbers w:val="0"/>
              <w:snapToGrid w:val="0"/>
              <w:spacing w:before="0" w:beforeAutospacing="0" w:after="0" w:afterAutospacing="0"/>
              <w:ind w:left="0" w:right="0"/>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是否要求投标人递交投标保证金：</w:t>
            </w:r>
          </w:p>
          <w:p w14:paraId="3CFE4CF1">
            <w:pPr>
              <w:keepNext w:val="0"/>
              <w:keepLines w:val="0"/>
              <w:suppressLineNumbers w:val="0"/>
              <w:snapToGrid w:val="0"/>
              <w:spacing w:before="0" w:beforeAutospacing="0" w:after="0" w:afterAutospacing="0"/>
              <w:ind w:left="0" w:right="0"/>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□要求</w:t>
            </w:r>
          </w:p>
          <w:p w14:paraId="42C05ED3">
            <w:pPr>
              <w:keepNext w:val="0"/>
              <w:keepLines w:val="0"/>
              <w:suppressLineNumbers w:val="0"/>
              <w:snapToGrid w:val="0"/>
              <w:spacing w:before="0" w:beforeAutospacing="0" w:after="0" w:afterAutospacing="0"/>
              <w:ind w:left="0" w:right="0"/>
              <w:rPr>
                <w:rFonts w:hint="default"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Cs w:val="21"/>
                <w:highlight w:val="none"/>
                <w:u w:val="none"/>
              </w:rPr>
              <w:t>■不要求。本项目不需要交纳投标保证金。</w:t>
            </w:r>
          </w:p>
        </w:tc>
      </w:tr>
      <w:bookmarkEnd w:id="17"/>
      <w:tr w14:paraId="4B281F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7CFDD3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3.4.4</w:t>
            </w:r>
          </w:p>
        </w:tc>
        <w:tc>
          <w:tcPr>
            <w:tcW w:w="1650" w:type="dxa"/>
            <w:vAlign w:val="center"/>
          </w:tcPr>
          <w:p w14:paraId="7EE5206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其他可以不予退还投标保证金的情形</w:t>
            </w:r>
          </w:p>
        </w:tc>
        <w:tc>
          <w:tcPr>
            <w:tcW w:w="6863" w:type="dxa"/>
            <w:vAlign w:val="center"/>
          </w:tcPr>
          <w:p w14:paraId="14076F8B">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u w:val="single"/>
              </w:rPr>
              <w:t>（本项目不要求递交投标保证金）</w:t>
            </w:r>
          </w:p>
        </w:tc>
      </w:tr>
      <w:tr w14:paraId="5A3A6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EDCA34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3.5</w:t>
            </w:r>
          </w:p>
        </w:tc>
        <w:tc>
          <w:tcPr>
            <w:tcW w:w="1650" w:type="dxa"/>
            <w:vAlign w:val="center"/>
          </w:tcPr>
          <w:p w14:paraId="41FDDD9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资格审查资料的特殊要求</w:t>
            </w:r>
          </w:p>
        </w:tc>
        <w:tc>
          <w:tcPr>
            <w:tcW w:w="6863" w:type="dxa"/>
            <w:vAlign w:val="center"/>
          </w:tcPr>
          <w:p w14:paraId="729F3558">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eastAsia"/>
                <w:color w:val="auto"/>
                <w:sz w:val="21"/>
                <w:szCs w:val="21"/>
                <w:highlight w:val="none"/>
              </w:rPr>
              <w:t>■</w:t>
            </w:r>
            <w:r>
              <w:rPr>
                <w:rFonts w:hint="default" w:hAnsi="宋体"/>
                <w:color w:val="auto"/>
                <w:sz w:val="21"/>
                <w:szCs w:val="21"/>
                <w:highlight w:val="none"/>
              </w:rPr>
              <w:t>无</w:t>
            </w:r>
          </w:p>
          <w:p w14:paraId="47FDDDBB">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default" w:hAnsi="宋体"/>
                <w:color w:val="auto"/>
                <w:sz w:val="21"/>
                <w:szCs w:val="21"/>
                <w:highlight w:val="none"/>
              </w:rPr>
              <w:sym w:font="Wingdings 2" w:char="00A3"/>
            </w:r>
            <w:r>
              <w:rPr>
                <w:rFonts w:hint="default" w:hAnsi="宋体"/>
                <w:color w:val="auto"/>
                <w:sz w:val="21"/>
                <w:szCs w:val="21"/>
                <w:highlight w:val="none"/>
              </w:rPr>
              <w:t>有，具体要求：</w:t>
            </w:r>
          </w:p>
        </w:tc>
      </w:tr>
      <w:tr w14:paraId="7723E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1F3961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3.5.2</w:t>
            </w:r>
          </w:p>
        </w:tc>
        <w:tc>
          <w:tcPr>
            <w:tcW w:w="1650" w:type="dxa"/>
            <w:vAlign w:val="center"/>
          </w:tcPr>
          <w:p w14:paraId="1A64E20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近年财务状况的年份要求</w:t>
            </w:r>
          </w:p>
        </w:tc>
        <w:tc>
          <w:tcPr>
            <w:tcW w:w="6863" w:type="dxa"/>
            <w:vAlign w:val="center"/>
          </w:tcPr>
          <w:p w14:paraId="18D36AF3">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 xml:space="preserve"> /</w:t>
            </w:r>
            <w:r>
              <w:rPr>
                <w:rFonts w:hint="default" w:ascii="宋体" w:hAnsi="宋体"/>
                <w:color w:val="auto"/>
                <w:szCs w:val="21"/>
                <w:highlight w:val="none"/>
              </w:rPr>
              <w:t>年至</w:t>
            </w:r>
            <w:r>
              <w:rPr>
                <w:rFonts w:hint="eastAsia" w:ascii="宋体" w:hAnsi="宋体"/>
                <w:color w:val="auto"/>
                <w:szCs w:val="21"/>
                <w:highlight w:val="none"/>
                <w:u w:val="single"/>
              </w:rPr>
              <w:t xml:space="preserve"> / </w:t>
            </w:r>
            <w:r>
              <w:rPr>
                <w:rFonts w:hint="default" w:ascii="宋体" w:hAnsi="宋体"/>
                <w:color w:val="auto"/>
                <w:szCs w:val="21"/>
                <w:highlight w:val="none"/>
              </w:rPr>
              <w:t>年</w:t>
            </w:r>
          </w:p>
        </w:tc>
      </w:tr>
      <w:tr w14:paraId="24AF55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245971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3.5.3</w:t>
            </w:r>
          </w:p>
        </w:tc>
        <w:tc>
          <w:tcPr>
            <w:tcW w:w="1650" w:type="dxa"/>
            <w:vAlign w:val="center"/>
          </w:tcPr>
          <w:p w14:paraId="0B5FF4A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近年完成的类似项目情况</w:t>
            </w:r>
            <w:r>
              <w:rPr>
                <w:rFonts w:hint="eastAsia" w:ascii="宋体" w:hAnsi="宋体"/>
                <w:color w:val="auto"/>
                <w:szCs w:val="21"/>
                <w:highlight w:val="none"/>
              </w:rPr>
              <w:t>的</w:t>
            </w:r>
            <w:r>
              <w:rPr>
                <w:rFonts w:hint="default" w:ascii="宋体" w:hAnsi="宋体"/>
                <w:color w:val="auto"/>
                <w:szCs w:val="21"/>
                <w:highlight w:val="none"/>
              </w:rPr>
              <w:t>时间要求</w:t>
            </w:r>
          </w:p>
        </w:tc>
        <w:tc>
          <w:tcPr>
            <w:tcW w:w="6863" w:type="dxa"/>
            <w:vAlign w:val="center"/>
          </w:tcPr>
          <w:p w14:paraId="1702F1DB">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r>
              <w:rPr>
                <w:rFonts w:hint="eastAsia" w:ascii="宋体" w:hAnsi="宋体" w:cs="宋体"/>
                <w:color w:val="auto"/>
                <w:szCs w:val="21"/>
                <w:highlight w:val="none"/>
              </w:rPr>
              <w:t>年</w:t>
            </w:r>
            <w:r>
              <w:rPr>
                <w:rFonts w:hint="eastAsia" w:ascii="宋体" w:hAnsi="宋体"/>
                <w:color w:val="auto"/>
                <w:szCs w:val="21"/>
                <w:highlight w:val="none"/>
                <w:u w:val="single"/>
              </w:rPr>
              <w:t>/</w:t>
            </w:r>
            <w:r>
              <w:rPr>
                <w:rFonts w:hint="eastAsia" w:ascii="宋体" w:hAnsi="宋体" w:cs="宋体"/>
                <w:color w:val="auto"/>
                <w:szCs w:val="21"/>
                <w:highlight w:val="none"/>
              </w:rPr>
              <w:t>月</w:t>
            </w:r>
            <w:r>
              <w:rPr>
                <w:rFonts w:hint="eastAsia" w:ascii="宋体" w:hAnsi="宋体"/>
                <w:color w:val="auto"/>
                <w:szCs w:val="21"/>
                <w:highlight w:val="none"/>
                <w:u w:val="single"/>
              </w:rPr>
              <w:t>/</w:t>
            </w:r>
            <w:r>
              <w:rPr>
                <w:rFonts w:hint="eastAsia" w:ascii="宋体" w:hAnsi="宋体" w:cs="宋体"/>
                <w:color w:val="auto"/>
                <w:szCs w:val="21"/>
                <w:highlight w:val="none"/>
              </w:rPr>
              <w:t>日</w:t>
            </w:r>
          </w:p>
        </w:tc>
      </w:tr>
      <w:tr w14:paraId="076361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C5BFDC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3.5.5</w:t>
            </w:r>
          </w:p>
        </w:tc>
        <w:tc>
          <w:tcPr>
            <w:tcW w:w="1650" w:type="dxa"/>
            <w:vAlign w:val="center"/>
          </w:tcPr>
          <w:p w14:paraId="33446F5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近年发生的诉讼及仲裁情况的时间要求</w:t>
            </w:r>
          </w:p>
        </w:tc>
        <w:tc>
          <w:tcPr>
            <w:tcW w:w="6863" w:type="dxa"/>
            <w:vAlign w:val="center"/>
          </w:tcPr>
          <w:p w14:paraId="16236C0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 </w:t>
            </w:r>
            <w:r>
              <w:rPr>
                <w:rFonts w:hint="default" w:ascii="宋体" w:hAnsi="宋体"/>
                <w:color w:val="auto"/>
                <w:szCs w:val="21"/>
                <w:highlight w:val="none"/>
              </w:rPr>
              <w:t>年</w:t>
            </w:r>
            <w:r>
              <w:rPr>
                <w:rFonts w:hint="eastAsia" w:ascii="宋体" w:hAnsi="宋体"/>
                <w:color w:val="auto"/>
                <w:szCs w:val="21"/>
                <w:highlight w:val="none"/>
                <w:u w:val="single"/>
              </w:rPr>
              <w:t xml:space="preserve"> /</w:t>
            </w:r>
            <w:r>
              <w:rPr>
                <w:rFonts w:hint="default" w:ascii="宋体" w:hAnsi="宋体"/>
                <w:color w:val="auto"/>
                <w:szCs w:val="21"/>
                <w:highlight w:val="none"/>
              </w:rPr>
              <w:t>月</w:t>
            </w:r>
            <w:r>
              <w:rPr>
                <w:rFonts w:hint="eastAsia" w:ascii="宋体" w:hAnsi="宋体"/>
                <w:color w:val="auto"/>
                <w:szCs w:val="21"/>
                <w:highlight w:val="none"/>
                <w:u w:val="single"/>
              </w:rPr>
              <w:t xml:space="preserve"> / </w:t>
            </w:r>
            <w:r>
              <w:rPr>
                <w:rFonts w:hint="default" w:ascii="宋体" w:hAnsi="宋体"/>
                <w:color w:val="auto"/>
                <w:szCs w:val="21"/>
                <w:highlight w:val="none"/>
              </w:rPr>
              <w:t>日至</w:t>
            </w:r>
            <w:r>
              <w:rPr>
                <w:rFonts w:hint="eastAsia" w:ascii="宋体" w:hAnsi="宋体"/>
                <w:color w:val="auto"/>
                <w:szCs w:val="21"/>
                <w:highlight w:val="none"/>
                <w:u w:val="single"/>
              </w:rPr>
              <w:t xml:space="preserve"> / </w:t>
            </w:r>
            <w:r>
              <w:rPr>
                <w:rFonts w:hint="default" w:ascii="宋体" w:hAnsi="宋体"/>
                <w:color w:val="auto"/>
                <w:szCs w:val="21"/>
                <w:highlight w:val="none"/>
              </w:rPr>
              <w:t>年</w:t>
            </w:r>
            <w:r>
              <w:rPr>
                <w:rFonts w:hint="eastAsia" w:ascii="宋体" w:hAnsi="宋体"/>
                <w:color w:val="auto"/>
                <w:szCs w:val="21"/>
                <w:highlight w:val="none"/>
                <w:u w:val="single"/>
              </w:rPr>
              <w:t xml:space="preserve"> / </w:t>
            </w:r>
            <w:r>
              <w:rPr>
                <w:rFonts w:hint="default" w:ascii="宋体" w:hAnsi="宋体"/>
                <w:color w:val="auto"/>
                <w:szCs w:val="21"/>
                <w:highlight w:val="none"/>
              </w:rPr>
              <w:t>月</w:t>
            </w:r>
            <w:r>
              <w:rPr>
                <w:rFonts w:hint="eastAsia" w:ascii="宋体" w:hAnsi="宋体"/>
                <w:color w:val="auto"/>
                <w:szCs w:val="21"/>
                <w:highlight w:val="none"/>
                <w:u w:val="single"/>
              </w:rPr>
              <w:t xml:space="preserve"> / </w:t>
            </w:r>
            <w:r>
              <w:rPr>
                <w:rFonts w:hint="default" w:ascii="宋体" w:hAnsi="宋体"/>
                <w:color w:val="auto"/>
                <w:szCs w:val="21"/>
                <w:highlight w:val="none"/>
              </w:rPr>
              <w:t>日</w:t>
            </w:r>
          </w:p>
        </w:tc>
      </w:tr>
      <w:tr w14:paraId="5B06E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7E7EB2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3.6.1</w:t>
            </w:r>
          </w:p>
        </w:tc>
        <w:tc>
          <w:tcPr>
            <w:tcW w:w="1650" w:type="dxa"/>
            <w:vAlign w:val="center"/>
          </w:tcPr>
          <w:p w14:paraId="363A1B5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是否允许递交备选投标方案</w:t>
            </w:r>
          </w:p>
        </w:tc>
        <w:tc>
          <w:tcPr>
            <w:tcW w:w="6863" w:type="dxa"/>
            <w:vAlign w:val="center"/>
          </w:tcPr>
          <w:p w14:paraId="6C5F3E98">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eastAsia"/>
                <w:color w:val="auto"/>
                <w:sz w:val="21"/>
                <w:szCs w:val="21"/>
                <w:highlight w:val="none"/>
              </w:rPr>
              <w:t>■</w:t>
            </w:r>
            <w:r>
              <w:rPr>
                <w:rFonts w:hint="default" w:hAnsi="宋体"/>
                <w:color w:val="auto"/>
                <w:sz w:val="21"/>
                <w:szCs w:val="21"/>
                <w:highlight w:val="none"/>
              </w:rPr>
              <w:t>不允许</w:t>
            </w:r>
          </w:p>
          <w:p w14:paraId="2366FA96">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sym w:font="Wingdings 2" w:char="00A3"/>
            </w:r>
            <w:r>
              <w:rPr>
                <w:rFonts w:hint="default" w:ascii="宋体" w:hAnsi="宋体"/>
                <w:color w:val="auto"/>
                <w:szCs w:val="21"/>
                <w:highlight w:val="none"/>
              </w:rPr>
              <w:t>允许</w:t>
            </w:r>
          </w:p>
        </w:tc>
      </w:tr>
      <w:tr w14:paraId="5D5EB0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E351E7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3.7.3A（2）</w:t>
            </w:r>
          </w:p>
        </w:tc>
        <w:tc>
          <w:tcPr>
            <w:tcW w:w="1650" w:type="dxa"/>
            <w:vAlign w:val="center"/>
          </w:tcPr>
          <w:p w14:paraId="11DE144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投标文件份数</w:t>
            </w:r>
          </w:p>
        </w:tc>
        <w:tc>
          <w:tcPr>
            <w:tcW w:w="6863" w:type="dxa"/>
            <w:vAlign w:val="center"/>
          </w:tcPr>
          <w:p w14:paraId="15C6702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本项目不适用。</w:t>
            </w:r>
          </w:p>
        </w:tc>
      </w:tr>
      <w:tr w14:paraId="783955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vAlign w:val="center"/>
          </w:tcPr>
          <w:p w14:paraId="6C0810A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3.7.3A（3）</w:t>
            </w:r>
          </w:p>
        </w:tc>
        <w:tc>
          <w:tcPr>
            <w:tcW w:w="1650" w:type="dxa"/>
            <w:vAlign w:val="center"/>
          </w:tcPr>
          <w:p w14:paraId="21236D8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投标文件是否需分册装订</w:t>
            </w:r>
          </w:p>
        </w:tc>
        <w:tc>
          <w:tcPr>
            <w:tcW w:w="6863" w:type="dxa"/>
            <w:vAlign w:val="center"/>
          </w:tcPr>
          <w:p w14:paraId="622EB0A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本项目不适用。</w:t>
            </w:r>
          </w:p>
        </w:tc>
      </w:tr>
      <w:tr w14:paraId="6D0B2D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EB21D5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3.7.3（B）</w:t>
            </w:r>
          </w:p>
        </w:tc>
        <w:tc>
          <w:tcPr>
            <w:tcW w:w="1650" w:type="dxa"/>
            <w:vAlign w:val="center"/>
          </w:tcPr>
          <w:p w14:paraId="623ACA7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投标文件所附证书证件要求</w:t>
            </w:r>
          </w:p>
        </w:tc>
        <w:tc>
          <w:tcPr>
            <w:tcW w:w="6863" w:type="dxa"/>
            <w:vAlign w:val="center"/>
          </w:tcPr>
          <w:p w14:paraId="6C365388">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证书证件需为清晰扫描件，并采用单位数字证书，</w:t>
            </w:r>
            <w:r>
              <w:rPr>
                <w:rFonts w:hint="eastAsia"/>
                <w:color w:val="auto"/>
                <w:sz w:val="21"/>
                <w:szCs w:val="21"/>
                <w:highlight w:val="none"/>
                <w:lang w:val="en-US" w:eastAsia="zh-CN"/>
              </w:rPr>
              <w:t>对投标文件</w:t>
            </w:r>
            <w:r>
              <w:rPr>
                <w:rFonts w:hint="eastAsia"/>
                <w:color w:val="auto"/>
                <w:sz w:val="21"/>
                <w:szCs w:val="21"/>
                <w:highlight w:val="none"/>
              </w:rPr>
              <w:t>加盖电子印章。</w:t>
            </w:r>
          </w:p>
        </w:tc>
      </w:tr>
      <w:tr w14:paraId="7D6AB3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A7528C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3.7.3（B）</w:t>
            </w:r>
          </w:p>
        </w:tc>
        <w:tc>
          <w:tcPr>
            <w:tcW w:w="1650" w:type="dxa"/>
            <w:vAlign w:val="center"/>
          </w:tcPr>
          <w:p w14:paraId="7F6CF65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投标文件签字或盖章要求</w:t>
            </w:r>
          </w:p>
        </w:tc>
        <w:tc>
          <w:tcPr>
            <w:tcW w:w="6863" w:type="dxa"/>
            <w:vAlign w:val="center"/>
          </w:tcPr>
          <w:p w14:paraId="1BCF5782">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u w:val="single"/>
              </w:rPr>
            </w:pPr>
            <w:r>
              <w:rPr>
                <w:rFonts w:hint="eastAsia"/>
                <w:color w:val="auto"/>
                <w:sz w:val="21"/>
                <w:szCs w:val="21"/>
                <w:highlight w:val="none"/>
                <w:u w:val="single"/>
              </w:rPr>
              <w:t>投标文件全部采用电子文档，投标文件所附证书证件均为扫描件，并采用单位数字证书，</w:t>
            </w:r>
            <w:r>
              <w:rPr>
                <w:rFonts w:hint="eastAsia"/>
                <w:color w:val="auto"/>
                <w:sz w:val="21"/>
                <w:szCs w:val="21"/>
                <w:highlight w:val="none"/>
                <w:u w:val="single"/>
                <w:lang w:val="en-US" w:eastAsia="zh-CN"/>
              </w:rPr>
              <w:t>对投标文件</w:t>
            </w:r>
            <w:r>
              <w:rPr>
                <w:rFonts w:hint="eastAsia"/>
                <w:color w:val="auto"/>
                <w:sz w:val="21"/>
                <w:szCs w:val="21"/>
                <w:highlight w:val="none"/>
                <w:u w:val="single"/>
              </w:rPr>
              <w:t>加盖电子印章。投标文件中需个人签字或盖章的，应加盖个人电子印章或在线下完成后扫描上传。具体操作详见附件《房屋建筑和市政基础设施工程全流程电子化项目专章》。</w:t>
            </w:r>
          </w:p>
        </w:tc>
      </w:tr>
      <w:tr w14:paraId="1A904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415CF4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4.1.1（B）</w:t>
            </w:r>
          </w:p>
        </w:tc>
        <w:tc>
          <w:tcPr>
            <w:tcW w:w="1650" w:type="dxa"/>
            <w:vAlign w:val="center"/>
          </w:tcPr>
          <w:p w14:paraId="5D77B5F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投标文件加密要求</w:t>
            </w:r>
          </w:p>
        </w:tc>
        <w:tc>
          <w:tcPr>
            <w:tcW w:w="6863" w:type="dxa"/>
            <w:vAlign w:val="center"/>
          </w:tcPr>
          <w:p w14:paraId="013D341C">
            <w:pPr>
              <w:pStyle w:val="7"/>
              <w:keepNext w:val="0"/>
              <w:keepLines w:val="0"/>
              <w:suppressLineNumbers w:val="0"/>
              <w:topLinePunct/>
              <w:snapToGrid w:val="0"/>
              <w:spacing w:before="0" w:beforeAutospacing="0" w:after="0" w:afterAutospacing="0"/>
              <w:ind w:left="0" w:right="0"/>
              <w:rPr>
                <w:rFonts w:hint="default" w:hAnsi="宋体"/>
                <w:color w:val="auto"/>
                <w:szCs w:val="21"/>
                <w:highlight w:val="none"/>
                <w:u w:val="single"/>
              </w:rPr>
            </w:pPr>
            <w:r>
              <w:rPr>
                <w:rFonts w:hint="eastAsia"/>
                <w:color w:val="auto"/>
                <w:sz w:val="21"/>
                <w:szCs w:val="21"/>
                <w:highlight w:val="none"/>
              </w:rPr>
              <w:t>网上递交的电子投标文件须进行加密。具体操作详见</w:t>
            </w:r>
            <w:r>
              <w:rPr>
                <w:rFonts w:hint="eastAsia"/>
                <w:color w:val="auto"/>
                <w:sz w:val="21"/>
                <w:szCs w:val="21"/>
                <w:highlight w:val="none"/>
                <w:lang w:eastAsia="zh-CN"/>
              </w:rPr>
              <w:t>广州交易集团有限公司（广州公共资源交易中心）</w:t>
            </w:r>
            <w:r>
              <w:rPr>
                <w:rFonts w:hint="eastAsia"/>
                <w:color w:val="auto"/>
                <w:sz w:val="21"/>
                <w:szCs w:val="21"/>
                <w:highlight w:val="none"/>
              </w:rPr>
              <w:t>发布的最新版本《房屋建筑和市政基础设施工程全流程电子化项目专章》</w:t>
            </w:r>
          </w:p>
        </w:tc>
      </w:tr>
      <w:tr w14:paraId="7B48C2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BE9DA6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4.1.2</w:t>
            </w:r>
          </w:p>
        </w:tc>
        <w:tc>
          <w:tcPr>
            <w:tcW w:w="1650" w:type="dxa"/>
            <w:vAlign w:val="center"/>
          </w:tcPr>
          <w:p w14:paraId="225A9CE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FFFFFF" w:fill="D9D9D9"/>
              </w:rPr>
            </w:pPr>
            <w:r>
              <w:rPr>
                <w:rFonts w:hint="eastAsia" w:ascii="宋体" w:hAnsi="宋体"/>
                <w:color w:val="auto"/>
                <w:szCs w:val="21"/>
                <w:highlight w:val="none"/>
              </w:rPr>
              <w:t>投标文件的包封、密封和标志</w:t>
            </w:r>
          </w:p>
        </w:tc>
        <w:tc>
          <w:tcPr>
            <w:tcW w:w="6863" w:type="dxa"/>
            <w:vAlign w:val="center"/>
          </w:tcPr>
          <w:p w14:paraId="5A6D38BF">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default" w:hAnsi="宋体"/>
                <w:color w:val="auto"/>
                <w:sz w:val="21"/>
                <w:szCs w:val="21"/>
                <w:highlight w:val="none"/>
              </w:rPr>
              <w:t>如有提交投标文件光盘备用，封套上应注明如下信息：</w:t>
            </w:r>
          </w:p>
          <w:p w14:paraId="771FF500">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default" w:hAnsi="宋体"/>
                <w:color w:val="auto"/>
                <w:sz w:val="21"/>
                <w:szCs w:val="21"/>
                <w:highlight w:val="none"/>
              </w:rPr>
              <w:t>招标人名称：</w:t>
            </w:r>
            <w:r>
              <w:rPr>
                <w:rFonts w:hint="default" w:hAnsi="宋体"/>
                <w:color w:val="auto"/>
                <w:sz w:val="21"/>
                <w:szCs w:val="21"/>
                <w:highlight w:val="none"/>
                <w:u w:val="single"/>
              </w:rPr>
              <w:t>广州市越秀区代建项目管理中心</w:t>
            </w:r>
          </w:p>
          <w:p w14:paraId="67CAEA09">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default" w:hAnsi="宋体"/>
                <w:color w:val="auto"/>
                <w:sz w:val="21"/>
                <w:szCs w:val="21"/>
                <w:highlight w:val="none"/>
              </w:rPr>
              <w:t>招标人地址：</w:t>
            </w:r>
            <w:r>
              <w:rPr>
                <w:rFonts w:hint="default" w:hAnsi="宋体"/>
                <w:color w:val="auto"/>
                <w:sz w:val="21"/>
                <w:szCs w:val="21"/>
                <w:highlight w:val="none"/>
                <w:u w:val="single"/>
              </w:rPr>
              <w:t>广州市越秀区东华西路永胜街51号</w:t>
            </w:r>
          </w:p>
          <w:p w14:paraId="169B9267">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u w:val="single"/>
              </w:rPr>
            </w:pPr>
            <w:r>
              <w:rPr>
                <w:rFonts w:hint="default" w:hAnsi="宋体"/>
                <w:color w:val="auto"/>
                <w:sz w:val="21"/>
                <w:szCs w:val="21"/>
                <w:highlight w:val="none"/>
                <w:u w:val="single"/>
                <w:lang w:eastAsia="zh-CN"/>
              </w:rPr>
              <w:t>花果山产业小镇综合配套工程建设项目</w:t>
            </w:r>
            <w:r>
              <w:rPr>
                <w:rFonts w:hint="eastAsia" w:hAnsi="宋体"/>
                <w:color w:val="auto"/>
                <w:sz w:val="21"/>
                <w:szCs w:val="21"/>
                <w:highlight w:val="none"/>
                <w:u w:val="single"/>
                <w:lang w:eastAsia="zh-CN"/>
              </w:rPr>
              <w:t>土壤污染修复监理服务</w:t>
            </w:r>
            <w:r>
              <w:rPr>
                <w:rFonts w:hint="default" w:hAnsi="宋体"/>
                <w:color w:val="auto"/>
                <w:sz w:val="21"/>
                <w:szCs w:val="21"/>
                <w:highlight w:val="none"/>
                <w:u w:val="single"/>
              </w:rPr>
              <w:t>投标文件</w:t>
            </w:r>
          </w:p>
          <w:p w14:paraId="474DB7F3">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default" w:hAnsi="宋体"/>
                <w:color w:val="auto"/>
                <w:sz w:val="21"/>
                <w:szCs w:val="21"/>
                <w:highlight w:val="none"/>
              </w:rPr>
              <w:t xml:space="preserve">招标项目编号：   </w:t>
            </w:r>
          </w:p>
          <w:p w14:paraId="42E868D5">
            <w:pPr>
              <w:pStyle w:val="7"/>
              <w:keepNext w:val="0"/>
              <w:keepLines w:val="0"/>
              <w:suppressLineNumbers w:val="0"/>
              <w:topLinePunct/>
              <w:snapToGrid w:val="0"/>
              <w:spacing w:before="0" w:beforeAutospacing="0" w:after="0" w:afterAutospacing="0"/>
              <w:ind w:left="0" w:right="0"/>
              <w:rPr>
                <w:rFonts w:hint="default" w:hAnsi="宋体"/>
                <w:color w:val="auto"/>
                <w:szCs w:val="21"/>
                <w:highlight w:val="none"/>
              </w:rPr>
            </w:pPr>
            <w:r>
              <w:rPr>
                <w:rFonts w:hint="default" w:hAnsi="宋体"/>
                <w:color w:val="auto"/>
                <w:sz w:val="21"/>
                <w:szCs w:val="21"/>
                <w:highlight w:val="none"/>
              </w:rPr>
              <w:t>在</w:t>
            </w:r>
            <w:r>
              <w:rPr>
                <w:rFonts w:hint="default" w:hAnsi="宋体"/>
                <w:color w:val="auto"/>
                <w:sz w:val="21"/>
                <w:szCs w:val="21"/>
                <w:highlight w:val="none"/>
                <w:lang w:val="en-US" w:eastAsia="zh-CN"/>
              </w:rPr>
              <w:t xml:space="preserve">  </w:t>
            </w:r>
            <w:r>
              <w:rPr>
                <w:rFonts w:hint="default" w:hAnsi="宋体"/>
                <w:color w:val="auto"/>
                <w:sz w:val="21"/>
                <w:szCs w:val="21"/>
                <w:highlight w:val="none"/>
              </w:rPr>
              <w:t>年</w:t>
            </w:r>
            <w:r>
              <w:rPr>
                <w:rFonts w:hint="default" w:hAnsi="宋体"/>
                <w:color w:val="auto"/>
                <w:sz w:val="21"/>
                <w:szCs w:val="21"/>
                <w:highlight w:val="none"/>
                <w:lang w:val="en-US" w:eastAsia="zh-CN"/>
              </w:rPr>
              <w:t xml:space="preserve">  </w:t>
            </w:r>
            <w:r>
              <w:rPr>
                <w:rFonts w:hint="default" w:hAnsi="宋体"/>
                <w:color w:val="auto"/>
                <w:sz w:val="21"/>
                <w:szCs w:val="21"/>
                <w:highlight w:val="none"/>
              </w:rPr>
              <w:t>月</w:t>
            </w:r>
            <w:r>
              <w:rPr>
                <w:rFonts w:hint="default" w:hAnsi="宋体"/>
                <w:color w:val="auto"/>
                <w:sz w:val="21"/>
                <w:szCs w:val="21"/>
                <w:highlight w:val="none"/>
                <w:lang w:val="en-US" w:eastAsia="zh-CN"/>
              </w:rPr>
              <w:t xml:space="preserve">  </w:t>
            </w:r>
            <w:r>
              <w:rPr>
                <w:rFonts w:hint="default" w:hAnsi="宋体"/>
                <w:color w:val="auto"/>
                <w:sz w:val="21"/>
                <w:szCs w:val="21"/>
                <w:highlight w:val="none"/>
              </w:rPr>
              <w:t>日</w:t>
            </w:r>
            <w:r>
              <w:rPr>
                <w:rFonts w:hint="default" w:hAnsi="宋体"/>
                <w:color w:val="auto"/>
                <w:sz w:val="21"/>
                <w:szCs w:val="21"/>
                <w:highlight w:val="none"/>
                <w:lang w:val="en-US" w:eastAsia="zh-CN"/>
              </w:rPr>
              <w:t xml:space="preserve">  </w:t>
            </w:r>
            <w:r>
              <w:rPr>
                <w:rFonts w:hint="default" w:hAnsi="宋体"/>
                <w:color w:val="auto"/>
                <w:sz w:val="21"/>
                <w:szCs w:val="21"/>
                <w:highlight w:val="none"/>
              </w:rPr>
              <w:t>时</w:t>
            </w:r>
            <w:r>
              <w:rPr>
                <w:rFonts w:hint="default" w:hAnsi="宋体"/>
                <w:color w:val="auto"/>
                <w:sz w:val="21"/>
                <w:szCs w:val="21"/>
                <w:highlight w:val="none"/>
                <w:lang w:val="en-US" w:eastAsia="zh-CN"/>
              </w:rPr>
              <w:t xml:space="preserve">  分</w:t>
            </w:r>
            <w:r>
              <w:rPr>
                <w:rFonts w:hint="default" w:hAnsi="宋体"/>
                <w:color w:val="auto"/>
                <w:sz w:val="21"/>
                <w:szCs w:val="21"/>
                <w:highlight w:val="none"/>
              </w:rPr>
              <w:t>前不得开启</w:t>
            </w:r>
          </w:p>
        </w:tc>
      </w:tr>
      <w:tr w14:paraId="481A2D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62BA50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4.2.1</w:t>
            </w:r>
          </w:p>
        </w:tc>
        <w:tc>
          <w:tcPr>
            <w:tcW w:w="1650" w:type="dxa"/>
            <w:vAlign w:val="center"/>
          </w:tcPr>
          <w:p w14:paraId="697EF8F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投标截止时间</w:t>
            </w:r>
          </w:p>
        </w:tc>
        <w:tc>
          <w:tcPr>
            <w:tcW w:w="6863" w:type="dxa"/>
            <w:vAlign w:val="center"/>
          </w:tcPr>
          <w:p w14:paraId="6450D7D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tc>
      </w:tr>
      <w:tr w14:paraId="1C7563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414E6C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4.2.2（A）</w:t>
            </w:r>
          </w:p>
        </w:tc>
        <w:tc>
          <w:tcPr>
            <w:tcW w:w="1650" w:type="dxa"/>
            <w:vAlign w:val="center"/>
          </w:tcPr>
          <w:p w14:paraId="4290AAB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递交投标文件</w:t>
            </w:r>
            <w:r>
              <w:rPr>
                <w:rFonts w:hint="eastAsia" w:ascii="宋体" w:hAnsi="宋体"/>
                <w:color w:val="auto"/>
                <w:szCs w:val="21"/>
                <w:highlight w:val="none"/>
              </w:rPr>
              <w:t>时间和</w:t>
            </w:r>
            <w:r>
              <w:rPr>
                <w:rFonts w:hint="default" w:ascii="宋体" w:hAnsi="宋体"/>
                <w:color w:val="auto"/>
                <w:szCs w:val="21"/>
                <w:highlight w:val="none"/>
              </w:rPr>
              <w:t>地点</w:t>
            </w:r>
          </w:p>
        </w:tc>
        <w:tc>
          <w:tcPr>
            <w:tcW w:w="6863" w:type="dxa"/>
            <w:vAlign w:val="center"/>
          </w:tcPr>
          <w:p w14:paraId="603E7ADC">
            <w:pPr>
              <w:keepNext w:val="0"/>
              <w:keepLines w:val="0"/>
              <w:numPr>
                <w:ilvl w:val="0"/>
                <w:numId w:val="1"/>
              </w:numPr>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递交方式：网上递交投标文件</w:t>
            </w:r>
          </w:p>
          <w:p w14:paraId="2404B14A">
            <w:pPr>
              <w:keepNext w:val="0"/>
              <w:keepLines w:val="0"/>
              <w:numPr>
                <w:ilvl w:val="0"/>
                <w:numId w:val="1"/>
              </w:numPr>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文件的递交截止时间：同投标截止时间。</w:t>
            </w:r>
          </w:p>
          <w:p w14:paraId="61E4FC1A">
            <w:pPr>
              <w:keepNext w:val="0"/>
              <w:keepLines w:val="0"/>
              <w:numPr>
                <w:ilvl w:val="0"/>
                <w:numId w:val="1"/>
              </w:numPr>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地点：</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w:t>
            </w:r>
          </w:p>
          <w:p w14:paraId="77F997F3">
            <w:pPr>
              <w:keepNext w:val="0"/>
              <w:keepLines w:val="0"/>
              <w:numPr>
                <w:ilvl w:val="0"/>
                <w:numId w:val="1"/>
              </w:numPr>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u w:val="single"/>
              </w:rPr>
              <w:t>上述时间及地点是否有改变，请密切留意答疑澄清或补充公告（如有）中的相关信息，具体时间及场地安排请各投标人密切留意</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公布本项目的日程安排，投标人也可登录</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网站首页，点击“项目查询（日程安排、答疑纪要）”专栏中的“项目查询”，输入项目编号或项目名称查询最新信息</w:t>
            </w:r>
            <w:r>
              <w:rPr>
                <w:rFonts w:hint="eastAsia" w:ascii="宋体" w:hAnsi="宋体"/>
                <w:color w:val="auto"/>
                <w:szCs w:val="21"/>
                <w:highlight w:val="none"/>
              </w:rPr>
              <w:t>。</w:t>
            </w:r>
          </w:p>
        </w:tc>
      </w:tr>
      <w:tr w14:paraId="40816E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90D987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4.2.3</w:t>
            </w:r>
          </w:p>
        </w:tc>
        <w:tc>
          <w:tcPr>
            <w:tcW w:w="1650" w:type="dxa"/>
            <w:vAlign w:val="center"/>
          </w:tcPr>
          <w:p w14:paraId="7D680F4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投标文件是否退还</w:t>
            </w:r>
          </w:p>
        </w:tc>
        <w:tc>
          <w:tcPr>
            <w:tcW w:w="6863" w:type="dxa"/>
            <w:vAlign w:val="center"/>
          </w:tcPr>
          <w:p w14:paraId="720C3CC0">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eastAsia"/>
                <w:color w:val="auto"/>
                <w:sz w:val="21"/>
                <w:szCs w:val="21"/>
                <w:highlight w:val="none"/>
              </w:rPr>
              <w:t>■</w:t>
            </w:r>
            <w:r>
              <w:rPr>
                <w:rFonts w:hint="default" w:hAnsi="宋体"/>
                <w:color w:val="auto"/>
                <w:sz w:val="21"/>
                <w:szCs w:val="21"/>
                <w:highlight w:val="none"/>
              </w:rPr>
              <w:t>否</w:t>
            </w:r>
          </w:p>
          <w:p w14:paraId="2AD27088">
            <w:pPr>
              <w:pStyle w:val="7"/>
              <w:keepNext w:val="0"/>
              <w:keepLines w:val="0"/>
              <w:suppressLineNumbers w:val="0"/>
              <w:topLinePunct/>
              <w:snapToGrid w:val="0"/>
              <w:spacing w:before="0" w:beforeAutospacing="0" w:after="0" w:afterAutospacing="0"/>
              <w:ind w:left="0" w:right="0"/>
              <w:rPr>
                <w:rFonts w:hint="default" w:hAnsi="宋体"/>
                <w:color w:val="auto"/>
                <w:sz w:val="21"/>
                <w:szCs w:val="21"/>
                <w:highlight w:val="none"/>
              </w:rPr>
            </w:pPr>
            <w:r>
              <w:rPr>
                <w:rFonts w:hint="default" w:hAnsi="宋体"/>
                <w:color w:val="auto"/>
                <w:sz w:val="21"/>
                <w:szCs w:val="21"/>
                <w:highlight w:val="none"/>
              </w:rPr>
              <w:sym w:font="Wingdings 2" w:char="00A3"/>
            </w:r>
            <w:r>
              <w:rPr>
                <w:rFonts w:hint="default" w:hAnsi="宋体"/>
                <w:color w:val="auto"/>
                <w:sz w:val="21"/>
                <w:szCs w:val="21"/>
                <w:highlight w:val="none"/>
              </w:rPr>
              <w:t>是，退还时间：</w:t>
            </w:r>
            <w:r>
              <w:rPr>
                <w:rFonts w:hint="eastAsia" w:hAnsi="宋体"/>
                <w:color w:val="auto"/>
                <w:sz w:val="21"/>
                <w:szCs w:val="21"/>
                <w:highlight w:val="none"/>
                <w:u w:val="single"/>
              </w:rPr>
              <w:t xml:space="preserve"> / </w:t>
            </w:r>
          </w:p>
        </w:tc>
      </w:tr>
      <w:tr w14:paraId="5FE1B6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553849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5.1（</w:t>
            </w:r>
            <w:r>
              <w:rPr>
                <w:rFonts w:hint="eastAsia" w:ascii="宋体" w:hAnsi="宋体"/>
                <w:color w:val="auto"/>
                <w:szCs w:val="21"/>
                <w:highlight w:val="none"/>
              </w:rPr>
              <w:t>B</w:t>
            </w:r>
            <w:r>
              <w:rPr>
                <w:rFonts w:hint="default" w:ascii="宋体" w:hAnsi="宋体"/>
                <w:color w:val="auto"/>
                <w:szCs w:val="21"/>
                <w:highlight w:val="none"/>
              </w:rPr>
              <w:t>）</w:t>
            </w:r>
          </w:p>
        </w:tc>
        <w:tc>
          <w:tcPr>
            <w:tcW w:w="1650" w:type="dxa"/>
            <w:vAlign w:val="center"/>
          </w:tcPr>
          <w:p w14:paraId="60F531E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开标时间和地点</w:t>
            </w:r>
          </w:p>
        </w:tc>
        <w:tc>
          <w:tcPr>
            <w:tcW w:w="6863" w:type="dxa"/>
            <w:vAlign w:val="center"/>
          </w:tcPr>
          <w:p w14:paraId="2B479E71">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本电子招投标项目在本章4.2.1项规定的投标截止时间（开标时间），在</w:t>
            </w:r>
            <w:r>
              <w:rPr>
                <w:rFonts w:hint="eastAsia"/>
                <w:color w:val="auto"/>
                <w:sz w:val="21"/>
                <w:szCs w:val="21"/>
                <w:highlight w:val="none"/>
                <w:lang w:eastAsia="zh-CN"/>
              </w:rPr>
              <w:t>广州交易集团有限公司（广州公共资源交易中心）</w:t>
            </w:r>
            <w:r>
              <w:rPr>
                <w:rFonts w:hint="eastAsia"/>
                <w:color w:val="auto"/>
                <w:sz w:val="21"/>
                <w:szCs w:val="21"/>
                <w:highlight w:val="none"/>
              </w:rPr>
              <w:t>公开开标，开标时，投标人代表有权出席开标会，也可以自主决定不参加开标会，若投标人代表对开标过程提出异议，该投标人代表须同时出示本人身份证原件。</w:t>
            </w:r>
          </w:p>
        </w:tc>
      </w:tr>
      <w:tr w14:paraId="20D7A2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60616C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5.2（</w:t>
            </w:r>
            <w:r>
              <w:rPr>
                <w:rFonts w:hint="eastAsia" w:ascii="宋体" w:hAnsi="宋体"/>
                <w:color w:val="auto"/>
                <w:szCs w:val="21"/>
                <w:highlight w:val="none"/>
              </w:rPr>
              <w:t>B</w:t>
            </w:r>
            <w:r>
              <w:rPr>
                <w:rFonts w:hint="default" w:ascii="宋体" w:hAnsi="宋体"/>
                <w:color w:val="auto"/>
                <w:szCs w:val="21"/>
                <w:highlight w:val="none"/>
              </w:rPr>
              <w:t>）</w:t>
            </w:r>
          </w:p>
        </w:tc>
        <w:tc>
          <w:tcPr>
            <w:tcW w:w="1650" w:type="dxa"/>
            <w:vAlign w:val="center"/>
          </w:tcPr>
          <w:p w14:paraId="6E0306F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开标程序</w:t>
            </w:r>
          </w:p>
        </w:tc>
        <w:tc>
          <w:tcPr>
            <w:tcW w:w="6863" w:type="dxa"/>
            <w:vAlign w:val="center"/>
          </w:tcPr>
          <w:p w14:paraId="701BC11B">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电子招投标项目开标按下列程序进行：</w:t>
            </w:r>
          </w:p>
          <w:p w14:paraId="4B4C72D4">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5.2.1</w:t>
            </w:r>
            <w:r>
              <w:rPr>
                <w:rFonts w:hint="eastAsia"/>
                <w:color w:val="auto"/>
                <w:sz w:val="21"/>
                <w:szCs w:val="21"/>
                <w:highlight w:val="none"/>
              </w:rPr>
              <w:t>主持人按下列程序进行开标：</w:t>
            </w:r>
          </w:p>
          <w:p w14:paraId="6FBC08C7">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1</w:t>
            </w:r>
            <w:r>
              <w:rPr>
                <w:rFonts w:hint="eastAsia"/>
                <w:color w:val="auto"/>
                <w:sz w:val="21"/>
                <w:szCs w:val="21"/>
                <w:highlight w:val="none"/>
              </w:rPr>
              <w:t>）宣布开标纪律；</w:t>
            </w:r>
          </w:p>
          <w:p w14:paraId="7DBC7F04">
            <w:pPr>
              <w:pStyle w:val="7"/>
              <w:keepNext w:val="0"/>
              <w:keepLines w:val="0"/>
              <w:suppressLineNumbers w:val="0"/>
              <w:topLinePunct/>
              <w:snapToGrid w:val="0"/>
              <w:spacing w:before="0" w:beforeAutospacing="0" w:after="0" w:afterAutospacing="0"/>
              <w:ind w:left="0" w:right="0"/>
              <w:rPr>
                <w:rFonts w:hint="default"/>
                <w:strike/>
                <w:dstrike w:val="0"/>
                <w:color w:val="auto"/>
                <w:sz w:val="21"/>
                <w:szCs w:val="21"/>
                <w:highlight w:val="none"/>
              </w:rPr>
            </w:pPr>
            <w:r>
              <w:rPr>
                <w:rFonts w:hint="eastAsia"/>
                <w:strike/>
                <w:dstrike w:val="0"/>
                <w:color w:val="auto"/>
                <w:sz w:val="21"/>
                <w:szCs w:val="21"/>
                <w:highlight w:val="none"/>
              </w:rPr>
              <w:t>（</w:t>
            </w:r>
            <w:r>
              <w:rPr>
                <w:rFonts w:hint="default"/>
                <w:strike/>
                <w:dstrike w:val="0"/>
                <w:color w:val="auto"/>
                <w:sz w:val="21"/>
                <w:szCs w:val="21"/>
                <w:highlight w:val="none"/>
              </w:rPr>
              <w:t>2</w:t>
            </w:r>
            <w:r>
              <w:rPr>
                <w:rFonts w:hint="eastAsia"/>
                <w:strike/>
                <w:dstrike w:val="0"/>
                <w:color w:val="auto"/>
                <w:sz w:val="21"/>
                <w:szCs w:val="21"/>
                <w:highlight w:val="none"/>
              </w:rPr>
              <w:t>）公布在投标截止时间前递交投标文件的投标人名称；</w:t>
            </w:r>
          </w:p>
          <w:p w14:paraId="7A600739">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）宣布开标人、唱标人、记录人、监标人等有关人员姓名；</w:t>
            </w:r>
          </w:p>
          <w:p w14:paraId="150008F9">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w:t>
            </w:r>
            <w:r>
              <w:rPr>
                <w:rFonts w:hint="default"/>
                <w:color w:val="auto"/>
                <w:sz w:val="21"/>
                <w:szCs w:val="21"/>
                <w:highlight w:val="none"/>
              </w:rPr>
              <w:t>B</w:t>
            </w:r>
            <w:r>
              <w:rPr>
                <w:rFonts w:hint="eastAsia"/>
                <w:color w:val="auto"/>
                <w:sz w:val="21"/>
                <w:szCs w:val="21"/>
                <w:highlight w:val="none"/>
              </w:rPr>
              <w:t>）投标人通过电子招标投标交易平台对已递交的电子投标文件进行解密，公布招标项目名称、投标人名称、</w:t>
            </w:r>
            <w:r>
              <w:rPr>
                <w:rFonts w:hint="eastAsia"/>
                <w:strike/>
                <w:color w:val="auto"/>
                <w:sz w:val="21"/>
                <w:szCs w:val="21"/>
                <w:highlight w:val="none"/>
              </w:rPr>
              <w:t>投标保证金的递交情况、</w:t>
            </w:r>
            <w:r>
              <w:rPr>
                <w:rFonts w:hint="eastAsia"/>
                <w:color w:val="auto"/>
                <w:sz w:val="21"/>
                <w:szCs w:val="21"/>
                <w:highlight w:val="none"/>
              </w:rPr>
              <w:t>投标报价、监理服务期限及其他内容，并记录在案；</w:t>
            </w:r>
          </w:p>
          <w:p w14:paraId="6687F94B">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5</w:t>
            </w:r>
            <w:r>
              <w:rPr>
                <w:rFonts w:hint="eastAsia"/>
                <w:color w:val="auto"/>
                <w:sz w:val="21"/>
                <w:szCs w:val="21"/>
                <w:highlight w:val="none"/>
              </w:rPr>
              <w:t>）</w:t>
            </w:r>
            <w:r>
              <w:rPr>
                <w:rFonts w:hint="eastAsia" w:ascii="宋体" w:hAnsi="Calibri" w:cs="Times New Roman"/>
                <w:strike w:val="0"/>
                <w:color w:val="auto"/>
                <w:sz w:val="21"/>
                <w:szCs w:val="21"/>
                <w:highlight w:val="none"/>
              </w:rPr>
              <w:t>（B）投标人代表、招标人代表、监标人、记录人等有关人员使用本人的电子印章在开标记录上签字确认</w:t>
            </w:r>
            <w:r>
              <w:rPr>
                <w:rFonts w:hint="eastAsia"/>
                <w:color w:val="auto"/>
                <w:sz w:val="21"/>
                <w:szCs w:val="21"/>
                <w:highlight w:val="none"/>
              </w:rPr>
              <w:t>；若有关人员不签字的，不影响开标程序；</w:t>
            </w:r>
          </w:p>
          <w:p w14:paraId="3BECB6F7">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6</w:t>
            </w:r>
            <w:r>
              <w:rPr>
                <w:rFonts w:hint="eastAsia"/>
                <w:color w:val="auto"/>
                <w:sz w:val="21"/>
                <w:szCs w:val="21"/>
                <w:highlight w:val="none"/>
              </w:rPr>
              <w:t>）开标结束。</w:t>
            </w:r>
          </w:p>
          <w:p w14:paraId="4677730A">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5.2.2</w:t>
            </w:r>
            <w:r>
              <w:rPr>
                <w:rFonts w:hint="eastAsia"/>
                <w:color w:val="auto"/>
                <w:sz w:val="21"/>
                <w:szCs w:val="21"/>
                <w:highlight w:val="none"/>
              </w:rPr>
              <w:t>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14:paraId="79A8AD22">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5.2.3</w:t>
            </w:r>
            <w:r>
              <w:rPr>
                <w:rFonts w:hint="eastAsia"/>
                <w:color w:val="auto"/>
                <w:sz w:val="21"/>
                <w:szCs w:val="21"/>
                <w:highlight w:val="none"/>
              </w:rPr>
              <w:t>开标时，</w:t>
            </w:r>
            <w:r>
              <w:rPr>
                <w:rFonts w:hint="eastAsia"/>
                <w:color w:val="auto"/>
                <w:sz w:val="21"/>
                <w:szCs w:val="21"/>
                <w:highlight w:val="none"/>
                <w:lang w:val="en-US" w:eastAsia="zh-CN"/>
              </w:rPr>
              <w:t>本项目</w:t>
            </w:r>
            <w:r>
              <w:rPr>
                <w:rFonts w:hint="eastAsia"/>
                <w:color w:val="auto"/>
                <w:sz w:val="21"/>
                <w:szCs w:val="21"/>
                <w:highlight w:val="none"/>
              </w:rPr>
              <w:t>两个（含两个）以上的投标人加密打包投标文件电脑机器特征码一致的，不参与下一程序，并由评标委员会否决其投标。</w:t>
            </w:r>
          </w:p>
        </w:tc>
      </w:tr>
      <w:tr w14:paraId="0122EB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5143FA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6.1.1</w:t>
            </w:r>
          </w:p>
        </w:tc>
        <w:tc>
          <w:tcPr>
            <w:tcW w:w="1650" w:type="dxa"/>
            <w:vAlign w:val="center"/>
          </w:tcPr>
          <w:p w14:paraId="7E649D6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评标委员会的组建</w:t>
            </w:r>
          </w:p>
        </w:tc>
        <w:tc>
          <w:tcPr>
            <w:tcW w:w="6863" w:type="dxa"/>
            <w:vAlign w:val="center"/>
          </w:tcPr>
          <w:p w14:paraId="790EDAE2">
            <w:pPr>
              <w:keepNext w:val="0"/>
              <w:keepLines w:val="0"/>
              <w:suppressLineNumbers w:val="0"/>
              <w:snapToGrid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依法组建</w:t>
            </w:r>
            <w:r>
              <w:rPr>
                <w:rFonts w:hint="default" w:ascii="宋体" w:hAnsi="宋体"/>
                <w:color w:val="auto"/>
                <w:szCs w:val="21"/>
                <w:highlight w:val="none"/>
              </w:rPr>
              <w:t>评标委员会</w:t>
            </w:r>
          </w:p>
        </w:tc>
      </w:tr>
      <w:tr w14:paraId="0038C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B75CE1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6.3.2</w:t>
            </w:r>
          </w:p>
        </w:tc>
        <w:tc>
          <w:tcPr>
            <w:tcW w:w="1650" w:type="dxa"/>
            <w:vAlign w:val="center"/>
          </w:tcPr>
          <w:p w14:paraId="7EA7C7D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评标委员会推荐中标候选人的人数</w:t>
            </w:r>
          </w:p>
        </w:tc>
        <w:tc>
          <w:tcPr>
            <w:tcW w:w="6863" w:type="dxa"/>
            <w:vAlign w:val="center"/>
          </w:tcPr>
          <w:p w14:paraId="51052C4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w:t>
            </w:r>
          </w:p>
        </w:tc>
      </w:tr>
      <w:tr w14:paraId="5F0232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2C46F3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7.1</w:t>
            </w:r>
          </w:p>
        </w:tc>
        <w:tc>
          <w:tcPr>
            <w:tcW w:w="1650" w:type="dxa"/>
            <w:vAlign w:val="center"/>
          </w:tcPr>
          <w:p w14:paraId="6FE2D78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中标候选人公示媒介及期限</w:t>
            </w:r>
          </w:p>
        </w:tc>
        <w:tc>
          <w:tcPr>
            <w:tcW w:w="6863" w:type="dxa"/>
            <w:vAlign w:val="center"/>
          </w:tcPr>
          <w:p w14:paraId="416D64A4">
            <w:pPr>
              <w:keepNext w:val="0"/>
              <w:keepLines w:val="0"/>
              <w:suppressLineNumbers w:val="0"/>
              <w:snapToGrid w:val="0"/>
              <w:spacing w:before="0" w:beforeAutospacing="0" w:after="0" w:afterAutospacing="0"/>
              <w:ind w:left="108" w:right="106"/>
              <w:rPr>
                <w:rFonts w:hint="eastAsia" w:ascii="宋体" w:hAnsi="宋体" w:eastAsia="宋体"/>
                <w:color w:val="auto"/>
                <w:szCs w:val="21"/>
                <w:highlight w:val="none"/>
                <w:u w:val="single"/>
                <w:lang w:eastAsia="zh-CN"/>
              </w:rPr>
            </w:pPr>
            <w:r>
              <w:rPr>
                <w:rFonts w:hint="default" w:ascii="宋体" w:hAnsi="宋体"/>
                <w:color w:val="auto"/>
                <w:szCs w:val="21"/>
                <w:highlight w:val="none"/>
              </w:rPr>
              <w:t>公示媒介：</w:t>
            </w:r>
            <w:r>
              <w:rPr>
                <w:rFonts w:hint="default" w:ascii="宋体" w:hAnsi="宋体"/>
                <w:color w:val="auto"/>
                <w:szCs w:val="21"/>
                <w:highlight w:val="none"/>
                <w:u w:val="single"/>
              </w:rPr>
              <w:t>中国招标投标公共服务平台、广东省招标投标监管网、</w:t>
            </w:r>
            <w:r>
              <w:rPr>
                <w:rFonts w:hint="default" w:ascii="宋体" w:hAnsi="宋体"/>
                <w:color w:val="auto"/>
                <w:szCs w:val="21"/>
                <w:highlight w:val="none"/>
                <w:u w:val="single"/>
                <w:lang w:eastAsia="zh-CN"/>
              </w:rPr>
              <w:t>广州交易集团有限公司（广州公共资源交易中心）网站</w:t>
            </w:r>
          </w:p>
          <w:p w14:paraId="61653AA1">
            <w:pPr>
              <w:keepNext w:val="0"/>
              <w:keepLines w:val="0"/>
              <w:suppressLineNumbers w:val="0"/>
              <w:snapToGrid w:val="0"/>
              <w:spacing w:before="0" w:beforeAutospacing="0" w:after="0" w:afterAutospacing="0"/>
              <w:ind w:left="108" w:right="106"/>
              <w:rPr>
                <w:rFonts w:hint="default" w:ascii="宋体" w:hAnsi="宋体"/>
                <w:color w:val="auto"/>
                <w:szCs w:val="21"/>
                <w:highlight w:val="none"/>
              </w:rPr>
            </w:pPr>
            <w:r>
              <w:rPr>
                <w:rFonts w:hint="default" w:ascii="宋体" w:hAnsi="宋体"/>
                <w:color w:val="auto"/>
                <w:szCs w:val="21"/>
                <w:highlight w:val="none"/>
              </w:rPr>
              <w:t>公示期限：</w:t>
            </w:r>
            <w:r>
              <w:rPr>
                <w:rFonts w:hint="eastAsia" w:ascii="宋体" w:hAnsi="宋体"/>
                <w:color w:val="auto"/>
                <w:szCs w:val="21"/>
                <w:highlight w:val="none"/>
                <w:u w:val="single"/>
              </w:rPr>
              <w:t>3</w:t>
            </w:r>
            <w:r>
              <w:rPr>
                <w:rFonts w:hint="default" w:ascii="宋体" w:hAnsi="宋体"/>
                <w:color w:val="auto"/>
                <w:szCs w:val="21"/>
                <w:highlight w:val="none"/>
              </w:rPr>
              <w:t>日</w:t>
            </w:r>
            <w:r>
              <w:rPr>
                <w:rFonts w:hint="eastAsia" w:ascii="宋体" w:hAnsi="宋体"/>
                <w:color w:val="auto"/>
                <w:szCs w:val="21"/>
                <w:highlight w:val="none"/>
              </w:rPr>
              <w:t>（最后一天为工作天）</w:t>
            </w:r>
          </w:p>
        </w:tc>
      </w:tr>
      <w:tr w14:paraId="11C229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2D6EC4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7.4</w:t>
            </w:r>
          </w:p>
        </w:tc>
        <w:tc>
          <w:tcPr>
            <w:tcW w:w="1650" w:type="dxa"/>
            <w:vAlign w:val="center"/>
          </w:tcPr>
          <w:p w14:paraId="5A1869E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是否授权评标委员会确定中标人</w:t>
            </w:r>
          </w:p>
        </w:tc>
        <w:tc>
          <w:tcPr>
            <w:tcW w:w="6863" w:type="dxa"/>
            <w:vAlign w:val="center"/>
          </w:tcPr>
          <w:p w14:paraId="353CD016">
            <w:pPr>
              <w:keepNext w:val="0"/>
              <w:keepLines w:val="0"/>
              <w:suppressLineNumbers w:val="0"/>
              <w:snapToGrid w:val="0"/>
              <w:spacing w:before="0" w:beforeAutospacing="0" w:after="0" w:afterAutospacing="0"/>
              <w:ind w:left="108" w:right="106"/>
              <w:rPr>
                <w:rFonts w:hint="default"/>
                <w:color w:val="auto"/>
                <w:highlight w:val="none"/>
              </w:rPr>
            </w:pPr>
            <w:r>
              <w:rPr>
                <w:rFonts w:hint="default"/>
                <w:color w:val="auto"/>
                <w:highlight w:val="none"/>
              </w:rPr>
              <w:sym w:font="Wingdings 2" w:char="00A3"/>
            </w:r>
            <w:r>
              <w:rPr>
                <w:rFonts w:hint="default"/>
                <w:color w:val="auto"/>
                <w:highlight w:val="none"/>
              </w:rPr>
              <w:t>是</w:t>
            </w:r>
          </w:p>
          <w:p w14:paraId="38F15B4F">
            <w:pPr>
              <w:keepNext w:val="0"/>
              <w:keepLines w:val="0"/>
              <w:suppressLineNumbers w:val="0"/>
              <w:snapToGrid w:val="0"/>
              <w:spacing w:before="0" w:beforeAutospacing="0" w:after="0" w:afterAutospacing="0"/>
              <w:ind w:left="108" w:right="106"/>
              <w:rPr>
                <w:rFonts w:hint="default"/>
                <w:color w:val="auto"/>
                <w:highlight w:val="none"/>
              </w:rPr>
            </w:pPr>
            <w:r>
              <w:rPr>
                <w:rFonts w:hint="eastAsia"/>
                <w:color w:val="auto"/>
                <w:highlight w:val="none"/>
              </w:rPr>
              <w:t>■</w:t>
            </w:r>
            <w:r>
              <w:rPr>
                <w:rFonts w:hint="default"/>
                <w:color w:val="auto"/>
                <w:highlight w:val="none"/>
              </w:rPr>
              <w:t>否</w:t>
            </w:r>
          </w:p>
          <w:p w14:paraId="448C37B8">
            <w:pPr>
              <w:keepNext w:val="0"/>
              <w:keepLines w:val="0"/>
              <w:suppressLineNumbers w:val="0"/>
              <w:snapToGrid w:val="0"/>
              <w:spacing w:before="0" w:beforeAutospacing="0" w:after="0" w:afterAutospacing="0"/>
              <w:ind w:left="108" w:right="106"/>
              <w:rPr>
                <w:rFonts w:hint="default" w:ascii="宋体" w:hAnsi="宋体"/>
                <w:color w:val="auto"/>
                <w:szCs w:val="21"/>
                <w:highlight w:val="none"/>
              </w:rPr>
            </w:pPr>
            <w:r>
              <w:rPr>
                <w:rFonts w:hint="eastAsia" w:ascii="宋体" w:hAnsi="宋体"/>
                <w:color w:val="auto"/>
                <w:szCs w:val="21"/>
                <w:highlight w:val="none"/>
              </w:rPr>
              <w:t>1、</w:t>
            </w:r>
            <w:r>
              <w:rPr>
                <w:rFonts w:hint="default" w:ascii="宋体" w:hAnsi="宋体"/>
                <w:color w:val="auto"/>
                <w:szCs w:val="21"/>
                <w:highlight w:val="none"/>
              </w:rPr>
              <w:t>招标人依据评标委员会推荐的中标候选人确定中标人。</w:t>
            </w:r>
          </w:p>
          <w:p w14:paraId="4126746B">
            <w:pPr>
              <w:keepNext w:val="0"/>
              <w:keepLines w:val="0"/>
              <w:suppressLineNumbers w:val="0"/>
              <w:snapToGrid w:val="0"/>
              <w:spacing w:before="0" w:beforeAutospacing="0" w:after="0" w:afterAutospacing="0"/>
              <w:ind w:left="108" w:right="106"/>
              <w:rPr>
                <w:rFonts w:hint="default" w:ascii="宋体" w:hAnsi="宋体"/>
                <w:color w:val="auto"/>
                <w:szCs w:val="21"/>
                <w:highlight w:val="none"/>
              </w:rPr>
            </w:pPr>
            <w:r>
              <w:rPr>
                <w:rFonts w:hint="eastAsia" w:ascii="宋体" w:hAnsi="宋体"/>
                <w:color w:val="auto"/>
                <w:szCs w:val="21"/>
                <w:highlight w:val="none"/>
              </w:rPr>
              <w:t>2、</w:t>
            </w:r>
            <w:r>
              <w:rPr>
                <w:rFonts w:hint="default" w:ascii="宋体" w:hAnsi="宋体"/>
                <w:color w:val="auto"/>
                <w:szCs w:val="21"/>
                <w:highlight w:val="none"/>
              </w:rPr>
              <w:t>依法必须进行公开招标的项目，招标人确定排名第一的中标候选人为中标人。</w:t>
            </w:r>
          </w:p>
          <w:p w14:paraId="414670A8">
            <w:pPr>
              <w:keepNext w:val="0"/>
              <w:keepLines w:val="0"/>
              <w:suppressLineNumbers w:val="0"/>
              <w:snapToGrid w:val="0"/>
              <w:spacing w:before="0" w:beforeAutospacing="0" w:after="0" w:afterAutospacing="0"/>
              <w:ind w:left="108" w:right="106"/>
              <w:rPr>
                <w:rFonts w:hint="default"/>
                <w:color w:val="auto"/>
                <w:highlight w:val="none"/>
              </w:rPr>
            </w:pPr>
            <w:r>
              <w:rPr>
                <w:rFonts w:hint="eastAsia" w:ascii="宋体" w:hAnsi="宋体"/>
                <w:color w:val="auto"/>
                <w:szCs w:val="21"/>
                <w:highlight w:val="none"/>
              </w:rPr>
              <w:t>3、</w:t>
            </w:r>
            <w:r>
              <w:rPr>
                <w:rFonts w:hint="default" w:ascii="宋体" w:hAnsi="宋体"/>
                <w:color w:val="auto"/>
                <w:szCs w:val="21"/>
                <w:highlight w:val="none"/>
              </w:rPr>
              <w:t>排名第一的中标候选人放弃中标、或被取消中标资格，或因不可抗力提出不能履行合同，或者招标文件规定应当提交履约担保而在规定的期限内未能提交的，或经核查发现委派的总监理工程师不符合任职数量规定的，招标人可以按照中标候选人顺序依次上升替补定标，以此类推。</w:t>
            </w:r>
          </w:p>
        </w:tc>
      </w:tr>
      <w:tr w14:paraId="2E490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0E8C60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7.6.1</w:t>
            </w:r>
          </w:p>
        </w:tc>
        <w:tc>
          <w:tcPr>
            <w:tcW w:w="1650" w:type="dxa"/>
            <w:vAlign w:val="center"/>
          </w:tcPr>
          <w:p w14:paraId="6C3BB8F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履约保证金</w:t>
            </w:r>
          </w:p>
        </w:tc>
        <w:tc>
          <w:tcPr>
            <w:tcW w:w="6863" w:type="dxa"/>
            <w:vAlign w:val="center"/>
          </w:tcPr>
          <w:p w14:paraId="00FFCACA">
            <w:pPr>
              <w:keepNext w:val="0"/>
              <w:keepLines w:val="0"/>
              <w:widowControl/>
              <w:suppressLineNumbers w:val="0"/>
              <w:snapToGrid w:val="0"/>
              <w:spacing w:before="0" w:beforeAutospacing="0" w:after="0" w:afterAutospacing="0" w:line="240" w:lineRule="auto"/>
              <w:ind w:left="108" w:right="106"/>
              <w:rPr>
                <w:rFonts w:hint="default" w:ascii="宋体" w:hAnsi="宋体"/>
                <w:color w:val="auto"/>
                <w:kern w:val="2"/>
                <w:szCs w:val="21"/>
                <w:highlight w:val="none"/>
              </w:rPr>
            </w:pPr>
            <w:r>
              <w:rPr>
                <w:rFonts w:hint="default" w:ascii="宋体" w:hAnsi="宋体"/>
                <w:color w:val="auto"/>
                <w:kern w:val="2"/>
                <w:szCs w:val="21"/>
                <w:highlight w:val="none"/>
              </w:rPr>
              <w:t>履约担保的形式：</w:t>
            </w:r>
            <w:r>
              <w:rPr>
                <w:rFonts w:hint="default" w:ascii="宋体" w:hAnsi="宋体"/>
                <w:color w:val="auto"/>
                <w:kern w:val="2"/>
                <w:szCs w:val="21"/>
                <w:highlight w:val="none"/>
                <w:u w:val="none"/>
              </w:rPr>
              <w:t>以合同约定为准。</w:t>
            </w:r>
          </w:p>
          <w:p w14:paraId="50C9C7E6">
            <w:pPr>
              <w:keepNext w:val="0"/>
              <w:keepLines w:val="0"/>
              <w:suppressLineNumbers w:val="0"/>
              <w:topLinePunct/>
              <w:snapToGrid w:val="0"/>
              <w:spacing w:before="0" w:beforeAutospacing="0" w:after="0" w:afterAutospacing="0"/>
              <w:ind w:left="108" w:right="106"/>
              <w:rPr>
                <w:rFonts w:hint="default" w:hAnsi="宋体"/>
                <w:color w:val="auto"/>
                <w:sz w:val="21"/>
                <w:szCs w:val="21"/>
                <w:highlight w:val="none"/>
              </w:rPr>
            </w:pPr>
            <w:r>
              <w:rPr>
                <w:rFonts w:hint="default" w:ascii="宋体" w:hAnsi="宋体" w:eastAsia="宋体"/>
                <w:color w:val="auto"/>
                <w:kern w:val="2"/>
                <w:szCs w:val="21"/>
                <w:highlight w:val="none"/>
              </w:rPr>
              <w:t>履约担保的金额：</w:t>
            </w:r>
            <w:r>
              <w:rPr>
                <w:rFonts w:hint="default" w:ascii="宋体" w:hAnsi="宋体" w:eastAsia="宋体"/>
                <w:color w:val="auto"/>
                <w:kern w:val="2"/>
                <w:szCs w:val="21"/>
                <w:highlight w:val="none"/>
                <w:u w:val="none"/>
              </w:rPr>
              <w:t>中标人提供的履约担保为中标</w:t>
            </w:r>
            <w:r>
              <w:rPr>
                <w:rFonts w:hint="eastAsia" w:ascii="宋体" w:hAnsi="宋体" w:eastAsia="宋体"/>
                <w:color w:val="auto"/>
                <w:kern w:val="2"/>
                <w:szCs w:val="21"/>
                <w:highlight w:val="none"/>
                <w:u w:val="none"/>
                <w:lang w:eastAsia="zh-CN"/>
              </w:rPr>
              <w:t>合同金额</w:t>
            </w:r>
            <w:r>
              <w:rPr>
                <w:rFonts w:hint="default" w:ascii="宋体" w:hAnsi="宋体" w:eastAsia="宋体"/>
                <w:color w:val="auto"/>
                <w:kern w:val="2"/>
                <w:szCs w:val="21"/>
                <w:highlight w:val="none"/>
                <w:u w:val="none"/>
              </w:rPr>
              <w:t>的10%。</w:t>
            </w:r>
          </w:p>
        </w:tc>
      </w:tr>
      <w:tr w14:paraId="376055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B22FB2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9</w:t>
            </w:r>
          </w:p>
        </w:tc>
        <w:tc>
          <w:tcPr>
            <w:tcW w:w="1650" w:type="dxa"/>
            <w:vAlign w:val="center"/>
          </w:tcPr>
          <w:p w14:paraId="14E2FF9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是否采用电子招标投标</w:t>
            </w:r>
          </w:p>
        </w:tc>
        <w:tc>
          <w:tcPr>
            <w:tcW w:w="6863" w:type="dxa"/>
            <w:vAlign w:val="center"/>
          </w:tcPr>
          <w:p w14:paraId="022A76BE">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w:t>
            </w:r>
            <w:r>
              <w:rPr>
                <w:rFonts w:hint="eastAsia"/>
                <w:color w:val="auto"/>
                <w:sz w:val="21"/>
                <w:szCs w:val="21"/>
                <w:highlight w:val="none"/>
              </w:rPr>
              <w:t>否</w:t>
            </w:r>
          </w:p>
          <w:p w14:paraId="0E6EA711">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■是，具体要求：1、具体操作详见</w:t>
            </w:r>
            <w:r>
              <w:rPr>
                <w:rFonts w:hint="eastAsia"/>
                <w:color w:val="auto"/>
                <w:sz w:val="21"/>
                <w:szCs w:val="21"/>
                <w:highlight w:val="none"/>
                <w:lang w:eastAsia="zh-CN"/>
              </w:rPr>
              <w:t>广州交易集团有限公司（广州公共资源交易中心）</w:t>
            </w:r>
            <w:r>
              <w:rPr>
                <w:rFonts w:hint="eastAsia"/>
                <w:color w:val="auto"/>
                <w:sz w:val="21"/>
                <w:szCs w:val="21"/>
                <w:highlight w:val="none"/>
              </w:rPr>
              <w:t>发布的最新版本《房屋建筑和市政基础设施工程全流程电子化项目专章》。</w:t>
            </w:r>
          </w:p>
          <w:p w14:paraId="6CE59542">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2、提交投标文件光盘备用</w:t>
            </w:r>
          </w:p>
          <w:p w14:paraId="58BE3D23">
            <w:pPr>
              <w:pStyle w:val="7"/>
              <w:keepNext w:val="0"/>
              <w:keepLines w:val="0"/>
              <w:suppressLineNumbers w:val="0"/>
              <w:topLinePunct/>
              <w:snapToGrid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投标人将按</w:t>
            </w:r>
            <w:r>
              <w:rPr>
                <w:rFonts w:hint="eastAsia"/>
                <w:color w:val="auto"/>
                <w:sz w:val="21"/>
                <w:szCs w:val="21"/>
                <w:highlight w:val="none"/>
                <w:lang w:eastAsia="zh-CN"/>
              </w:rPr>
              <w:t>广州交易集团有限公司（广州公共资源交易中心）</w:t>
            </w:r>
            <w:r>
              <w:rPr>
                <w:rFonts w:hint="eastAsia"/>
                <w:color w:val="auto"/>
                <w:sz w:val="21"/>
                <w:szCs w:val="21"/>
                <w:highlight w:val="none"/>
              </w:rPr>
              <w:t>发布的最新版本《房屋建筑和市政基础设施工程全流程电子化项目专章》的操作方法制作的非加密的电子投标文件刻入光盘（1份）在截至投标前15分钟提交至开标现场，</w:t>
            </w:r>
            <w:r>
              <w:rPr>
                <w:rFonts w:hint="eastAsia"/>
                <w:b/>
                <w:bCs/>
                <w:color w:val="auto"/>
                <w:sz w:val="21"/>
                <w:szCs w:val="21"/>
                <w:highlight w:val="none"/>
              </w:rPr>
              <w:t>投标人应凭法定代表人证明书及法定代表人授权委托书（授权代表递交时出具）递交投标文件备用光盘，并出示本人身份证原件。</w:t>
            </w:r>
            <w:r>
              <w:rPr>
                <w:rFonts w:hint="eastAsia"/>
                <w:color w:val="auto"/>
                <w:sz w:val="21"/>
                <w:szCs w:val="21"/>
                <w:highlight w:val="none"/>
              </w:rPr>
              <w:t>刻录好的投标文件光盘密封在密封袋中，并在封口处加盖投标人单位公章。密封袋上应写明的内容见投标人须知前附表要求4.1.2。</w:t>
            </w:r>
          </w:p>
          <w:p w14:paraId="6F93B92B">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现场递交的投标文件（光盘）不得加密。光盘（投标文件）无法读取或导入的，则视为未提交备用投标文件光盘。如果投标人没有按规定通过交易平台网上递交电子投标文件的，不再接受现场提交的光盘。投标人可选择不提交光盘备用。</w:t>
            </w:r>
          </w:p>
          <w:p w14:paraId="115C7794">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3、补救方案</w:t>
            </w:r>
          </w:p>
          <w:p w14:paraId="65F6F3EF">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（1）投标文件解密失败的补救方案：</w:t>
            </w:r>
          </w:p>
          <w:p w14:paraId="3A7D41DC">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E21933E">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（2）评标时突发情况的补救方案</w:t>
            </w:r>
          </w:p>
          <w:p w14:paraId="02459F35">
            <w:pPr>
              <w:pStyle w:val="7"/>
              <w:keepNext w:val="0"/>
              <w:keepLines w:val="0"/>
              <w:suppressLineNumbers w:val="0"/>
              <w:topLinePunct/>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若遇不可抗力发生（如：网络瘫痪、服务器损坏、交易系统故障短期无法恢复等因素），由评标委员会开启现场递交的全部投标文件光盘，并按光盘内容进行评审。</w:t>
            </w:r>
          </w:p>
          <w:p w14:paraId="0CEFF013">
            <w:pPr>
              <w:pStyle w:val="7"/>
              <w:keepNext w:val="0"/>
              <w:keepLines w:val="0"/>
              <w:suppressLineNumbers w:val="0"/>
              <w:topLinePunct/>
              <w:snapToGrid w:val="0"/>
              <w:spacing w:before="0" w:beforeAutospacing="0" w:after="0" w:afterAutospacing="0"/>
              <w:ind w:left="0" w:right="0"/>
              <w:rPr>
                <w:rFonts w:hint="default" w:hAnsi="宋体"/>
                <w:color w:val="auto"/>
                <w:szCs w:val="21"/>
                <w:highlight w:val="none"/>
              </w:rPr>
            </w:pPr>
            <w:r>
              <w:rPr>
                <w:rFonts w:hint="eastAsia"/>
                <w:color w:val="auto"/>
                <w:sz w:val="21"/>
                <w:szCs w:val="21"/>
                <w:highlight w:val="none"/>
              </w:rPr>
              <w:t>（3）除发生上述情况外，开标评标均以投标人通过交易平台网上递交的电子投标文件为准。</w:t>
            </w:r>
          </w:p>
        </w:tc>
      </w:tr>
      <w:tr w14:paraId="74398A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17224B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10</w:t>
            </w:r>
          </w:p>
        </w:tc>
        <w:tc>
          <w:tcPr>
            <w:tcW w:w="8513" w:type="dxa"/>
            <w:gridSpan w:val="2"/>
            <w:vAlign w:val="center"/>
          </w:tcPr>
          <w:p w14:paraId="0E064C0E">
            <w:pPr>
              <w:keepNext w:val="0"/>
              <w:keepLines w:val="0"/>
              <w:suppressLineNumbers w:val="0"/>
              <w:snapToGrid w:val="0"/>
              <w:spacing w:before="0" w:beforeAutospacing="0" w:after="0" w:afterAutospacing="0"/>
              <w:ind w:left="0" w:right="0"/>
              <w:jc w:val="both"/>
              <w:rPr>
                <w:rFonts w:hint="default" w:ascii="宋体" w:hAnsi="宋体"/>
                <w:color w:val="auto"/>
                <w:szCs w:val="21"/>
                <w:highlight w:val="none"/>
              </w:rPr>
            </w:pPr>
            <w:r>
              <w:rPr>
                <w:rFonts w:hint="default" w:ascii="宋体" w:hAnsi="宋体"/>
                <w:color w:val="auto"/>
                <w:szCs w:val="21"/>
                <w:highlight w:val="none"/>
              </w:rPr>
              <w:t>需要补充的其他内容</w:t>
            </w:r>
          </w:p>
        </w:tc>
      </w:tr>
      <w:tr w14:paraId="525B48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5A996B9">
            <w:pPr>
              <w:keepNext w:val="0"/>
              <w:keepLines w:val="0"/>
              <w:suppressLineNumbers w:val="0"/>
              <w:snapToGrid w:val="0"/>
              <w:spacing w:before="0" w:beforeAutospacing="0" w:after="0" w:afterAutospacing="0"/>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10.1</w:t>
            </w:r>
          </w:p>
        </w:tc>
        <w:tc>
          <w:tcPr>
            <w:tcW w:w="1650" w:type="dxa"/>
            <w:vAlign w:val="center"/>
          </w:tcPr>
          <w:p w14:paraId="0144E108">
            <w:pPr>
              <w:keepNext w:val="0"/>
              <w:keepLines w:val="0"/>
              <w:suppressLineNumbers w:val="0"/>
              <w:snapToGrid w:val="0"/>
              <w:spacing w:before="0" w:beforeAutospacing="0" w:after="0" w:afterAutospacing="0"/>
              <w:ind w:left="0" w:leftChars="0" w:right="0" w:rightChars="0"/>
              <w:jc w:val="center"/>
              <w:rPr>
                <w:rFonts w:hint="default" w:ascii="宋体" w:hAnsi="宋体"/>
                <w:color w:val="auto"/>
                <w:szCs w:val="21"/>
                <w:highlight w:val="none"/>
              </w:rPr>
            </w:pPr>
            <w:r>
              <w:rPr>
                <w:rFonts w:hint="eastAsia" w:ascii="宋体" w:hAnsi="宋体"/>
                <w:color w:val="auto"/>
                <w:szCs w:val="21"/>
                <w:highlight w:val="none"/>
              </w:rPr>
              <w:t>特别提示</w:t>
            </w:r>
          </w:p>
        </w:tc>
        <w:tc>
          <w:tcPr>
            <w:tcW w:w="6863" w:type="dxa"/>
            <w:vAlign w:val="center"/>
          </w:tcPr>
          <w:p w14:paraId="6B3FAB45">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）投标人在本项目招标人的工程项目中存在下列行为的，将被拒绝一年内参与我单位后续工程投标（注：拒绝投标时限自招标人发出通知之日起计）：</w:t>
            </w:r>
          </w:p>
          <w:p w14:paraId="59ECF727">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（1）将中标工程转包或者违法分包的；</w:t>
            </w:r>
          </w:p>
          <w:p w14:paraId="0AB86CF5">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lang w:val="en-US" w:eastAsia="zh-CN"/>
              </w:rPr>
            </w:pPr>
            <w:r>
              <w:rPr>
                <w:rFonts w:hint="eastAsia" w:ascii="宋体" w:hAnsi="宋体"/>
                <w:color w:val="auto"/>
                <w:szCs w:val="21"/>
                <w:highlight w:val="none"/>
              </w:rPr>
              <w:t>（2）在中标工程中不执行质量、安全生产相关规定的，造成质量或安全事故的；</w:t>
            </w:r>
          </w:p>
          <w:p w14:paraId="112CDF1C">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出让投标资格的；</w:t>
            </w:r>
          </w:p>
          <w:p w14:paraId="5914E654">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存在围标或串标情形的；</w:t>
            </w:r>
          </w:p>
          <w:p w14:paraId="077F1083">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）在投标文件中提供虚假材料的；</w:t>
            </w:r>
          </w:p>
          <w:p w14:paraId="2C046AF5">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）存在少放、不放业绩、奖项等客观评审资料，减少自身竞争力情形的；</w:t>
            </w:r>
          </w:p>
          <w:p w14:paraId="0DF8CBEE">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）存在行贿情形的</w:t>
            </w:r>
            <w:r>
              <w:rPr>
                <w:rFonts w:hint="eastAsia" w:ascii="宋体" w:hAnsi="宋体"/>
                <w:color w:val="auto"/>
                <w:szCs w:val="21"/>
                <w:highlight w:val="none"/>
                <w:lang w:eastAsia="zh-CN"/>
              </w:rPr>
              <w:t>；</w:t>
            </w:r>
          </w:p>
          <w:p w14:paraId="1F16AC70">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）拖欠农民工工资的；</w:t>
            </w:r>
          </w:p>
          <w:p w14:paraId="0A1B6155">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）为招标人提供服务过程中存在因过错行为被生效法律文书认定承担违约或侵权责任的；</w:t>
            </w:r>
          </w:p>
          <w:p w14:paraId="57D668BA">
            <w:pPr>
              <w:keepNext w:val="0"/>
              <w:keepLines w:val="0"/>
              <w:suppressLineNumbers w:val="0"/>
              <w:snapToGrid w:val="0"/>
              <w:spacing w:before="0" w:beforeAutospacing="0" w:after="0" w:afterAutospacing="0"/>
              <w:ind w:left="0" w:leftChars="0" w:right="0" w:rightChars="0"/>
              <w:jc w:val="lef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）违反合同约定自行调换或未按照招标人要求及时更换项目总监理工程师的；</w:t>
            </w:r>
          </w:p>
        </w:tc>
      </w:tr>
      <w:tr w14:paraId="34A019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4" w:hRule="atLeast"/>
        </w:trPr>
        <w:tc>
          <w:tcPr>
            <w:tcW w:w="1178" w:type="dxa"/>
            <w:vAlign w:val="center"/>
          </w:tcPr>
          <w:p w14:paraId="75C323DE">
            <w:pPr>
              <w:keepNext w:val="0"/>
              <w:keepLines w:val="0"/>
              <w:suppressLineNumbers w:val="0"/>
              <w:snapToGrid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2</w:t>
            </w:r>
          </w:p>
        </w:tc>
        <w:tc>
          <w:tcPr>
            <w:tcW w:w="1650" w:type="dxa"/>
            <w:vAlign w:val="center"/>
          </w:tcPr>
          <w:p w14:paraId="1B13F024">
            <w:pPr>
              <w:keepNext w:val="0"/>
              <w:keepLines w:val="0"/>
              <w:suppressLineNumbers w:val="0"/>
              <w:snapToGrid w:val="0"/>
              <w:spacing w:before="0" w:beforeAutospacing="0" w:after="0" w:afterAutospacing="0"/>
              <w:ind w:left="0" w:right="0"/>
              <w:jc w:val="center"/>
              <w:rPr>
                <w:rFonts w:hint="default" w:eastAsia="宋体" w:cs="Times New Roman"/>
                <w:color w:val="auto"/>
                <w:highlight w:val="none"/>
                <w:lang w:eastAsia="zh-CN"/>
              </w:rPr>
            </w:pPr>
            <w:r>
              <w:rPr>
                <w:rFonts w:hint="eastAsia" w:eastAsia="宋体" w:cs="Times New Roman"/>
                <w:color w:val="auto"/>
                <w:highlight w:val="none"/>
                <w:lang w:eastAsia="zh-CN"/>
              </w:rPr>
              <w:t>招标失败的情形</w:t>
            </w:r>
          </w:p>
        </w:tc>
        <w:tc>
          <w:tcPr>
            <w:tcW w:w="6863" w:type="dxa"/>
            <w:vAlign w:val="center"/>
          </w:tcPr>
          <w:p w14:paraId="629C22BA">
            <w:pPr>
              <w:keepNext w:val="0"/>
              <w:keepLines w:val="0"/>
              <w:suppressLineNumbers w:val="0"/>
              <w:snapToGrid w:val="0"/>
              <w:spacing w:before="0" w:beforeAutospacing="0" w:after="0" w:afterAutospacing="0"/>
              <w:ind w:left="0" w:right="0"/>
              <w:jc w:val="left"/>
              <w:rPr>
                <w:rFonts w:hint="default" w:eastAsia="宋体" w:cs="Times New Roman"/>
                <w:color w:val="auto"/>
                <w:highlight w:val="none"/>
                <w:lang w:eastAsia="zh-CN"/>
              </w:rPr>
            </w:pPr>
            <w:r>
              <w:rPr>
                <w:rFonts w:hint="eastAsia" w:eastAsia="宋体" w:cs="Times New Roman"/>
                <w:color w:val="auto"/>
                <w:highlight w:val="none"/>
                <w:lang w:eastAsia="zh-CN"/>
              </w:rPr>
              <w:t>本项目采用资格后审方式，资格审查与评标同时进行，通过形式评审、资格审查、响应性评审的投标申请人不足3名时为本项目本次招标失败。招标人分析招标失败原因，修正招标方案，报有关管理部门核准后，重新组织招标。</w:t>
            </w:r>
          </w:p>
        </w:tc>
      </w:tr>
      <w:tr w14:paraId="2A7FA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shd w:val="clear" w:color="auto" w:fill="auto"/>
            <w:vAlign w:val="center"/>
          </w:tcPr>
          <w:p w14:paraId="4D217586">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10.</w:t>
            </w:r>
            <w:r>
              <w:rPr>
                <w:rFonts w:hint="eastAsia" w:ascii="宋体" w:hAnsi="宋体"/>
                <w:color w:val="auto"/>
                <w:szCs w:val="21"/>
                <w:highlight w:val="none"/>
                <w:lang w:val="en-US" w:eastAsia="zh-CN"/>
              </w:rPr>
              <w:t>3</w:t>
            </w:r>
          </w:p>
        </w:tc>
        <w:tc>
          <w:tcPr>
            <w:tcW w:w="1650" w:type="dxa"/>
            <w:shd w:val="clear" w:color="auto" w:fill="auto"/>
            <w:vAlign w:val="center"/>
          </w:tcPr>
          <w:p w14:paraId="63F6D353">
            <w:pPr>
              <w:keepNext w:val="0"/>
              <w:keepLines w:val="0"/>
              <w:suppressLineNumbers w:val="0"/>
              <w:snapToGrid w:val="0"/>
              <w:spacing w:before="0" w:beforeAutospacing="0" w:after="0" w:afterAutospacing="0"/>
              <w:ind w:left="0" w:right="0"/>
              <w:jc w:val="left"/>
              <w:rPr>
                <w:rFonts w:hint="default" w:eastAsia="宋体" w:cs="Times New Roman"/>
                <w:color w:val="auto"/>
                <w:highlight w:val="none"/>
                <w:lang w:val="en-US" w:eastAsia="zh-CN"/>
              </w:rPr>
            </w:pPr>
            <w:r>
              <w:rPr>
                <w:rFonts w:hint="eastAsia" w:eastAsia="宋体" w:cs="Times New Roman"/>
                <w:color w:val="auto"/>
                <w:highlight w:val="none"/>
                <w:lang w:eastAsia="zh-CN"/>
              </w:rPr>
              <w:t>其他</w:t>
            </w:r>
          </w:p>
        </w:tc>
        <w:tc>
          <w:tcPr>
            <w:tcW w:w="6863" w:type="dxa"/>
            <w:shd w:val="clear" w:color="auto" w:fill="auto"/>
            <w:vAlign w:val="center"/>
          </w:tcPr>
          <w:p w14:paraId="3725CF72">
            <w:pPr>
              <w:keepNext w:val="0"/>
              <w:keepLines w:val="0"/>
              <w:suppressLineNumbers w:val="0"/>
              <w:snapToGrid w:val="0"/>
              <w:spacing w:before="0" w:beforeAutospacing="0" w:after="0" w:afterAutospacing="0"/>
              <w:ind w:left="0" w:right="0"/>
              <w:jc w:val="left"/>
              <w:rPr>
                <w:rFonts w:hint="default" w:eastAsia="宋体" w:cs="Times New Roman"/>
                <w:color w:val="auto"/>
                <w:highlight w:val="none"/>
                <w:lang w:eastAsia="zh-CN"/>
              </w:rPr>
            </w:pPr>
            <w:r>
              <w:rPr>
                <w:rFonts w:hint="eastAsia" w:eastAsia="宋体" w:cs="Times New Roman"/>
                <w:color w:val="auto"/>
                <w:highlight w:val="none"/>
                <w:lang w:val="en-US" w:eastAsia="zh-CN"/>
              </w:rPr>
              <w:t>1、</w:t>
            </w:r>
            <w:r>
              <w:rPr>
                <w:rFonts w:hint="default" w:eastAsia="宋体" w:cs="Times New Roman"/>
                <w:color w:val="auto"/>
                <w:highlight w:val="none"/>
                <w:lang w:eastAsia="zh-CN"/>
              </w:rPr>
              <w:t>在产生中标候选人后，招标人将中标候选人的投标文件商务部分（包括人员、业绩、奖项等资料）在广州交易集团有限公司（广州公共资源交易中心）平台和广东省招标投标监管网公开。</w:t>
            </w:r>
          </w:p>
          <w:p w14:paraId="5C042B9F">
            <w:pPr>
              <w:keepNext w:val="0"/>
              <w:keepLines w:val="0"/>
              <w:suppressLineNumbers w:val="0"/>
              <w:snapToGrid w:val="0"/>
              <w:spacing w:before="0" w:beforeAutospacing="0" w:after="0" w:afterAutospacing="0"/>
              <w:ind w:left="0" w:right="0"/>
              <w:jc w:val="left"/>
              <w:rPr>
                <w:rFonts w:hint="default" w:eastAsia="宋体" w:cs="Times New Roman"/>
                <w:color w:val="auto"/>
                <w:highlight w:val="none"/>
                <w:lang w:val="en-US" w:eastAsia="zh-CN"/>
              </w:rPr>
            </w:pPr>
            <w:r>
              <w:rPr>
                <w:rFonts w:hint="default" w:eastAsia="宋体" w:cs="Times New Roman"/>
                <w:color w:val="auto"/>
                <w:highlight w:val="none"/>
                <w:lang w:eastAsia="zh-CN"/>
              </w:rPr>
              <w:t>2、中标后，中标单位须提交与网上上传电子投标文件完全一致的纸质投标文件（一式</w:t>
            </w:r>
            <w:r>
              <w:rPr>
                <w:rFonts w:hint="eastAsia" w:cs="Times New Roman"/>
                <w:color w:val="auto"/>
                <w:highlight w:val="none"/>
                <w:lang w:val="en-US" w:eastAsia="zh-CN"/>
              </w:rPr>
              <w:t>两</w:t>
            </w:r>
            <w:r>
              <w:rPr>
                <w:rFonts w:hint="default" w:eastAsia="宋体" w:cs="Times New Roman"/>
                <w:color w:val="auto"/>
                <w:highlight w:val="none"/>
                <w:lang w:eastAsia="zh-CN"/>
              </w:rPr>
              <w:t>份，加盖公章）给招标单位。</w:t>
            </w:r>
          </w:p>
        </w:tc>
      </w:tr>
      <w:tr w14:paraId="1B72C9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1BEB268">
            <w:pPr>
              <w:keepNext w:val="0"/>
              <w:keepLines w:val="0"/>
              <w:suppressLineNumbers w:val="0"/>
              <w:snapToGrid w:val="0"/>
              <w:spacing w:before="0" w:beforeAutospacing="0" w:after="0" w:afterAutospacing="0"/>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10.4</w:t>
            </w:r>
          </w:p>
        </w:tc>
        <w:tc>
          <w:tcPr>
            <w:tcW w:w="1650" w:type="dxa"/>
            <w:shd w:val="clear" w:color="auto" w:fill="auto"/>
            <w:vAlign w:val="center"/>
          </w:tcPr>
          <w:p w14:paraId="35269B33">
            <w:pPr>
              <w:keepNext w:val="0"/>
              <w:keepLines w:val="0"/>
              <w:suppressLineNumbers w:val="0"/>
              <w:snapToGrid w:val="0"/>
              <w:spacing w:before="0" w:beforeAutospacing="0" w:after="0" w:afterAutospacing="0"/>
              <w:ind w:left="0" w:right="0"/>
              <w:jc w:val="left"/>
              <w:rPr>
                <w:rFonts w:hint="default" w:eastAsia="宋体" w:cs="Times New Roman"/>
                <w:color w:val="auto"/>
                <w:highlight w:val="none"/>
                <w:lang w:val="en-US" w:eastAsia="zh-CN"/>
              </w:rPr>
            </w:pPr>
            <w:r>
              <w:rPr>
                <w:rFonts w:hint="eastAsia" w:eastAsia="宋体" w:cs="Times New Roman"/>
                <w:color w:val="auto"/>
                <w:highlight w:val="none"/>
                <w:lang w:eastAsia="zh-CN"/>
              </w:rPr>
              <w:t>相关费用</w:t>
            </w:r>
          </w:p>
        </w:tc>
        <w:tc>
          <w:tcPr>
            <w:tcW w:w="6863" w:type="dxa"/>
            <w:shd w:val="clear" w:color="auto" w:fill="auto"/>
            <w:vAlign w:val="center"/>
          </w:tcPr>
          <w:p w14:paraId="44986721">
            <w:pPr>
              <w:keepNext w:val="0"/>
              <w:keepLines w:val="0"/>
              <w:suppressLineNumbers w:val="0"/>
              <w:snapToGrid w:val="0"/>
              <w:spacing w:before="0" w:beforeAutospacing="0" w:after="0" w:afterAutospacing="0"/>
              <w:ind w:left="0" w:right="0"/>
              <w:jc w:val="left"/>
              <w:rPr>
                <w:rFonts w:hint="default" w:eastAsia="宋体" w:cs="Times New Roman"/>
                <w:color w:val="auto"/>
                <w:highlight w:val="none"/>
                <w:lang w:val="en-US" w:eastAsia="zh-CN"/>
              </w:rPr>
            </w:pPr>
            <w:r>
              <w:rPr>
                <w:rFonts w:hint="eastAsia" w:eastAsia="宋体" w:cs="Times New Roman"/>
                <w:color w:val="auto"/>
                <w:highlight w:val="none"/>
                <w:lang w:eastAsia="zh-CN"/>
              </w:rPr>
              <w:t>中标人代缴广州交易集团有限公司（广州公共资源交易中心）交易服务费，其费用包含在中标人报价中，由广州交易集团有限公司（广州公共资源交易中心）向中标人开具增值税发票。</w:t>
            </w:r>
          </w:p>
        </w:tc>
      </w:tr>
      <w:tr w14:paraId="2EE75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8191470">
            <w:pPr>
              <w:keepNext w:val="0"/>
              <w:keepLines w:val="0"/>
              <w:suppressLineNumbers w:val="0"/>
              <w:snapToGrid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5</w:t>
            </w:r>
          </w:p>
        </w:tc>
        <w:tc>
          <w:tcPr>
            <w:tcW w:w="1650" w:type="dxa"/>
            <w:vAlign w:val="center"/>
          </w:tcPr>
          <w:p w14:paraId="6AEF0C2A">
            <w:pPr>
              <w:keepNext w:val="0"/>
              <w:keepLines w:val="0"/>
              <w:suppressLineNumbers w:val="0"/>
              <w:spacing w:before="0" w:beforeAutospacing="0" w:after="0" w:afterAutospacing="0" w:line="360" w:lineRule="auto"/>
              <w:ind w:left="0" w:right="-44" w:rightChars="-21"/>
              <w:jc w:val="center"/>
              <w:rPr>
                <w:rFonts w:hint="default" w:ascii="宋体" w:hAnsi="宋体"/>
                <w:color w:val="auto"/>
                <w:szCs w:val="21"/>
                <w:highlight w:val="none"/>
              </w:rPr>
            </w:pPr>
            <w:r>
              <w:rPr>
                <w:rFonts w:hint="eastAsia" w:ascii="宋体" w:hAnsi="宋体" w:cs="宋体"/>
                <w:color w:val="auto"/>
                <w:szCs w:val="21"/>
                <w:highlight w:val="none"/>
              </w:rPr>
              <w:t>否决投标条款</w:t>
            </w:r>
          </w:p>
        </w:tc>
        <w:tc>
          <w:tcPr>
            <w:tcW w:w="6863" w:type="dxa"/>
            <w:vAlign w:val="center"/>
          </w:tcPr>
          <w:p w14:paraId="77F3FC67">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否决投标条款：</w:t>
            </w:r>
          </w:p>
          <w:p w14:paraId="728B8509">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1、在投标截止期后逾期或未在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数字交易平台（http://www.gzggzy.cn）递交电子投标文件的，电子招标投标交易平台将拒绝接收其投标文件。</w:t>
            </w:r>
          </w:p>
          <w:p w14:paraId="582471B8">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2、投标文件应当对招标文件的实质性要求和条件作出满足性或更有利于招标人的响应，否则，投标人的投标将被否决。</w:t>
            </w:r>
          </w:p>
          <w:p w14:paraId="171BE758">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3、投标人有以下情形之一的，评标委员会应当否决其投标：</w:t>
            </w:r>
          </w:p>
          <w:p w14:paraId="47BC679E">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（1）投标文件没有对招标文件的实质性要求和条件作出响应，或者对招标文件的偏差超出招标文件规定的偏差范围或最高项数；</w:t>
            </w:r>
          </w:p>
          <w:p w14:paraId="3A6D5676">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（2）有串通投标、弄虚作假、行贿等违法行为。</w:t>
            </w:r>
          </w:p>
          <w:p w14:paraId="32E6C678">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4、投标报价有算术错误及其他错误的，评标委员会按以下原则要求投标人对投标报价进行修正，并要求投标人书面澄清确认。投标人拒不澄清确认的，评标委员会应当否决其投标：</w:t>
            </w:r>
          </w:p>
          <w:p w14:paraId="558F06BA">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（1）投标文件中的大写金额与小写金额不一致的，以大写金额为准；</w:t>
            </w:r>
          </w:p>
          <w:p w14:paraId="184D0C8F">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（2）总价金额与单价金额不一致的，以单价金额为准，但单价金额小数点有明显错误的除外。</w:t>
            </w:r>
          </w:p>
          <w:p w14:paraId="78FDD72C">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5DE88D4">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6、投标文件中投标报价高于最高投标限价的，其投标文件将被否决。</w:t>
            </w:r>
          </w:p>
          <w:p w14:paraId="2E7D0E8F">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7、按投标报价的算术校核原则及方法调整或修正投标文件的投标报价，调整后的投标报价对投标人起约束作用。如果投标人不接受修正后的报价，则取消其中标资格，并且其投标担保也将被没收。</w:t>
            </w:r>
          </w:p>
          <w:p w14:paraId="1E7B99F1">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8、资审合格后，投标人的资格发生变化而不满足投标人合格条件，在发出中标通知书前，资格问题仍未解决的，招标人将取消其中标资格。</w:t>
            </w:r>
          </w:p>
          <w:p w14:paraId="114C3F3C">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9、投标文件符合列于《评标办法前附表》“形式评审标准”“资格评审标准”“响应性评审标准”中所有情形的，为有效投标文件。任一情形不符合均为无效投标文件，经评标委员会认定后，其投标文件将被否决。</w:t>
            </w:r>
          </w:p>
        </w:tc>
      </w:tr>
    </w:tbl>
    <w:p w14:paraId="0F407193">
      <w:pPr>
        <w:rPr>
          <w:rFonts w:ascii="Times New Roman" w:hAnsi="Times New Roman"/>
          <w:color w:val="auto"/>
          <w:highlight w:val="none"/>
        </w:rPr>
      </w:pPr>
      <w:r>
        <w:rPr>
          <w:rFonts w:ascii="Times New Roman" w:hAnsi="Times New Roman"/>
          <w:color w:val="auto"/>
          <w:highlight w:val="none"/>
        </w:rPr>
        <w:br w:type="page"/>
      </w:r>
    </w:p>
    <w:p w14:paraId="2C645C18">
      <w:pPr>
        <w:pStyle w:val="4"/>
        <w:keepNext w:val="0"/>
        <w:keepLines w:val="0"/>
        <w:spacing w:before="20" w:after="0" w:line="360" w:lineRule="auto"/>
        <w:jc w:val="left"/>
        <w:rPr>
          <w:rFonts w:ascii="Times New Roman" w:hAnsi="Times New Roman"/>
          <w:color w:val="auto"/>
          <w:highlight w:val="none"/>
        </w:rPr>
      </w:pPr>
      <w:bookmarkStart w:id="18" w:name="_Toc32578"/>
      <w:bookmarkStart w:id="19" w:name="_Toc7114"/>
      <w:bookmarkStart w:id="20" w:name="_Toc25071"/>
      <w:bookmarkStart w:id="21" w:name="_Toc28826"/>
      <w:bookmarkStart w:id="22" w:name="_Toc527028679"/>
      <w:bookmarkStart w:id="23" w:name="_Toc520310853"/>
      <w:bookmarkStart w:id="24" w:name="_Toc527028502"/>
      <w:bookmarkStart w:id="25" w:name="_Toc527028850"/>
    </w:p>
    <w:p w14:paraId="4E3A6333">
      <w:pPr>
        <w:pStyle w:val="4"/>
        <w:keepNext w:val="0"/>
        <w:keepLines w:val="0"/>
        <w:spacing w:before="20" w:after="0"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rPr>
        <w:t>总则</w:t>
      </w:r>
      <w:bookmarkEnd w:id="18"/>
      <w:bookmarkEnd w:id="19"/>
      <w:bookmarkEnd w:id="20"/>
      <w:bookmarkEnd w:id="21"/>
    </w:p>
    <w:p w14:paraId="4DF90021">
      <w:pPr>
        <w:pStyle w:val="5"/>
        <w:spacing w:line="360" w:lineRule="auto"/>
        <w:ind w:firstLine="0" w:firstLineChars="0"/>
        <w:rPr>
          <w:rFonts w:ascii="宋体" w:hAnsi="宋体" w:eastAsia="宋体" w:cs="宋体"/>
          <w:color w:val="auto"/>
          <w:szCs w:val="24"/>
          <w:highlight w:val="none"/>
        </w:rPr>
      </w:pPr>
      <w:bookmarkStart w:id="26" w:name="_Toc17110"/>
      <w:bookmarkStart w:id="27" w:name="_Toc23083"/>
      <w:bookmarkStart w:id="28" w:name="_Toc14769"/>
      <w:bookmarkStart w:id="29" w:name="_Toc21695"/>
      <w:bookmarkStart w:id="30" w:name="_Toc11481"/>
      <w:bookmarkStart w:id="31" w:name="_Toc7221"/>
      <w:bookmarkStart w:id="32" w:name="_Toc492300565"/>
      <w:bookmarkStart w:id="33" w:name="_Toc11648"/>
      <w:bookmarkStart w:id="34" w:name="_Toc22496"/>
      <w:bookmarkStart w:id="35" w:name="_Toc23852"/>
      <w:r>
        <w:rPr>
          <w:rFonts w:ascii="宋体" w:hAnsi="宋体" w:eastAsia="宋体" w:cs="宋体"/>
          <w:bCs/>
          <w:color w:val="auto"/>
          <w:szCs w:val="24"/>
          <w:highlight w:val="none"/>
        </w:rPr>
        <w:t xml:space="preserve">1.1 </w:t>
      </w:r>
      <w:r>
        <w:rPr>
          <w:rFonts w:hint="eastAsia" w:ascii="宋体" w:hAnsi="宋体" w:eastAsia="宋体" w:cs="宋体"/>
          <w:bCs/>
          <w:color w:val="auto"/>
          <w:szCs w:val="24"/>
          <w:highlight w:val="none"/>
        </w:rPr>
        <w:t>招标项目概况</w:t>
      </w:r>
      <w:bookmarkEnd w:id="26"/>
      <w:bookmarkEnd w:id="27"/>
      <w:bookmarkEnd w:id="28"/>
      <w:bookmarkEnd w:id="29"/>
      <w:bookmarkEnd w:id="30"/>
      <w:bookmarkEnd w:id="31"/>
      <w:bookmarkEnd w:id="32"/>
      <w:bookmarkEnd w:id="33"/>
      <w:bookmarkEnd w:id="34"/>
      <w:bookmarkEnd w:id="35"/>
    </w:p>
    <w:p w14:paraId="0E8AB1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1.1.1根据《中华人民共和国招标投标法》、《中华人民共和国招标投标法实施条例》等有关法律、法规和规章的规定，本招标项目已具备招标条件，现对监理进行招标。</w:t>
      </w:r>
    </w:p>
    <w:p w14:paraId="769E7A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1.1.2招标人：见投标人须知前附表。</w:t>
      </w:r>
    </w:p>
    <w:p w14:paraId="034A0C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1.1.3招标代理机构：见投标人须知前附表。</w:t>
      </w:r>
    </w:p>
    <w:p w14:paraId="65ED6FC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1.1.4招标项目名称：见投标人须知前附表。</w:t>
      </w:r>
    </w:p>
    <w:p w14:paraId="7627CF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1.1.5项目建设地点：见投标人须知前附表。</w:t>
      </w:r>
    </w:p>
    <w:p w14:paraId="545278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1.1.6项目建设规模：见投标人须知前附表。</w:t>
      </w:r>
    </w:p>
    <w:p w14:paraId="78B7BA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1.1.7工程项目施工预计开工日期和建设周期：见投标人须知前附表。</w:t>
      </w:r>
    </w:p>
    <w:p w14:paraId="22E87495">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1.1.8建筑安装工程费/工程概算：见投标人须知前附表。</w:t>
      </w:r>
    </w:p>
    <w:p w14:paraId="7203986E">
      <w:pPr>
        <w:pStyle w:val="5"/>
        <w:spacing w:line="360" w:lineRule="auto"/>
        <w:ind w:firstLine="0" w:firstLineChars="0"/>
        <w:rPr>
          <w:rFonts w:ascii="宋体" w:hAnsi="宋体" w:eastAsia="宋体" w:cs="宋体"/>
          <w:color w:val="auto"/>
          <w:szCs w:val="24"/>
          <w:highlight w:val="none"/>
        </w:rPr>
      </w:pPr>
      <w:bookmarkStart w:id="36" w:name="_Toc4038"/>
      <w:bookmarkStart w:id="37" w:name="_Toc27081"/>
      <w:bookmarkStart w:id="38" w:name="_Toc20959"/>
      <w:bookmarkStart w:id="39" w:name="_Toc492300566"/>
      <w:bookmarkStart w:id="40" w:name="_Toc26231"/>
      <w:bookmarkStart w:id="41" w:name="_Toc29508"/>
      <w:bookmarkStart w:id="42" w:name="_Toc19038"/>
      <w:bookmarkStart w:id="43" w:name="_Toc32712"/>
      <w:bookmarkStart w:id="44" w:name="_Toc20295"/>
      <w:bookmarkStart w:id="45" w:name="_Toc8474"/>
      <w:r>
        <w:rPr>
          <w:rFonts w:ascii="宋体" w:hAnsi="宋体" w:eastAsia="宋体" w:cs="宋体"/>
          <w:color w:val="auto"/>
          <w:szCs w:val="24"/>
          <w:highlight w:val="none"/>
        </w:rPr>
        <w:t xml:space="preserve">1.2 </w:t>
      </w:r>
      <w:r>
        <w:rPr>
          <w:rFonts w:hint="eastAsia" w:ascii="宋体" w:hAnsi="宋体" w:eastAsia="宋体" w:cs="宋体"/>
          <w:color w:val="auto"/>
          <w:szCs w:val="24"/>
          <w:highlight w:val="none"/>
        </w:rPr>
        <w:t>招标项目的资金来源和落实情况</w:t>
      </w:r>
      <w:bookmarkEnd w:id="36"/>
      <w:bookmarkEnd w:id="37"/>
      <w:bookmarkEnd w:id="38"/>
      <w:bookmarkEnd w:id="39"/>
      <w:bookmarkEnd w:id="40"/>
      <w:bookmarkEnd w:id="41"/>
      <w:bookmarkEnd w:id="42"/>
      <w:bookmarkEnd w:id="43"/>
      <w:bookmarkEnd w:id="44"/>
      <w:bookmarkEnd w:id="45"/>
    </w:p>
    <w:p w14:paraId="60E83337">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1.2.1 </w:t>
      </w:r>
      <w:r>
        <w:rPr>
          <w:rFonts w:hint="eastAsia" w:ascii="宋体" w:hAnsi="宋体" w:cs="宋体"/>
          <w:color w:val="auto"/>
          <w:sz w:val="24"/>
          <w:szCs w:val="24"/>
          <w:highlight w:val="none"/>
        </w:rPr>
        <w:t>资金来源及比例：见投标人须知前附表。</w:t>
      </w:r>
    </w:p>
    <w:p w14:paraId="32F2B85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1.2.2 </w:t>
      </w:r>
      <w:r>
        <w:rPr>
          <w:rFonts w:hint="eastAsia" w:ascii="宋体" w:hAnsi="宋体" w:cs="宋体"/>
          <w:color w:val="auto"/>
          <w:sz w:val="24"/>
          <w:szCs w:val="24"/>
          <w:highlight w:val="none"/>
        </w:rPr>
        <w:t>资金落实情况：见投标人须知前附表。</w:t>
      </w:r>
    </w:p>
    <w:p w14:paraId="1E07D0D0">
      <w:pPr>
        <w:pStyle w:val="5"/>
        <w:spacing w:line="360" w:lineRule="auto"/>
        <w:ind w:firstLine="0" w:firstLineChars="0"/>
        <w:rPr>
          <w:rFonts w:ascii="宋体" w:hAnsi="宋体" w:eastAsia="宋体" w:cs="宋体"/>
          <w:color w:val="auto"/>
          <w:szCs w:val="24"/>
          <w:highlight w:val="none"/>
        </w:rPr>
      </w:pPr>
      <w:bookmarkStart w:id="46" w:name="_Toc10849"/>
      <w:bookmarkStart w:id="47" w:name="_Toc492300567"/>
      <w:bookmarkStart w:id="48" w:name="_Toc977"/>
      <w:bookmarkStart w:id="49" w:name="_Toc31220"/>
      <w:bookmarkStart w:id="50" w:name="_Toc30529"/>
      <w:bookmarkStart w:id="51" w:name="_Toc17260"/>
      <w:bookmarkStart w:id="52" w:name="_Toc25902"/>
      <w:bookmarkStart w:id="53" w:name="_Toc26261"/>
      <w:bookmarkStart w:id="54" w:name="_Toc2931"/>
      <w:bookmarkStart w:id="55" w:name="_Toc25003"/>
      <w:r>
        <w:rPr>
          <w:rFonts w:hint="eastAsia" w:ascii="宋体" w:hAnsi="宋体" w:eastAsia="宋体" w:cs="宋体"/>
          <w:color w:val="auto"/>
          <w:szCs w:val="24"/>
          <w:highlight w:val="none"/>
        </w:rPr>
        <w:t>1.3招标范围、监理服务期限和质量标准</w:t>
      </w:r>
      <w:bookmarkEnd w:id="46"/>
      <w:bookmarkEnd w:id="47"/>
      <w:bookmarkEnd w:id="48"/>
      <w:bookmarkEnd w:id="49"/>
      <w:bookmarkEnd w:id="50"/>
      <w:bookmarkEnd w:id="51"/>
      <w:bookmarkEnd w:id="52"/>
      <w:bookmarkEnd w:id="53"/>
      <w:bookmarkEnd w:id="54"/>
      <w:bookmarkEnd w:id="55"/>
    </w:p>
    <w:p w14:paraId="72E091E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1.3.1 </w:t>
      </w:r>
      <w:r>
        <w:rPr>
          <w:rFonts w:hint="eastAsia" w:ascii="宋体" w:hAnsi="宋体" w:cs="宋体"/>
          <w:color w:val="auto"/>
          <w:sz w:val="24"/>
          <w:szCs w:val="24"/>
          <w:highlight w:val="none"/>
        </w:rPr>
        <w:t>招标范围：见投标人须知前附表。</w:t>
      </w:r>
    </w:p>
    <w:p w14:paraId="1BFA3C8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1.3.2 </w:t>
      </w:r>
      <w:r>
        <w:rPr>
          <w:rFonts w:hint="eastAsia" w:ascii="宋体" w:hAnsi="宋体" w:cs="宋体"/>
          <w:color w:val="auto"/>
          <w:sz w:val="24"/>
          <w:szCs w:val="24"/>
          <w:highlight w:val="none"/>
        </w:rPr>
        <w:t>服务期限：见投标人须知前附表。</w:t>
      </w:r>
    </w:p>
    <w:p w14:paraId="328737BB">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1.3.3 </w:t>
      </w:r>
      <w:r>
        <w:rPr>
          <w:rFonts w:hint="eastAsia" w:ascii="宋体" w:hAnsi="宋体" w:cs="宋体"/>
          <w:color w:val="auto"/>
          <w:sz w:val="24"/>
          <w:szCs w:val="24"/>
          <w:highlight w:val="none"/>
        </w:rPr>
        <w:t>质量标准：见投标人须知前附表。</w:t>
      </w:r>
    </w:p>
    <w:p w14:paraId="4C7CE71C">
      <w:pPr>
        <w:pStyle w:val="5"/>
        <w:spacing w:line="360" w:lineRule="auto"/>
        <w:ind w:firstLine="0" w:firstLineChars="0"/>
        <w:rPr>
          <w:rFonts w:ascii="宋体" w:hAnsi="宋体" w:eastAsia="宋体" w:cs="宋体"/>
          <w:color w:val="auto"/>
          <w:szCs w:val="24"/>
          <w:highlight w:val="none"/>
        </w:rPr>
      </w:pPr>
      <w:bookmarkStart w:id="56" w:name="_Toc21657"/>
      <w:bookmarkStart w:id="57" w:name="_Toc2550"/>
      <w:bookmarkStart w:id="58" w:name="_Toc19855"/>
      <w:bookmarkStart w:id="59" w:name="_Toc20806"/>
      <w:bookmarkStart w:id="60" w:name="_Toc10416"/>
      <w:bookmarkStart w:id="61" w:name="_Toc3452"/>
      <w:bookmarkStart w:id="62" w:name="_Toc24309"/>
      <w:bookmarkStart w:id="63" w:name="_Toc492300568"/>
      <w:bookmarkStart w:id="64" w:name="_Toc31590"/>
      <w:bookmarkStart w:id="65" w:name="_Toc2674"/>
      <w:r>
        <w:rPr>
          <w:rFonts w:hint="eastAsia" w:ascii="宋体" w:hAnsi="宋体" w:eastAsia="宋体" w:cs="宋体"/>
          <w:color w:val="auto"/>
          <w:szCs w:val="24"/>
          <w:highlight w:val="none"/>
        </w:rPr>
        <w:t>1.4投标人资格要求</w:t>
      </w:r>
      <w:bookmarkEnd w:id="56"/>
      <w:bookmarkEnd w:id="57"/>
      <w:bookmarkEnd w:id="58"/>
      <w:bookmarkEnd w:id="59"/>
      <w:bookmarkEnd w:id="60"/>
      <w:bookmarkEnd w:id="61"/>
      <w:bookmarkEnd w:id="62"/>
      <w:bookmarkEnd w:id="63"/>
      <w:bookmarkEnd w:id="64"/>
      <w:bookmarkEnd w:id="65"/>
    </w:p>
    <w:p w14:paraId="41B52E3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投标人应具备承担本招标项目资质条件、能力和信誉：</w:t>
      </w:r>
    </w:p>
    <w:p w14:paraId="586333F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（1）资质要求：见投标人须知前附表；</w:t>
      </w:r>
    </w:p>
    <w:p w14:paraId="159AA8B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（2）财务要求：见投标人须知前附表；</w:t>
      </w:r>
    </w:p>
    <w:p w14:paraId="2C28AE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（3）业绩要求：见投标人须知前附表；</w:t>
      </w:r>
    </w:p>
    <w:p w14:paraId="758981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（4）信誉要求：见投标人须知前附表；</w:t>
      </w:r>
    </w:p>
    <w:p w14:paraId="2C26AE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（5）总监理工程师的资格要求：应当具备工程注册监理工程师执业资格（如有），具体要求见投标人须知前附表；</w:t>
      </w:r>
    </w:p>
    <w:p w14:paraId="17978A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（6）其他主要人员要求：见投标人须知前附表。</w:t>
      </w:r>
    </w:p>
    <w:p w14:paraId="56A684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（7）试验检测仪器设备要求：见投标人须知前附表。</w:t>
      </w:r>
    </w:p>
    <w:p w14:paraId="3F1251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（8）其他要求：见投标人须知前附表。</w:t>
      </w:r>
    </w:p>
    <w:p w14:paraId="42D4A6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需要提交的相关证明材料见本章第3.5款的规定。</w:t>
      </w:r>
    </w:p>
    <w:p w14:paraId="79BE133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1.4.2投标人须知前附表规定接受联合体投标的，联合体除应符合本章第1.4.1项和投标人须知前附表的要求外，还应遵守以下规定：</w:t>
      </w:r>
    </w:p>
    <w:p w14:paraId="05DE9E1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（1）联合体各方应按招标文件提供的格式签订联合体协议书，明确联合体牵头人和各方权利义务，并承诺就中标项目向招标人承担连带责任；</w:t>
      </w:r>
    </w:p>
    <w:p w14:paraId="0F63219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（2）由同一专业的单位组成的联合体，按照资质等级较低的单位确定资质等级；</w:t>
      </w:r>
    </w:p>
    <w:p w14:paraId="1B83E8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（3）联合体各方不得再以自己名义单独或参加其他联合体在本招标项目中投标，否则各相关投标均无效。</w:t>
      </w:r>
    </w:p>
    <w:p w14:paraId="44663A7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1.4.3 </w:t>
      </w:r>
      <w:r>
        <w:rPr>
          <w:rFonts w:hint="eastAsia" w:ascii="宋体" w:hAnsi="宋体" w:cs="宋体"/>
          <w:color w:val="auto"/>
          <w:sz w:val="24"/>
          <w:szCs w:val="24"/>
          <w:highlight w:val="none"/>
        </w:rPr>
        <w:t>投标人不得存在下列情形之一：</w:t>
      </w:r>
    </w:p>
    <w:p w14:paraId="2508D45D">
      <w:pPr>
        <w:spacing w:line="360" w:lineRule="auto"/>
        <w:ind w:firstLine="480" w:firstLineChars="200"/>
        <w:rPr>
          <w:rFonts w:hint="eastAsia" w:ascii="宋体" w:hAnsi="宋体" w:cs="宋体"/>
          <w:color w:val="auto"/>
          <w:sz w:val="24"/>
          <w:szCs w:val="24"/>
          <w:highlight w:val="none"/>
        </w:rPr>
      </w:pPr>
      <w:bookmarkStart w:id="66" w:name="_Toc6163"/>
      <w:bookmarkStart w:id="67" w:name="_Toc17400"/>
      <w:bookmarkStart w:id="68" w:name="_Toc12621"/>
      <w:bookmarkStart w:id="69" w:name="_Toc7015"/>
      <w:bookmarkStart w:id="70" w:name="_Toc872"/>
      <w:bookmarkStart w:id="71" w:name="_Toc21274"/>
      <w:bookmarkStart w:id="72" w:name="_Toc19434"/>
      <w:bookmarkStart w:id="73" w:name="_Toc492300569"/>
      <w:bookmarkStart w:id="74" w:name="_Toc20396"/>
      <w:bookmarkStart w:id="75" w:name="_Toc24418"/>
      <w:r>
        <w:rPr>
          <w:rFonts w:hint="eastAsia" w:ascii="宋体" w:hAnsi="宋体" w:cs="宋体"/>
          <w:color w:val="auto"/>
          <w:sz w:val="24"/>
          <w:szCs w:val="24"/>
          <w:highlight w:val="none"/>
        </w:rPr>
        <w:t>（1）为招标人不具有独立法人资格的附属机构（单位）；</w:t>
      </w:r>
    </w:p>
    <w:p w14:paraId="426B0E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（2）与招标人存在利害关系且可能影响招标公正性；</w:t>
      </w:r>
    </w:p>
    <w:p w14:paraId="3A0024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（3）与本招标项目的其他投标人为同一个单位负责人；</w:t>
      </w:r>
    </w:p>
    <w:p w14:paraId="4A9743E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（4）与本招标项目的其他投标人存在控股、管理关系；</w:t>
      </w:r>
    </w:p>
    <w:p w14:paraId="0BA6F8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（5）为本招标项目的代建人；</w:t>
      </w:r>
    </w:p>
    <w:p w14:paraId="3859D0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（6）为本招标项目的招标代理机构；</w:t>
      </w:r>
    </w:p>
    <w:p w14:paraId="5B99B81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（7）与本招标项目的代建人或招标代理机构同为一个法定代表人；</w:t>
      </w:r>
    </w:p>
    <w:p w14:paraId="5EAE52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（8）与本招标项目的代建人或招标代理机构存在控股或参股关系；</w:t>
      </w:r>
    </w:p>
    <w:p w14:paraId="773A3E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（9）与本招标项目的施工承包人以及建筑材料、建筑构配件和设备供应商有隶属关系或者其他利害关系；</w:t>
      </w:r>
    </w:p>
    <w:p w14:paraId="4257F0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（10）被依法暂停或者取消投标资格</w:t>
      </w:r>
      <w:r>
        <w:rPr>
          <w:rFonts w:hint="eastAsia" w:ascii="宋体" w:hAnsi="宋体" w:cs="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sz w:val="24"/>
          <w:szCs w:val="24"/>
          <w:highlight w:val="none"/>
        </w:rPr>
        <w:t>；</w:t>
      </w:r>
    </w:p>
    <w:p w14:paraId="3EA9536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（11）被责令停产停业、暂扣或者吊销许可证、暂扣或者吊销执照</w:t>
      </w:r>
      <w:r>
        <w:rPr>
          <w:rFonts w:hint="eastAsia" w:ascii="宋体" w:hAnsi="宋体" w:cs="宋体"/>
          <w:color w:val="auto"/>
          <w:sz w:val="24"/>
          <w:szCs w:val="24"/>
          <w:highlight w:val="none"/>
          <w:u w:val="single"/>
        </w:rPr>
        <w:t>（本项事实应当以根据《中华人民共和国行政处罚法》依法作出并已经生效的行政处罚决定为认定依据）</w:t>
      </w:r>
      <w:r>
        <w:rPr>
          <w:rFonts w:hint="eastAsia" w:ascii="宋体" w:hAnsi="宋体" w:cs="宋体"/>
          <w:color w:val="auto"/>
          <w:sz w:val="24"/>
          <w:szCs w:val="24"/>
          <w:highlight w:val="none"/>
        </w:rPr>
        <w:t>；</w:t>
      </w:r>
    </w:p>
    <w:p w14:paraId="79EF32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（12）进入清算程序，或被宣告破产，或其他丧失履约能力的情形；</w:t>
      </w:r>
    </w:p>
    <w:p w14:paraId="561AFE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（13）在最近三年内有严重违约或重大</w:t>
      </w:r>
      <w:r>
        <w:rPr>
          <w:rFonts w:hint="eastAsia" w:ascii="宋体" w:hAnsi="宋体" w:cs="宋体"/>
          <w:color w:val="auto"/>
          <w:sz w:val="24"/>
          <w:szCs w:val="24"/>
          <w:highlight w:val="none"/>
          <w:lang w:val="en-US" w:eastAsia="zh-CN"/>
        </w:rPr>
        <w:t>监理</w:t>
      </w:r>
      <w:r>
        <w:rPr>
          <w:rFonts w:hint="eastAsia" w:ascii="宋体" w:hAnsi="宋体" w:cs="宋体"/>
          <w:color w:val="auto"/>
          <w:sz w:val="24"/>
          <w:szCs w:val="24"/>
          <w:highlight w:val="none"/>
        </w:rPr>
        <w:t>质量问题的</w:t>
      </w:r>
      <w:r>
        <w:rPr>
          <w:rFonts w:hint="eastAsia" w:ascii="宋体" w:hAnsi="宋体" w:cs="宋体"/>
          <w:color w:val="auto"/>
          <w:sz w:val="24"/>
          <w:szCs w:val="24"/>
          <w:highlight w:val="none"/>
          <w:u w:val="single"/>
        </w:rPr>
        <w:t>（“严重违约”事实应当以司法机关、仲裁机构出具的认定文件为准。“重大</w:t>
      </w:r>
      <w:r>
        <w:rPr>
          <w:rFonts w:hint="eastAsia" w:ascii="宋体" w:hAnsi="宋体" w:cs="宋体"/>
          <w:color w:val="auto"/>
          <w:sz w:val="24"/>
          <w:szCs w:val="24"/>
          <w:highlight w:val="none"/>
          <w:u w:val="single"/>
          <w:lang w:val="en-US" w:eastAsia="zh-CN"/>
        </w:rPr>
        <w:t>监理质量</w:t>
      </w:r>
      <w:r>
        <w:rPr>
          <w:rFonts w:hint="eastAsia" w:ascii="宋体" w:hAnsi="宋体" w:cs="宋体"/>
          <w:color w:val="auto"/>
          <w:sz w:val="24"/>
          <w:szCs w:val="24"/>
          <w:highlight w:val="none"/>
          <w:u w:val="single"/>
        </w:rPr>
        <w:t>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cs="宋体"/>
          <w:color w:val="auto"/>
          <w:sz w:val="24"/>
          <w:szCs w:val="24"/>
          <w:highlight w:val="none"/>
        </w:rPr>
        <w:t>；</w:t>
      </w:r>
    </w:p>
    <w:p w14:paraId="4CA87B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（14）法律法规或投标人须知前附表规定的其他情形。</w:t>
      </w:r>
    </w:p>
    <w:p w14:paraId="70723CC1">
      <w:pPr>
        <w:pStyle w:val="5"/>
        <w:spacing w:line="360" w:lineRule="auto"/>
        <w:ind w:firstLine="0" w:firstLineChars="0"/>
        <w:rPr>
          <w:rFonts w:ascii="宋体" w:hAnsi="宋体" w:eastAsia="宋体" w:cs="宋体"/>
          <w:color w:val="auto"/>
          <w:szCs w:val="24"/>
          <w:highlight w:val="none"/>
        </w:rPr>
      </w:pPr>
      <w:r>
        <w:rPr>
          <w:rFonts w:ascii="宋体" w:hAnsi="宋体" w:eastAsia="宋体" w:cs="宋体"/>
          <w:color w:val="auto"/>
          <w:szCs w:val="24"/>
          <w:highlight w:val="none"/>
        </w:rPr>
        <w:t xml:space="preserve">1.5 </w:t>
      </w:r>
      <w:r>
        <w:rPr>
          <w:rFonts w:hint="eastAsia" w:ascii="宋体" w:hAnsi="宋体" w:eastAsia="宋体" w:cs="宋体"/>
          <w:color w:val="auto"/>
          <w:szCs w:val="24"/>
          <w:highlight w:val="none"/>
        </w:rPr>
        <w:t>费用承担</w:t>
      </w:r>
      <w:bookmarkEnd w:id="66"/>
      <w:bookmarkEnd w:id="67"/>
      <w:bookmarkEnd w:id="68"/>
      <w:bookmarkEnd w:id="69"/>
      <w:bookmarkEnd w:id="70"/>
      <w:bookmarkEnd w:id="71"/>
      <w:bookmarkEnd w:id="72"/>
      <w:bookmarkEnd w:id="73"/>
      <w:bookmarkEnd w:id="74"/>
      <w:bookmarkEnd w:id="75"/>
    </w:p>
    <w:p w14:paraId="7A2363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投标人准备和参加投标活动发生的费用自理。</w:t>
      </w:r>
    </w:p>
    <w:p w14:paraId="4578FDAA">
      <w:pPr>
        <w:pStyle w:val="5"/>
        <w:spacing w:line="360" w:lineRule="auto"/>
        <w:ind w:firstLine="0" w:firstLineChars="0"/>
        <w:rPr>
          <w:rFonts w:ascii="宋体" w:hAnsi="宋体" w:eastAsia="宋体" w:cs="宋体"/>
          <w:color w:val="auto"/>
          <w:szCs w:val="24"/>
          <w:highlight w:val="none"/>
        </w:rPr>
      </w:pPr>
      <w:bookmarkStart w:id="76" w:name="_Toc29749"/>
      <w:bookmarkStart w:id="77" w:name="_Toc30736"/>
      <w:bookmarkStart w:id="78" w:name="_Toc12237"/>
      <w:bookmarkStart w:id="79" w:name="_Toc4949"/>
      <w:bookmarkStart w:id="80" w:name="_Toc19542"/>
      <w:bookmarkStart w:id="81" w:name="_Toc10184"/>
      <w:bookmarkStart w:id="82" w:name="_Toc9215"/>
      <w:bookmarkStart w:id="83" w:name="_Toc492300570"/>
      <w:bookmarkStart w:id="84" w:name="_Toc6809"/>
      <w:bookmarkStart w:id="85" w:name="_Toc27939"/>
      <w:r>
        <w:rPr>
          <w:rFonts w:ascii="宋体" w:hAnsi="宋体" w:eastAsia="宋体" w:cs="宋体"/>
          <w:color w:val="auto"/>
          <w:szCs w:val="24"/>
          <w:highlight w:val="none"/>
        </w:rPr>
        <w:t>1.6</w:t>
      </w:r>
      <w:r>
        <w:rPr>
          <w:rFonts w:hint="eastAsia" w:ascii="宋体" w:hAnsi="宋体" w:eastAsia="宋体" w:cs="宋体"/>
          <w:color w:val="auto"/>
          <w:szCs w:val="24"/>
          <w:highlight w:val="none"/>
        </w:rPr>
        <w:t xml:space="preserve"> 保密</w:t>
      </w:r>
      <w:bookmarkEnd w:id="76"/>
      <w:bookmarkEnd w:id="77"/>
      <w:bookmarkEnd w:id="78"/>
      <w:bookmarkEnd w:id="79"/>
      <w:bookmarkEnd w:id="80"/>
      <w:bookmarkEnd w:id="81"/>
      <w:bookmarkEnd w:id="82"/>
      <w:bookmarkEnd w:id="83"/>
      <w:bookmarkEnd w:id="84"/>
      <w:bookmarkEnd w:id="85"/>
    </w:p>
    <w:p w14:paraId="45ADE2C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参与招标投标活动的各方应对招标文件和投标文件中</w:t>
      </w:r>
      <w:bookmarkStart w:id="86" w:name="_Toc384308214"/>
      <w:bookmarkStart w:id="87" w:name="_Toc369531519"/>
      <w:bookmarkStart w:id="88" w:name="_Toc361508589"/>
      <w:bookmarkStart w:id="89" w:name="_Toc5326"/>
      <w:bookmarkStart w:id="90" w:name="_Toc352691477"/>
      <w:r>
        <w:rPr>
          <w:rFonts w:hint="eastAsia" w:ascii="宋体" w:hAnsi="宋体" w:cs="宋体"/>
          <w:color w:val="auto"/>
          <w:sz w:val="24"/>
          <w:szCs w:val="24"/>
          <w:highlight w:val="none"/>
        </w:rPr>
        <w:t>的商业和技术等秘密保密</w:t>
      </w:r>
      <w:bookmarkEnd w:id="86"/>
      <w:bookmarkEnd w:id="87"/>
      <w:bookmarkEnd w:id="88"/>
      <w:bookmarkEnd w:id="89"/>
      <w:bookmarkEnd w:id="90"/>
      <w:r>
        <w:rPr>
          <w:rFonts w:hint="eastAsia" w:ascii="宋体" w:hAnsi="宋体" w:cs="宋体"/>
          <w:color w:val="auto"/>
          <w:sz w:val="24"/>
          <w:szCs w:val="24"/>
          <w:highlight w:val="none"/>
        </w:rPr>
        <w:t>，否则应承担相应的法律责任。</w:t>
      </w:r>
    </w:p>
    <w:p w14:paraId="4D53B1ED">
      <w:pPr>
        <w:pStyle w:val="5"/>
        <w:spacing w:line="360" w:lineRule="auto"/>
        <w:ind w:firstLine="0" w:firstLineChars="0"/>
        <w:rPr>
          <w:rFonts w:ascii="宋体" w:hAnsi="宋体" w:eastAsia="宋体" w:cs="宋体"/>
          <w:color w:val="auto"/>
          <w:szCs w:val="24"/>
          <w:highlight w:val="none"/>
        </w:rPr>
      </w:pPr>
      <w:bookmarkStart w:id="91" w:name="_Toc492300571"/>
      <w:bookmarkStart w:id="92" w:name="_Toc9017"/>
      <w:bookmarkStart w:id="93" w:name="_Toc24881"/>
      <w:bookmarkStart w:id="94" w:name="_Toc25860"/>
      <w:bookmarkStart w:id="95" w:name="_Toc657"/>
      <w:bookmarkStart w:id="96" w:name="_Toc32094"/>
      <w:bookmarkStart w:id="97" w:name="_Toc12300"/>
      <w:bookmarkStart w:id="98" w:name="_Toc6774"/>
      <w:bookmarkStart w:id="99" w:name="_Toc6779"/>
      <w:bookmarkStart w:id="100" w:name="_Toc19298"/>
      <w:r>
        <w:rPr>
          <w:rFonts w:ascii="宋体" w:hAnsi="宋体" w:eastAsia="宋体" w:cs="宋体"/>
          <w:color w:val="auto"/>
          <w:szCs w:val="24"/>
          <w:highlight w:val="none"/>
        </w:rPr>
        <w:t xml:space="preserve">1.7 </w:t>
      </w:r>
      <w:r>
        <w:rPr>
          <w:rFonts w:hint="eastAsia" w:ascii="宋体" w:hAnsi="宋体" w:eastAsia="宋体" w:cs="宋体"/>
          <w:color w:val="auto"/>
          <w:szCs w:val="24"/>
          <w:highlight w:val="none"/>
        </w:rPr>
        <w:t>语言文字</w:t>
      </w:r>
      <w:bookmarkEnd w:id="91"/>
      <w:bookmarkEnd w:id="92"/>
      <w:bookmarkEnd w:id="93"/>
      <w:bookmarkEnd w:id="94"/>
      <w:bookmarkEnd w:id="95"/>
      <w:bookmarkEnd w:id="96"/>
      <w:bookmarkEnd w:id="97"/>
      <w:bookmarkEnd w:id="98"/>
      <w:bookmarkEnd w:id="99"/>
      <w:bookmarkEnd w:id="100"/>
    </w:p>
    <w:p w14:paraId="355FFD2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招标投标文件使用的语言文字为中文。专用术语使用外文的，应附有中文注释。</w:t>
      </w:r>
    </w:p>
    <w:p w14:paraId="51EAEE95">
      <w:pPr>
        <w:pStyle w:val="5"/>
        <w:spacing w:line="360" w:lineRule="auto"/>
        <w:ind w:firstLine="0" w:firstLineChars="0"/>
        <w:rPr>
          <w:rFonts w:ascii="宋体" w:hAnsi="宋体" w:eastAsia="宋体" w:cs="宋体"/>
          <w:color w:val="auto"/>
          <w:szCs w:val="24"/>
          <w:highlight w:val="none"/>
        </w:rPr>
      </w:pPr>
      <w:bookmarkStart w:id="101" w:name="_Toc10804"/>
      <w:bookmarkStart w:id="102" w:name="_Toc492300572"/>
      <w:bookmarkStart w:id="103" w:name="_Toc3529"/>
      <w:bookmarkStart w:id="104" w:name="_Toc27121"/>
      <w:bookmarkStart w:id="105" w:name="_Toc26419"/>
      <w:bookmarkStart w:id="106" w:name="_Toc26431"/>
      <w:bookmarkStart w:id="107" w:name="_Toc11561"/>
      <w:bookmarkStart w:id="108" w:name="_Toc20276"/>
      <w:bookmarkStart w:id="109" w:name="_Toc10746"/>
      <w:bookmarkStart w:id="110" w:name="_Toc23181"/>
      <w:r>
        <w:rPr>
          <w:rFonts w:hint="eastAsia" w:ascii="宋体" w:hAnsi="宋体" w:eastAsia="宋体" w:cs="宋体"/>
          <w:color w:val="auto"/>
          <w:szCs w:val="24"/>
          <w:highlight w:val="none"/>
        </w:rPr>
        <w:t>1.8 计量单位</w:t>
      </w:r>
      <w:bookmarkEnd w:id="101"/>
      <w:bookmarkEnd w:id="102"/>
      <w:bookmarkEnd w:id="103"/>
      <w:bookmarkEnd w:id="104"/>
      <w:bookmarkEnd w:id="105"/>
      <w:bookmarkEnd w:id="106"/>
      <w:bookmarkEnd w:id="107"/>
      <w:bookmarkEnd w:id="108"/>
      <w:bookmarkEnd w:id="109"/>
      <w:bookmarkEnd w:id="110"/>
    </w:p>
    <w:p w14:paraId="5F6E4A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14:paraId="6C88869C">
      <w:pPr>
        <w:pStyle w:val="5"/>
        <w:spacing w:line="360" w:lineRule="auto"/>
        <w:ind w:firstLine="0" w:firstLineChars="0"/>
        <w:rPr>
          <w:rFonts w:ascii="宋体" w:hAnsi="宋体" w:eastAsia="宋体" w:cs="宋体"/>
          <w:color w:val="auto"/>
          <w:szCs w:val="24"/>
          <w:highlight w:val="none"/>
        </w:rPr>
      </w:pPr>
      <w:bookmarkStart w:id="111" w:name="_Toc482188480"/>
      <w:bookmarkStart w:id="112" w:name="_Toc16766"/>
      <w:bookmarkStart w:id="113" w:name="_Toc29990"/>
      <w:bookmarkStart w:id="114" w:name="_Toc21883"/>
      <w:bookmarkStart w:id="115" w:name="_Toc361508594"/>
      <w:bookmarkStart w:id="116" w:name="_Toc247513962"/>
      <w:bookmarkStart w:id="117" w:name="_Toc152042315"/>
      <w:bookmarkStart w:id="118" w:name="_Toc152045539"/>
      <w:bookmarkStart w:id="119" w:name="_Toc29515"/>
      <w:bookmarkStart w:id="120" w:name="_Toc10088"/>
      <w:bookmarkStart w:id="121" w:name="_Toc492300573"/>
      <w:bookmarkStart w:id="122" w:name="_Toc370676289"/>
      <w:bookmarkStart w:id="123" w:name="_Toc144974507"/>
      <w:bookmarkStart w:id="124" w:name="_Toc11659"/>
      <w:bookmarkStart w:id="125" w:name="_Toc300834959"/>
      <w:bookmarkStart w:id="126" w:name="_Toc384308219"/>
      <w:bookmarkStart w:id="127" w:name="_Toc20483"/>
      <w:bookmarkStart w:id="128" w:name="_Toc391393967"/>
      <w:bookmarkStart w:id="129" w:name="_Toc4326"/>
      <w:bookmarkStart w:id="130" w:name="_Toc247527563"/>
      <w:bookmarkStart w:id="131" w:name="_Toc5474"/>
      <w:r>
        <w:rPr>
          <w:rFonts w:ascii="宋体" w:hAnsi="宋体" w:eastAsia="宋体" w:cs="宋体"/>
          <w:color w:val="auto"/>
          <w:szCs w:val="24"/>
          <w:highlight w:val="none"/>
        </w:rPr>
        <w:t xml:space="preserve">1.9 </w:t>
      </w:r>
      <w:r>
        <w:rPr>
          <w:rFonts w:hint="eastAsia" w:ascii="宋体" w:hAnsi="宋体" w:eastAsia="宋体" w:cs="宋体"/>
          <w:color w:val="auto"/>
          <w:szCs w:val="24"/>
          <w:highlight w:val="none"/>
        </w:rPr>
        <w:t>踏勘现场</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7950D14">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1.9.1 </w:t>
      </w:r>
      <w:r>
        <w:rPr>
          <w:rFonts w:hint="eastAsia" w:ascii="宋体" w:hAnsi="宋体" w:cs="宋体"/>
          <w:color w:val="auto"/>
          <w:sz w:val="24"/>
          <w:szCs w:val="24"/>
          <w:highlight w:val="none"/>
        </w:rPr>
        <w:t>投标人须知前附表规定组织踏勘现场的，招标人按投标人须知前附表规定的时间、地点组织投标人踏勘项目现场。部分投标人未按时参加踏勘现场的，不影响踏勘现场的正常进行。</w:t>
      </w:r>
    </w:p>
    <w:p w14:paraId="16D92D9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1.9.2 </w:t>
      </w:r>
      <w:r>
        <w:rPr>
          <w:rFonts w:hint="eastAsia" w:ascii="宋体" w:hAnsi="宋体" w:cs="宋体"/>
          <w:color w:val="auto"/>
          <w:sz w:val="24"/>
          <w:szCs w:val="24"/>
          <w:highlight w:val="none"/>
        </w:rPr>
        <w:t>投标人踏勘现场发生的费用自理。</w:t>
      </w:r>
    </w:p>
    <w:p w14:paraId="291EFF38">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1.9.3 </w:t>
      </w:r>
      <w:r>
        <w:rPr>
          <w:rFonts w:hint="eastAsia" w:ascii="宋体" w:hAnsi="宋体" w:cs="宋体"/>
          <w:color w:val="auto"/>
          <w:sz w:val="24"/>
          <w:szCs w:val="24"/>
          <w:highlight w:val="none"/>
        </w:rPr>
        <w:t>除招标人的原因外，投标人自行负责在踏勘现场中所发生的人员伤亡和财产损失。</w:t>
      </w:r>
    </w:p>
    <w:p w14:paraId="5E9A96D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1.9.4 </w:t>
      </w:r>
      <w:r>
        <w:rPr>
          <w:rFonts w:hint="eastAsia" w:ascii="宋体" w:hAnsi="宋体" w:cs="宋体"/>
          <w:color w:val="auto"/>
          <w:sz w:val="24"/>
          <w:szCs w:val="24"/>
          <w:highlight w:val="none"/>
        </w:rPr>
        <w:t>招标人在踏勘现场中介绍的工程场地和相关的周边环境情况，供投标人在编制投标文件时参考，招标人不对投标人据此作出的判断和决策负责。</w:t>
      </w:r>
    </w:p>
    <w:p w14:paraId="417F67F3">
      <w:pPr>
        <w:pStyle w:val="5"/>
        <w:spacing w:line="360" w:lineRule="auto"/>
        <w:ind w:firstLine="0" w:firstLineChars="0"/>
        <w:rPr>
          <w:rFonts w:ascii="宋体" w:hAnsi="宋体" w:eastAsia="宋体" w:cs="宋体"/>
          <w:color w:val="auto"/>
          <w:szCs w:val="24"/>
          <w:highlight w:val="none"/>
        </w:rPr>
      </w:pPr>
      <w:bookmarkStart w:id="132" w:name="_Toc21715"/>
      <w:bookmarkStart w:id="133" w:name="_Toc10652"/>
      <w:bookmarkStart w:id="134" w:name="_Toc3908"/>
      <w:bookmarkStart w:id="135" w:name="_Toc11535"/>
      <w:bookmarkStart w:id="136" w:name="_Toc21847"/>
      <w:bookmarkStart w:id="137" w:name="_Toc492300574"/>
      <w:bookmarkStart w:id="138" w:name="_Toc9856"/>
      <w:bookmarkStart w:id="139" w:name="_Toc11420"/>
      <w:bookmarkStart w:id="140" w:name="_Toc19565"/>
      <w:bookmarkStart w:id="141" w:name="_Toc8220"/>
      <w:r>
        <w:rPr>
          <w:rFonts w:hint="eastAsia" w:ascii="宋体" w:hAnsi="宋体" w:eastAsia="宋体" w:cs="宋体"/>
          <w:color w:val="auto"/>
          <w:szCs w:val="24"/>
          <w:highlight w:val="none"/>
        </w:rPr>
        <w:t>1.10 投标预备会</w:t>
      </w:r>
      <w:bookmarkEnd w:id="132"/>
      <w:bookmarkEnd w:id="133"/>
      <w:bookmarkEnd w:id="134"/>
      <w:bookmarkEnd w:id="135"/>
      <w:bookmarkEnd w:id="136"/>
      <w:bookmarkEnd w:id="137"/>
      <w:bookmarkEnd w:id="138"/>
      <w:bookmarkEnd w:id="139"/>
      <w:bookmarkEnd w:id="140"/>
      <w:bookmarkEnd w:id="141"/>
    </w:p>
    <w:p w14:paraId="73904A1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1.10.1 </w:t>
      </w:r>
      <w:r>
        <w:rPr>
          <w:rFonts w:hint="eastAsia" w:ascii="宋体" w:hAnsi="宋体" w:cs="宋体"/>
          <w:color w:val="auto"/>
          <w:sz w:val="24"/>
          <w:szCs w:val="24"/>
          <w:highlight w:val="none"/>
        </w:rPr>
        <w:t>投标人须知前附表规定召开投标预备会的，招标人按投标人须知前附表规定的时间和地点召开投标预备会，澄清投标人提出的问题。</w:t>
      </w:r>
    </w:p>
    <w:p w14:paraId="4FC4CD77">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1.10.2 </w:t>
      </w:r>
      <w:r>
        <w:rPr>
          <w:rFonts w:hint="eastAsia" w:ascii="宋体" w:hAnsi="宋体" w:cs="宋体"/>
          <w:color w:val="auto"/>
          <w:sz w:val="24"/>
          <w:szCs w:val="24"/>
          <w:highlight w:val="none"/>
        </w:rPr>
        <w:t>投标人应按投标人须知前附表规定的时间和形式将提出的问题送达招标人，以便招标人在会议期间澄清。</w:t>
      </w:r>
    </w:p>
    <w:p w14:paraId="487253B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1.10.3 </w:t>
      </w:r>
      <w:r>
        <w:rPr>
          <w:rFonts w:hint="eastAsia" w:ascii="宋体" w:hAnsi="宋体" w:cs="宋体"/>
          <w:color w:val="auto"/>
          <w:sz w:val="24"/>
          <w:szCs w:val="24"/>
          <w:highlight w:val="none"/>
        </w:rPr>
        <w:t>投标预备会后，招标人将对投标人所提问题的澄清，以投标人须知前附表规定的形式通知所有购买招标文件的投标人。该澄清内容为招标文件的组成部分。</w:t>
      </w:r>
    </w:p>
    <w:p w14:paraId="04661295">
      <w:pPr>
        <w:pStyle w:val="5"/>
        <w:spacing w:line="360" w:lineRule="auto"/>
        <w:ind w:firstLine="0" w:firstLineChars="0"/>
        <w:rPr>
          <w:rFonts w:ascii="宋体" w:hAnsi="宋体" w:eastAsia="宋体" w:cs="宋体"/>
          <w:color w:val="auto"/>
          <w:szCs w:val="24"/>
          <w:highlight w:val="none"/>
        </w:rPr>
      </w:pPr>
      <w:bookmarkStart w:id="142" w:name="_Toc22887"/>
      <w:bookmarkStart w:id="143" w:name="_Toc19968"/>
      <w:bookmarkStart w:id="144" w:name="_Toc25550"/>
      <w:bookmarkStart w:id="145" w:name="_Toc21594"/>
      <w:bookmarkStart w:id="146" w:name="_Toc11055"/>
      <w:bookmarkStart w:id="147" w:name="_Toc16569"/>
      <w:bookmarkStart w:id="148" w:name="_Toc6848"/>
      <w:bookmarkStart w:id="149" w:name="_Toc492300575"/>
      <w:bookmarkStart w:id="150" w:name="_Toc7636"/>
      <w:bookmarkStart w:id="151" w:name="_Toc13598"/>
      <w:r>
        <w:rPr>
          <w:rFonts w:ascii="宋体" w:hAnsi="宋体" w:eastAsia="宋体" w:cs="宋体"/>
          <w:color w:val="auto"/>
          <w:szCs w:val="24"/>
          <w:highlight w:val="none"/>
        </w:rPr>
        <w:t xml:space="preserve">1.11 </w:t>
      </w:r>
      <w:r>
        <w:rPr>
          <w:rFonts w:hint="eastAsia" w:ascii="宋体" w:hAnsi="宋体" w:eastAsia="宋体" w:cs="宋体"/>
          <w:color w:val="auto"/>
          <w:szCs w:val="24"/>
          <w:highlight w:val="none"/>
        </w:rPr>
        <w:t>分包</w:t>
      </w:r>
      <w:bookmarkEnd w:id="142"/>
      <w:bookmarkEnd w:id="143"/>
      <w:bookmarkEnd w:id="144"/>
      <w:bookmarkEnd w:id="145"/>
      <w:bookmarkEnd w:id="146"/>
      <w:bookmarkEnd w:id="147"/>
      <w:bookmarkEnd w:id="148"/>
      <w:bookmarkEnd w:id="149"/>
      <w:bookmarkEnd w:id="150"/>
      <w:bookmarkEnd w:id="151"/>
    </w:p>
    <w:p w14:paraId="1F574F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本项目严禁分包。</w:t>
      </w:r>
    </w:p>
    <w:p w14:paraId="62834C01">
      <w:pPr>
        <w:pStyle w:val="5"/>
        <w:spacing w:line="360" w:lineRule="auto"/>
        <w:ind w:firstLine="0" w:firstLineChars="0"/>
        <w:rPr>
          <w:rFonts w:ascii="宋体" w:hAnsi="宋体" w:eastAsia="宋体" w:cs="宋体"/>
          <w:color w:val="auto"/>
          <w:szCs w:val="24"/>
          <w:highlight w:val="none"/>
        </w:rPr>
      </w:pPr>
      <w:bookmarkStart w:id="152" w:name="_Toc15584"/>
      <w:bookmarkStart w:id="153" w:name="_Toc29564"/>
      <w:bookmarkStart w:id="154" w:name="_Toc5747"/>
      <w:bookmarkStart w:id="155" w:name="_Toc7090"/>
      <w:bookmarkStart w:id="156" w:name="_Toc32619"/>
      <w:bookmarkStart w:id="157" w:name="_Toc16032"/>
      <w:bookmarkStart w:id="158" w:name="_Toc9275"/>
      <w:bookmarkStart w:id="159" w:name="_Toc492300576"/>
      <w:bookmarkStart w:id="160" w:name="_Toc11526"/>
      <w:bookmarkStart w:id="161" w:name="_Toc23487"/>
      <w:r>
        <w:rPr>
          <w:rFonts w:hint="eastAsia" w:ascii="宋体" w:hAnsi="宋体" w:eastAsia="宋体" w:cs="宋体"/>
          <w:color w:val="auto"/>
          <w:szCs w:val="24"/>
          <w:highlight w:val="none"/>
        </w:rPr>
        <w:t>1.12响应和偏差</w:t>
      </w:r>
      <w:bookmarkEnd w:id="152"/>
      <w:bookmarkEnd w:id="153"/>
      <w:bookmarkEnd w:id="154"/>
      <w:bookmarkEnd w:id="155"/>
      <w:bookmarkEnd w:id="156"/>
      <w:bookmarkEnd w:id="157"/>
      <w:bookmarkEnd w:id="158"/>
      <w:bookmarkEnd w:id="159"/>
      <w:bookmarkEnd w:id="160"/>
      <w:bookmarkEnd w:id="161"/>
    </w:p>
    <w:p w14:paraId="70A1F1B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14:paraId="173A9F0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1.12.2 </w:t>
      </w:r>
      <w:r>
        <w:rPr>
          <w:rFonts w:hint="eastAsia" w:ascii="宋体" w:hAnsi="宋体" w:cs="宋体"/>
          <w:color w:val="auto"/>
          <w:sz w:val="24"/>
          <w:szCs w:val="24"/>
          <w:highlight w:val="none"/>
        </w:rPr>
        <w:t>投标人应根据招标文件的要求提供投标监理大纲等内容以对招标文件作出响应。</w:t>
      </w:r>
    </w:p>
    <w:p w14:paraId="1AEB3E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1.12.3投标人须知前附表允许投标文件偏离招标文件某些要求的，偏差应当符合招标文件规定的偏差范围和幅度。</w:t>
      </w:r>
    </w:p>
    <w:p w14:paraId="20BC528A">
      <w:pPr>
        <w:pStyle w:val="4"/>
        <w:spacing w:line="360" w:lineRule="auto"/>
        <w:rPr>
          <w:rFonts w:ascii="宋体" w:hAnsi="宋体" w:eastAsia="宋体" w:cs="宋体"/>
          <w:color w:val="auto"/>
          <w:sz w:val="28"/>
          <w:szCs w:val="28"/>
          <w:highlight w:val="none"/>
        </w:rPr>
      </w:pPr>
      <w:bookmarkStart w:id="162" w:name="_Toc4355"/>
      <w:bookmarkStart w:id="163" w:name="_Toc492300577"/>
      <w:bookmarkStart w:id="164" w:name="_Toc17578"/>
      <w:bookmarkStart w:id="165" w:name="_Toc30626"/>
      <w:bookmarkStart w:id="166" w:name="_Toc12512"/>
      <w:bookmarkStart w:id="167" w:name="_Toc13086"/>
      <w:bookmarkStart w:id="168" w:name="_Toc2551"/>
      <w:bookmarkStart w:id="169" w:name="_Toc3361"/>
      <w:bookmarkStart w:id="170" w:name="_Toc32110"/>
      <w:bookmarkStart w:id="171" w:name="_Toc4157"/>
      <w:r>
        <w:rPr>
          <w:rFonts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rPr>
        <w:t>招标文件</w:t>
      </w:r>
      <w:bookmarkEnd w:id="162"/>
      <w:bookmarkEnd w:id="163"/>
      <w:bookmarkEnd w:id="164"/>
      <w:bookmarkEnd w:id="165"/>
      <w:bookmarkEnd w:id="166"/>
      <w:bookmarkEnd w:id="167"/>
      <w:bookmarkEnd w:id="168"/>
      <w:bookmarkEnd w:id="169"/>
      <w:bookmarkEnd w:id="170"/>
      <w:bookmarkEnd w:id="171"/>
    </w:p>
    <w:p w14:paraId="44612BD1">
      <w:pPr>
        <w:pStyle w:val="5"/>
        <w:spacing w:line="360" w:lineRule="auto"/>
        <w:ind w:firstLine="0" w:firstLineChars="0"/>
        <w:rPr>
          <w:rFonts w:ascii="宋体" w:hAnsi="宋体" w:eastAsia="宋体" w:cs="宋体"/>
          <w:color w:val="auto"/>
          <w:szCs w:val="24"/>
          <w:highlight w:val="none"/>
        </w:rPr>
      </w:pPr>
      <w:bookmarkStart w:id="172" w:name="_Toc28644"/>
      <w:bookmarkStart w:id="173" w:name="_Toc21453"/>
      <w:bookmarkStart w:id="174" w:name="_Toc7923"/>
      <w:bookmarkStart w:id="175" w:name="_Toc21412"/>
      <w:bookmarkStart w:id="176" w:name="_Toc32308"/>
      <w:bookmarkStart w:id="177" w:name="_Toc1039"/>
      <w:bookmarkStart w:id="178" w:name="_Toc25240"/>
      <w:bookmarkStart w:id="179" w:name="_Toc492300578"/>
      <w:bookmarkStart w:id="180" w:name="_Toc18046"/>
      <w:bookmarkStart w:id="181" w:name="_Toc29609"/>
      <w:r>
        <w:rPr>
          <w:rFonts w:ascii="宋体" w:hAnsi="宋体" w:eastAsia="宋体" w:cs="宋体"/>
          <w:color w:val="auto"/>
          <w:szCs w:val="24"/>
          <w:highlight w:val="none"/>
        </w:rPr>
        <w:t xml:space="preserve">2.1 </w:t>
      </w:r>
      <w:r>
        <w:rPr>
          <w:rFonts w:hint="eastAsia" w:ascii="宋体" w:hAnsi="宋体" w:eastAsia="宋体" w:cs="宋体"/>
          <w:color w:val="auto"/>
          <w:szCs w:val="24"/>
          <w:highlight w:val="none"/>
        </w:rPr>
        <w:t>招标文件的组成</w:t>
      </w:r>
      <w:bookmarkEnd w:id="172"/>
      <w:bookmarkEnd w:id="173"/>
      <w:bookmarkEnd w:id="174"/>
      <w:bookmarkEnd w:id="175"/>
      <w:bookmarkEnd w:id="176"/>
      <w:bookmarkEnd w:id="177"/>
      <w:bookmarkEnd w:id="178"/>
      <w:bookmarkEnd w:id="179"/>
      <w:bookmarkEnd w:id="180"/>
      <w:bookmarkEnd w:id="181"/>
    </w:p>
    <w:p w14:paraId="5CE017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本招标文件包括：</w:t>
      </w:r>
    </w:p>
    <w:p w14:paraId="1B4A89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（1）招标公告；</w:t>
      </w:r>
    </w:p>
    <w:p w14:paraId="5992E93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（2）投标人须知；</w:t>
      </w:r>
    </w:p>
    <w:p w14:paraId="4C812E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（3）评标办法；</w:t>
      </w:r>
    </w:p>
    <w:p w14:paraId="5644343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（4）合同条款及格式；</w:t>
      </w:r>
    </w:p>
    <w:p w14:paraId="5A6CF2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（5）委托人要求；</w:t>
      </w:r>
    </w:p>
    <w:p w14:paraId="29146E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（6）投标文件格式；</w:t>
      </w:r>
    </w:p>
    <w:p w14:paraId="1AEA1BD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投标人须知前附表规定的其他资料。</w:t>
      </w:r>
    </w:p>
    <w:p w14:paraId="05FB38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根据本章第1.10款、第2.2款和第2.3款对招标文件所作的澄清、修改，构成招标文件的组成部分。</w:t>
      </w:r>
    </w:p>
    <w:p w14:paraId="348402BC">
      <w:pPr>
        <w:pStyle w:val="5"/>
        <w:spacing w:line="360" w:lineRule="auto"/>
        <w:ind w:firstLine="0" w:firstLineChars="0"/>
        <w:rPr>
          <w:rFonts w:ascii="宋体" w:hAnsi="宋体" w:eastAsia="宋体" w:cs="宋体"/>
          <w:color w:val="auto"/>
          <w:szCs w:val="24"/>
          <w:highlight w:val="none"/>
        </w:rPr>
      </w:pPr>
      <w:bookmarkStart w:id="182" w:name="_Toc27084"/>
      <w:bookmarkStart w:id="183" w:name="_Toc32400"/>
      <w:bookmarkStart w:id="184" w:name="_Toc20370"/>
      <w:bookmarkStart w:id="185" w:name="_Toc20512"/>
      <w:bookmarkStart w:id="186" w:name="_Toc17542"/>
      <w:bookmarkStart w:id="187" w:name="_Toc492300579"/>
      <w:bookmarkStart w:id="188" w:name="_Toc30224"/>
      <w:bookmarkStart w:id="189" w:name="_Toc31226"/>
      <w:bookmarkStart w:id="190" w:name="_Toc21017"/>
      <w:bookmarkStart w:id="191" w:name="_Toc29033"/>
      <w:r>
        <w:rPr>
          <w:rFonts w:ascii="宋体" w:hAnsi="宋体" w:eastAsia="宋体" w:cs="宋体"/>
          <w:color w:val="auto"/>
          <w:szCs w:val="24"/>
          <w:highlight w:val="none"/>
        </w:rPr>
        <w:t xml:space="preserve">2.2 </w:t>
      </w:r>
      <w:r>
        <w:rPr>
          <w:rFonts w:hint="eastAsia" w:ascii="宋体" w:hAnsi="宋体" w:eastAsia="宋体" w:cs="宋体"/>
          <w:color w:val="auto"/>
          <w:szCs w:val="24"/>
          <w:highlight w:val="none"/>
        </w:rPr>
        <w:t>招标文件的澄清</w:t>
      </w:r>
      <w:bookmarkEnd w:id="182"/>
      <w:bookmarkEnd w:id="183"/>
      <w:bookmarkEnd w:id="184"/>
      <w:bookmarkEnd w:id="185"/>
      <w:bookmarkEnd w:id="186"/>
      <w:bookmarkEnd w:id="187"/>
      <w:bookmarkEnd w:id="188"/>
      <w:bookmarkEnd w:id="189"/>
      <w:bookmarkEnd w:id="190"/>
      <w:bookmarkEnd w:id="191"/>
    </w:p>
    <w:p w14:paraId="1CBA1255">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2.2.1 </w:t>
      </w:r>
      <w:r>
        <w:rPr>
          <w:rFonts w:hint="eastAsia" w:ascii="宋体" w:hAnsi="宋体" w:cs="宋体"/>
          <w:color w:val="auto"/>
          <w:sz w:val="24"/>
          <w:szCs w:val="24"/>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2C48025">
      <w:pPr>
        <w:spacing w:line="360" w:lineRule="auto"/>
        <w:ind w:firstLine="480" w:firstLineChars="200"/>
        <w:rPr>
          <w:rFonts w:ascii="宋体" w:hAnsi="宋体" w:cs="宋体"/>
          <w:color w:val="auto"/>
          <w:sz w:val="24"/>
          <w:szCs w:val="24"/>
          <w:highlight w:val="none"/>
        </w:rPr>
      </w:pPr>
      <w:bookmarkStart w:id="192" w:name="_Hlk136176439"/>
      <w:r>
        <w:rPr>
          <w:rFonts w:hint="eastAsia" w:ascii="宋体" w:hAnsi="宋体" w:cs="宋体"/>
          <w:color w:val="auto"/>
          <w:sz w:val="24"/>
          <w:szCs w:val="24"/>
          <w:highlight w:val="none"/>
        </w:rPr>
        <w:t>2.2.2招标文件的澄清以投标人须知前附表规定的形式发给所有购买招标文件的投标人，但不指明澄清问题的来源。澄清发出的时间距本章第</w:t>
      </w:r>
      <w:r>
        <w:rPr>
          <w:rFonts w:ascii="宋体" w:hAnsi="宋体" w:cs="宋体"/>
          <w:color w:val="auto"/>
          <w:sz w:val="24"/>
          <w:szCs w:val="24"/>
          <w:highlight w:val="none"/>
        </w:rPr>
        <w:t>4.2.1项规定的投标截止时间不足15日的，并且澄清内容可能影响投标文件编制的，将相应延长投标截止时间。</w:t>
      </w:r>
    </w:p>
    <w:bookmarkEnd w:id="192"/>
    <w:p w14:paraId="615DB7B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2.2.3 </w:t>
      </w:r>
      <w:r>
        <w:rPr>
          <w:rFonts w:hint="eastAsia" w:ascii="宋体" w:hAnsi="宋体" w:cs="宋体"/>
          <w:color w:val="auto"/>
          <w:sz w:val="24"/>
          <w:szCs w:val="24"/>
          <w:highlight w:val="none"/>
        </w:rPr>
        <w:t>投标人在收到澄清后，应按投标人须知前附表规定的时间和形式通知招标人，确认已收到该澄清。</w:t>
      </w:r>
    </w:p>
    <w:p w14:paraId="4C410B8B">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2.2.4 </w:t>
      </w:r>
      <w:r>
        <w:rPr>
          <w:rFonts w:hint="eastAsia" w:ascii="宋体" w:hAnsi="宋体" w:cs="宋体"/>
          <w:color w:val="auto"/>
          <w:sz w:val="24"/>
          <w:szCs w:val="24"/>
          <w:highlight w:val="none"/>
        </w:rPr>
        <w:t>除非招标人认为确有必要答复，否则，招标人有权拒绝回复投标人在本章第2.2.1项规定的时间后的任何澄清要求。</w:t>
      </w:r>
    </w:p>
    <w:p w14:paraId="349E0B27">
      <w:pPr>
        <w:pStyle w:val="5"/>
        <w:spacing w:line="360" w:lineRule="auto"/>
        <w:ind w:firstLine="0" w:firstLineChars="0"/>
        <w:rPr>
          <w:rFonts w:ascii="宋体" w:hAnsi="宋体" w:eastAsia="宋体" w:cs="宋体"/>
          <w:color w:val="auto"/>
          <w:szCs w:val="24"/>
          <w:highlight w:val="none"/>
        </w:rPr>
      </w:pPr>
      <w:bookmarkStart w:id="193" w:name="_Toc28678"/>
      <w:bookmarkStart w:id="194" w:name="_Toc16341"/>
      <w:bookmarkStart w:id="195" w:name="_Toc7145"/>
      <w:bookmarkStart w:id="196" w:name="_Toc492300580"/>
      <w:bookmarkStart w:id="197" w:name="_Toc11529"/>
      <w:bookmarkStart w:id="198" w:name="_Toc21906"/>
      <w:bookmarkStart w:id="199" w:name="_Toc19220"/>
      <w:bookmarkStart w:id="200" w:name="_Toc3354"/>
      <w:bookmarkStart w:id="201" w:name="_Toc1427"/>
      <w:bookmarkStart w:id="202" w:name="_Toc6375"/>
      <w:bookmarkStart w:id="203" w:name="_Toc352691479"/>
      <w:r>
        <w:rPr>
          <w:rFonts w:ascii="宋体" w:hAnsi="宋体" w:eastAsia="宋体" w:cs="宋体"/>
          <w:color w:val="auto"/>
          <w:szCs w:val="24"/>
          <w:highlight w:val="none"/>
        </w:rPr>
        <w:t xml:space="preserve">2.3 </w:t>
      </w:r>
      <w:r>
        <w:rPr>
          <w:rFonts w:hint="eastAsia" w:ascii="宋体" w:hAnsi="宋体" w:eastAsia="宋体" w:cs="宋体"/>
          <w:color w:val="auto"/>
          <w:szCs w:val="24"/>
          <w:highlight w:val="none"/>
        </w:rPr>
        <w:t>招标文件的修</w:t>
      </w:r>
      <w:bookmarkStart w:id="204" w:name="_Toc16514"/>
      <w:bookmarkStart w:id="205" w:name="_Toc369531521"/>
      <w:r>
        <w:rPr>
          <w:rFonts w:hint="eastAsia" w:ascii="宋体" w:hAnsi="宋体" w:eastAsia="宋体" w:cs="宋体"/>
          <w:color w:val="auto"/>
          <w:szCs w:val="24"/>
          <w:highlight w:val="none"/>
        </w:rPr>
        <w:t>改</w:t>
      </w:r>
      <w:bookmarkEnd w:id="193"/>
      <w:bookmarkEnd w:id="194"/>
      <w:bookmarkEnd w:id="195"/>
      <w:bookmarkEnd w:id="196"/>
      <w:bookmarkEnd w:id="197"/>
      <w:bookmarkEnd w:id="198"/>
      <w:bookmarkEnd w:id="199"/>
      <w:bookmarkEnd w:id="200"/>
      <w:bookmarkEnd w:id="201"/>
      <w:bookmarkEnd w:id="202"/>
    </w:p>
    <w:p w14:paraId="49884D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203"/>
    <w:bookmarkEnd w:id="204"/>
    <w:bookmarkEnd w:id="205"/>
    <w:p w14:paraId="5C88A657">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2.3.2 </w:t>
      </w:r>
      <w:r>
        <w:rPr>
          <w:rFonts w:hint="eastAsia" w:ascii="宋体" w:hAnsi="宋体" w:cs="宋体"/>
          <w:color w:val="auto"/>
          <w:sz w:val="24"/>
          <w:szCs w:val="24"/>
          <w:highlight w:val="none"/>
        </w:rPr>
        <w:t>投标人收到修改内容</w:t>
      </w:r>
      <w:bookmarkStart w:id="206" w:name="_Toc369531524"/>
      <w:bookmarkStart w:id="207" w:name="_Toc144974506"/>
      <w:bookmarkStart w:id="208" w:name="_Toc361508593"/>
      <w:bookmarkStart w:id="209" w:name="_Toc24632"/>
      <w:bookmarkStart w:id="210" w:name="_Toc152042314"/>
      <w:bookmarkStart w:id="211" w:name="_Toc352691482"/>
      <w:bookmarkStart w:id="212" w:name="_Toc247527562"/>
      <w:bookmarkStart w:id="213" w:name="_Toc384308218"/>
      <w:bookmarkStart w:id="214" w:name="_Toc247513961"/>
      <w:bookmarkStart w:id="215" w:name="_Toc300834958"/>
      <w:bookmarkStart w:id="216" w:name="_Toc152045538"/>
      <w:r>
        <w:rPr>
          <w:rFonts w:hint="eastAsia" w:ascii="宋体" w:hAnsi="宋体" w:cs="宋体"/>
          <w:color w:val="auto"/>
          <w:sz w:val="24"/>
          <w:szCs w:val="24"/>
          <w:highlight w:val="none"/>
        </w:rPr>
        <w:t>后，</w:t>
      </w:r>
      <w:bookmarkEnd w:id="206"/>
      <w:bookmarkEnd w:id="207"/>
      <w:bookmarkEnd w:id="208"/>
      <w:bookmarkEnd w:id="209"/>
      <w:bookmarkEnd w:id="210"/>
      <w:bookmarkEnd w:id="211"/>
      <w:bookmarkEnd w:id="212"/>
      <w:bookmarkEnd w:id="213"/>
      <w:bookmarkEnd w:id="214"/>
      <w:bookmarkEnd w:id="215"/>
      <w:bookmarkEnd w:id="216"/>
      <w:bookmarkStart w:id="217" w:name="_Toc352691484"/>
      <w:bookmarkStart w:id="218" w:name="_Toc384308220"/>
      <w:bookmarkStart w:id="219" w:name="_Toc247527564"/>
      <w:bookmarkStart w:id="220" w:name="_Toc16623"/>
      <w:bookmarkStart w:id="221" w:name="_Toc152045540"/>
      <w:bookmarkStart w:id="222" w:name="_Toc247513963"/>
      <w:bookmarkStart w:id="223" w:name="_Toc144974508"/>
      <w:bookmarkStart w:id="224" w:name="_Toc361508595"/>
      <w:bookmarkStart w:id="225" w:name="_Toc369531526"/>
      <w:bookmarkStart w:id="226" w:name="_Toc300834960"/>
      <w:bookmarkStart w:id="227" w:name="_Toc152042316"/>
      <w:r>
        <w:rPr>
          <w:rFonts w:hint="eastAsia" w:ascii="宋体" w:hAnsi="宋体" w:cs="宋体"/>
          <w:color w:val="auto"/>
          <w:sz w:val="24"/>
          <w:szCs w:val="24"/>
          <w:highlight w:val="none"/>
        </w:rPr>
        <w:t>应按投标人须知前附表规定的时间和形式通知招标人，确认已收到该修改。</w:t>
      </w:r>
    </w:p>
    <w:p w14:paraId="4C19137F">
      <w:pPr>
        <w:pStyle w:val="5"/>
        <w:spacing w:line="360" w:lineRule="auto"/>
        <w:ind w:firstLine="0" w:firstLineChars="0"/>
        <w:rPr>
          <w:rFonts w:ascii="宋体" w:hAnsi="宋体" w:eastAsia="宋体" w:cs="宋体"/>
          <w:color w:val="auto"/>
          <w:szCs w:val="24"/>
          <w:highlight w:val="none"/>
        </w:rPr>
      </w:pPr>
      <w:bookmarkStart w:id="228" w:name="_Toc492300581"/>
      <w:bookmarkStart w:id="229" w:name="_Toc22512"/>
      <w:bookmarkStart w:id="230" w:name="_Toc12303"/>
      <w:bookmarkStart w:id="231" w:name="_Toc30063"/>
      <w:bookmarkStart w:id="232" w:name="_Toc30892"/>
      <w:bookmarkStart w:id="233" w:name="_Toc24120"/>
      <w:bookmarkStart w:id="234" w:name="_Toc32698"/>
      <w:bookmarkStart w:id="235" w:name="_Toc333"/>
      <w:bookmarkStart w:id="236" w:name="_Toc9879"/>
      <w:bookmarkStart w:id="237" w:name="_Toc11612"/>
      <w:bookmarkStart w:id="238" w:name="_Hlk136176469"/>
      <w:r>
        <w:rPr>
          <w:rFonts w:ascii="宋体" w:hAnsi="宋体" w:eastAsia="宋体" w:cs="宋体"/>
          <w:color w:val="auto"/>
          <w:szCs w:val="24"/>
          <w:highlight w:val="none"/>
        </w:rPr>
        <w:t>2.</w:t>
      </w:r>
      <w:bookmarkEnd w:id="217"/>
      <w:bookmarkEnd w:id="218"/>
      <w:bookmarkEnd w:id="219"/>
      <w:bookmarkEnd w:id="220"/>
      <w:bookmarkEnd w:id="221"/>
      <w:bookmarkEnd w:id="222"/>
      <w:bookmarkEnd w:id="223"/>
      <w:bookmarkEnd w:id="224"/>
      <w:bookmarkEnd w:id="225"/>
      <w:bookmarkEnd w:id="226"/>
      <w:bookmarkEnd w:id="227"/>
      <w:r>
        <w:rPr>
          <w:rFonts w:ascii="宋体" w:hAnsi="宋体" w:eastAsia="宋体" w:cs="宋体"/>
          <w:color w:val="auto"/>
          <w:szCs w:val="24"/>
          <w:highlight w:val="none"/>
        </w:rPr>
        <w:t xml:space="preserve">4 </w:t>
      </w:r>
      <w:r>
        <w:rPr>
          <w:rFonts w:hint="eastAsia" w:ascii="宋体" w:hAnsi="宋体" w:eastAsia="宋体" w:cs="宋体"/>
          <w:color w:val="auto"/>
          <w:szCs w:val="24"/>
          <w:highlight w:val="none"/>
        </w:rPr>
        <w:t>招标文件的异议</w:t>
      </w:r>
      <w:bookmarkEnd w:id="228"/>
      <w:bookmarkEnd w:id="229"/>
      <w:bookmarkEnd w:id="230"/>
      <w:bookmarkEnd w:id="231"/>
      <w:bookmarkEnd w:id="232"/>
      <w:bookmarkEnd w:id="233"/>
      <w:bookmarkEnd w:id="234"/>
      <w:bookmarkEnd w:id="235"/>
      <w:bookmarkEnd w:id="236"/>
      <w:bookmarkEnd w:id="237"/>
    </w:p>
    <w:p w14:paraId="236A5C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bookmarkEnd w:id="238"/>
    <w:p w14:paraId="51063E8E">
      <w:pPr>
        <w:pStyle w:val="4"/>
        <w:spacing w:line="360" w:lineRule="auto"/>
        <w:rPr>
          <w:rFonts w:ascii="宋体" w:hAnsi="宋体" w:eastAsia="宋体" w:cs="宋体"/>
          <w:color w:val="auto"/>
          <w:sz w:val="28"/>
          <w:szCs w:val="28"/>
          <w:highlight w:val="none"/>
        </w:rPr>
      </w:pPr>
      <w:bookmarkStart w:id="239" w:name="_Toc27869"/>
      <w:bookmarkStart w:id="240" w:name="_Toc8793"/>
      <w:bookmarkStart w:id="241" w:name="_Toc18998"/>
      <w:bookmarkStart w:id="242" w:name="_Toc18605"/>
      <w:bookmarkStart w:id="243" w:name="_Toc23844"/>
      <w:bookmarkStart w:id="244" w:name="_Toc11693"/>
      <w:bookmarkStart w:id="245" w:name="_Toc32598"/>
      <w:bookmarkStart w:id="246" w:name="_Toc27522"/>
      <w:bookmarkStart w:id="247" w:name="_Toc492300582"/>
      <w:bookmarkStart w:id="248" w:name="_Toc570"/>
      <w:r>
        <w:rPr>
          <w:rFonts w:ascii="宋体" w:hAnsi="宋体" w:eastAsia="宋体" w:cs="宋体"/>
          <w:color w:val="auto"/>
          <w:sz w:val="28"/>
          <w:szCs w:val="28"/>
          <w:highlight w:val="none"/>
        </w:rPr>
        <w:t xml:space="preserve">3. </w:t>
      </w:r>
      <w:r>
        <w:rPr>
          <w:rFonts w:hint="eastAsia" w:ascii="宋体" w:hAnsi="宋体" w:eastAsia="宋体" w:cs="宋体"/>
          <w:color w:val="auto"/>
          <w:sz w:val="28"/>
          <w:szCs w:val="28"/>
          <w:highlight w:val="none"/>
        </w:rPr>
        <w:t>投标文件</w:t>
      </w:r>
      <w:bookmarkEnd w:id="239"/>
      <w:bookmarkEnd w:id="240"/>
      <w:bookmarkEnd w:id="241"/>
      <w:bookmarkEnd w:id="242"/>
      <w:bookmarkEnd w:id="243"/>
      <w:bookmarkEnd w:id="244"/>
      <w:bookmarkEnd w:id="245"/>
      <w:bookmarkEnd w:id="246"/>
      <w:bookmarkEnd w:id="247"/>
      <w:bookmarkEnd w:id="248"/>
    </w:p>
    <w:p w14:paraId="79538D2E">
      <w:pPr>
        <w:pStyle w:val="5"/>
        <w:spacing w:line="360" w:lineRule="auto"/>
        <w:ind w:firstLine="0" w:firstLineChars="0"/>
        <w:rPr>
          <w:rFonts w:ascii="宋体" w:hAnsi="宋体" w:eastAsia="宋体" w:cs="宋体"/>
          <w:color w:val="auto"/>
          <w:szCs w:val="24"/>
          <w:highlight w:val="none"/>
        </w:rPr>
      </w:pPr>
      <w:bookmarkStart w:id="249" w:name="_Toc492300583"/>
      <w:bookmarkStart w:id="250" w:name="_Toc26287"/>
      <w:bookmarkStart w:id="251" w:name="_Toc24454"/>
      <w:bookmarkStart w:id="252" w:name="_Toc31064"/>
      <w:bookmarkStart w:id="253" w:name="_Toc8333"/>
      <w:bookmarkStart w:id="254" w:name="_Toc26587"/>
      <w:bookmarkStart w:id="255" w:name="_Toc30059"/>
      <w:bookmarkStart w:id="256" w:name="_Toc16439"/>
      <w:bookmarkStart w:id="257" w:name="_Toc14035"/>
      <w:bookmarkStart w:id="258" w:name="_Toc22448"/>
      <w:r>
        <w:rPr>
          <w:rFonts w:ascii="宋体" w:hAnsi="宋体" w:eastAsia="宋体" w:cs="宋体"/>
          <w:color w:val="auto"/>
          <w:szCs w:val="24"/>
          <w:highlight w:val="none"/>
        </w:rPr>
        <w:t xml:space="preserve">3.1 </w:t>
      </w:r>
      <w:r>
        <w:rPr>
          <w:rFonts w:hint="eastAsia" w:ascii="宋体" w:hAnsi="宋体" w:eastAsia="宋体" w:cs="宋体"/>
          <w:color w:val="auto"/>
          <w:szCs w:val="24"/>
          <w:highlight w:val="none"/>
        </w:rPr>
        <w:t>投标文件的组成</w:t>
      </w:r>
      <w:bookmarkEnd w:id="249"/>
      <w:bookmarkEnd w:id="250"/>
      <w:bookmarkEnd w:id="251"/>
      <w:bookmarkEnd w:id="252"/>
      <w:bookmarkEnd w:id="253"/>
      <w:bookmarkEnd w:id="254"/>
      <w:bookmarkEnd w:id="255"/>
      <w:bookmarkEnd w:id="256"/>
      <w:bookmarkEnd w:id="257"/>
      <w:bookmarkEnd w:id="258"/>
    </w:p>
    <w:p w14:paraId="0A9442C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3.1.1 </w:t>
      </w:r>
      <w:r>
        <w:rPr>
          <w:rFonts w:hint="eastAsia" w:ascii="宋体" w:hAnsi="宋体" w:cs="宋体"/>
          <w:color w:val="auto"/>
          <w:sz w:val="24"/>
          <w:szCs w:val="24"/>
          <w:highlight w:val="none"/>
        </w:rPr>
        <w:t>投标文件应包括下列内容：</w:t>
      </w:r>
    </w:p>
    <w:p w14:paraId="2591D9D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p>
    <w:p w14:paraId="34AB8E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授权委托书；</w:t>
      </w:r>
    </w:p>
    <w:p w14:paraId="1D9B807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default" w:ascii="宋体" w:hAnsi="宋体" w:cs="宋体"/>
          <w:color w:val="auto"/>
          <w:sz w:val="24"/>
          <w:szCs w:val="24"/>
          <w:highlight w:val="none"/>
          <w:lang w:val="en-US"/>
        </w:rPr>
        <w:t>投标报价表</w:t>
      </w:r>
      <w:r>
        <w:rPr>
          <w:rFonts w:hint="eastAsia" w:ascii="宋体" w:hAnsi="宋体" w:cs="宋体"/>
          <w:color w:val="auto"/>
          <w:sz w:val="24"/>
          <w:szCs w:val="24"/>
          <w:highlight w:val="none"/>
        </w:rPr>
        <w:t>；</w:t>
      </w:r>
    </w:p>
    <w:p w14:paraId="5BE530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）资格审查资料；</w:t>
      </w:r>
    </w:p>
    <w:p w14:paraId="50D557A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）监理大纲；</w:t>
      </w:r>
    </w:p>
    <w:p w14:paraId="2D16EA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）其他资料。</w:t>
      </w:r>
    </w:p>
    <w:p w14:paraId="502C96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投标人在评标过程中作出的符合法律法规和招标文件规定的澄清确认，构成投标文件的组成部分。</w:t>
      </w:r>
    </w:p>
    <w:p w14:paraId="27B76F0D">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3.1.2 </w:t>
      </w:r>
      <w:r>
        <w:rPr>
          <w:rFonts w:hint="eastAsia" w:ascii="宋体" w:hAnsi="宋体" w:cs="宋体"/>
          <w:strike/>
          <w:color w:val="auto"/>
          <w:sz w:val="24"/>
          <w:szCs w:val="24"/>
          <w:highlight w:val="none"/>
        </w:rPr>
        <w:t>投标人须知前附表规定不接受联合体投标的，或投标人没有组成联合体的，投标文件不包括本章第3.1.1（3）目所指的联合体协议书。</w:t>
      </w:r>
    </w:p>
    <w:p w14:paraId="15958AE3">
      <w:pPr>
        <w:spacing w:line="360" w:lineRule="auto"/>
        <w:ind w:firstLine="480" w:firstLineChars="200"/>
        <w:rPr>
          <w:rFonts w:ascii="宋体" w:hAnsi="宋体" w:cs="宋体"/>
          <w:strike/>
          <w:dstrike w:val="0"/>
          <w:color w:val="auto"/>
          <w:sz w:val="24"/>
          <w:szCs w:val="24"/>
          <w:highlight w:val="none"/>
        </w:rPr>
      </w:pPr>
      <w:r>
        <w:rPr>
          <w:rFonts w:ascii="宋体" w:hAnsi="宋体" w:cs="宋体"/>
          <w:strike/>
          <w:dstrike w:val="0"/>
          <w:color w:val="auto"/>
          <w:sz w:val="24"/>
          <w:szCs w:val="24"/>
          <w:highlight w:val="none"/>
        </w:rPr>
        <w:t xml:space="preserve">3.1.3 </w:t>
      </w:r>
      <w:r>
        <w:rPr>
          <w:rFonts w:hint="eastAsia" w:ascii="宋体" w:hAnsi="宋体" w:cs="宋体"/>
          <w:strike/>
          <w:dstrike w:val="0"/>
          <w:color w:val="auto"/>
          <w:sz w:val="24"/>
          <w:szCs w:val="24"/>
          <w:highlight w:val="none"/>
        </w:rPr>
        <w:t>投标人须知前附表未要求提交投标保证金的，投标文件不包括本章第3.1.1（</w:t>
      </w:r>
      <w:r>
        <w:rPr>
          <w:rFonts w:hint="eastAsia" w:ascii="宋体" w:hAnsi="宋体" w:cs="宋体"/>
          <w:strike/>
          <w:dstrike w:val="0"/>
          <w:color w:val="auto"/>
          <w:sz w:val="24"/>
          <w:szCs w:val="24"/>
          <w:highlight w:val="none"/>
          <w:lang w:val="en-US" w:eastAsia="zh-CN"/>
        </w:rPr>
        <w:t>3</w:t>
      </w:r>
      <w:r>
        <w:rPr>
          <w:rFonts w:hint="eastAsia" w:ascii="宋体" w:hAnsi="宋体" w:cs="宋体"/>
          <w:strike/>
          <w:dstrike w:val="0"/>
          <w:color w:val="auto"/>
          <w:sz w:val="24"/>
          <w:szCs w:val="24"/>
          <w:highlight w:val="none"/>
        </w:rPr>
        <w:t>）目所指的投标保证金。</w:t>
      </w:r>
    </w:p>
    <w:p w14:paraId="2CFE4D24">
      <w:pPr>
        <w:pStyle w:val="5"/>
        <w:spacing w:line="360" w:lineRule="auto"/>
        <w:ind w:firstLine="0" w:firstLineChars="0"/>
        <w:rPr>
          <w:rFonts w:ascii="宋体" w:hAnsi="宋体" w:eastAsia="宋体" w:cs="宋体"/>
          <w:color w:val="auto"/>
          <w:szCs w:val="24"/>
          <w:highlight w:val="none"/>
        </w:rPr>
      </w:pPr>
      <w:bookmarkStart w:id="259" w:name="_Toc32515"/>
      <w:bookmarkStart w:id="260" w:name="_Toc15851"/>
      <w:bookmarkStart w:id="261" w:name="_Toc13408"/>
      <w:bookmarkStart w:id="262" w:name="_Toc2013"/>
      <w:bookmarkStart w:id="263" w:name="_Toc28363"/>
      <w:bookmarkStart w:id="264" w:name="_Toc27845"/>
      <w:bookmarkStart w:id="265" w:name="_Toc492300584"/>
      <w:bookmarkStart w:id="266" w:name="_Toc792"/>
      <w:bookmarkStart w:id="267" w:name="_Toc27272"/>
      <w:bookmarkStart w:id="268" w:name="_Toc4291"/>
      <w:r>
        <w:rPr>
          <w:rFonts w:ascii="宋体" w:hAnsi="宋体" w:eastAsia="宋体" w:cs="宋体"/>
          <w:color w:val="auto"/>
          <w:szCs w:val="24"/>
          <w:highlight w:val="none"/>
        </w:rPr>
        <w:t xml:space="preserve">3.2 </w:t>
      </w:r>
      <w:r>
        <w:rPr>
          <w:rFonts w:hint="eastAsia" w:ascii="宋体" w:hAnsi="宋体" w:eastAsia="宋体" w:cs="宋体"/>
          <w:color w:val="auto"/>
          <w:szCs w:val="24"/>
          <w:highlight w:val="none"/>
        </w:rPr>
        <w:t>投标报价</w:t>
      </w:r>
      <w:bookmarkEnd w:id="259"/>
      <w:bookmarkEnd w:id="260"/>
      <w:bookmarkEnd w:id="261"/>
      <w:bookmarkEnd w:id="262"/>
      <w:bookmarkEnd w:id="263"/>
      <w:bookmarkEnd w:id="264"/>
      <w:bookmarkEnd w:id="265"/>
      <w:bookmarkEnd w:id="266"/>
      <w:bookmarkEnd w:id="267"/>
      <w:bookmarkEnd w:id="268"/>
    </w:p>
    <w:p w14:paraId="3E9635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3.2.1投标报价应包括国家规定的增值税税金，除投标人须知前附表另有规定外，增值税税金按一般计税方法计算。投标人应按第六章“投标文件格式”的要求在投标函中进行报价并填写投标报价表。</w:t>
      </w:r>
    </w:p>
    <w:p w14:paraId="5412ACFE">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3.2.2 </w:t>
      </w:r>
      <w:r>
        <w:rPr>
          <w:rFonts w:hint="eastAsia" w:ascii="宋体" w:hAnsi="宋体" w:cs="宋体"/>
          <w:color w:val="auto"/>
          <w:sz w:val="24"/>
          <w:szCs w:val="24"/>
          <w:highlight w:val="none"/>
        </w:rPr>
        <w:t>投标人应充分了解该项目的总体情况以及影响投标报价的其他要素。</w:t>
      </w:r>
    </w:p>
    <w:p w14:paraId="08F224A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3.2.3</w:t>
      </w:r>
      <w:bookmarkStart w:id="269" w:name="_Toc15242"/>
      <w:bookmarkEnd w:id="269"/>
      <w:bookmarkStart w:id="270" w:name="_Toc144974511"/>
      <w:bookmarkEnd w:id="270"/>
      <w:bookmarkStart w:id="271" w:name="_Toc384308224"/>
      <w:bookmarkEnd w:id="271"/>
      <w:bookmarkStart w:id="272" w:name="_Toc352691487"/>
      <w:bookmarkEnd w:id="272"/>
      <w:bookmarkStart w:id="273" w:name="_Toc369531530"/>
      <w:bookmarkEnd w:id="273"/>
      <w:bookmarkStart w:id="274" w:name="_Toc152042319"/>
      <w:bookmarkEnd w:id="274"/>
      <w:bookmarkStart w:id="275" w:name="_Toc361508599"/>
      <w:bookmarkEnd w:id="275"/>
      <w:bookmarkStart w:id="276" w:name="_Toc152045543"/>
      <w:bookmarkEnd w:id="276"/>
      <w:bookmarkStart w:id="277" w:name="_Toc300834964"/>
      <w:bookmarkEnd w:id="277"/>
      <w:bookmarkStart w:id="278" w:name="_Toc247527568"/>
      <w:bookmarkEnd w:id="278"/>
      <w:bookmarkStart w:id="279" w:name="_Toc247513967"/>
      <w:bookmarkEnd w:id="279"/>
      <w:r>
        <w:rPr>
          <w:rFonts w:hint="eastAsia" w:ascii="宋体" w:hAnsi="宋体" w:cs="宋体"/>
          <w:color w:val="auto"/>
          <w:sz w:val="24"/>
          <w:szCs w:val="24"/>
          <w:highlight w:val="none"/>
        </w:rPr>
        <w:t xml:space="preserve"> 本项目的报价方式见投标人须知前附表。投标人在投标截止时间前修改投标函中的投标报价总额，应同时修改投标文件“投标报价表”中的相应报价。此修改须符合本章第4.3款的有关要求。</w:t>
      </w:r>
    </w:p>
    <w:p w14:paraId="778FE6C5">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3.2.4</w:t>
      </w:r>
      <w:r>
        <w:rPr>
          <w:rFonts w:hint="eastAsia" w:ascii="宋体" w:hAnsi="宋体" w:cs="宋体"/>
          <w:color w:val="auto"/>
          <w:sz w:val="24"/>
          <w:szCs w:val="24"/>
          <w:highlight w:val="none"/>
        </w:rPr>
        <w:t>招标人设有最高投标限价的，投标人的投标报价不得超过最高投标限价，最高投标限价在投标</w:t>
      </w:r>
      <w:bookmarkStart w:id="280" w:name="_Toc361508600"/>
      <w:bookmarkStart w:id="281" w:name="_Toc144974512"/>
      <w:bookmarkStart w:id="282" w:name="_Toc152045544"/>
      <w:bookmarkStart w:id="283" w:name="_Toc10429"/>
      <w:bookmarkStart w:id="284" w:name="_Toc369531531"/>
      <w:bookmarkStart w:id="285" w:name="_Toc247527569"/>
      <w:bookmarkStart w:id="286" w:name="_Toc300834965"/>
      <w:bookmarkStart w:id="287" w:name="_Toc352691488"/>
      <w:bookmarkStart w:id="288" w:name="_Toc384308225"/>
      <w:bookmarkStart w:id="289" w:name="_Toc247513968"/>
      <w:bookmarkStart w:id="290" w:name="_Toc152042320"/>
      <w:r>
        <w:rPr>
          <w:rFonts w:hint="eastAsia" w:ascii="宋体" w:hAnsi="宋体" w:cs="宋体"/>
          <w:color w:val="auto"/>
          <w:sz w:val="24"/>
          <w:szCs w:val="24"/>
          <w:highlight w:val="none"/>
        </w:rPr>
        <w:t>人须知前附表中载明。</w:t>
      </w:r>
      <w:bookmarkEnd w:id="280"/>
      <w:bookmarkEnd w:id="281"/>
      <w:bookmarkEnd w:id="282"/>
      <w:bookmarkEnd w:id="283"/>
      <w:bookmarkEnd w:id="284"/>
      <w:bookmarkEnd w:id="285"/>
      <w:bookmarkEnd w:id="286"/>
      <w:bookmarkEnd w:id="287"/>
      <w:bookmarkEnd w:id="288"/>
      <w:bookmarkEnd w:id="289"/>
      <w:bookmarkEnd w:id="290"/>
    </w:p>
    <w:p w14:paraId="3171F473">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3.2.5 </w:t>
      </w:r>
      <w:r>
        <w:rPr>
          <w:rFonts w:hint="eastAsia" w:ascii="宋体" w:hAnsi="宋体" w:cs="宋体"/>
          <w:color w:val="auto"/>
          <w:sz w:val="24"/>
          <w:szCs w:val="24"/>
          <w:highlight w:val="none"/>
        </w:rPr>
        <w:t>投标报价的其他要求见投标人须知前附表。</w:t>
      </w:r>
    </w:p>
    <w:p w14:paraId="2E3E70D2">
      <w:pPr>
        <w:pStyle w:val="5"/>
        <w:spacing w:line="360" w:lineRule="auto"/>
        <w:ind w:firstLine="0" w:firstLineChars="0"/>
        <w:rPr>
          <w:rFonts w:ascii="宋体" w:hAnsi="宋体" w:eastAsia="宋体" w:cs="宋体"/>
          <w:color w:val="auto"/>
          <w:szCs w:val="24"/>
          <w:highlight w:val="none"/>
        </w:rPr>
      </w:pPr>
      <w:bookmarkStart w:id="291" w:name="_Toc492300585"/>
      <w:bookmarkStart w:id="292" w:name="_Toc10185"/>
      <w:bookmarkStart w:id="293" w:name="_Toc27035"/>
      <w:bookmarkStart w:id="294" w:name="_Toc4335"/>
      <w:bookmarkStart w:id="295" w:name="_Toc25774"/>
      <w:bookmarkStart w:id="296" w:name="_Toc20912"/>
      <w:bookmarkStart w:id="297" w:name="_Toc14738"/>
      <w:bookmarkStart w:id="298" w:name="_Toc24303"/>
      <w:bookmarkStart w:id="299" w:name="_Toc11271"/>
      <w:bookmarkStart w:id="300" w:name="_Toc2810"/>
      <w:r>
        <w:rPr>
          <w:rFonts w:ascii="宋体" w:hAnsi="宋体" w:eastAsia="宋体" w:cs="宋体"/>
          <w:color w:val="auto"/>
          <w:szCs w:val="24"/>
          <w:highlight w:val="none"/>
        </w:rPr>
        <w:t xml:space="preserve">3.3 </w:t>
      </w:r>
      <w:r>
        <w:rPr>
          <w:rFonts w:hint="eastAsia" w:ascii="宋体" w:hAnsi="宋体" w:eastAsia="宋体" w:cs="宋体"/>
          <w:color w:val="auto"/>
          <w:szCs w:val="24"/>
          <w:highlight w:val="none"/>
        </w:rPr>
        <w:t>投标有效期</w:t>
      </w:r>
      <w:bookmarkEnd w:id="291"/>
      <w:bookmarkEnd w:id="292"/>
      <w:bookmarkEnd w:id="293"/>
      <w:bookmarkEnd w:id="294"/>
      <w:bookmarkEnd w:id="295"/>
      <w:bookmarkEnd w:id="296"/>
      <w:bookmarkEnd w:id="297"/>
      <w:bookmarkEnd w:id="298"/>
      <w:bookmarkEnd w:id="299"/>
      <w:bookmarkEnd w:id="300"/>
    </w:p>
    <w:p w14:paraId="48CAC2D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3.3.1 </w:t>
      </w:r>
      <w:r>
        <w:rPr>
          <w:rFonts w:hint="eastAsia" w:ascii="宋体" w:hAnsi="宋体" w:cs="宋体"/>
          <w:color w:val="auto"/>
          <w:sz w:val="24"/>
          <w:szCs w:val="24"/>
          <w:highlight w:val="none"/>
        </w:rPr>
        <w:t>除投标人须知前附表另有规定外，投标有效期为90天。</w:t>
      </w:r>
    </w:p>
    <w:p w14:paraId="6E708CAE">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3.3.2 </w:t>
      </w:r>
      <w:r>
        <w:rPr>
          <w:rFonts w:hint="eastAsia" w:ascii="宋体" w:hAnsi="宋体" w:cs="宋体"/>
          <w:color w:val="auto"/>
          <w:sz w:val="24"/>
          <w:szCs w:val="24"/>
          <w:highlight w:val="none"/>
        </w:rPr>
        <w:t>在投标有效期内，投标人撤销投标文件的，应承担招标文件和法律规定的责任。</w:t>
      </w:r>
    </w:p>
    <w:p w14:paraId="274DC68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3.3.3 </w:t>
      </w:r>
      <w:r>
        <w:rPr>
          <w:rFonts w:hint="eastAsia" w:ascii="宋体" w:hAnsi="宋体" w:cs="宋体"/>
          <w:color w:val="auto"/>
          <w:sz w:val="24"/>
          <w:szCs w:val="24"/>
          <w:highlight w:val="none"/>
        </w:rPr>
        <w:t>出现特殊情况需要延长投标有效期的，招标人以书面形式通知所有投标人延长投标有效期。投标人应予以书面答复，同意延长的，</w:t>
      </w:r>
      <w:r>
        <w:rPr>
          <w:rFonts w:hint="eastAsia" w:ascii="宋体" w:hAnsi="宋体" w:cs="宋体"/>
          <w:strike/>
          <w:dstrike w:val="0"/>
          <w:color w:val="auto"/>
          <w:sz w:val="24"/>
          <w:szCs w:val="24"/>
          <w:highlight w:val="none"/>
        </w:rPr>
        <w:t>应相应延长其投标保证金的有效期，</w:t>
      </w:r>
      <w:r>
        <w:rPr>
          <w:rFonts w:hint="eastAsia" w:ascii="宋体" w:hAnsi="宋体" w:cs="宋体"/>
          <w:color w:val="auto"/>
          <w:sz w:val="24"/>
          <w:szCs w:val="24"/>
          <w:highlight w:val="none"/>
        </w:rPr>
        <w:t>但不得要求或被允许修改其投标文件；投标人拒绝延长的，其投标失效</w:t>
      </w:r>
      <w:r>
        <w:rPr>
          <w:rFonts w:hint="eastAsia" w:ascii="宋体" w:hAnsi="宋体" w:cs="宋体"/>
          <w:strike/>
          <w:dstrike w:val="0"/>
          <w:color w:val="auto"/>
          <w:sz w:val="24"/>
          <w:szCs w:val="24"/>
          <w:highlight w:val="none"/>
        </w:rPr>
        <w:t>，但投标人有权收回其投标保证金及以现金或者支票形式递交的投标保证金的银行同期存款利息</w:t>
      </w:r>
      <w:r>
        <w:rPr>
          <w:rFonts w:hint="eastAsia" w:ascii="宋体" w:hAnsi="宋体" w:cs="宋体"/>
          <w:color w:val="auto"/>
          <w:sz w:val="24"/>
          <w:szCs w:val="24"/>
          <w:highlight w:val="none"/>
        </w:rPr>
        <w:t>。</w:t>
      </w:r>
    </w:p>
    <w:p w14:paraId="04983BB2">
      <w:pPr>
        <w:pStyle w:val="5"/>
        <w:spacing w:line="360" w:lineRule="auto"/>
        <w:ind w:firstLine="0" w:firstLineChars="0"/>
        <w:rPr>
          <w:rFonts w:hint="eastAsia" w:ascii="宋体" w:hAnsi="宋体" w:eastAsia="宋体" w:cs="宋体"/>
          <w:color w:val="auto"/>
          <w:szCs w:val="24"/>
          <w:highlight w:val="none"/>
          <w:lang w:eastAsia="zh-CN"/>
        </w:rPr>
      </w:pPr>
      <w:bookmarkStart w:id="301" w:name="_Toc5522"/>
      <w:bookmarkStart w:id="302" w:name="_Toc12714"/>
      <w:bookmarkStart w:id="303" w:name="_Toc25672"/>
      <w:bookmarkStart w:id="304" w:name="_Toc30597"/>
      <w:bookmarkStart w:id="305" w:name="_Toc16740"/>
      <w:bookmarkStart w:id="306" w:name="_Toc311"/>
      <w:bookmarkStart w:id="307" w:name="_Toc27738"/>
      <w:bookmarkStart w:id="308" w:name="_Toc26401"/>
      <w:bookmarkStart w:id="309" w:name="_Toc492300586"/>
      <w:bookmarkStart w:id="310" w:name="_Toc29543"/>
      <w:r>
        <w:rPr>
          <w:rFonts w:ascii="宋体" w:hAnsi="宋体" w:eastAsia="宋体" w:cs="宋体"/>
          <w:color w:val="auto"/>
          <w:szCs w:val="24"/>
          <w:highlight w:val="none"/>
        </w:rPr>
        <w:t xml:space="preserve">3.4 </w:t>
      </w:r>
      <w:r>
        <w:rPr>
          <w:rFonts w:hint="eastAsia" w:ascii="宋体" w:hAnsi="宋体" w:eastAsia="宋体" w:cs="宋体"/>
          <w:color w:val="auto"/>
          <w:szCs w:val="24"/>
          <w:highlight w:val="none"/>
        </w:rPr>
        <w:t>投标保证金</w:t>
      </w:r>
      <w:bookmarkEnd w:id="301"/>
      <w:bookmarkEnd w:id="302"/>
      <w:bookmarkEnd w:id="303"/>
      <w:bookmarkEnd w:id="304"/>
      <w:bookmarkEnd w:id="305"/>
      <w:bookmarkEnd w:id="306"/>
      <w:bookmarkEnd w:id="307"/>
      <w:bookmarkEnd w:id="308"/>
      <w:bookmarkEnd w:id="309"/>
      <w:bookmarkEnd w:id="310"/>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lang w:val="en-US" w:eastAsia="zh-CN"/>
        </w:rPr>
        <w:t>本项目不要求递交投标保证金</w:t>
      </w:r>
      <w:r>
        <w:rPr>
          <w:rFonts w:hint="eastAsia" w:ascii="宋体" w:hAnsi="宋体" w:eastAsia="宋体" w:cs="宋体"/>
          <w:color w:val="auto"/>
          <w:szCs w:val="24"/>
          <w:highlight w:val="none"/>
          <w:u w:val="single"/>
          <w:lang w:eastAsia="zh-CN"/>
        </w:rPr>
        <w:t>）</w:t>
      </w:r>
    </w:p>
    <w:p w14:paraId="5657D71B">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3.4.1 </w:t>
      </w:r>
      <w:r>
        <w:rPr>
          <w:rFonts w:hint="eastAsia" w:ascii="宋体" w:hAnsi="宋体" w:cs="宋体"/>
          <w:strike/>
          <w:color w:val="auto"/>
          <w:sz w:val="24"/>
          <w:szCs w:val="24"/>
          <w:highlight w:val="none"/>
        </w:rPr>
        <w:t>投标人在递交投标文件的同时，应按投标人须知前附表规定的金额</w:t>
      </w:r>
      <w:bookmarkStart w:id="311" w:name="_Toc144974513"/>
      <w:bookmarkStart w:id="312" w:name="_Toc352691489"/>
      <w:bookmarkStart w:id="313" w:name="_Toc300834966"/>
      <w:bookmarkStart w:id="314" w:name="_Toc247527570"/>
      <w:bookmarkStart w:id="315" w:name="_Toc152045545"/>
      <w:bookmarkStart w:id="316" w:name="_Toc152042321"/>
      <w:bookmarkStart w:id="317" w:name="_Toc369531532"/>
      <w:bookmarkStart w:id="318" w:name="_Toc384308226"/>
      <w:bookmarkStart w:id="319" w:name="_Toc247513969"/>
      <w:bookmarkStart w:id="320" w:name="_Toc361508601"/>
      <w:bookmarkStart w:id="321" w:name="_Toc4592"/>
      <w:r>
        <w:rPr>
          <w:rFonts w:hint="eastAsia" w:ascii="宋体" w:hAnsi="宋体" w:cs="宋体"/>
          <w:strike/>
          <w:color w:val="auto"/>
          <w:sz w:val="24"/>
          <w:szCs w:val="24"/>
          <w:highlight w:val="none"/>
        </w:rPr>
        <w:t>、形式和第六章“投标文</w:t>
      </w:r>
      <w:bookmarkEnd w:id="311"/>
      <w:bookmarkEnd w:id="312"/>
      <w:bookmarkEnd w:id="313"/>
      <w:bookmarkEnd w:id="314"/>
      <w:bookmarkEnd w:id="315"/>
      <w:bookmarkEnd w:id="316"/>
      <w:bookmarkEnd w:id="317"/>
      <w:bookmarkEnd w:id="318"/>
      <w:bookmarkEnd w:id="319"/>
      <w:bookmarkEnd w:id="320"/>
      <w:bookmarkEnd w:id="321"/>
      <w:r>
        <w:rPr>
          <w:rFonts w:hint="eastAsia" w:ascii="宋体" w:hAnsi="宋体" w:cs="宋体"/>
          <w:strike/>
          <w:color w:val="auto"/>
          <w:sz w:val="24"/>
          <w:szCs w:val="24"/>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5ADB35BA">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3.4.2 </w:t>
      </w:r>
      <w:r>
        <w:rPr>
          <w:rFonts w:hint="eastAsia" w:ascii="宋体" w:hAnsi="宋体" w:cs="宋体"/>
          <w:strike/>
          <w:color w:val="auto"/>
          <w:sz w:val="24"/>
          <w:szCs w:val="24"/>
          <w:highlight w:val="none"/>
        </w:rPr>
        <w:t>投标人不按本章第3.4.1项</w:t>
      </w:r>
      <w:bookmarkStart w:id="322" w:name="_Toc29025"/>
      <w:bookmarkStart w:id="323" w:name="_Toc361508602"/>
      <w:bookmarkStart w:id="324" w:name="_Toc352691490"/>
      <w:bookmarkStart w:id="325" w:name="_Toc384308227"/>
      <w:bookmarkStart w:id="326" w:name="_Toc369531533"/>
      <w:r>
        <w:rPr>
          <w:rFonts w:hint="eastAsia" w:ascii="宋体" w:hAnsi="宋体" w:cs="宋体"/>
          <w:strike/>
          <w:color w:val="auto"/>
          <w:sz w:val="24"/>
          <w:szCs w:val="24"/>
          <w:highlight w:val="none"/>
        </w:rPr>
        <w:t>要求提交投标保证金的，</w:t>
      </w:r>
      <w:bookmarkEnd w:id="322"/>
      <w:bookmarkEnd w:id="323"/>
      <w:bookmarkEnd w:id="324"/>
      <w:bookmarkEnd w:id="325"/>
      <w:bookmarkEnd w:id="326"/>
      <w:r>
        <w:rPr>
          <w:rFonts w:hint="eastAsia" w:ascii="宋体" w:hAnsi="宋体" w:cs="宋体"/>
          <w:strike/>
          <w:color w:val="auto"/>
          <w:sz w:val="24"/>
          <w:szCs w:val="24"/>
          <w:highlight w:val="none"/>
        </w:rPr>
        <w:t>评标委员会将否决其投标。</w:t>
      </w:r>
    </w:p>
    <w:p w14:paraId="77347923">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3.4.3 </w:t>
      </w:r>
      <w:r>
        <w:rPr>
          <w:rFonts w:hint="eastAsia" w:ascii="宋体" w:hAnsi="宋体" w:cs="宋体"/>
          <w:strike/>
          <w:color w:val="auto"/>
          <w:sz w:val="24"/>
          <w:szCs w:val="24"/>
          <w:highlight w:val="none"/>
        </w:rPr>
        <w:t>招标人最迟将在与中标人</w:t>
      </w:r>
      <w:bookmarkStart w:id="327" w:name="_Toc384308228"/>
      <w:bookmarkStart w:id="328" w:name="_Toc247513970"/>
      <w:bookmarkStart w:id="329" w:name="_Toc152045546"/>
      <w:bookmarkStart w:id="330" w:name="_Toc369531534"/>
      <w:bookmarkStart w:id="331" w:name="_Toc144974514"/>
      <w:bookmarkStart w:id="332" w:name="_Toc152042322"/>
      <w:bookmarkStart w:id="333" w:name="_Toc352691491"/>
      <w:bookmarkStart w:id="334" w:name="_Toc361508603"/>
      <w:bookmarkStart w:id="335" w:name="_Toc14751"/>
      <w:bookmarkStart w:id="336" w:name="_Toc300834967"/>
      <w:bookmarkStart w:id="337" w:name="_Toc247527571"/>
      <w:r>
        <w:rPr>
          <w:rFonts w:hint="eastAsia" w:ascii="宋体" w:hAnsi="宋体" w:cs="宋体"/>
          <w:strike/>
          <w:color w:val="auto"/>
          <w:sz w:val="24"/>
          <w:szCs w:val="24"/>
          <w:highlight w:val="none"/>
        </w:rPr>
        <w:t>签订合同后5日</w:t>
      </w:r>
      <w:bookmarkEnd w:id="327"/>
      <w:bookmarkEnd w:id="328"/>
      <w:bookmarkEnd w:id="329"/>
      <w:bookmarkEnd w:id="330"/>
      <w:bookmarkEnd w:id="331"/>
      <w:bookmarkEnd w:id="332"/>
      <w:bookmarkEnd w:id="333"/>
      <w:bookmarkEnd w:id="334"/>
      <w:bookmarkEnd w:id="335"/>
      <w:bookmarkEnd w:id="336"/>
      <w:bookmarkEnd w:id="337"/>
      <w:r>
        <w:rPr>
          <w:rFonts w:hint="eastAsia" w:ascii="宋体" w:hAnsi="宋体" w:cs="宋体"/>
          <w:strike/>
          <w:color w:val="auto"/>
          <w:sz w:val="24"/>
          <w:szCs w:val="24"/>
          <w:highlight w:val="none"/>
        </w:rPr>
        <w:t>内</w:t>
      </w:r>
      <w:bookmarkStart w:id="338" w:name="_Toc144974515"/>
      <w:bookmarkStart w:id="339" w:name="_Toc152042323"/>
      <w:bookmarkStart w:id="340" w:name="_Toc352691492"/>
      <w:bookmarkStart w:id="341" w:name="_Toc17952"/>
      <w:bookmarkStart w:id="342" w:name="_Toc152045547"/>
      <w:bookmarkStart w:id="343" w:name="_Toc361508604"/>
      <w:bookmarkStart w:id="344" w:name="_Toc247527572"/>
      <w:bookmarkStart w:id="345" w:name="_Toc384308229"/>
      <w:bookmarkStart w:id="346" w:name="_Toc247513971"/>
      <w:bookmarkStart w:id="347" w:name="_Toc300834968"/>
      <w:bookmarkStart w:id="348" w:name="_Toc369531535"/>
      <w:r>
        <w:rPr>
          <w:rFonts w:hint="eastAsia" w:ascii="宋体" w:hAnsi="宋体" w:cs="宋体"/>
          <w:strike/>
          <w:color w:val="auto"/>
          <w:sz w:val="24"/>
          <w:szCs w:val="24"/>
          <w:highlight w:val="none"/>
        </w:rPr>
        <w:t>，</w:t>
      </w:r>
      <w:r>
        <w:rPr>
          <w:rFonts w:hint="eastAsia" w:ascii="宋体" w:hAnsi="宋体" w:cs="宋体"/>
          <w:strike/>
          <w:color w:val="auto"/>
          <w:sz w:val="24"/>
          <w:szCs w:val="24"/>
          <w:highlight w:val="none"/>
          <w:lang w:val="en-US" w:eastAsia="zh-CN"/>
        </w:rPr>
        <w:t>由广州交易集团有限公司（广州公共资源交易中心）</w:t>
      </w:r>
      <w:r>
        <w:rPr>
          <w:rFonts w:hint="eastAsia" w:ascii="宋体" w:hAnsi="宋体" w:cs="宋体"/>
          <w:strike/>
          <w:color w:val="auto"/>
          <w:sz w:val="24"/>
          <w:szCs w:val="24"/>
          <w:highlight w:val="none"/>
        </w:rPr>
        <w:t>向未中标的投标人和中</w:t>
      </w:r>
      <w:bookmarkEnd w:id="338"/>
      <w:bookmarkEnd w:id="339"/>
      <w:bookmarkEnd w:id="340"/>
      <w:bookmarkEnd w:id="341"/>
      <w:bookmarkEnd w:id="342"/>
      <w:bookmarkEnd w:id="343"/>
      <w:bookmarkEnd w:id="344"/>
      <w:bookmarkEnd w:id="345"/>
      <w:bookmarkEnd w:id="346"/>
      <w:bookmarkEnd w:id="347"/>
      <w:bookmarkEnd w:id="348"/>
      <w:r>
        <w:rPr>
          <w:rFonts w:hint="eastAsia" w:ascii="宋体" w:hAnsi="宋体" w:cs="宋体"/>
          <w:strike/>
          <w:color w:val="auto"/>
          <w:sz w:val="24"/>
          <w:szCs w:val="24"/>
          <w:highlight w:val="none"/>
        </w:rPr>
        <w:t>标人退还投标保证金</w:t>
      </w:r>
      <w:r>
        <w:rPr>
          <w:rFonts w:hint="eastAsia" w:ascii="宋体" w:hAnsi="宋体" w:cs="宋体"/>
          <w:strike/>
          <w:color w:val="auto"/>
          <w:sz w:val="24"/>
          <w:szCs w:val="24"/>
          <w:highlight w:val="none"/>
          <w:lang w:eastAsia="zh-CN"/>
        </w:rPr>
        <w:t>，</w:t>
      </w:r>
      <w:r>
        <w:rPr>
          <w:rFonts w:hint="eastAsia" w:ascii="宋体" w:hAnsi="宋体" w:cs="宋体"/>
          <w:strike/>
          <w:color w:val="auto"/>
          <w:sz w:val="24"/>
          <w:szCs w:val="24"/>
          <w:highlight w:val="none"/>
        </w:rPr>
        <w:t>投标保证金以现金或者支票形式递交的，还应退还银行同期存款利息。</w:t>
      </w:r>
    </w:p>
    <w:p w14:paraId="65C8D498">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3.4.4 </w:t>
      </w:r>
      <w:r>
        <w:rPr>
          <w:rFonts w:hint="eastAsia" w:ascii="宋体" w:hAnsi="宋体" w:cs="宋体"/>
          <w:strike/>
          <w:color w:val="auto"/>
          <w:sz w:val="24"/>
          <w:szCs w:val="24"/>
          <w:highlight w:val="none"/>
        </w:rPr>
        <w:t>有下列情形之一的，投标保证金将不予退还：</w:t>
      </w:r>
    </w:p>
    <w:p w14:paraId="20484619">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（1）投标人在投标有效期内撤销投标文件；</w:t>
      </w:r>
    </w:p>
    <w:p w14:paraId="34481E6B">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（2）中标人在收到中标通知书后，无正当理由不与招标人订立合同，在签订合同时向招标人提出附加条件，或者不按照招标文件要求提交履约保证金；</w:t>
      </w:r>
    </w:p>
    <w:p w14:paraId="0662A83A">
      <w:pPr>
        <w:spacing w:line="360" w:lineRule="auto"/>
        <w:ind w:firstLine="480" w:firstLineChars="200"/>
        <w:rPr>
          <w:rFonts w:ascii="宋体" w:hAnsi="宋体" w:cs="宋体"/>
          <w:color w:val="auto"/>
          <w:sz w:val="24"/>
          <w:szCs w:val="24"/>
          <w:highlight w:val="none"/>
        </w:rPr>
      </w:pPr>
      <w:r>
        <w:rPr>
          <w:rFonts w:hint="eastAsia" w:ascii="宋体" w:hAnsi="宋体" w:cs="宋体"/>
          <w:strike/>
          <w:color w:val="auto"/>
          <w:sz w:val="24"/>
          <w:szCs w:val="24"/>
          <w:highlight w:val="none"/>
        </w:rPr>
        <w:t>（3）发生投标人须知前附表规定的其他可以不予退还投标保证金的情形。</w:t>
      </w:r>
    </w:p>
    <w:p w14:paraId="49EE860D">
      <w:pPr>
        <w:pStyle w:val="5"/>
        <w:spacing w:line="360" w:lineRule="auto"/>
        <w:ind w:firstLine="0" w:firstLineChars="0"/>
        <w:rPr>
          <w:rFonts w:ascii="宋体" w:hAnsi="宋体" w:eastAsia="宋体" w:cs="宋体"/>
          <w:color w:val="auto"/>
          <w:szCs w:val="24"/>
          <w:highlight w:val="none"/>
        </w:rPr>
      </w:pPr>
      <w:bookmarkStart w:id="349" w:name="_Toc19882"/>
      <w:bookmarkStart w:id="350" w:name="_Toc15036"/>
      <w:bookmarkStart w:id="351" w:name="_Toc30937"/>
      <w:bookmarkStart w:id="352" w:name="_Toc5941"/>
      <w:bookmarkStart w:id="353" w:name="_Toc492300588"/>
      <w:bookmarkStart w:id="354" w:name="_Toc26503"/>
      <w:bookmarkStart w:id="355" w:name="_Toc11489"/>
      <w:bookmarkStart w:id="356" w:name="_Toc7646"/>
      <w:bookmarkStart w:id="357" w:name="_Toc24524"/>
      <w:bookmarkStart w:id="358" w:name="_Toc5639"/>
      <w:bookmarkStart w:id="359" w:name="_Hlk136177837"/>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资格审查资料（适用于未进行资格预审的）</w:t>
      </w:r>
      <w:bookmarkEnd w:id="349"/>
      <w:bookmarkEnd w:id="350"/>
      <w:bookmarkEnd w:id="351"/>
      <w:bookmarkEnd w:id="352"/>
      <w:bookmarkEnd w:id="353"/>
      <w:bookmarkEnd w:id="354"/>
      <w:bookmarkEnd w:id="355"/>
      <w:bookmarkEnd w:id="356"/>
      <w:bookmarkEnd w:id="357"/>
      <w:bookmarkEnd w:id="358"/>
    </w:p>
    <w:bookmarkEnd w:id="359"/>
    <w:p w14:paraId="21C0DE28">
      <w:pPr>
        <w:spacing w:line="360" w:lineRule="auto"/>
        <w:ind w:firstLine="480" w:firstLineChars="200"/>
        <w:rPr>
          <w:rFonts w:hint="eastAsia" w:ascii="宋体" w:hAnsi="宋体" w:eastAsia="宋体" w:cs="宋体"/>
          <w:color w:val="auto"/>
          <w:sz w:val="24"/>
          <w:szCs w:val="24"/>
          <w:highlight w:val="none"/>
          <w:u w:val="single"/>
          <w:lang w:val="en-US" w:eastAsia="zh-CN"/>
        </w:rPr>
      </w:pPr>
      <w:bookmarkStart w:id="360" w:name="_Toc492300589"/>
      <w:bookmarkStart w:id="361" w:name="_Toc22361"/>
      <w:bookmarkStart w:id="362" w:name="_Toc21646"/>
      <w:bookmarkStart w:id="363" w:name="_Toc14983"/>
      <w:bookmarkStart w:id="364" w:name="_Toc19100"/>
      <w:bookmarkStart w:id="365" w:name="_Toc24690"/>
      <w:bookmarkStart w:id="366" w:name="_Toc15775"/>
      <w:bookmarkStart w:id="367" w:name="_Toc8890"/>
      <w:bookmarkStart w:id="368" w:name="_Toc18999"/>
      <w:bookmarkStart w:id="369" w:name="_Toc21637"/>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1 投标人须具有以下资质：投标人须同时具有①环境保护产业协会颁发的建设项目工程环境监理能力评价证书等级乙级或以上资质（社会区域）；②建设行政主管部门颁发的市政公用工程监理乙级或以上资质或工程监理综合资质；香港企业参加投标的，须在广东省住房和城乡建设主管部门备案且备案的业务范围满足本项目资质要求。[注：依据《广东省住房和城乡建设厅关于印发香港工程建设咨询企业和专业人士在粤港澳大湾区内地城市开业执业试点管理暂行办法的通知》（粤建规范[2020]1号）规定]。</w:t>
      </w:r>
    </w:p>
    <w:p w14:paraId="703BDDD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2 拟派项目总监理工程师须具有建设部2006年4月1日后颁发的中华人民共和国注册监理工程师注册执业证书，且其注册专业为市政公用工程，注册执业单位为本公司，并具备本科或以上学历；参与香港专业人士投标的，须在广东省住房和城乡建设主管部门备案且备案的资格满足本项目招标文件的要求。</w:t>
      </w:r>
    </w:p>
    <w:p w14:paraId="34A6CCB3">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资质证书有效期按《住房和城乡建设部办公厅关于做好建筑业“证照分离”改革衔接有关工作的通知》（建办市〔2021〕30号）、《住房和城乡建设部办公厅关于建设工程企业资质有关事宜的通知》（建办市函〔2022〕361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《广东省住房和城乡建设厅关于建设工程企业资质有关事宜的通知》（粤建许函〔2022〕846号）</w:t>
      </w:r>
      <w:r>
        <w:rPr>
          <w:rFonts w:hint="eastAsia" w:ascii="宋体" w:hAnsi="宋体" w:eastAsia="宋体" w:cs="宋体"/>
          <w:color w:val="auto"/>
          <w:sz w:val="24"/>
          <w:szCs w:val="24"/>
          <w:highlight w:val="none"/>
          <w:u w:val="single"/>
          <w:lang w:eastAsia="zh-CN"/>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eastAsia="宋体" w:cs="宋体"/>
          <w:color w:val="auto"/>
          <w:sz w:val="24"/>
          <w:szCs w:val="24"/>
          <w:highlight w:val="none"/>
          <w:u w:val="single"/>
        </w:rPr>
        <w:t>《住房城乡建设部办公厅关于做好有关建设工程企业资质证书换领和延续工作的通知》（建办市〔2023〕47号）、</w:t>
      </w:r>
      <w:r>
        <w:rPr>
          <w:rFonts w:hint="eastAsia" w:ascii="宋体" w:hAnsi="宋体" w:eastAsia="宋体" w:cs="宋体"/>
          <w:color w:val="auto"/>
          <w:sz w:val="24"/>
          <w:szCs w:val="24"/>
          <w:highlight w:val="none"/>
          <w:u w:val="single"/>
          <w:lang w:eastAsia="zh-CN"/>
        </w:rPr>
        <w:t>《广东省住房和城乡建设厅关于做好有关建设工程企业资质证书换领工作的通知》（粤建许函〔2024〕124号）、</w:t>
      </w:r>
      <w:r>
        <w:rPr>
          <w:rFonts w:hint="eastAsia" w:ascii="宋体" w:hAnsi="宋体" w:eastAsia="宋体" w:cs="宋体"/>
          <w:color w:val="auto"/>
          <w:sz w:val="24"/>
          <w:szCs w:val="24"/>
          <w:highlight w:val="none"/>
          <w:u w:val="single"/>
          <w:lang w:val="en-US" w:eastAsia="zh-CN"/>
        </w:rPr>
        <w:t>《广州市住房和城乡建设局关于建设工程企业资质证书换领工作的通知》（穗建审批〔2024〕242号）</w:t>
      </w:r>
      <w:r>
        <w:rPr>
          <w:rFonts w:hint="eastAsia" w:ascii="宋体" w:hAnsi="宋体" w:eastAsia="宋体" w:cs="宋体"/>
          <w:color w:val="auto"/>
          <w:sz w:val="24"/>
          <w:szCs w:val="24"/>
          <w:highlight w:val="none"/>
          <w:u w:val="single"/>
          <w:lang w:eastAsia="zh-CN"/>
        </w:rPr>
        <w:t>等相关规定。</w:t>
      </w:r>
      <w:r>
        <w:rPr>
          <w:rFonts w:hint="eastAsia" w:ascii="宋体" w:hAnsi="宋体" w:eastAsia="宋体" w:cs="宋体"/>
          <w:color w:val="auto"/>
          <w:sz w:val="24"/>
          <w:szCs w:val="24"/>
          <w:highlight w:val="none"/>
          <w:u w:val="single"/>
        </w:rPr>
        <w:t>根据上述文件的要求，投标人需办理企业资质有效期延续的，应当按照相关规定及时办理。</w:t>
      </w:r>
    </w:p>
    <w:p w14:paraId="7A44695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3 本次招标不接受联合体投标。</w:t>
      </w:r>
    </w:p>
    <w:p w14:paraId="60211BF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4 其他要求：</w:t>
      </w:r>
    </w:p>
    <w:p w14:paraId="4843311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①投标人参加投标的意思表达清楚，投标人代表被授权有效。</w:t>
      </w:r>
    </w:p>
    <w:p w14:paraId="1DB4262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②投标人具有独立法人资格，按国家法律经营。</w:t>
      </w:r>
    </w:p>
    <w:p w14:paraId="6AF9456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③投标人已按规定格式签名盖章《投标人声明》（格式见招标公告附件一）。</w:t>
      </w:r>
    </w:p>
    <w:p w14:paraId="73D5EA4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资格审查前，投标人须在广州公共资源交易中心办理企业信息登记及拟担任本工程项目总监理工程师须是本企业信息登记信息中的在册人员，企业信息取自投标截止时间投标人在广州公共资源交易中心企业库内登记的信息。</w:t>
      </w:r>
    </w:p>
    <w:p w14:paraId="3DC7E19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6386561A">
      <w:pPr>
        <w:spacing w:line="360" w:lineRule="auto"/>
        <w:ind w:firstLine="480" w:firstLineChars="200"/>
        <w:rPr>
          <w:rFonts w:hint="eastAsia"/>
          <w:color w:val="auto"/>
          <w:sz w:val="24"/>
          <w:szCs w:val="24"/>
          <w:highlight w:val="none"/>
          <w:u w:val="single"/>
          <w:lang w:eastAsia="zh-CN"/>
        </w:rPr>
      </w:pPr>
      <w:r>
        <w:rPr>
          <w:rFonts w:hint="eastAsia" w:ascii="宋体" w:hAnsi="宋体" w:eastAsia="宋体" w:cs="宋体"/>
          <w:color w:val="auto"/>
          <w:sz w:val="24"/>
          <w:szCs w:val="24"/>
          <w:highlight w:val="none"/>
          <w:u w:val="single"/>
        </w:rPr>
        <w:t>⑥未被列入拖欠农民工工资失信联合惩戒对象名单</w:t>
      </w:r>
      <w:r>
        <w:rPr>
          <w:rFonts w:hint="eastAsia" w:ascii="宋体" w:hAnsi="宋体" w:eastAsia="宋体" w:cs="宋体"/>
          <w:color w:val="auto"/>
          <w:sz w:val="24"/>
          <w:szCs w:val="24"/>
          <w:highlight w:val="none"/>
          <w:u w:val="single"/>
          <w:lang w:val="en-US" w:eastAsia="zh-CN"/>
        </w:rPr>
        <w:t>和失信被执行人</w:t>
      </w:r>
      <w:r>
        <w:rPr>
          <w:rFonts w:hint="eastAsia" w:ascii="宋体" w:hAnsi="宋体" w:eastAsia="宋体" w:cs="宋体"/>
          <w:color w:val="auto"/>
          <w:sz w:val="24"/>
          <w:szCs w:val="24"/>
          <w:highlight w:val="none"/>
          <w:u w:val="single"/>
          <w:lang w:eastAsia="zh-CN"/>
        </w:rPr>
        <w:t>。本项评审投标人无需提供资料，按</w:t>
      </w:r>
      <w:r>
        <w:rPr>
          <w:rFonts w:hint="eastAsia" w:ascii="宋体" w:hAnsi="宋体" w:eastAsia="宋体" w:cs="宋体"/>
          <w:color w:val="auto"/>
          <w:sz w:val="24"/>
          <w:szCs w:val="24"/>
          <w:highlight w:val="none"/>
          <w:u w:val="single"/>
          <w:lang w:val="en-US" w:eastAsia="zh-CN"/>
        </w:rPr>
        <w:t>投标截止时</w:t>
      </w:r>
      <w:r>
        <w:rPr>
          <w:rFonts w:hint="eastAsia" w:ascii="宋体" w:hAnsi="宋体" w:eastAsia="宋体" w:cs="宋体"/>
          <w:color w:val="auto"/>
          <w:sz w:val="24"/>
          <w:szCs w:val="24"/>
          <w:highlight w:val="none"/>
          <w:u w:val="single"/>
          <w:lang w:eastAsia="zh-CN"/>
        </w:rPr>
        <w:t>广州交易集团有限公司（广州公共资源交易中心）交易系统比对的结果进行评审。</w:t>
      </w:r>
    </w:p>
    <w:p w14:paraId="56E7D0FD">
      <w:pPr>
        <w:pStyle w:val="5"/>
        <w:spacing w:line="360" w:lineRule="auto"/>
        <w:ind w:firstLine="0" w:firstLineChars="0"/>
        <w:rPr>
          <w:rFonts w:ascii="宋体" w:hAnsi="宋体" w:eastAsia="宋体" w:cs="宋体"/>
          <w:color w:val="auto"/>
          <w:szCs w:val="24"/>
          <w:highlight w:val="none"/>
        </w:rPr>
      </w:pPr>
      <w:r>
        <w:rPr>
          <w:rFonts w:ascii="宋体" w:hAnsi="宋体" w:eastAsia="宋体" w:cs="宋体"/>
          <w:color w:val="auto"/>
          <w:szCs w:val="24"/>
          <w:highlight w:val="none"/>
        </w:rPr>
        <w:t xml:space="preserve">3.6 </w:t>
      </w:r>
      <w:r>
        <w:rPr>
          <w:rFonts w:hint="eastAsia" w:ascii="宋体" w:hAnsi="宋体" w:eastAsia="宋体" w:cs="宋体"/>
          <w:color w:val="auto"/>
          <w:szCs w:val="24"/>
          <w:highlight w:val="none"/>
        </w:rPr>
        <w:t>备选投标方案</w:t>
      </w:r>
      <w:bookmarkEnd w:id="360"/>
      <w:bookmarkEnd w:id="361"/>
      <w:bookmarkEnd w:id="362"/>
      <w:bookmarkEnd w:id="363"/>
      <w:bookmarkEnd w:id="364"/>
      <w:bookmarkEnd w:id="365"/>
      <w:bookmarkEnd w:id="366"/>
      <w:bookmarkEnd w:id="367"/>
      <w:bookmarkEnd w:id="368"/>
      <w:bookmarkEnd w:id="369"/>
    </w:p>
    <w:p w14:paraId="6F0D1AE3">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3.6.1 </w:t>
      </w:r>
      <w:r>
        <w:rPr>
          <w:rFonts w:hint="eastAsia" w:ascii="宋体" w:hAnsi="宋体" w:cs="宋体"/>
          <w:color w:val="auto"/>
          <w:sz w:val="24"/>
          <w:szCs w:val="24"/>
          <w:highlight w:val="none"/>
        </w:rPr>
        <w:t>除投标人须知前附表规定允许外，投标人不得递交备选投标方案，否则其投标将被否决。</w:t>
      </w:r>
    </w:p>
    <w:p w14:paraId="4B5B41F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3.6.2 </w:t>
      </w:r>
      <w:r>
        <w:rPr>
          <w:rFonts w:hint="eastAsia" w:ascii="宋体" w:hAnsi="宋体" w:cs="宋体"/>
          <w:color w:val="auto"/>
          <w:sz w:val="24"/>
          <w:szCs w:val="24"/>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7A8B34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3.6.3 </w:t>
      </w:r>
      <w:r>
        <w:rPr>
          <w:rFonts w:hint="eastAsia" w:ascii="宋体" w:hAnsi="宋体" w:cs="宋体"/>
          <w:color w:val="auto"/>
          <w:sz w:val="24"/>
          <w:szCs w:val="24"/>
          <w:highlight w:val="none"/>
        </w:rPr>
        <w:t>投标人提供两个或两个以上投标报价，或者在投标文件中提供一个报价，但同时提供两个或两个以上</w:t>
      </w:r>
      <w:bookmarkStart w:id="370" w:name="_Toc29902"/>
      <w:bookmarkStart w:id="371" w:name="_Toc144974518"/>
      <w:bookmarkStart w:id="372" w:name="_Toc300834971"/>
      <w:bookmarkStart w:id="373" w:name="_Toc152042326"/>
      <w:bookmarkStart w:id="374" w:name="_Toc247527575"/>
      <w:bookmarkStart w:id="375" w:name="_Toc361508607"/>
      <w:bookmarkStart w:id="376" w:name="_Toc384308232"/>
      <w:bookmarkStart w:id="377" w:name="_Toc369531538"/>
      <w:bookmarkStart w:id="378" w:name="_Toc247513974"/>
      <w:bookmarkStart w:id="379" w:name="_Toc352691495"/>
      <w:bookmarkStart w:id="380" w:name="_Toc152045550"/>
      <w:r>
        <w:rPr>
          <w:rFonts w:hint="eastAsia" w:ascii="宋体" w:hAnsi="宋体" w:cs="宋体"/>
          <w:color w:val="auto"/>
          <w:sz w:val="24"/>
          <w:szCs w:val="24"/>
          <w:highlight w:val="none"/>
        </w:rPr>
        <w:t>监理方案的</w:t>
      </w:r>
      <w:bookmarkEnd w:id="370"/>
      <w:bookmarkEnd w:id="371"/>
      <w:bookmarkEnd w:id="372"/>
      <w:bookmarkEnd w:id="373"/>
      <w:bookmarkEnd w:id="374"/>
      <w:bookmarkEnd w:id="375"/>
      <w:bookmarkEnd w:id="376"/>
      <w:bookmarkEnd w:id="377"/>
      <w:bookmarkEnd w:id="378"/>
      <w:bookmarkEnd w:id="379"/>
      <w:bookmarkEnd w:id="380"/>
      <w:r>
        <w:rPr>
          <w:rFonts w:hint="eastAsia" w:ascii="宋体" w:hAnsi="宋体" w:cs="宋体"/>
          <w:color w:val="auto"/>
          <w:sz w:val="24"/>
          <w:szCs w:val="24"/>
          <w:highlight w:val="none"/>
        </w:rPr>
        <w:t>，视为提供备选方案。</w:t>
      </w:r>
    </w:p>
    <w:p w14:paraId="0BAF6FA2">
      <w:pPr>
        <w:pStyle w:val="5"/>
        <w:spacing w:line="360" w:lineRule="auto"/>
        <w:ind w:firstLine="0" w:firstLineChars="0"/>
        <w:rPr>
          <w:rFonts w:ascii="宋体" w:hAnsi="宋体" w:eastAsia="宋体" w:cs="宋体"/>
          <w:color w:val="auto"/>
          <w:szCs w:val="24"/>
          <w:highlight w:val="none"/>
        </w:rPr>
      </w:pPr>
      <w:bookmarkStart w:id="381" w:name="_Toc12491"/>
      <w:bookmarkStart w:id="382" w:name="_Toc18115"/>
      <w:bookmarkStart w:id="383" w:name="_Toc21879"/>
      <w:bookmarkStart w:id="384" w:name="_Toc492300590"/>
      <w:bookmarkStart w:id="385" w:name="_Toc15838"/>
      <w:bookmarkStart w:id="386" w:name="_Toc28209"/>
      <w:bookmarkStart w:id="387" w:name="_Toc6577"/>
      <w:bookmarkStart w:id="388" w:name="_Toc19346"/>
      <w:bookmarkStart w:id="389" w:name="_Toc19725"/>
      <w:bookmarkStart w:id="390" w:name="_Toc18836"/>
      <w:r>
        <w:rPr>
          <w:rFonts w:ascii="宋体" w:hAnsi="宋体" w:eastAsia="宋体" w:cs="宋体"/>
          <w:color w:val="auto"/>
          <w:szCs w:val="24"/>
          <w:highlight w:val="none"/>
        </w:rPr>
        <w:t xml:space="preserve">3.7 </w:t>
      </w:r>
      <w:r>
        <w:rPr>
          <w:rFonts w:hint="eastAsia" w:ascii="宋体" w:hAnsi="宋体" w:eastAsia="宋体" w:cs="宋体"/>
          <w:color w:val="auto"/>
          <w:szCs w:val="24"/>
          <w:highlight w:val="none"/>
        </w:rPr>
        <w:t>投标文件的编制</w:t>
      </w:r>
      <w:bookmarkEnd w:id="381"/>
      <w:bookmarkEnd w:id="382"/>
      <w:bookmarkEnd w:id="383"/>
      <w:bookmarkEnd w:id="384"/>
      <w:bookmarkEnd w:id="385"/>
      <w:bookmarkEnd w:id="386"/>
      <w:bookmarkEnd w:id="387"/>
      <w:bookmarkEnd w:id="388"/>
      <w:bookmarkEnd w:id="389"/>
      <w:bookmarkEnd w:id="390"/>
    </w:p>
    <w:p w14:paraId="0A44672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3.7.1 </w:t>
      </w:r>
      <w:r>
        <w:rPr>
          <w:rFonts w:hint="eastAsia" w:ascii="宋体" w:hAnsi="宋体" w:cs="宋体"/>
          <w:color w:val="auto"/>
          <w:sz w:val="24"/>
          <w:szCs w:val="24"/>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37DC5C43">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3.7.2 </w:t>
      </w:r>
      <w:r>
        <w:rPr>
          <w:rFonts w:hint="eastAsia" w:ascii="宋体" w:hAnsi="宋体" w:cs="宋体"/>
          <w:color w:val="auto"/>
          <w:sz w:val="24"/>
          <w:szCs w:val="24"/>
          <w:highlight w:val="none"/>
        </w:rPr>
        <w:t>投标文件应当对招标文件有关监理服务期限、投标有效期、委托人要求、招标范围等实质性内容作出响应。</w:t>
      </w:r>
    </w:p>
    <w:p w14:paraId="6DDCC1FA">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65ED254F">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（2）投标文件正本一份，副本份数见投标人须知前附表。正本和副本的封面</w:t>
      </w:r>
      <w:r>
        <w:rPr>
          <w:rStyle w:val="18"/>
          <w:rFonts w:hint="eastAsia" w:ascii="宋体" w:hAnsi="宋体" w:cs="宋体"/>
          <w:strike/>
          <w:color w:val="auto"/>
          <w:kern w:val="0"/>
          <w:sz w:val="24"/>
          <w:szCs w:val="24"/>
          <w:highlight w:val="none"/>
        </w:rPr>
        <w:t>右上角</w:t>
      </w:r>
      <w:r>
        <w:rPr>
          <w:rFonts w:hint="eastAsia" w:ascii="宋体" w:hAnsi="宋体" w:cs="宋体"/>
          <w:strike/>
          <w:color w:val="auto"/>
          <w:sz w:val="24"/>
          <w:szCs w:val="24"/>
          <w:highlight w:val="none"/>
        </w:rPr>
        <w:t>上应清楚地标记“正本”或“副本”的字样。投标人应根据投标人须知前附表要求提供电子版文件。当副本和正本不一致或电子版文件和纸质正本文件不一致时，以纸质正本文件为准。</w:t>
      </w:r>
    </w:p>
    <w:p w14:paraId="5EE35AC1">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（3）投标文件的正本与副本应分别装订，并编制目录，投标文件需分册装订的，具体分册装订要求见投标人须知前附表规定。</w:t>
      </w:r>
    </w:p>
    <w:p w14:paraId="101BAE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3.7.3（B）投标文件全部采用电子文档，除投标人须知前附表另有规定外，投标文件所附证书证件均为清晰扫描件，并采用单位和个人数字证书，</w:t>
      </w:r>
      <w:r>
        <w:rPr>
          <w:rFonts w:hint="eastAsia" w:ascii="宋体" w:hAnsi="宋体" w:cs="宋体"/>
          <w:color w:val="auto"/>
          <w:sz w:val="24"/>
          <w:szCs w:val="24"/>
          <w:highlight w:val="none"/>
          <w:lang w:val="en-US" w:eastAsia="zh-CN"/>
        </w:rPr>
        <w:t>对投标文件</w:t>
      </w:r>
      <w:r>
        <w:rPr>
          <w:rFonts w:hint="eastAsia" w:ascii="宋体" w:hAnsi="宋体" w:cs="宋体"/>
          <w:color w:val="auto"/>
          <w:sz w:val="24"/>
          <w:szCs w:val="24"/>
          <w:highlight w:val="none"/>
        </w:rPr>
        <w:t>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66DEA66">
      <w:pPr>
        <w:pStyle w:val="4"/>
        <w:spacing w:line="360" w:lineRule="auto"/>
        <w:rPr>
          <w:rFonts w:ascii="宋体" w:hAnsi="宋体" w:eastAsia="宋体" w:cs="宋体"/>
          <w:color w:val="auto"/>
          <w:sz w:val="28"/>
          <w:szCs w:val="28"/>
          <w:highlight w:val="none"/>
        </w:rPr>
      </w:pPr>
      <w:bookmarkStart w:id="391" w:name="_Toc21771"/>
      <w:bookmarkStart w:id="392" w:name="_Toc10003"/>
      <w:bookmarkStart w:id="393" w:name="_Toc492300591"/>
      <w:bookmarkStart w:id="394" w:name="_Toc31476"/>
      <w:bookmarkStart w:id="395" w:name="_Toc26591"/>
      <w:bookmarkStart w:id="396" w:name="_Toc3720"/>
      <w:bookmarkStart w:id="397" w:name="_Toc1464"/>
      <w:bookmarkStart w:id="398" w:name="_Toc5182"/>
      <w:bookmarkStart w:id="399" w:name="_Toc10101"/>
      <w:bookmarkStart w:id="400" w:name="_Toc16173"/>
      <w:r>
        <w:rPr>
          <w:rFonts w:ascii="宋体" w:hAnsi="宋体" w:eastAsia="宋体" w:cs="宋体"/>
          <w:color w:val="auto"/>
          <w:sz w:val="28"/>
          <w:szCs w:val="28"/>
          <w:highlight w:val="none"/>
        </w:rPr>
        <w:t xml:space="preserve">4. </w:t>
      </w:r>
      <w:r>
        <w:rPr>
          <w:rFonts w:hint="eastAsia" w:ascii="宋体" w:hAnsi="宋体" w:eastAsia="宋体" w:cs="宋体"/>
          <w:color w:val="auto"/>
          <w:sz w:val="28"/>
          <w:szCs w:val="28"/>
          <w:highlight w:val="none"/>
        </w:rPr>
        <w:t>投标</w:t>
      </w:r>
      <w:bookmarkEnd w:id="391"/>
      <w:bookmarkEnd w:id="392"/>
      <w:bookmarkEnd w:id="393"/>
      <w:bookmarkEnd w:id="394"/>
      <w:bookmarkEnd w:id="395"/>
      <w:bookmarkEnd w:id="396"/>
      <w:bookmarkEnd w:id="397"/>
      <w:bookmarkEnd w:id="398"/>
      <w:bookmarkEnd w:id="399"/>
      <w:bookmarkEnd w:id="400"/>
    </w:p>
    <w:p w14:paraId="23A5EE2D">
      <w:pPr>
        <w:pStyle w:val="5"/>
        <w:spacing w:line="360" w:lineRule="auto"/>
        <w:ind w:firstLine="0" w:firstLineChars="0"/>
        <w:rPr>
          <w:rFonts w:ascii="宋体" w:hAnsi="宋体" w:eastAsia="宋体" w:cs="宋体"/>
          <w:color w:val="auto"/>
          <w:szCs w:val="24"/>
          <w:highlight w:val="none"/>
        </w:rPr>
      </w:pPr>
      <w:bookmarkStart w:id="401" w:name="_Toc747"/>
      <w:bookmarkStart w:id="402" w:name="_Toc1661"/>
      <w:bookmarkStart w:id="403" w:name="_Toc13412"/>
      <w:bookmarkStart w:id="404" w:name="_Toc20798"/>
      <w:bookmarkStart w:id="405" w:name="_Toc492300592"/>
      <w:bookmarkStart w:id="406" w:name="_Toc16071"/>
      <w:bookmarkStart w:id="407" w:name="_Toc24968"/>
      <w:bookmarkStart w:id="408" w:name="_Toc31527"/>
      <w:bookmarkStart w:id="409" w:name="_Toc26160"/>
      <w:bookmarkStart w:id="410" w:name="_Toc21559"/>
      <w:r>
        <w:rPr>
          <w:rFonts w:ascii="宋体" w:hAnsi="宋体" w:eastAsia="宋体" w:cs="宋体"/>
          <w:color w:val="auto"/>
          <w:szCs w:val="24"/>
          <w:highlight w:val="none"/>
        </w:rPr>
        <w:t xml:space="preserve">4.1 </w:t>
      </w:r>
      <w:r>
        <w:rPr>
          <w:rFonts w:hint="eastAsia" w:ascii="宋体" w:hAnsi="宋体" w:eastAsia="宋体" w:cs="宋体"/>
          <w:color w:val="auto"/>
          <w:szCs w:val="24"/>
          <w:highlight w:val="none"/>
        </w:rPr>
        <w:t>投标文件的密封和标记</w:t>
      </w:r>
      <w:bookmarkEnd w:id="401"/>
      <w:bookmarkEnd w:id="402"/>
      <w:bookmarkEnd w:id="403"/>
      <w:bookmarkEnd w:id="404"/>
      <w:bookmarkEnd w:id="405"/>
      <w:bookmarkEnd w:id="406"/>
      <w:bookmarkEnd w:id="407"/>
      <w:bookmarkEnd w:id="408"/>
      <w:bookmarkEnd w:id="409"/>
      <w:bookmarkEnd w:id="410"/>
    </w:p>
    <w:p w14:paraId="3300087F">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4.1.1 </w:t>
      </w:r>
      <w:r>
        <w:rPr>
          <w:rFonts w:hint="eastAsia" w:ascii="宋体" w:hAnsi="宋体" w:cs="宋体"/>
          <w:strike/>
          <w:color w:val="auto"/>
          <w:sz w:val="24"/>
          <w:szCs w:val="24"/>
          <w:highlight w:val="none"/>
        </w:rPr>
        <w:t>（A）投标文件应密封包装，并在封套的封口处加盖投标人单位章或由投标人的法定代表人或其授权的代理人签字。</w:t>
      </w:r>
    </w:p>
    <w:p w14:paraId="750D3D0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4.1.1 </w:t>
      </w:r>
      <w:r>
        <w:rPr>
          <w:rFonts w:hint="eastAsia" w:ascii="宋体" w:hAnsi="宋体" w:cs="宋体"/>
          <w:color w:val="auto"/>
          <w:sz w:val="24"/>
          <w:szCs w:val="24"/>
          <w:highlight w:val="none"/>
        </w:rPr>
        <w:t>（B）投标人应当按照招标文件和电子招标投标交易平台的要求加密投标文件，具体要求见投标人须知前附表。</w:t>
      </w:r>
    </w:p>
    <w:p w14:paraId="6FDF3D1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4.1.2 </w:t>
      </w:r>
      <w:r>
        <w:rPr>
          <w:rFonts w:hint="eastAsia" w:ascii="宋体" w:hAnsi="宋体" w:cs="宋体"/>
          <w:color w:val="auto"/>
          <w:sz w:val="24"/>
          <w:szCs w:val="24"/>
          <w:highlight w:val="none"/>
        </w:rPr>
        <w:t>投标文件封套上应写明的内容见投标人须知前附表。</w:t>
      </w:r>
    </w:p>
    <w:p w14:paraId="3D476BC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4.1.3 </w:t>
      </w:r>
      <w:r>
        <w:rPr>
          <w:rFonts w:hint="eastAsia" w:ascii="宋体" w:hAnsi="宋体" w:cs="宋体"/>
          <w:color w:val="auto"/>
          <w:sz w:val="24"/>
          <w:szCs w:val="24"/>
          <w:highlight w:val="none"/>
        </w:rPr>
        <w:t>未按本章第4.1.1项要求密封的投标文件，招标人将予以拒收。</w:t>
      </w:r>
    </w:p>
    <w:p w14:paraId="367B1C23">
      <w:pPr>
        <w:pStyle w:val="5"/>
        <w:spacing w:line="360" w:lineRule="auto"/>
        <w:ind w:firstLine="0" w:firstLineChars="0"/>
        <w:rPr>
          <w:rFonts w:ascii="宋体" w:hAnsi="宋体" w:eastAsia="宋体" w:cs="宋体"/>
          <w:color w:val="auto"/>
          <w:szCs w:val="24"/>
          <w:highlight w:val="none"/>
        </w:rPr>
      </w:pPr>
      <w:bookmarkStart w:id="411" w:name="_Toc22506"/>
      <w:bookmarkStart w:id="412" w:name="_Toc6415"/>
      <w:bookmarkStart w:id="413" w:name="_Toc18806"/>
      <w:bookmarkStart w:id="414" w:name="_Toc767"/>
      <w:bookmarkStart w:id="415" w:name="_Toc5726"/>
      <w:bookmarkStart w:id="416" w:name="_Toc492300593"/>
      <w:bookmarkStart w:id="417" w:name="_Toc8542"/>
      <w:bookmarkStart w:id="418" w:name="_Toc28965"/>
      <w:bookmarkStart w:id="419" w:name="_Toc29912"/>
      <w:bookmarkStart w:id="420" w:name="_Toc21455"/>
      <w:r>
        <w:rPr>
          <w:rFonts w:ascii="宋体" w:hAnsi="宋体" w:eastAsia="宋体" w:cs="宋体"/>
          <w:color w:val="auto"/>
          <w:szCs w:val="24"/>
          <w:highlight w:val="none"/>
        </w:rPr>
        <w:t xml:space="preserve">4.2 </w:t>
      </w:r>
      <w:r>
        <w:rPr>
          <w:rFonts w:hint="eastAsia" w:ascii="宋体" w:hAnsi="宋体" w:eastAsia="宋体" w:cs="宋体"/>
          <w:color w:val="auto"/>
          <w:szCs w:val="24"/>
          <w:highlight w:val="none"/>
        </w:rPr>
        <w:t>投标文件的递交</w:t>
      </w:r>
      <w:bookmarkEnd w:id="411"/>
      <w:bookmarkEnd w:id="412"/>
      <w:bookmarkEnd w:id="413"/>
      <w:bookmarkEnd w:id="414"/>
      <w:bookmarkEnd w:id="415"/>
      <w:bookmarkEnd w:id="416"/>
      <w:bookmarkEnd w:id="417"/>
      <w:bookmarkEnd w:id="418"/>
      <w:bookmarkEnd w:id="419"/>
      <w:bookmarkEnd w:id="420"/>
    </w:p>
    <w:p w14:paraId="7568F613">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4.2.1 </w:t>
      </w:r>
      <w:r>
        <w:rPr>
          <w:rFonts w:hint="eastAsia" w:ascii="宋体" w:hAnsi="宋体" w:cs="宋体"/>
          <w:color w:val="auto"/>
          <w:sz w:val="24"/>
          <w:szCs w:val="24"/>
          <w:highlight w:val="none"/>
        </w:rPr>
        <w:t>投标人应在投标人须知前附表规定的投标截止时间前递交投标文件。</w:t>
      </w:r>
    </w:p>
    <w:p w14:paraId="21E7BDB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4.2.2 </w:t>
      </w:r>
      <w:r>
        <w:rPr>
          <w:rFonts w:hint="eastAsia" w:ascii="宋体" w:hAnsi="宋体" w:cs="宋体"/>
          <w:color w:val="auto"/>
          <w:sz w:val="24"/>
          <w:szCs w:val="24"/>
          <w:highlight w:val="none"/>
        </w:rPr>
        <w:t>（A）投标人递交投标文件的地点：见投标人须知前附表。</w:t>
      </w:r>
    </w:p>
    <w:p w14:paraId="5336D579">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4.2.2 </w:t>
      </w:r>
      <w:r>
        <w:rPr>
          <w:rFonts w:hint="eastAsia" w:ascii="宋体" w:hAnsi="宋体" w:cs="宋体"/>
          <w:strike/>
          <w:color w:val="auto"/>
          <w:sz w:val="24"/>
          <w:szCs w:val="24"/>
          <w:highlight w:val="none"/>
        </w:rPr>
        <w:t>（B）</w:t>
      </w:r>
      <w:r>
        <w:rPr>
          <w:rFonts w:hint="eastAsia" w:ascii="宋体" w:hAnsi="宋体" w:cs="宋体"/>
          <w:bCs/>
          <w:iCs/>
          <w:strike/>
          <w:color w:val="auto"/>
          <w:sz w:val="24"/>
          <w:szCs w:val="24"/>
          <w:highlight w:val="none"/>
        </w:rPr>
        <w:t>投标人通过下载招标文件的电子招标投标交易平台递交电子投标文件。</w:t>
      </w:r>
    </w:p>
    <w:p w14:paraId="4D07CF9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4.2.3 </w:t>
      </w:r>
      <w:r>
        <w:rPr>
          <w:rFonts w:hint="eastAsia" w:ascii="宋体" w:hAnsi="宋体" w:cs="宋体"/>
          <w:color w:val="auto"/>
          <w:sz w:val="24"/>
          <w:szCs w:val="24"/>
          <w:highlight w:val="none"/>
        </w:rPr>
        <w:t>除投标人须知前附表另有规定外，投标人所递交的投标文件不予退还。</w:t>
      </w:r>
    </w:p>
    <w:p w14:paraId="2DBCBFE2">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4.2.4 </w:t>
      </w:r>
      <w:r>
        <w:rPr>
          <w:rFonts w:hint="eastAsia" w:ascii="宋体" w:hAnsi="宋体" w:cs="宋体"/>
          <w:strike/>
          <w:color w:val="auto"/>
          <w:sz w:val="24"/>
          <w:szCs w:val="24"/>
          <w:highlight w:val="none"/>
        </w:rPr>
        <w:t>（A）招标人收到投标文件后，向投标人出具签收凭证。</w:t>
      </w:r>
    </w:p>
    <w:p w14:paraId="0186D37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4.2.4 </w:t>
      </w:r>
      <w:r>
        <w:rPr>
          <w:rFonts w:hint="eastAsia" w:ascii="宋体" w:hAnsi="宋体" w:cs="宋体"/>
          <w:color w:val="auto"/>
          <w:sz w:val="24"/>
          <w:szCs w:val="24"/>
          <w:highlight w:val="none"/>
        </w:rPr>
        <w:t>（B）投标人完成电子投标文件上传后，</w:t>
      </w:r>
      <w:r>
        <w:rPr>
          <w:rFonts w:hint="eastAsia" w:ascii="宋体" w:hAnsi="宋体" w:cs="宋体"/>
          <w:bCs/>
          <w:iCs/>
          <w:color w:val="auto"/>
          <w:sz w:val="24"/>
          <w:szCs w:val="24"/>
          <w:highlight w:val="none"/>
        </w:rPr>
        <w:t>电子招标投标交易平台</w:t>
      </w:r>
      <w:r>
        <w:rPr>
          <w:rFonts w:hint="eastAsia" w:ascii="宋体" w:hAnsi="宋体" w:cs="宋体"/>
          <w:color w:val="auto"/>
          <w:sz w:val="24"/>
          <w:szCs w:val="24"/>
          <w:highlight w:val="none"/>
        </w:rPr>
        <w:t>即时向投标人发出递交回执通知。递交时间以递交回执通知载明的传输完成时间为准。</w:t>
      </w:r>
    </w:p>
    <w:p w14:paraId="016BD9CC">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4.2.5 </w:t>
      </w:r>
      <w:r>
        <w:rPr>
          <w:rFonts w:hint="eastAsia" w:ascii="宋体" w:hAnsi="宋体" w:cs="宋体"/>
          <w:strike/>
          <w:color w:val="auto"/>
          <w:sz w:val="24"/>
          <w:szCs w:val="24"/>
          <w:highlight w:val="none"/>
        </w:rPr>
        <w:t>（A）逾期送达的投标文件，招标人将予以拒收。</w:t>
      </w:r>
    </w:p>
    <w:p w14:paraId="7091816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4.2.5 </w:t>
      </w:r>
      <w:r>
        <w:rPr>
          <w:rFonts w:hint="eastAsia" w:ascii="宋体" w:hAnsi="宋体" w:cs="宋体"/>
          <w:color w:val="auto"/>
          <w:sz w:val="24"/>
          <w:szCs w:val="24"/>
          <w:highlight w:val="none"/>
        </w:rPr>
        <w:t>（B）逾期送达的投标文件，电子招标投标交易平台将予以拒收。</w:t>
      </w:r>
    </w:p>
    <w:p w14:paraId="1D868E6C">
      <w:pPr>
        <w:spacing w:line="360" w:lineRule="auto"/>
        <w:ind w:firstLine="480" w:firstLineChars="200"/>
        <w:rPr>
          <w:rFonts w:ascii="宋体" w:hAnsi="宋体" w:cs="宋体"/>
          <w:color w:val="auto"/>
          <w:sz w:val="24"/>
          <w:szCs w:val="24"/>
          <w:highlight w:val="none"/>
        </w:rPr>
      </w:pPr>
    </w:p>
    <w:p w14:paraId="50EF13BD">
      <w:pPr>
        <w:pStyle w:val="5"/>
        <w:spacing w:line="360" w:lineRule="auto"/>
        <w:ind w:firstLine="0" w:firstLineChars="0"/>
        <w:rPr>
          <w:rFonts w:ascii="宋体" w:hAnsi="宋体" w:eastAsia="宋体" w:cs="宋体"/>
          <w:color w:val="auto"/>
          <w:szCs w:val="24"/>
          <w:highlight w:val="none"/>
        </w:rPr>
      </w:pPr>
      <w:bookmarkStart w:id="421" w:name="_Toc1607"/>
      <w:bookmarkStart w:id="422" w:name="_Toc23826"/>
      <w:bookmarkStart w:id="423" w:name="_Toc10715"/>
      <w:bookmarkStart w:id="424" w:name="_Toc526"/>
      <w:bookmarkStart w:id="425" w:name="_Toc492300594"/>
      <w:bookmarkStart w:id="426" w:name="_Toc15299"/>
      <w:bookmarkStart w:id="427" w:name="_Toc16381"/>
      <w:bookmarkStart w:id="428" w:name="_Toc5000"/>
      <w:bookmarkStart w:id="429" w:name="_Toc26387"/>
      <w:bookmarkStart w:id="430" w:name="_Toc4752"/>
      <w:r>
        <w:rPr>
          <w:rFonts w:ascii="宋体" w:hAnsi="宋体" w:eastAsia="宋体" w:cs="宋体"/>
          <w:color w:val="auto"/>
          <w:szCs w:val="24"/>
          <w:highlight w:val="none"/>
        </w:rPr>
        <w:t xml:space="preserve">4.3 </w:t>
      </w:r>
      <w:r>
        <w:rPr>
          <w:rFonts w:hint="eastAsia" w:ascii="宋体" w:hAnsi="宋体" w:eastAsia="宋体" w:cs="宋体"/>
          <w:color w:val="auto"/>
          <w:szCs w:val="24"/>
          <w:highlight w:val="none"/>
        </w:rPr>
        <w:t>投标文件的修改与撤回</w:t>
      </w:r>
      <w:bookmarkEnd w:id="421"/>
      <w:bookmarkEnd w:id="422"/>
      <w:bookmarkEnd w:id="423"/>
      <w:bookmarkEnd w:id="424"/>
      <w:bookmarkEnd w:id="425"/>
      <w:bookmarkEnd w:id="426"/>
      <w:bookmarkEnd w:id="427"/>
      <w:bookmarkEnd w:id="428"/>
      <w:bookmarkEnd w:id="429"/>
      <w:bookmarkEnd w:id="430"/>
    </w:p>
    <w:p w14:paraId="53A5D68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4.3.1 </w:t>
      </w:r>
      <w:r>
        <w:rPr>
          <w:rFonts w:hint="eastAsia" w:ascii="宋体" w:hAnsi="宋体" w:cs="宋体"/>
          <w:color w:val="auto"/>
          <w:sz w:val="24"/>
          <w:szCs w:val="24"/>
          <w:highlight w:val="none"/>
        </w:rPr>
        <w:t>在本章第4.2.1项规定的投标截止时间前，投标人可以修改或撤回已递交的投标文件，但应以书面形式通知招标人。</w:t>
      </w:r>
    </w:p>
    <w:p w14:paraId="695B9356">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4.3.2 </w:t>
      </w:r>
      <w:r>
        <w:rPr>
          <w:rFonts w:hint="eastAsia" w:ascii="宋体" w:hAnsi="宋体" w:cs="宋体"/>
          <w:strike/>
          <w:color w:val="auto"/>
          <w:sz w:val="24"/>
          <w:szCs w:val="24"/>
          <w:highlight w:val="none"/>
        </w:rPr>
        <w:t>（A）投标人修改或撤回已递交投标文件的书面通知应按照本章第3.7.3（A）项的要求签字或盖章。招标人收到书面通知后，向投标人出具签收凭证。</w:t>
      </w:r>
    </w:p>
    <w:p w14:paraId="36EE72A4">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4.3.2 </w:t>
      </w:r>
      <w:r>
        <w:rPr>
          <w:rFonts w:hint="eastAsia" w:ascii="宋体" w:hAnsi="宋体" w:cs="宋体"/>
          <w:color w:val="auto"/>
          <w:sz w:val="24"/>
          <w:szCs w:val="24"/>
          <w:highlight w:val="none"/>
        </w:rPr>
        <w:t>（B）投标人修改或撤回已递交投标文件的通知，应按照本章第3.7.3（B）项的要求加盖电子印章。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14:paraId="6EA093E5">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4.3.3 </w:t>
      </w:r>
      <w:r>
        <w:rPr>
          <w:rFonts w:hint="eastAsia" w:ascii="宋体" w:hAnsi="宋体" w:cs="宋体"/>
          <w:strike/>
          <w:color w:val="auto"/>
          <w:sz w:val="24"/>
          <w:szCs w:val="24"/>
          <w:highlight w:val="none"/>
        </w:rPr>
        <w:t>投标人撤回投标文件的，招标人自收到投标人书面撤回通知之日起5日内退还已收取的投标保证金。</w:t>
      </w:r>
    </w:p>
    <w:p w14:paraId="54082F1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4.3.</w:t>
      </w:r>
      <w:bookmarkStart w:id="431" w:name="_Toc369531541"/>
      <w:bookmarkStart w:id="432" w:name="_Toc247527578"/>
      <w:bookmarkStart w:id="433" w:name="_Toc247513977"/>
      <w:bookmarkStart w:id="434" w:name="_Toc361508610"/>
      <w:bookmarkStart w:id="435" w:name="_Toc352691497"/>
      <w:bookmarkStart w:id="436" w:name="_Toc300834974"/>
      <w:bookmarkStart w:id="437" w:name="_Toc152045553"/>
      <w:bookmarkStart w:id="438" w:name="_Toc19203"/>
      <w:bookmarkStart w:id="439" w:name="_Toc144974521"/>
      <w:bookmarkStart w:id="440" w:name="_Toc384308235"/>
      <w:bookmarkStart w:id="441" w:name="_Toc152042329"/>
      <w:r>
        <w:rPr>
          <w:rFonts w:ascii="宋体" w:hAnsi="宋体" w:cs="宋体"/>
          <w:color w:val="auto"/>
          <w:sz w:val="24"/>
          <w:szCs w:val="24"/>
          <w:highlight w:val="none"/>
        </w:rPr>
        <w:t xml:space="preserve">4 </w:t>
      </w:r>
      <w:r>
        <w:rPr>
          <w:rFonts w:hint="eastAsia" w:ascii="宋体" w:hAnsi="宋体" w:cs="宋体"/>
          <w:color w:val="auto"/>
          <w:sz w:val="24"/>
          <w:szCs w:val="24"/>
          <w:highlight w:val="none"/>
        </w:rPr>
        <w:t>修改的内容为投标</w:t>
      </w:r>
      <w:bookmarkEnd w:id="431"/>
      <w:bookmarkEnd w:id="432"/>
      <w:bookmarkEnd w:id="433"/>
      <w:bookmarkEnd w:id="434"/>
      <w:bookmarkEnd w:id="435"/>
      <w:bookmarkEnd w:id="436"/>
      <w:bookmarkEnd w:id="437"/>
      <w:bookmarkEnd w:id="438"/>
      <w:bookmarkEnd w:id="439"/>
      <w:bookmarkEnd w:id="440"/>
      <w:bookmarkEnd w:id="441"/>
      <w:r>
        <w:rPr>
          <w:rFonts w:hint="eastAsia" w:ascii="宋体" w:hAnsi="宋体" w:cs="宋体"/>
          <w:color w:val="auto"/>
          <w:sz w:val="24"/>
          <w:szCs w:val="24"/>
          <w:highlight w:val="none"/>
        </w:rPr>
        <w:t>文件的组成部分。修改的投标文件应按照本章第3条、第4条的规定进行编制、密封、标记和递交，并标明“修改”字样。</w:t>
      </w:r>
    </w:p>
    <w:p w14:paraId="1D33506D">
      <w:pPr>
        <w:pStyle w:val="4"/>
        <w:spacing w:line="360" w:lineRule="auto"/>
        <w:rPr>
          <w:rFonts w:ascii="宋体" w:hAnsi="宋体" w:eastAsia="宋体" w:cs="宋体"/>
          <w:color w:val="auto"/>
          <w:sz w:val="28"/>
          <w:szCs w:val="28"/>
          <w:highlight w:val="none"/>
        </w:rPr>
      </w:pPr>
      <w:bookmarkStart w:id="442" w:name="_Toc24926"/>
      <w:bookmarkStart w:id="443" w:name="_Toc12162"/>
      <w:bookmarkStart w:id="444" w:name="_Toc453"/>
      <w:bookmarkStart w:id="445" w:name="_Toc16835"/>
      <w:bookmarkStart w:id="446" w:name="_Toc23409"/>
      <w:bookmarkStart w:id="447" w:name="_Toc17579"/>
      <w:bookmarkStart w:id="448" w:name="_Toc2136"/>
      <w:bookmarkStart w:id="449" w:name="_Toc492300595"/>
      <w:bookmarkStart w:id="450" w:name="_Toc20390"/>
      <w:bookmarkStart w:id="451" w:name="_Toc266"/>
      <w:r>
        <w:rPr>
          <w:rFonts w:ascii="宋体" w:hAnsi="宋体" w:eastAsia="宋体" w:cs="宋体"/>
          <w:color w:val="auto"/>
          <w:sz w:val="28"/>
          <w:szCs w:val="28"/>
          <w:highlight w:val="none"/>
        </w:rPr>
        <w:t xml:space="preserve">5. </w:t>
      </w:r>
      <w:r>
        <w:rPr>
          <w:rFonts w:hint="eastAsia" w:ascii="宋体" w:hAnsi="宋体" w:eastAsia="宋体" w:cs="宋体"/>
          <w:color w:val="auto"/>
          <w:sz w:val="28"/>
          <w:szCs w:val="28"/>
          <w:highlight w:val="none"/>
        </w:rPr>
        <w:t>开标</w:t>
      </w:r>
      <w:bookmarkEnd w:id="442"/>
      <w:bookmarkEnd w:id="443"/>
      <w:bookmarkEnd w:id="444"/>
      <w:bookmarkEnd w:id="445"/>
      <w:bookmarkEnd w:id="446"/>
      <w:bookmarkEnd w:id="447"/>
      <w:bookmarkEnd w:id="448"/>
      <w:bookmarkEnd w:id="449"/>
      <w:bookmarkEnd w:id="450"/>
      <w:bookmarkEnd w:id="451"/>
    </w:p>
    <w:p w14:paraId="31102DB7">
      <w:pPr>
        <w:pStyle w:val="5"/>
        <w:spacing w:line="360" w:lineRule="auto"/>
        <w:ind w:firstLine="0" w:firstLineChars="0"/>
        <w:rPr>
          <w:rFonts w:ascii="宋体" w:hAnsi="宋体" w:eastAsia="宋体" w:cs="宋体"/>
          <w:strike/>
          <w:color w:val="auto"/>
          <w:szCs w:val="24"/>
          <w:highlight w:val="none"/>
        </w:rPr>
      </w:pPr>
      <w:bookmarkStart w:id="452" w:name="_Toc2691"/>
      <w:bookmarkStart w:id="453" w:name="_Toc2684"/>
      <w:bookmarkStart w:id="454" w:name="_Toc18135"/>
      <w:bookmarkStart w:id="455" w:name="_Toc21815"/>
      <w:bookmarkStart w:id="456" w:name="_Toc15899"/>
      <w:bookmarkStart w:id="457" w:name="_Toc18721"/>
      <w:bookmarkStart w:id="458" w:name="_Toc11763"/>
      <w:bookmarkStart w:id="459" w:name="_Toc20761"/>
      <w:bookmarkStart w:id="460" w:name="_Toc26374"/>
      <w:bookmarkStart w:id="461" w:name="_Toc492300596"/>
      <w:r>
        <w:rPr>
          <w:rFonts w:ascii="宋体" w:hAnsi="宋体" w:eastAsia="宋体" w:cs="宋体"/>
          <w:strike/>
          <w:color w:val="auto"/>
          <w:szCs w:val="24"/>
          <w:highlight w:val="none"/>
        </w:rPr>
        <w:t xml:space="preserve">5.1 </w:t>
      </w:r>
      <w:r>
        <w:rPr>
          <w:rFonts w:hint="eastAsia" w:ascii="宋体" w:hAnsi="宋体" w:eastAsia="宋体" w:cs="宋体"/>
          <w:strike/>
          <w:color w:val="auto"/>
          <w:szCs w:val="24"/>
          <w:highlight w:val="none"/>
        </w:rPr>
        <w:t>开标时间和地点（A）</w:t>
      </w:r>
      <w:bookmarkEnd w:id="452"/>
      <w:bookmarkEnd w:id="453"/>
      <w:bookmarkEnd w:id="454"/>
      <w:bookmarkEnd w:id="455"/>
      <w:bookmarkEnd w:id="456"/>
      <w:bookmarkEnd w:id="457"/>
      <w:bookmarkEnd w:id="458"/>
      <w:bookmarkEnd w:id="459"/>
      <w:bookmarkEnd w:id="460"/>
      <w:bookmarkEnd w:id="461"/>
    </w:p>
    <w:p w14:paraId="7093F853">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招标人在本章第4.2.1项规定的投标截止时间（开标时间）和投标人须知前附表规定的地点公开开标，并邀请所有投标人的法定代表人或其委托代理人准时参加。</w:t>
      </w:r>
    </w:p>
    <w:p w14:paraId="2BB7C3AC">
      <w:pPr>
        <w:pStyle w:val="5"/>
        <w:spacing w:line="360" w:lineRule="auto"/>
        <w:ind w:firstLine="0" w:firstLineChars="0"/>
        <w:rPr>
          <w:rFonts w:ascii="宋体" w:hAnsi="宋体" w:eastAsia="宋体" w:cs="宋体"/>
          <w:color w:val="auto"/>
          <w:szCs w:val="24"/>
          <w:highlight w:val="none"/>
        </w:rPr>
      </w:pPr>
      <w:bookmarkStart w:id="462" w:name="_Toc22209"/>
      <w:bookmarkStart w:id="463" w:name="_Toc20139"/>
      <w:bookmarkStart w:id="464" w:name="_Toc24094"/>
      <w:bookmarkStart w:id="465" w:name="_Toc23556"/>
      <w:bookmarkStart w:id="466" w:name="_Toc27378"/>
      <w:bookmarkStart w:id="467" w:name="_Toc23813"/>
      <w:bookmarkStart w:id="468" w:name="_Toc27321"/>
      <w:bookmarkStart w:id="469" w:name="_Toc492300597"/>
      <w:bookmarkStart w:id="470" w:name="_Toc7349"/>
      <w:bookmarkStart w:id="471" w:name="_Toc7772"/>
      <w:r>
        <w:rPr>
          <w:rFonts w:ascii="宋体" w:hAnsi="宋体" w:eastAsia="宋体" w:cs="宋体"/>
          <w:color w:val="auto"/>
          <w:szCs w:val="24"/>
          <w:highlight w:val="none"/>
        </w:rPr>
        <w:t xml:space="preserve">5.1 </w:t>
      </w:r>
      <w:r>
        <w:rPr>
          <w:rFonts w:hint="eastAsia" w:ascii="宋体" w:hAnsi="宋体" w:eastAsia="宋体" w:cs="宋体"/>
          <w:color w:val="auto"/>
          <w:szCs w:val="24"/>
          <w:highlight w:val="none"/>
        </w:rPr>
        <w:t>开标时间和地点（B）</w:t>
      </w:r>
      <w:bookmarkEnd w:id="462"/>
      <w:bookmarkEnd w:id="463"/>
      <w:bookmarkEnd w:id="464"/>
      <w:bookmarkEnd w:id="465"/>
      <w:bookmarkEnd w:id="466"/>
      <w:bookmarkEnd w:id="467"/>
      <w:bookmarkEnd w:id="468"/>
      <w:bookmarkEnd w:id="469"/>
      <w:bookmarkEnd w:id="470"/>
      <w:bookmarkEnd w:id="471"/>
    </w:p>
    <w:p w14:paraId="04BAF6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招标人在本章第4.2.1项规定的投标截止时间（开标时间）,通过电子招标投标交易平台公开开标，</w:t>
      </w:r>
      <w:r>
        <w:rPr>
          <w:rFonts w:hint="eastAsia" w:ascii="宋体" w:hAnsi="宋体"/>
          <w:color w:val="auto"/>
          <w:sz w:val="24"/>
          <w:szCs w:val="24"/>
          <w:highlight w:val="none"/>
          <w:u w:val="single"/>
        </w:rPr>
        <w:t>开标时，投标人代表有权出席开标会，也可以自主决定不参加开标会，若投标人代表对开标过程提出异议，该投标人代表须同时出示本人身份证原件，不参加开标会视为对开标过程无异议。</w:t>
      </w:r>
    </w:p>
    <w:p w14:paraId="3A597221">
      <w:pPr>
        <w:pStyle w:val="5"/>
        <w:spacing w:line="360" w:lineRule="auto"/>
        <w:ind w:firstLine="0" w:firstLineChars="0"/>
        <w:rPr>
          <w:rFonts w:ascii="宋体" w:hAnsi="宋体" w:eastAsia="宋体" w:cs="宋体"/>
          <w:color w:val="auto"/>
          <w:szCs w:val="24"/>
          <w:highlight w:val="none"/>
        </w:rPr>
      </w:pPr>
      <w:bookmarkStart w:id="472" w:name="_Toc1756"/>
      <w:bookmarkStart w:id="473" w:name="_Toc492300598"/>
      <w:bookmarkStart w:id="474" w:name="_Toc1229"/>
      <w:bookmarkStart w:id="475" w:name="_Toc2757"/>
      <w:bookmarkStart w:id="476" w:name="_Toc7734"/>
      <w:bookmarkStart w:id="477" w:name="_Toc19468"/>
      <w:bookmarkStart w:id="478" w:name="_Toc25404"/>
      <w:bookmarkStart w:id="479" w:name="_Toc6316"/>
      <w:bookmarkStart w:id="480" w:name="_Toc24429"/>
      <w:bookmarkStart w:id="481" w:name="_Toc25527"/>
      <w:r>
        <w:rPr>
          <w:rFonts w:ascii="宋体" w:hAnsi="宋体" w:eastAsia="宋体" w:cs="宋体"/>
          <w:color w:val="auto"/>
          <w:szCs w:val="24"/>
          <w:highlight w:val="none"/>
        </w:rPr>
        <w:t xml:space="preserve">5.2 </w:t>
      </w:r>
      <w:r>
        <w:rPr>
          <w:rFonts w:hint="eastAsia" w:ascii="宋体" w:hAnsi="宋体" w:eastAsia="宋体" w:cs="宋体"/>
          <w:color w:val="auto"/>
          <w:szCs w:val="24"/>
          <w:highlight w:val="none"/>
        </w:rPr>
        <w:t>开标程序</w:t>
      </w:r>
      <w:bookmarkEnd w:id="472"/>
      <w:bookmarkEnd w:id="473"/>
      <w:bookmarkEnd w:id="474"/>
      <w:bookmarkEnd w:id="475"/>
      <w:bookmarkEnd w:id="476"/>
      <w:bookmarkEnd w:id="477"/>
      <w:bookmarkEnd w:id="478"/>
      <w:bookmarkEnd w:id="479"/>
      <w:bookmarkEnd w:id="480"/>
      <w:bookmarkEnd w:id="481"/>
    </w:p>
    <w:p w14:paraId="1E61D8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主持人按下列程序进行开标：</w:t>
      </w:r>
    </w:p>
    <w:p w14:paraId="02F230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（1）宣布开标纪律；</w:t>
      </w:r>
    </w:p>
    <w:p w14:paraId="783DCFF6">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（2）公布在投标截止时间前递交投标文件的投标人名称；</w:t>
      </w:r>
    </w:p>
    <w:p w14:paraId="01BD90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（3）宣布</w:t>
      </w:r>
      <w:bookmarkStart w:id="482" w:name="_Toc247513978"/>
      <w:bookmarkStart w:id="483" w:name="_Toc144974522"/>
      <w:bookmarkStart w:id="484" w:name="_Toc247527579"/>
      <w:bookmarkStart w:id="485" w:name="_Toc152045554"/>
      <w:bookmarkStart w:id="486" w:name="_Toc369531542"/>
      <w:bookmarkStart w:id="487" w:name="_Toc300834975"/>
      <w:bookmarkStart w:id="488" w:name="_Toc361508611"/>
      <w:bookmarkStart w:id="489" w:name="_Toc352691498"/>
      <w:bookmarkStart w:id="490" w:name="_Toc152042330"/>
      <w:bookmarkStart w:id="491" w:name="_Toc384308236"/>
      <w:bookmarkStart w:id="492" w:name="_Toc22119"/>
      <w:r>
        <w:rPr>
          <w:rFonts w:hint="eastAsia" w:ascii="宋体" w:hAnsi="宋体" w:cs="宋体"/>
          <w:color w:val="auto"/>
          <w:sz w:val="24"/>
          <w:szCs w:val="24"/>
          <w:highlight w:val="none"/>
        </w:rPr>
        <w:t>开标人、唱标人、记录人</w:t>
      </w:r>
      <w:bookmarkEnd w:id="482"/>
      <w:bookmarkEnd w:id="483"/>
      <w:bookmarkEnd w:id="484"/>
      <w:bookmarkEnd w:id="485"/>
      <w:bookmarkEnd w:id="486"/>
      <w:bookmarkEnd w:id="487"/>
      <w:bookmarkEnd w:id="488"/>
      <w:bookmarkEnd w:id="489"/>
      <w:bookmarkEnd w:id="490"/>
      <w:bookmarkEnd w:id="491"/>
      <w:bookmarkEnd w:id="492"/>
      <w:r>
        <w:rPr>
          <w:rFonts w:hint="eastAsia" w:ascii="宋体" w:hAnsi="宋体" w:cs="宋体"/>
          <w:color w:val="auto"/>
          <w:sz w:val="24"/>
          <w:szCs w:val="24"/>
          <w:highlight w:val="none"/>
        </w:rPr>
        <w:t>、监标人等有关人员姓名；</w:t>
      </w:r>
    </w:p>
    <w:p w14:paraId="3C10EFCD">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（4）（A）检查投标文件的密封情况，按照投标人须知前附表规定的开标顺序当众开标，公布招标项目名称、投标人名称、投标保证金的递交情况、投标报价、监理服务期限及其他内容，并记录在案；</w:t>
      </w:r>
    </w:p>
    <w:p w14:paraId="2FC589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（4）（B）投标人通过电子招标投标交易平台对已递交的电子投标文件进行解密，公布招标项目名称、投标人名称、</w:t>
      </w:r>
      <w:r>
        <w:rPr>
          <w:rFonts w:hint="eastAsia" w:ascii="宋体" w:hAnsi="宋体" w:cs="宋体"/>
          <w:strike/>
          <w:dstrike w:val="0"/>
          <w:color w:val="auto"/>
          <w:sz w:val="24"/>
          <w:szCs w:val="24"/>
          <w:highlight w:val="none"/>
        </w:rPr>
        <w:t>投标保证金的递交情况、</w:t>
      </w:r>
      <w:r>
        <w:rPr>
          <w:rFonts w:hint="eastAsia" w:ascii="宋体" w:hAnsi="宋体" w:cs="宋体"/>
          <w:color w:val="auto"/>
          <w:sz w:val="24"/>
          <w:szCs w:val="24"/>
          <w:highlight w:val="none"/>
        </w:rPr>
        <w:t>投标报价、监理服务期限及其他内容，并记录在案；</w:t>
      </w:r>
    </w:p>
    <w:p w14:paraId="2B506A73">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（5）（A）投标人代表、招标人代表、监标人、记录人等有关人员在开标记录上签字确认；</w:t>
      </w:r>
    </w:p>
    <w:p w14:paraId="1852629C">
      <w:pPr>
        <w:spacing w:line="360" w:lineRule="auto"/>
        <w:ind w:firstLine="480" w:firstLineChars="200"/>
        <w:rPr>
          <w:rFonts w:ascii="宋体" w:hAnsi="宋体" w:cs="宋体"/>
          <w:strike w:val="0"/>
          <w:color w:val="auto"/>
          <w:sz w:val="24"/>
          <w:szCs w:val="24"/>
          <w:highlight w:val="none"/>
        </w:rPr>
      </w:pPr>
      <w:r>
        <w:rPr>
          <w:rFonts w:hint="eastAsia" w:ascii="宋体" w:hAnsi="宋体" w:cs="宋体"/>
          <w:strike w:val="0"/>
          <w:color w:val="auto"/>
          <w:sz w:val="24"/>
          <w:szCs w:val="24"/>
          <w:highlight w:val="none"/>
        </w:rPr>
        <w:t>（5）（B）投标人代表、招标人代表、监标人、记录人等有关人员使用本人的电子印章在开标记录上签字确认；</w:t>
      </w:r>
      <w:r>
        <w:rPr>
          <w:rFonts w:hint="eastAsia" w:ascii="宋体" w:hAnsi="宋体" w:cs="宋体"/>
          <w:color w:val="auto"/>
          <w:sz w:val="24"/>
          <w:szCs w:val="24"/>
          <w:highlight w:val="none"/>
          <w:u w:val="single"/>
        </w:rPr>
        <w:t>若有关人员不签字的，不影响开标程序；</w:t>
      </w:r>
    </w:p>
    <w:p w14:paraId="73FCE8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（6）开标结束。</w:t>
      </w:r>
    </w:p>
    <w:p w14:paraId="0DF825A2">
      <w:pPr>
        <w:pStyle w:val="5"/>
        <w:spacing w:line="360" w:lineRule="auto"/>
        <w:ind w:firstLine="0" w:firstLineChars="0"/>
        <w:rPr>
          <w:rFonts w:ascii="宋体" w:hAnsi="宋体" w:eastAsia="宋体" w:cs="宋体"/>
          <w:color w:val="auto"/>
          <w:szCs w:val="24"/>
          <w:highlight w:val="none"/>
        </w:rPr>
      </w:pPr>
      <w:bookmarkStart w:id="493" w:name="_Toc492300599"/>
      <w:bookmarkStart w:id="494" w:name="_Toc18586"/>
      <w:bookmarkStart w:id="495" w:name="_Toc14189"/>
      <w:bookmarkStart w:id="496" w:name="_Toc27376"/>
      <w:bookmarkStart w:id="497" w:name="_Toc18357"/>
      <w:bookmarkStart w:id="498" w:name="_Toc18956"/>
      <w:bookmarkStart w:id="499" w:name="_Toc22136"/>
      <w:bookmarkStart w:id="500" w:name="_Toc8923"/>
      <w:bookmarkStart w:id="501" w:name="_Toc18350"/>
      <w:bookmarkStart w:id="502" w:name="_Toc17039"/>
      <w:r>
        <w:rPr>
          <w:rFonts w:ascii="宋体" w:hAnsi="宋体" w:eastAsia="宋体" w:cs="宋体"/>
          <w:color w:val="auto"/>
          <w:szCs w:val="24"/>
          <w:highlight w:val="none"/>
        </w:rPr>
        <w:t xml:space="preserve">5.3 </w:t>
      </w:r>
      <w:r>
        <w:rPr>
          <w:rFonts w:hint="eastAsia" w:ascii="宋体" w:hAnsi="宋体" w:eastAsia="宋体" w:cs="宋体"/>
          <w:color w:val="auto"/>
          <w:szCs w:val="24"/>
          <w:highlight w:val="none"/>
        </w:rPr>
        <w:t>开标异议</w:t>
      </w:r>
      <w:bookmarkEnd w:id="493"/>
      <w:bookmarkEnd w:id="494"/>
      <w:bookmarkEnd w:id="495"/>
      <w:bookmarkEnd w:id="496"/>
      <w:bookmarkEnd w:id="497"/>
      <w:bookmarkEnd w:id="498"/>
      <w:bookmarkEnd w:id="499"/>
      <w:bookmarkEnd w:id="500"/>
      <w:bookmarkEnd w:id="501"/>
      <w:bookmarkEnd w:id="502"/>
    </w:p>
    <w:p w14:paraId="3AC72A8D">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投标人对开标有异议的，应当在开标现场提出，招标人当场作出答复，并制作记录。</w:t>
      </w:r>
    </w:p>
    <w:p w14:paraId="2848A849">
      <w:pPr>
        <w:spacing w:line="360" w:lineRule="auto"/>
        <w:ind w:firstLine="480" w:firstLineChars="200"/>
        <w:rPr>
          <w:rFonts w:ascii="宋体" w:hAnsi="宋体" w:cs="宋体"/>
          <w:color w:val="auto"/>
          <w:sz w:val="24"/>
          <w:szCs w:val="24"/>
          <w:highlight w:val="none"/>
        </w:rPr>
      </w:pPr>
    </w:p>
    <w:p w14:paraId="37D053B4">
      <w:pPr>
        <w:pStyle w:val="4"/>
        <w:spacing w:line="360" w:lineRule="auto"/>
        <w:rPr>
          <w:rFonts w:ascii="宋体" w:hAnsi="宋体" w:eastAsia="宋体" w:cs="宋体"/>
          <w:color w:val="auto"/>
          <w:sz w:val="28"/>
          <w:szCs w:val="28"/>
          <w:highlight w:val="none"/>
        </w:rPr>
      </w:pPr>
      <w:bookmarkStart w:id="503" w:name="_Toc4522"/>
      <w:bookmarkStart w:id="504" w:name="_Toc9100"/>
      <w:bookmarkStart w:id="505" w:name="_Toc3417"/>
      <w:bookmarkStart w:id="506" w:name="_Toc492300600"/>
      <w:bookmarkStart w:id="507" w:name="_Toc21275"/>
      <w:bookmarkStart w:id="508" w:name="_Toc3701"/>
      <w:bookmarkStart w:id="509" w:name="_Toc598"/>
      <w:bookmarkStart w:id="510" w:name="_Toc7982"/>
      <w:bookmarkStart w:id="511" w:name="_Toc23928"/>
      <w:bookmarkStart w:id="512" w:name="_Toc21251"/>
      <w:r>
        <w:rPr>
          <w:rFonts w:ascii="宋体" w:hAnsi="宋体" w:eastAsia="宋体" w:cs="宋体"/>
          <w:color w:val="auto"/>
          <w:sz w:val="28"/>
          <w:szCs w:val="28"/>
          <w:highlight w:val="none"/>
        </w:rPr>
        <w:t xml:space="preserve">6. </w:t>
      </w:r>
      <w:r>
        <w:rPr>
          <w:rFonts w:hint="eastAsia" w:ascii="宋体" w:hAnsi="宋体" w:eastAsia="宋体" w:cs="宋体"/>
          <w:color w:val="auto"/>
          <w:sz w:val="28"/>
          <w:szCs w:val="28"/>
          <w:highlight w:val="none"/>
        </w:rPr>
        <w:t>评标</w:t>
      </w:r>
      <w:bookmarkEnd w:id="503"/>
      <w:bookmarkEnd w:id="504"/>
      <w:bookmarkEnd w:id="505"/>
      <w:bookmarkEnd w:id="506"/>
      <w:bookmarkEnd w:id="507"/>
      <w:bookmarkEnd w:id="508"/>
      <w:bookmarkEnd w:id="509"/>
      <w:bookmarkEnd w:id="510"/>
      <w:bookmarkEnd w:id="511"/>
      <w:bookmarkEnd w:id="512"/>
    </w:p>
    <w:p w14:paraId="79D0BDF1">
      <w:pPr>
        <w:pStyle w:val="5"/>
        <w:spacing w:line="360" w:lineRule="auto"/>
        <w:ind w:firstLine="0" w:firstLineChars="0"/>
        <w:rPr>
          <w:rFonts w:ascii="宋体" w:hAnsi="宋体" w:eastAsia="宋体" w:cs="宋体"/>
          <w:color w:val="auto"/>
          <w:szCs w:val="24"/>
          <w:highlight w:val="none"/>
        </w:rPr>
      </w:pPr>
      <w:bookmarkStart w:id="513" w:name="_Toc24623"/>
      <w:bookmarkStart w:id="514" w:name="_Toc349"/>
      <w:bookmarkStart w:id="515" w:name="_Toc6806"/>
      <w:bookmarkStart w:id="516" w:name="_Toc492300601"/>
      <w:bookmarkStart w:id="517" w:name="_Toc1011"/>
      <w:bookmarkStart w:id="518" w:name="_Toc5367"/>
      <w:bookmarkStart w:id="519" w:name="_Toc15424"/>
      <w:bookmarkStart w:id="520" w:name="_Toc29125"/>
      <w:bookmarkStart w:id="521" w:name="_Toc20498"/>
      <w:bookmarkStart w:id="522" w:name="_Toc9698"/>
      <w:r>
        <w:rPr>
          <w:rFonts w:ascii="宋体" w:hAnsi="宋体" w:eastAsia="宋体" w:cs="宋体"/>
          <w:color w:val="auto"/>
          <w:szCs w:val="24"/>
          <w:highlight w:val="none"/>
        </w:rPr>
        <w:t xml:space="preserve">6.1 </w:t>
      </w:r>
      <w:r>
        <w:rPr>
          <w:rFonts w:hint="eastAsia" w:ascii="宋体" w:hAnsi="宋体" w:eastAsia="宋体" w:cs="宋体"/>
          <w:color w:val="auto"/>
          <w:szCs w:val="24"/>
          <w:highlight w:val="none"/>
        </w:rPr>
        <w:t>评标委员会</w:t>
      </w:r>
      <w:bookmarkEnd w:id="513"/>
      <w:bookmarkEnd w:id="514"/>
      <w:bookmarkEnd w:id="515"/>
      <w:bookmarkEnd w:id="516"/>
      <w:bookmarkEnd w:id="517"/>
      <w:bookmarkEnd w:id="518"/>
      <w:bookmarkEnd w:id="519"/>
      <w:bookmarkEnd w:id="520"/>
      <w:bookmarkEnd w:id="521"/>
      <w:bookmarkEnd w:id="522"/>
    </w:p>
    <w:p w14:paraId="5892305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6.1.1 </w:t>
      </w:r>
      <w:r>
        <w:rPr>
          <w:rFonts w:hint="eastAsia" w:ascii="宋体" w:hAnsi="宋体" w:cs="宋体"/>
          <w:color w:val="auto"/>
          <w:sz w:val="24"/>
          <w:szCs w:val="24"/>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F802343">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6.1.2 </w:t>
      </w:r>
      <w:r>
        <w:rPr>
          <w:rFonts w:hint="eastAsia" w:ascii="宋体" w:hAnsi="宋体" w:cs="宋体"/>
          <w:color w:val="auto"/>
          <w:sz w:val="24"/>
          <w:szCs w:val="24"/>
          <w:highlight w:val="none"/>
        </w:rPr>
        <w:t>评标委员会成员有下列情形之一的，应当回避：</w:t>
      </w:r>
    </w:p>
    <w:p w14:paraId="764286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（1）投标人或投标人主要负责人的近亲属；</w:t>
      </w:r>
    </w:p>
    <w:p w14:paraId="0B5D59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14:paraId="35D03E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（3）与投标人有经济利益关系，可能影响对投标公正评审的；</w:t>
      </w:r>
    </w:p>
    <w:p w14:paraId="4CE11C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（4）曾因在招标、评</w:t>
      </w:r>
      <w:bookmarkStart w:id="523" w:name="_Toc247513979"/>
      <w:bookmarkStart w:id="524" w:name="_Toc152045555"/>
      <w:bookmarkStart w:id="525" w:name="_Toc352691499"/>
      <w:bookmarkStart w:id="526" w:name="_Toc369531543"/>
      <w:bookmarkStart w:id="527" w:name="_Toc247527580"/>
      <w:bookmarkStart w:id="528" w:name="_Toc144974523"/>
      <w:bookmarkStart w:id="529" w:name="_Toc384308237"/>
      <w:bookmarkStart w:id="530" w:name="_Toc152042331"/>
      <w:bookmarkStart w:id="531" w:name="_Toc361508612"/>
      <w:bookmarkStart w:id="532" w:name="_Toc300834976"/>
      <w:bookmarkStart w:id="533" w:name="_Toc6230"/>
      <w:r>
        <w:rPr>
          <w:rFonts w:hint="eastAsia" w:ascii="宋体" w:hAnsi="宋体" w:cs="宋体"/>
          <w:color w:val="auto"/>
          <w:sz w:val="24"/>
          <w:szCs w:val="24"/>
          <w:highlight w:val="none"/>
        </w:rPr>
        <w:t>标以及其他</w:t>
      </w:r>
      <w:bookmarkEnd w:id="523"/>
      <w:bookmarkEnd w:id="524"/>
      <w:bookmarkEnd w:id="525"/>
      <w:bookmarkEnd w:id="526"/>
      <w:bookmarkEnd w:id="527"/>
      <w:bookmarkEnd w:id="528"/>
      <w:bookmarkEnd w:id="529"/>
      <w:bookmarkEnd w:id="530"/>
      <w:bookmarkEnd w:id="531"/>
      <w:bookmarkEnd w:id="532"/>
      <w:bookmarkEnd w:id="533"/>
      <w:r>
        <w:rPr>
          <w:rFonts w:hint="eastAsia" w:ascii="宋体" w:hAnsi="宋体" w:cs="宋体"/>
          <w:color w:val="auto"/>
          <w:sz w:val="24"/>
          <w:szCs w:val="24"/>
          <w:highlight w:val="none"/>
        </w:rPr>
        <w:t>与</w:t>
      </w:r>
      <w:bookmarkStart w:id="534" w:name="_Toc352691500"/>
      <w:bookmarkStart w:id="535" w:name="_Toc152042332"/>
      <w:bookmarkStart w:id="536" w:name="_Toc369531544"/>
      <w:bookmarkStart w:id="537" w:name="_Toc152045556"/>
      <w:bookmarkStart w:id="538" w:name="_Toc300834977"/>
      <w:bookmarkStart w:id="539" w:name="_Toc247527581"/>
      <w:bookmarkStart w:id="540" w:name="_Toc144974524"/>
      <w:bookmarkStart w:id="541" w:name="_Toc361508613"/>
      <w:bookmarkStart w:id="542" w:name="_Toc384308238"/>
      <w:bookmarkStart w:id="543" w:name="_Toc17703"/>
      <w:bookmarkStart w:id="544" w:name="_Toc247513980"/>
      <w:r>
        <w:rPr>
          <w:rFonts w:hint="eastAsia" w:ascii="宋体" w:hAnsi="宋体" w:cs="宋体"/>
          <w:color w:val="auto"/>
          <w:sz w:val="24"/>
          <w:szCs w:val="24"/>
          <w:highlight w:val="none"/>
        </w:rPr>
        <w:t>招标投标有关活动中从事违法行</w:t>
      </w:r>
      <w:bookmarkEnd w:id="534"/>
      <w:bookmarkEnd w:id="535"/>
      <w:bookmarkEnd w:id="536"/>
      <w:bookmarkEnd w:id="537"/>
      <w:bookmarkEnd w:id="538"/>
      <w:bookmarkEnd w:id="539"/>
      <w:bookmarkEnd w:id="540"/>
      <w:bookmarkEnd w:id="541"/>
      <w:bookmarkEnd w:id="542"/>
      <w:bookmarkEnd w:id="543"/>
      <w:bookmarkEnd w:id="544"/>
      <w:r>
        <w:rPr>
          <w:rFonts w:hint="eastAsia" w:ascii="宋体" w:hAnsi="宋体" w:cs="宋体"/>
          <w:color w:val="auto"/>
          <w:sz w:val="24"/>
          <w:szCs w:val="24"/>
          <w:highlight w:val="none"/>
        </w:rPr>
        <w:t>为而受过行政处罚或刑事处罚的；</w:t>
      </w:r>
    </w:p>
    <w:p w14:paraId="157B03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（5）与投标人有其他利害关系。</w:t>
      </w:r>
    </w:p>
    <w:p w14:paraId="328118D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6.1.3 </w:t>
      </w:r>
      <w:r>
        <w:rPr>
          <w:rFonts w:hint="eastAsia" w:ascii="宋体" w:hAnsi="宋体" w:cs="宋体"/>
          <w:color w:val="auto"/>
          <w:sz w:val="24"/>
          <w:szCs w:val="24"/>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7D4C5230">
      <w:pPr>
        <w:pStyle w:val="5"/>
        <w:spacing w:line="360" w:lineRule="auto"/>
        <w:ind w:firstLine="0" w:firstLineChars="0"/>
        <w:rPr>
          <w:rFonts w:ascii="宋体" w:hAnsi="宋体" w:eastAsia="宋体" w:cs="宋体"/>
          <w:color w:val="auto"/>
          <w:szCs w:val="24"/>
          <w:highlight w:val="none"/>
        </w:rPr>
      </w:pPr>
      <w:bookmarkStart w:id="545" w:name="_Toc13705"/>
      <w:bookmarkStart w:id="546" w:name="_Toc32590"/>
      <w:bookmarkStart w:id="547" w:name="_Toc4771"/>
      <w:bookmarkStart w:id="548" w:name="_Toc11730"/>
      <w:bookmarkStart w:id="549" w:name="_Toc7627"/>
      <w:bookmarkStart w:id="550" w:name="_Toc1118"/>
      <w:bookmarkStart w:id="551" w:name="_Toc31284"/>
      <w:bookmarkStart w:id="552" w:name="_Toc19021"/>
      <w:bookmarkStart w:id="553" w:name="_Toc419"/>
      <w:bookmarkStart w:id="554" w:name="_Toc492300602"/>
      <w:r>
        <w:rPr>
          <w:rFonts w:ascii="宋体" w:hAnsi="宋体" w:eastAsia="宋体" w:cs="宋体"/>
          <w:color w:val="auto"/>
          <w:szCs w:val="24"/>
          <w:highlight w:val="none"/>
        </w:rPr>
        <w:t xml:space="preserve">6.2 </w:t>
      </w:r>
      <w:r>
        <w:rPr>
          <w:rFonts w:hint="eastAsia" w:ascii="宋体" w:hAnsi="宋体" w:eastAsia="宋体" w:cs="宋体"/>
          <w:color w:val="auto"/>
          <w:szCs w:val="24"/>
          <w:highlight w:val="none"/>
        </w:rPr>
        <w:t>评标原则</w:t>
      </w:r>
      <w:bookmarkEnd w:id="545"/>
      <w:bookmarkEnd w:id="546"/>
      <w:bookmarkEnd w:id="547"/>
      <w:bookmarkEnd w:id="548"/>
      <w:bookmarkEnd w:id="549"/>
      <w:bookmarkEnd w:id="550"/>
      <w:bookmarkEnd w:id="551"/>
      <w:bookmarkEnd w:id="552"/>
      <w:bookmarkEnd w:id="553"/>
      <w:bookmarkEnd w:id="554"/>
    </w:p>
    <w:p w14:paraId="01394F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评标活动遵循公平、公正、科学和择优的原</w:t>
      </w:r>
      <w:bookmarkStart w:id="555" w:name="_Toc384308239"/>
      <w:bookmarkStart w:id="556" w:name="_Toc18949"/>
      <w:bookmarkStart w:id="557" w:name="_Toc300834978"/>
      <w:bookmarkStart w:id="558" w:name="_Toc247513981"/>
      <w:bookmarkStart w:id="559" w:name="_Toc247527582"/>
      <w:bookmarkStart w:id="560" w:name="_Toc152045557"/>
      <w:bookmarkStart w:id="561" w:name="_Toc152042333"/>
      <w:bookmarkStart w:id="562" w:name="_Toc361508614"/>
      <w:bookmarkStart w:id="563" w:name="_Toc144974525"/>
      <w:bookmarkStart w:id="564" w:name="_Toc352691501"/>
      <w:bookmarkStart w:id="565" w:name="_Toc369531545"/>
      <w:r>
        <w:rPr>
          <w:rFonts w:hint="eastAsia" w:ascii="宋体" w:hAnsi="宋体" w:cs="宋体"/>
          <w:color w:val="auto"/>
          <w:sz w:val="24"/>
          <w:szCs w:val="24"/>
          <w:highlight w:val="none"/>
        </w:rPr>
        <w:t>则。</w:t>
      </w:r>
    </w:p>
    <w:p w14:paraId="7EFDEB35">
      <w:pPr>
        <w:pStyle w:val="5"/>
        <w:spacing w:line="360" w:lineRule="auto"/>
        <w:ind w:firstLine="0" w:firstLineChars="0"/>
        <w:rPr>
          <w:rFonts w:ascii="宋体" w:hAnsi="宋体" w:eastAsia="宋体" w:cs="宋体"/>
          <w:color w:val="auto"/>
          <w:szCs w:val="24"/>
          <w:highlight w:val="none"/>
        </w:rPr>
      </w:pPr>
      <w:bookmarkStart w:id="566" w:name="_Toc8640"/>
      <w:bookmarkStart w:id="567" w:name="_Toc2802"/>
      <w:bookmarkStart w:id="568" w:name="_Toc29396"/>
      <w:bookmarkStart w:id="569" w:name="_Toc8776"/>
      <w:bookmarkStart w:id="570" w:name="_Toc29486"/>
      <w:bookmarkStart w:id="571" w:name="_Toc26119"/>
      <w:bookmarkStart w:id="572" w:name="_Toc10558"/>
      <w:bookmarkStart w:id="573" w:name="_Toc492300603"/>
      <w:bookmarkStart w:id="574" w:name="_Toc4047"/>
      <w:bookmarkStart w:id="575" w:name="_Toc30279"/>
      <w:r>
        <w:rPr>
          <w:rFonts w:ascii="宋体" w:hAnsi="宋体" w:eastAsia="宋体" w:cs="宋体"/>
          <w:color w:val="auto"/>
          <w:szCs w:val="24"/>
          <w:highlight w:val="none"/>
        </w:rPr>
        <w:t xml:space="preserve">6.3 </w:t>
      </w:r>
      <w:r>
        <w:rPr>
          <w:rFonts w:hint="eastAsia" w:ascii="宋体" w:hAnsi="宋体" w:eastAsia="宋体" w:cs="宋体"/>
          <w:color w:val="auto"/>
          <w:szCs w:val="24"/>
          <w:highlight w:val="none"/>
        </w:rPr>
        <w:t>评标</w:t>
      </w:r>
      <w:bookmarkEnd w:id="566"/>
      <w:bookmarkEnd w:id="567"/>
      <w:bookmarkEnd w:id="568"/>
      <w:bookmarkEnd w:id="569"/>
      <w:bookmarkEnd w:id="570"/>
      <w:bookmarkEnd w:id="571"/>
      <w:bookmarkEnd w:id="572"/>
      <w:bookmarkEnd w:id="573"/>
      <w:bookmarkEnd w:id="574"/>
      <w:bookmarkEnd w:id="575"/>
    </w:p>
    <w:p w14:paraId="7D33A8C7">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w:t>
      </w:r>
      <w:bookmarkEnd w:id="555"/>
      <w:bookmarkEnd w:id="556"/>
      <w:bookmarkEnd w:id="557"/>
      <w:bookmarkEnd w:id="558"/>
      <w:bookmarkEnd w:id="559"/>
      <w:bookmarkEnd w:id="560"/>
      <w:bookmarkEnd w:id="561"/>
      <w:bookmarkEnd w:id="562"/>
      <w:bookmarkEnd w:id="563"/>
      <w:bookmarkEnd w:id="564"/>
      <w:bookmarkEnd w:id="565"/>
      <w:r>
        <w:rPr>
          <w:rFonts w:hint="eastAsia" w:ascii="宋体" w:hAnsi="宋体" w:cs="宋体"/>
          <w:color w:val="auto"/>
          <w:sz w:val="24"/>
          <w:szCs w:val="24"/>
          <w:highlight w:val="none"/>
        </w:rPr>
        <w:t>.3.1评标委员会按照第三章“评标办法”规定的方法、评审因素、标准和程序对投标文件进行评审。第三章“评标办法”没有规定的方法、评审因素和标准，不作为评标依据。</w:t>
      </w:r>
    </w:p>
    <w:p w14:paraId="576F07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6.3.2评标完成后，评标委员会应当向招标人提交书面评标报告和中标候选人名单。评标委员会推荐中标</w:t>
      </w:r>
      <w:bookmarkStart w:id="576" w:name="_Toc300834979"/>
      <w:bookmarkStart w:id="577" w:name="_Toc361508615"/>
      <w:bookmarkStart w:id="578" w:name="_Toc247513982"/>
      <w:bookmarkStart w:id="579" w:name="_Toc152042334"/>
      <w:bookmarkStart w:id="580" w:name="_Toc369531546"/>
      <w:bookmarkStart w:id="581" w:name="_Toc384308240"/>
      <w:bookmarkStart w:id="582" w:name="_Toc152045558"/>
      <w:bookmarkStart w:id="583" w:name="_Toc352691502"/>
      <w:bookmarkStart w:id="584" w:name="_Toc12259"/>
      <w:bookmarkStart w:id="585" w:name="_Toc144974526"/>
      <w:bookmarkStart w:id="586" w:name="_Toc247527583"/>
      <w:r>
        <w:rPr>
          <w:rFonts w:hint="eastAsia" w:ascii="宋体" w:hAnsi="宋体" w:cs="宋体"/>
          <w:color w:val="auto"/>
          <w:sz w:val="24"/>
          <w:szCs w:val="24"/>
          <w:highlight w:val="none"/>
        </w:rPr>
        <w:t>候选人的人数见投标人须知前附</w:t>
      </w:r>
      <w:bookmarkEnd w:id="576"/>
      <w:bookmarkEnd w:id="577"/>
      <w:bookmarkEnd w:id="578"/>
      <w:bookmarkEnd w:id="579"/>
      <w:bookmarkEnd w:id="580"/>
      <w:bookmarkEnd w:id="581"/>
      <w:bookmarkEnd w:id="582"/>
      <w:bookmarkEnd w:id="583"/>
      <w:bookmarkEnd w:id="584"/>
      <w:bookmarkEnd w:id="585"/>
      <w:bookmarkEnd w:id="586"/>
      <w:r>
        <w:rPr>
          <w:rFonts w:hint="eastAsia" w:ascii="宋体" w:hAnsi="宋体" w:cs="宋体"/>
          <w:color w:val="auto"/>
          <w:sz w:val="24"/>
          <w:szCs w:val="24"/>
          <w:highlight w:val="none"/>
        </w:rPr>
        <w:t>表。</w:t>
      </w:r>
    </w:p>
    <w:p w14:paraId="695ED8BA">
      <w:pPr>
        <w:pStyle w:val="4"/>
        <w:spacing w:line="360" w:lineRule="auto"/>
        <w:rPr>
          <w:rFonts w:ascii="宋体" w:hAnsi="宋体" w:eastAsia="宋体" w:cs="宋体"/>
          <w:color w:val="auto"/>
          <w:sz w:val="28"/>
          <w:szCs w:val="28"/>
          <w:highlight w:val="none"/>
        </w:rPr>
      </w:pPr>
      <w:bookmarkStart w:id="587" w:name="_Toc25633"/>
      <w:bookmarkStart w:id="588" w:name="_Toc7020"/>
      <w:bookmarkStart w:id="589" w:name="_Toc5657"/>
      <w:bookmarkStart w:id="590" w:name="_Toc28355"/>
      <w:bookmarkStart w:id="591" w:name="_Toc492300604"/>
      <w:bookmarkStart w:id="592" w:name="_Toc15386"/>
      <w:bookmarkStart w:id="593" w:name="_Toc22635"/>
      <w:bookmarkStart w:id="594" w:name="_Toc15335"/>
      <w:bookmarkStart w:id="595" w:name="_Toc16732"/>
      <w:bookmarkStart w:id="596" w:name="_Toc10110"/>
      <w:r>
        <w:rPr>
          <w:rFonts w:ascii="宋体" w:hAnsi="宋体" w:eastAsia="宋体" w:cs="宋体"/>
          <w:color w:val="auto"/>
          <w:sz w:val="28"/>
          <w:szCs w:val="28"/>
          <w:highlight w:val="none"/>
        </w:rPr>
        <w:t xml:space="preserve">7. </w:t>
      </w:r>
      <w:r>
        <w:rPr>
          <w:rFonts w:hint="eastAsia" w:ascii="宋体" w:hAnsi="宋体" w:eastAsia="宋体" w:cs="宋体"/>
          <w:color w:val="auto"/>
          <w:sz w:val="28"/>
          <w:szCs w:val="28"/>
          <w:highlight w:val="none"/>
        </w:rPr>
        <w:t>合同授予</w:t>
      </w:r>
      <w:bookmarkEnd w:id="587"/>
      <w:bookmarkEnd w:id="588"/>
      <w:bookmarkEnd w:id="589"/>
      <w:bookmarkEnd w:id="590"/>
      <w:bookmarkEnd w:id="591"/>
      <w:bookmarkEnd w:id="592"/>
      <w:bookmarkEnd w:id="593"/>
      <w:bookmarkEnd w:id="594"/>
      <w:bookmarkEnd w:id="595"/>
      <w:bookmarkEnd w:id="596"/>
    </w:p>
    <w:p w14:paraId="05240BCA">
      <w:pPr>
        <w:pStyle w:val="5"/>
        <w:spacing w:line="360" w:lineRule="auto"/>
        <w:ind w:firstLine="0" w:firstLineChars="0"/>
        <w:rPr>
          <w:rFonts w:ascii="宋体" w:hAnsi="宋体" w:eastAsia="宋体" w:cs="宋体"/>
          <w:color w:val="auto"/>
          <w:szCs w:val="24"/>
          <w:highlight w:val="none"/>
        </w:rPr>
      </w:pPr>
      <w:bookmarkStart w:id="597" w:name="_Toc9762"/>
      <w:bookmarkStart w:id="598" w:name="_Toc9013"/>
      <w:bookmarkStart w:id="599" w:name="_Toc22584"/>
      <w:bookmarkStart w:id="600" w:name="_Toc26938"/>
      <w:bookmarkStart w:id="601" w:name="_Toc492300605"/>
      <w:bookmarkStart w:id="602" w:name="_Toc16687"/>
      <w:bookmarkStart w:id="603" w:name="_Toc3854"/>
      <w:bookmarkStart w:id="604" w:name="_Toc958"/>
      <w:bookmarkStart w:id="605" w:name="_Toc30180"/>
      <w:bookmarkStart w:id="606" w:name="_Toc1924"/>
      <w:r>
        <w:rPr>
          <w:rFonts w:ascii="宋体" w:hAnsi="宋体" w:eastAsia="宋体" w:cs="宋体"/>
          <w:color w:val="auto"/>
          <w:szCs w:val="24"/>
          <w:highlight w:val="none"/>
        </w:rPr>
        <w:t xml:space="preserve">7.1 </w:t>
      </w:r>
      <w:r>
        <w:rPr>
          <w:rFonts w:hint="eastAsia" w:ascii="宋体" w:hAnsi="宋体" w:eastAsia="宋体" w:cs="宋体"/>
          <w:color w:val="auto"/>
          <w:szCs w:val="24"/>
          <w:highlight w:val="none"/>
        </w:rPr>
        <w:t>中标候选人公示</w:t>
      </w:r>
      <w:bookmarkEnd w:id="597"/>
      <w:bookmarkEnd w:id="598"/>
      <w:bookmarkEnd w:id="599"/>
      <w:bookmarkEnd w:id="600"/>
      <w:bookmarkEnd w:id="601"/>
      <w:bookmarkEnd w:id="602"/>
      <w:bookmarkEnd w:id="603"/>
      <w:bookmarkEnd w:id="604"/>
      <w:bookmarkEnd w:id="605"/>
      <w:bookmarkEnd w:id="606"/>
    </w:p>
    <w:p w14:paraId="63CB455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招标人在收到评标报告之日起3日内，按照投标人须知前附表规定的公示媒介和期限公示中标候选人，公示期不得少于3天。</w:t>
      </w:r>
    </w:p>
    <w:p w14:paraId="56747824">
      <w:pPr>
        <w:pStyle w:val="5"/>
        <w:spacing w:line="360" w:lineRule="auto"/>
        <w:ind w:firstLine="0" w:firstLineChars="0"/>
        <w:rPr>
          <w:rFonts w:ascii="宋体" w:hAnsi="宋体" w:eastAsia="宋体" w:cs="宋体"/>
          <w:color w:val="auto"/>
          <w:szCs w:val="24"/>
          <w:highlight w:val="none"/>
        </w:rPr>
      </w:pPr>
      <w:bookmarkStart w:id="607" w:name="_Toc2875"/>
      <w:bookmarkStart w:id="608" w:name="_Toc26910"/>
      <w:bookmarkStart w:id="609" w:name="_Toc11891"/>
      <w:bookmarkStart w:id="610" w:name="_Toc15404"/>
      <w:bookmarkStart w:id="611" w:name="_Toc19277"/>
      <w:bookmarkStart w:id="612" w:name="_Toc16494"/>
      <w:bookmarkStart w:id="613" w:name="_Toc1246"/>
      <w:bookmarkStart w:id="614" w:name="_Toc19700"/>
      <w:bookmarkStart w:id="615" w:name="_Toc492300606"/>
      <w:bookmarkStart w:id="616" w:name="_Toc14112"/>
      <w:r>
        <w:rPr>
          <w:rFonts w:ascii="宋体" w:hAnsi="宋体" w:eastAsia="宋体" w:cs="宋体"/>
          <w:color w:val="auto"/>
          <w:szCs w:val="24"/>
          <w:highlight w:val="none"/>
        </w:rPr>
        <w:t xml:space="preserve">7.2 </w:t>
      </w:r>
      <w:r>
        <w:rPr>
          <w:rFonts w:hint="eastAsia" w:ascii="宋体" w:hAnsi="宋体" w:eastAsia="宋体" w:cs="宋体"/>
          <w:color w:val="auto"/>
          <w:szCs w:val="24"/>
          <w:highlight w:val="none"/>
        </w:rPr>
        <w:t>评标结果异议</w:t>
      </w:r>
      <w:bookmarkEnd w:id="607"/>
      <w:bookmarkEnd w:id="608"/>
      <w:bookmarkEnd w:id="609"/>
      <w:bookmarkEnd w:id="610"/>
      <w:bookmarkEnd w:id="611"/>
      <w:bookmarkEnd w:id="612"/>
      <w:bookmarkEnd w:id="613"/>
      <w:bookmarkEnd w:id="614"/>
      <w:bookmarkEnd w:id="615"/>
      <w:bookmarkEnd w:id="616"/>
    </w:p>
    <w:p w14:paraId="29F374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投标人或者其他利</w:t>
      </w:r>
      <w:bookmarkStart w:id="617" w:name="_Toc300834982"/>
      <w:bookmarkStart w:id="618" w:name="_Toc384308243"/>
      <w:bookmarkStart w:id="619" w:name="_Toc361508618"/>
      <w:bookmarkStart w:id="620" w:name="_Toc30095"/>
      <w:bookmarkStart w:id="621" w:name="_Toc369531549"/>
      <w:bookmarkStart w:id="622" w:name="_Toc247513985"/>
      <w:bookmarkStart w:id="623" w:name="_Toc152045561"/>
      <w:bookmarkStart w:id="624" w:name="_Toc247527586"/>
      <w:bookmarkStart w:id="625" w:name="_Toc144974529"/>
      <w:bookmarkStart w:id="626" w:name="_Toc352691505"/>
      <w:bookmarkStart w:id="627" w:name="_Toc152042337"/>
      <w:r>
        <w:rPr>
          <w:rFonts w:hint="eastAsia" w:ascii="宋体" w:hAnsi="宋体" w:cs="宋体"/>
          <w:color w:val="auto"/>
          <w:sz w:val="24"/>
          <w:szCs w:val="24"/>
          <w:highlight w:val="none"/>
        </w:rPr>
        <w:t>害关系人对评标结</w:t>
      </w:r>
      <w:bookmarkEnd w:id="617"/>
      <w:bookmarkEnd w:id="618"/>
      <w:bookmarkEnd w:id="619"/>
      <w:bookmarkEnd w:id="620"/>
      <w:bookmarkEnd w:id="621"/>
      <w:bookmarkEnd w:id="622"/>
      <w:bookmarkEnd w:id="623"/>
      <w:bookmarkEnd w:id="624"/>
      <w:bookmarkEnd w:id="625"/>
      <w:bookmarkEnd w:id="626"/>
      <w:bookmarkEnd w:id="627"/>
      <w:r>
        <w:rPr>
          <w:rFonts w:hint="eastAsia" w:ascii="宋体" w:hAnsi="宋体" w:cs="宋体"/>
          <w:color w:val="auto"/>
          <w:sz w:val="24"/>
          <w:szCs w:val="24"/>
          <w:highlight w:val="none"/>
        </w:rPr>
        <w:t>果有异议的，应当在中标候选人公示期间提出。招标人将在收到异议之日起</w:t>
      </w:r>
      <w:r>
        <w:rPr>
          <w:rFonts w:ascii="宋体" w:hAnsi="宋体" w:cs="宋体"/>
          <w:color w:val="auto"/>
          <w:sz w:val="24"/>
          <w:szCs w:val="24"/>
          <w:highlight w:val="none"/>
        </w:rPr>
        <w:t>3日内</w:t>
      </w:r>
      <w:r>
        <w:rPr>
          <w:rFonts w:hint="eastAsia" w:ascii="宋体" w:hAnsi="宋体" w:cs="宋体"/>
          <w:color w:val="auto"/>
          <w:sz w:val="24"/>
          <w:szCs w:val="24"/>
          <w:highlight w:val="none"/>
        </w:rPr>
        <w:t>作出答复；作出答复前，将暂停招标投标活动。</w:t>
      </w:r>
    </w:p>
    <w:p w14:paraId="13C92E01">
      <w:pPr>
        <w:pStyle w:val="5"/>
        <w:spacing w:line="360" w:lineRule="auto"/>
        <w:ind w:firstLine="0" w:firstLineChars="0"/>
        <w:rPr>
          <w:rFonts w:ascii="宋体" w:hAnsi="宋体" w:eastAsia="宋体" w:cs="宋体"/>
          <w:color w:val="auto"/>
          <w:szCs w:val="24"/>
          <w:highlight w:val="none"/>
        </w:rPr>
      </w:pPr>
      <w:bookmarkStart w:id="628" w:name="_Toc11242"/>
      <w:bookmarkStart w:id="629" w:name="_Toc7255"/>
      <w:bookmarkStart w:id="630" w:name="_Toc8456"/>
      <w:bookmarkStart w:id="631" w:name="_Toc24306"/>
      <w:bookmarkStart w:id="632" w:name="_Toc20125"/>
      <w:bookmarkStart w:id="633" w:name="_Toc19392"/>
      <w:bookmarkStart w:id="634" w:name="_Toc12436"/>
      <w:bookmarkStart w:id="635" w:name="_Toc4223"/>
      <w:bookmarkStart w:id="636" w:name="_Toc10747"/>
      <w:bookmarkStart w:id="637" w:name="_Toc492300607"/>
      <w:r>
        <w:rPr>
          <w:rFonts w:ascii="宋体" w:hAnsi="宋体" w:eastAsia="宋体" w:cs="宋体"/>
          <w:color w:val="auto"/>
          <w:szCs w:val="24"/>
          <w:highlight w:val="none"/>
        </w:rPr>
        <w:t xml:space="preserve">7.3 </w:t>
      </w:r>
      <w:r>
        <w:rPr>
          <w:rFonts w:hint="eastAsia" w:ascii="宋体" w:hAnsi="宋体" w:eastAsia="宋体" w:cs="宋体"/>
          <w:color w:val="auto"/>
          <w:szCs w:val="24"/>
          <w:highlight w:val="none"/>
        </w:rPr>
        <w:t>中标候选人履约能力审查</w:t>
      </w:r>
      <w:bookmarkEnd w:id="628"/>
      <w:bookmarkEnd w:id="629"/>
      <w:bookmarkEnd w:id="630"/>
      <w:bookmarkEnd w:id="631"/>
      <w:bookmarkEnd w:id="632"/>
      <w:bookmarkEnd w:id="633"/>
      <w:bookmarkEnd w:id="634"/>
      <w:bookmarkEnd w:id="635"/>
      <w:bookmarkEnd w:id="636"/>
      <w:bookmarkEnd w:id="637"/>
    </w:p>
    <w:p w14:paraId="04E2EA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5923713">
      <w:pPr>
        <w:pStyle w:val="5"/>
        <w:spacing w:line="360" w:lineRule="auto"/>
        <w:ind w:firstLine="0" w:firstLineChars="0"/>
        <w:rPr>
          <w:rFonts w:ascii="宋体" w:hAnsi="宋体" w:eastAsia="宋体" w:cs="宋体"/>
          <w:color w:val="auto"/>
          <w:szCs w:val="24"/>
          <w:highlight w:val="none"/>
        </w:rPr>
      </w:pPr>
      <w:bookmarkStart w:id="638" w:name="_Toc9704"/>
      <w:bookmarkStart w:id="639" w:name="_Toc26023"/>
      <w:bookmarkStart w:id="640" w:name="_Toc25871"/>
      <w:bookmarkStart w:id="641" w:name="_Toc24755"/>
      <w:bookmarkStart w:id="642" w:name="_Toc21272"/>
      <w:bookmarkStart w:id="643" w:name="_Toc492300608"/>
      <w:bookmarkStart w:id="644" w:name="_Toc16645"/>
      <w:bookmarkStart w:id="645" w:name="_Toc13911"/>
      <w:bookmarkStart w:id="646" w:name="_Toc20037"/>
      <w:bookmarkStart w:id="647" w:name="_Toc18639"/>
      <w:r>
        <w:rPr>
          <w:rFonts w:ascii="宋体" w:hAnsi="宋体" w:eastAsia="宋体" w:cs="宋体"/>
          <w:color w:val="auto"/>
          <w:szCs w:val="24"/>
          <w:highlight w:val="none"/>
        </w:rPr>
        <w:t xml:space="preserve">7.4 </w:t>
      </w:r>
      <w:r>
        <w:rPr>
          <w:rFonts w:hint="eastAsia" w:ascii="宋体" w:hAnsi="宋体" w:eastAsia="宋体" w:cs="宋体"/>
          <w:color w:val="auto"/>
          <w:szCs w:val="24"/>
          <w:highlight w:val="none"/>
        </w:rPr>
        <w:t>定标</w:t>
      </w:r>
      <w:bookmarkEnd w:id="638"/>
      <w:bookmarkEnd w:id="639"/>
      <w:bookmarkEnd w:id="640"/>
      <w:bookmarkEnd w:id="641"/>
      <w:bookmarkEnd w:id="642"/>
      <w:bookmarkEnd w:id="643"/>
      <w:bookmarkEnd w:id="644"/>
      <w:bookmarkEnd w:id="645"/>
      <w:bookmarkEnd w:id="646"/>
      <w:bookmarkEnd w:id="647"/>
    </w:p>
    <w:p w14:paraId="5B13A6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按照投标人须知前附表的规定，招标人或招标人授权的评标委员会依法确定中标人。</w:t>
      </w:r>
    </w:p>
    <w:p w14:paraId="6F1D6AA6">
      <w:pPr>
        <w:pStyle w:val="5"/>
        <w:spacing w:line="360" w:lineRule="auto"/>
        <w:ind w:firstLine="0" w:firstLineChars="0"/>
        <w:rPr>
          <w:rFonts w:ascii="宋体" w:hAnsi="宋体" w:eastAsia="宋体" w:cs="宋体"/>
          <w:color w:val="auto"/>
          <w:szCs w:val="24"/>
          <w:highlight w:val="none"/>
        </w:rPr>
      </w:pPr>
      <w:bookmarkStart w:id="648" w:name="_Toc31128"/>
      <w:bookmarkStart w:id="649" w:name="_Toc27861"/>
      <w:bookmarkStart w:id="650" w:name="_Toc20477"/>
      <w:bookmarkStart w:id="651" w:name="_Toc22955"/>
      <w:bookmarkStart w:id="652" w:name="_Toc22074"/>
      <w:bookmarkStart w:id="653" w:name="_Toc9194"/>
      <w:bookmarkStart w:id="654" w:name="_Toc492300609"/>
      <w:bookmarkStart w:id="655" w:name="_Toc12343"/>
      <w:bookmarkStart w:id="656" w:name="_Toc2936"/>
      <w:bookmarkStart w:id="657" w:name="_Toc9845"/>
      <w:r>
        <w:rPr>
          <w:rFonts w:ascii="宋体" w:hAnsi="宋体" w:eastAsia="宋体" w:cs="宋体"/>
          <w:color w:val="auto"/>
          <w:szCs w:val="24"/>
          <w:highlight w:val="none"/>
        </w:rPr>
        <w:t xml:space="preserve">7.5 </w:t>
      </w:r>
      <w:r>
        <w:rPr>
          <w:rFonts w:hint="eastAsia" w:ascii="宋体" w:hAnsi="宋体" w:eastAsia="宋体" w:cs="宋体"/>
          <w:color w:val="auto"/>
          <w:szCs w:val="24"/>
          <w:highlight w:val="none"/>
        </w:rPr>
        <w:t>中标通知</w:t>
      </w:r>
      <w:bookmarkEnd w:id="648"/>
      <w:bookmarkEnd w:id="649"/>
      <w:bookmarkEnd w:id="650"/>
      <w:bookmarkEnd w:id="651"/>
      <w:bookmarkEnd w:id="652"/>
      <w:bookmarkEnd w:id="653"/>
      <w:bookmarkEnd w:id="654"/>
      <w:bookmarkEnd w:id="655"/>
      <w:bookmarkEnd w:id="656"/>
      <w:bookmarkEnd w:id="657"/>
    </w:p>
    <w:p w14:paraId="301B21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在本章第3.3款规定的投标有效期内，招标人以书面形式向中标人发出中标</w:t>
      </w:r>
      <w:bookmarkStart w:id="658" w:name="_Toc5668"/>
      <w:bookmarkStart w:id="659" w:name="_Toc384308244"/>
      <w:bookmarkStart w:id="660" w:name="_Toc352691506"/>
      <w:bookmarkStart w:id="661" w:name="_Toc369531550"/>
      <w:bookmarkStart w:id="662" w:name="_Toc361508619"/>
      <w:bookmarkStart w:id="663" w:name="_Toc300834983"/>
      <w:r>
        <w:rPr>
          <w:rFonts w:hint="eastAsia" w:ascii="宋体" w:hAnsi="宋体" w:cs="宋体"/>
          <w:color w:val="auto"/>
          <w:sz w:val="24"/>
          <w:szCs w:val="24"/>
          <w:highlight w:val="none"/>
        </w:rPr>
        <w:t>通知书，同时将中</w:t>
      </w:r>
      <w:bookmarkEnd w:id="658"/>
      <w:bookmarkEnd w:id="659"/>
      <w:bookmarkEnd w:id="660"/>
      <w:bookmarkEnd w:id="661"/>
      <w:bookmarkEnd w:id="662"/>
      <w:bookmarkEnd w:id="663"/>
      <w:r>
        <w:rPr>
          <w:rFonts w:hint="eastAsia" w:ascii="宋体" w:hAnsi="宋体" w:cs="宋体"/>
          <w:color w:val="auto"/>
          <w:sz w:val="24"/>
          <w:szCs w:val="24"/>
          <w:highlight w:val="none"/>
        </w:rPr>
        <w:t>标结果通知未中标的投标人。</w:t>
      </w:r>
    </w:p>
    <w:p w14:paraId="58D5955F">
      <w:pPr>
        <w:pStyle w:val="5"/>
        <w:spacing w:line="360" w:lineRule="auto"/>
        <w:ind w:firstLine="0" w:firstLineChars="0"/>
        <w:rPr>
          <w:rFonts w:ascii="宋体" w:hAnsi="宋体" w:eastAsia="宋体" w:cs="宋体"/>
          <w:color w:val="auto"/>
          <w:szCs w:val="24"/>
          <w:highlight w:val="none"/>
        </w:rPr>
      </w:pPr>
      <w:bookmarkStart w:id="664" w:name="_Toc11461"/>
      <w:bookmarkStart w:id="665" w:name="_Toc31786"/>
      <w:bookmarkStart w:id="666" w:name="_Toc20992"/>
      <w:bookmarkStart w:id="667" w:name="_Toc14148"/>
      <w:bookmarkStart w:id="668" w:name="_Toc29460"/>
      <w:bookmarkStart w:id="669" w:name="_Toc7444"/>
      <w:bookmarkStart w:id="670" w:name="_Toc8209"/>
      <w:bookmarkStart w:id="671" w:name="_Toc10579"/>
      <w:bookmarkStart w:id="672" w:name="_Toc492300610"/>
      <w:bookmarkStart w:id="673" w:name="_Toc28838"/>
      <w:r>
        <w:rPr>
          <w:rFonts w:ascii="宋体" w:hAnsi="宋体" w:eastAsia="宋体" w:cs="宋体"/>
          <w:color w:val="auto"/>
          <w:szCs w:val="24"/>
          <w:highlight w:val="none"/>
        </w:rPr>
        <w:t xml:space="preserve">7.6 </w:t>
      </w:r>
      <w:r>
        <w:rPr>
          <w:rFonts w:hint="eastAsia" w:ascii="宋体" w:hAnsi="宋体" w:eastAsia="宋体" w:cs="宋体"/>
          <w:color w:val="auto"/>
          <w:szCs w:val="24"/>
          <w:highlight w:val="none"/>
        </w:rPr>
        <w:t>履约保证金</w:t>
      </w:r>
      <w:bookmarkEnd w:id="664"/>
      <w:bookmarkEnd w:id="665"/>
      <w:bookmarkEnd w:id="666"/>
      <w:bookmarkEnd w:id="667"/>
      <w:bookmarkEnd w:id="668"/>
      <w:bookmarkEnd w:id="669"/>
      <w:bookmarkEnd w:id="670"/>
      <w:bookmarkEnd w:id="671"/>
      <w:bookmarkEnd w:id="672"/>
      <w:bookmarkEnd w:id="673"/>
    </w:p>
    <w:p w14:paraId="64CA8263">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7.6.1 </w:t>
      </w:r>
      <w:r>
        <w:rPr>
          <w:rFonts w:hint="eastAsia" w:ascii="宋体" w:hAnsi="宋体" w:cs="宋体"/>
          <w:color w:val="auto"/>
          <w:sz w:val="24"/>
          <w:szCs w:val="24"/>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cs="宋体"/>
          <w:strike/>
          <w:dstrike w:val="0"/>
          <w:color w:val="auto"/>
          <w:sz w:val="24"/>
          <w:szCs w:val="24"/>
          <w:highlight w:val="none"/>
        </w:rPr>
        <w:t>联合体中标的，其履约保证金以联合体各方或者联合体中牵头人的名义提交。</w:t>
      </w:r>
    </w:p>
    <w:p w14:paraId="6C3A6167">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7.6.2 </w:t>
      </w:r>
      <w:r>
        <w:rPr>
          <w:rFonts w:hint="eastAsia" w:ascii="宋体" w:hAnsi="宋体" w:cs="宋体"/>
          <w:color w:val="auto"/>
          <w:sz w:val="24"/>
          <w:szCs w:val="24"/>
          <w:highlight w:val="none"/>
        </w:rPr>
        <w:t>中标人不能按本章第7.6.1项要求提交履约保证金的，视为放弃中标，</w:t>
      </w:r>
      <w:r>
        <w:rPr>
          <w:rFonts w:hint="eastAsia" w:ascii="宋体" w:hAnsi="宋体" w:cs="宋体"/>
          <w:strike/>
          <w:dstrike w:val="0"/>
          <w:color w:val="auto"/>
          <w:sz w:val="24"/>
          <w:szCs w:val="24"/>
          <w:highlight w:val="none"/>
        </w:rPr>
        <w:t>其投标保证金不予退还，</w:t>
      </w:r>
      <w:r>
        <w:rPr>
          <w:rFonts w:hint="eastAsia" w:ascii="宋体" w:hAnsi="宋体" w:cs="宋体"/>
          <w:strike w:val="0"/>
          <w:dstrike w:val="0"/>
          <w:color w:val="auto"/>
          <w:sz w:val="24"/>
          <w:szCs w:val="24"/>
          <w:highlight w:val="none"/>
        </w:rPr>
        <w:t>给招标人造成的损失</w:t>
      </w:r>
      <w:r>
        <w:rPr>
          <w:rFonts w:hint="eastAsia" w:ascii="宋体" w:hAnsi="宋体" w:cs="宋体"/>
          <w:strike/>
          <w:dstrike w:val="0"/>
          <w:color w:val="auto"/>
          <w:sz w:val="24"/>
          <w:szCs w:val="24"/>
          <w:highlight w:val="none"/>
        </w:rPr>
        <w:t>超过投标保证金数额</w:t>
      </w:r>
      <w:r>
        <w:rPr>
          <w:rFonts w:hint="eastAsia" w:ascii="宋体" w:hAnsi="宋体" w:cs="宋体"/>
          <w:strike w:val="0"/>
          <w:dstrike w:val="0"/>
          <w:color w:val="auto"/>
          <w:sz w:val="24"/>
          <w:szCs w:val="24"/>
          <w:highlight w:val="none"/>
        </w:rPr>
        <w:t>的，</w:t>
      </w:r>
      <w:r>
        <w:rPr>
          <w:rFonts w:hint="eastAsia" w:ascii="宋体" w:hAnsi="宋体" w:cs="宋体"/>
          <w:color w:val="auto"/>
          <w:sz w:val="24"/>
          <w:szCs w:val="24"/>
          <w:highlight w:val="none"/>
        </w:rPr>
        <w:t>中标人还应当</w:t>
      </w:r>
      <w:r>
        <w:rPr>
          <w:rFonts w:hint="eastAsia" w:ascii="宋体" w:hAnsi="宋体" w:cs="宋体"/>
          <w:strike/>
          <w:dstrike w:val="0"/>
          <w:color w:val="auto"/>
          <w:sz w:val="24"/>
          <w:szCs w:val="24"/>
          <w:highlight w:val="none"/>
        </w:rPr>
        <w:t>对超过部分</w:t>
      </w:r>
      <w:r>
        <w:rPr>
          <w:rFonts w:hint="eastAsia" w:ascii="宋体" w:hAnsi="宋体" w:cs="宋体"/>
          <w:color w:val="auto"/>
          <w:sz w:val="24"/>
          <w:szCs w:val="24"/>
          <w:highlight w:val="none"/>
        </w:rPr>
        <w:t>予以赔偿。</w:t>
      </w:r>
    </w:p>
    <w:p w14:paraId="542842B6">
      <w:pPr>
        <w:pStyle w:val="5"/>
        <w:spacing w:line="360" w:lineRule="auto"/>
        <w:ind w:firstLine="0" w:firstLineChars="0"/>
        <w:rPr>
          <w:rFonts w:ascii="宋体" w:hAnsi="宋体" w:eastAsia="宋体" w:cs="宋体"/>
          <w:color w:val="auto"/>
          <w:szCs w:val="24"/>
          <w:highlight w:val="none"/>
        </w:rPr>
      </w:pPr>
      <w:bookmarkStart w:id="674" w:name="_Toc22239"/>
      <w:bookmarkStart w:id="675" w:name="_Toc23355"/>
      <w:bookmarkStart w:id="676" w:name="_Toc21668"/>
      <w:bookmarkStart w:id="677" w:name="_Toc25434"/>
      <w:bookmarkStart w:id="678" w:name="_Toc492300611"/>
      <w:bookmarkStart w:id="679" w:name="_Toc4249"/>
      <w:bookmarkStart w:id="680" w:name="_Toc6210"/>
      <w:bookmarkStart w:id="681" w:name="_Toc25308"/>
      <w:bookmarkStart w:id="682" w:name="_Toc1608"/>
      <w:bookmarkStart w:id="683" w:name="_Toc28497"/>
      <w:r>
        <w:rPr>
          <w:rFonts w:ascii="宋体" w:hAnsi="宋体" w:eastAsia="宋体" w:cs="宋体"/>
          <w:color w:val="auto"/>
          <w:szCs w:val="24"/>
          <w:highlight w:val="none"/>
        </w:rPr>
        <w:t xml:space="preserve">7.7 </w:t>
      </w:r>
      <w:r>
        <w:rPr>
          <w:rFonts w:hint="eastAsia" w:ascii="宋体" w:hAnsi="宋体" w:eastAsia="宋体" w:cs="宋体"/>
          <w:color w:val="auto"/>
          <w:szCs w:val="24"/>
          <w:highlight w:val="none"/>
        </w:rPr>
        <w:t>签订合同</w:t>
      </w:r>
      <w:bookmarkEnd w:id="674"/>
      <w:bookmarkEnd w:id="675"/>
      <w:bookmarkEnd w:id="676"/>
      <w:bookmarkEnd w:id="677"/>
      <w:bookmarkEnd w:id="678"/>
      <w:bookmarkEnd w:id="679"/>
      <w:bookmarkEnd w:id="680"/>
      <w:bookmarkEnd w:id="681"/>
      <w:bookmarkEnd w:id="682"/>
      <w:bookmarkEnd w:id="683"/>
    </w:p>
    <w:p w14:paraId="57D16D0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7.7.1 </w:t>
      </w:r>
      <w:r>
        <w:rPr>
          <w:rFonts w:hint="eastAsia" w:ascii="宋体" w:hAnsi="宋体" w:cs="宋体"/>
          <w:color w:val="auto"/>
          <w:sz w:val="24"/>
          <w:szCs w:val="24"/>
          <w:highlight w:val="none"/>
        </w:rPr>
        <w:t>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cs="宋体"/>
          <w:strike/>
          <w:color w:val="auto"/>
          <w:sz w:val="24"/>
          <w:szCs w:val="24"/>
          <w:highlight w:val="none"/>
        </w:rPr>
        <w:t>，其投标保证金不予退还</w:t>
      </w:r>
      <w:r>
        <w:rPr>
          <w:rFonts w:hint="eastAsia" w:ascii="宋体" w:hAnsi="宋体" w:cs="宋体"/>
          <w:color w:val="auto"/>
          <w:sz w:val="24"/>
          <w:szCs w:val="24"/>
          <w:highlight w:val="none"/>
        </w:rPr>
        <w:t>；给招标人造成的损失</w:t>
      </w:r>
      <w:r>
        <w:rPr>
          <w:rFonts w:hint="eastAsia" w:ascii="宋体" w:hAnsi="宋体" w:cs="宋体"/>
          <w:strike/>
          <w:color w:val="auto"/>
          <w:sz w:val="24"/>
          <w:szCs w:val="24"/>
          <w:highlight w:val="none"/>
        </w:rPr>
        <w:t>超过投标保证金数额</w:t>
      </w:r>
      <w:r>
        <w:rPr>
          <w:rFonts w:hint="eastAsia" w:ascii="宋体" w:hAnsi="宋体" w:cs="宋体"/>
          <w:color w:val="auto"/>
          <w:sz w:val="24"/>
          <w:szCs w:val="24"/>
          <w:highlight w:val="none"/>
        </w:rPr>
        <w:t>的，中标人还应当</w:t>
      </w:r>
      <w:r>
        <w:rPr>
          <w:rFonts w:hint="eastAsia" w:ascii="宋体" w:hAnsi="宋体" w:cs="宋体"/>
          <w:strike/>
          <w:color w:val="auto"/>
          <w:sz w:val="24"/>
          <w:szCs w:val="24"/>
          <w:highlight w:val="none"/>
        </w:rPr>
        <w:t>对超过部分</w:t>
      </w:r>
      <w:r>
        <w:rPr>
          <w:rFonts w:hint="eastAsia" w:ascii="宋体" w:hAnsi="宋体" w:cs="宋体"/>
          <w:color w:val="auto"/>
          <w:sz w:val="24"/>
          <w:szCs w:val="24"/>
          <w:highlight w:val="none"/>
        </w:rPr>
        <w:t>予以赔偿。</w:t>
      </w:r>
    </w:p>
    <w:p w14:paraId="3B66329E">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7.7.2 </w:t>
      </w:r>
      <w:r>
        <w:rPr>
          <w:rFonts w:hint="eastAsia" w:ascii="宋体" w:hAnsi="宋体" w:cs="宋体"/>
          <w:color w:val="auto"/>
          <w:sz w:val="24"/>
          <w:szCs w:val="24"/>
          <w:highlight w:val="none"/>
        </w:rPr>
        <w:t>发出中标通知书后，招标人无正当理由拒签合同，或者在签订合同时向中标人提出附加条件的，</w:t>
      </w:r>
      <w:r>
        <w:rPr>
          <w:rFonts w:hint="eastAsia" w:ascii="宋体" w:hAnsi="宋体" w:cs="宋体"/>
          <w:strike/>
          <w:dstrike w:val="0"/>
          <w:color w:val="auto"/>
          <w:sz w:val="24"/>
          <w:szCs w:val="24"/>
          <w:highlight w:val="none"/>
        </w:rPr>
        <w:t>招标人向中标人退还投标保证金；</w:t>
      </w:r>
      <w:r>
        <w:rPr>
          <w:rFonts w:hint="eastAsia" w:ascii="宋体" w:hAnsi="宋体" w:cs="宋体"/>
          <w:color w:val="auto"/>
          <w:sz w:val="24"/>
          <w:szCs w:val="24"/>
          <w:highlight w:val="none"/>
        </w:rPr>
        <w:t>给中标人造成损失的，</w:t>
      </w:r>
      <w:r>
        <w:rPr>
          <w:rFonts w:hint="eastAsia" w:ascii="宋体" w:hAnsi="宋体" w:cs="宋体"/>
          <w:strike/>
          <w:dstrike w:val="0"/>
          <w:color w:val="auto"/>
          <w:sz w:val="24"/>
          <w:szCs w:val="24"/>
          <w:highlight w:val="none"/>
        </w:rPr>
        <w:t>还</w:t>
      </w:r>
      <w:r>
        <w:rPr>
          <w:rFonts w:hint="eastAsia" w:ascii="宋体" w:hAnsi="宋体" w:cs="宋体"/>
          <w:color w:val="auto"/>
          <w:sz w:val="24"/>
          <w:szCs w:val="24"/>
          <w:highlight w:val="none"/>
        </w:rPr>
        <w:t>应当赔偿损失。</w:t>
      </w:r>
    </w:p>
    <w:p w14:paraId="38311D34">
      <w:pPr>
        <w:spacing w:line="360" w:lineRule="auto"/>
        <w:ind w:firstLine="480" w:firstLineChars="200"/>
        <w:rPr>
          <w:rFonts w:ascii="宋体" w:hAnsi="宋体" w:cs="宋体"/>
          <w:strike/>
          <w:dstrike w:val="0"/>
          <w:color w:val="auto"/>
          <w:sz w:val="24"/>
          <w:szCs w:val="24"/>
          <w:highlight w:val="none"/>
        </w:rPr>
      </w:pPr>
      <w:r>
        <w:rPr>
          <w:rFonts w:ascii="宋体" w:hAnsi="宋体" w:cs="宋体"/>
          <w:strike/>
          <w:dstrike w:val="0"/>
          <w:color w:val="auto"/>
          <w:sz w:val="24"/>
          <w:szCs w:val="24"/>
          <w:highlight w:val="none"/>
        </w:rPr>
        <w:t>7.7.3</w:t>
      </w:r>
      <w:r>
        <w:rPr>
          <w:rFonts w:hint="eastAsia" w:ascii="宋体" w:hAnsi="宋体" w:cs="宋体"/>
          <w:strike/>
          <w:dstrike w:val="0"/>
          <w:color w:val="auto"/>
          <w:sz w:val="24"/>
          <w:szCs w:val="24"/>
          <w:highlight w:val="none"/>
        </w:rPr>
        <w:t>联合体中标的，联合体各方应当</w:t>
      </w:r>
      <w:r>
        <w:rPr>
          <w:rFonts w:ascii="宋体" w:hAnsi="宋体" w:cs="宋体"/>
          <w:strike/>
          <w:dstrike w:val="0"/>
          <w:color w:val="auto"/>
          <w:sz w:val="24"/>
          <w:szCs w:val="24"/>
          <w:highlight w:val="none"/>
        </w:rPr>
        <w:t>共同</w:t>
      </w:r>
      <w:r>
        <w:rPr>
          <w:rFonts w:hint="eastAsia" w:ascii="宋体" w:hAnsi="宋体" w:cs="宋体"/>
          <w:strike/>
          <w:dstrike w:val="0"/>
          <w:color w:val="auto"/>
          <w:sz w:val="24"/>
          <w:szCs w:val="24"/>
          <w:highlight w:val="none"/>
        </w:rPr>
        <w:t>与招标人签订合同，就中标项目向招标人承担连带责任。</w:t>
      </w:r>
    </w:p>
    <w:p w14:paraId="53F887BA">
      <w:pPr>
        <w:pStyle w:val="4"/>
        <w:spacing w:line="360" w:lineRule="auto"/>
        <w:rPr>
          <w:rFonts w:ascii="宋体" w:hAnsi="宋体" w:eastAsia="宋体" w:cs="宋体"/>
          <w:color w:val="auto"/>
          <w:sz w:val="28"/>
          <w:szCs w:val="28"/>
          <w:highlight w:val="none"/>
        </w:rPr>
      </w:pPr>
      <w:bookmarkStart w:id="684" w:name="_Toc384308252"/>
      <w:bookmarkStart w:id="685" w:name="_Toc361508627"/>
      <w:bookmarkStart w:id="686" w:name="_Toc24067"/>
      <w:bookmarkStart w:id="687" w:name="_Toc31097"/>
      <w:bookmarkStart w:id="688" w:name="_Toc5631"/>
      <w:bookmarkStart w:id="689" w:name="_Toc5519"/>
      <w:bookmarkStart w:id="690" w:name="_Toc12616"/>
      <w:bookmarkStart w:id="691" w:name="_Toc642"/>
      <w:bookmarkStart w:id="692" w:name="_Toc16626"/>
      <w:bookmarkStart w:id="693" w:name="_Toc15061"/>
      <w:bookmarkStart w:id="694" w:name="_Toc492300612"/>
      <w:bookmarkStart w:id="695" w:name="_Toc25547"/>
      <w:bookmarkStart w:id="696" w:name="_Toc3395"/>
      <w:bookmarkStart w:id="697" w:name="_Toc144974536"/>
      <w:bookmarkStart w:id="698" w:name="_Toc152045568"/>
      <w:bookmarkStart w:id="699" w:name="_Toc152042344"/>
      <w:bookmarkStart w:id="700" w:name="_Toc247527593"/>
      <w:bookmarkStart w:id="701" w:name="_Toc300834991"/>
      <w:bookmarkStart w:id="702" w:name="_Toc247513992"/>
      <w:r>
        <w:rPr>
          <w:rFonts w:ascii="宋体" w:hAnsi="宋体" w:eastAsia="宋体" w:cs="宋体"/>
          <w:color w:val="auto"/>
          <w:sz w:val="28"/>
          <w:szCs w:val="28"/>
          <w:highlight w:val="none"/>
        </w:rPr>
        <w:t>8.</w:t>
      </w:r>
      <w:bookmarkEnd w:id="684"/>
      <w:bookmarkEnd w:id="685"/>
      <w:bookmarkEnd w:id="686"/>
      <w:r>
        <w:rPr>
          <w:rFonts w:hint="eastAsia" w:ascii="宋体" w:hAnsi="宋体" w:eastAsia="宋体" w:cs="宋体"/>
          <w:color w:val="auto"/>
          <w:sz w:val="28"/>
          <w:szCs w:val="28"/>
          <w:highlight w:val="none"/>
        </w:rPr>
        <w:t>纪律和监督</w:t>
      </w:r>
      <w:bookmarkEnd w:id="687"/>
      <w:bookmarkEnd w:id="688"/>
      <w:bookmarkEnd w:id="689"/>
      <w:bookmarkEnd w:id="690"/>
      <w:bookmarkEnd w:id="691"/>
      <w:bookmarkEnd w:id="692"/>
      <w:bookmarkEnd w:id="693"/>
      <w:bookmarkEnd w:id="694"/>
      <w:bookmarkEnd w:id="695"/>
      <w:bookmarkEnd w:id="696"/>
    </w:p>
    <w:p w14:paraId="1965D2BB">
      <w:pPr>
        <w:pStyle w:val="5"/>
        <w:spacing w:line="360" w:lineRule="auto"/>
        <w:ind w:firstLine="0" w:firstLineChars="0"/>
        <w:rPr>
          <w:rFonts w:ascii="宋体" w:hAnsi="宋体" w:eastAsia="宋体" w:cs="宋体"/>
          <w:color w:val="auto"/>
          <w:szCs w:val="24"/>
          <w:highlight w:val="none"/>
        </w:rPr>
      </w:pPr>
      <w:bookmarkStart w:id="703" w:name="_Toc4178"/>
      <w:bookmarkStart w:id="704" w:name="_Toc23120"/>
      <w:bookmarkStart w:id="705" w:name="_Toc21921"/>
      <w:bookmarkStart w:id="706" w:name="_Toc32544"/>
      <w:bookmarkStart w:id="707" w:name="_Toc24397"/>
      <w:bookmarkStart w:id="708" w:name="_Toc9299"/>
      <w:bookmarkStart w:id="709" w:name="_Toc11398"/>
      <w:bookmarkStart w:id="710" w:name="_Toc15883"/>
      <w:bookmarkStart w:id="711" w:name="_Toc18110"/>
      <w:bookmarkStart w:id="712" w:name="_Toc492300613"/>
      <w:r>
        <w:rPr>
          <w:rFonts w:ascii="宋体" w:hAnsi="宋体" w:eastAsia="宋体" w:cs="宋体"/>
          <w:color w:val="auto"/>
          <w:szCs w:val="24"/>
          <w:highlight w:val="none"/>
        </w:rPr>
        <w:t xml:space="preserve">8.1 </w:t>
      </w:r>
      <w:r>
        <w:rPr>
          <w:rFonts w:hint="eastAsia" w:ascii="宋体" w:hAnsi="宋体" w:eastAsia="宋体" w:cs="宋体"/>
          <w:color w:val="auto"/>
          <w:szCs w:val="24"/>
          <w:highlight w:val="none"/>
        </w:rPr>
        <w:t>对招标人的纪律要求</w:t>
      </w:r>
      <w:bookmarkEnd w:id="703"/>
      <w:bookmarkEnd w:id="704"/>
      <w:bookmarkEnd w:id="705"/>
      <w:bookmarkEnd w:id="706"/>
      <w:bookmarkEnd w:id="707"/>
      <w:bookmarkEnd w:id="708"/>
      <w:bookmarkEnd w:id="709"/>
      <w:bookmarkEnd w:id="710"/>
      <w:bookmarkEnd w:id="711"/>
      <w:bookmarkEnd w:id="712"/>
    </w:p>
    <w:p w14:paraId="201028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招标人不得泄露招标投标活动中应当保密的情况和资料，不得与投标人串通损害国家利益、社会公共利益或者他人合法权益。</w:t>
      </w:r>
    </w:p>
    <w:p w14:paraId="5FBEA4BA">
      <w:pPr>
        <w:pStyle w:val="5"/>
        <w:spacing w:line="360" w:lineRule="auto"/>
        <w:ind w:firstLine="0" w:firstLineChars="0"/>
        <w:rPr>
          <w:rFonts w:ascii="宋体" w:hAnsi="宋体" w:eastAsia="宋体" w:cs="宋体"/>
          <w:color w:val="auto"/>
          <w:szCs w:val="24"/>
          <w:highlight w:val="none"/>
        </w:rPr>
      </w:pPr>
      <w:bookmarkStart w:id="713" w:name="_Toc31887"/>
      <w:bookmarkStart w:id="714" w:name="_Toc8183"/>
      <w:bookmarkStart w:id="715" w:name="_Toc32615"/>
      <w:bookmarkStart w:id="716" w:name="_Toc6541"/>
      <w:bookmarkStart w:id="717" w:name="_Toc7748"/>
      <w:bookmarkStart w:id="718" w:name="_Toc23526"/>
      <w:bookmarkStart w:id="719" w:name="_Toc31983"/>
      <w:bookmarkStart w:id="720" w:name="_Toc28671"/>
      <w:bookmarkStart w:id="721" w:name="_Toc492300614"/>
      <w:bookmarkStart w:id="722" w:name="_Toc14517"/>
      <w:r>
        <w:rPr>
          <w:rFonts w:ascii="宋体" w:hAnsi="宋体" w:eastAsia="宋体" w:cs="宋体"/>
          <w:color w:val="auto"/>
          <w:szCs w:val="24"/>
          <w:highlight w:val="none"/>
        </w:rPr>
        <w:t xml:space="preserve">8.2 </w:t>
      </w:r>
      <w:r>
        <w:rPr>
          <w:rFonts w:hint="eastAsia" w:ascii="宋体" w:hAnsi="宋体" w:eastAsia="宋体" w:cs="宋体"/>
          <w:color w:val="auto"/>
          <w:szCs w:val="24"/>
          <w:highlight w:val="none"/>
        </w:rPr>
        <w:t>对投标人的纪律要求</w:t>
      </w:r>
      <w:bookmarkEnd w:id="713"/>
      <w:bookmarkEnd w:id="714"/>
      <w:bookmarkEnd w:id="715"/>
      <w:bookmarkEnd w:id="716"/>
      <w:bookmarkEnd w:id="717"/>
      <w:bookmarkEnd w:id="718"/>
      <w:bookmarkEnd w:id="719"/>
      <w:bookmarkEnd w:id="720"/>
      <w:bookmarkEnd w:id="721"/>
      <w:bookmarkEnd w:id="722"/>
    </w:p>
    <w:p w14:paraId="77721D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6C39AE7">
      <w:pPr>
        <w:pStyle w:val="5"/>
        <w:spacing w:line="360" w:lineRule="auto"/>
        <w:ind w:firstLine="0" w:firstLineChars="0"/>
        <w:rPr>
          <w:rFonts w:ascii="宋体" w:hAnsi="宋体" w:eastAsia="宋体" w:cs="宋体"/>
          <w:color w:val="auto"/>
          <w:szCs w:val="24"/>
          <w:highlight w:val="none"/>
        </w:rPr>
      </w:pPr>
      <w:bookmarkStart w:id="723" w:name="_Toc28223"/>
      <w:bookmarkStart w:id="724" w:name="_Toc6527"/>
      <w:bookmarkStart w:id="725" w:name="_Toc30851"/>
      <w:bookmarkStart w:id="726" w:name="_Toc25078"/>
      <w:bookmarkStart w:id="727" w:name="_Toc1865"/>
      <w:bookmarkStart w:id="728" w:name="_Toc10298"/>
      <w:bookmarkStart w:id="729" w:name="_Toc7612"/>
      <w:bookmarkStart w:id="730" w:name="_Toc20150"/>
      <w:bookmarkStart w:id="731" w:name="_Toc492300615"/>
      <w:bookmarkStart w:id="732" w:name="_Toc15814"/>
      <w:r>
        <w:rPr>
          <w:rFonts w:ascii="宋体" w:hAnsi="宋体" w:eastAsia="宋体" w:cs="宋体"/>
          <w:color w:val="auto"/>
          <w:szCs w:val="24"/>
          <w:highlight w:val="none"/>
        </w:rPr>
        <w:t xml:space="preserve">8.3 </w:t>
      </w:r>
      <w:r>
        <w:rPr>
          <w:rFonts w:hint="eastAsia" w:ascii="宋体" w:hAnsi="宋体" w:eastAsia="宋体" w:cs="宋体"/>
          <w:color w:val="auto"/>
          <w:szCs w:val="24"/>
          <w:highlight w:val="none"/>
        </w:rPr>
        <w:t>对评标委员会成员的纪律要求</w:t>
      </w:r>
      <w:bookmarkEnd w:id="723"/>
      <w:bookmarkEnd w:id="724"/>
      <w:bookmarkEnd w:id="725"/>
      <w:bookmarkEnd w:id="726"/>
      <w:bookmarkEnd w:id="727"/>
      <w:bookmarkEnd w:id="728"/>
      <w:bookmarkEnd w:id="729"/>
      <w:bookmarkEnd w:id="730"/>
      <w:bookmarkEnd w:id="731"/>
      <w:bookmarkEnd w:id="732"/>
    </w:p>
    <w:p w14:paraId="34A1670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评标委员会成员不得收受他人的财物或者其他好处，不得向他人透露对投标文件的评审</w:t>
      </w:r>
      <w:bookmarkStart w:id="733" w:name="_Toc384308253"/>
      <w:bookmarkStart w:id="734" w:name="_Toc352691515"/>
      <w:bookmarkStart w:id="735" w:name="_Toc13644"/>
      <w:bookmarkStart w:id="736" w:name="_Toc361508628"/>
      <w:bookmarkStart w:id="737" w:name="_Toc369531559"/>
      <w:r>
        <w:rPr>
          <w:rFonts w:hint="eastAsia" w:ascii="宋体" w:hAnsi="宋体" w:cs="宋体"/>
          <w:color w:val="auto"/>
          <w:sz w:val="24"/>
          <w:szCs w:val="24"/>
          <w:highlight w:val="none"/>
        </w:rPr>
        <w:t>和比较、中标候选人</w:t>
      </w:r>
      <w:bookmarkEnd w:id="697"/>
      <w:bookmarkEnd w:id="698"/>
      <w:bookmarkEnd w:id="699"/>
      <w:bookmarkEnd w:id="700"/>
      <w:bookmarkEnd w:id="701"/>
      <w:bookmarkEnd w:id="702"/>
      <w:bookmarkEnd w:id="733"/>
      <w:bookmarkEnd w:id="734"/>
      <w:bookmarkEnd w:id="735"/>
      <w:bookmarkEnd w:id="736"/>
      <w:bookmarkEnd w:id="737"/>
      <w:r>
        <w:rPr>
          <w:rFonts w:hint="eastAsia" w:ascii="宋体" w:hAnsi="宋体" w:cs="宋体"/>
          <w:color w:val="auto"/>
          <w:sz w:val="24"/>
          <w:szCs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D3CE866">
      <w:pPr>
        <w:pStyle w:val="5"/>
        <w:spacing w:line="360" w:lineRule="auto"/>
        <w:ind w:firstLine="0" w:firstLineChars="0"/>
        <w:rPr>
          <w:rFonts w:ascii="宋体" w:hAnsi="宋体" w:eastAsia="宋体" w:cs="宋体"/>
          <w:color w:val="auto"/>
          <w:szCs w:val="24"/>
          <w:highlight w:val="none"/>
        </w:rPr>
      </w:pPr>
      <w:bookmarkStart w:id="738" w:name="_Toc3593"/>
      <w:bookmarkStart w:id="739" w:name="_Toc684"/>
      <w:bookmarkStart w:id="740" w:name="_Toc26504"/>
      <w:bookmarkStart w:id="741" w:name="_Toc492300616"/>
      <w:bookmarkStart w:id="742" w:name="_Toc5380"/>
      <w:bookmarkStart w:id="743" w:name="_Toc282"/>
      <w:bookmarkStart w:id="744" w:name="_Toc22625"/>
      <w:bookmarkStart w:id="745" w:name="_Toc27753"/>
      <w:bookmarkStart w:id="746" w:name="_Toc28320"/>
      <w:bookmarkStart w:id="747" w:name="_Toc30798"/>
      <w:r>
        <w:rPr>
          <w:rFonts w:ascii="宋体" w:hAnsi="宋体" w:eastAsia="宋体" w:cs="宋体"/>
          <w:color w:val="auto"/>
          <w:szCs w:val="24"/>
          <w:highlight w:val="none"/>
        </w:rPr>
        <w:t xml:space="preserve">8.4 </w:t>
      </w:r>
      <w:r>
        <w:rPr>
          <w:rFonts w:hint="eastAsia" w:ascii="宋体" w:hAnsi="宋体" w:eastAsia="宋体" w:cs="宋体"/>
          <w:color w:val="auto"/>
          <w:szCs w:val="24"/>
          <w:highlight w:val="none"/>
        </w:rPr>
        <w:t>对与评标活动有关的工作人员的纪律要求</w:t>
      </w:r>
      <w:bookmarkEnd w:id="738"/>
      <w:bookmarkEnd w:id="739"/>
      <w:bookmarkEnd w:id="740"/>
      <w:bookmarkEnd w:id="741"/>
      <w:bookmarkEnd w:id="742"/>
      <w:bookmarkEnd w:id="743"/>
      <w:bookmarkEnd w:id="744"/>
      <w:bookmarkEnd w:id="745"/>
      <w:bookmarkEnd w:id="746"/>
      <w:bookmarkEnd w:id="747"/>
    </w:p>
    <w:p w14:paraId="49421E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与评标活动有关的工作人员不得收受他人的财物或者其他好处，不得向他人透露对投标文件</w:t>
      </w:r>
      <w:bookmarkStart w:id="748" w:name="_Toc300834992"/>
      <w:bookmarkStart w:id="749" w:name="_Toc384308254"/>
      <w:bookmarkStart w:id="750" w:name="_Toc144974537"/>
      <w:bookmarkStart w:id="751" w:name="_Toc369531560"/>
      <w:bookmarkStart w:id="752" w:name="_Toc361508629"/>
      <w:bookmarkStart w:id="753" w:name="_Toc19429"/>
      <w:bookmarkStart w:id="754" w:name="_Toc247527594"/>
      <w:bookmarkStart w:id="755" w:name="_Toc352691516"/>
      <w:bookmarkStart w:id="756" w:name="_Toc152042345"/>
      <w:bookmarkStart w:id="757" w:name="_Toc247513993"/>
      <w:bookmarkStart w:id="758" w:name="_Toc152045569"/>
      <w:r>
        <w:rPr>
          <w:rFonts w:hint="eastAsia" w:ascii="宋体" w:hAnsi="宋体" w:cs="宋体"/>
          <w:color w:val="auto"/>
          <w:sz w:val="24"/>
          <w:szCs w:val="24"/>
          <w:highlight w:val="none"/>
        </w:rPr>
        <w:t>的评审和比较、中标</w:t>
      </w:r>
      <w:bookmarkEnd w:id="748"/>
      <w:bookmarkEnd w:id="749"/>
      <w:bookmarkEnd w:id="750"/>
      <w:bookmarkEnd w:id="751"/>
      <w:bookmarkEnd w:id="752"/>
      <w:bookmarkEnd w:id="753"/>
      <w:bookmarkEnd w:id="754"/>
      <w:bookmarkEnd w:id="755"/>
      <w:bookmarkEnd w:id="756"/>
      <w:bookmarkEnd w:id="757"/>
      <w:bookmarkEnd w:id="758"/>
      <w:r>
        <w:rPr>
          <w:rFonts w:hint="eastAsia" w:ascii="宋体" w:hAnsi="宋体" w:cs="宋体"/>
          <w:color w:val="auto"/>
          <w:sz w:val="24"/>
          <w:szCs w:val="24"/>
          <w:highlight w:val="none"/>
        </w:rPr>
        <w:t>候选人的推荐情况以及评标有关的其他情况。在评标活动中，与评标活动有关的工作人员不得擅离职守，影响评标程序正常进行。</w:t>
      </w:r>
    </w:p>
    <w:p w14:paraId="7C0446E7">
      <w:pPr>
        <w:pStyle w:val="5"/>
        <w:spacing w:line="360" w:lineRule="auto"/>
        <w:ind w:firstLine="0" w:firstLineChars="0"/>
        <w:rPr>
          <w:rFonts w:ascii="宋体" w:hAnsi="宋体" w:eastAsia="宋体" w:cs="宋体"/>
          <w:color w:val="auto"/>
          <w:szCs w:val="24"/>
          <w:highlight w:val="none"/>
        </w:rPr>
      </w:pPr>
      <w:bookmarkStart w:id="759" w:name="_Toc24577"/>
      <w:bookmarkStart w:id="760" w:name="_Toc14715"/>
      <w:bookmarkStart w:id="761" w:name="_Toc1751"/>
      <w:bookmarkStart w:id="762" w:name="_Toc22474"/>
      <w:bookmarkStart w:id="763" w:name="_Toc2142"/>
      <w:bookmarkStart w:id="764" w:name="_Toc2062"/>
      <w:bookmarkStart w:id="765" w:name="_Toc27306"/>
      <w:bookmarkStart w:id="766" w:name="_Toc492300617"/>
      <w:bookmarkStart w:id="767" w:name="_Toc19832"/>
      <w:bookmarkStart w:id="768" w:name="_Toc15494"/>
      <w:r>
        <w:rPr>
          <w:rFonts w:ascii="宋体" w:hAnsi="宋体" w:eastAsia="宋体" w:cs="宋体"/>
          <w:color w:val="auto"/>
          <w:szCs w:val="24"/>
          <w:highlight w:val="none"/>
        </w:rPr>
        <w:t xml:space="preserve">8.5 </w:t>
      </w:r>
      <w:r>
        <w:rPr>
          <w:rFonts w:hint="eastAsia" w:ascii="宋体" w:hAnsi="宋体" w:eastAsia="宋体" w:cs="宋体"/>
          <w:color w:val="auto"/>
          <w:szCs w:val="24"/>
          <w:highlight w:val="none"/>
        </w:rPr>
        <w:t>投诉</w:t>
      </w:r>
      <w:bookmarkEnd w:id="759"/>
      <w:bookmarkEnd w:id="760"/>
      <w:bookmarkEnd w:id="761"/>
      <w:bookmarkEnd w:id="762"/>
      <w:bookmarkEnd w:id="763"/>
      <w:bookmarkEnd w:id="764"/>
      <w:bookmarkEnd w:id="765"/>
      <w:bookmarkEnd w:id="766"/>
      <w:bookmarkEnd w:id="767"/>
      <w:bookmarkEnd w:id="768"/>
    </w:p>
    <w:p w14:paraId="733589AB">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8.5.1 </w:t>
      </w:r>
      <w:r>
        <w:rPr>
          <w:rFonts w:hint="eastAsia" w:ascii="宋体" w:hAnsi="宋体" w:cs="宋体"/>
          <w:color w:val="auto"/>
          <w:sz w:val="24"/>
          <w:szCs w:val="24"/>
          <w:highlight w:val="none"/>
        </w:rPr>
        <w:t>投标人或者其他利害关系人认为招标投标活动不符合法律、行政法规规定的，可以自知道或者应当知道之日起10日内向有关行政监督部门投诉。投诉应当有明确的请求和必要的证明材料。</w:t>
      </w:r>
    </w:p>
    <w:p w14:paraId="5309E13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8.5.2 </w:t>
      </w:r>
      <w:r>
        <w:rPr>
          <w:rFonts w:hint="eastAsia" w:ascii="宋体" w:hAnsi="宋体" w:cs="宋体"/>
          <w:color w:val="auto"/>
          <w:sz w:val="24"/>
          <w:szCs w:val="24"/>
          <w:highlight w:val="none"/>
        </w:rPr>
        <w:t>投标人或者其他利害关系人对招标文件、开标和评标结果提出投诉的，应当按照投标人须知第2.4款、第5.3款和第7.2款的规定先向招标人提出异议。异议答复期间</w:t>
      </w:r>
      <w:bookmarkStart w:id="769" w:name="_Toc152042346"/>
      <w:bookmarkStart w:id="770" w:name="_Toc384308255"/>
      <w:bookmarkStart w:id="771" w:name="_Toc300834993"/>
      <w:bookmarkStart w:id="772" w:name="_Toc12776"/>
      <w:bookmarkStart w:id="773" w:name="_Toc144974538"/>
      <w:bookmarkStart w:id="774" w:name="_Toc361508630"/>
      <w:bookmarkStart w:id="775" w:name="_Toc352691517"/>
      <w:bookmarkStart w:id="776" w:name="_Toc152045570"/>
      <w:bookmarkStart w:id="777" w:name="_Toc247527595"/>
      <w:bookmarkStart w:id="778" w:name="_Toc247513994"/>
      <w:bookmarkStart w:id="779" w:name="_Toc369531561"/>
      <w:r>
        <w:rPr>
          <w:rFonts w:hint="eastAsia" w:ascii="宋体" w:hAnsi="宋体" w:cs="宋体"/>
          <w:color w:val="auto"/>
          <w:sz w:val="24"/>
          <w:szCs w:val="24"/>
          <w:highlight w:val="none"/>
        </w:rPr>
        <w:t>不计算在第8.5.</w:t>
      </w:r>
      <w:bookmarkEnd w:id="769"/>
      <w:bookmarkEnd w:id="770"/>
      <w:bookmarkEnd w:id="771"/>
      <w:bookmarkEnd w:id="772"/>
      <w:bookmarkEnd w:id="773"/>
      <w:bookmarkEnd w:id="774"/>
      <w:bookmarkEnd w:id="775"/>
      <w:bookmarkEnd w:id="776"/>
      <w:bookmarkEnd w:id="777"/>
      <w:bookmarkEnd w:id="778"/>
      <w:bookmarkEnd w:id="779"/>
      <w:r>
        <w:rPr>
          <w:rFonts w:hint="eastAsia" w:ascii="宋体" w:hAnsi="宋体" w:cs="宋体"/>
          <w:color w:val="auto"/>
          <w:sz w:val="24"/>
          <w:szCs w:val="24"/>
          <w:highlight w:val="none"/>
        </w:rPr>
        <w:t>1项规定的期限内。</w:t>
      </w:r>
    </w:p>
    <w:p w14:paraId="145E31A8">
      <w:pPr>
        <w:pStyle w:val="4"/>
        <w:spacing w:line="360" w:lineRule="auto"/>
        <w:rPr>
          <w:rFonts w:ascii="宋体" w:hAnsi="宋体" w:eastAsia="宋体" w:cs="宋体"/>
          <w:color w:val="auto"/>
          <w:sz w:val="28"/>
          <w:szCs w:val="28"/>
          <w:highlight w:val="none"/>
        </w:rPr>
      </w:pPr>
      <w:bookmarkStart w:id="780" w:name="_Toc477134992"/>
      <w:bookmarkStart w:id="781" w:name="_Toc8988"/>
      <w:bookmarkStart w:id="782" w:name="_Toc12204"/>
      <w:bookmarkStart w:id="783" w:name="_Toc21761"/>
      <w:bookmarkStart w:id="784" w:name="_Toc17880"/>
      <w:bookmarkStart w:id="785" w:name="_Toc21121"/>
      <w:bookmarkStart w:id="786" w:name="_Toc9137"/>
      <w:bookmarkStart w:id="787" w:name="_Toc25914"/>
      <w:bookmarkStart w:id="788" w:name="_Toc492300618"/>
      <w:bookmarkStart w:id="789" w:name="_Toc6758"/>
      <w:bookmarkStart w:id="790" w:name="_Toc23565"/>
      <w:r>
        <w:rPr>
          <w:rFonts w:ascii="宋体" w:hAnsi="宋体" w:eastAsia="宋体" w:cs="宋体"/>
          <w:color w:val="auto"/>
          <w:sz w:val="28"/>
          <w:szCs w:val="28"/>
          <w:highlight w:val="none"/>
        </w:rPr>
        <w:t xml:space="preserve">9. </w:t>
      </w:r>
      <w:r>
        <w:rPr>
          <w:rFonts w:hint="eastAsia" w:ascii="宋体" w:hAnsi="宋体" w:eastAsia="宋体" w:cs="宋体"/>
          <w:color w:val="auto"/>
          <w:sz w:val="28"/>
          <w:szCs w:val="28"/>
          <w:highlight w:val="none"/>
        </w:rPr>
        <w:t>是否采用电子招标投标</w:t>
      </w:r>
      <w:bookmarkEnd w:id="780"/>
      <w:bookmarkEnd w:id="781"/>
      <w:bookmarkEnd w:id="782"/>
      <w:bookmarkEnd w:id="783"/>
      <w:bookmarkEnd w:id="784"/>
      <w:bookmarkEnd w:id="785"/>
      <w:bookmarkEnd w:id="786"/>
      <w:bookmarkEnd w:id="787"/>
      <w:bookmarkEnd w:id="788"/>
      <w:bookmarkEnd w:id="789"/>
      <w:bookmarkEnd w:id="790"/>
    </w:p>
    <w:p w14:paraId="36043AE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本招标项目是否采用电子招标投标方式，见投标人须知前附表。</w:t>
      </w:r>
    </w:p>
    <w:p w14:paraId="022EF30C">
      <w:pPr>
        <w:pStyle w:val="4"/>
        <w:spacing w:line="360" w:lineRule="auto"/>
        <w:rPr>
          <w:rFonts w:ascii="宋体" w:hAnsi="宋体" w:eastAsia="宋体" w:cs="宋体"/>
          <w:color w:val="auto"/>
          <w:sz w:val="28"/>
          <w:szCs w:val="28"/>
          <w:highlight w:val="none"/>
        </w:rPr>
      </w:pPr>
      <w:bookmarkStart w:id="791" w:name="_Toc9413"/>
      <w:bookmarkStart w:id="792" w:name="_Toc21221"/>
      <w:bookmarkStart w:id="793" w:name="_Toc1446"/>
      <w:bookmarkStart w:id="794" w:name="_Toc21107"/>
      <w:bookmarkStart w:id="795" w:name="_Toc21051"/>
      <w:bookmarkStart w:id="796" w:name="_Toc30975"/>
      <w:bookmarkStart w:id="797" w:name="_Toc17964"/>
      <w:bookmarkStart w:id="798" w:name="_Toc12439"/>
      <w:bookmarkStart w:id="799" w:name="_Toc14161"/>
      <w:bookmarkStart w:id="800" w:name="_Toc492300619"/>
      <w:r>
        <w:rPr>
          <w:rFonts w:ascii="宋体" w:hAnsi="宋体" w:eastAsia="宋体" w:cs="宋体"/>
          <w:color w:val="auto"/>
          <w:sz w:val="28"/>
          <w:szCs w:val="28"/>
          <w:highlight w:val="none"/>
        </w:rPr>
        <w:t xml:space="preserve">10. </w:t>
      </w:r>
      <w:r>
        <w:rPr>
          <w:rFonts w:hint="eastAsia" w:ascii="宋体" w:hAnsi="宋体" w:eastAsia="宋体" w:cs="宋体"/>
          <w:color w:val="auto"/>
          <w:sz w:val="28"/>
          <w:szCs w:val="28"/>
          <w:highlight w:val="none"/>
        </w:rPr>
        <w:t>需要补充的其他内容</w:t>
      </w:r>
      <w:bookmarkEnd w:id="791"/>
      <w:bookmarkEnd w:id="792"/>
      <w:bookmarkEnd w:id="793"/>
      <w:bookmarkEnd w:id="794"/>
      <w:bookmarkEnd w:id="795"/>
      <w:bookmarkEnd w:id="796"/>
      <w:bookmarkEnd w:id="797"/>
      <w:bookmarkEnd w:id="798"/>
      <w:bookmarkEnd w:id="799"/>
      <w:bookmarkEnd w:id="800"/>
    </w:p>
    <w:p w14:paraId="221D8C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需要补充的其他内容：见投标人须知前附表。</w:t>
      </w:r>
    </w:p>
    <w:p w14:paraId="441136BC">
      <w:pPr>
        <w:pStyle w:val="4"/>
        <w:keepNext w:val="0"/>
        <w:keepLines w:val="0"/>
        <w:spacing w:before="0" w:after="0" w:line="460" w:lineRule="exact"/>
        <w:rPr>
          <w:rFonts w:ascii="Times New Roman" w:hAnsi="Times New Roman"/>
          <w:color w:val="auto"/>
          <w:sz w:val="24"/>
          <w:szCs w:val="24"/>
          <w:highlight w:val="none"/>
        </w:rPr>
      </w:pPr>
    </w:p>
    <w:bookmarkEnd w:id="22"/>
    <w:bookmarkEnd w:id="23"/>
    <w:bookmarkEnd w:id="24"/>
    <w:bookmarkEnd w:id="25"/>
    <w:p w14:paraId="1DCE270F">
      <w:pPr>
        <w:rPr>
          <w:rFonts w:ascii="Times New Roman" w:hAnsi="Times New Roman"/>
          <w:color w:val="auto"/>
          <w:highlight w:val="none"/>
        </w:rPr>
      </w:pPr>
    </w:p>
    <w:p w14:paraId="292A4190">
      <w:pPr>
        <w:pStyle w:val="5"/>
        <w:keepNext w:val="0"/>
        <w:keepLines w:val="0"/>
        <w:ind w:firstLine="137"/>
        <w:rPr>
          <w:rFonts w:ascii="Times New Roman" w:hAnsi="Times New Roman"/>
          <w:color w:val="auto"/>
          <w:highlight w:val="none"/>
        </w:rPr>
      </w:pPr>
      <w:bookmarkStart w:id="801" w:name="_Toc527028503"/>
      <w:r>
        <w:rPr>
          <w:rFonts w:ascii="Times New Roman" w:hAnsi="Times New Roman"/>
          <w:color w:val="auto"/>
          <w:highlight w:val="none"/>
        </w:rPr>
        <w:br w:type="page"/>
      </w:r>
      <w:bookmarkStart w:id="802" w:name="_Toc23876"/>
      <w:bookmarkStart w:id="803" w:name="_Toc15566"/>
      <w:bookmarkStart w:id="804" w:name="_Toc31167"/>
      <w:bookmarkStart w:id="805" w:name="_Toc13243"/>
      <w:r>
        <w:rPr>
          <w:rFonts w:ascii="Times New Roman" w:hAnsi="Times New Roman"/>
          <w:color w:val="auto"/>
          <w:highlight w:val="none"/>
        </w:rPr>
        <w:t>附件一：开标记录表</w:t>
      </w:r>
      <w:bookmarkEnd w:id="801"/>
      <w:r>
        <w:rPr>
          <w:rFonts w:hint="eastAsia" w:ascii="Times New Roman" w:hAnsi="Times New Roman"/>
          <w:color w:val="auto"/>
          <w:highlight w:val="none"/>
        </w:rPr>
        <w:t>（按</w:t>
      </w:r>
      <w:r>
        <w:rPr>
          <w:rFonts w:hint="eastAsia" w:ascii="Times New Roman" w:hAnsi="Times New Roman"/>
          <w:color w:val="auto"/>
          <w:highlight w:val="none"/>
          <w:lang w:eastAsia="zh-CN"/>
        </w:rPr>
        <w:t>广州交易集团有限公司（广州公共资源交易中心）</w:t>
      </w:r>
      <w:r>
        <w:rPr>
          <w:rFonts w:hint="eastAsia" w:ascii="Times New Roman" w:hAnsi="Times New Roman"/>
          <w:color w:val="auto"/>
          <w:highlight w:val="none"/>
        </w:rPr>
        <w:t>开标记录表格式）</w:t>
      </w:r>
      <w:bookmarkEnd w:id="802"/>
      <w:bookmarkEnd w:id="803"/>
      <w:bookmarkEnd w:id="804"/>
      <w:bookmarkEnd w:id="805"/>
    </w:p>
    <w:p w14:paraId="320DD047">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开标记录表</w:t>
      </w:r>
    </w:p>
    <w:tbl>
      <w:tblPr>
        <w:tblStyle w:val="16"/>
        <w:tblW w:w="9243" w:type="dxa"/>
        <w:tblInd w:w="0" w:type="dxa"/>
        <w:tblLayout w:type="fixed"/>
        <w:tblCellMar>
          <w:top w:w="0" w:type="dxa"/>
          <w:left w:w="108" w:type="dxa"/>
          <w:bottom w:w="0" w:type="dxa"/>
          <w:right w:w="108" w:type="dxa"/>
        </w:tblCellMar>
      </w:tblPr>
      <w:tblGrid>
        <w:gridCol w:w="467"/>
        <w:gridCol w:w="602"/>
        <w:gridCol w:w="736"/>
        <w:gridCol w:w="860"/>
        <w:gridCol w:w="782"/>
        <w:gridCol w:w="1039"/>
        <w:gridCol w:w="847"/>
        <w:gridCol w:w="1080"/>
        <w:gridCol w:w="1246"/>
        <w:gridCol w:w="471"/>
        <w:gridCol w:w="1113"/>
      </w:tblGrid>
      <w:tr w14:paraId="1ECEB54F">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63261A7C">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序号</w:t>
            </w:r>
          </w:p>
        </w:tc>
        <w:tc>
          <w:tcPr>
            <w:tcW w:w="602" w:type="dxa"/>
            <w:tcBorders>
              <w:top w:val="single" w:color="auto" w:sz="4" w:space="0"/>
              <w:left w:val="single" w:color="auto" w:sz="4" w:space="0"/>
              <w:bottom w:val="single" w:color="auto" w:sz="4" w:space="0"/>
              <w:right w:val="single" w:color="auto" w:sz="4" w:space="0"/>
            </w:tcBorders>
            <w:vAlign w:val="center"/>
          </w:tcPr>
          <w:p w14:paraId="11BE4782">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投标人</w:t>
            </w:r>
          </w:p>
        </w:tc>
        <w:tc>
          <w:tcPr>
            <w:tcW w:w="736" w:type="dxa"/>
            <w:tcBorders>
              <w:top w:val="single" w:color="auto" w:sz="4" w:space="0"/>
              <w:left w:val="single" w:color="auto" w:sz="4" w:space="0"/>
              <w:bottom w:val="single" w:color="auto" w:sz="4" w:space="0"/>
              <w:right w:val="single" w:color="auto" w:sz="4" w:space="0"/>
            </w:tcBorders>
            <w:vAlign w:val="center"/>
          </w:tcPr>
          <w:p w14:paraId="17B0A95C">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密封情况</w:t>
            </w:r>
          </w:p>
        </w:tc>
        <w:tc>
          <w:tcPr>
            <w:tcW w:w="860" w:type="dxa"/>
            <w:tcBorders>
              <w:top w:val="single" w:color="auto" w:sz="4" w:space="0"/>
              <w:left w:val="single" w:color="auto" w:sz="4" w:space="0"/>
              <w:bottom w:val="single" w:color="auto" w:sz="4" w:space="0"/>
              <w:right w:val="single" w:color="auto" w:sz="4" w:space="0"/>
            </w:tcBorders>
            <w:vAlign w:val="center"/>
          </w:tcPr>
          <w:p w14:paraId="3FB4E98B">
            <w:pPr>
              <w:spacing w:line="360" w:lineRule="auto"/>
              <w:jc w:val="center"/>
              <w:rPr>
                <w:rFonts w:ascii="Times New Roman" w:hAnsi="Times New Roman"/>
                <w:color w:val="auto"/>
                <w:sz w:val="18"/>
                <w:highlight w:val="none"/>
              </w:rPr>
            </w:pPr>
            <w:r>
              <w:rPr>
                <w:rFonts w:hint="eastAsia" w:ascii="Times New Roman" w:hAnsi="Times New Roman"/>
                <w:strike/>
                <w:dstrike w:val="0"/>
                <w:color w:val="auto"/>
                <w:sz w:val="18"/>
                <w:highlight w:val="none"/>
              </w:rPr>
              <w:t>投标保证金</w:t>
            </w:r>
          </w:p>
        </w:tc>
        <w:tc>
          <w:tcPr>
            <w:tcW w:w="782" w:type="dxa"/>
            <w:tcBorders>
              <w:top w:val="single" w:color="auto" w:sz="4" w:space="0"/>
              <w:left w:val="single" w:color="auto" w:sz="4" w:space="0"/>
              <w:bottom w:val="single" w:color="auto" w:sz="4" w:space="0"/>
              <w:right w:val="single" w:color="auto" w:sz="4" w:space="0"/>
            </w:tcBorders>
            <w:vAlign w:val="center"/>
          </w:tcPr>
          <w:p w14:paraId="3CDEDAB8">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投标报价</w:t>
            </w:r>
          </w:p>
          <w:p w14:paraId="05F8A54D">
            <w:pPr>
              <w:spacing w:line="360" w:lineRule="auto"/>
              <w:jc w:val="center"/>
              <w:rPr>
                <w:rFonts w:ascii="Times New Roman" w:hAnsi="Times New Roman"/>
                <w:color w:val="auto"/>
                <w:sz w:val="18"/>
                <w:highlight w:val="none"/>
                <w:u w:val="single"/>
              </w:rPr>
            </w:pPr>
            <w:r>
              <w:rPr>
                <w:rFonts w:hint="eastAsia" w:ascii="Times New Roman" w:hAnsi="Times New Roman"/>
                <w:color w:val="auto"/>
                <w:sz w:val="18"/>
                <w:highlight w:val="none"/>
                <w:u w:val="single"/>
              </w:rPr>
              <w:t>（元）</w:t>
            </w:r>
          </w:p>
        </w:tc>
        <w:tc>
          <w:tcPr>
            <w:tcW w:w="1039" w:type="dxa"/>
            <w:tcBorders>
              <w:top w:val="single" w:color="auto" w:sz="4" w:space="0"/>
              <w:left w:val="single" w:color="auto" w:sz="4" w:space="0"/>
              <w:bottom w:val="single" w:color="auto" w:sz="4" w:space="0"/>
              <w:right w:val="single" w:color="auto" w:sz="4" w:space="0"/>
            </w:tcBorders>
            <w:vAlign w:val="center"/>
          </w:tcPr>
          <w:p w14:paraId="7ED2DD50">
            <w:pPr>
              <w:spacing w:line="360" w:lineRule="auto"/>
              <w:jc w:val="center"/>
              <w:rPr>
                <w:rFonts w:ascii="Times New Roman" w:hAnsi="Times New Roman"/>
                <w:b/>
                <w:color w:val="auto"/>
                <w:sz w:val="18"/>
                <w:highlight w:val="none"/>
              </w:rPr>
            </w:pPr>
            <w:r>
              <w:rPr>
                <w:rFonts w:hint="eastAsia" w:ascii="Times New Roman" w:hAnsi="Times New Roman"/>
                <w:bCs/>
                <w:color w:val="auto"/>
                <w:sz w:val="18"/>
                <w:highlight w:val="none"/>
              </w:rPr>
              <w:t>监理服务期限</w:t>
            </w:r>
          </w:p>
        </w:tc>
        <w:tc>
          <w:tcPr>
            <w:tcW w:w="847" w:type="dxa"/>
            <w:tcBorders>
              <w:top w:val="single" w:color="auto" w:sz="4" w:space="0"/>
              <w:left w:val="single" w:color="auto" w:sz="4" w:space="0"/>
              <w:bottom w:val="single" w:color="auto" w:sz="4" w:space="0"/>
              <w:right w:val="single" w:color="auto" w:sz="4" w:space="0"/>
            </w:tcBorders>
            <w:vAlign w:val="center"/>
          </w:tcPr>
          <w:p w14:paraId="0564BA0E">
            <w:pPr>
              <w:spacing w:line="360" w:lineRule="auto"/>
              <w:jc w:val="center"/>
              <w:rPr>
                <w:rFonts w:hint="default" w:ascii="Times New Roman" w:hAnsi="Times New Roman" w:eastAsia="宋体"/>
                <w:color w:val="auto"/>
                <w:sz w:val="18"/>
                <w:highlight w:val="none"/>
                <w:lang w:val="en-US" w:eastAsia="zh-CN"/>
              </w:rPr>
            </w:pPr>
            <w:r>
              <w:rPr>
                <w:rFonts w:hint="eastAsia" w:ascii="Times New Roman" w:hAnsi="Times New Roman"/>
                <w:color w:val="auto"/>
                <w:sz w:val="18"/>
                <w:highlight w:val="none"/>
                <w:lang w:val="en-US" w:eastAsia="zh-CN"/>
              </w:rPr>
              <w:t>总监理工程师</w:t>
            </w:r>
          </w:p>
        </w:tc>
        <w:tc>
          <w:tcPr>
            <w:tcW w:w="1080" w:type="dxa"/>
            <w:tcBorders>
              <w:top w:val="single" w:color="auto" w:sz="4" w:space="0"/>
              <w:left w:val="single" w:color="auto" w:sz="4" w:space="0"/>
              <w:bottom w:val="single" w:color="auto" w:sz="4" w:space="0"/>
              <w:right w:val="single" w:color="auto" w:sz="4" w:space="0"/>
            </w:tcBorders>
            <w:vAlign w:val="center"/>
          </w:tcPr>
          <w:p w14:paraId="372E804E">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投标文件递交情况</w:t>
            </w:r>
          </w:p>
        </w:tc>
        <w:tc>
          <w:tcPr>
            <w:tcW w:w="1246" w:type="dxa"/>
            <w:tcBorders>
              <w:top w:val="single" w:color="auto" w:sz="4" w:space="0"/>
              <w:left w:val="single" w:color="auto" w:sz="4" w:space="0"/>
              <w:bottom w:val="single" w:color="auto" w:sz="4" w:space="0"/>
              <w:right w:val="single" w:color="auto" w:sz="4" w:space="0"/>
            </w:tcBorders>
            <w:vAlign w:val="center"/>
          </w:tcPr>
          <w:p w14:paraId="6E84B52A">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投标文件解密情况</w:t>
            </w:r>
          </w:p>
        </w:tc>
        <w:tc>
          <w:tcPr>
            <w:tcW w:w="471" w:type="dxa"/>
            <w:tcBorders>
              <w:top w:val="single" w:color="auto" w:sz="4" w:space="0"/>
              <w:left w:val="single" w:color="auto" w:sz="4" w:space="0"/>
              <w:bottom w:val="single" w:color="auto" w:sz="4" w:space="0"/>
              <w:right w:val="single" w:color="auto" w:sz="4" w:space="0"/>
            </w:tcBorders>
            <w:vAlign w:val="center"/>
          </w:tcPr>
          <w:p w14:paraId="36162F3B">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备注</w:t>
            </w:r>
          </w:p>
        </w:tc>
        <w:tc>
          <w:tcPr>
            <w:tcW w:w="1113" w:type="dxa"/>
            <w:tcBorders>
              <w:top w:val="single" w:color="auto" w:sz="4" w:space="0"/>
              <w:left w:val="single" w:color="auto" w:sz="4" w:space="0"/>
              <w:bottom w:val="single" w:color="auto" w:sz="4" w:space="0"/>
              <w:right w:val="single" w:color="auto" w:sz="4" w:space="0"/>
            </w:tcBorders>
            <w:vAlign w:val="center"/>
          </w:tcPr>
          <w:p w14:paraId="2C0FA14B">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投标人代表签名</w:t>
            </w:r>
          </w:p>
        </w:tc>
      </w:tr>
      <w:tr w14:paraId="50D5E961">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69791255">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14:paraId="65DBCE32">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526D124">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38CC8EAF">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0E2BEADB">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14:paraId="7F7AE9FB">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1F033A58">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2E72E33">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6CA4363C">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14:paraId="2530C453">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3CF26933">
            <w:pPr>
              <w:spacing w:line="500" w:lineRule="exact"/>
              <w:jc w:val="center"/>
              <w:rPr>
                <w:rFonts w:ascii="Times New Roman" w:hAnsi="Times New Roman"/>
                <w:color w:val="auto"/>
                <w:highlight w:val="none"/>
              </w:rPr>
            </w:pPr>
          </w:p>
        </w:tc>
      </w:tr>
      <w:tr w14:paraId="25EA52BF">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08C3C716">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14:paraId="593777BA">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C9FB471">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23FB3F3">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7DE8D20D">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14:paraId="34384B06">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18688893">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FA4963D">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5CB84728">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14:paraId="12B08043">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440A4AFD">
            <w:pPr>
              <w:spacing w:line="500" w:lineRule="exact"/>
              <w:jc w:val="center"/>
              <w:rPr>
                <w:rFonts w:ascii="Times New Roman" w:hAnsi="Times New Roman"/>
                <w:color w:val="auto"/>
                <w:highlight w:val="none"/>
              </w:rPr>
            </w:pPr>
          </w:p>
        </w:tc>
      </w:tr>
      <w:tr w14:paraId="725897E0">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24693F57">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14:paraId="0A2F69D9">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6C6E0D5">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34C22D6">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674B1F89">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14:paraId="0750DF9B">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37064623">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6E0FF71">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374B9AF8">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14:paraId="4C8A570E">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4FEF318A">
            <w:pPr>
              <w:spacing w:line="500" w:lineRule="exact"/>
              <w:jc w:val="center"/>
              <w:rPr>
                <w:rFonts w:ascii="Times New Roman" w:hAnsi="Times New Roman"/>
                <w:color w:val="auto"/>
                <w:highlight w:val="none"/>
              </w:rPr>
            </w:pPr>
          </w:p>
        </w:tc>
      </w:tr>
      <w:tr w14:paraId="2A397D42">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4B9B2D3A">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14:paraId="109982FF">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185D1948">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BDCB708">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1E1162F4">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14:paraId="4F5A98EE">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2C50BE9F">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8E7B88F">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432B7B20">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14:paraId="07EEC80A">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06BC1B4C">
            <w:pPr>
              <w:spacing w:line="500" w:lineRule="exact"/>
              <w:jc w:val="center"/>
              <w:rPr>
                <w:rFonts w:ascii="Times New Roman" w:hAnsi="Times New Roman"/>
                <w:color w:val="auto"/>
                <w:highlight w:val="none"/>
              </w:rPr>
            </w:pPr>
          </w:p>
        </w:tc>
      </w:tr>
      <w:tr w14:paraId="56779EFC">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49341AE9">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14:paraId="34689A8D">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3F897766">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49D27744">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08020B44">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14:paraId="26BA9E75">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362634B5">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8ACAFA5">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21B1372B">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14:paraId="5123135C">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0FC612C5">
            <w:pPr>
              <w:spacing w:line="500" w:lineRule="exact"/>
              <w:jc w:val="center"/>
              <w:rPr>
                <w:rFonts w:ascii="Times New Roman" w:hAnsi="Times New Roman"/>
                <w:color w:val="auto"/>
                <w:highlight w:val="none"/>
              </w:rPr>
            </w:pPr>
          </w:p>
        </w:tc>
      </w:tr>
      <w:tr w14:paraId="2580A6C3">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6B5793EE">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14:paraId="477E76D2">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3887A73">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72B5AE5">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19DDEE8E">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14:paraId="10F5A193">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1B617A3B">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9EBA335">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7EC6458B">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14:paraId="72295F57">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00ED1E76">
            <w:pPr>
              <w:spacing w:line="500" w:lineRule="exact"/>
              <w:jc w:val="center"/>
              <w:rPr>
                <w:rFonts w:ascii="Times New Roman" w:hAnsi="Times New Roman"/>
                <w:color w:val="auto"/>
                <w:highlight w:val="none"/>
              </w:rPr>
            </w:pPr>
          </w:p>
        </w:tc>
      </w:tr>
      <w:tr w14:paraId="2D5C0242">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54FD2B32">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14:paraId="651F5F0C">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3215B713">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DD09966">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033C6C86">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14:paraId="68DB0112">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1D35EDA7">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51E203E">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0320EA1B">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14:paraId="3AF4CB5A">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59E96DC1">
            <w:pPr>
              <w:spacing w:line="500" w:lineRule="exact"/>
              <w:jc w:val="center"/>
              <w:rPr>
                <w:rFonts w:ascii="Times New Roman" w:hAnsi="Times New Roman"/>
                <w:color w:val="auto"/>
                <w:highlight w:val="none"/>
              </w:rPr>
            </w:pPr>
          </w:p>
        </w:tc>
      </w:tr>
      <w:tr w14:paraId="256CA84A">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3947B03C">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14:paraId="1054D57E">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9983DF4">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678AB01">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6EEBEB14">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14:paraId="62737F30">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30A360AC">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4600E45">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156FA8A1">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14:paraId="290FC1FA">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7620B6CE">
            <w:pPr>
              <w:spacing w:line="500" w:lineRule="exact"/>
              <w:jc w:val="center"/>
              <w:rPr>
                <w:rFonts w:ascii="Times New Roman" w:hAnsi="Times New Roman"/>
                <w:color w:val="auto"/>
                <w:highlight w:val="none"/>
              </w:rPr>
            </w:pPr>
          </w:p>
        </w:tc>
      </w:tr>
      <w:tr w14:paraId="04406AB1">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14:paraId="78A617AB">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14:paraId="0478E42A">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32D3D282">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42F8D542">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22376F27">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14:paraId="2C9166EF">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3014B170">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F1DA581">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11A983CF">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14:paraId="51CAD8B7">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5BD3300A">
            <w:pPr>
              <w:spacing w:line="500" w:lineRule="exact"/>
              <w:jc w:val="center"/>
              <w:rPr>
                <w:rFonts w:ascii="Times New Roman" w:hAnsi="Times New Roman"/>
                <w:color w:val="auto"/>
                <w:highlight w:val="none"/>
              </w:rPr>
            </w:pPr>
          </w:p>
        </w:tc>
      </w:tr>
      <w:tr w14:paraId="1B4C4E3A">
        <w:tblPrEx>
          <w:tblCellMar>
            <w:top w:w="0" w:type="dxa"/>
            <w:left w:w="108" w:type="dxa"/>
            <w:bottom w:w="0" w:type="dxa"/>
            <w:right w:w="108" w:type="dxa"/>
          </w:tblCellMar>
        </w:tblPrEx>
        <w:tc>
          <w:tcPr>
            <w:tcW w:w="1805" w:type="dxa"/>
            <w:gridSpan w:val="3"/>
            <w:tcBorders>
              <w:top w:val="single" w:color="auto" w:sz="4" w:space="0"/>
              <w:left w:val="single" w:color="auto" w:sz="4" w:space="0"/>
              <w:bottom w:val="single" w:color="auto" w:sz="4" w:space="0"/>
              <w:right w:val="single" w:color="auto" w:sz="4" w:space="0"/>
            </w:tcBorders>
            <w:vAlign w:val="center"/>
          </w:tcPr>
          <w:p w14:paraId="7CDBBC37">
            <w:pPr>
              <w:spacing w:line="500" w:lineRule="exact"/>
              <w:jc w:val="center"/>
              <w:rPr>
                <w:rFonts w:ascii="Times New Roman" w:hAnsi="Times New Roman"/>
                <w:color w:val="auto"/>
                <w:highlight w:val="none"/>
              </w:rPr>
            </w:pPr>
            <w:r>
              <w:rPr>
                <w:rFonts w:hint="eastAsia" w:ascii="Times New Roman" w:hAnsi="Times New Roman"/>
                <w:color w:val="auto"/>
                <w:highlight w:val="none"/>
              </w:rPr>
              <w:t>最高投标限价：</w:t>
            </w:r>
          </w:p>
        </w:tc>
        <w:tc>
          <w:tcPr>
            <w:tcW w:w="860" w:type="dxa"/>
            <w:tcBorders>
              <w:top w:val="single" w:color="auto" w:sz="4" w:space="0"/>
              <w:left w:val="single" w:color="auto" w:sz="4" w:space="0"/>
              <w:bottom w:val="single" w:color="auto" w:sz="4" w:space="0"/>
              <w:right w:val="single" w:color="auto" w:sz="4" w:space="0"/>
            </w:tcBorders>
          </w:tcPr>
          <w:p w14:paraId="0EF54F4B">
            <w:pPr>
              <w:spacing w:line="500" w:lineRule="exact"/>
              <w:jc w:val="center"/>
              <w:rPr>
                <w:rFonts w:ascii="Times New Roman" w:hAnsi="Times New Roman"/>
                <w:color w:val="auto"/>
                <w:highlight w:val="none"/>
              </w:rPr>
            </w:pPr>
          </w:p>
        </w:tc>
        <w:tc>
          <w:tcPr>
            <w:tcW w:w="6578" w:type="dxa"/>
            <w:gridSpan w:val="7"/>
            <w:tcBorders>
              <w:top w:val="single" w:color="auto" w:sz="4" w:space="0"/>
              <w:left w:val="single" w:color="auto" w:sz="4" w:space="0"/>
              <w:bottom w:val="single" w:color="auto" w:sz="4" w:space="0"/>
              <w:right w:val="single" w:color="auto" w:sz="4" w:space="0"/>
            </w:tcBorders>
            <w:vAlign w:val="center"/>
          </w:tcPr>
          <w:p w14:paraId="7F51E7C4">
            <w:pPr>
              <w:spacing w:line="500" w:lineRule="exact"/>
              <w:jc w:val="center"/>
              <w:rPr>
                <w:rFonts w:ascii="Times New Roman" w:hAnsi="Times New Roman"/>
                <w:color w:val="auto"/>
                <w:highlight w:val="none"/>
              </w:rPr>
            </w:pPr>
          </w:p>
        </w:tc>
      </w:tr>
    </w:tbl>
    <w:p w14:paraId="0A54F9A6">
      <w:pPr>
        <w:spacing w:before="120" w:beforeLines="50" w:after="120" w:afterLines="50" w:line="400" w:lineRule="exact"/>
        <w:ind w:right="420"/>
        <w:jc w:val="right"/>
        <w:rPr>
          <w:rFonts w:ascii="Times New Roman" w:hAnsi="Times New Roman"/>
          <w:color w:val="auto"/>
          <w:highlight w:val="none"/>
        </w:rPr>
      </w:pPr>
      <w:r>
        <w:rPr>
          <w:rFonts w:ascii="Times New Roman" w:hAnsi="Times New Roman"/>
          <w:color w:val="auto"/>
          <w:highlight w:val="none"/>
        </w:rPr>
        <w:t>开标时间：</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w:t>
      </w:r>
      <w:r>
        <w:rPr>
          <w:rFonts w:ascii="Times New Roman" w:hAnsi="Times New Roman"/>
          <w:color w:val="auto"/>
          <w:highlight w:val="none"/>
          <w:u w:val="single"/>
        </w:rPr>
        <w:t xml:space="preserve">         </w:t>
      </w:r>
      <w:r>
        <w:rPr>
          <w:rFonts w:ascii="Times New Roman" w:hAnsi="Times New Roman"/>
          <w:color w:val="auto"/>
          <w:highlight w:val="none"/>
        </w:rPr>
        <w:t>分</w:t>
      </w:r>
    </w:p>
    <w:p w14:paraId="69560D4B">
      <w:pPr>
        <w:spacing w:line="440" w:lineRule="exact"/>
        <w:rPr>
          <w:rFonts w:ascii="Times New Roman" w:hAnsi="Times New Roman"/>
          <w:color w:val="auto"/>
          <w:highlight w:val="none"/>
        </w:rPr>
      </w:pPr>
      <w:r>
        <w:rPr>
          <w:rFonts w:ascii="Times New Roman" w:hAnsi="Times New Roman"/>
          <w:color w:val="auto"/>
          <w:highlight w:val="none"/>
        </w:rPr>
        <w:t>　　　</w:t>
      </w:r>
    </w:p>
    <w:p w14:paraId="5ECF78A5">
      <w:pPr>
        <w:spacing w:line="620" w:lineRule="exact"/>
        <w:rPr>
          <w:rFonts w:ascii="Times New Roman" w:hAnsi="Times New Roman"/>
          <w:color w:val="auto"/>
          <w:highlight w:val="none"/>
        </w:rPr>
      </w:pPr>
      <w:r>
        <w:rPr>
          <w:rFonts w:ascii="Times New Roman" w:hAnsi="Times New Roman"/>
          <w:color w:val="auto"/>
          <w:highlight w:val="none"/>
        </w:rPr>
        <w:t>招标人代表：</w:t>
      </w:r>
      <w:r>
        <w:rPr>
          <w:rFonts w:ascii="Times New Roman" w:hAnsi="Times New Roman"/>
          <w:color w:val="auto"/>
          <w:highlight w:val="none"/>
          <w:u w:val="single"/>
        </w:rPr>
        <w:t xml:space="preserve">       </w:t>
      </w:r>
      <w:r>
        <w:rPr>
          <w:rFonts w:ascii="Times New Roman" w:hAnsi="Times New Roman"/>
          <w:color w:val="auto"/>
          <w:highlight w:val="none"/>
        </w:rPr>
        <w:t xml:space="preserve">        记录人：</w:t>
      </w:r>
      <w:r>
        <w:rPr>
          <w:rFonts w:ascii="Times New Roman" w:hAnsi="Times New Roman"/>
          <w:color w:val="auto"/>
          <w:highlight w:val="none"/>
          <w:u w:val="single"/>
        </w:rPr>
        <w:t xml:space="preserve">       </w:t>
      </w:r>
      <w:r>
        <w:rPr>
          <w:rFonts w:ascii="Times New Roman" w:hAnsi="Times New Roman"/>
          <w:color w:val="auto"/>
          <w:highlight w:val="none"/>
        </w:rPr>
        <w:t xml:space="preserve">       监标人：</w:t>
      </w:r>
      <w:r>
        <w:rPr>
          <w:rFonts w:ascii="Times New Roman" w:hAnsi="Times New Roman"/>
          <w:color w:val="auto"/>
          <w:highlight w:val="none"/>
          <w:u w:val="single"/>
        </w:rPr>
        <w:t xml:space="preserve">       </w:t>
      </w:r>
    </w:p>
    <w:p w14:paraId="78FCE99B">
      <w:pPr>
        <w:spacing w:line="620" w:lineRule="exact"/>
        <w:jc w:val="right"/>
        <w:rPr>
          <w:rFonts w:ascii="Times New Roman" w:hAnsi="Times New Roman"/>
          <w:color w:val="auto"/>
          <w:sz w:val="20"/>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07DCBDA9">
      <w:pPr>
        <w:spacing w:line="440" w:lineRule="exact"/>
        <w:rPr>
          <w:rFonts w:ascii="Times New Roman" w:hAnsi="Times New Roman"/>
          <w:color w:val="auto"/>
          <w:highlight w:val="none"/>
        </w:rPr>
      </w:pPr>
    </w:p>
    <w:p w14:paraId="282B4FC6">
      <w:pPr>
        <w:spacing w:line="440" w:lineRule="exact"/>
        <w:rPr>
          <w:rFonts w:ascii="Times New Roman" w:hAnsi="Times New Roman"/>
          <w:color w:val="auto"/>
          <w:highlight w:val="none"/>
        </w:rPr>
      </w:pPr>
    </w:p>
    <w:p w14:paraId="3449439F">
      <w:pPr>
        <w:spacing w:line="440" w:lineRule="exact"/>
        <w:rPr>
          <w:rFonts w:ascii="Times New Roman" w:hAnsi="Times New Roman"/>
          <w:color w:val="auto"/>
          <w:highlight w:val="none"/>
        </w:rPr>
      </w:pPr>
    </w:p>
    <w:p w14:paraId="0F9301B2">
      <w:pPr>
        <w:rPr>
          <w:rFonts w:ascii="Times New Roman" w:hAnsi="Times New Roman"/>
          <w:color w:val="auto"/>
          <w:highlight w:val="none"/>
        </w:rPr>
      </w:pPr>
      <w:bookmarkStart w:id="806" w:name="_Toc527028504"/>
      <w:bookmarkStart w:id="807" w:name="_Toc32614"/>
      <w:bookmarkStart w:id="808" w:name="_Toc29985"/>
      <w:bookmarkStart w:id="809" w:name="_Toc2916"/>
      <w:bookmarkStart w:id="810" w:name="_Toc14382"/>
      <w:r>
        <w:rPr>
          <w:rFonts w:ascii="Times New Roman" w:hAnsi="Times New Roman"/>
          <w:color w:val="auto"/>
          <w:highlight w:val="none"/>
        </w:rPr>
        <w:br w:type="page"/>
      </w:r>
    </w:p>
    <w:p w14:paraId="30704E8C">
      <w:pPr>
        <w:pStyle w:val="5"/>
        <w:keepNext w:val="0"/>
        <w:keepLines w:val="0"/>
        <w:ind w:firstLine="137"/>
        <w:rPr>
          <w:rFonts w:ascii="Times New Roman" w:hAnsi="Times New Roman"/>
          <w:color w:val="auto"/>
          <w:highlight w:val="none"/>
        </w:rPr>
      </w:pPr>
      <w:r>
        <w:rPr>
          <w:rFonts w:ascii="Times New Roman" w:hAnsi="Times New Roman"/>
          <w:color w:val="auto"/>
          <w:highlight w:val="none"/>
        </w:rPr>
        <w:t>附件二：问题澄清通知</w:t>
      </w:r>
      <w:bookmarkEnd w:id="806"/>
      <w:r>
        <w:rPr>
          <w:rFonts w:hint="eastAsia" w:hAnsi="黑体" w:cs="黑体"/>
          <w:color w:val="auto"/>
          <w:szCs w:val="28"/>
          <w:highlight w:val="none"/>
        </w:rPr>
        <w:t>（按</w:t>
      </w:r>
      <w:r>
        <w:rPr>
          <w:rFonts w:hint="eastAsia" w:hAnsi="黑体" w:cs="黑体"/>
          <w:color w:val="auto"/>
          <w:szCs w:val="28"/>
          <w:highlight w:val="none"/>
          <w:lang w:eastAsia="zh-CN"/>
        </w:rPr>
        <w:t>广州交易集团有限公司（广州公共资源交易中心）</w:t>
      </w:r>
      <w:r>
        <w:rPr>
          <w:rFonts w:hint="eastAsia" w:hAnsi="黑体" w:cs="黑体"/>
          <w:color w:val="auto"/>
          <w:szCs w:val="28"/>
          <w:highlight w:val="none"/>
        </w:rPr>
        <w:t>问题澄清通知格式）</w:t>
      </w:r>
      <w:bookmarkEnd w:id="807"/>
      <w:bookmarkEnd w:id="808"/>
      <w:bookmarkEnd w:id="809"/>
      <w:bookmarkEnd w:id="810"/>
    </w:p>
    <w:p w14:paraId="7C967F41">
      <w:pPr>
        <w:spacing w:line="440" w:lineRule="exact"/>
        <w:jc w:val="center"/>
        <w:rPr>
          <w:rFonts w:ascii="Times New Roman" w:hAnsi="Times New Roman"/>
          <w:color w:val="auto"/>
          <w:highlight w:val="none"/>
        </w:rPr>
      </w:pPr>
    </w:p>
    <w:p w14:paraId="73C64B30">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14:paraId="62EB6843">
      <w:pPr>
        <w:spacing w:line="440" w:lineRule="exact"/>
        <w:jc w:val="center"/>
        <w:rPr>
          <w:rFonts w:ascii="Times New Roman" w:hAnsi="Times New Roman"/>
          <w:color w:val="auto"/>
          <w:highlight w:val="none"/>
        </w:rPr>
      </w:pPr>
      <w:r>
        <w:rPr>
          <w:rFonts w:ascii="Times New Roman" w:hAnsi="Times New Roman"/>
          <w:color w:val="auto"/>
          <w:highlight w:val="none"/>
        </w:rPr>
        <w:t>（编号：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768B8503">
      <w:pPr>
        <w:spacing w:line="440" w:lineRule="exact"/>
        <w:rPr>
          <w:rFonts w:ascii="Times New Roman" w:hAnsi="Times New Roman"/>
          <w:color w:val="auto"/>
          <w:highlight w:val="none"/>
        </w:rPr>
      </w:pPr>
    </w:p>
    <w:p w14:paraId="122DDCF6">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（投标人名称）：</w:t>
      </w:r>
    </w:p>
    <w:p w14:paraId="34BFF1DB">
      <w:pPr>
        <w:spacing w:line="440" w:lineRule="exact"/>
        <w:rPr>
          <w:rFonts w:ascii="Times New Roman" w:hAnsi="Times New Roman"/>
          <w:color w:val="auto"/>
          <w:highlight w:val="none"/>
        </w:rPr>
      </w:pPr>
    </w:p>
    <w:p w14:paraId="315F0384">
      <w:pPr>
        <w:spacing w:line="440" w:lineRule="exact"/>
        <w:rPr>
          <w:rFonts w:ascii="Times New Roman" w:hAnsi="Times New Roman"/>
          <w:color w:val="auto"/>
          <w:highlight w:val="none"/>
        </w:rPr>
      </w:pPr>
      <w:r>
        <w:rPr>
          <w:rFonts w:ascii="Times New Roman" w:hAnsi="Times New Roman"/>
          <w:color w:val="auto"/>
          <w:highlight w:val="none"/>
        </w:rPr>
        <w:t>　　评标委员会对你方的投标文件进行了仔细的审查，现需你方对下列问题以书</w:t>
      </w:r>
      <w:bookmarkStart w:id="811" w:name="_Toc352691521"/>
      <w:bookmarkStart w:id="812" w:name="_Toc247514000"/>
      <w:bookmarkStart w:id="813" w:name="_Toc384308260"/>
      <w:bookmarkStart w:id="814" w:name="_Toc369531565"/>
      <w:bookmarkStart w:id="815" w:name="_Toc361508634"/>
      <w:bookmarkStart w:id="816" w:name="_Toc152045576"/>
      <w:bookmarkStart w:id="817" w:name="_Toc23050"/>
      <w:bookmarkStart w:id="818" w:name="_Toc247527601"/>
      <w:bookmarkStart w:id="819" w:name="_Toc144974544"/>
      <w:bookmarkStart w:id="820" w:name="_Toc300834996"/>
      <w:bookmarkStart w:id="821" w:name="_Toc152042352"/>
      <w:r>
        <w:rPr>
          <w:rFonts w:ascii="Times New Roman" w:hAnsi="Times New Roman"/>
          <w:color w:val="auto"/>
          <w:highlight w:val="none"/>
        </w:rPr>
        <w:t>面形式予以澄清、说明或补正：</w:t>
      </w:r>
    </w:p>
    <w:p w14:paraId="0F222D74">
      <w:pPr>
        <w:spacing w:line="440" w:lineRule="exact"/>
        <w:rPr>
          <w:rFonts w:ascii="Times New Roman" w:hAnsi="Times New Roman"/>
          <w:color w:val="auto"/>
          <w:highlight w:val="none"/>
        </w:rPr>
      </w:pPr>
      <w:r>
        <w:rPr>
          <w:rFonts w:ascii="Times New Roman" w:hAnsi="Times New Roman"/>
          <w:color w:val="auto"/>
          <w:highlight w:val="none"/>
        </w:rPr>
        <w:t>　　</w:t>
      </w:r>
    </w:p>
    <w:bookmarkEnd w:id="811"/>
    <w:bookmarkEnd w:id="812"/>
    <w:bookmarkEnd w:id="813"/>
    <w:bookmarkEnd w:id="814"/>
    <w:bookmarkEnd w:id="815"/>
    <w:bookmarkEnd w:id="816"/>
    <w:bookmarkEnd w:id="817"/>
    <w:bookmarkEnd w:id="818"/>
    <w:bookmarkEnd w:id="819"/>
    <w:bookmarkEnd w:id="820"/>
    <w:bookmarkEnd w:id="821"/>
    <w:p w14:paraId="26A9C54B">
      <w:pPr>
        <w:spacing w:line="440" w:lineRule="exact"/>
        <w:rPr>
          <w:rFonts w:ascii="Times New Roman" w:hAnsi="Times New Roman"/>
          <w:color w:val="auto"/>
          <w:highlight w:val="none"/>
        </w:rPr>
      </w:pPr>
      <w:r>
        <w:rPr>
          <w:rFonts w:ascii="Times New Roman" w:hAnsi="Times New Roman"/>
          <w:color w:val="auto"/>
          <w:highlight w:val="none"/>
        </w:rPr>
        <w:t xml:space="preserve">    1.</w:t>
      </w:r>
    </w:p>
    <w:p w14:paraId="0AFA4C64">
      <w:pPr>
        <w:spacing w:line="440" w:lineRule="exact"/>
        <w:rPr>
          <w:rFonts w:ascii="Times New Roman" w:hAnsi="Times New Roman"/>
          <w:color w:val="auto"/>
          <w:highlight w:val="none"/>
        </w:rPr>
      </w:pPr>
      <w:r>
        <w:rPr>
          <w:rFonts w:ascii="Times New Roman" w:hAnsi="Times New Roman"/>
          <w:color w:val="auto"/>
          <w:highlight w:val="none"/>
        </w:rPr>
        <w:t xml:space="preserve">    2.</w:t>
      </w:r>
    </w:p>
    <w:p w14:paraId="3FD10FC1">
      <w:pPr>
        <w:spacing w:line="440" w:lineRule="exact"/>
        <w:rPr>
          <w:rFonts w:ascii="Times New Roman" w:hAnsi="Times New Roman"/>
          <w:color w:val="auto"/>
          <w:highlight w:val="none"/>
        </w:rPr>
      </w:pPr>
      <w:r>
        <w:rPr>
          <w:rFonts w:ascii="Times New Roman" w:hAnsi="Times New Roman"/>
          <w:color w:val="auto"/>
          <w:highlight w:val="none"/>
        </w:rPr>
        <w:t xml:space="preserve">     ......   </w:t>
      </w:r>
    </w:p>
    <w:p w14:paraId="5B98C35B">
      <w:pPr>
        <w:spacing w:line="440" w:lineRule="exact"/>
        <w:rPr>
          <w:rFonts w:ascii="Times New Roman" w:hAnsi="Times New Roman"/>
          <w:color w:val="auto"/>
          <w:highlight w:val="none"/>
        </w:rPr>
      </w:pPr>
      <w:r>
        <w:rPr>
          <w:rFonts w:ascii="Times New Roman" w:hAnsi="Times New Roman"/>
          <w:color w:val="auto"/>
          <w:highlight w:val="none"/>
        </w:rPr>
        <w:t>　　　</w:t>
      </w:r>
    </w:p>
    <w:p w14:paraId="6CA36D72">
      <w:pPr>
        <w:spacing w:line="440" w:lineRule="exact"/>
        <w:ind w:firstLine="405"/>
        <w:rPr>
          <w:rFonts w:ascii="Times New Roman" w:hAnsi="Times New Roman"/>
          <w:color w:val="auto"/>
          <w:highlight w:val="none"/>
        </w:rPr>
      </w:pPr>
      <w:r>
        <w:rPr>
          <w:rFonts w:ascii="Times New Roman" w:hAnsi="Times New Roman"/>
          <w:color w:val="auto"/>
          <w:highlight w:val="none"/>
        </w:rPr>
        <w:t>请将上述问题的澄清、说明或补正于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时前递交至</w:t>
      </w:r>
      <w:bookmarkStart w:id="822" w:name="_Toc352691522"/>
      <w:bookmarkStart w:id="823" w:name="_Toc369531566"/>
      <w:bookmarkStart w:id="824" w:name="_Toc152042353"/>
      <w:bookmarkStart w:id="825" w:name="_Toc300834997"/>
      <w:bookmarkStart w:id="826" w:name="_Toc152045577"/>
      <w:bookmarkStart w:id="827" w:name="_Toc247527602"/>
      <w:bookmarkStart w:id="828" w:name="_Toc144974545"/>
      <w:bookmarkStart w:id="829" w:name="_Toc28385"/>
      <w:bookmarkStart w:id="830" w:name="_Toc361508635"/>
      <w:bookmarkStart w:id="831" w:name="_Toc247514001"/>
      <w:bookmarkStart w:id="832" w:name="_Toc384308261"/>
    </w:p>
    <w:p w14:paraId="598222E9">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（详细地址）或传真至</w:t>
      </w:r>
      <w:bookmarkEnd w:id="822"/>
      <w:bookmarkEnd w:id="823"/>
      <w:bookmarkEnd w:id="824"/>
      <w:bookmarkEnd w:id="825"/>
      <w:bookmarkEnd w:id="826"/>
      <w:bookmarkEnd w:id="827"/>
      <w:bookmarkEnd w:id="828"/>
      <w:bookmarkEnd w:id="829"/>
      <w:bookmarkEnd w:id="830"/>
      <w:bookmarkEnd w:id="831"/>
      <w:bookmarkEnd w:id="832"/>
      <w:r>
        <w:rPr>
          <w:rFonts w:ascii="Times New Roman" w:hAnsi="Times New Roman"/>
          <w:color w:val="auto"/>
          <w:highlight w:val="none"/>
          <w:u w:val="single"/>
        </w:rPr>
        <w:t xml:space="preserve">                     </w:t>
      </w:r>
      <w:r>
        <w:rPr>
          <w:rFonts w:ascii="Times New Roman" w:hAnsi="Times New Roman"/>
          <w:color w:val="auto"/>
          <w:highlight w:val="none"/>
        </w:rPr>
        <w:t>（传真号码）或通过下载招标文件的电子招标交易平台上传。采用传真方式的，应在</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p>
    <w:p w14:paraId="5586AF37">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时前将原件递交至</w:t>
      </w:r>
      <w:r>
        <w:rPr>
          <w:rFonts w:ascii="Times New Roman" w:hAnsi="Times New Roman"/>
          <w:color w:val="auto"/>
          <w:highlight w:val="none"/>
          <w:u w:val="single"/>
        </w:rPr>
        <w:t xml:space="preserve">                     </w:t>
      </w:r>
      <w:r>
        <w:rPr>
          <w:rFonts w:ascii="Times New Roman" w:hAnsi="Times New Roman"/>
          <w:color w:val="auto"/>
          <w:highlight w:val="none"/>
        </w:rPr>
        <w:t>（详细地址）。</w:t>
      </w:r>
    </w:p>
    <w:p w14:paraId="6790FC6C">
      <w:pPr>
        <w:spacing w:line="440" w:lineRule="exact"/>
        <w:rPr>
          <w:rFonts w:ascii="Times New Roman" w:hAnsi="Times New Roman"/>
          <w:color w:val="auto"/>
          <w:highlight w:val="none"/>
        </w:rPr>
      </w:pPr>
    </w:p>
    <w:p w14:paraId="175E8501">
      <w:pPr>
        <w:spacing w:line="440" w:lineRule="exact"/>
        <w:rPr>
          <w:rFonts w:ascii="Times New Roman" w:hAnsi="Times New Roman"/>
          <w:color w:val="auto"/>
          <w:highlight w:val="none"/>
        </w:rPr>
      </w:pPr>
    </w:p>
    <w:p w14:paraId="2F92EF5A">
      <w:pPr>
        <w:spacing w:line="440" w:lineRule="exact"/>
        <w:ind w:firstLine="2100" w:firstLineChars="1000"/>
        <w:rPr>
          <w:rFonts w:ascii="Times New Roman" w:hAnsi="Times New Roman"/>
          <w:color w:val="auto"/>
          <w:highlight w:val="none"/>
        </w:rPr>
      </w:pPr>
      <w:r>
        <w:rPr>
          <w:rFonts w:ascii="Times New Roman" w:hAnsi="Times New Roman"/>
          <w:color w:val="auto"/>
          <w:highlight w:val="none"/>
        </w:rPr>
        <w:t>评标委员会授权的招标人或招标代理机构：</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（签字或盖章）</w:t>
      </w:r>
      <w:bookmarkStart w:id="833" w:name="_Toc300834998"/>
      <w:bookmarkStart w:id="834" w:name="_Toc152045578"/>
      <w:bookmarkStart w:id="835" w:name="_Toc361508636"/>
      <w:bookmarkStart w:id="836" w:name="_Toc352691523"/>
      <w:bookmarkStart w:id="837" w:name="_Toc6580"/>
      <w:bookmarkStart w:id="838" w:name="_Toc247514002"/>
      <w:bookmarkStart w:id="839" w:name="_Toc152042354"/>
      <w:bookmarkStart w:id="840" w:name="_Toc247527603"/>
      <w:bookmarkStart w:id="841" w:name="_Toc384308262"/>
      <w:bookmarkStart w:id="842" w:name="_Toc369531567"/>
      <w:bookmarkStart w:id="843" w:name="_Toc144974546"/>
    </w:p>
    <w:bookmarkEnd w:id="833"/>
    <w:bookmarkEnd w:id="834"/>
    <w:bookmarkEnd w:id="835"/>
    <w:bookmarkEnd w:id="836"/>
    <w:bookmarkEnd w:id="837"/>
    <w:bookmarkEnd w:id="838"/>
    <w:bookmarkEnd w:id="839"/>
    <w:bookmarkEnd w:id="840"/>
    <w:bookmarkEnd w:id="841"/>
    <w:bookmarkEnd w:id="842"/>
    <w:p w14:paraId="0A3E0A56">
      <w:pPr>
        <w:spacing w:line="440" w:lineRule="exact"/>
        <w:rPr>
          <w:rFonts w:ascii="Times New Roman" w:hAnsi="Times New Roman"/>
          <w:color w:val="auto"/>
          <w:highlight w:val="none"/>
        </w:rPr>
      </w:pPr>
      <w:bookmarkStart w:id="844" w:name="_Toc152042355"/>
    </w:p>
    <w:p w14:paraId="1159DFA1">
      <w:pPr>
        <w:spacing w:line="440" w:lineRule="exact"/>
        <w:ind w:right="84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5D043110">
      <w:pPr>
        <w:pStyle w:val="5"/>
        <w:keepNext w:val="0"/>
        <w:keepLines w:val="0"/>
        <w:ind w:firstLine="0" w:firstLineChars="0"/>
        <w:rPr>
          <w:rFonts w:ascii="Times New Roman" w:hAnsi="Times New Roman"/>
          <w:color w:val="auto"/>
          <w:highlight w:val="none"/>
        </w:rPr>
      </w:pPr>
    </w:p>
    <w:p w14:paraId="2D1E99C2">
      <w:pPr>
        <w:rPr>
          <w:color w:val="auto"/>
          <w:highlight w:val="none"/>
        </w:rPr>
      </w:pPr>
    </w:p>
    <w:p w14:paraId="0F132EF0">
      <w:pPr>
        <w:pStyle w:val="5"/>
        <w:keepNext w:val="0"/>
        <w:keepLines w:val="0"/>
        <w:ind w:firstLine="0" w:firstLineChars="0"/>
        <w:rPr>
          <w:rFonts w:ascii="Times New Roman" w:hAnsi="Times New Roman"/>
          <w:color w:val="auto"/>
          <w:highlight w:val="none"/>
        </w:rPr>
      </w:pPr>
      <w:bookmarkStart w:id="845" w:name="_Toc527028505"/>
      <w:bookmarkStart w:id="846" w:name="_Toc2491"/>
      <w:bookmarkStart w:id="847" w:name="_Toc28028"/>
      <w:bookmarkStart w:id="848" w:name="_Toc31467"/>
      <w:bookmarkStart w:id="849" w:name="_Toc25219"/>
      <w:r>
        <w:rPr>
          <w:rFonts w:ascii="Times New Roman" w:hAnsi="Times New Roman"/>
          <w:color w:val="auto"/>
          <w:highlight w:val="none"/>
        </w:rPr>
        <w:t>附件三：问题的澄清</w:t>
      </w:r>
      <w:bookmarkEnd w:id="845"/>
      <w:r>
        <w:rPr>
          <w:rFonts w:hint="eastAsia" w:hAnsi="黑体" w:cs="黑体"/>
          <w:color w:val="auto"/>
          <w:szCs w:val="28"/>
          <w:highlight w:val="none"/>
        </w:rPr>
        <w:t>（按</w:t>
      </w:r>
      <w:r>
        <w:rPr>
          <w:rFonts w:hint="eastAsia" w:hAnsi="黑体" w:cs="黑体"/>
          <w:color w:val="auto"/>
          <w:szCs w:val="28"/>
          <w:highlight w:val="none"/>
          <w:lang w:eastAsia="zh-CN"/>
        </w:rPr>
        <w:t>广州交易集团有限公司（广州公共资源交易中心）</w:t>
      </w:r>
      <w:r>
        <w:rPr>
          <w:rFonts w:hint="eastAsia" w:hAnsi="黑体" w:cs="黑体"/>
          <w:color w:val="auto"/>
          <w:szCs w:val="28"/>
          <w:highlight w:val="none"/>
        </w:rPr>
        <w:t>问题澄清格式）</w:t>
      </w:r>
      <w:bookmarkEnd w:id="846"/>
      <w:bookmarkEnd w:id="847"/>
      <w:bookmarkEnd w:id="848"/>
      <w:bookmarkEnd w:id="849"/>
    </w:p>
    <w:p w14:paraId="61CF34AE">
      <w:pPr>
        <w:spacing w:line="400" w:lineRule="exact"/>
        <w:jc w:val="center"/>
        <w:rPr>
          <w:rFonts w:ascii="Times New Roman" w:hAnsi="Times New Roman" w:eastAsia="黑体"/>
          <w:color w:val="auto"/>
          <w:sz w:val="28"/>
          <w:highlight w:val="none"/>
        </w:rPr>
      </w:pPr>
    </w:p>
    <w:p w14:paraId="23AF48AF">
      <w:pP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w:t>
      </w:r>
      <w:bookmarkEnd w:id="844"/>
      <w:r>
        <w:rPr>
          <w:rFonts w:ascii="Times New Roman" w:hAnsi="Times New Roman" w:eastAsia="黑体"/>
          <w:color w:val="auto"/>
          <w:sz w:val="28"/>
          <w:highlight w:val="none"/>
        </w:rPr>
        <w:t>题</w:t>
      </w:r>
      <w:bookmarkStart w:id="850" w:name="_Toc3622"/>
      <w:bookmarkStart w:id="851" w:name="_Toc361508637"/>
      <w:bookmarkStart w:id="852" w:name="_Toc300834999"/>
      <w:bookmarkStart w:id="853" w:name="_Toc369531568"/>
      <w:bookmarkStart w:id="854" w:name="_Toc384308263"/>
      <w:bookmarkStart w:id="855" w:name="_Toc352691524"/>
      <w:bookmarkStart w:id="856" w:name="_Toc247527604"/>
      <w:bookmarkStart w:id="857" w:name="_Toc247514003"/>
      <w:bookmarkStart w:id="858" w:name="_Toc152045579"/>
      <w:bookmarkStart w:id="859" w:name="_Toc152042356"/>
      <w:r>
        <w:rPr>
          <w:rFonts w:ascii="Times New Roman" w:hAnsi="Times New Roman" w:eastAsia="黑体"/>
          <w:color w:val="auto"/>
          <w:sz w:val="28"/>
          <w:highlight w:val="none"/>
        </w:rPr>
        <w:t>的澄清</w:t>
      </w:r>
    </w:p>
    <w:p w14:paraId="0646FBB9">
      <w:pPr>
        <w:spacing w:line="400" w:lineRule="exact"/>
        <w:ind w:firstLine="3465" w:firstLineChars="1650"/>
        <w:rPr>
          <w:rFonts w:ascii="Times New Roman" w:hAnsi="Times New Roman"/>
          <w:color w:val="auto"/>
          <w:highlight w:val="none"/>
        </w:rPr>
      </w:pPr>
      <w:r>
        <w:rPr>
          <w:rFonts w:ascii="Times New Roman" w:hAnsi="Times New Roman"/>
          <w:color w:val="auto"/>
          <w:highlight w:val="none"/>
        </w:rPr>
        <w:t>（编号</w:t>
      </w:r>
      <w:bookmarkEnd w:id="843"/>
      <w:bookmarkEnd w:id="850"/>
      <w:bookmarkEnd w:id="851"/>
      <w:bookmarkEnd w:id="852"/>
      <w:bookmarkEnd w:id="853"/>
      <w:bookmarkEnd w:id="854"/>
      <w:bookmarkEnd w:id="855"/>
      <w:bookmarkEnd w:id="856"/>
      <w:bookmarkEnd w:id="857"/>
      <w:bookmarkEnd w:id="858"/>
      <w:bookmarkEnd w:id="859"/>
      <w:r>
        <w:rPr>
          <w:rFonts w:ascii="Times New Roman" w:hAnsi="Times New Roman"/>
          <w:color w:val="auto"/>
          <w:highlight w:val="none"/>
        </w:rPr>
        <w:t>：</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48FAB756">
      <w:pPr>
        <w:spacing w:line="400" w:lineRule="exact"/>
        <w:rPr>
          <w:rFonts w:ascii="Times New Roman" w:hAnsi="Times New Roman"/>
          <w:color w:val="auto"/>
          <w:highlight w:val="none"/>
        </w:rPr>
      </w:pPr>
    </w:p>
    <w:p w14:paraId="290CF1C0">
      <w:pPr>
        <w:spacing w:line="440" w:lineRule="exact"/>
        <w:rPr>
          <w:rFonts w:ascii="Times New Roman" w:hAnsi="Times New Roman"/>
          <w:color w:val="auto"/>
          <w:highlight w:val="none"/>
        </w:rPr>
      </w:pPr>
      <w:r>
        <w:rPr>
          <w:rFonts w:ascii="Times New Roman" w:hAnsi="Times New Roman"/>
          <w:color w:val="auto"/>
          <w:highlight w:val="none"/>
        </w:rPr>
        <w:t>评标委员会：</w:t>
      </w:r>
    </w:p>
    <w:p w14:paraId="7361D7EE">
      <w:pPr>
        <w:spacing w:line="440" w:lineRule="exact"/>
        <w:rPr>
          <w:rFonts w:ascii="Times New Roman" w:hAnsi="Times New Roman"/>
          <w:color w:val="auto"/>
          <w:highlight w:val="none"/>
        </w:rPr>
      </w:pPr>
    </w:p>
    <w:p w14:paraId="33A8DAB2">
      <w:pPr>
        <w:spacing w:line="440" w:lineRule="exact"/>
        <w:rPr>
          <w:rFonts w:ascii="Times New Roman" w:hAnsi="Times New Roman"/>
          <w:color w:val="auto"/>
          <w:highlight w:val="none"/>
        </w:rPr>
      </w:pPr>
      <w:r>
        <w:rPr>
          <w:rFonts w:ascii="Times New Roman" w:hAnsi="Times New Roman"/>
          <w:color w:val="auto"/>
          <w:highlight w:val="none"/>
        </w:rPr>
        <w:t>　　问题澄清通知（编号：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）已收悉，现澄清、说明或补正如下：</w:t>
      </w:r>
    </w:p>
    <w:p w14:paraId="3AA10143">
      <w:pPr>
        <w:spacing w:line="440" w:lineRule="exact"/>
        <w:rPr>
          <w:rFonts w:ascii="Times New Roman" w:hAnsi="Times New Roman"/>
          <w:color w:val="auto"/>
          <w:highlight w:val="none"/>
        </w:rPr>
      </w:pPr>
      <w:r>
        <w:rPr>
          <w:rFonts w:ascii="Times New Roman" w:hAnsi="Times New Roman"/>
          <w:color w:val="auto"/>
          <w:highlight w:val="none"/>
        </w:rPr>
        <w:t>　     1.</w:t>
      </w:r>
    </w:p>
    <w:p w14:paraId="2012558C">
      <w:pPr>
        <w:spacing w:line="440" w:lineRule="exact"/>
        <w:rPr>
          <w:rFonts w:ascii="Times New Roman" w:hAnsi="Times New Roman"/>
          <w:color w:val="auto"/>
          <w:highlight w:val="none"/>
        </w:rPr>
      </w:pPr>
      <w:r>
        <w:rPr>
          <w:rFonts w:ascii="Times New Roman" w:hAnsi="Times New Roman"/>
          <w:color w:val="auto"/>
          <w:highlight w:val="none"/>
        </w:rPr>
        <w:t>　     2.</w:t>
      </w:r>
    </w:p>
    <w:p w14:paraId="04862EA0">
      <w:pPr>
        <w:spacing w:line="440" w:lineRule="exact"/>
        <w:rPr>
          <w:rFonts w:ascii="Times New Roman" w:hAnsi="Times New Roman"/>
          <w:color w:val="auto"/>
          <w:highlight w:val="none"/>
        </w:rPr>
      </w:pPr>
      <w:r>
        <w:rPr>
          <w:rFonts w:ascii="Times New Roman" w:hAnsi="Times New Roman"/>
          <w:color w:val="auto"/>
          <w:highlight w:val="none"/>
        </w:rPr>
        <w:t>　    .....</w:t>
      </w:r>
    </w:p>
    <w:p w14:paraId="66F11653">
      <w:pPr>
        <w:spacing w:line="440" w:lineRule="exact"/>
        <w:rPr>
          <w:rFonts w:ascii="Times New Roman" w:hAnsi="Times New Roman"/>
          <w:color w:val="auto"/>
          <w:highlight w:val="none"/>
        </w:rPr>
      </w:pPr>
    </w:p>
    <w:p w14:paraId="256F6A46">
      <w:pPr>
        <w:spacing w:line="440" w:lineRule="exact"/>
        <w:rPr>
          <w:rFonts w:ascii="Times New Roman" w:hAnsi="Times New Roman"/>
          <w:color w:val="auto"/>
          <w:highlight w:val="none"/>
        </w:rPr>
      </w:pPr>
      <w:r>
        <w:rPr>
          <w:rFonts w:ascii="Times New Roman" w:hAnsi="Times New Roman"/>
          <w:color w:val="auto"/>
          <w:highlight w:val="none"/>
        </w:rPr>
        <w:t>　</w:t>
      </w:r>
    </w:p>
    <w:p w14:paraId="47CB3536">
      <w:pPr>
        <w:spacing w:line="440" w:lineRule="exact"/>
        <w:rPr>
          <w:rFonts w:ascii="Times New Roman" w:hAnsi="Times New Roman"/>
          <w:color w:val="auto"/>
          <w:highlight w:val="none"/>
        </w:rPr>
      </w:pPr>
    </w:p>
    <w:p w14:paraId="175A74D6">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上述问题澄清、说明或补正，不改变我方投标文件的实质性内容，构成我方投标文件的组成部分。</w:t>
      </w:r>
    </w:p>
    <w:p w14:paraId="7EBCB834">
      <w:pPr>
        <w:spacing w:line="440" w:lineRule="exact"/>
        <w:rPr>
          <w:rFonts w:ascii="Times New Roman" w:hAnsi="Times New Roman"/>
          <w:color w:val="auto"/>
          <w:highlight w:val="none"/>
        </w:rPr>
      </w:pPr>
    </w:p>
    <w:p w14:paraId="11619131">
      <w:pPr>
        <w:spacing w:line="440" w:lineRule="exact"/>
        <w:rPr>
          <w:rFonts w:ascii="Times New Roman" w:hAnsi="Times New Roman"/>
          <w:color w:val="auto"/>
          <w:highlight w:val="none"/>
        </w:rPr>
      </w:pPr>
    </w:p>
    <w:p w14:paraId="182370BD">
      <w:pPr>
        <w:spacing w:line="480" w:lineRule="auto"/>
        <w:rPr>
          <w:rFonts w:ascii="Times New Roman" w:hAnsi="Times New Roman"/>
          <w:color w:val="auto"/>
          <w:highlight w:val="none"/>
        </w:rPr>
      </w:pPr>
      <w:r>
        <w:rPr>
          <w:rFonts w:ascii="Times New Roman" w:hAnsi="Times New Roman"/>
          <w:color w:val="auto"/>
          <w:highlight w:val="none"/>
        </w:rPr>
        <w:t>　　　　　　　　　　　　　　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14:paraId="338BD9CD">
      <w:pPr>
        <w:spacing w:line="480" w:lineRule="auto"/>
        <w:ind w:firstLine="2835" w:firstLineChars="1350"/>
        <w:rPr>
          <w:rFonts w:ascii="Times New Roman" w:hAnsi="Times New Roman"/>
          <w:color w:val="auto"/>
          <w:highlight w:val="none"/>
        </w:rPr>
      </w:pPr>
      <w:r>
        <w:rPr>
          <w:rFonts w:hint="eastAsia" w:ascii="Times New Roman" w:hAnsi="Times New Roman"/>
          <w:color w:val="auto"/>
          <w:highlight w:val="none"/>
        </w:rPr>
        <w:t xml:space="preserve"> </w:t>
      </w:r>
      <w:r>
        <w:rPr>
          <w:rFonts w:ascii="Times New Roman" w:hAnsi="Times New Roman"/>
          <w:color w:val="auto"/>
          <w:highlight w:val="none"/>
        </w:rPr>
        <w:t>法定代表人或其委托代理人：</w:t>
      </w:r>
      <w:r>
        <w:rPr>
          <w:rFonts w:ascii="Times New Roman" w:hAnsi="Times New Roman"/>
          <w:color w:val="auto"/>
          <w:highlight w:val="none"/>
          <w:u w:val="single"/>
        </w:rPr>
        <w:t xml:space="preserve">        </w:t>
      </w:r>
      <w:r>
        <w:rPr>
          <w:rFonts w:ascii="Times New Roman" w:hAnsi="Times New Roman"/>
          <w:color w:val="auto"/>
          <w:highlight w:val="none"/>
        </w:rPr>
        <w:t>（签字）</w:t>
      </w:r>
    </w:p>
    <w:p w14:paraId="4CACB114">
      <w:pPr>
        <w:spacing w:line="440" w:lineRule="exact"/>
        <w:rPr>
          <w:rFonts w:ascii="Times New Roman" w:hAnsi="Times New Roman"/>
          <w:color w:val="auto"/>
          <w:highlight w:val="none"/>
        </w:rPr>
      </w:pPr>
      <w:r>
        <w:rPr>
          <w:rFonts w:ascii="Times New Roman" w:hAnsi="Times New Roman"/>
          <w:color w:val="auto"/>
          <w:highlight w:val="none"/>
        </w:rPr>
        <w:t>　　　　　　　　　　　　　　　</w:t>
      </w:r>
    </w:p>
    <w:p w14:paraId="6942A255">
      <w:pPr>
        <w:spacing w:line="440" w:lineRule="exact"/>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bookmarkStart w:id="860" w:name="_Toc15139"/>
      <w:bookmarkStart w:id="861" w:name="_Toc144974548"/>
      <w:bookmarkStart w:id="862" w:name="_Toc369531571"/>
      <w:bookmarkStart w:id="863" w:name="_Toc361508640"/>
      <w:bookmarkStart w:id="864" w:name="_Toc352691527"/>
      <w:bookmarkStart w:id="865" w:name="_Toc247527606"/>
      <w:bookmarkStart w:id="866" w:name="_Toc152042358"/>
      <w:bookmarkStart w:id="867" w:name="_Toc384308266"/>
      <w:bookmarkStart w:id="868" w:name="_Toc300835002"/>
      <w:bookmarkStart w:id="869" w:name="_Toc152045581"/>
      <w:bookmarkStart w:id="870" w:name="_Toc247514005"/>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bookmarkEnd w:id="860"/>
    <w:bookmarkEnd w:id="861"/>
    <w:bookmarkEnd w:id="862"/>
    <w:bookmarkEnd w:id="863"/>
    <w:bookmarkEnd w:id="864"/>
    <w:bookmarkEnd w:id="865"/>
    <w:bookmarkEnd w:id="866"/>
    <w:bookmarkEnd w:id="867"/>
    <w:bookmarkEnd w:id="868"/>
    <w:bookmarkEnd w:id="869"/>
    <w:bookmarkEnd w:id="870"/>
    <w:p w14:paraId="59F65378">
      <w:pPr>
        <w:pStyle w:val="5"/>
        <w:keepNext w:val="0"/>
        <w:keepLines w:val="0"/>
        <w:ind w:firstLine="137"/>
        <w:rPr>
          <w:rFonts w:ascii="Times New Roman" w:hAnsi="Times New Roman"/>
          <w:color w:val="auto"/>
          <w:highlight w:val="none"/>
        </w:rPr>
      </w:pPr>
      <w:r>
        <w:rPr>
          <w:rFonts w:ascii="Times New Roman" w:hAnsi="Times New Roman"/>
          <w:color w:val="auto"/>
          <w:highlight w:val="none"/>
        </w:rPr>
        <w:br w:type="page"/>
      </w:r>
      <w:bookmarkStart w:id="871" w:name="_Toc13944"/>
      <w:bookmarkStart w:id="872" w:name="_Toc26853"/>
      <w:bookmarkStart w:id="873" w:name="_Toc17609"/>
      <w:bookmarkStart w:id="874" w:name="_Toc17658"/>
      <w:bookmarkStart w:id="875" w:name="_Toc527028506"/>
      <w:r>
        <w:rPr>
          <w:rFonts w:ascii="Times New Roman" w:hAnsi="Times New Roman"/>
          <w:color w:val="auto"/>
          <w:highlight w:val="none"/>
        </w:rPr>
        <w:t>附件</w:t>
      </w:r>
      <w:r>
        <w:rPr>
          <w:rFonts w:hint="eastAsia" w:ascii="Times New Roman" w:hAnsi="Times New Roman"/>
          <w:color w:val="auto"/>
          <w:highlight w:val="none"/>
        </w:rPr>
        <w:t>四</w:t>
      </w:r>
      <w:r>
        <w:rPr>
          <w:rFonts w:ascii="Times New Roman" w:hAnsi="Times New Roman"/>
          <w:color w:val="auto"/>
          <w:highlight w:val="none"/>
        </w:rPr>
        <w:t>：确认通知</w:t>
      </w:r>
      <w:bookmarkEnd w:id="871"/>
      <w:bookmarkEnd w:id="872"/>
      <w:bookmarkEnd w:id="873"/>
      <w:bookmarkEnd w:id="874"/>
      <w:bookmarkEnd w:id="875"/>
    </w:p>
    <w:p w14:paraId="00A44B76">
      <w:pPr>
        <w:spacing w:line="400" w:lineRule="exact"/>
        <w:rPr>
          <w:rFonts w:ascii="Times New Roman" w:hAnsi="Times New Roman"/>
          <w:color w:val="auto"/>
          <w:highlight w:val="none"/>
        </w:rPr>
      </w:pPr>
    </w:p>
    <w:p w14:paraId="030037F1">
      <w:pP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确认通知</w:t>
      </w:r>
    </w:p>
    <w:p w14:paraId="51032592">
      <w:pPr>
        <w:spacing w:line="400" w:lineRule="exact"/>
        <w:rPr>
          <w:rFonts w:ascii="Times New Roman" w:hAnsi="Times New Roman"/>
          <w:color w:val="auto"/>
          <w:highlight w:val="none"/>
        </w:rPr>
      </w:pPr>
    </w:p>
    <w:p w14:paraId="539661F5">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（招标人名称）：</w:t>
      </w:r>
    </w:p>
    <w:p w14:paraId="719C9203">
      <w:pPr>
        <w:spacing w:line="440" w:lineRule="exact"/>
        <w:rPr>
          <w:rFonts w:ascii="Times New Roman" w:hAnsi="Times New Roman"/>
          <w:color w:val="auto"/>
          <w:highlight w:val="none"/>
        </w:rPr>
      </w:pPr>
      <w:r>
        <w:rPr>
          <w:rFonts w:ascii="Times New Roman" w:hAnsi="Times New Roman"/>
          <w:color w:val="auto"/>
          <w:highlight w:val="none"/>
        </w:rPr>
        <w:t>　　</w:t>
      </w:r>
    </w:p>
    <w:p w14:paraId="0642373D">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你方于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日发出的</w:t>
      </w:r>
      <w:r>
        <w:rPr>
          <w:rFonts w:ascii="Times New Roman" w:hAnsi="Times New Roman"/>
          <w:color w:val="auto"/>
          <w:highlight w:val="none"/>
          <w:u w:val="single"/>
        </w:rPr>
        <w:t xml:space="preserve">         </w:t>
      </w:r>
      <w:r>
        <w:rPr>
          <w:rFonts w:hint="eastAsia" w:ascii="Times New Roman" w:hAnsi="Times New Roman"/>
          <w:color w:val="auto"/>
          <w:highlight w:val="none"/>
        </w:rPr>
        <w:t>（项目名称）</w:t>
      </w:r>
      <w:r>
        <w:rPr>
          <w:rFonts w:ascii="Times New Roman" w:hAnsi="Times New Roman"/>
          <w:color w:val="auto"/>
          <w:highlight w:val="none"/>
        </w:rPr>
        <w:t>招标关于</w:t>
      </w:r>
      <w:r>
        <w:rPr>
          <w:rFonts w:ascii="Times New Roman" w:hAnsi="Times New Roman"/>
          <w:color w:val="auto"/>
          <w:highlight w:val="none"/>
          <w:u w:val="single"/>
        </w:rPr>
        <w:t>招标文件的澄清/修改</w:t>
      </w:r>
      <w:r>
        <w:rPr>
          <w:rFonts w:ascii="Times New Roman" w:hAnsi="Times New Roman"/>
          <w:color w:val="auto"/>
          <w:highlight w:val="none"/>
        </w:rPr>
        <w:t>的通知，我方已于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日收到。</w:t>
      </w:r>
    </w:p>
    <w:p w14:paraId="3985B5BC">
      <w:pPr>
        <w:spacing w:line="440" w:lineRule="exact"/>
        <w:rPr>
          <w:rFonts w:ascii="Times New Roman" w:hAnsi="Times New Roman"/>
          <w:color w:val="auto"/>
          <w:highlight w:val="none"/>
        </w:rPr>
      </w:pPr>
      <w:r>
        <w:rPr>
          <w:rFonts w:ascii="Times New Roman" w:hAnsi="Times New Roman"/>
          <w:color w:val="auto"/>
          <w:highlight w:val="none"/>
        </w:rPr>
        <w:t>　　特此确认。</w:t>
      </w:r>
    </w:p>
    <w:p w14:paraId="0BCB72C4">
      <w:pPr>
        <w:spacing w:line="440" w:lineRule="exact"/>
        <w:rPr>
          <w:rFonts w:ascii="Times New Roman" w:hAnsi="Times New Roman"/>
          <w:color w:val="auto"/>
          <w:highlight w:val="none"/>
        </w:rPr>
      </w:pPr>
    </w:p>
    <w:p w14:paraId="25ADA511">
      <w:pPr>
        <w:spacing w:line="440" w:lineRule="exact"/>
        <w:rPr>
          <w:rFonts w:ascii="Times New Roman" w:hAnsi="Times New Roman"/>
          <w:color w:val="auto"/>
          <w:highlight w:val="none"/>
        </w:rPr>
      </w:pPr>
    </w:p>
    <w:p w14:paraId="3A9BD338">
      <w:pPr>
        <w:spacing w:line="480" w:lineRule="auto"/>
        <w:ind w:firstLine="2415" w:firstLineChars="1150"/>
        <w:jc w:val="left"/>
        <w:rPr>
          <w:rFonts w:ascii="Times New Roman" w:hAnsi="Times New Roman"/>
          <w:color w:val="auto"/>
          <w:highlight w:val="none"/>
        </w:rPr>
      </w:pPr>
      <w:r>
        <w:rPr>
          <w:rFonts w:ascii="Times New Roman" w:hAnsi="Times New Roman"/>
          <w:color w:val="auto"/>
          <w:highlight w:val="none"/>
        </w:rPr>
        <w:t>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14:paraId="6A232029">
      <w:pPr>
        <w:spacing w:line="480" w:lineRule="auto"/>
        <w:ind w:firstLine="2415" w:firstLineChars="1150"/>
        <w:jc w:val="left"/>
        <w:rPr>
          <w:rFonts w:ascii="Times New Roman" w:hAnsi="Times New Roman"/>
          <w:color w:val="auto"/>
          <w:highlight w:val="none"/>
        </w:rPr>
      </w:pPr>
      <w:r>
        <w:rPr>
          <w:rFonts w:ascii="Times New Roman" w:hAnsi="Times New Roman"/>
          <w:color w:val="auto"/>
          <w:highlight w:val="none"/>
        </w:rPr>
        <w:t>法定代表人或委托代理人：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w:t>
      </w:r>
    </w:p>
    <w:p w14:paraId="3AC90BBA">
      <w:pPr>
        <w:spacing w:line="440" w:lineRule="exact"/>
        <w:rPr>
          <w:rFonts w:ascii="Times New Roman" w:hAnsi="Times New Roman"/>
          <w:color w:val="auto"/>
          <w:highlight w:val="none"/>
        </w:rPr>
      </w:pPr>
    </w:p>
    <w:p w14:paraId="335F91EE">
      <w:pPr>
        <w:spacing w:line="440" w:lineRule="exact"/>
        <w:ind w:firstLine="105" w:firstLineChars="5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2AD6E1BA">
      <w:pPr>
        <w:rPr>
          <w:rFonts w:ascii="Times New Roman" w:hAnsi="Times New Roman"/>
          <w:color w:val="auto"/>
          <w:highlight w:val="none"/>
        </w:rPr>
      </w:pPr>
    </w:p>
    <w:p w14:paraId="7D79C2DC">
      <w:pPr>
        <w:rPr>
          <w:color w:val="auto"/>
          <w:highlight w:val="none"/>
        </w:rPr>
      </w:pPr>
    </w:p>
    <w:p w14:paraId="43DB10A4">
      <w:pPr>
        <w:rPr>
          <w:color w:val="auto"/>
          <w:highlight w:val="none"/>
        </w:rPr>
      </w:pPr>
    </w:p>
    <w:p w14:paraId="3E4BBC6F">
      <w:pPr>
        <w:pStyle w:val="3"/>
        <w:keepNext w:val="0"/>
        <w:keepLines w:val="0"/>
        <w:spacing w:line="460" w:lineRule="exact"/>
        <w:jc w:val="center"/>
        <w:rPr>
          <w:color w:val="auto"/>
          <w:highlight w:val="none"/>
        </w:rPr>
      </w:pPr>
      <w:r>
        <w:rPr>
          <w:color w:val="auto"/>
          <w:highlight w:val="none"/>
        </w:rPr>
        <w:br w:type="page"/>
      </w:r>
      <w:bookmarkStart w:id="876" w:name="_Toc25283"/>
      <w:r>
        <w:rPr>
          <w:color w:val="auto"/>
          <w:highlight w:val="none"/>
        </w:rPr>
        <w:t>第三章</w:t>
      </w:r>
      <w:r>
        <w:rPr>
          <w:rFonts w:hint="eastAsia"/>
          <w:color w:val="auto"/>
          <w:highlight w:val="none"/>
          <w:lang w:val="en-US" w:eastAsia="zh-CN"/>
        </w:rPr>
        <w:t xml:space="preserve"> </w:t>
      </w:r>
      <w:r>
        <w:rPr>
          <w:color w:val="auto"/>
          <w:highlight w:val="none"/>
        </w:rPr>
        <w:t>评标办法（综合评估法）</w:t>
      </w:r>
      <w:bookmarkEnd w:id="876"/>
    </w:p>
    <w:p w14:paraId="477F3DA1">
      <w:pPr>
        <w:pStyle w:val="3"/>
        <w:keepNext w:val="0"/>
        <w:keepLines w:val="0"/>
        <w:spacing w:before="0" w:after="0" w:line="240" w:lineRule="auto"/>
        <w:jc w:val="center"/>
        <w:rPr>
          <w:color w:val="auto"/>
          <w:highlight w:val="none"/>
        </w:rPr>
      </w:pPr>
      <w:bookmarkStart w:id="877" w:name="_Toc15960"/>
      <w:bookmarkStart w:id="878" w:name="_Toc14731"/>
      <w:r>
        <w:rPr>
          <w:color w:val="auto"/>
          <w:highlight w:val="none"/>
        </w:rPr>
        <w:t>评标办法前附表</w:t>
      </w:r>
      <w:bookmarkEnd w:id="877"/>
      <w:bookmarkEnd w:id="878"/>
    </w:p>
    <w:tbl>
      <w:tblPr>
        <w:tblStyle w:val="1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89"/>
        <w:gridCol w:w="1098"/>
        <w:gridCol w:w="2132"/>
        <w:gridCol w:w="5252"/>
      </w:tblGrid>
      <w:tr w14:paraId="32D5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6B9E4C58">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条款号</w:t>
            </w:r>
          </w:p>
        </w:tc>
        <w:tc>
          <w:tcPr>
            <w:tcW w:w="2132" w:type="dxa"/>
            <w:vAlign w:val="center"/>
          </w:tcPr>
          <w:p w14:paraId="26EB9A3E">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评审因素</w:t>
            </w:r>
          </w:p>
        </w:tc>
        <w:tc>
          <w:tcPr>
            <w:tcW w:w="5252" w:type="dxa"/>
            <w:vAlign w:val="center"/>
          </w:tcPr>
          <w:p w14:paraId="1012D2D0">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评审标准</w:t>
            </w:r>
          </w:p>
        </w:tc>
      </w:tr>
      <w:tr w14:paraId="3241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0" w:type="dxa"/>
            <w:gridSpan w:val="2"/>
            <w:vAlign w:val="center"/>
          </w:tcPr>
          <w:p w14:paraId="4BC730D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1</w:t>
            </w:r>
          </w:p>
        </w:tc>
        <w:tc>
          <w:tcPr>
            <w:tcW w:w="1098" w:type="dxa"/>
            <w:vAlign w:val="center"/>
          </w:tcPr>
          <w:p w14:paraId="7A66D620">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评标方法</w:t>
            </w:r>
          </w:p>
        </w:tc>
        <w:tc>
          <w:tcPr>
            <w:tcW w:w="2132" w:type="dxa"/>
            <w:vAlign w:val="center"/>
          </w:tcPr>
          <w:p w14:paraId="61DD000D">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中标候选人排序方法</w:t>
            </w:r>
          </w:p>
        </w:tc>
        <w:tc>
          <w:tcPr>
            <w:tcW w:w="5252" w:type="dxa"/>
          </w:tcPr>
          <w:p w14:paraId="40483A78">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按总得分由高到低顺序推荐中标候选人，若两家或以上的投标人总得分相同时，则投标报价</w:t>
            </w:r>
            <w:r>
              <w:rPr>
                <w:rFonts w:hint="eastAsia" w:ascii="宋体" w:hAnsi="宋体"/>
                <w:color w:val="auto"/>
                <w:szCs w:val="21"/>
                <w:highlight w:val="none"/>
                <w:lang w:val="en-US" w:eastAsia="zh-CN"/>
              </w:rPr>
              <w:t>低</w:t>
            </w:r>
            <w:r>
              <w:rPr>
                <w:rFonts w:hint="eastAsia" w:ascii="宋体" w:hAnsi="宋体"/>
                <w:color w:val="auto"/>
                <w:szCs w:val="21"/>
                <w:highlight w:val="none"/>
              </w:rPr>
              <w:t>的排前；若投标人总得分和投标报价均相同，则监理大纲得分高的排前；若投标人总得分、投标报价和监理大纲得分均相同，则由评标委员会投票表决推荐排名优先的投标人。</w:t>
            </w:r>
          </w:p>
        </w:tc>
      </w:tr>
      <w:tr w14:paraId="7310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restart"/>
            <w:vAlign w:val="center"/>
          </w:tcPr>
          <w:p w14:paraId="29DF875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2.1.1</w:t>
            </w:r>
          </w:p>
        </w:tc>
        <w:tc>
          <w:tcPr>
            <w:tcW w:w="1098" w:type="dxa"/>
            <w:vMerge w:val="restart"/>
            <w:vAlign w:val="center"/>
          </w:tcPr>
          <w:p w14:paraId="34CEDB0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形式评审标准</w:t>
            </w:r>
          </w:p>
        </w:tc>
        <w:tc>
          <w:tcPr>
            <w:tcW w:w="2132" w:type="dxa"/>
            <w:vAlign w:val="center"/>
          </w:tcPr>
          <w:p w14:paraId="358D375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投标人名称</w:t>
            </w:r>
          </w:p>
        </w:tc>
        <w:tc>
          <w:tcPr>
            <w:tcW w:w="5252" w:type="dxa"/>
            <w:vAlign w:val="center"/>
          </w:tcPr>
          <w:p w14:paraId="7D5051EF">
            <w:pPr>
              <w:keepNext w:val="0"/>
              <w:keepLines w:val="0"/>
              <w:suppressLineNumbers w:val="0"/>
              <w:snapToGrid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rPr>
              <w:t>与营业执照（或事业单位法人证书）、资质证书一致</w:t>
            </w:r>
            <w:r>
              <w:rPr>
                <w:rFonts w:hint="eastAsia" w:ascii="宋体" w:hAnsi="宋体"/>
                <w:color w:val="auto"/>
                <w:szCs w:val="21"/>
                <w:highlight w:val="none"/>
                <w:lang w:eastAsia="zh-CN"/>
              </w:rPr>
              <w:t>。</w:t>
            </w:r>
          </w:p>
        </w:tc>
      </w:tr>
      <w:tr w14:paraId="703B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1969F738">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76EF3CE7">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2132" w:type="dxa"/>
            <w:vAlign w:val="center"/>
          </w:tcPr>
          <w:p w14:paraId="2262555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投标函</w:t>
            </w:r>
            <w:r>
              <w:rPr>
                <w:rFonts w:hint="eastAsia" w:ascii="宋体" w:hAnsi="宋体"/>
                <w:color w:val="auto"/>
                <w:szCs w:val="21"/>
                <w:highlight w:val="none"/>
              </w:rPr>
              <w:t>及投标函附录</w:t>
            </w:r>
            <w:r>
              <w:rPr>
                <w:rFonts w:hint="default" w:ascii="宋体" w:hAnsi="宋体"/>
                <w:color w:val="auto"/>
                <w:szCs w:val="21"/>
                <w:highlight w:val="none"/>
              </w:rPr>
              <w:t>签字盖章</w:t>
            </w:r>
          </w:p>
        </w:tc>
        <w:tc>
          <w:tcPr>
            <w:tcW w:w="5252" w:type="dxa"/>
            <w:vAlign w:val="center"/>
          </w:tcPr>
          <w:p w14:paraId="7D62FB4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有法定代表人或其委托代理人签字或加盖单位章。由法定代表人签字的，应附法定代表人身份证明，由代理人签字的，应附法定代表人身份证明</w:t>
            </w:r>
            <w:r>
              <w:rPr>
                <w:rFonts w:hint="eastAsia" w:ascii="宋体" w:hAnsi="宋体"/>
                <w:color w:val="auto"/>
                <w:szCs w:val="21"/>
                <w:highlight w:val="none"/>
                <w:lang w:val="en-US" w:eastAsia="zh-CN"/>
              </w:rPr>
              <w:t>及</w:t>
            </w:r>
            <w:r>
              <w:rPr>
                <w:rFonts w:hint="default" w:ascii="宋体" w:hAnsi="宋体"/>
                <w:color w:val="auto"/>
                <w:szCs w:val="21"/>
                <w:highlight w:val="none"/>
              </w:rPr>
              <w:t>授权委托书</w:t>
            </w:r>
            <w:r>
              <w:rPr>
                <w:rFonts w:hint="eastAsia" w:ascii="宋体" w:hAnsi="宋体"/>
                <w:color w:val="auto"/>
                <w:szCs w:val="21"/>
                <w:highlight w:val="none"/>
              </w:rPr>
              <w:t>。</w:t>
            </w:r>
          </w:p>
        </w:tc>
      </w:tr>
      <w:tr w14:paraId="549C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0" w:type="dxa"/>
            <w:gridSpan w:val="2"/>
            <w:vMerge w:val="continue"/>
            <w:vAlign w:val="center"/>
          </w:tcPr>
          <w:p w14:paraId="18AA112C">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074A442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2132" w:type="dxa"/>
            <w:vAlign w:val="center"/>
          </w:tcPr>
          <w:p w14:paraId="627D919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投标文件格式</w:t>
            </w:r>
          </w:p>
        </w:tc>
        <w:tc>
          <w:tcPr>
            <w:tcW w:w="5252" w:type="dxa"/>
            <w:vAlign w:val="center"/>
          </w:tcPr>
          <w:p w14:paraId="149D5CD5">
            <w:pPr>
              <w:keepNext w:val="0"/>
              <w:keepLines w:val="0"/>
              <w:suppressLineNumbers w:val="0"/>
              <w:snapToGrid w:val="0"/>
              <w:spacing w:before="0" w:beforeAutospacing="0" w:after="0" w:afterAutospacing="0"/>
              <w:ind w:left="0" w:right="0"/>
              <w:rPr>
                <w:rFonts w:hint="eastAsia" w:ascii="宋体" w:hAnsi="宋体" w:eastAsia="宋体"/>
                <w:color w:val="auto"/>
                <w:szCs w:val="21"/>
                <w:highlight w:val="none"/>
                <w:lang w:eastAsia="zh-CN"/>
              </w:rPr>
            </w:pPr>
            <w:r>
              <w:rPr>
                <w:rFonts w:hint="default" w:ascii="宋体" w:hAnsi="宋体"/>
                <w:color w:val="auto"/>
                <w:szCs w:val="21"/>
                <w:highlight w:val="none"/>
              </w:rPr>
              <w:t>《投标人声明》、《投标函及其附录》符合第六章“投标文件格式”的规定</w:t>
            </w:r>
            <w:r>
              <w:rPr>
                <w:rFonts w:hint="eastAsia" w:ascii="宋体" w:hAnsi="宋体"/>
                <w:color w:val="auto"/>
                <w:szCs w:val="21"/>
                <w:highlight w:val="none"/>
                <w:lang w:eastAsia="zh-CN"/>
              </w:rPr>
              <w:t>。</w:t>
            </w:r>
          </w:p>
        </w:tc>
      </w:tr>
      <w:tr w14:paraId="0FC7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5B6A00C1">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05CDD270">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2132" w:type="dxa"/>
            <w:vAlign w:val="center"/>
          </w:tcPr>
          <w:p w14:paraId="7CAC4C8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投标人机器码</w:t>
            </w:r>
          </w:p>
        </w:tc>
        <w:tc>
          <w:tcPr>
            <w:tcW w:w="5252" w:type="dxa"/>
            <w:vAlign w:val="center"/>
          </w:tcPr>
          <w:p w14:paraId="057FB99C">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投标人与</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其他投标人加密打包投标文件电脑机器特征码一致的(以</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评标系统的检索信息为准)将被否决。</w:t>
            </w:r>
          </w:p>
        </w:tc>
      </w:tr>
      <w:tr w14:paraId="3FA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5244B451">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49C3C3C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2132" w:type="dxa"/>
            <w:vAlign w:val="center"/>
          </w:tcPr>
          <w:p w14:paraId="4E02A37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备选投标方案</w:t>
            </w:r>
          </w:p>
        </w:tc>
        <w:tc>
          <w:tcPr>
            <w:tcW w:w="5252" w:type="dxa"/>
            <w:vAlign w:val="center"/>
          </w:tcPr>
          <w:p w14:paraId="4B8471D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不允许。</w:t>
            </w:r>
          </w:p>
        </w:tc>
      </w:tr>
      <w:tr w14:paraId="4B73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restart"/>
            <w:vAlign w:val="center"/>
          </w:tcPr>
          <w:p w14:paraId="38F0477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2.1.2</w:t>
            </w:r>
          </w:p>
        </w:tc>
        <w:tc>
          <w:tcPr>
            <w:tcW w:w="1098" w:type="dxa"/>
            <w:vMerge w:val="restart"/>
            <w:vAlign w:val="center"/>
          </w:tcPr>
          <w:p w14:paraId="654840CB">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xml:space="preserve">资格评审标准  </w:t>
            </w:r>
          </w:p>
        </w:tc>
        <w:tc>
          <w:tcPr>
            <w:tcW w:w="2132" w:type="dxa"/>
            <w:vAlign w:val="center"/>
          </w:tcPr>
          <w:p w14:paraId="7E911832">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营业执照（或事业单位法人证书）</w:t>
            </w:r>
          </w:p>
        </w:tc>
        <w:tc>
          <w:tcPr>
            <w:tcW w:w="5252" w:type="dxa"/>
            <w:vAlign w:val="center"/>
          </w:tcPr>
          <w:p w14:paraId="44C3A461">
            <w:pPr>
              <w:keepNext w:val="0"/>
              <w:keepLines w:val="0"/>
              <w:suppressLineNumbers w:val="0"/>
              <w:snapToGrid w:val="0"/>
              <w:spacing w:before="0" w:beforeAutospacing="0" w:after="0" w:afterAutospacing="0"/>
              <w:ind w:left="0" w:right="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持有事业单位登记管理部门核发的事业单位法人证书且在有效期内或工商行政（或市场监督）管理部门核发的企业法人营业执照且在有效期内</w:t>
            </w:r>
            <w:r>
              <w:rPr>
                <w:rFonts w:hint="eastAsia" w:ascii="宋体" w:hAnsi="宋体" w:cs="Times New Roman"/>
                <w:color w:val="auto"/>
                <w:szCs w:val="21"/>
                <w:highlight w:val="none"/>
                <w:lang w:eastAsia="zh-CN"/>
              </w:rPr>
              <w:t>。</w:t>
            </w:r>
          </w:p>
        </w:tc>
      </w:tr>
      <w:tr w14:paraId="7C89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64D75452">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2BD8BE2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2132" w:type="dxa"/>
            <w:vAlign w:val="center"/>
          </w:tcPr>
          <w:p w14:paraId="2F2CBC4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资质要求</w:t>
            </w:r>
          </w:p>
        </w:tc>
        <w:tc>
          <w:tcPr>
            <w:tcW w:w="5252" w:type="dxa"/>
            <w:vAlign w:val="center"/>
          </w:tcPr>
          <w:p w14:paraId="4616E1C4">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符合</w:t>
            </w:r>
            <w:r>
              <w:rPr>
                <w:rFonts w:hint="eastAsia" w:ascii="宋体" w:hAnsi="宋体"/>
                <w:color w:val="auto"/>
                <w:szCs w:val="21"/>
                <w:highlight w:val="none"/>
                <w:lang w:val="en-US" w:eastAsia="zh-CN"/>
              </w:rPr>
              <w:t>招标公告第3.1的要求</w:t>
            </w:r>
            <w:r>
              <w:rPr>
                <w:rFonts w:hint="eastAsia" w:ascii="宋体" w:hAnsi="宋体"/>
                <w:color w:val="auto"/>
                <w:szCs w:val="21"/>
                <w:highlight w:val="none"/>
              </w:rPr>
              <w:t>。</w:t>
            </w:r>
          </w:p>
        </w:tc>
      </w:tr>
      <w:tr w14:paraId="258D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0AB96F41">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0AF930C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2132" w:type="dxa"/>
            <w:vAlign w:val="center"/>
          </w:tcPr>
          <w:p w14:paraId="11C7F48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总监理工程师</w:t>
            </w:r>
          </w:p>
        </w:tc>
        <w:tc>
          <w:tcPr>
            <w:tcW w:w="5252" w:type="dxa"/>
            <w:vAlign w:val="center"/>
          </w:tcPr>
          <w:p w14:paraId="3F520EF3">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符合</w:t>
            </w:r>
            <w:r>
              <w:rPr>
                <w:rFonts w:hint="eastAsia" w:ascii="宋体" w:hAnsi="宋体"/>
                <w:color w:val="auto"/>
                <w:szCs w:val="21"/>
                <w:highlight w:val="none"/>
                <w:lang w:val="en-US" w:eastAsia="zh-CN"/>
              </w:rPr>
              <w:t>招标公告第3.2的要求</w:t>
            </w:r>
            <w:r>
              <w:rPr>
                <w:rFonts w:hint="eastAsia" w:ascii="宋体" w:hAnsi="宋体"/>
                <w:color w:val="auto"/>
                <w:szCs w:val="21"/>
                <w:highlight w:val="none"/>
              </w:rPr>
              <w:t>。</w:t>
            </w:r>
          </w:p>
        </w:tc>
      </w:tr>
      <w:tr w14:paraId="6C17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0" w:type="dxa"/>
            <w:gridSpan w:val="2"/>
            <w:vMerge w:val="continue"/>
            <w:vAlign w:val="center"/>
          </w:tcPr>
          <w:p w14:paraId="4C685074">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59940548">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2132" w:type="dxa"/>
            <w:vAlign w:val="center"/>
          </w:tcPr>
          <w:p w14:paraId="0ABD53F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其他要求</w:t>
            </w:r>
          </w:p>
        </w:tc>
        <w:tc>
          <w:tcPr>
            <w:tcW w:w="5252" w:type="dxa"/>
            <w:vAlign w:val="center"/>
          </w:tcPr>
          <w:p w14:paraId="76F70C7F">
            <w:pPr>
              <w:pStyle w:val="10"/>
              <w:keepNext w:val="0"/>
              <w:keepLines w:val="0"/>
              <w:suppressLineNumbers w:val="0"/>
              <w:spacing w:before="0" w:beforeAutospacing="0" w:after="0" w:afterAutospacing="0"/>
              <w:ind w:left="0" w:right="0"/>
              <w:rPr>
                <w:rFonts w:hint="default"/>
                <w:color w:val="auto"/>
                <w:highlight w:val="none"/>
              </w:rPr>
            </w:pPr>
            <w:r>
              <w:rPr>
                <w:rFonts w:hint="default" w:ascii="宋体" w:hAnsi="宋体"/>
                <w:color w:val="auto"/>
                <w:szCs w:val="21"/>
                <w:highlight w:val="none"/>
              </w:rPr>
              <w:t>符合</w:t>
            </w:r>
            <w:r>
              <w:rPr>
                <w:rFonts w:hint="eastAsia" w:ascii="宋体" w:hAnsi="宋体"/>
                <w:color w:val="auto"/>
                <w:szCs w:val="21"/>
                <w:highlight w:val="none"/>
                <w:lang w:val="en-US" w:eastAsia="zh-CN"/>
              </w:rPr>
              <w:t>招标公告第3.4的要求</w:t>
            </w:r>
            <w:r>
              <w:rPr>
                <w:rFonts w:hint="eastAsia" w:ascii="宋体" w:hAnsi="宋体"/>
                <w:color w:val="auto"/>
                <w:szCs w:val="21"/>
                <w:highlight w:val="none"/>
              </w:rPr>
              <w:t>。</w:t>
            </w:r>
          </w:p>
        </w:tc>
      </w:tr>
      <w:tr w14:paraId="275A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78D376B8">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6F5B8D2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2132" w:type="dxa"/>
            <w:vAlign w:val="center"/>
          </w:tcPr>
          <w:p w14:paraId="4D43E39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联合体投标人</w:t>
            </w:r>
          </w:p>
        </w:tc>
        <w:tc>
          <w:tcPr>
            <w:tcW w:w="5252" w:type="dxa"/>
            <w:vAlign w:val="center"/>
          </w:tcPr>
          <w:p w14:paraId="1819BA53">
            <w:pPr>
              <w:keepNext w:val="0"/>
              <w:keepLines w:val="0"/>
              <w:suppressLineNumbers w:val="0"/>
              <w:snapToGrid w:val="0"/>
              <w:spacing w:before="0" w:beforeAutospacing="0" w:after="0" w:afterAutospacing="0"/>
              <w:ind w:left="0" w:right="0"/>
              <w:rPr>
                <w:rFonts w:hint="eastAsia" w:hAnsi="Courier New" w:eastAsia="宋体" w:cs="Arial"/>
                <w:color w:val="auto"/>
                <w:szCs w:val="21"/>
                <w:highlight w:val="none"/>
                <w:lang w:eastAsia="zh-CN"/>
              </w:rPr>
            </w:pPr>
            <w:r>
              <w:rPr>
                <w:rFonts w:hint="default" w:hAnsi="Courier New" w:cs="Arial"/>
                <w:color w:val="auto"/>
                <w:szCs w:val="21"/>
                <w:highlight w:val="none"/>
              </w:rPr>
              <w:t>不接受联合体投标</w:t>
            </w:r>
            <w:r>
              <w:rPr>
                <w:rFonts w:hint="eastAsia" w:hAnsi="Courier New" w:cs="Arial"/>
                <w:color w:val="auto"/>
                <w:szCs w:val="21"/>
                <w:highlight w:val="none"/>
                <w:lang w:eastAsia="zh-CN"/>
              </w:rPr>
              <w:t>。</w:t>
            </w:r>
          </w:p>
        </w:tc>
      </w:tr>
      <w:tr w14:paraId="41B4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3C57551D">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098701B7">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2132" w:type="dxa"/>
            <w:vAlign w:val="center"/>
          </w:tcPr>
          <w:p w14:paraId="112DAF5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不存在禁止投标的情形</w:t>
            </w:r>
          </w:p>
        </w:tc>
        <w:tc>
          <w:tcPr>
            <w:tcW w:w="5252" w:type="dxa"/>
            <w:vAlign w:val="center"/>
          </w:tcPr>
          <w:p w14:paraId="2EDC657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不存在第二章“投标人须知”第1.4.3项规定的任何一种情形</w:t>
            </w:r>
            <w:r>
              <w:rPr>
                <w:rFonts w:hint="eastAsia" w:ascii="宋体" w:hAnsi="宋体" w:cs="宋体"/>
                <w:color w:val="auto"/>
                <w:highlight w:val="none"/>
              </w:rPr>
              <w:t>（以《投标人声明》为准）</w:t>
            </w:r>
            <w:r>
              <w:rPr>
                <w:rFonts w:hint="eastAsia" w:ascii="宋体" w:hAnsi="宋体"/>
                <w:color w:val="auto"/>
                <w:szCs w:val="21"/>
                <w:highlight w:val="none"/>
              </w:rPr>
              <w:t>。</w:t>
            </w:r>
          </w:p>
        </w:tc>
      </w:tr>
      <w:tr w14:paraId="2163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restart"/>
            <w:vAlign w:val="center"/>
          </w:tcPr>
          <w:p w14:paraId="44117BB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2.1.3</w:t>
            </w:r>
          </w:p>
        </w:tc>
        <w:tc>
          <w:tcPr>
            <w:tcW w:w="1098" w:type="dxa"/>
            <w:vMerge w:val="restart"/>
            <w:vAlign w:val="center"/>
          </w:tcPr>
          <w:p w14:paraId="7FC7855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响应性评审标准</w:t>
            </w:r>
          </w:p>
        </w:tc>
        <w:tc>
          <w:tcPr>
            <w:tcW w:w="2132" w:type="dxa"/>
            <w:vAlign w:val="center"/>
          </w:tcPr>
          <w:p w14:paraId="7427005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投标报价</w:t>
            </w:r>
          </w:p>
        </w:tc>
        <w:tc>
          <w:tcPr>
            <w:tcW w:w="5252" w:type="dxa"/>
            <w:vAlign w:val="center"/>
          </w:tcPr>
          <w:p w14:paraId="620BB24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符合第二章“投标人须知”第3.2款规定</w:t>
            </w:r>
            <w:r>
              <w:rPr>
                <w:rFonts w:hint="eastAsia" w:ascii="宋体" w:hAnsi="宋体"/>
                <w:color w:val="auto"/>
                <w:szCs w:val="21"/>
                <w:highlight w:val="none"/>
              </w:rPr>
              <w:t>进行投标报价的；对同一招标项目没有出现两个或以上的投标报价，且修正无依据。</w:t>
            </w:r>
          </w:p>
        </w:tc>
      </w:tr>
      <w:tr w14:paraId="7A09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5C9E33A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098" w:type="dxa"/>
            <w:vMerge w:val="continue"/>
            <w:vAlign w:val="center"/>
          </w:tcPr>
          <w:p w14:paraId="6FCDF39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32" w:type="dxa"/>
            <w:vAlign w:val="center"/>
          </w:tcPr>
          <w:p w14:paraId="2CA08A2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投标内容</w:t>
            </w:r>
          </w:p>
        </w:tc>
        <w:tc>
          <w:tcPr>
            <w:tcW w:w="5252" w:type="dxa"/>
            <w:vAlign w:val="center"/>
          </w:tcPr>
          <w:p w14:paraId="1CE685A1">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符合第二章“投标人须知”第1.3.1项规定。</w:t>
            </w:r>
          </w:p>
        </w:tc>
      </w:tr>
      <w:tr w14:paraId="7FF0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6869723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098" w:type="dxa"/>
            <w:vMerge w:val="continue"/>
            <w:vAlign w:val="center"/>
          </w:tcPr>
          <w:p w14:paraId="09D6E71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32" w:type="dxa"/>
            <w:vAlign w:val="center"/>
          </w:tcPr>
          <w:p w14:paraId="3EB533C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服务期限</w:t>
            </w:r>
          </w:p>
        </w:tc>
        <w:tc>
          <w:tcPr>
            <w:tcW w:w="5252" w:type="dxa"/>
            <w:vAlign w:val="center"/>
          </w:tcPr>
          <w:p w14:paraId="4803DF0D">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default" w:ascii="宋体" w:hAnsi="宋体"/>
                <w:color w:val="auto"/>
                <w:szCs w:val="21"/>
                <w:highlight w:val="none"/>
              </w:rPr>
              <w:t>符合第二章“投标人须知”第1.3.2项规定</w:t>
            </w:r>
            <w:r>
              <w:rPr>
                <w:rFonts w:hint="eastAsia" w:ascii="宋体" w:hAnsi="宋体"/>
                <w:color w:val="auto"/>
                <w:szCs w:val="21"/>
                <w:highlight w:val="none"/>
              </w:rPr>
              <w:t>。</w:t>
            </w:r>
          </w:p>
        </w:tc>
      </w:tr>
      <w:tr w14:paraId="7205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470EA61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098" w:type="dxa"/>
            <w:vMerge w:val="continue"/>
            <w:vAlign w:val="center"/>
          </w:tcPr>
          <w:p w14:paraId="444CBB6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32" w:type="dxa"/>
            <w:vAlign w:val="center"/>
          </w:tcPr>
          <w:p w14:paraId="7EFD9C0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5252" w:type="dxa"/>
            <w:vAlign w:val="center"/>
          </w:tcPr>
          <w:p w14:paraId="5AF0C036">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符合第二章“投标人须知”第1.3.3项规定。</w:t>
            </w:r>
          </w:p>
        </w:tc>
      </w:tr>
      <w:tr w14:paraId="62EA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4710A4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098" w:type="dxa"/>
            <w:vMerge w:val="continue"/>
            <w:vAlign w:val="center"/>
          </w:tcPr>
          <w:p w14:paraId="504FD8D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32" w:type="dxa"/>
          </w:tcPr>
          <w:p w14:paraId="0625A37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投标有效期</w:t>
            </w:r>
          </w:p>
        </w:tc>
        <w:tc>
          <w:tcPr>
            <w:tcW w:w="5252" w:type="dxa"/>
          </w:tcPr>
          <w:p w14:paraId="65E4EC98">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符合第二章“投标人须知”第3.3.1项规定。</w:t>
            </w:r>
          </w:p>
        </w:tc>
      </w:tr>
      <w:tr w14:paraId="33C2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257D33CF">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098" w:type="dxa"/>
            <w:vMerge w:val="continue"/>
            <w:vAlign w:val="center"/>
          </w:tcPr>
          <w:p w14:paraId="51350D66">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2132" w:type="dxa"/>
          </w:tcPr>
          <w:p w14:paraId="0BA091B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串通投标情形</w:t>
            </w:r>
          </w:p>
        </w:tc>
        <w:tc>
          <w:tcPr>
            <w:tcW w:w="5252" w:type="dxa"/>
          </w:tcPr>
          <w:p w14:paraId="3A07B93F">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default" w:ascii="宋体" w:hAnsi="宋体"/>
                <w:color w:val="auto"/>
                <w:szCs w:val="21"/>
                <w:highlight w:val="none"/>
              </w:rPr>
              <w:t>不存在串通投标情形（串通投标情形以《广东省实施&lt;中华人民共和国招标投标法&gt;办法》第十六条的规定为准）。</w:t>
            </w:r>
          </w:p>
        </w:tc>
      </w:tr>
      <w:tr w14:paraId="5B0A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5202A904">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条款号</w:t>
            </w:r>
          </w:p>
        </w:tc>
        <w:tc>
          <w:tcPr>
            <w:tcW w:w="2132" w:type="dxa"/>
            <w:vAlign w:val="center"/>
          </w:tcPr>
          <w:p w14:paraId="363FE6F7">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条款内容</w:t>
            </w:r>
          </w:p>
        </w:tc>
        <w:tc>
          <w:tcPr>
            <w:tcW w:w="5252" w:type="dxa"/>
            <w:vAlign w:val="center"/>
          </w:tcPr>
          <w:p w14:paraId="08BD793A">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编列内容</w:t>
            </w:r>
          </w:p>
        </w:tc>
      </w:tr>
      <w:tr w14:paraId="0A4B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0FE609B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bookmarkStart w:id="879" w:name="_Hlk136184014"/>
            <w:r>
              <w:rPr>
                <w:rFonts w:hint="default" w:ascii="Times New Roman" w:hAnsi="Times New Roman"/>
                <w:color w:val="auto"/>
                <w:highlight w:val="none"/>
              </w:rPr>
              <w:t>2.2.1</w:t>
            </w:r>
          </w:p>
        </w:tc>
        <w:tc>
          <w:tcPr>
            <w:tcW w:w="2132" w:type="dxa"/>
            <w:vAlign w:val="center"/>
          </w:tcPr>
          <w:p w14:paraId="40DA085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分值构成</w:t>
            </w:r>
          </w:p>
          <w:p w14:paraId="30BBFFF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(总分100分)</w:t>
            </w:r>
          </w:p>
        </w:tc>
        <w:tc>
          <w:tcPr>
            <w:tcW w:w="5252" w:type="dxa"/>
            <w:vAlign w:val="center"/>
          </w:tcPr>
          <w:p w14:paraId="12A27C38">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资信业绩部分：</w:t>
            </w:r>
            <w:r>
              <w:rPr>
                <w:rFonts w:hint="eastAsia"/>
                <w:color w:val="auto"/>
                <w:highlight w:val="none"/>
                <w:lang w:val="en-US" w:eastAsia="zh-CN"/>
              </w:rPr>
              <w:t>45</w:t>
            </w:r>
            <w:r>
              <w:rPr>
                <w:rFonts w:hint="default"/>
                <w:color w:val="auto"/>
                <w:highlight w:val="none"/>
              </w:rPr>
              <w:t>分</w:t>
            </w:r>
          </w:p>
          <w:p w14:paraId="6AA65C0F">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监理大纲部分</w:t>
            </w:r>
            <w:r>
              <w:rPr>
                <w:rFonts w:hint="default"/>
                <w:color w:val="auto"/>
                <w:highlight w:val="none"/>
              </w:rPr>
              <w:t>：</w:t>
            </w:r>
            <w:r>
              <w:rPr>
                <w:rFonts w:hint="eastAsia"/>
                <w:color w:val="auto"/>
                <w:highlight w:val="none"/>
                <w:lang w:val="en-US" w:eastAsia="zh-CN"/>
              </w:rPr>
              <w:t>45</w:t>
            </w:r>
            <w:r>
              <w:rPr>
                <w:rFonts w:hint="default"/>
                <w:color w:val="auto"/>
                <w:highlight w:val="none"/>
              </w:rPr>
              <w:t>分</w:t>
            </w:r>
          </w:p>
          <w:p w14:paraId="201E3DCF">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投标报价：</w:t>
            </w:r>
            <w:r>
              <w:rPr>
                <w:rFonts w:hint="eastAsia"/>
                <w:color w:val="auto"/>
                <w:highlight w:val="none"/>
                <w:lang w:val="en-US" w:eastAsia="zh-CN"/>
              </w:rPr>
              <w:t>1</w:t>
            </w:r>
            <w:r>
              <w:rPr>
                <w:rFonts w:hint="eastAsia"/>
                <w:color w:val="auto"/>
                <w:highlight w:val="none"/>
              </w:rPr>
              <w:t>0</w:t>
            </w:r>
            <w:r>
              <w:rPr>
                <w:rFonts w:hint="default"/>
                <w:color w:val="auto"/>
                <w:highlight w:val="none"/>
              </w:rPr>
              <w:t>分</w:t>
            </w:r>
          </w:p>
          <w:p w14:paraId="0BA18447">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投标人得分＝资信业绩部分+监理大纲部分+投标报价</w:t>
            </w:r>
          </w:p>
          <w:p w14:paraId="35B46AA7">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资信业绩、监理大纲部分得分为各评委的评分汇总后的算术平均分（分数出现小数点时，保留小数点后二位，第三位小数四舍五入）。</w:t>
            </w:r>
          </w:p>
        </w:tc>
      </w:tr>
      <w:tr w14:paraId="232A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42FEF96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2.2.2</w:t>
            </w:r>
          </w:p>
        </w:tc>
        <w:tc>
          <w:tcPr>
            <w:tcW w:w="2132" w:type="dxa"/>
            <w:vAlign w:val="center"/>
          </w:tcPr>
          <w:p w14:paraId="792A0D1D">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default" w:ascii="宋体" w:hAnsi="宋体"/>
                <w:color w:val="auto"/>
                <w:szCs w:val="21"/>
                <w:highlight w:val="none"/>
              </w:rPr>
              <w:t>评标基准价计算方法</w:t>
            </w:r>
          </w:p>
        </w:tc>
        <w:tc>
          <w:tcPr>
            <w:tcW w:w="5252" w:type="dxa"/>
            <w:vAlign w:val="center"/>
          </w:tcPr>
          <w:p w14:paraId="3AB7A92C">
            <w:pPr>
              <w:rPr>
                <w:color w:val="auto"/>
                <w:highlight w:val="none"/>
              </w:rPr>
            </w:pPr>
          </w:p>
          <w:p w14:paraId="7809F471">
            <w:pPr>
              <w:rPr>
                <w:rFonts w:hint="default" w:ascii="宋体" w:hAnsi="宋体"/>
                <w:color w:val="auto"/>
                <w:spacing w:val="-3"/>
                <w:highlight w:val="none"/>
              </w:rPr>
            </w:pPr>
            <w:r>
              <w:rPr>
                <w:rFonts w:hint="eastAsia"/>
                <w:color w:val="auto"/>
                <w:highlight w:val="none"/>
              </w:rPr>
              <w:t>当通过初步评审且投标总报价位于[投标最高限价×90%，投标最高限价]的有效投标人大于5名时，去掉一个最高价和一个最低价，取余下有效投标人的投标总报价的算术平均值的作为评标基准价；当通过初步评审且投标总报价位于[投标最高限价×90%，投标最高限价]的有效投标人小于或等于5名时，取所有入围的有效投标人的投标总报价的算术平均值的作为评标基准价；当通过初步评审且投标总报价</w:t>
            </w:r>
            <w:r>
              <w:rPr>
                <w:rFonts w:hint="eastAsia"/>
                <w:color w:val="auto"/>
                <w:highlight w:val="none"/>
                <w:lang w:val="en-US" w:eastAsia="zh-CN"/>
              </w:rPr>
              <w:t>没有</w:t>
            </w:r>
            <w:r>
              <w:rPr>
                <w:rFonts w:hint="eastAsia"/>
                <w:color w:val="auto"/>
                <w:highlight w:val="none"/>
              </w:rPr>
              <w:t>位于[投标最高限价×90%，投标最高限价]的有效投标人，取投标最高限价×90%作为评标基准价。投标总报价不在[投标最高限价×90%，投标最高限价]区间的不参与评标基准价的计算。</w:t>
            </w:r>
          </w:p>
        </w:tc>
      </w:tr>
      <w:tr w14:paraId="666F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34A108F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2.2.3</w:t>
            </w:r>
          </w:p>
        </w:tc>
        <w:tc>
          <w:tcPr>
            <w:tcW w:w="2132" w:type="dxa"/>
            <w:vAlign w:val="center"/>
          </w:tcPr>
          <w:p w14:paraId="019521D3">
            <w:pPr>
              <w:keepNext w:val="0"/>
              <w:keepLines w:val="0"/>
              <w:suppressLineNumbers w:val="0"/>
              <w:snapToGrid w:val="0"/>
              <w:spacing w:before="0" w:beforeAutospacing="0" w:after="0" w:afterAutospacing="0"/>
              <w:ind w:left="0" w:right="0"/>
              <w:jc w:val="center"/>
              <w:rPr>
                <w:rFonts w:hint="default" w:ascii="Times New Roman" w:hAnsi="Times New Roman"/>
                <w:color w:val="auto"/>
                <w:highlight w:val="none"/>
              </w:rPr>
            </w:pPr>
            <w:r>
              <w:rPr>
                <w:rFonts w:hint="default" w:ascii="宋体" w:hAnsi="宋体"/>
                <w:color w:val="auto"/>
                <w:szCs w:val="21"/>
                <w:highlight w:val="none"/>
              </w:rPr>
              <w:t>投标报价的偏差率计算公式</w:t>
            </w:r>
          </w:p>
        </w:tc>
        <w:tc>
          <w:tcPr>
            <w:tcW w:w="5252" w:type="dxa"/>
            <w:vAlign w:val="center"/>
          </w:tcPr>
          <w:p w14:paraId="1E8A6D15">
            <w:pPr>
              <w:keepNext w:val="0"/>
              <w:keepLines w:val="0"/>
              <w:suppressLineNumbers w:val="0"/>
              <w:snapToGrid w:val="0"/>
              <w:spacing w:before="0" w:beforeAutospacing="0" w:after="0" w:afterAutospacing="0"/>
              <w:ind w:left="0" w:right="0"/>
              <w:jc w:val="left"/>
              <w:rPr>
                <w:rFonts w:hint="default" w:ascii="宋体" w:hAnsi="宋体"/>
                <w:color w:val="auto"/>
                <w:spacing w:val="-3"/>
                <w:highlight w:val="none"/>
              </w:rPr>
            </w:pPr>
            <w:r>
              <w:rPr>
                <w:rFonts w:hint="default" w:ascii="宋体" w:hAnsi="宋体"/>
                <w:color w:val="auto"/>
                <w:spacing w:val="-3"/>
                <w:highlight w:val="none"/>
              </w:rPr>
              <w:t>偏差率=100% ×|（投标人报价-评标基准价）|/评标基准价（偏差率出现小数点时，保留小数点后2位，第三位小数四舍五入。</w:t>
            </w:r>
            <w:r>
              <w:rPr>
                <w:rFonts w:hint="eastAsia" w:ascii="宋体" w:hAnsi="宋体"/>
                <w:color w:val="auto"/>
                <w:spacing w:val="-3"/>
                <w:highlight w:val="none"/>
              </w:rPr>
              <w:t>）</w:t>
            </w:r>
          </w:p>
        </w:tc>
      </w:tr>
      <w:tr w14:paraId="21C5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1978" w:type="dxa"/>
            <w:gridSpan w:val="3"/>
          </w:tcPr>
          <w:p w14:paraId="4D4AB96A">
            <w:pPr>
              <w:pStyle w:val="21"/>
              <w:keepNext w:val="0"/>
              <w:keepLines w:val="0"/>
              <w:suppressLineNumbers w:val="0"/>
              <w:kinsoku w:val="0"/>
              <w:overflowPunct w:val="0"/>
              <w:spacing w:before="71" w:beforeAutospacing="0" w:after="0" w:afterAutospacing="0"/>
              <w:ind w:left="0" w:right="309"/>
              <w:jc w:val="center"/>
              <w:rPr>
                <w:rFonts w:hint="default"/>
                <w:color w:val="auto"/>
                <w:highlight w:val="none"/>
              </w:rPr>
            </w:pPr>
            <w:r>
              <w:rPr>
                <w:rFonts w:ascii="宋体" w:hAnsi="宋体"/>
                <w:color w:val="auto"/>
                <w:highlight w:val="none"/>
              </w:rPr>
              <w:t>条款号</w:t>
            </w:r>
          </w:p>
        </w:tc>
        <w:tc>
          <w:tcPr>
            <w:tcW w:w="2132" w:type="dxa"/>
          </w:tcPr>
          <w:p w14:paraId="05EBB9C4">
            <w:pPr>
              <w:pStyle w:val="21"/>
              <w:keepNext w:val="0"/>
              <w:keepLines w:val="0"/>
              <w:suppressLineNumbers w:val="0"/>
              <w:kinsoku w:val="0"/>
              <w:overflowPunct w:val="0"/>
              <w:spacing w:before="71" w:beforeAutospacing="0" w:after="0" w:afterAutospacing="0"/>
              <w:ind w:left="0" w:right="0"/>
              <w:rPr>
                <w:rFonts w:hint="default"/>
                <w:color w:val="auto"/>
                <w:highlight w:val="none"/>
              </w:rPr>
            </w:pPr>
            <w:r>
              <w:rPr>
                <w:rFonts w:ascii="宋体" w:hAnsi="宋体"/>
                <w:color w:val="auto"/>
                <w:highlight w:val="none"/>
              </w:rPr>
              <w:t>评分因素（偏差率）</w:t>
            </w:r>
          </w:p>
        </w:tc>
        <w:tc>
          <w:tcPr>
            <w:tcW w:w="5252" w:type="dxa"/>
          </w:tcPr>
          <w:p w14:paraId="6003DBB9">
            <w:pPr>
              <w:pStyle w:val="21"/>
              <w:keepNext w:val="0"/>
              <w:keepLines w:val="0"/>
              <w:suppressLineNumbers w:val="0"/>
              <w:kinsoku w:val="0"/>
              <w:overflowPunct w:val="0"/>
              <w:spacing w:before="71" w:beforeAutospacing="0" w:after="0" w:afterAutospacing="0"/>
              <w:ind w:left="1895" w:right="1655"/>
              <w:jc w:val="center"/>
              <w:rPr>
                <w:rFonts w:hint="default"/>
                <w:color w:val="auto"/>
                <w:highlight w:val="none"/>
              </w:rPr>
            </w:pPr>
            <w:r>
              <w:rPr>
                <w:rFonts w:ascii="宋体" w:hAnsi="宋体"/>
                <w:color w:val="auto"/>
                <w:highlight w:val="none"/>
              </w:rPr>
              <w:t xml:space="preserve">评分标准   </w:t>
            </w:r>
          </w:p>
        </w:tc>
      </w:tr>
      <w:tr w14:paraId="4BDF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91" w:type="dxa"/>
            <w:vMerge w:val="restart"/>
            <w:vAlign w:val="center"/>
          </w:tcPr>
          <w:p w14:paraId="7E6DAF0A">
            <w:pPr>
              <w:pStyle w:val="21"/>
              <w:keepNext w:val="0"/>
              <w:keepLines w:val="0"/>
              <w:suppressLineNumbers w:val="0"/>
              <w:kinsoku w:val="0"/>
              <w:overflowPunct w:val="0"/>
              <w:spacing w:before="0" w:beforeAutospacing="0" w:after="0" w:afterAutospacing="0"/>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w:t>
            </w:r>
          </w:p>
          <w:p w14:paraId="1B2BD471">
            <w:pPr>
              <w:pStyle w:val="21"/>
              <w:keepNext w:val="0"/>
              <w:keepLines w:val="0"/>
              <w:suppressLineNumbers w:val="0"/>
              <w:kinsoku w:val="0"/>
              <w:overflowPunct w:val="0"/>
              <w:spacing w:before="6" w:beforeAutospacing="0" w:after="0" w:afterAutospacing="0" w:line="110" w:lineRule="exact"/>
              <w:ind w:left="-63" w:leftChars="-30" w:right="-111" w:rightChars="-53" w:firstLine="33" w:firstLineChars="30"/>
              <w:jc w:val="center"/>
              <w:rPr>
                <w:rFonts w:hint="default"/>
                <w:color w:val="auto"/>
                <w:sz w:val="11"/>
                <w:highlight w:val="none"/>
              </w:rPr>
            </w:pPr>
          </w:p>
          <w:p w14:paraId="5D95ACFF">
            <w:pPr>
              <w:pStyle w:val="21"/>
              <w:keepNext w:val="0"/>
              <w:keepLines w:val="0"/>
              <w:suppressLineNumbers w:val="0"/>
              <w:kinsoku w:val="0"/>
              <w:overflowPunct w:val="0"/>
              <w:spacing w:before="0" w:beforeAutospacing="0" w:after="0" w:afterAutospacing="0"/>
              <w:ind w:left="-63" w:leftChars="-30" w:right="-111" w:rightChars="-53" w:firstLine="62" w:firstLineChars="30"/>
              <w:jc w:val="center"/>
              <w:rPr>
                <w:rFonts w:hint="default"/>
                <w:color w:val="auto"/>
                <w:highlight w:val="none"/>
              </w:rPr>
            </w:pPr>
            <w:r>
              <w:rPr>
                <w:rFonts w:ascii="宋体" w:hAnsi="宋体"/>
                <w:color w:val="auto"/>
                <w:spacing w:val="-1"/>
                <w:highlight w:val="none"/>
              </w:rPr>
              <w:t>（</w:t>
            </w:r>
            <w:r>
              <w:rPr>
                <w:rFonts w:eastAsia="Times New Roman"/>
                <w:color w:val="auto"/>
                <w:highlight w:val="none"/>
              </w:rPr>
              <w:t>1</w:t>
            </w:r>
            <w:r>
              <w:rPr>
                <w:rFonts w:ascii="宋体" w:hAnsi="宋体"/>
                <w:color w:val="auto"/>
                <w:highlight w:val="none"/>
              </w:rPr>
              <w:t>）</w:t>
            </w:r>
          </w:p>
        </w:tc>
        <w:tc>
          <w:tcPr>
            <w:tcW w:w="1287" w:type="dxa"/>
            <w:gridSpan w:val="2"/>
            <w:vMerge w:val="restart"/>
            <w:vAlign w:val="center"/>
          </w:tcPr>
          <w:p w14:paraId="32F0CAD4">
            <w:pPr>
              <w:keepNext w:val="0"/>
              <w:keepLines w:val="0"/>
              <w:suppressLineNumbers w:val="0"/>
              <w:spacing w:before="0" w:beforeAutospacing="0" w:after="0" w:afterAutospacing="0"/>
              <w:ind w:left="315" w:right="0" w:hanging="315" w:hangingChars="150"/>
              <w:jc w:val="center"/>
              <w:rPr>
                <w:rFonts w:hint="default" w:ascii="宋体" w:hAnsi="宋体"/>
                <w:color w:val="auto"/>
                <w:highlight w:val="none"/>
              </w:rPr>
            </w:pPr>
            <w:r>
              <w:rPr>
                <w:rFonts w:hint="eastAsia" w:ascii="宋体" w:hAnsi="宋体"/>
                <w:color w:val="auto"/>
                <w:highlight w:val="none"/>
              </w:rPr>
              <w:t>资信</w:t>
            </w:r>
            <w:r>
              <w:rPr>
                <w:rFonts w:hint="eastAsia" w:ascii="宋体" w:hAnsi="宋体"/>
                <w:color w:val="auto"/>
                <w:spacing w:val="-3"/>
                <w:highlight w:val="none"/>
              </w:rPr>
              <w:t>业</w:t>
            </w:r>
            <w:r>
              <w:rPr>
                <w:rFonts w:hint="eastAsia" w:ascii="宋体" w:hAnsi="宋体"/>
                <w:color w:val="auto"/>
                <w:highlight w:val="none"/>
              </w:rPr>
              <w:t>绩</w:t>
            </w:r>
          </w:p>
          <w:p w14:paraId="7A394168">
            <w:pPr>
              <w:keepNext w:val="0"/>
              <w:keepLines w:val="0"/>
              <w:suppressLineNumbers w:val="0"/>
              <w:spacing w:before="0" w:beforeAutospacing="0" w:after="0" w:afterAutospacing="0"/>
              <w:ind w:left="315" w:right="0" w:hanging="315" w:hangingChars="150"/>
              <w:jc w:val="center"/>
              <w:rPr>
                <w:rFonts w:hint="default"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14:paraId="52C46039">
            <w:pPr>
              <w:pStyle w:val="21"/>
              <w:keepNext w:val="0"/>
              <w:keepLines w:val="0"/>
              <w:suppressLineNumbers w:val="0"/>
              <w:kinsoku w:val="0"/>
              <w:overflowPunct w:val="0"/>
              <w:spacing w:before="0" w:beforeAutospacing="0" w:after="0" w:afterAutospacing="0" w:line="342" w:lineRule="auto"/>
              <w:ind w:left="-115" w:leftChars="-55" w:right="-122" w:rightChars="-58"/>
              <w:jc w:val="center"/>
              <w:rPr>
                <w:rFonts w:hint="default"/>
                <w:color w:val="auto"/>
                <w:highlight w:val="none"/>
              </w:rPr>
            </w:pPr>
            <w:r>
              <w:rPr>
                <w:rFonts w:ascii="宋体" w:hAnsi="宋体"/>
                <w:color w:val="auto"/>
                <w:highlight w:val="none"/>
              </w:rPr>
              <w:t>（</w:t>
            </w:r>
            <w:r>
              <w:rPr>
                <w:rFonts w:hint="eastAsia" w:ascii="宋体" w:hAnsi="宋体"/>
                <w:color w:val="auto"/>
                <w:highlight w:val="none"/>
                <w:lang w:val="en-US" w:eastAsia="zh-CN"/>
              </w:rPr>
              <w:t>45</w:t>
            </w:r>
            <w:r>
              <w:rPr>
                <w:rFonts w:ascii="宋体" w:hAnsi="宋体"/>
                <w:color w:val="auto"/>
                <w:highlight w:val="none"/>
              </w:rPr>
              <w:t>分）</w:t>
            </w:r>
          </w:p>
        </w:tc>
        <w:tc>
          <w:tcPr>
            <w:tcW w:w="2132" w:type="dxa"/>
            <w:vAlign w:val="center"/>
          </w:tcPr>
          <w:p w14:paraId="05AE0D08">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企业类似业绩</w:t>
            </w:r>
          </w:p>
          <w:p w14:paraId="5BBF38CB">
            <w:pPr>
              <w:contextualSpacing/>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rPr>
              <w:t>（5分）</w:t>
            </w:r>
          </w:p>
        </w:tc>
        <w:tc>
          <w:tcPr>
            <w:tcW w:w="5252" w:type="dxa"/>
            <w:vAlign w:val="center"/>
          </w:tcPr>
          <w:p w14:paraId="6A3E7633">
            <w:pPr>
              <w:contextualSpacing/>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2019年1月1日至今，投标人独立承接过土壤修复工程监理项目业绩的，每个得</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分，最多得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r>
      <w:tr w14:paraId="19EE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91" w:type="dxa"/>
            <w:vMerge w:val="continue"/>
          </w:tcPr>
          <w:p w14:paraId="6FD9CDB8">
            <w:pPr>
              <w:pStyle w:val="21"/>
              <w:keepNext w:val="0"/>
              <w:keepLines w:val="0"/>
              <w:suppressLineNumbers w:val="0"/>
              <w:kinsoku w:val="0"/>
              <w:overflowPunct w:val="0"/>
              <w:spacing w:before="0" w:beforeAutospacing="0" w:after="0" w:afterAutospacing="0"/>
              <w:ind w:left="-63" w:leftChars="-30" w:right="-111" w:rightChars="-53" w:firstLine="63" w:firstLineChars="30"/>
              <w:jc w:val="center"/>
              <w:rPr>
                <w:rFonts w:hint="default"/>
                <w:color w:val="auto"/>
                <w:highlight w:val="none"/>
              </w:rPr>
            </w:pPr>
          </w:p>
        </w:tc>
        <w:tc>
          <w:tcPr>
            <w:tcW w:w="1287" w:type="dxa"/>
            <w:gridSpan w:val="2"/>
            <w:vMerge w:val="continue"/>
          </w:tcPr>
          <w:p w14:paraId="673E2EA1">
            <w:pPr>
              <w:pStyle w:val="21"/>
              <w:keepNext w:val="0"/>
              <w:keepLines w:val="0"/>
              <w:suppressLineNumbers w:val="0"/>
              <w:kinsoku w:val="0"/>
              <w:overflowPunct w:val="0"/>
              <w:spacing w:before="0" w:beforeAutospacing="0" w:after="0" w:afterAutospacing="0"/>
              <w:ind w:left="-115" w:leftChars="-55" w:right="-122" w:rightChars="-58"/>
              <w:jc w:val="center"/>
              <w:rPr>
                <w:rFonts w:hint="default"/>
                <w:color w:val="auto"/>
                <w:highlight w:val="none"/>
              </w:rPr>
            </w:pPr>
          </w:p>
        </w:tc>
        <w:tc>
          <w:tcPr>
            <w:tcW w:w="2132" w:type="dxa"/>
            <w:vAlign w:val="center"/>
          </w:tcPr>
          <w:p w14:paraId="2CED456C">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总监理工程师资历</w:t>
            </w:r>
          </w:p>
          <w:p w14:paraId="2B2ED4B5">
            <w:pPr>
              <w:contextualSpacing/>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rPr>
              <w:t>（5分）</w:t>
            </w:r>
          </w:p>
        </w:tc>
        <w:tc>
          <w:tcPr>
            <w:tcW w:w="5252" w:type="dxa"/>
            <w:vAlign w:val="center"/>
          </w:tcPr>
          <w:p w14:paraId="39FE87A3">
            <w:pPr>
              <w:contextualSpacing/>
              <w:jc w:val="left"/>
              <w:rPr>
                <w:rFonts w:hint="eastAsia"/>
                <w:color w:val="auto"/>
                <w:highlight w:val="none"/>
                <w:lang w:val="en-US" w:eastAsia="zh-CN"/>
              </w:rPr>
            </w:pPr>
            <w:r>
              <w:rPr>
                <w:rFonts w:hint="eastAsia" w:ascii="宋体" w:hAnsi="宋体" w:cs="宋体"/>
                <w:color w:val="auto"/>
                <w:szCs w:val="21"/>
                <w:highlight w:val="none"/>
              </w:rPr>
              <w:t>满足招标公告要求，具有</w:t>
            </w:r>
            <w:r>
              <w:rPr>
                <w:rFonts w:hint="eastAsia" w:ascii="宋体" w:hAnsi="宋体" w:cs="宋体"/>
                <w:color w:val="auto"/>
                <w:szCs w:val="21"/>
                <w:highlight w:val="none"/>
                <w:lang w:val="en-US" w:eastAsia="zh-CN"/>
              </w:rPr>
              <w:t>环保类或</w:t>
            </w:r>
            <w:r>
              <w:rPr>
                <w:rFonts w:hint="eastAsia" w:ascii="宋体" w:hAnsi="宋体" w:cs="宋体"/>
                <w:color w:val="auto"/>
                <w:szCs w:val="21"/>
                <w:highlight w:val="none"/>
              </w:rPr>
              <w:t>工程类中级或以上技术职称的得5分。</w:t>
            </w:r>
          </w:p>
        </w:tc>
      </w:tr>
      <w:tr w14:paraId="5111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91" w:type="dxa"/>
            <w:vMerge w:val="continue"/>
          </w:tcPr>
          <w:p w14:paraId="08183539">
            <w:pPr>
              <w:pStyle w:val="21"/>
              <w:keepNext w:val="0"/>
              <w:keepLines w:val="0"/>
              <w:suppressLineNumbers w:val="0"/>
              <w:kinsoku w:val="0"/>
              <w:overflowPunct w:val="0"/>
              <w:spacing w:before="0" w:beforeAutospacing="0" w:after="0" w:afterAutospacing="0"/>
              <w:ind w:left="-63" w:leftChars="-30" w:right="-111" w:rightChars="-53" w:firstLine="63" w:firstLineChars="30"/>
              <w:jc w:val="center"/>
              <w:rPr>
                <w:rFonts w:hint="default"/>
                <w:color w:val="auto"/>
                <w:highlight w:val="none"/>
              </w:rPr>
            </w:pPr>
          </w:p>
        </w:tc>
        <w:tc>
          <w:tcPr>
            <w:tcW w:w="1287" w:type="dxa"/>
            <w:gridSpan w:val="2"/>
            <w:vMerge w:val="continue"/>
          </w:tcPr>
          <w:p w14:paraId="27A3B7A6">
            <w:pPr>
              <w:pStyle w:val="21"/>
              <w:keepNext w:val="0"/>
              <w:keepLines w:val="0"/>
              <w:suppressLineNumbers w:val="0"/>
              <w:kinsoku w:val="0"/>
              <w:overflowPunct w:val="0"/>
              <w:spacing w:before="0" w:beforeAutospacing="0" w:after="0" w:afterAutospacing="0"/>
              <w:ind w:left="-115" w:leftChars="-55" w:right="-122" w:rightChars="-58"/>
              <w:jc w:val="center"/>
              <w:rPr>
                <w:rFonts w:hint="default"/>
                <w:color w:val="auto"/>
                <w:highlight w:val="none"/>
              </w:rPr>
            </w:pPr>
          </w:p>
        </w:tc>
        <w:tc>
          <w:tcPr>
            <w:tcW w:w="2132" w:type="dxa"/>
            <w:vAlign w:val="center"/>
          </w:tcPr>
          <w:p w14:paraId="65726123">
            <w:pPr>
              <w:contextualSpacing/>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rPr>
              <w:t>拟投入本项目的其他监理人员（10分）</w:t>
            </w:r>
          </w:p>
        </w:tc>
        <w:tc>
          <w:tcPr>
            <w:tcW w:w="5252" w:type="dxa"/>
            <w:vAlign w:val="center"/>
          </w:tcPr>
          <w:p w14:paraId="160B1E60">
            <w:pPr>
              <w:widowControl/>
              <w:wordWrap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1、满足本项目《项目监理人员组成配备要求表》的工程师专业和人数要求的得4分；不满足《项目监理人员组成配备要求表》数量及基本要求的，不予得分。</w:t>
            </w:r>
          </w:p>
          <w:p w14:paraId="712C60D1">
            <w:pPr>
              <w:contextualSpacing/>
              <w:jc w:val="left"/>
              <w:rPr>
                <w:rFonts w:hint="eastAsia"/>
                <w:color w:val="auto"/>
                <w:highlight w:val="none"/>
                <w:lang w:val="en-US" w:eastAsia="zh-CN"/>
              </w:rPr>
            </w:pPr>
            <w:r>
              <w:rPr>
                <w:rFonts w:hint="eastAsia" w:ascii="宋体" w:hAnsi="宋体" w:cs="宋体"/>
                <w:color w:val="auto"/>
                <w:szCs w:val="21"/>
                <w:highlight w:val="none"/>
              </w:rPr>
              <w:t>2、配备的监理人员（不含总监）中，具有注册监理工程师证或</w:t>
            </w:r>
            <w:r>
              <w:rPr>
                <w:rFonts w:hint="eastAsia" w:ascii="宋体" w:hAnsi="宋体" w:cs="宋体"/>
                <w:color w:val="auto"/>
                <w:szCs w:val="21"/>
                <w:highlight w:val="none"/>
                <w:lang w:val="en-US" w:eastAsia="zh-CN"/>
              </w:rPr>
              <w:t>环保类或工程类</w:t>
            </w:r>
            <w:r>
              <w:rPr>
                <w:rFonts w:hint="eastAsia" w:ascii="宋体" w:hAnsi="宋体" w:cs="宋体"/>
                <w:color w:val="auto"/>
                <w:szCs w:val="21"/>
                <w:highlight w:val="none"/>
              </w:rPr>
              <w:t>高级</w:t>
            </w:r>
            <w:r>
              <w:rPr>
                <w:rFonts w:hint="eastAsia" w:ascii="宋体" w:hAnsi="宋体" w:cs="宋体"/>
                <w:color w:val="auto"/>
                <w:szCs w:val="21"/>
                <w:highlight w:val="none"/>
                <w:lang w:val="en-US" w:eastAsia="zh-CN"/>
              </w:rPr>
              <w:t>或以上技术</w:t>
            </w:r>
            <w:r>
              <w:rPr>
                <w:rFonts w:hint="eastAsia" w:ascii="宋体" w:hAnsi="宋体" w:cs="宋体"/>
                <w:color w:val="auto"/>
                <w:szCs w:val="21"/>
                <w:highlight w:val="none"/>
              </w:rPr>
              <w:t>职称的，每人加2分，最多加6分。一人多证可累计计分。</w:t>
            </w:r>
          </w:p>
        </w:tc>
      </w:tr>
      <w:tr w14:paraId="0251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91" w:type="dxa"/>
            <w:vMerge w:val="continue"/>
          </w:tcPr>
          <w:p w14:paraId="0277077A">
            <w:pPr>
              <w:pStyle w:val="21"/>
              <w:keepNext w:val="0"/>
              <w:keepLines w:val="0"/>
              <w:suppressLineNumbers w:val="0"/>
              <w:kinsoku w:val="0"/>
              <w:overflowPunct w:val="0"/>
              <w:spacing w:before="0" w:beforeAutospacing="0" w:after="0" w:afterAutospacing="0"/>
              <w:ind w:left="-63" w:leftChars="-30" w:right="-111" w:rightChars="-53" w:firstLine="63" w:firstLineChars="30"/>
              <w:jc w:val="center"/>
              <w:rPr>
                <w:rFonts w:hint="default"/>
                <w:color w:val="auto"/>
                <w:highlight w:val="none"/>
              </w:rPr>
            </w:pPr>
          </w:p>
        </w:tc>
        <w:tc>
          <w:tcPr>
            <w:tcW w:w="1287" w:type="dxa"/>
            <w:gridSpan w:val="2"/>
            <w:vMerge w:val="continue"/>
          </w:tcPr>
          <w:p w14:paraId="13E0F897">
            <w:pPr>
              <w:pStyle w:val="21"/>
              <w:keepNext w:val="0"/>
              <w:keepLines w:val="0"/>
              <w:suppressLineNumbers w:val="0"/>
              <w:kinsoku w:val="0"/>
              <w:overflowPunct w:val="0"/>
              <w:spacing w:before="0" w:beforeAutospacing="0" w:after="0" w:afterAutospacing="0"/>
              <w:ind w:left="-115" w:leftChars="-55" w:right="-122" w:rightChars="-58"/>
              <w:jc w:val="center"/>
              <w:rPr>
                <w:rFonts w:hint="default"/>
                <w:color w:val="auto"/>
                <w:highlight w:val="none"/>
              </w:rPr>
            </w:pPr>
          </w:p>
        </w:tc>
        <w:tc>
          <w:tcPr>
            <w:tcW w:w="2132" w:type="dxa"/>
            <w:vAlign w:val="center"/>
          </w:tcPr>
          <w:p w14:paraId="6B628029">
            <w:pPr>
              <w:contextualSpacing/>
              <w:jc w:val="center"/>
              <w:rPr>
                <w:rFonts w:hint="eastAsia" w:ascii="宋体" w:hAnsi="宋体"/>
                <w:color w:val="auto"/>
                <w:highlight w:val="none"/>
              </w:rPr>
            </w:pPr>
            <w:r>
              <w:rPr>
                <w:rFonts w:hint="eastAsia" w:ascii="宋体" w:hAnsi="宋体"/>
                <w:color w:val="auto"/>
                <w:highlight w:val="none"/>
              </w:rPr>
              <w:t>企业技术管理能力</w:t>
            </w:r>
          </w:p>
          <w:p w14:paraId="1D83D625">
            <w:pPr>
              <w:contextualSpacing/>
              <w:jc w:val="center"/>
              <w:rPr>
                <w:rFonts w:hint="default" w:ascii="宋体" w:hAnsi="宋体" w:cs="宋体"/>
                <w:color w:val="auto"/>
                <w:szCs w:val="21"/>
                <w:highlight w:val="none"/>
                <w:lang w:val="en-US" w:eastAsia="zh-CN"/>
              </w:rPr>
            </w:pPr>
            <w:r>
              <w:rPr>
                <w:rFonts w:hint="eastAsia" w:ascii="宋体" w:hAnsi="宋体"/>
                <w:color w:val="auto"/>
                <w:highlight w:val="none"/>
              </w:rPr>
              <w:t>（10分）</w:t>
            </w:r>
          </w:p>
        </w:tc>
        <w:tc>
          <w:tcPr>
            <w:tcW w:w="5252" w:type="dxa"/>
            <w:vAlign w:val="center"/>
          </w:tcPr>
          <w:p w14:paraId="3BBDE22B">
            <w:pPr>
              <w:contextualSpacing/>
              <w:jc w:val="left"/>
              <w:rPr>
                <w:rFonts w:hint="default" w:eastAsia="宋体"/>
                <w:color w:val="auto"/>
                <w:highlight w:val="none"/>
                <w:lang w:val="en-US" w:eastAsia="zh-CN"/>
              </w:rPr>
            </w:pPr>
            <w:r>
              <w:rPr>
                <w:rFonts w:hint="eastAsia" w:ascii="宋体" w:hAnsi="宋体" w:cs="宋体"/>
                <w:color w:val="auto"/>
                <w:szCs w:val="21"/>
                <w:highlight w:val="none"/>
              </w:rPr>
              <w:t>2019年1月1日至今，投标人获得省级或以上工程类科学技术奖项的，每个奖项得1分，最多得10分。</w:t>
            </w:r>
          </w:p>
        </w:tc>
      </w:tr>
      <w:tr w14:paraId="247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91" w:type="dxa"/>
            <w:vMerge w:val="continue"/>
          </w:tcPr>
          <w:p w14:paraId="1B326FBF">
            <w:pPr>
              <w:pStyle w:val="21"/>
              <w:keepNext w:val="0"/>
              <w:keepLines w:val="0"/>
              <w:suppressLineNumbers w:val="0"/>
              <w:kinsoku w:val="0"/>
              <w:overflowPunct w:val="0"/>
              <w:spacing w:before="0" w:beforeAutospacing="0" w:after="0" w:afterAutospacing="0"/>
              <w:ind w:left="-63" w:leftChars="-30" w:right="-111" w:rightChars="-53" w:firstLine="63" w:firstLineChars="30"/>
              <w:jc w:val="center"/>
              <w:rPr>
                <w:rFonts w:hint="default"/>
                <w:color w:val="auto"/>
                <w:highlight w:val="none"/>
              </w:rPr>
            </w:pPr>
          </w:p>
        </w:tc>
        <w:tc>
          <w:tcPr>
            <w:tcW w:w="1287" w:type="dxa"/>
            <w:gridSpan w:val="2"/>
            <w:vMerge w:val="continue"/>
          </w:tcPr>
          <w:p w14:paraId="10FE38F2">
            <w:pPr>
              <w:pStyle w:val="21"/>
              <w:keepNext w:val="0"/>
              <w:keepLines w:val="0"/>
              <w:suppressLineNumbers w:val="0"/>
              <w:kinsoku w:val="0"/>
              <w:overflowPunct w:val="0"/>
              <w:spacing w:before="0" w:beforeAutospacing="0" w:after="0" w:afterAutospacing="0"/>
              <w:ind w:left="-115" w:leftChars="-55" w:right="-122" w:rightChars="-58"/>
              <w:jc w:val="center"/>
              <w:rPr>
                <w:rFonts w:hint="default"/>
                <w:color w:val="auto"/>
                <w:highlight w:val="none"/>
              </w:rPr>
            </w:pPr>
          </w:p>
        </w:tc>
        <w:tc>
          <w:tcPr>
            <w:tcW w:w="2132" w:type="dxa"/>
            <w:vAlign w:val="center"/>
          </w:tcPr>
          <w:p w14:paraId="1184E578">
            <w:pPr>
              <w:contextualSpacing/>
              <w:jc w:val="center"/>
              <w:rPr>
                <w:rFonts w:hint="eastAsia" w:ascii="宋体" w:hAnsi="宋体"/>
                <w:color w:val="auto"/>
                <w:highlight w:val="none"/>
              </w:rPr>
            </w:pPr>
            <w:r>
              <w:rPr>
                <w:rFonts w:hint="eastAsia" w:ascii="宋体" w:hAnsi="宋体"/>
                <w:color w:val="auto"/>
                <w:highlight w:val="none"/>
              </w:rPr>
              <w:t>ISO管理体系认证</w:t>
            </w:r>
          </w:p>
          <w:p w14:paraId="32FE03E3">
            <w:pPr>
              <w:contextualSpacing/>
              <w:jc w:val="center"/>
              <w:rPr>
                <w:rFonts w:hint="default" w:ascii="宋体" w:hAnsi="宋体" w:cs="宋体"/>
                <w:color w:val="auto"/>
                <w:szCs w:val="21"/>
                <w:highlight w:val="none"/>
                <w:lang w:val="en-US" w:eastAsia="zh-CN"/>
              </w:rPr>
            </w:pPr>
            <w:r>
              <w:rPr>
                <w:rFonts w:hint="eastAsia" w:ascii="宋体" w:hAnsi="宋体"/>
                <w:color w:val="auto"/>
                <w:highlight w:val="none"/>
              </w:rPr>
              <w:t>（5分）</w:t>
            </w:r>
          </w:p>
        </w:tc>
        <w:tc>
          <w:tcPr>
            <w:tcW w:w="5252" w:type="dxa"/>
            <w:vAlign w:val="center"/>
          </w:tcPr>
          <w:p w14:paraId="12F982C8">
            <w:pPr>
              <w:contextualSpacing/>
              <w:jc w:val="left"/>
              <w:rPr>
                <w:rFonts w:hint="default" w:eastAsia="宋体"/>
                <w:color w:val="auto"/>
                <w:highlight w:val="none"/>
                <w:lang w:val="en-US" w:eastAsia="zh-CN"/>
              </w:rPr>
            </w:pPr>
            <w:r>
              <w:rPr>
                <w:rFonts w:hint="eastAsia" w:ascii="宋体" w:hAnsi="宋体"/>
                <w:color w:val="auto"/>
                <w:highlight w:val="none"/>
              </w:rPr>
              <w:t>投标人具有有效的质量管理体系认证、环境管理体系认证、职业健康安全管理体系认证、信息安全管理体系认证、知识产权管理体系认证（或知识产权合规管理体系认证）的，每个得1分，本项最多得5分</w:t>
            </w:r>
            <w:r>
              <w:rPr>
                <w:rFonts w:hint="eastAsia" w:ascii="宋体" w:hAnsi="宋体" w:cs="宋体"/>
                <w:color w:val="auto"/>
                <w:szCs w:val="21"/>
                <w:highlight w:val="none"/>
              </w:rPr>
              <w:t>。</w:t>
            </w:r>
          </w:p>
        </w:tc>
      </w:tr>
      <w:tr w14:paraId="2989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91" w:type="dxa"/>
            <w:vMerge w:val="continue"/>
          </w:tcPr>
          <w:p w14:paraId="4C4907DE">
            <w:pPr>
              <w:pStyle w:val="21"/>
              <w:keepNext w:val="0"/>
              <w:keepLines w:val="0"/>
              <w:suppressLineNumbers w:val="0"/>
              <w:kinsoku w:val="0"/>
              <w:overflowPunct w:val="0"/>
              <w:spacing w:before="0" w:beforeAutospacing="0" w:after="0" w:afterAutospacing="0"/>
              <w:ind w:left="-63" w:leftChars="-30" w:right="-111" w:rightChars="-53" w:firstLine="63" w:firstLineChars="30"/>
              <w:jc w:val="center"/>
              <w:rPr>
                <w:rFonts w:hint="default"/>
                <w:color w:val="auto"/>
                <w:highlight w:val="none"/>
              </w:rPr>
            </w:pPr>
          </w:p>
        </w:tc>
        <w:tc>
          <w:tcPr>
            <w:tcW w:w="1287" w:type="dxa"/>
            <w:gridSpan w:val="2"/>
            <w:vMerge w:val="continue"/>
          </w:tcPr>
          <w:p w14:paraId="658944BD">
            <w:pPr>
              <w:pStyle w:val="21"/>
              <w:keepNext w:val="0"/>
              <w:keepLines w:val="0"/>
              <w:suppressLineNumbers w:val="0"/>
              <w:kinsoku w:val="0"/>
              <w:overflowPunct w:val="0"/>
              <w:spacing w:before="0" w:beforeAutospacing="0" w:after="0" w:afterAutospacing="0"/>
              <w:ind w:left="-115" w:leftChars="-55" w:right="-122" w:rightChars="-58"/>
              <w:jc w:val="center"/>
              <w:rPr>
                <w:rFonts w:hint="default"/>
                <w:color w:val="auto"/>
                <w:highlight w:val="none"/>
              </w:rPr>
            </w:pPr>
          </w:p>
        </w:tc>
        <w:tc>
          <w:tcPr>
            <w:tcW w:w="2132" w:type="dxa"/>
            <w:vAlign w:val="center"/>
          </w:tcPr>
          <w:p w14:paraId="7915B725">
            <w:pPr>
              <w:contextualSpacing/>
              <w:jc w:val="center"/>
              <w:rPr>
                <w:rFonts w:hint="eastAsia" w:ascii="宋体" w:hAnsi="宋体"/>
                <w:color w:val="auto"/>
                <w:highlight w:val="none"/>
              </w:rPr>
            </w:pPr>
            <w:r>
              <w:rPr>
                <w:rFonts w:hint="eastAsia" w:ascii="宋体" w:hAnsi="宋体"/>
                <w:color w:val="auto"/>
                <w:highlight w:val="none"/>
              </w:rPr>
              <w:t>纳税评价</w:t>
            </w:r>
          </w:p>
          <w:p w14:paraId="1DDD299B">
            <w:pPr>
              <w:contextualSpacing/>
              <w:jc w:val="center"/>
              <w:rPr>
                <w:rFonts w:hint="default" w:ascii="宋体" w:hAnsi="宋体"/>
                <w:color w:val="auto"/>
                <w:highlight w:val="none"/>
              </w:rPr>
            </w:pPr>
            <w:r>
              <w:rPr>
                <w:rFonts w:hint="eastAsia" w:ascii="宋体" w:hAnsi="宋体"/>
                <w:color w:val="auto"/>
                <w:highlight w:val="none"/>
              </w:rPr>
              <w:t>（5分）</w:t>
            </w:r>
          </w:p>
        </w:tc>
        <w:tc>
          <w:tcPr>
            <w:tcW w:w="5252" w:type="dxa"/>
            <w:vAlign w:val="center"/>
          </w:tcPr>
          <w:p w14:paraId="1543DAF5">
            <w:pPr>
              <w:widowControl/>
              <w:wordWrap w:val="0"/>
              <w:spacing w:line="276" w:lineRule="auto"/>
              <w:rPr>
                <w:rFonts w:hint="default"/>
                <w:color w:val="auto"/>
                <w:highlight w:val="none"/>
              </w:rPr>
            </w:pPr>
            <w:r>
              <w:rPr>
                <w:rFonts w:hint="eastAsia" w:ascii="宋体" w:hAnsi="宋体" w:cs="宋体"/>
                <w:color w:val="auto"/>
                <w:szCs w:val="21"/>
                <w:highlight w:val="none"/>
              </w:rPr>
              <w:t>连续（含最近评审年份2024年）获得过“A级纳税人”称号5次或以上的得5分，连续获得过“A级纳税人”称号4次的得4分，连续获得过“A级纳税人”称号3次的得3分，连续获得过“A级纳税人”称号2次的得2分，获得过“A级纳税人”称号1次的得1分，没有的不得分。本项最多得5分。</w:t>
            </w:r>
          </w:p>
        </w:tc>
      </w:tr>
      <w:tr w14:paraId="0D58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91" w:type="dxa"/>
            <w:vMerge w:val="continue"/>
          </w:tcPr>
          <w:p w14:paraId="11ED5A4F">
            <w:pPr>
              <w:pStyle w:val="21"/>
              <w:keepNext w:val="0"/>
              <w:keepLines w:val="0"/>
              <w:suppressLineNumbers w:val="0"/>
              <w:kinsoku w:val="0"/>
              <w:overflowPunct w:val="0"/>
              <w:spacing w:before="0" w:beforeAutospacing="0" w:after="0" w:afterAutospacing="0"/>
              <w:ind w:left="-63" w:leftChars="-30" w:right="-111" w:rightChars="-53" w:firstLine="63" w:firstLineChars="30"/>
              <w:jc w:val="center"/>
              <w:rPr>
                <w:rFonts w:hint="default"/>
                <w:color w:val="auto"/>
                <w:highlight w:val="none"/>
              </w:rPr>
            </w:pPr>
          </w:p>
        </w:tc>
        <w:tc>
          <w:tcPr>
            <w:tcW w:w="1287" w:type="dxa"/>
            <w:gridSpan w:val="2"/>
            <w:vMerge w:val="continue"/>
          </w:tcPr>
          <w:p w14:paraId="06BE1EF3">
            <w:pPr>
              <w:pStyle w:val="21"/>
              <w:keepNext w:val="0"/>
              <w:keepLines w:val="0"/>
              <w:suppressLineNumbers w:val="0"/>
              <w:kinsoku w:val="0"/>
              <w:overflowPunct w:val="0"/>
              <w:spacing w:before="0" w:beforeAutospacing="0" w:after="0" w:afterAutospacing="0"/>
              <w:ind w:left="-115" w:leftChars="-55" w:right="-122" w:rightChars="-58"/>
              <w:jc w:val="center"/>
              <w:rPr>
                <w:rFonts w:hint="default"/>
                <w:color w:val="auto"/>
                <w:highlight w:val="none"/>
              </w:rPr>
            </w:pPr>
          </w:p>
        </w:tc>
        <w:tc>
          <w:tcPr>
            <w:tcW w:w="2132" w:type="dxa"/>
            <w:vAlign w:val="center"/>
          </w:tcPr>
          <w:p w14:paraId="035087AA">
            <w:pPr>
              <w:contextualSpacing/>
              <w:jc w:val="center"/>
              <w:rPr>
                <w:rFonts w:hint="default" w:ascii="宋体" w:hAnsi="宋体"/>
                <w:color w:val="auto"/>
                <w:highlight w:val="none"/>
              </w:rPr>
            </w:pPr>
            <w:r>
              <w:rPr>
                <w:rFonts w:hint="eastAsia" w:ascii="宋体" w:hAnsi="宋体"/>
                <w:color w:val="auto"/>
                <w:highlight w:val="none"/>
              </w:rPr>
              <w:t>企业信誉（5分）</w:t>
            </w:r>
          </w:p>
        </w:tc>
        <w:tc>
          <w:tcPr>
            <w:tcW w:w="5252" w:type="dxa"/>
            <w:vAlign w:val="center"/>
          </w:tcPr>
          <w:p w14:paraId="7B10AB5A">
            <w:pPr>
              <w:contextualSpacing/>
              <w:jc w:val="left"/>
              <w:rPr>
                <w:rFonts w:hint="default" w:ascii="宋体" w:hAnsi="宋体"/>
                <w:color w:val="auto"/>
                <w:highlight w:val="none"/>
              </w:rPr>
            </w:pPr>
            <w:r>
              <w:rPr>
                <w:rFonts w:hint="eastAsia" w:ascii="宋体" w:hAnsi="宋体" w:cs="宋体"/>
                <w:color w:val="auto"/>
                <w:szCs w:val="21"/>
                <w:highlight w:val="none"/>
              </w:rPr>
              <w:t>2019年1月1日至今，</w:t>
            </w:r>
            <w:r>
              <w:rPr>
                <w:rFonts w:hint="eastAsia" w:ascii="宋体" w:hAnsi="宋体"/>
                <w:color w:val="auto"/>
                <w:highlight w:val="none"/>
              </w:rPr>
              <w:t>投标人曾获得过省级或以上科技创新先进企业</w:t>
            </w:r>
            <w:r>
              <w:rPr>
                <w:rFonts w:hint="eastAsia" w:ascii="宋体" w:hAnsi="宋体"/>
                <w:color w:val="auto"/>
                <w:highlight w:val="none"/>
                <w:lang w:val="en-US" w:eastAsia="zh-CN"/>
              </w:rPr>
              <w:t>类证书</w:t>
            </w:r>
            <w:r>
              <w:rPr>
                <w:rFonts w:hint="eastAsia" w:ascii="宋体" w:hAnsi="宋体"/>
                <w:color w:val="auto"/>
                <w:highlight w:val="none"/>
              </w:rPr>
              <w:t>的得5分，没有的不得分。</w:t>
            </w:r>
          </w:p>
        </w:tc>
      </w:tr>
      <w:tr w14:paraId="4139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restart"/>
            <w:vAlign w:val="center"/>
          </w:tcPr>
          <w:p w14:paraId="2D92E71D">
            <w:pPr>
              <w:pStyle w:val="21"/>
              <w:keepNext w:val="0"/>
              <w:keepLines w:val="0"/>
              <w:suppressLineNumbers w:val="0"/>
              <w:kinsoku w:val="0"/>
              <w:overflowPunct w:val="0"/>
              <w:spacing w:before="0" w:beforeAutospacing="0" w:after="0" w:afterAutospacing="0"/>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2.2.4（2）</w:t>
            </w:r>
          </w:p>
        </w:tc>
        <w:tc>
          <w:tcPr>
            <w:tcW w:w="1287" w:type="dxa"/>
            <w:gridSpan w:val="2"/>
            <w:vMerge w:val="restart"/>
            <w:vAlign w:val="center"/>
          </w:tcPr>
          <w:p w14:paraId="350C10B8">
            <w:pPr>
              <w:keepNext w:val="0"/>
              <w:keepLines w:val="0"/>
              <w:suppressLineNumbers w:val="0"/>
              <w:spacing w:before="0" w:beforeAutospacing="0" w:after="0" w:afterAutospacing="0"/>
              <w:ind w:left="315" w:right="0" w:hanging="315" w:hangingChars="150"/>
              <w:jc w:val="center"/>
              <w:rPr>
                <w:rFonts w:hint="default" w:ascii="宋体" w:hAnsi="宋体"/>
                <w:color w:val="auto"/>
                <w:highlight w:val="none"/>
              </w:rPr>
            </w:pPr>
            <w:r>
              <w:rPr>
                <w:rFonts w:hint="eastAsia" w:ascii="宋体" w:hAnsi="宋体"/>
                <w:color w:val="auto"/>
                <w:highlight w:val="none"/>
              </w:rPr>
              <w:t>监理大纲</w:t>
            </w:r>
          </w:p>
          <w:p w14:paraId="2F160362">
            <w:pPr>
              <w:keepNext w:val="0"/>
              <w:keepLines w:val="0"/>
              <w:suppressLineNumbers w:val="0"/>
              <w:spacing w:before="0" w:beforeAutospacing="0" w:after="0" w:afterAutospacing="0"/>
              <w:ind w:left="315" w:right="0" w:hanging="315" w:hangingChars="150"/>
              <w:jc w:val="center"/>
              <w:rPr>
                <w:rFonts w:hint="default" w:ascii="宋体" w:hAnsi="宋体"/>
                <w:color w:val="auto"/>
                <w:highlight w:val="none"/>
              </w:rPr>
            </w:pPr>
            <w:r>
              <w:rPr>
                <w:rFonts w:hint="eastAsia" w:ascii="宋体" w:hAnsi="宋体"/>
                <w:color w:val="auto"/>
                <w:highlight w:val="none"/>
              </w:rPr>
              <w:t>评分标准</w:t>
            </w:r>
          </w:p>
          <w:p w14:paraId="34551231">
            <w:pPr>
              <w:keepNext w:val="0"/>
              <w:keepLines w:val="0"/>
              <w:suppressLineNumbers w:val="0"/>
              <w:spacing w:before="0" w:beforeAutospacing="0" w:after="0" w:afterAutospacing="0"/>
              <w:ind w:left="315" w:right="0" w:hanging="315" w:hangingChars="150"/>
              <w:jc w:val="center"/>
              <w:rPr>
                <w:rFonts w:hint="default"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45</w:t>
            </w:r>
            <w:r>
              <w:rPr>
                <w:rFonts w:hint="eastAsia" w:ascii="宋体" w:hAnsi="宋体"/>
                <w:color w:val="auto"/>
                <w:highlight w:val="none"/>
              </w:rPr>
              <w:t>分）</w:t>
            </w:r>
          </w:p>
        </w:tc>
        <w:tc>
          <w:tcPr>
            <w:tcW w:w="2132" w:type="dxa"/>
            <w:vAlign w:val="center"/>
          </w:tcPr>
          <w:p w14:paraId="354C64A5">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监理范围与内容、监理依据与工作目标（3分）</w:t>
            </w:r>
          </w:p>
        </w:tc>
        <w:tc>
          <w:tcPr>
            <w:tcW w:w="5252" w:type="dxa"/>
            <w:vAlign w:val="center"/>
          </w:tcPr>
          <w:p w14:paraId="5BA5883C">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响应并满足招标文件要求的得 3分；不满足的不得分。</w:t>
            </w:r>
          </w:p>
        </w:tc>
      </w:tr>
      <w:tr w14:paraId="0CC4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759B9133">
            <w:pPr>
              <w:keepNext w:val="0"/>
              <w:keepLines w:val="0"/>
              <w:suppressLineNumbers w:val="0"/>
              <w:spacing w:before="0" w:beforeAutospacing="0" w:after="0" w:afterAutospacing="0" w:line="440" w:lineRule="exact"/>
              <w:ind w:left="0" w:right="0"/>
              <w:jc w:val="center"/>
              <w:rPr>
                <w:rFonts w:hint="default" w:eastAsia="Times New Roman"/>
                <w:color w:val="auto"/>
                <w:highlight w:val="none"/>
              </w:rPr>
            </w:pPr>
          </w:p>
        </w:tc>
        <w:tc>
          <w:tcPr>
            <w:tcW w:w="1287" w:type="dxa"/>
            <w:gridSpan w:val="2"/>
            <w:vMerge w:val="continue"/>
          </w:tcPr>
          <w:p w14:paraId="030692FB">
            <w:pPr>
              <w:keepNext w:val="0"/>
              <w:keepLines w:val="0"/>
              <w:suppressLineNumbers w:val="0"/>
              <w:spacing w:before="0" w:beforeAutospacing="0" w:after="0" w:afterAutospacing="0" w:line="440" w:lineRule="exact"/>
              <w:ind w:left="0" w:right="0"/>
              <w:jc w:val="center"/>
              <w:rPr>
                <w:rFonts w:hint="default"/>
                <w:color w:val="auto"/>
                <w:highlight w:val="none"/>
              </w:rPr>
            </w:pPr>
          </w:p>
        </w:tc>
        <w:tc>
          <w:tcPr>
            <w:tcW w:w="2132" w:type="dxa"/>
            <w:vAlign w:val="center"/>
          </w:tcPr>
          <w:p w14:paraId="6AE54117">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监理工作程序、方法和制度（4分）</w:t>
            </w:r>
          </w:p>
        </w:tc>
        <w:tc>
          <w:tcPr>
            <w:tcW w:w="5252" w:type="dxa"/>
            <w:vAlign w:val="center"/>
          </w:tcPr>
          <w:p w14:paraId="341AD351">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有清晰的工作流程图、工作准则。满足要求得4分；基本满足要求得2分；不满足要求不得分。最高不超过4分。</w:t>
            </w:r>
          </w:p>
        </w:tc>
      </w:tr>
      <w:tr w14:paraId="5225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7B723C10">
            <w:pPr>
              <w:keepNext w:val="0"/>
              <w:keepLines w:val="0"/>
              <w:suppressLineNumbers w:val="0"/>
              <w:spacing w:before="0" w:beforeAutospacing="0" w:after="0" w:afterAutospacing="0" w:line="440" w:lineRule="exact"/>
              <w:ind w:left="0" w:right="0"/>
              <w:jc w:val="center"/>
              <w:rPr>
                <w:rFonts w:hint="default" w:eastAsia="Times New Roman"/>
                <w:color w:val="auto"/>
                <w:highlight w:val="none"/>
              </w:rPr>
            </w:pPr>
          </w:p>
        </w:tc>
        <w:tc>
          <w:tcPr>
            <w:tcW w:w="1287" w:type="dxa"/>
            <w:gridSpan w:val="2"/>
            <w:vMerge w:val="continue"/>
          </w:tcPr>
          <w:p w14:paraId="621AEC9D">
            <w:pPr>
              <w:keepNext w:val="0"/>
              <w:keepLines w:val="0"/>
              <w:suppressLineNumbers w:val="0"/>
              <w:spacing w:before="0" w:beforeAutospacing="0" w:after="0" w:afterAutospacing="0" w:line="440" w:lineRule="exact"/>
              <w:ind w:left="0" w:right="0"/>
              <w:jc w:val="center"/>
              <w:rPr>
                <w:rFonts w:hint="default"/>
                <w:color w:val="auto"/>
                <w:highlight w:val="none"/>
              </w:rPr>
            </w:pPr>
          </w:p>
        </w:tc>
        <w:tc>
          <w:tcPr>
            <w:tcW w:w="2132" w:type="dxa"/>
            <w:vAlign w:val="center"/>
          </w:tcPr>
          <w:p w14:paraId="49CF1B09">
            <w:pPr>
              <w:contextualSpacing/>
              <w:jc w:val="center"/>
              <w:rPr>
                <w:rFonts w:hint="eastAsia" w:ascii="宋体" w:hAnsi="宋体"/>
                <w:color w:val="auto"/>
                <w:highlight w:val="none"/>
              </w:rPr>
            </w:pPr>
            <w:r>
              <w:rPr>
                <w:rFonts w:hint="eastAsia" w:ascii="宋体" w:hAnsi="宋体"/>
                <w:color w:val="auto"/>
                <w:highlight w:val="none"/>
              </w:rPr>
              <w:t>质量控制措施</w:t>
            </w:r>
          </w:p>
          <w:p w14:paraId="47BE2D45">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（5分）</w:t>
            </w:r>
          </w:p>
        </w:tc>
        <w:tc>
          <w:tcPr>
            <w:tcW w:w="5252" w:type="dxa"/>
            <w:vAlign w:val="center"/>
          </w:tcPr>
          <w:p w14:paraId="60C45178">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要求目标明确、方法合理可行、措施具体、针对性强。措施为优得5分；措施为良得3分；措施为一般得1分；无措施不得分；最高不超过5分。</w:t>
            </w:r>
          </w:p>
        </w:tc>
      </w:tr>
      <w:tr w14:paraId="2481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5DB7ADFF">
            <w:pPr>
              <w:keepNext w:val="0"/>
              <w:keepLines w:val="0"/>
              <w:suppressLineNumbers w:val="0"/>
              <w:spacing w:before="0" w:beforeAutospacing="0" w:after="0" w:afterAutospacing="0" w:line="440" w:lineRule="exact"/>
              <w:ind w:left="0" w:right="0"/>
              <w:jc w:val="center"/>
              <w:rPr>
                <w:rFonts w:hint="default" w:eastAsia="Times New Roman"/>
                <w:color w:val="auto"/>
                <w:highlight w:val="none"/>
              </w:rPr>
            </w:pPr>
          </w:p>
        </w:tc>
        <w:tc>
          <w:tcPr>
            <w:tcW w:w="1287" w:type="dxa"/>
            <w:gridSpan w:val="2"/>
            <w:vMerge w:val="continue"/>
          </w:tcPr>
          <w:p w14:paraId="39A62237">
            <w:pPr>
              <w:keepNext w:val="0"/>
              <w:keepLines w:val="0"/>
              <w:suppressLineNumbers w:val="0"/>
              <w:spacing w:before="0" w:beforeAutospacing="0" w:after="0" w:afterAutospacing="0" w:line="440" w:lineRule="exact"/>
              <w:ind w:left="0" w:right="0"/>
              <w:jc w:val="center"/>
              <w:rPr>
                <w:rFonts w:hint="default"/>
                <w:color w:val="auto"/>
                <w:highlight w:val="none"/>
              </w:rPr>
            </w:pPr>
          </w:p>
        </w:tc>
        <w:tc>
          <w:tcPr>
            <w:tcW w:w="2132" w:type="dxa"/>
            <w:vAlign w:val="center"/>
          </w:tcPr>
          <w:p w14:paraId="796ADAEF">
            <w:pPr>
              <w:contextualSpacing/>
              <w:jc w:val="center"/>
              <w:rPr>
                <w:rFonts w:hint="eastAsia" w:ascii="宋体" w:hAnsi="宋体"/>
                <w:color w:val="auto"/>
                <w:highlight w:val="none"/>
              </w:rPr>
            </w:pPr>
            <w:r>
              <w:rPr>
                <w:rFonts w:hint="eastAsia" w:ascii="宋体" w:hAnsi="宋体"/>
                <w:color w:val="auto"/>
                <w:highlight w:val="none"/>
              </w:rPr>
              <w:t>进度控制措施</w:t>
            </w:r>
          </w:p>
          <w:p w14:paraId="13D756A2">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（5分）</w:t>
            </w:r>
          </w:p>
        </w:tc>
        <w:tc>
          <w:tcPr>
            <w:tcW w:w="5252" w:type="dxa"/>
            <w:vAlign w:val="center"/>
          </w:tcPr>
          <w:p w14:paraId="185FD9CC">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要求目标明确、方法合理可行、措施具体、针对性强。措施为优得5分；措施为良得3分；措施为一般得1分；无措施不得分；最高不超过5分。</w:t>
            </w:r>
          </w:p>
        </w:tc>
      </w:tr>
      <w:tr w14:paraId="7245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4F5B1FF1">
            <w:pPr>
              <w:keepNext w:val="0"/>
              <w:keepLines w:val="0"/>
              <w:suppressLineNumbers w:val="0"/>
              <w:spacing w:before="0" w:beforeAutospacing="0" w:after="0" w:afterAutospacing="0" w:line="440" w:lineRule="exact"/>
              <w:ind w:left="0" w:right="0"/>
              <w:jc w:val="center"/>
              <w:rPr>
                <w:rFonts w:hint="default" w:eastAsia="Times New Roman"/>
                <w:color w:val="auto"/>
                <w:highlight w:val="none"/>
              </w:rPr>
            </w:pPr>
          </w:p>
        </w:tc>
        <w:tc>
          <w:tcPr>
            <w:tcW w:w="1287" w:type="dxa"/>
            <w:gridSpan w:val="2"/>
            <w:vMerge w:val="continue"/>
          </w:tcPr>
          <w:p w14:paraId="12AB40EA">
            <w:pPr>
              <w:keepNext w:val="0"/>
              <w:keepLines w:val="0"/>
              <w:suppressLineNumbers w:val="0"/>
              <w:spacing w:before="0" w:beforeAutospacing="0" w:after="0" w:afterAutospacing="0" w:line="440" w:lineRule="exact"/>
              <w:ind w:left="0" w:right="0"/>
              <w:jc w:val="center"/>
              <w:rPr>
                <w:rFonts w:hint="default"/>
                <w:color w:val="auto"/>
                <w:highlight w:val="none"/>
              </w:rPr>
            </w:pPr>
          </w:p>
        </w:tc>
        <w:tc>
          <w:tcPr>
            <w:tcW w:w="2132" w:type="dxa"/>
            <w:vAlign w:val="center"/>
          </w:tcPr>
          <w:p w14:paraId="7CEDA748">
            <w:pPr>
              <w:contextualSpacing/>
              <w:jc w:val="center"/>
              <w:rPr>
                <w:rFonts w:hint="eastAsia" w:ascii="宋体" w:hAnsi="宋体"/>
                <w:color w:val="auto"/>
                <w:highlight w:val="none"/>
              </w:rPr>
            </w:pPr>
            <w:r>
              <w:rPr>
                <w:rFonts w:hint="eastAsia" w:ascii="宋体" w:hAnsi="宋体"/>
                <w:color w:val="auto"/>
                <w:highlight w:val="none"/>
              </w:rPr>
              <w:t>造价控制措施</w:t>
            </w:r>
          </w:p>
          <w:p w14:paraId="50441842">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（5分）</w:t>
            </w:r>
          </w:p>
        </w:tc>
        <w:tc>
          <w:tcPr>
            <w:tcW w:w="5252" w:type="dxa"/>
            <w:vAlign w:val="center"/>
          </w:tcPr>
          <w:p w14:paraId="3F05A72C">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要求目标明确、方法合理可行、措施具体、针对性强。措施为优得5分；措施为良得3分；措施为一般得1分；无措施不得分；最高不超过5分。</w:t>
            </w:r>
          </w:p>
        </w:tc>
      </w:tr>
      <w:tr w14:paraId="482C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4563E7E5">
            <w:pPr>
              <w:keepNext w:val="0"/>
              <w:keepLines w:val="0"/>
              <w:suppressLineNumbers w:val="0"/>
              <w:spacing w:before="0" w:beforeAutospacing="0" w:after="0" w:afterAutospacing="0" w:line="440" w:lineRule="exact"/>
              <w:ind w:left="0" w:right="0"/>
              <w:jc w:val="center"/>
              <w:rPr>
                <w:rFonts w:hint="default" w:eastAsia="Times New Roman"/>
                <w:color w:val="auto"/>
                <w:highlight w:val="none"/>
              </w:rPr>
            </w:pPr>
          </w:p>
        </w:tc>
        <w:tc>
          <w:tcPr>
            <w:tcW w:w="1287" w:type="dxa"/>
            <w:gridSpan w:val="2"/>
            <w:vMerge w:val="continue"/>
          </w:tcPr>
          <w:p w14:paraId="085EE0E8">
            <w:pPr>
              <w:keepNext w:val="0"/>
              <w:keepLines w:val="0"/>
              <w:suppressLineNumbers w:val="0"/>
              <w:spacing w:before="0" w:beforeAutospacing="0" w:after="0" w:afterAutospacing="0" w:line="440" w:lineRule="exact"/>
              <w:ind w:left="0" w:right="0"/>
              <w:jc w:val="center"/>
              <w:rPr>
                <w:rFonts w:hint="default"/>
                <w:color w:val="auto"/>
                <w:highlight w:val="none"/>
              </w:rPr>
            </w:pPr>
          </w:p>
        </w:tc>
        <w:tc>
          <w:tcPr>
            <w:tcW w:w="2132" w:type="dxa"/>
            <w:vAlign w:val="center"/>
          </w:tcPr>
          <w:p w14:paraId="362E6202">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安全、环保控制措施（5分）</w:t>
            </w:r>
          </w:p>
        </w:tc>
        <w:tc>
          <w:tcPr>
            <w:tcW w:w="5252" w:type="dxa"/>
            <w:vAlign w:val="center"/>
          </w:tcPr>
          <w:p w14:paraId="6BB11379">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管理措施优得5分；良得3分；一般得1分；无措施不得分。</w:t>
            </w:r>
          </w:p>
        </w:tc>
      </w:tr>
      <w:tr w14:paraId="0F79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4239761B">
            <w:pPr>
              <w:keepNext w:val="0"/>
              <w:keepLines w:val="0"/>
              <w:suppressLineNumbers w:val="0"/>
              <w:spacing w:before="0" w:beforeAutospacing="0" w:after="0" w:afterAutospacing="0" w:line="440" w:lineRule="exact"/>
              <w:ind w:left="0" w:right="0"/>
              <w:jc w:val="center"/>
              <w:rPr>
                <w:rFonts w:hint="default" w:eastAsia="Times New Roman"/>
                <w:color w:val="auto"/>
                <w:highlight w:val="none"/>
              </w:rPr>
            </w:pPr>
          </w:p>
        </w:tc>
        <w:tc>
          <w:tcPr>
            <w:tcW w:w="1287" w:type="dxa"/>
            <w:gridSpan w:val="2"/>
            <w:vMerge w:val="continue"/>
          </w:tcPr>
          <w:p w14:paraId="743E3CD2">
            <w:pPr>
              <w:keepNext w:val="0"/>
              <w:keepLines w:val="0"/>
              <w:suppressLineNumbers w:val="0"/>
              <w:spacing w:before="0" w:beforeAutospacing="0" w:after="0" w:afterAutospacing="0" w:line="440" w:lineRule="exact"/>
              <w:ind w:left="0" w:right="0"/>
              <w:jc w:val="center"/>
              <w:rPr>
                <w:rFonts w:hint="default"/>
                <w:color w:val="auto"/>
                <w:highlight w:val="none"/>
              </w:rPr>
            </w:pPr>
          </w:p>
        </w:tc>
        <w:tc>
          <w:tcPr>
            <w:tcW w:w="2132" w:type="dxa"/>
            <w:vAlign w:val="center"/>
          </w:tcPr>
          <w:p w14:paraId="103BD654">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合同、信息管理方案（3分）</w:t>
            </w:r>
          </w:p>
        </w:tc>
        <w:tc>
          <w:tcPr>
            <w:tcW w:w="5252" w:type="dxa"/>
            <w:vAlign w:val="center"/>
          </w:tcPr>
          <w:p w14:paraId="5D019F33">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管理方法合理有效，针对性强、措施具体得3分；措施不具体得2分；无措施不得分。最高不超过3 分。</w:t>
            </w:r>
          </w:p>
        </w:tc>
      </w:tr>
      <w:tr w14:paraId="70B1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0B8AB2E4">
            <w:pPr>
              <w:keepNext w:val="0"/>
              <w:keepLines w:val="0"/>
              <w:suppressLineNumbers w:val="0"/>
              <w:spacing w:before="0" w:beforeAutospacing="0" w:after="0" w:afterAutospacing="0" w:line="440" w:lineRule="exact"/>
              <w:ind w:left="0" w:right="0"/>
              <w:jc w:val="center"/>
              <w:rPr>
                <w:rFonts w:hint="default" w:eastAsia="Times New Roman"/>
                <w:color w:val="auto"/>
                <w:highlight w:val="none"/>
              </w:rPr>
            </w:pPr>
          </w:p>
        </w:tc>
        <w:tc>
          <w:tcPr>
            <w:tcW w:w="1287" w:type="dxa"/>
            <w:gridSpan w:val="2"/>
            <w:vMerge w:val="continue"/>
          </w:tcPr>
          <w:p w14:paraId="194B2106">
            <w:pPr>
              <w:keepNext w:val="0"/>
              <w:keepLines w:val="0"/>
              <w:suppressLineNumbers w:val="0"/>
              <w:spacing w:before="0" w:beforeAutospacing="0" w:after="0" w:afterAutospacing="0" w:line="440" w:lineRule="exact"/>
              <w:ind w:left="0" w:right="0"/>
              <w:jc w:val="center"/>
              <w:rPr>
                <w:rFonts w:hint="default"/>
                <w:color w:val="auto"/>
                <w:highlight w:val="none"/>
              </w:rPr>
            </w:pPr>
          </w:p>
        </w:tc>
        <w:tc>
          <w:tcPr>
            <w:tcW w:w="2132" w:type="dxa"/>
            <w:vAlign w:val="center"/>
          </w:tcPr>
          <w:p w14:paraId="10B1F184">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组织协调内容及措施（3分）</w:t>
            </w:r>
          </w:p>
        </w:tc>
        <w:tc>
          <w:tcPr>
            <w:tcW w:w="5252" w:type="dxa"/>
            <w:vAlign w:val="center"/>
          </w:tcPr>
          <w:p w14:paraId="24D34139">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协调方法合理、针对性强、措施具体得3分；基本可行得2分；措施不得力不得分。最高不超过3分。</w:t>
            </w:r>
          </w:p>
        </w:tc>
      </w:tr>
      <w:tr w14:paraId="719A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68B154BC">
            <w:pPr>
              <w:keepNext w:val="0"/>
              <w:keepLines w:val="0"/>
              <w:suppressLineNumbers w:val="0"/>
              <w:spacing w:before="0" w:beforeAutospacing="0" w:after="0" w:afterAutospacing="0" w:line="440" w:lineRule="exact"/>
              <w:ind w:left="0" w:right="0"/>
              <w:jc w:val="center"/>
              <w:rPr>
                <w:rFonts w:hint="default" w:eastAsia="Times New Roman"/>
                <w:color w:val="auto"/>
                <w:highlight w:val="none"/>
              </w:rPr>
            </w:pPr>
          </w:p>
        </w:tc>
        <w:tc>
          <w:tcPr>
            <w:tcW w:w="1287" w:type="dxa"/>
            <w:gridSpan w:val="2"/>
            <w:vMerge w:val="continue"/>
          </w:tcPr>
          <w:p w14:paraId="62EAE11D">
            <w:pPr>
              <w:keepNext w:val="0"/>
              <w:keepLines w:val="0"/>
              <w:suppressLineNumbers w:val="0"/>
              <w:spacing w:before="0" w:beforeAutospacing="0" w:after="0" w:afterAutospacing="0" w:line="440" w:lineRule="exact"/>
              <w:ind w:left="0" w:right="0"/>
              <w:jc w:val="center"/>
              <w:rPr>
                <w:rFonts w:hint="default"/>
                <w:color w:val="auto"/>
                <w:highlight w:val="none"/>
              </w:rPr>
            </w:pPr>
          </w:p>
        </w:tc>
        <w:tc>
          <w:tcPr>
            <w:tcW w:w="2132" w:type="dxa"/>
            <w:shd w:val="clear" w:color="auto" w:fill="auto"/>
            <w:vAlign w:val="center"/>
          </w:tcPr>
          <w:p w14:paraId="477E4125">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重点难点监控措施（3分）</w:t>
            </w:r>
          </w:p>
        </w:tc>
        <w:tc>
          <w:tcPr>
            <w:tcW w:w="5252" w:type="dxa"/>
            <w:shd w:val="clear" w:color="auto" w:fill="auto"/>
            <w:vAlign w:val="center"/>
          </w:tcPr>
          <w:p w14:paraId="652B7958">
            <w:pPr>
              <w:contextualSpacing/>
              <w:jc w:val="left"/>
              <w:rPr>
                <w:rFonts w:hint="eastAsia"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要求针对性强、措施具体、可操作。优得3分；良得2分；中得1分；差及无措施不得分。最高不超过3分。</w:t>
            </w:r>
          </w:p>
        </w:tc>
      </w:tr>
      <w:tr w14:paraId="52F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6C5CCFB7">
            <w:pPr>
              <w:keepNext w:val="0"/>
              <w:keepLines w:val="0"/>
              <w:suppressLineNumbers w:val="0"/>
              <w:spacing w:before="0" w:beforeAutospacing="0" w:after="0" w:afterAutospacing="0" w:line="440" w:lineRule="exact"/>
              <w:ind w:left="0" w:right="0"/>
              <w:jc w:val="center"/>
              <w:rPr>
                <w:rFonts w:hint="default" w:ascii="宋体" w:hAnsi="宋体"/>
                <w:color w:val="auto"/>
                <w:spacing w:val="-1"/>
                <w:highlight w:val="none"/>
              </w:rPr>
            </w:pPr>
          </w:p>
        </w:tc>
        <w:tc>
          <w:tcPr>
            <w:tcW w:w="1287" w:type="dxa"/>
            <w:gridSpan w:val="2"/>
            <w:vMerge w:val="continue"/>
          </w:tcPr>
          <w:p w14:paraId="5756BE42">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2132" w:type="dxa"/>
            <w:vAlign w:val="center"/>
          </w:tcPr>
          <w:p w14:paraId="189CEE38">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合理化建议（3分）</w:t>
            </w:r>
          </w:p>
        </w:tc>
        <w:tc>
          <w:tcPr>
            <w:tcW w:w="5252" w:type="dxa"/>
            <w:vAlign w:val="center"/>
          </w:tcPr>
          <w:p w14:paraId="6E34C259">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具有科学、合理、可行及具体措施的建议并经评委分析论证认同的可得3分；无建议或建议不可行的不得分。最高不超过3分。</w:t>
            </w:r>
          </w:p>
        </w:tc>
      </w:tr>
      <w:tr w14:paraId="19AF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30491FBB">
            <w:pPr>
              <w:keepNext w:val="0"/>
              <w:keepLines w:val="0"/>
              <w:suppressLineNumbers w:val="0"/>
              <w:spacing w:before="0" w:beforeAutospacing="0" w:after="0" w:afterAutospacing="0" w:line="440" w:lineRule="exact"/>
              <w:ind w:left="0" w:right="0"/>
              <w:jc w:val="center"/>
              <w:rPr>
                <w:rFonts w:hint="default" w:ascii="宋体" w:hAnsi="宋体"/>
                <w:color w:val="auto"/>
                <w:spacing w:val="-1"/>
                <w:highlight w:val="none"/>
              </w:rPr>
            </w:pPr>
          </w:p>
        </w:tc>
        <w:tc>
          <w:tcPr>
            <w:tcW w:w="1287" w:type="dxa"/>
            <w:gridSpan w:val="2"/>
            <w:vMerge w:val="continue"/>
          </w:tcPr>
          <w:p w14:paraId="39B21352">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2132" w:type="dxa"/>
            <w:vAlign w:val="center"/>
          </w:tcPr>
          <w:p w14:paraId="25C18B80">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工程验收、移交、保修的管理（2）</w:t>
            </w:r>
          </w:p>
        </w:tc>
        <w:tc>
          <w:tcPr>
            <w:tcW w:w="5252" w:type="dxa"/>
            <w:vAlign w:val="center"/>
          </w:tcPr>
          <w:p w14:paraId="730345D9">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管理方法合理有效、有具体措施得2分；一般、措施不具体得1分；无管理方法和措施不得分。最高不超过2分。</w:t>
            </w:r>
          </w:p>
        </w:tc>
      </w:tr>
      <w:tr w14:paraId="36C3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2AD33408">
            <w:pPr>
              <w:keepNext w:val="0"/>
              <w:keepLines w:val="0"/>
              <w:suppressLineNumbers w:val="0"/>
              <w:spacing w:before="0" w:beforeAutospacing="0" w:after="0" w:afterAutospacing="0" w:line="440" w:lineRule="exact"/>
              <w:ind w:left="0" w:right="0"/>
              <w:jc w:val="center"/>
              <w:rPr>
                <w:rFonts w:hint="default" w:ascii="宋体" w:hAnsi="宋体"/>
                <w:color w:val="auto"/>
                <w:spacing w:val="-1"/>
                <w:highlight w:val="none"/>
              </w:rPr>
            </w:pPr>
          </w:p>
        </w:tc>
        <w:tc>
          <w:tcPr>
            <w:tcW w:w="1287" w:type="dxa"/>
            <w:gridSpan w:val="2"/>
            <w:vMerge w:val="continue"/>
          </w:tcPr>
          <w:p w14:paraId="7329FF7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2132" w:type="dxa"/>
            <w:shd w:val="clear" w:color="auto" w:fill="auto"/>
            <w:vAlign w:val="center"/>
          </w:tcPr>
          <w:p w14:paraId="552B3738">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工程进度款、工程结算的管理（2分）</w:t>
            </w:r>
          </w:p>
        </w:tc>
        <w:tc>
          <w:tcPr>
            <w:tcW w:w="5252" w:type="dxa"/>
            <w:shd w:val="clear" w:color="auto" w:fill="auto"/>
            <w:vAlign w:val="center"/>
          </w:tcPr>
          <w:p w14:paraId="52F73242">
            <w:pPr>
              <w:contextualSpacing/>
              <w:jc w:val="left"/>
              <w:rPr>
                <w:rFonts w:hint="eastAsia"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管理方法合理有效、有具体措施得2分；一般、措施不具体得1分；无管理的方法和措施不得分。最高不超过2 分。</w:t>
            </w:r>
          </w:p>
        </w:tc>
      </w:tr>
      <w:tr w14:paraId="1B50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159F8E4D">
            <w:pPr>
              <w:keepNext w:val="0"/>
              <w:keepLines w:val="0"/>
              <w:suppressLineNumbers w:val="0"/>
              <w:spacing w:before="0" w:beforeAutospacing="0" w:after="0" w:afterAutospacing="0" w:line="440" w:lineRule="exact"/>
              <w:ind w:left="0" w:right="0"/>
              <w:jc w:val="center"/>
              <w:rPr>
                <w:rFonts w:hint="default" w:ascii="宋体" w:hAnsi="宋体"/>
                <w:color w:val="auto"/>
                <w:spacing w:val="-1"/>
                <w:highlight w:val="none"/>
              </w:rPr>
            </w:pPr>
          </w:p>
        </w:tc>
        <w:tc>
          <w:tcPr>
            <w:tcW w:w="1287" w:type="dxa"/>
            <w:gridSpan w:val="2"/>
            <w:vMerge w:val="continue"/>
          </w:tcPr>
          <w:p w14:paraId="29FAA43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2132" w:type="dxa"/>
            <w:shd w:val="clear" w:color="auto" w:fill="auto"/>
            <w:vAlign w:val="center"/>
          </w:tcPr>
          <w:p w14:paraId="5687A3F0">
            <w:pPr>
              <w:contextualSpacing/>
              <w:jc w:val="center"/>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会议制度（2分）</w:t>
            </w:r>
          </w:p>
        </w:tc>
        <w:tc>
          <w:tcPr>
            <w:tcW w:w="5252" w:type="dxa"/>
            <w:shd w:val="clear" w:color="auto" w:fill="auto"/>
            <w:vAlign w:val="center"/>
          </w:tcPr>
          <w:p w14:paraId="030170F3">
            <w:pPr>
              <w:contextualSpacing/>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olor w:val="auto"/>
                <w:highlight w:val="none"/>
              </w:rPr>
              <w:t>建立完善的工地会议制度。满足要求得2分；不满足要求不得分。最高不超过2分。</w:t>
            </w:r>
          </w:p>
        </w:tc>
      </w:tr>
      <w:tr w14:paraId="25E5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007D0A43">
            <w:pPr>
              <w:pStyle w:val="21"/>
              <w:keepNext w:val="0"/>
              <w:keepLines w:val="0"/>
              <w:suppressLineNumbers w:val="0"/>
              <w:kinsoku w:val="0"/>
              <w:overflowPunct w:val="0"/>
              <w:spacing w:before="1" w:beforeAutospacing="0" w:after="0" w:afterAutospacing="0" w:line="160" w:lineRule="exact"/>
              <w:ind w:left="-63" w:leftChars="-30" w:right="-111" w:rightChars="-53" w:firstLine="48" w:firstLineChars="30"/>
              <w:jc w:val="center"/>
              <w:rPr>
                <w:rFonts w:hint="default"/>
                <w:color w:val="auto"/>
                <w:sz w:val="16"/>
                <w:highlight w:val="none"/>
              </w:rPr>
            </w:pPr>
          </w:p>
          <w:p w14:paraId="645C25A5">
            <w:pPr>
              <w:pStyle w:val="21"/>
              <w:keepNext w:val="0"/>
              <w:keepLines w:val="0"/>
              <w:suppressLineNumbers w:val="0"/>
              <w:kinsoku w:val="0"/>
              <w:overflowPunct w:val="0"/>
              <w:spacing w:before="0" w:beforeAutospacing="0" w:after="0" w:afterAutospacing="0"/>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w:t>
            </w:r>
          </w:p>
          <w:p w14:paraId="643B4CA8">
            <w:pPr>
              <w:pStyle w:val="21"/>
              <w:keepNext w:val="0"/>
              <w:keepLines w:val="0"/>
              <w:suppressLineNumbers w:val="0"/>
              <w:kinsoku w:val="0"/>
              <w:overflowPunct w:val="0"/>
              <w:spacing w:before="6" w:beforeAutospacing="0" w:after="0" w:afterAutospacing="0" w:line="110" w:lineRule="exact"/>
              <w:ind w:left="-63" w:leftChars="-30" w:right="-111" w:rightChars="-53" w:firstLine="33" w:firstLineChars="30"/>
              <w:jc w:val="center"/>
              <w:rPr>
                <w:rFonts w:hint="default"/>
                <w:color w:val="auto"/>
                <w:sz w:val="11"/>
                <w:highlight w:val="none"/>
              </w:rPr>
            </w:pPr>
          </w:p>
          <w:p w14:paraId="061CDBAF">
            <w:pPr>
              <w:pStyle w:val="21"/>
              <w:keepNext w:val="0"/>
              <w:keepLines w:val="0"/>
              <w:suppressLineNumbers w:val="0"/>
              <w:kinsoku w:val="0"/>
              <w:overflowPunct w:val="0"/>
              <w:spacing w:before="0" w:beforeAutospacing="0" w:after="0" w:afterAutospacing="0"/>
              <w:ind w:left="-63" w:leftChars="-30" w:right="-111" w:rightChars="-53" w:firstLine="62" w:firstLineChars="30"/>
              <w:jc w:val="center"/>
              <w:rPr>
                <w:rFonts w:hint="default"/>
                <w:color w:val="auto"/>
                <w:highlight w:val="none"/>
              </w:rPr>
            </w:pPr>
            <w:r>
              <w:rPr>
                <w:rFonts w:ascii="宋体" w:hAnsi="宋体"/>
                <w:color w:val="auto"/>
                <w:spacing w:val="-1"/>
                <w:highlight w:val="none"/>
              </w:rPr>
              <w:t>（</w:t>
            </w:r>
            <w:r>
              <w:rPr>
                <w:rFonts w:eastAsia="Times New Roman"/>
                <w:color w:val="auto"/>
                <w:highlight w:val="none"/>
              </w:rPr>
              <w:t>3</w:t>
            </w:r>
            <w:r>
              <w:rPr>
                <w:rFonts w:ascii="宋体" w:hAnsi="宋体"/>
                <w:color w:val="auto"/>
                <w:highlight w:val="none"/>
              </w:rPr>
              <w:t>）</w:t>
            </w:r>
          </w:p>
        </w:tc>
        <w:tc>
          <w:tcPr>
            <w:tcW w:w="1287" w:type="dxa"/>
            <w:gridSpan w:val="2"/>
            <w:vAlign w:val="center"/>
          </w:tcPr>
          <w:p w14:paraId="2E2A4377">
            <w:pPr>
              <w:keepNext w:val="0"/>
              <w:keepLines w:val="0"/>
              <w:suppressLineNumbers w:val="0"/>
              <w:spacing w:before="0" w:beforeAutospacing="0" w:after="0" w:afterAutospacing="0"/>
              <w:ind w:left="315" w:right="0" w:hanging="315" w:hangingChars="150"/>
              <w:jc w:val="center"/>
              <w:rPr>
                <w:rFonts w:hint="default" w:ascii="宋体" w:hAnsi="Courier New"/>
                <w:color w:val="auto"/>
                <w:szCs w:val="21"/>
                <w:highlight w:val="none"/>
              </w:rPr>
            </w:pPr>
            <w:r>
              <w:rPr>
                <w:rFonts w:hint="eastAsia" w:ascii="宋体" w:hAnsi="宋体"/>
                <w:color w:val="auto"/>
                <w:highlight w:val="none"/>
              </w:rPr>
              <w:t>投标</w:t>
            </w:r>
            <w:r>
              <w:rPr>
                <w:rFonts w:hint="eastAsia" w:ascii="宋体" w:hAnsi="Courier New"/>
                <w:color w:val="auto"/>
                <w:szCs w:val="21"/>
                <w:highlight w:val="none"/>
              </w:rPr>
              <w:t>报价</w:t>
            </w:r>
          </w:p>
          <w:p w14:paraId="19A253CC">
            <w:pPr>
              <w:keepNext w:val="0"/>
              <w:keepLines w:val="0"/>
              <w:suppressLineNumbers w:val="0"/>
              <w:spacing w:before="0" w:beforeAutospacing="0" w:after="0" w:afterAutospacing="0"/>
              <w:ind w:left="315" w:right="0" w:hanging="315" w:hangingChars="150"/>
              <w:jc w:val="center"/>
              <w:rPr>
                <w:rFonts w:hint="default"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14:paraId="55EE248D">
            <w:pPr>
              <w:keepNext w:val="0"/>
              <w:keepLines w:val="0"/>
              <w:suppressLineNumbers w:val="0"/>
              <w:spacing w:before="0" w:beforeAutospacing="0" w:after="0" w:afterAutospacing="0"/>
              <w:ind w:left="315" w:right="0" w:hanging="315" w:hangingChars="150"/>
              <w:jc w:val="center"/>
              <w:rPr>
                <w:rFonts w:hint="default"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10</w:t>
            </w:r>
            <w:r>
              <w:rPr>
                <w:rFonts w:hint="eastAsia" w:ascii="宋体" w:hAnsi="宋体"/>
                <w:color w:val="auto"/>
                <w:highlight w:val="none"/>
              </w:rPr>
              <w:t>分）</w:t>
            </w:r>
          </w:p>
        </w:tc>
        <w:tc>
          <w:tcPr>
            <w:tcW w:w="2132" w:type="dxa"/>
            <w:vAlign w:val="center"/>
          </w:tcPr>
          <w:p w14:paraId="0343B354">
            <w:pPr>
              <w:pStyle w:val="21"/>
              <w:keepNext w:val="0"/>
              <w:keepLines w:val="0"/>
              <w:suppressLineNumbers w:val="0"/>
              <w:kinsoku w:val="0"/>
              <w:overflowPunct w:val="0"/>
              <w:spacing w:before="14" w:beforeAutospacing="0" w:after="0" w:afterAutospacing="0"/>
              <w:ind w:left="-102" w:leftChars="-49" w:right="0" w:hanging="1"/>
              <w:jc w:val="center"/>
              <w:rPr>
                <w:rFonts w:hint="default" w:ascii="宋体" w:hAnsi="宋体"/>
                <w:color w:val="auto"/>
                <w:highlight w:val="none"/>
              </w:rPr>
            </w:pPr>
            <w:r>
              <w:rPr>
                <w:rFonts w:ascii="宋体" w:hAnsi="宋体"/>
                <w:color w:val="auto"/>
                <w:highlight w:val="none"/>
              </w:rPr>
              <w:t>报价得分</w:t>
            </w:r>
            <w:r>
              <w:rPr>
                <w:rFonts w:ascii="宋体" w:hAnsi="宋体" w:cs="宋体"/>
                <w:color w:val="auto"/>
                <w:szCs w:val="21"/>
                <w:highlight w:val="none"/>
              </w:rPr>
              <w:t>(</w:t>
            </w:r>
            <w:r>
              <w:rPr>
                <w:rFonts w:hint="eastAsia" w:ascii="宋体" w:hAnsi="宋体" w:cs="宋体"/>
                <w:color w:val="auto"/>
                <w:szCs w:val="21"/>
                <w:highlight w:val="none"/>
                <w:lang w:val="en-US" w:eastAsia="zh-CN"/>
              </w:rPr>
              <w:t>10</w:t>
            </w:r>
            <w:r>
              <w:rPr>
                <w:rFonts w:ascii="宋体" w:hAnsi="宋体" w:cs="宋体"/>
                <w:color w:val="auto"/>
                <w:szCs w:val="21"/>
                <w:highlight w:val="none"/>
              </w:rPr>
              <w:t>分)</w:t>
            </w:r>
          </w:p>
        </w:tc>
        <w:tc>
          <w:tcPr>
            <w:tcW w:w="5252" w:type="dxa"/>
          </w:tcPr>
          <w:p w14:paraId="374268D8">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以评标基准价作为计算各有效投标价得分的基础，当有效投标报价等于评标基准价时得</w:t>
            </w:r>
            <w:r>
              <w:rPr>
                <w:rFonts w:hint="eastAsia" w:ascii="宋体" w:hAnsi="宋体"/>
                <w:color w:val="auto"/>
                <w:highlight w:val="none"/>
                <w:lang w:val="en-US" w:eastAsia="zh-CN"/>
              </w:rPr>
              <w:t>10</w:t>
            </w:r>
            <w:r>
              <w:rPr>
                <w:rFonts w:hint="eastAsia" w:ascii="宋体" w:hAnsi="宋体"/>
                <w:color w:val="auto"/>
                <w:highlight w:val="none"/>
              </w:rPr>
              <w:t>分；投标有效报价与评标基准价之差，每上偏1%扣</w:t>
            </w:r>
            <w:r>
              <w:rPr>
                <w:rFonts w:hint="eastAsia" w:ascii="宋体" w:hAnsi="宋体"/>
                <w:color w:val="auto"/>
                <w:highlight w:val="none"/>
                <w:lang w:val="en-US" w:eastAsia="zh-CN"/>
              </w:rPr>
              <w:t>0.5</w:t>
            </w:r>
            <w:r>
              <w:rPr>
                <w:rFonts w:hint="eastAsia" w:ascii="宋体" w:hAnsi="宋体"/>
                <w:color w:val="auto"/>
                <w:highlight w:val="none"/>
              </w:rPr>
              <w:t>分，下偏1%扣</w:t>
            </w:r>
            <w:r>
              <w:rPr>
                <w:rFonts w:hint="eastAsia" w:ascii="宋体" w:hAnsi="宋体"/>
                <w:color w:val="auto"/>
                <w:highlight w:val="none"/>
                <w:lang w:val="en-US" w:eastAsia="zh-CN"/>
              </w:rPr>
              <w:t>0.3</w:t>
            </w:r>
            <w:r>
              <w:rPr>
                <w:rFonts w:hint="eastAsia" w:ascii="宋体" w:hAnsi="宋体"/>
                <w:color w:val="auto"/>
                <w:highlight w:val="none"/>
              </w:rPr>
              <w:t>分。（得分扣至0分止）</w:t>
            </w:r>
          </w:p>
        </w:tc>
      </w:tr>
      <w:bookmarkEnd w:id="879"/>
    </w:tbl>
    <w:p w14:paraId="31A8E39C">
      <w:pPr>
        <w:topLinePunct/>
        <w:spacing w:line="300" w:lineRule="auto"/>
        <w:rPr>
          <w:color w:val="auto"/>
          <w:highlight w:val="none"/>
        </w:rPr>
      </w:pPr>
      <w:r>
        <w:rPr>
          <w:rFonts w:hint="eastAsia"/>
          <w:color w:val="auto"/>
          <w:highlight w:val="none"/>
        </w:rPr>
        <w:t>说明：（1）企业类似业绩：须同时提供中标通知书</w:t>
      </w:r>
      <w:r>
        <w:rPr>
          <w:rFonts w:hint="eastAsia"/>
          <w:color w:val="auto"/>
          <w:highlight w:val="none"/>
          <w:lang w:eastAsia="zh-CN"/>
        </w:rPr>
        <w:t>（</w:t>
      </w:r>
      <w:r>
        <w:rPr>
          <w:rFonts w:hint="eastAsia"/>
          <w:color w:val="auto"/>
          <w:highlight w:val="none"/>
          <w:lang w:val="en-US" w:eastAsia="zh-CN"/>
        </w:rPr>
        <w:t>或委托函或免招标的证明材料</w:t>
      </w:r>
      <w:r>
        <w:rPr>
          <w:rFonts w:hint="eastAsia"/>
          <w:color w:val="auto"/>
          <w:highlight w:val="none"/>
          <w:lang w:eastAsia="zh-CN"/>
        </w:rPr>
        <w:t>）、</w:t>
      </w:r>
      <w:r>
        <w:rPr>
          <w:rFonts w:hint="eastAsia"/>
          <w:color w:val="auto"/>
          <w:highlight w:val="none"/>
        </w:rPr>
        <w:t>监理合同（监理范围或监理工作内容需包含</w:t>
      </w:r>
      <w:r>
        <w:rPr>
          <w:rFonts w:hint="eastAsia" w:ascii="宋体" w:hAnsi="宋体" w:cs="宋体"/>
          <w:color w:val="auto"/>
          <w:szCs w:val="21"/>
          <w:highlight w:val="none"/>
        </w:rPr>
        <w:t>土壤修复</w:t>
      </w:r>
      <w:r>
        <w:rPr>
          <w:rFonts w:hint="eastAsia"/>
          <w:color w:val="auto"/>
          <w:highlight w:val="none"/>
        </w:rPr>
        <w:t>）扫描件，时间以监理合同签订时间为准。</w:t>
      </w:r>
    </w:p>
    <w:p w14:paraId="38E77383">
      <w:pPr>
        <w:numPr>
          <w:ilvl w:val="0"/>
          <w:numId w:val="0"/>
        </w:numPr>
        <w:topLinePunct/>
        <w:spacing w:line="300" w:lineRule="auto"/>
        <w:ind w:firstLine="420" w:firstLineChars="200"/>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科学技术奖项：须提供获奖证书扫描件，时间以证书载明的年度为准。若颁发单位是行业协会或学会，须同时提供该颁发单位在“中国社会组织公共服务平台”网站(https://chinanpo.mca.gov.cn)登记的查询结果截图，否则该获奖证书不予认定。不满足上述要求的或未提供相关证明材料的不计分。</w:t>
      </w:r>
    </w:p>
    <w:p w14:paraId="3E67605C">
      <w:pPr>
        <w:numPr>
          <w:ilvl w:val="0"/>
          <w:numId w:val="0"/>
        </w:numPr>
        <w:topLinePunct/>
        <w:spacing w:line="30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）管理体系认证：须同时提供认证证书扫描件以及国家认证认可监督管理委员会信息中心认证认可业务信息统一查询平台（http://cx.cnca.cn/）查询结果网页截图。证书均须在有效期内，否则不得分。</w:t>
      </w:r>
    </w:p>
    <w:p w14:paraId="6811EC8B">
      <w:pPr>
        <w:topLinePunct/>
        <w:spacing w:line="300" w:lineRule="auto"/>
        <w:ind w:firstLine="630" w:firstLineChars="300"/>
        <w:rPr>
          <w:color w:val="auto"/>
          <w:highlight w:val="none"/>
        </w:rPr>
      </w:pPr>
      <w:r>
        <w:rPr>
          <w:rFonts w:hint="eastAsia"/>
          <w:color w:val="auto"/>
          <w:highlight w:val="none"/>
        </w:rPr>
        <w:t>（4）纳税信用等级须提供纳税信用荣誉证书扫描件或“国家税务总局”官网（http://www.chinatax.gov.cn/）或各省级税务平台相关网站查询截图。被评价单位必须为投标单位本身（不含上级公司、子公司、分公司、分支机构）。不符合条件或未提供查询结果网页截图的不得分。</w:t>
      </w:r>
    </w:p>
    <w:p w14:paraId="4FA7339F">
      <w:pPr>
        <w:topLinePunct/>
        <w:spacing w:line="300" w:lineRule="auto"/>
        <w:ind w:firstLine="630" w:firstLineChars="3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ascii="宋体" w:hAnsi="宋体" w:eastAsia="宋体" w:cs="宋体"/>
          <w:i w:val="0"/>
          <w:iCs w:val="0"/>
          <w:caps w:val="0"/>
          <w:color w:val="auto"/>
          <w:spacing w:val="0"/>
          <w:sz w:val="21"/>
          <w:szCs w:val="21"/>
          <w:highlight w:val="none"/>
          <w:u w:val="none"/>
          <w:shd w:val="clear" w:color="auto" w:fill="FFFFFF"/>
        </w:rPr>
        <w:t>科技创新企业</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类</w:t>
      </w:r>
      <w:r>
        <w:rPr>
          <w:rFonts w:hint="eastAsia" w:ascii="宋体" w:hAnsi="宋体" w:eastAsia="宋体" w:cs="宋体"/>
          <w:i w:val="0"/>
          <w:iCs w:val="0"/>
          <w:caps w:val="0"/>
          <w:color w:val="auto"/>
          <w:spacing w:val="0"/>
          <w:sz w:val="21"/>
          <w:szCs w:val="21"/>
          <w:highlight w:val="none"/>
          <w:u w:val="none"/>
          <w:shd w:val="clear" w:color="auto" w:fill="FFFFFF"/>
        </w:rPr>
        <w:t>证书</w:t>
      </w:r>
      <w:r>
        <w:rPr>
          <w:rFonts w:hint="eastAsia" w:ascii="宋体" w:hAnsi="宋体" w:cs="宋体"/>
          <w:i w:val="0"/>
          <w:iCs w:val="0"/>
          <w:caps w:val="0"/>
          <w:color w:val="auto"/>
          <w:spacing w:val="0"/>
          <w:sz w:val="21"/>
          <w:szCs w:val="21"/>
          <w:highlight w:val="none"/>
          <w:u w:val="none"/>
          <w:shd w:val="clear" w:color="auto" w:fill="FFFFFF"/>
          <w:lang w:eastAsia="zh-CN"/>
        </w:rPr>
        <w:t>：</w:t>
      </w:r>
      <w:r>
        <w:rPr>
          <w:rFonts w:hint="eastAsia" w:ascii="宋体" w:hAnsi="宋体" w:eastAsia="宋体" w:cs="宋体"/>
          <w:i w:val="0"/>
          <w:iCs w:val="0"/>
          <w:caps w:val="0"/>
          <w:color w:val="auto"/>
          <w:spacing w:val="0"/>
          <w:sz w:val="21"/>
          <w:szCs w:val="21"/>
          <w:highlight w:val="none"/>
          <w:u w:val="none"/>
          <w:shd w:val="clear" w:color="auto" w:fill="FFFFFF"/>
        </w:rPr>
        <w:t>提供</w:t>
      </w:r>
      <w:r>
        <w:rPr>
          <w:rFonts w:hint="eastAsia" w:ascii="宋体" w:hAnsi="宋体" w:cs="宋体"/>
          <w:i w:val="0"/>
          <w:iCs w:val="0"/>
          <w:caps w:val="0"/>
          <w:color w:val="auto"/>
          <w:spacing w:val="0"/>
          <w:sz w:val="21"/>
          <w:szCs w:val="21"/>
          <w:highlight w:val="none"/>
          <w:u w:val="none"/>
          <w:shd w:val="clear" w:color="auto" w:fill="FFFFFF"/>
          <w:lang w:val="en-US" w:eastAsia="zh-CN"/>
        </w:rPr>
        <w:t>获奖</w:t>
      </w:r>
      <w:r>
        <w:rPr>
          <w:rFonts w:hint="eastAsia" w:ascii="宋体" w:hAnsi="宋体" w:eastAsia="宋体" w:cs="宋体"/>
          <w:i w:val="0"/>
          <w:iCs w:val="0"/>
          <w:caps w:val="0"/>
          <w:color w:val="auto"/>
          <w:spacing w:val="0"/>
          <w:sz w:val="21"/>
          <w:szCs w:val="21"/>
          <w:highlight w:val="none"/>
          <w:u w:val="none"/>
          <w:shd w:val="clear" w:color="auto" w:fill="FFFFFF"/>
        </w:rPr>
        <w:t>证书扫描件，时间以证书载明的年度为准。若颁发单位是行业协会或学会，须同时提供该颁发单位在“中国社会组织公共服务平台”网站</w:t>
      </w:r>
      <w:r>
        <w:rPr>
          <w:rFonts w:hint="eastAsia" w:ascii="宋体" w:hAnsi="宋体" w:eastAsia="宋体" w:cs="宋体"/>
          <w:i w:val="0"/>
          <w:iCs w:val="0"/>
          <w:caps w:val="0"/>
          <w:color w:val="auto"/>
          <w:spacing w:val="0"/>
          <w:sz w:val="21"/>
          <w:szCs w:val="21"/>
          <w:highlight w:val="none"/>
          <w:u w:val="none"/>
          <w:shd w:val="clear" w:color="auto" w:fill="FFFFFF"/>
          <w:lang w:val="en-US"/>
        </w:rPr>
        <w:t>(https://chinanpo.mca.gov.cn)</w:t>
      </w:r>
      <w:r>
        <w:rPr>
          <w:rFonts w:hint="eastAsia" w:ascii="宋体" w:hAnsi="宋体" w:eastAsia="宋体" w:cs="宋体"/>
          <w:i w:val="0"/>
          <w:iCs w:val="0"/>
          <w:caps w:val="0"/>
          <w:color w:val="auto"/>
          <w:spacing w:val="0"/>
          <w:sz w:val="21"/>
          <w:szCs w:val="21"/>
          <w:highlight w:val="none"/>
          <w:u w:val="none"/>
          <w:shd w:val="clear" w:color="auto" w:fill="FFFFFF"/>
        </w:rPr>
        <w:t>登记的查询结果截图，否则该获奖证书不予认定。不满足上述要求的或未提供相关证明材料的不计分。</w:t>
      </w:r>
    </w:p>
    <w:p w14:paraId="5013B7BF">
      <w:pPr>
        <w:topLinePunct/>
        <w:spacing w:line="300" w:lineRule="auto"/>
        <w:ind w:firstLine="630" w:firstLineChars="3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）管理机构所有人员不得互相兼任，须需按评审标准的要求提供证明材料及</w:t>
      </w:r>
      <w:r>
        <w:rPr>
          <w:rFonts w:hint="eastAsia"/>
          <w:color w:val="auto"/>
          <w:highlight w:val="none"/>
          <w:lang w:val="en-US" w:eastAsia="zh-CN"/>
        </w:rPr>
        <w:t>投标截止日前三个月内任意1个月的社保缴纳证明材料</w:t>
      </w:r>
      <w:r>
        <w:rPr>
          <w:rFonts w:hint="eastAsia"/>
          <w:color w:val="auto"/>
          <w:highlight w:val="none"/>
          <w:lang w:eastAsia="zh-CN"/>
        </w:rPr>
        <w:t>，未提供或所提供的证明资料不符合要求的。</w:t>
      </w:r>
    </w:p>
    <w:p w14:paraId="09711FC6">
      <w:pPr>
        <w:topLinePunct/>
        <w:spacing w:line="300" w:lineRule="auto"/>
        <w:ind w:firstLine="630" w:firstLineChars="30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）评分如出现小数点，则保留小数点后两位，第三位四舍五入。</w:t>
      </w:r>
    </w:p>
    <w:p w14:paraId="15A26BBD">
      <w:pPr>
        <w:topLinePunct/>
        <w:spacing w:line="300" w:lineRule="auto"/>
        <w:ind w:firstLine="630" w:firstLineChars="300"/>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）投标人的得分为各评委的评分计取的算术平均分（分数出现小数点时，保留小数点后二位，第三位小数四舍五入）。</w:t>
      </w:r>
    </w:p>
    <w:p w14:paraId="4E343ABC">
      <w:pPr>
        <w:pStyle w:val="19"/>
        <w:rPr>
          <w:color w:val="auto"/>
          <w:highlight w:val="none"/>
        </w:rPr>
      </w:pPr>
    </w:p>
    <w:p w14:paraId="7CE9FAF6">
      <w:pPr>
        <w:rPr>
          <w:rFonts w:hint="eastAsia"/>
          <w:b/>
          <w:color w:val="auto"/>
          <w:sz w:val="24"/>
          <w:highlight w:val="none"/>
        </w:rPr>
      </w:pPr>
      <w:r>
        <w:rPr>
          <w:rFonts w:hint="eastAsia"/>
          <w:b/>
          <w:color w:val="auto"/>
          <w:sz w:val="24"/>
          <w:highlight w:val="none"/>
        </w:rPr>
        <w:br w:type="page"/>
      </w:r>
    </w:p>
    <w:p w14:paraId="3FEF9B91">
      <w:pPr>
        <w:pStyle w:val="4"/>
        <w:keepNext w:val="0"/>
        <w:keepLines w:val="0"/>
        <w:spacing w:before="200" w:after="100" w:line="360" w:lineRule="auto"/>
        <w:rPr>
          <w:rFonts w:ascii="Times New Roman" w:hAnsi="Times New Roman"/>
          <w:color w:val="auto"/>
          <w:highlight w:val="none"/>
        </w:rPr>
      </w:pPr>
      <w:bookmarkStart w:id="880" w:name="_Toc7846"/>
      <w:bookmarkStart w:id="881" w:name="_Toc26040"/>
      <w:r>
        <w:rPr>
          <w:rFonts w:ascii="Times New Roman" w:hAnsi="Times New Roman"/>
          <w:color w:val="auto"/>
          <w:highlight w:val="none"/>
        </w:rPr>
        <w:t>1. 评标方法</w:t>
      </w:r>
      <w:bookmarkEnd w:id="880"/>
      <w:bookmarkEnd w:id="881"/>
    </w:p>
    <w:p w14:paraId="7463C4A9">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本次评标采用综合评估法。评标委员会对满足招标文件实质性要求的投标文件，按照本章第2.2款规定的评分标准进行打分，并</w:t>
      </w:r>
      <w:r>
        <w:rPr>
          <w:rFonts w:hint="eastAsia" w:ascii="Times New Roman" w:hAnsi="Times New Roman"/>
          <w:color w:val="auto"/>
          <w:sz w:val="24"/>
          <w:szCs w:val="24"/>
          <w:highlight w:val="none"/>
        </w:rPr>
        <w:t>按总得分由高到低顺序推荐中标候选人，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14:paraId="356E9E3B">
      <w:pPr>
        <w:pStyle w:val="4"/>
        <w:keepNext w:val="0"/>
        <w:keepLines w:val="0"/>
        <w:spacing w:line="260" w:lineRule="exact"/>
        <w:rPr>
          <w:rFonts w:ascii="Times New Roman" w:hAnsi="Times New Roman"/>
          <w:color w:val="auto"/>
          <w:highlight w:val="none"/>
        </w:rPr>
      </w:pPr>
      <w:bookmarkStart w:id="882" w:name="_Toc5778"/>
      <w:bookmarkStart w:id="883" w:name="_Toc10040"/>
      <w:r>
        <w:rPr>
          <w:rFonts w:ascii="Times New Roman" w:hAnsi="Times New Roman"/>
          <w:color w:val="auto"/>
          <w:highlight w:val="none"/>
        </w:rPr>
        <w:t>2. 评审标准</w:t>
      </w:r>
      <w:bookmarkEnd w:id="882"/>
      <w:bookmarkEnd w:id="883"/>
    </w:p>
    <w:p w14:paraId="67E9CEB7">
      <w:pPr>
        <w:pStyle w:val="5"/>
        <w:keepNext w:val="0"/>
        <w:keepLines w:val="0"/>
        <w:spacing w:line="240" w:lineRule="auto"/>
        <w:ind w:firstLine="137"/>
        <w:rPr>
          <w:rFonts w:ascii="Times New Roman" w:hAnsi="Times New Roman"/>
          <w:color w:val="auto"/>
          <w:highlight w:val="none"/>
        </w:rPr>
      </w:pPr>
      <w:bookmarkStart w:id="884" w:name="_Toc20240"/>
      <w:bookmarkStart w:id="885" w:name="_Toc30338"/>
      <w:r>
        <w:rPr>
          <w:rFonts w:ascii="Times New Roman" w:hAnsi="Times New Roman"/>
          <w:color w:val="auto"/>
          <w:highlight w:val="none"/>
        </w:rPr>
        <w:t>2.1 初步评审标准</w:t>
      </w:r>
      <w:bookmarkEnd w:id="884"/>
      <w:bookmarkEnd w:id="885"/>
    </w:p>
    <w:p w14:paraId="24FB031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 形式评审标准：见评标办法前附表。</w:t>
      </w:r>
    </w:p>
    <w:p w14:paraId="24CEE48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 资格评审标准：见评标办法前附表。</w:t>
      </w:r>
    </w:p>
    <w:p w14:paraId="4150EBC9">
      <w:pPr>
        <w:spacing w:line="400" w:lineRule="exact"/>
        <w:ind w:firstLine="480" w:firstLineChars="200"/>
        <w:rPr>
          <w:rFonts w:ascii="Times New Roman" w:hAnsi="Times New Roman"/>
          <w:color w:val="auto"/>
          <w:highlight w:val="none"/>
        </w:rPr>
      </w:pPr>
      <w:r>
        <w:rPr>
          <w:rFonts w:ascii="Times New Roman" w:hAnsi="Times New Roman"/>
          <w:color w:val="auto"/>
          <w:sz w:val="24"/>
          <w:szCs w:val="24"/>
          <w:highlight w:val="none"/>
        </w:rPr>
        <w:t>2.1.3 响应性评审标准：见评标办法前附表。</w:t>
      </w:r>
    </w:p>
    <w:p w14:paraId="03676BDE">
      <w:pPr>
        <w:pStyle w:val="5"/>
        <w:keepNext w:val="0"/>
        <w:keepLines w:val="0"/>
        <w:spacing w:line="240" w:lineRule="auto"/>
        <w:ind w:firstLine="137"/>
        <w:rPr>
          <w:rFonts w:ascii="Times New Roman" w:hAnsi="Times New Roman"/>
          <w:color w:val="auto"/>
          <w:highlight w:val="none"/>
        </w:rPr>
      </w:pPr>
      <w:bookmarkStart w:id="886" w:name="_Toc17120"/>
      <w:bookmarkStart w:id="887" w:name="_Toc23891"/>
      <w:r>
        <w:rPr>
          <w:rFonts w:ascii="Times New Roman" w:hAnsi="Times New Roman"/>
          <w:color w:val="auto"/>
          <w:highlight w:val="none"/>
        </w:rPr>
        <w:t>2.2 分值构成与评分标准</w:t>
      </w:r>
      <w:bookmarkEnd w:id="886"/>
      <w:bookmarkEnd w:id="887"/>
    </w:p>
    <w:p w14:paraId="269EEE4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2.2.1 分值构成</w:t>
      </w:r>
    </w:p>
    <w:p w14:paraId="795F9E6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（1）资信业绩部分：见评标办法前附表；</w:t>
      </w:r>
    </w:p>
    <w:p w14:paraId="6BF4164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监理大纲部分</w:t>
      </w:r>
      <w:r>
        <w:rPr>
          <w:rFonts w:ascii="Times New Roman" w:hAnsi="Times New Roman"/>
          <w:color w:val="auto"/>
          <w:sz w:val="24"/>
          <w:szCs w:val="24"/>
          <w:highlight w:val="none"/>
        </w:rPr>
        <w:t>：见评标办法前附表；</w:t>
      </w:r>
    </w:p>
    <w:p w14:paraId="771DBB5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（3）投标报价：见评标办法前附表；</w:t>
      </w:r>
    </w:p>
    <w:p w14:paraId="5AE2ACA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2.2.2 评标基准价计算</w:t>
      </w:r>
    </w:p>
    <w:p w14:paraId="72409B5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评标基准价计算方法：见评标办法前附表。</w:t>
      </w:r>
    </w:p>
    <w:p w14:paraId="11C3D94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2.2.3 投标报价的偏差率计算</w:t>
      </w:r>
    </w:p>
    <w:p w14:paraId="120BE90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投标报价的偏差率计算公式：见评标办法前附表。</w:t>
      </w:r>
    </w:p>
    <w:p w14:paraId="1DC0B8C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2.2.4 评分标准</w:t>
      </w:r>
    </w:p>
    <w:p w14:paraId="7D58689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（1）资信业绩评分标准：见评标办法前附表；</w:t>
      </w:r>
    </w:p>
    <w:p w14:paraId="2F76AA7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监理大纲</w:t>
      </w:r>
      <w:r>
        <w:rPr>
          <w:rFonts w:ascii="Times New Roman" w:hAnsi="Times New Roman"/>
          <w:color w:val="auto"/>
          <w:sz w:val="24"/>
          <w:szCs w:val="24"/>
          <w:highlight w:val="none"/>
        </w:rPr>
        <w:t>评分标准：见评标办法前附表；</w:t>
      </w:r>
    </w:p>
    <w:p w14:paraId="228B674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（3）投标报价评分标准：见评标办法前附表；</w:t>
      </w:r>
    </w:p>
    <w:p w14:paraId="199FDD58">
      <w:pPr>
        <w:pStyle w:val="4"/>
        <w:keepNext w:val="0"/>
        <w:keepLines w:val="0"/>
        <w:spacing w:line="260" w:lineRule="exact"/>
        <w:rPr>
          <w:rFonts w:ascii="Times New Roman" w:hAnsi="Times New Roman"/>
          <w:color w:val="auto"/>
          <w:highlight w:val="none"/>
        </w:rPr>
      </w:pPr>
      <w:bookmarkStart w:id="888" w:name="_Toc15297"/>
    </w:p>
    <w:p w14:paraId="56B730BD">
      <w:pPr>
        <w:pStyle w:val="4"/>
        <w:keepNext w:val="0"/>
        <w:keepLines w:val="0"/>
        <w:spacing w:line="260" w:lineRule="exact"/>
        <w:rPr>
          <w:rFonts w:ascii="Times New Roman" w:hAnsi="Times New Roman"/>
          <w:color w:val="auto"/>
          <w:highlight w:val="none"/>
        </w:rPr>
      </w:pPr>
    </w:p>
    <w:p w14:paraId="1CE9B231">
      <w:pPr>
        <w:pStyle w:val="4"/>
        <w:keepNext w:val="0"/>
        <w:keepLines w:val="0"/>
        <w:spacing w:line="260" w:lineRule="exact"/>
        <w:rPr>
          <w:rFonts w:ascii="Times New Roman" w:hAnsi="Times New Roman"/>
          <w:color w:val="auto"/>
          <w:highlight w:val="none"/>
        </w:rPr>
      </w:pPr>
    </w:p>
    <w:p w14:paraId="6C5D545E">
      <w:pPr>
        <w:pStyle w:val="4"/>
        <w:keepNext w:val="0"/>
        <w:keepLines w:val="0"/>
        <w:spacing w:line="360" w:lineRule="auto"/>
        <w:rPr>
          <w:rFonts w:ascii="Times New Roman" w:hAnsi="Times New Roman"/>
          <w:color w:val="auto"/>
          <w:highlight w:val="none"/>
        </w:rPr>
      </w:pPr>
      <w:bookmarkStart w:id="889" w:name="_Toc21574"/>
      <w:r>
        <w:rPr>
          <w:rFonts w:ascii="Times New Roman" w:hAnsi="Times New Roman"/>
          <w:color w:val="auto"/>
          <w:highlight w:val="none"/>
        </w:rPr>
        <w:t>3. 评标程序</w:t>
      </w:r>
      <w:bookmarkEnd w:id="888"/>
      <w:bookmarkEnd w:id="889"/>
    </w:p>
    <w:p w14:paraId="69AE0376">
      <w:pPr>
        <w:pStyle w:val="5"/>
        <w:keepNext w:val="0"/>
        <w:keepLines w:val="0"/>
        <w:spacing w:line="240" w:lineRule="auto"/>
        <w:ind w:firstLine="0" w:firstLineChars="0"/>
        <w:rPr>
          <w:rFonts w:ascii="Times New Roman" w:hAnsi="Times New Roman"/>
          <w:color w:val="auto"/>
          <w:highlight w:val="none"/>
        </w:rPr>
      </w:pPr>
      <w:bookmarkStart w:id="890" w:name="_Toc19337"/>
      <w:bookmarkStart w:id="891" w:name="_Toc25610"/>
      <w:r>
        <w:rPr>
          <w:rFonts w:ascii="Times New Roman" w:hAnsi="Times New Roman"/>
          <w:color w:val="auto"/>
          <w:highlight w:val="none"/>
        </w:rPr>
        <w:t>3.1 初步评审</w:t>
      </w:r>
      <w:bookmarkEnd w:id="890"/>
      <w:bookmarkEnd w:id="891"/>
    </w:p>
    <w:p w14:paraId="3891DD3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2B78CF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 投标人有以下情形之一的，评标委员会应当否决其投标：</w:t>
      </w:r>
    </w:p>
    <w:p w14:paraId="2971157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（1）投标文件没有对招标文件的实质性要求和条件作出响应，或者对招标文件的偏差超出招标文件规定的偏差范围或最高项数；</w:t>
      </w:r>
    </w:p>
    <w:p w14:paraId="14B6958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（2）有串通投标、弄虚作假、行贿等违法行为。</w:t>
      </w:r>
    </w:p>
    <w:p w14:paraId="3EF10C7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3.1.3 投标报价有算术错误及其他错误的，评标委员会按以下原则要求投标人对投标报价进</w:t>
      </w:r>
      <w:bookmarkStart w:id="892" w:name="_Toc247527628"/>
      <w:bookmarkStart w:id="893" w:name="_Toc152045603"/>
      <w:bookmarkStart w:id="894" w:name="_Toc384308277"/>
      <w:bookmarkStart w:id="895" w:name="_Toc369531582"/>
      <w:bookmarkStart w:id="896" w:name="_Toc300835013"/>
      <w:bookmarkStart w:id="897" w:name="_Toc352691538"/>
      <w:bookmarkStart w:id="898" w:name="_Toc152042380"/>
      <w:bookmarkStart w:id="899" w:name="_Toc2907"/>
      <w:bookmarkStart w:id="900" w:name="_Toc361508651"/>
      <w:bookmarkStart w:id="901" w:name="_Toc247514027"/>
      <w:bookmarkStart w:id="902" w:name="_Toc144974570"/>
      <w:r>
        <w:rPr>
          <w:rFonts w:ascii="Times New Roman" w:hAnsi="Times New Roman"/>
          <w:color w:val="auto"/>
          <w:sz w:val="24"/>
          <w:szCs w:val="24"/>
          <w:highlight w:val="none"/>
        </w:rPr>
        <w:t>行修正，并要求投标人书面澄清确认。</w:t>
      </w:r>
      <w:bookmarkEnd w:id="892"/>
      <w:bookmarkEnd w:id="893"/>
      <w:bookmarkEnd w:id="894"/>
      <w:bookmarkEnd w:id="895"/>
      <w:bookmarkEnd w:id="896"/>
      <w:bookmarkEnd w:id="897"/>
      <w:bookmarkEnd w:id="898"/>
      <w:bookmarkEnd w:id="899"/>
      <w:bookmarkEnd w:id="900"/>
      <w:bookmarkEnd w:id="901"/>
      <w:bookmarkEnd w:id="902"/>
      <w:r>
        <w:rPr>
          <w:rFonts w:ascii="Times New Roman" w:hAnsi="Times New Roman"/>
          <w:color w:val="auto"/>
          <w:sz w:val="24"/>
          <w:szCs w:val="24"/>
          <w:highlight w:val="none"/>
        </w:rPr>
        <w:t>投标人拒不澄清确认的，评标委员会应当否决其投标：</w:t>
      </w:r>
    </w:p>
    <w:p w14:paraId="29E3F38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（1）投标文件中的大写金额与小写金额不一致的，以大写金额为准；</w:t>
      </w:r>
    </w:p>
    <w:p w14:paraId="141DFCC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（2）总价金额与单价金额不一致的，以单价金额为准，但单价金额小数点有明显错误的除外</w:t>
      </w:r>
      <w:r>
        <w:rPr>
          <w:rFonts w:hint="eastAsia" w:ascii="Times New Roman" w:hAnsi="Times New Roman"/>
          <w:color w:val="auto"/>
          <w:sz w:val="24"/>
          <w:szCs w:val="24"/>
          <w:highlight w:val="none"/>
        </w:rPr>
        <w:t>。</w:t>
      </w:r>
    </w:p>
    <w:p w14:paraId="0EA4372D">
      <w:pPr>
        <w:pStyle w:val="5"/>
        <w:keepNext w:val="0"/>
        <w:keepLines w:val="0"/>
        <w:spacing w:line="260" w:lineRule="exact"/>
        <w:ind w:firstLine="137"/>
        <w:rPr>
          <w:rFonts w:ascii="Times New Roman" w:hAnsi="Times New Roman"/>
          <w:color w:val="auto"/>
          <w:highlight w:val="none"/>
        </w:rPr>
      </w:pPr>
      <w:bookmarkStart w:id="903" w:name="_Toc15678"/>
      <w:bookmarkStart w:id="904" w:name="_Toc19857"/>
      <w:r>
        <w:rPr>
          <w:rFonts w:ascii="Times New Roman" w:hAnsi="Times New Roman"/>
          <w:color w:val="auto"/>
          <w:highlight w:val="none"/>
        </w:rPr>
        <w:t>3.2 详细评审</w:t>
      </w:r>
      <w:bookmarkEnd w:id="903"/>
      <w:bookmarkEnd w:id="904"/>
    </w:p>
    <w:p w14:paraId="3E06B68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3.2.1 评标委员会按本章第2.2款规定的量化因素和分值进行打分，并计算出综合评估得分。</w:t>
      </w:r>
    </w:p>
    <w:p w14:paraId="2693066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（1）按本章第2.2.4（1）目规定的评审因素和分值对资信业绩部分计算出得分A；</w:t>
      </w:r>
    </w:p>
    <w:p w14:paraId="16FC5E1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（2）按本章第2.2.4（2）目规定的评审因素和分值对</w:t>
      </w:r>
      <w:r>
        <w:rPr>
          <w:rFonts w:hint="eastAsia" w:ascii="Times New Roman" w:hAnsi="Times New Roman"/>
          <w:color w:val="auto"/>
          <w:sz w:val="24"/>
          <w:szCs w:val="24"/>
          <w:highlight w:val="none"/>
        </w:rPr>
        <w:t>监理大纲部分</w:t>
      </w:r>
      <w:r>
        <w:rPr>
          <w:rFonts w:ascii="Times New Roman" w:hAnsi="Times New Roman"/>
          <w:color w:val="auto"/>
          <w:sz w:val="24"/>
          <w:szCs w:val="24"/>
          <w:highlight w:val="none"/>
        </w:rPr>
        <w:t>计算出得分B；</w:t>
      </w:r>
    </w:p>
    <w:p w14:paraId="55689C6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（3）按本章第2.2.4（3）目规定的评审因素和</w:t>
      </w:r>
      <w:bookmarkStart w:id="905" w:name="_Toc384308278"/>
      <w:bookmarkStart w:id="906" w:name="_Toc247527629"/>
      <w:bookmarkStart w:id="907" w:name="_Toc247514028"/>
      <w:bookmarkStart w:id="908" w:name="_Toc152042381"/>
      <w:bookmarkStart w:id="909" w:name="_Toc369531583"/>
      <w:bookmarkStart w:id="910" w:name="_Toc300835014"/>
      <w:bookmarkStart w:id="911" w:name="_Toc144974571"/>
      <w:bookmarkStart w:id="912" w:name="_Toc352691539"/>
      <w:bookmarkStart w:id="913" w:name="_Toc361508652"/>
      <w:bookmarkStart w:id="914" w:name="_Toc152045604"/>
      <w:bookmarkStart w:id="915" w:name="_Toc24330"/>
      <w:r>
        <w:rPr>
          <w:rFonts w:ascii="Times New Roman" w:hAnsi="Times New Roman"/>
          <w:color w:val="auto"/>
          <w:sz w:val="24"/>
          <w:szCs w:val="24"/>
          <w:highlight w:val="none"/>
        </w:rPr>
        <w:t>分值对投标报价</w:t>
      </w:r>
      <w:bookmarkEnd w:id="905"/>
      <w:bookmarkEnd w:id="906"/>
      <w:bookmarkEnd w:id="907"/>
      <w:bookmarkEnd w:id="908"/>
      <w:bookmarkEnd w:id="909"/>
      <w:bookmarkEnd w:id="910"/>
      <w:bookmarkEnd w:id="911"/>
      <w:bookmarkEnd w:id="912"/>
      <w:bookmarkEnd w:id="913"/>
      <w:bookmarkEnd w:id="914"/>
      <w:bookmarkEnd w:id="915"/>
      <w:r>
        <w:rPr>
          <w:rFonts w:ascii="Times New Roman" w:hAnsi="Times New Roman"/>
          <w:color w:val="auto"/>
          <w:sz w:val="24"/>
          <w:szCs w:val="24"/>
          <w:highlight w:val="none"/>
        </w:rPr>
        <w:t>计</w:t>
      </w:r>
      <w:bookmarkStart w:id="916" w:name="_Toc152045605"/>
      <w:bookmarkStart w:id="917" w:name="_Toc369531584"/>
      <w:bookmarkStart w:id="918" w:name="_Toc247514029"/>
      <w:bookmarkStart w:id="919" w:name="_Toc361508653"/>
      <w:bookmarkStart w:id="920" w:name="_Toc144974572"/>
      <w:bookmarkStart w:id="921" w:name="_Toc247527630"/>
      <w:bookmarkStart w:id="922" w:name="_Toc152042382"/>
      <w:bookmarkStart w:id="923" w:name="_Toc352691540"/>
      <w:bookmarkStart w:id="924" w:name="_Toc384308279"/>
      <w:bookmarkStart w:id="925" w:name="_Toc300835015"/>
      <w:bookmarkStart w:id="926" w:name="_Toc18141"/>
      <w:r>
        <w:rPr>
          <w:rFonts w:ascii="Times New Roman" w:hAnsi="Times New Roman"/>
          <w:color w:val="auto"/>
          <w:sz w:val="24"/>
          <w:szCs w:val="24"/>
          <w:highlight w:val="none"/>
        </w:rPr>
        <w:t>算出得分C；</w:t>
      </w:r>
    </w:p>
    <w:bookmarkEnd w:id="916"/>
    <w:bookmarkEnd w:id="917"/>
    <w:bookmarkEnd w:id="918"/>
    <w:bookmarkEnd w:id="919"/>
    <w:bookmarkEnd w:id="920"/>
    <w:bookmarkEnd w:id="921"/>
    <w:bookmarkEnd w:id="922"/>
    <w:bookmarkEnd w:id="923"/>
    <w:bookmarkEnd w:id="924"/>
    <w:bookmarkEnd w:id="925"/>
    <w:bookmarkEnd w:id="926"/>
    <w:p w14:paraId="6D68649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3.2.2 评分分值计算保留小数点后两位，小数点后第三位“四舍五入”。</w:t>
      </w:r>
    </w:p>
    <w:p w14:paraId="114825C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3.2.3 投标人得分=A+B+C。</w:t>
      </w:r>
    </w:p>
    <w:p w14:paraId="4B94CD6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619F8CA">
      <w:pPr>
        <w:pStyle w:val="5"/>
        <w:keepNext w:val="0"/>
        <w:keepLines w:val="0"/>
        <w:spacing w:line="240" w:lineRule="auto"/>
        <w:ind w:firstLine="137"/>
        <w:rPr>
          <w:rFonts w:ascii="Times New Roman" w:hAnsi="Times New Roman"/>
          <w:color w:val="auto"/>
          <w:highlight w:val="none"/>
        </w:rPr>
      </w:pPr>
      <w:bookmarkStart w:id="927" w:name="_Toc6847"/>
      <w:bookmarkStart w:id="928" w:name="_Toc4468"/>
      <w:r>
        <w:rPr>
          <w:rFonts w:ascii="Times New Roman" w:hAnsi="Times New Roman"/>
          <w:color w:val="auto"/>
          <w:highlight w:val="none"/>
        </w:rPr>
        <w:t>3.3 投标文件的澄清</w:t>
      </w:r>
      <w:bookmarkEnd w:id="927"/>
      <w:bookmarkEnd w:id="928"/>
    </w:p>
    <w:p w14:paraId="7505558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2738BA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3.3.2 澄清、说明或补正不得超出投标文件的范围且不得改变投标文件的实质性内容，并构成投标文件的组成部分。</w:t>
      </w:r>
    </w:p>
    <w:p w14:paraId="186CB12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3.3.3 评标委员会对投标人提交的澄清、说明或补正有疑问的，可以要求投标人进一步澄清、说明或补正，直至满足评标委员会的要求。</w:t>
      </w:r>
    </w:p>
    <w:p w14:paraId="3731A6F7">
      <w:pPr>
        <w:pStyle w:val="5"/>
        <w:keepNext w:val="0"/>
        <w:keepLines w:val="0"/>
        <w:spacing w:line="240" w:lineRule="auto"/>
        <w:ind w:firstLine="137"/>
        <w:rPr>
          <w:rFonts w:ascii="Times New Roman" w:hAnsi="Times New Roman"/>
          <w:color w:val="auto"/>
          <w:highlight w:val="none"/>
        </w:rPr>
      </w:pPr>
      <w:bookmarkStart w:id="929" w:name="_Toc9097"/>
      <w:bookmarkStart w:id="930" w:name="_Toc21242"/>
      <w:r>
        <w:rPr>
          <w:rFonts w:ascii="Times New Roman" w:hAnsi="Times New Roman"/>
          <w:color w:val="auto"/>
          <w:highlight w:val="none"/>
        </w:rPr>
        <w:t>3.4 评标结果</w:t>
      </w:r>
      <w:bookmarkEnd w:id="929"/>
      <w:bookmarkEnd w:id="930"/>
    </w:p>
    <w:p w14:paraId="33CECBF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3.4.1 除第二章“投标人须知”前附表授权直接确定中标人外，评标委员会按照得分由高到低的顺序推荐中标候选人，并标明排序。</w:t>
      </w:r>
    </w:p>
    <w:p w14:paraId="1E77B9C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3.4.2 评标委员会完成评标后，应当向招标人提交书面评标报告和中标候选人名单。</w:t>
      </w:r>
    </w:p>
    <w:p w14:paraId="0F1DF2CD">
      <w:pPr>
        <w:rPr>
          <w:rFonts w:ascii="Times New Roman" w:hAnsi="Times New Roman"/>
          <w:b/>
          <w:color w:val="auto"/>
          <w:kern w:val="44"/>
          <w:sz w:val="44"/>
          <w:szCs w:val="20"/>
          <w:highlight w:val="none"/>
        </w:rPr>
      </w:pPr>
    </w:p>
    <w:p w14:paraId="49C12914">
      <w:pPr>
        <w:rPr>
          <w:color w:val="auto"/>
          <w:highlight w:val="none"/>
        </w:rPr>
      </w:pPr>
    </w:p>
    <w:p w14:paraId="525FEC00">
      <w:pPr>
        <w:rPr>
          <w:color w:val="auto"/>
          <w:highlight w:val="none"/>
        </w:rPr>
      </w:pPr>
    </w:p>
    <w:p w14:paraId="43E93F4B">
      <w:pPr>
        <w:rPr>
          <w:color w:val="auto"/>
          <w:highlight w:val="none"/>
        </w:rPr>
      </w:pPr>
    </w:p>
    <w:p w14:paraId="1C5B22F9">
      <w:pPr>
        <w:rPr>
          <w:color w:val="auto"/>
          <w:highlight w:val="none"/>
        </w:rPr>
      </w:pPr>
    </w:p>
    <w:p w14:paraId="0DFBBBCD">
      <w:pPr>
        <w:rPr>
          <w:color w:val="auto"/>
          <w:highlight w:val="none"/>
        </w:rPr>
      </w:pPr>
    </w:p>
    <w:p w14:paraId="428243FA">
      <w:pPr>
        <w:rPr>
          <w:color w:val="auto"/>
          <w:highlight w:val="none"/>
        </w:rPr>
      </w:pPr>
    </w:p>
    <w:p w14:paraId="01A5E4AA">
      <w:pPr>
        <w:pStyle w:val="3"/>
        <w:keepNext w:val="0"/>
        <w:keepLines w:val="0"/>
        <w:jc w:val="center"/>
        <w:rPr>
          <w:color w:val="auto"/>
          <w:highlight w:val="none"/>
        </w:rPr>
      </w:pPr>
      <w:r>
        <w:rPr>
          <w:color w:val="auto"/>
          <w:highlight w:val="none"/>
        </w:rPr>
        <w:br w:type="page"/>
      </w:r>
      <w:bookmarkStart w:id="931" w:name="_Toc24830"/>
      <w:r>
        <w:rPr>
          <w:color w:val="auto"/>
          <w:highlight w:val="none"/>
        </w:rPr>
        <w:t>第四章</w:t>
      </w:r>
      <w:r>
        <w:rPr>
          <w:rFonts w:hint="eastAsia"/>
          <w:color w:val="auto"/>
          <w:highlight w:val="none"/>
          <w:lang w:val="en-US" w:eastAsia="zh-CN"/>
        </w:rPr>
        <w:t xml:space="preserve"> </w:t>
      </w:r>
      <w:r>
        <w:rPr>
          <w:color w:val="auto"/>
          <w:highlight w:val="none"/>
        </w:rPr>
        <w:t>合同条款及格式</w:t>
      </w:r>
      <w:bookmarkEnd w:id="931"/>
    </w:p>
    <w:p w14:paraId="02755AD3">
      <w:pPr>
        <w:pStyle w:val="22"/>
        <w:spacing w:line="640" w:lineRule="exact"/>
        <w:jc w:val="center"/>
        <w:rPr>
          <w:rFonts w:ascii="宋体"/>
          <w:color w:val="auto"/>
          <w:highlight w:val="none"/>
        </w:rPr>
      </w:pPr>
      <w:r>
        <w:rPr>
          <w:rFonts w:hint="eastAsia"/>
          <w:color w:val="auto"/>
          <w:highlight w:val="none"/>
        </w:rPr>
        <w:t>（监理</w:t>
      </w:r>
      <w:r>
        <w:rPr>
          <w:rFonts w:hint="eastAsia" w:ascii="宋体" w:hAnsi="宋体"/>
          <w:color w:val="auto"/>
          <w:highlight w:val="none"/>
        </w:rPr>
        <w:t>合同另册）。</w:t>
      </w:r>
    </w:p>
    <w:p w14:paraId="64412500">
      <w:pPr>
        <w:pStyle w:val="9"/>
        <w:snapToGrid w:val="0"/>
        <w:spacing w:line="400" w:lineRule="atLeast"/>
        <w:ind w:left="0" w:leftChars="0" w:firstLine="420" w:firstLineChars="200"/>
        <w:rPr>
          <w:color w:val="auto"/>
          <w:szCs w:val="21"/>
          <w:highlight w:val="none"/>
        </w:rPr>
      </w:pPr>
    </w:p>
    <w:p w14:paraId="10C3D630">
      <w:pPr>
        <w:rPr>
          <w:color w:val="auto"/>
          <w:highlight w:val="none"/>
        </w:rPr>
      </w:pPr>
    </w:p>
    <w:p w14:paraId="7529177C">
      <w:pPr>
        <w:rPr>
          <w:rFonts w:ascii="Times New Roman" w:hAnsi="Times New Roman"/>
          <w:b/>
          <w:color w:val="auto"/>
          <w:kern w:val="44"/>
          <w:sz w:val="44"/>
          <w:szCs w:val="20"/>
          <w:highlight w:val="none"/>
        </w:rPr>
      </w:pPr>
      <w:bookmarkStart w:id="932" w:name="_Toc179632787"/>
      <w:bookmarkStart w:id="933" w:name="_Toc246996338"/>
      <w:bookmarkStart w:id="934" w:name="_Toc247085853"/>
      <w:bookmarkStart w:id="935" w:name="_Toc246997081"/>
      <w:bookmarkStart w:id="936" w:name="_Toc300835199"/>
      <w:bookmarkStart w:id="937" w:name="_Toc247514197"/>
      <w:bookmarkStart w:id="938" w:name="_Toc144974578"/>
      <w:bookmarkStart w:id="939" w:name="_Toc184635122"/>
      <w:bookmarkStart w:id="940" w:name="_Toc152042549"/>
      <w:bookmarkStart w:id="941" w:name="_Toc247527798"/>
      <w:bookmarkStart w:id="942" w:name="_Toc144974829"/>
      <w:bookmarkStart w:id="943" w:name="_Toc152042388"/>
      <w:bookmarkStart w:id="944" w:name="_Toc152045610"/>
    </w:p>
    <w:p w14:paraId="0585CD32">
      <w:pPr>
        <w:rPr>
          <w:rFonts w:ascii="Times New Roman" w:hAnsi="Times New Roman"/>
          <w:b/>
          <w:color w:val="auto"/>
          <w:kern w:val="44"/>
          <w:sz w:val="44"/>
          <w:szCs w:val="20"/>
          <w:highlight w:val="none"/>
        </w:rPr>
      </w:pPr>
    </w:p>
    <w:p w14:paraId="30176503">
      <w:pPr>
        <w:rPr>
          <w:rFonts w:ascii="Times New Roman" w:hAnsi="Times New Roman"/>
          <w:b/>
          <w:color w:val="auto"/>
          <w:kern w:val="44"/>
          <w:sz w:val="44"/>
          <w:szCs w:val="20"/>
          <w:highlight w:val="none"/>
        </w:rPr>
      </w:pPr>
    </w:p>
    <w:p w14:paraId="25627BB3">
      <w:pPr>
        <w:rPr>
          <w:rFonts w:ascii="Times New Roman" w:hAnsi="Times New Roman"/>
          <w:b/>
          <w:color w:val="auto"/>
          <w:kern w:val="44"/>
          <w:sz w:val="44"/>
          <w:szCs w:val="20"/>
          <w:highlight w:val="none"/>
        </w:rPr>
      </w:pPr>
    </w:p>
    <w:p w14:paraId="18A702D4">
      <w:pPr>
        <w:rPr>
          <w:rFonts w:ascii="Times New Roman" w:hAnsi="Times New Roman"/>
          <w:b/>
          <w:color w:val="auto"/>
          <w:kern w:val="44"/>
          <w:sz w:val="44"/>
          <w:szCs w:val="20"/>
          <w:highlight w:val="none"/>
        </w:rPr>
      </w:pPr>
    </w:p>
    <w:p w14:paraId="2FF35B02">
      <w:pPr>
        <w:rPr>
          <w:rFonts w:ascii="Times New Roman" w:hAnsi="Times New Roman"/>
          <w:b/>
          <w:color w:val="auto"/>
          <w:kern w:val="44"/>
          <w:sz w:val="44"/>
          <w:szCs w:val="20"/>
          <w:highlight w:val="none"/>
        </w:rPr>
      </w:pPr>
    </w:p>
    <w:p w14:paraId="7537B86F">
      <w:pPr>
        <w:rPr>
          <w:rFonts w:ascii="Times New Roman" w:hAnsi="Times New Roman"/>
          <w:b/>
          <w:color w:val="auto"/>
          <w:kern w:val="44"/>
          <w:sz w:val="44"/>
          <w:szCs w:val="20"/>
          <w:highlight w:val="none"/>
        </w:rPr>
      </w:pPr>
    </w:p>
    <w:p w14:paraId="727FE41B">
      <w:pPr>
        <w:rPr>
          <w:rFonts w:ascii="Times New Roman" w:hAnsi="Times New Roman"/>
          <w:b/>
          <w:color w:val="auto"/>
          <w:kern w:val="44"/>
          <w:sz w:val="44"/>
          <w:szCs w:val="20"/>
          <w:highlight w:val="none"/>
        </w:rPr>
      </w:pPr>
    </w:p>
    <w:p w14:paraId="0BD4061C">
      <w:pPr>
        <w:rPr>
          <w:rFonts w:ascii="Times New Roman" w:hAnsi="Times New Roman"/>
          <w:b/>
          <w:color w:val="auto"/>
          <w:kern w:val="44"/>
          <w:sz w:val="44"/>
          <w:szCs w:val="20"/>
          <w:highlight w:val="none"/>
        </w:rPr>
      </w:pPr>
    </w:p>
    <w:p w14:paraId="1F818D88">
      <w:pPr>
        <w:rPr>
          <w:rFonts w:ascii="Times New Roman" w:hAnsi="Times New Roman"/>
          <w:b/>
          <w:color w:val="auto"/>
          <w:kern w:val="44"/>
          <w:sz w:val="44"/>
          <w:szCs w:val="20"/>
          <w:highlight w:val="none"/>
        </w:rPr>
      </w:pPr>
    </w:p>
    <w:p w14:paraId="3B391617">
      <w:pPr>
        <w:rPr>
          <w:rFonts w:ascii="Times New Roman" w:hAnsi="Times New Roman"/>
          <w:b/>
          <w:color w:val="auto"/>
          <w:kern w:val="44"/>
          <w:sz w:val="44"/>
          <w:szCs w:val="20"/>
          <w:highlight w:val="none"/>
        </w:rPr>
      </w:pPr>
    </w:p>
    <w:p w14:paraId="1B245D40">
      <w:pPr>
        <w:rPr>
          <w:rFonts w:ascii="Times New Roman" w:hAnsi="Times New Roman"/>
          <w:b/>
          <w:color w:val="auto"/>
          <w:kern w:val="44"/>
          <w:sz w:val="44"/>
          <w:szCs w:val="20"/>
          <w:highlight w:val="none"/>
        </w:rPr>
      </w:pPr>
    </w:p>
    <w:p w14:paraId="682BFCC2">
      <w:pPr>
        <w:rPr>
          <w:rFonts w:ascii="Times New Roman" w:hAnsi="Times New Roman"/>
          <w:b/>
          <w:color w:val="auto"/>
          <w:kern w:val="44"/>
          <w:sz w:val="44"/>
          <w:szCs w:val="20"/>
          <w:highlight w:val="none"/>
        </w:rPr>
      </w:pPr>
    </w:p>
    <w:p w14:paraId="0B93EEA0">
      <w:pPr>
        <w:rPr>
          <w:rFonts w:ascii="Times New Roman" w:hAnsi="Times New Roman"/>
          <w:b/>
          <w:color w:val="auto"/>
          <w:kern w:val="44"/>
          <w:sz w:val="44"/>
          <w:szCs w:val="20"/>
          <w:highlight w:val="none"/>
        </w:rPr>
      </w:pPr>
    </w:p>
    <w:p w14:paraId="15C3991B">
      <w:pPr>
        <w:rPr>
          <w:rFonts w:ascii="Times New Roman" w:hAnsi="Times New Roman"/>
          <w:b/>
          <w:color w:val="auto"/>
          <w:kern w:val="44"/>
          <w:sz w:val="44"/>
          <w:szCs w:val="20"/>
          <w:highlight w:val="none"/>
        </w:rPr>
      </w:pPr>
    </w:p>
    <w:p w14:paraId="4C2FFA49">
      <w:pPr>
        <w:rPr>
          <w:rFonts w:ascii="Times New Roman" w:hAnsi="Times New Roman"/>
          <w:b/>
          <w:color w:val="auto"/>
          <w:kern w:val="44"/>
          <w:sz w:val="44"/>
          <w:szCs w:val="20"/>
          <w:highlight w:val="none"/>
        </w:rPr>
      </w:pPr>
    </w:p>
    <w:p w14:paraId="7496B7BB">
      <w:pPr>
        <w:rPr>
          <w:rFonts w:ascii="Times New Roman" w:hAnsi="Times New Roman"/>
          <w:b/>
          <w:color w:val="auto"/>
          <w:kern w:val="44"/>
          <w:sz w:val="44"/>
          <w:szCs w:val="20"/>
          <w:highlight w:val="none"/>
        </w:rPr>
      </w:pPr>
    </w:p>
    <w:p w14:paraId="669E764E">
      <w:pPr>
        <w:rPr>
          <w:rFonts w:ascii="Times New Roman" w:hAnsi="Times New Roman"/>
          <w:b/>
          <w:color w:val="auto"/>
          <w:kern w:val="44"/>
          <w:sz w:val="44"/>
          <w:szCs w:val="20"/>
          <w:highlight w:val="none"/>
        </w:rPr>
      </w:pPr>
    </w:p>
    <w:p w14:paraId="727F707A">
      <w:pPr>
        <w:rPr>
          <w:color w:val="auto"/>
          <w:highlight w:val="none"/>
        </w:rPr>
      </w:pPr>
    </w:p>
    <w:p w14:paraId="21D506D5">
      <w:pPr>
        <w:pStyle w:val="3"/>
        <w:keepNext w:val="0"/>
        <w:keepLines w:val="0"/>
        <w:spacing w:line="520" w:lineRule="exact"/>
        <w:jc w:val="center"/>
        <w:rPr>
          <w:color w:val="auto"/>
          <w:highlight w:val="none"/>
        </w:rPr>
      </w:pPr>
      <w:bookmarkStart w:id="945" w:name="_Toc26291"/>
      <w:r>
        <w:rPr>
          <w:color w:val="auto"/>
          <w:highlight w:val="none"/>
        </w:rPr>
        <w:t>第</w:t>
      </w:r>
      <w:r>
        <w:rPr>
          <w:rFonts w:hint="eastAsia"/>
          <w:color w:val="auto"/>
          <w:highlight w:val="none"/>
        </w:rPr>
        <w:t>二</w:t>
      </w:r>
      <w:r>
        <w:rPr>
          <w:color w:val="auto"/>
          <w:highlight w:val="none"/>
        </w:rPr>
        <w:t>卷</w:t>
      </w:r>
      <w:bookmarkEnd w:id="945"/>
    </w:p>
    <w:p w14:paraId="5E91693B">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color w:val="auto"/>
          <w:highlight w:val="none"/>
        </w:rPr>
      </w:pPr>
      <w:bookmarkStart w:id="946" w:name="_Toc4043"/>
      <w:r>
        <w:rPr>
          <w:color w:val="auto"/>
          <w:highlight w:val="none"/>
        </w:rPr>
        <w:t>第五章</w:t>
      </w:r>
      <w:r>
        <w:rPr>
          <w:rFonts w:hint="eastAsia"/>
          <w:color w:val="auto"/>
          <w:highlight w:val="none"/>
          <w:lang w:val="en-US" w:eastAsia="zh-CN"/>
        </w:rPr>
        <w:t xml:space="preserve"> </w:t>
      </w:r>
      <w:r>
        <w:rPr>
          <w:color w:val="auto"/>
          <w:highlight w:val="none"/>
        </w:rPr>
        <w:t>委托人要求</w:t>
      </w:r>
      <w:bookmarkEnd w:id="932"/>
      <w:bookmarkEnd w:id="933"/>
      <w:bookmarkEnd w:id="934"/>
      <w:bookmarkEnd w:id="935"/>
      <w:bookmarkEnd w:id="946"/>
    </w:p>
    <w:p w14:paraId="4D230F6F">
      <w:pPr>
        <w:keepNext w:val="0"/>
        <w:keepLines w:val="0"/>
        <w:pageBreakBefore w:val="0"/>
        <w:kinsoku/>
        <w:wordWrap/>
        <w:overflowPunct/>
        <w:autoSpaceDE/>
        <w:autoSpaceDN/>
        <w:bidi w:val="0"/>
        <w:spacing w:before="48" w:beforeLines="20" w:after="48" w:afterLines="20" w:line="5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1. 项目概况：</w:t>
      </w:r>
    </w:p>
    <w:p w14:paraId="709DB2DC">
      <w:pPr>
        <w:keepNext w:val="0"/>
        <w:keepLines w:val="0"/>
        <w:pageBreakBefore w:val="0"/>
        <w:tabs>
          <w:tab w:val="left" w:pos="7513"/>
        </w:tabs>
        <w:kinsoku/>
        <w:wordWrap/>
        <w:overflowPunct/>
        <w:autoSpaceDE/>
        <w:autoSpaceDN/>
        <w:bidi w:val="0"/>
        <w:spacing w:before="48" w:beforeLines="20" w:after="48" w:afterLines="20" w:line="500" w:lineRule="exact"/>
        <w:ind w:firstLine="424" w:firstLineChars="177"/>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1.1 项目名称：花果山产业小镇综合配套工程建设项目</w:t>
      </w:r>
      <w:r>
        <w:rPr>
          <w:rFonts w:hint="eastAsia" w:ascii="宋体" w:hAnsi="宋体" w:cs="宋体"/>
          <w:color w:val="auto"/>
          <w:sz w:val="24"/>
          <w:highlight w:val="none"/>
          <w:lang w:eastAsia="zh-CN"/>
        </w:rPr>
        <w:t>土壤污染修复监理服务</w:t>
      </w:r>
    </w:p>
    <w:p w14:paraId="33FFC1D9">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1.2 工程建设规模</w:t>
      </w:r>
      <w:r>
        <w:rPr>
          <w:rFonts w:hint="eastAsia" w:ascii="宋体" w:hAnsi="宋体" w:cs="宋体"/>
          <w:color w:val="auto"/>
          <w:sz w:val="24"/>
          <w:highlight w:val="none"/>
          <w:lang w:eastAsia="zh-CN"/>
        </w:rPr>
        <w:t>：花果山产业小镇综合配套工程建设项目地块位于广州市越秀区西胜街北侧、广州青少年科技馆西侧、广州电视台东侧，调查地块（地块一行政办公用地与地块三文化设施用地）占地面积为11158.67平方米。本项目地块土壤污染风险评估是基于地块调查超筛的土壤砷作为关注污染物以及第二类用地的情景下相应污染物的健康风险进行了相应分析与评估，调查地块内风险管控/修复最大深度：阶梯一为0~19米、阶梯二为0~22米，风险管控/修复的最大投影面积为9461.26平方米，风险管控/修复的土方量约为69326.59立方米，疑似污染土方量约为6528.07立方米。其中计划风险管控土方量约10139.80立方米，修复土方量59186.79立方米，支护措施产生土方暂估6919.30立方米（最终以修复实施方案备案为准）。</w:t>
      </w:r>
    </w:p>
    <w:p w14:paraId="5CDF0E84">
      <w:pPr>
        <w:keepNext w:val="0"/>
        <w:keepLines w:val="0"/>
        <w:pageBreakBefore w:val="0"/>
        <w:tabs>
          <w:tab w:val="left" w:pos="7513"/>
        </w:tabs>
        <w:kinsoku/>
        <w:wordWrap/>
        <w:overflowPunct/>
        <w:autoSpaceDE/>
        <w:autoSpaceDN/>
        <w:bidi w:val="0"/>
        <w:spacing w:before="48" w:beforeLines="20" w:after="48" w:afterLines="20" w:line="500" w:lineRule="exact"/>
        <w:ind w:firstLine="424" w:firstLineChars="177"/>
        <w:textAlignment w:val="auto"/>
        <w:rPr>
          <w:rFonts w:ascii="宋体" w:hAnsi="宋体" w:cs="宋体"/>
          <w:color w:val="auto"/>
          <w:sz w:val="24"/>
          <w:highlight w:val="none"/>
          <w:u w:val="single"/>
        </w:rPr>
      </w:pPr>
      <w:r>
        <w:rPr>
          <w:rFonts w:hint="eastAsia" w:ascii="宋体" w:hAnsi="宋体" w:cs="宋体"/>
          <w:color w:val="auto"/>
          <w:sz w:val="24"/>
          <w:highlight w:val="none"/>
        </w:rPr>
        <w:t>1.3 工程建设地点：</w:t>
      </w:r>
      <w:r>
        <w:rPr>
          <w:rFonts w:hint="eastAsia" w:asciiTheme="minorEastAsia" w:hAnsiTheme="minorEastAsia" w:eastAsiaTheme="minorEastAsia" w:cstheme="minorEastAsia"/>
          <w:bCs/>
          <w:color w:val="auto"/>
          <w:sz w:val="24"/>
          <w:szCs w:val="24"/>
          <w:highlight w:val="none"/>
        </w:rPr>
        <w:t>广州市越秀区西胜街以北、广州市广播电视台以东、广州青少年科技馆以西地块</w:t>
      </w:r>
      <w:r>
        <w:rPr>
          <w:rFonts w:hint="eastAsia" w:asciiTheme="minorEastAsia" w:hAnsiTheme="minorEastAsia" w:eastAsiaTheme="minorEastAsia" w:cstheme="minorEastAsia"/>
          <w:bCs/>
          <w:color w:val="auto"/>
          <w:sz w:val="24"/>
          <w:szCs w:val="24"/>
          <w:highlight w:val="none"/>
          <w:lang w:eastAsia="zh-CN"/>
        </w:rPr>
        <w:t>。</w:t>
      </w:r>
    </w:p>
    <w:p w14:paraId="44BC9709">
      <w:pPr>
        <w:keepNext w:val="0"/>
        <w:keepLines w:val="0"/>
        <w:pageBreakBefore w:val="0"/>
        <w:kinsoku/>
        <w:wordWrap/>
        <w:overflowPunct/>
        <w:autoSpaceDE/>
        <w:autoSpaceDN/>
        <w:bidi w:val="0"/>
        <w:spacing w:before="48" w:beforeLines="20" w:after="48" w:afterLines="20" w:line="5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2.招标范围及内容</w:t>
      </w:r>
    </w:p>
    <w:p w14:paraId="3392A0C1">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合本项目地块实际情况及上述法律法规规定，实施对本项目临时设施工程、污染土壤清挖以及修复过程、二次污染防治的全过程监理工作，对质量和进度进行控制，以及对场地修复期间的安全施工进行监理，确保修复工作符合环境保护有关法律法规的要求；土壤修复过程中监测大气、水、噪声等各项数据；通过驻场监理、旁站监理或巡视等方式实施监理，及时提交监理过程有关报告，编制项目的环境监理方案报广东省、广州市生态环境主管部门备案，并严格按照已备案的环境监理方案和环境保护相关要求，进行项目监理和环境监理（包括提交相关报告）。包括但不限于：</w:t>
      </w:r>
    </w:p>
    <w:p w14:paraId="72E590B9">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负责工程各项环境管理（包括项目监理）、检查、监测、检测等一切相关工作，若不具备检测资质的，应将此部分任务委托给广东省生态环境主管部门公示的合格检测机构名录中的单位负责，检测费用由监理人承担。</w:t>
      </w:r>
    </w:p>
    <w:p w14:paraId="0C74D590">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（2）对本项目地块土壤污染修复工程进行环境监理（包括项目监理），对承包人实施修复过程中的工程安全、质量、进度及防止二次污染等事项进行监督管理。</w:t>
      </w:r>
    </w:p>
    <w:p w14:paraId="202C5EBB">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配合招标人、第三方机构、相关职能管理部门开展的各类检查、检测、监测、效果评估等工作，协助招标人配合好环境保护行政主管部门的日常监督管理、生态环境主管部门监督检查、项目环保审查和环保验收工作。</w:t>
      </w:r>
    </w:p>
    <w:p w14:paraId="491563F9">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（4）对本项目地块土壤污染修复过程实施监测、检测，保证相关监测、检测符合国家技术规范，并将相关监测、检测报告附在监理验收报告中。</w:t>
      </w:r>
    </w:p>
    <w:p w14:paraId="766A3CF9">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地块土壤污染修复工程竣工后，编制本项目监理总结报告，并协助配合第三方验收，该报告必须通过广东省、广州市生态环境主管部门的技术评审，并取得同意备案的函复文件。如该报告未能通过广东省、广州市生态环境主管部门的技术评审，招标人有权解除本合同，监理人应向招标人支付本合同监理服务费30%的违约金，赔偿因此给委托人造成的全部损失。</w:t>
      </w:r>
    </w:p>
    <w:p w14:paraId="369F36DB">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（6）协助</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对承包人提供的工程量、工程款、变更、索赔、签证、工程结算等工程造价文件进行审核，协助招标人对监理项目的投资、工程造价进行控制，并于每月5日前应向招标人提交上一月的监理月报。月报需详细反映月度进度、质量、工程款支付和工程签证等情况，及所采取的对策和措施，对工程的意见和建议及下月监理工作的重点。</w:t>
      </w:r>
    </w:p>
    <w:p w14:paraId="4F9FC367">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督促和检查承包人文明施工、健全安全生产防护措施，巡查、检查现场安全、文明施工实施情况，审核项目环境保护、安全防护措施、二次污染防控措施等是否符合国家法律法规的要求，对于不符合规定的事项向承包人发出整改要求。</w:t>
      </w:r>
    </w:p>
    <w:p w14:paraId="6FACBF70">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（8）督促并审核承包人编制、整理工程竣工验收及备案文件、技术资料、竣工图纸和各种必须归档的资料，协助招标人办理各项验收和项目移交工作等。</w:t>
      </w:r>
    </w:p>
    <w:p w14:paraId="71F1257D">
      <w:pPr>
        <w:keepNext w:val="0"/>
        <w:keepLines w:val="0"/>
        <w:pageBreakBefore w:val="0"/>
        <w:kinsoku/>
        <w:wordWrap/>
        <w:overflowPunct/>
        <w:topLinePunct/>
        <w:autoSpaceDE/>
        <w:autoSpaceDN/>
        <w:bidi w:val="0"/>
        <w:adjustRightInd w:val="0"/>
        <w:snapToGrid w:val="0"/>
        <w:spacing w:before="48" w:beforeLines="20" w:after="48" w:afterLines="20"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服务期限：</w:t>
      </w:r>
      <w:bookmarkStart w:id="947" w:name="_Hlk136249883"/>
      <w:r>
        <w:rPr>
          <w:rFonts w:hint="eastAsia" w:ascii="宋体" w:hAnsi="宋体" w:eastAsia="宋体" w:cs="宋体"/>
          <w:color w:val="auto"/>
          <w:kern w:val="2"/>
          <w:sz w:val="24"/>
          <w:szCs w:val="24"/>
          <w:highlight w:val="none"/>
          <w:lang w:val="en-US" w:eastAsia="zh-CN" w:bidi="ar-SA"/>
        </w:rPr>
        <w:t>监理服务周期为合同签订之日起至本项目通过广东省、广州市环保主管部门验收及备案且本项目地块完成广东省建设用地土壤污染风险管控和修复名录移出工作之日止。</w:t>
      </w:r>
    </w:p>
    <w:bookmarkEnd w:id="947"/>
    <w:p w14:paraId="1D83B921">
      <w:pPr>
        <w:keepNext w:val="0"/>
        <w:keepLines w:val="0"/>
        <w:pageBreakBefore w:val="0"/>
        <w:kinsoku/>
        <w:wordWrap/>
        <w:overflowPunct/>
        <w:topLinePunct/>
        <w:autoSpaceDE/>
        <w:autoSpaceDN/>
        <w:bidi w:val="0"/>
        <w:adjustRightInd w:val="0"/>
        <w:snapToGrid w:val="0"/>
        <w:spacing w:before="48" w:beforeLines="20" w:after="48" w:afterLines="20" w:line="500" w:lineRule="exact"/>
        <w:ind w:firstLine="480" w:firstLineChars="200"/>
        <w:textAlignment w:val="auto"/>
        <w:rPr>
          <w:rFonts w:hint="eastAsia" w:ascii="宋体" w:hAnsi="宋体" w:cs="宋体"/>
          <w:color w:val="auto"/>
          <w:spacing w:val="0"/>
          <w:sz w:val="24"/>
          <w:szCs w:val="24"/>
          <w:highlight w:val="none"/>
          <w:u w:val="none"/>
        </w:rPr>
      </w:pPr>
      <w:r>
        <w:rPr>
          <w:rFonts w:hint="eastAsia" w:ascii="宋体" w:hAnsi="宋体" w:eastAsia="宋体" w:cs="宋体"/>
          <w:color w:val="auto"/>
          <w:kern w:val="2"/>
          <w:sz w:val="24"/>
          <w:szCs w:val="24"/>
          <w:highlight w:val="none"/>
          <w:lang w:val="en-US" w:eastAsia="zh-CN" w:bidi="ar-SA"/>
        </w:rPr>
        <w:t>质量</w:t>
      </w:r>
      <w:r>
        <w:rPr>
          <w:rFonts w:hint="eastAsia" w:ascii="宋体" w:hAnsi="宋体" w:cs="宋体"/>
          <w:color w:val="auto"/>
          <w:kern w:val="2"/>
          <w:sz w:val="24"/>
          <w:szCs w:val="24"/>
          <w:highlight w:val="none"/>
          <w:lang w:val="en-US" w:eastAsia="zh-CN" w:bidi="ar-SA"/>
        </w:rPr>
        <w:t>标准</w:t>
      </w:r>
      <w:r>
        <w:rPr>
          <w:rFonts w:hint="eastAsia" w:ascii="宋体" w:hAnsi="宋体" w:eastAsia="宋体" w:cs="宋体"/>
          <w:color w:val="auto"/>
          <w:kern w:val="2"/>
          <w:sz w:val="24"/>
          <w:szCs w:val="24"/>
          <w:highlight w:val="none"/>
          <w:lang w:val="en-US" w:eastAsia="zh-CN" w:bidi="ar-SA"/>
        </w:rPr>
        <w:t>：须完成土壤污染治理与修复的各项工作，确保修复实施方案通过广东省、</w:t>
      </w:r>
      <w:r>
        <w:rPr>
          <w:rFonts w:hint="eastAsia" w:ascii="宋体" w:hAnsi="宋体" w:cs="宋体"/>
          <w:color w:val="auto"/>
          <w:kern w:val="2"/>
          <w:sz w:val="24"/>
          <w:szCs w:val="24"/>
          <w:highlight w:val="none"/>
          <w:lang w:val="en-US" w:eastAsia="zh-CN" w:bidi="ar-SA"/>
        </w:rPr>
        <w:t>广州</w:t>
      </w:r>
      <w:r>
        <w:rPr>
          <w:rFonts w:hint="eastAsia" w:ascii="宋体" w:hAnsi="宋体" w:eastAsia="宋体" w:cs="宋体"/>
          <w:color w:val="auto"/>
          <w:kern w:val="2"/>
          <w:sz w:val="24"/>
          <w:szCs w:val="24"/>
          <w:highlight w:val="none"/>
          <w:lang w:val="en-US" w:eastAsia="zh-CN" w:bidi="ar-SA"/>
        </w:rPr>
        <w:t>市生态环境主管部门组织的专家评审会，通过广东省、</w:t>
      </w:r>
      <w:r>
        <w:rPr>
          <w:rFonts w:hint="eastAsia" w:ascii="宋体" w:hAnsi="宋体" w:cs="宋体"/>
          <w:color w:val="auto"/>
          <w:kern w:val="2"/>
          <w:sz w:val="24"/>
          <w:szCs w:val="24"/>
          <w:highlight w:val="none"/>
          <w:lang w:val="en-US" w:eastAsia="zh-CN" w:bidi="ar-SA"/>
        </w:rPr>
        <w:t>广州</w:t>
      </w:r>
      <w:r>
        <w:rPr>
          <w:rFonts w:hint="eastAsia" w:ascii="宋体" w:hAnsi="宋体" w:eastAsia="宋体" w:cs="宋体"/>
          <w:color w:val="auto"/>
          <w:kern w:val="2"/>
          <w:sz w:val="24"/>
          <w:szCs w:val="24"/>
          <w:highlight w:val="none"/>
          <w:lang w:val="en-US" w:eastAsia="zh-CN" w:bidi="ar-SA"/>
        </w:rPr>
        <w:t>市生态环境主管部门审核审查，并按广东省、</w:t>
      </w:r>
      <w:r>
        <w:rPr>
          <w:rFonts w:hint="eastAsia" w:ascii="宋体" w:hAnsi="宋体" w:cs="宋体"/>
          <w:color w:val="auto"/>
          <w:kern w:val="2"/>
          <w:sz w:val="24"/>
          <w:szCs w:val="24"/>
          <w:highlight w:val="none"/>
          <w:lang w:val="en-US" w:eastAsia="zh-CN" w:bidi="ar-SA"/>
        </w:rPr>
        <w:t>广州</w:t>
      </w:r>
      <w:r>
        <w:rPr>
          <w:rFonts w:hint="eastAsia" w:ascii="宋体" w:hAnsi="宋体" w:eastAsia="宋体" w:cs="宋体"/>
          <w:color w:val="auto"/>
          <w:kern w:val="2"/>
          <w:sz w:val="24"/>
          <w:szCs w:val="24"/>
          <w:highlight w:val="none"/>
          <w:lang w:val="en-US" w:eastAsia="zh-CN" w:bidi="ar-SA"/>
        </w:rPr>
        <w:t>市土壤修复管理有关规定报省、市环保主管部门等相关政府部门审批备案；确保本项目《修复效果评估报告》达到广东省、</w:t>
      </w:r>
      <w:r>
        <w:rPr>
          <w:rFonts w:hint="eastAsia" w:ascii="宋体" w:hAnsi="宋体" w:cs="宋体"/>
          <w:color w:val="auto"/>
          <w:kern w:val="2"/>
          <w:sz w:val="24"/>
          <w:szCs w:val="24"/>
          <w:highlight w:val="none"/>
          <w:lang w:val="en-US" w:eastAsia="zh-CN" w:bidi="ar-SA"/>
        </w:rPr>
        <w:t>广州</w:t>
      </w:r>
      <w:r>
        <w:rPr>
          <w:rFonts w:hint="eastAsia" w:ascii="宋体" w:hAnsi="宋体" w:eastAsia="宋体" w:cs="宋体"/>
          <w:color w:val="auto"/>
          <w:kern w:val="2"/>
          <w:sz w:val="24"/>
          <w:szCs w:val="24"/>
          <w:highlight w:val="none"/>
          <w:lang w:val="en-US" w:eastAsia="zh-CN" w:bidi="ar-SA"/>
        </w:rPr>
        <w:t>市生态环境主管部门的验收备案条件，并能通过广东省、</w:t>
      </w:r>
      <w:r>
        <w:rPr>
          <w:rFonts w:hint="eastAsia" w:ascii="宋体" w:hAnsi="宋体" w:cs="宋体"/>
          <w:color w:val="auto"/>
          <w:kern w:val="2"/>
          <w:sz w:val="24"/>
          <w:szCs w:val="24"/>
          <w:highlight w:val="none"/>
          <w:lang w:val="en-US" w:eastAsia="zh-CN" w:bidi="ar-SA"/>
        </w:rPr>
        <w:t>广州</w:t>
      </w:r>
      <w:r>
        <w:rPr>
          <w:rFonts w:hint="eastAsia" w:ascii="宋体" w:hAnsi="宋体" w:eastAsia="宋体" w:cs="宋体"/>
          <w:color w:val="auto"/>
          <w:kern w:val="2"/>
          <w:sz w:val="24"/>
          <w:szCs w:val="24"/>
          <w:highlight w:val="none"/>
          <w:lang w:val="en-US" w:eastAsia="zh-CN" w:bidi="ar-SA"/>
        </w:rPr>
        <w:t>市生态环境主管部门验收，最终完成项目地块的广东省建设用地土壤污染风险管控和修复名录移出工作。</w:t>
      </w:r>
    </w:p>
    <w:p w14:paraId="338C9139">
      <w:pPr>
        <w:keepNext w:val="0"/>
        <w:keepLines w:val="0"/>
        <w:pageBreakBefore w:val="0"/>
        <w:kinsoku/>
        <w:wordWrap/>
        <w:overflowPunct/>
        <w:autoSpaceDE/>
        <w:autoSpaceDN/>
        <w:bidi w:val="0"/>
        <w:spacing w:before="48" w:beforeLines="20" w:after="48" w:afterLines="20" w:line="5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3.依据文件</w:t>
      </w:r>
    </w:p>
    <w:p w14:paraId="7500A702">
      <w:pPr>
        <w:keepNext w:val="0"/>
        <w:keepLines w:val="0"/>
        <w:pageBreakBefore w:val="0"/>
        <w:kinsoku/>
        <w:wordWrap/>
        <w:overflowPunct/>
        <w:autoSpaceDE/>
        <w:autoSpaceDN/>
        <w:bidi w:val="0"/>
        <w:spacing w:before="48" w:beforeLines="20" w:after="48" w:afterLines="20"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（1）国家有关法律、法规、规章及规范性文件；</w:t>
      </w:r>
    </w:p>
    <w:p w14:paraId="59990AAC">
      <w:pPr>
        <w:keepNext w:val="0"/>
        <w:keepLines w:val="0"/>
        <w:pageBreakBefore w:val="0"/>
        <w:kinsoku/>
        <w:wordWrap/>
        <w:overflowPunct/>
        <w:autoSpaceDE/>
        <w:autoSpaceDN/>
        <w:bidi w:val="0"/>
        <w:spacing w:before="48" w:beforeLines="20" w:after="48" w:afterLines="20"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（2）国家有关技术标准、规范及规程；</w:t>
      </w:r>
    </w:p>
    <w:p w14:paraId="0E52202F">
      <w:pPr>
        <w:keepNext w:val="0"/>
        <w:keepLines w:val="0"/>
        <w:pageBreakBefore w:val="0"/>
        <w:kinsoku/>
        <w:wordWrap/>
        <w:overflowPunct/>
        <w:autoSpaceDE/>
        <w:autoSpaceDN/>
        <w:bidi w:val="0"/>
        <w:spacing w:before="48" w:beforeLines="20" w:after="48" w:afterLines="20"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（3）合同及其他有关合同文件；</w:t>
      </w:r>
    </w:p>
    <w:p w14:paraId="6070D235">
      <w:pPr>
        <w:keepNext w:val="0"/>
        <w:keepLines w:val="0"/>
        <w:pageBreakBefore w:val="0"/>
        <w:kinsoku/>
        <w:wordWrap/>
        <w:overflowPunct/>
        <w:autoSpaceDE/>
        <w:autoSpaceDN/>
        <w:bidi w:val="0"/>
        <w:spacing w:before="48" w:beforeLines="20" w:after="48" w:afterLines="20"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（4）工程勘察、设计文件；</w:t>
      </w:r>
    </w:p>
    <w:p w14:paraId="0CFC5BDF">
      <w:pPr>
        <w:keepNext w:val="0"/>
        <w:keepLines w:val="0"/>
        <w:pageBreakBefore w:val="0"/>
        <w:kinsoku/>
        <w:wordWrap/>
        <w:overflowPunct/>
        <w:autoSpaceDE/>
        <w:autoSpaceDN/>
        <w:bidi w:val="0"/>
        <w:spacing w:before="48" w:beforeLines="20" w:after="48" w:afterLines="20"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（5）与工程项目有关的函件。</w:t>
      </w:r>
    </w:p>
    <w:p w14:paraId="16B96104">
      <w:pPr>
        <w:keepNext w:val="0"/>
        <w:keepLines w:val="0"/>
        <w:pageBreakBefore w:val="0"/>
        <w:kinsoku/>
        <w:wordWrap/>
        <w:overflowPunct/>
        <w:autoSpaceDE/>
        <w:autoSpaceDN/>
        <w:bidi w:val="0"/>
        <w:spacing w:before="48" w:beforeLines="20" w:after="48" w:afterLines="20" w:line="5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4.其他要求</w:t>
      </w:r>
    </w:p>
    <w:p w14:paraId="4188A9AD">
      <w:pPr>
        <w:keepNext w:val="0"/>
        <w:keepLines w:val="0"/>
        <w:pageBreakBefore w:val="0"/>
        <w:kinsoku/>
        <w:wordWrap/>
        <w:overflowPunct/>
        <w:autoSpaceDE/>
        <w:autoSpaceDN/>
        <w:bidi w:val="0"/>
        <w:spacing w:before="48" w:beforeLines="20" w:after="48" w:afterLines="20"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详见本招标文件的第二章投标人须知和本项目合同的相关约定。</w:t>
      </w:r>
    </w:p>
    <w:p w14:paraId="36CC59C9">
      <w:pPr>
        <w:keepNext w:val="0"/>
        <w:keepLines w:val="0"/>
        <w:pageBreakBefore w:val="0"/>
        <w:kinsoku/>
        <w:wordWrap/>
        <w:overflowPunct/>
        <w:autoSpaceDE/>
        <w:autoSpaceDN/>
        <w:bidi w:val="0"/>
        <w:spacing w:before="48" w:beforeLines="20" w:after="48" w:afterLines="20" w:line="5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5、适用规范标准</w:t>
      </w:r>
    </w:p>
    <w:p w14:paraId="7E7D1736">
      <w:pPr>
        <w:keepNext w:val="0"/>
        <w:keepLines w:val="0"/>
        <w:pageBreakBefore w:val="0"/>
        <w:kinsoku/>
        <w:wordWrap/>
        <w:overflowPunct/>
        <w:autoSpaceDE/>
        <w:autoSpaceDN/>
        <w:bidi w:val="0"/>
        <w:spacing w:before="48" w:beforeLines="20" w:after="48" w:afterLines="20"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国家关于监理和造价咨询的法律、法规、规章及规范性文件。</w:t>
      </w:r>
    </w:p>
    <w:p w14:paraId="5558DE30">
      <w:pPr>
        <w:keepNext w:val="0"/>
        <w:keepLines w:val="0"/>
        <w:pageBreakBefore w:val="0"/>
        <w:kinsoku/>
        <w:wordWrap/>
        <w:overflowPunct/>
        <w:autoSpaceDE/>
        <w:autoSpaceDN/>
        <w:bidi w:val="0"/>
        <w:spacing w:before="48" w:beforeLines="20" w:after="48" w:afterLines="20" w:line="500" w:lineRule="exact"/>
        <w:textAlignment w:val="auto"/>
        <w:rPr>
          <w:b/>
          <w:color w:val="auto"/>
          <w:sz w:val="24"/>
          <w:highlight w:val="none"/>
        </w:rPr>
      </w:pPr>
      <w:r>
        <w:rPr>
          <w:rFonts w:hint="eastAsia"/>
          <w:b/>
          <w:color w:val="auto"/>
          <w:sz w:val="24"/>
          <w:highlight w:val="none"/>
        </w:rPr>
        <w:t>6、管理机构人员配备基本要求</w:t>
      </w:r>
    </w:p>
    <w:p w14:paraId="55816B35">
      <w:pPr>
        <w:tabs>
          <w:tab w:val="left" w:pos="105"/>
        </w:tabs>
        <w:spacing w:line="500" w:lineRule="exact"/>
        <w:jc w:val="center"/>
        <w:rPr>
          <w:rFonts w:hint="eastAsia" w:ascii="宋体" w:hAnsi="宋体" w:cs="宋体"/>
          <w:b/>
          <w:bCs/>
          <w:color w:val="auto"/>
          <w:sz w:val="28"/>
          <w:szCs w:val="28"/>
          <w:highlight w:val="none"/>
        </w:rPr>
      </w:pPr>
      <w:r>
        <w:rPr>
          <w:rFonts w:hint="eastAsia"/>
          <w:b/>
          <w:color w:val="auto"/>
          <w:sz w:val="24"/>
          <w:highlight w:val="none"/>
        </w:rPr>
        <w:t>管理机构人员配备基本要求表</w:t>
      </w:r>
    </w:p>
    <w:tbl>
      <w:tblPr>
        <w:tblStyle w:val="16"/>
        <w:tblW w:w="917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76"/>
        <w:gridCol w:w="1347"/>
        <w:gridCol w:w="4997"/>
      </w:tblGrid>
      <w:tr w14:paraId="53C7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trPr>
        <w:tc>
          <w:tcPr>
            <w:tcW w:w="754" w:type="dxa"/>
            <w:vAlign w:val="center"/>
          </w:tcPr>
          <w:p w14:paraId="55054C55">
            <w:pPr>
              <w:adjustRightInd w:val="0"/>
              <w:snapToGrid w:val="0"/>
              <w:spacing w:line="500" w:lineRule="exact"/>
              <w:jc w:val="center"/>
              <w:rPr>
                <w:rFonts w:hint="eastAsia" w:ascii="宋体" w:hAnsi="宋体"/>
                <w:b/>
                <w:color w:val="auto"/>
                <w:kern w:val="44"/>
                <w:sz w:val="18"/>
                <w:highlight w:val="none"/>
              </w:rPr>
            </w:pPr>
            <w:r>
              <w:rPr>
                <w:rFonts w:hint="eastAsia" w:ascii="宋体" w:hAnsi="宋体"/>
                <w:b/>
                <w:color w:val="auto"/>
                <w:kern w:val="44"/>
                <w:sz w:val="18"/>
                <w:highlight w:val="none"/>
              </w:rPr>
              <w:t>序号</w:t>
            </w:r>
          </w:p>
        </w:tc>
        <w:tc>
          <w:tcPr>
            <w:tcW w:w="2076" w:type="dxa"/>
            <w:vAlign w:val="center"/>
          </w:tcPr>
          <w:p w14:paraId="05D54B98">
            <w:pPr>
              <w:adjustRightInd w:val="0"/>
              <w:snapToGrid w:val="0"/>
              <w:spacing w:line="500" w:lineRule="exact"/>
              <w:jc w:val="center"/>
              <w:rPr>
                <w:rFonts w:hint="eastAsia" w:ascii="宋体" w:hAnsi="宋体"/>
                <w:bCs/>
                <w:color w:val="auto"/>
                <w:kern w:val="44"/>
                <w:sz w:val="18"/>
                <w:highlight w:val="none"/>
              </w:rPr>
            </w:pPr>
            <w:r>
              <w:rPr>
                <w:rFonts w:hint="eastAsia" w:ascii="宋体" w:hAnsi="宋体"/>
                <w:b/>
                <w:color w:val="auto"/>
                <w:kern w:val="44"/>
                <w:sz w:val="18"/>
                <w:highlight w:val="none"/>
              </w:rPr>
              <w:t>岗位名称</w:t>
            </w:r>
          </w:p>
        </w:tc>
        <w:tc>
          <w:tcPr>
            <w:tcW w:w="1347" w:type="dxa"/>
            <w:vAlign w:val="center"/>
          </w:tcPr>
          <w:p w14:paraId="7A6C04BB">
            <w:pPr>
              <w:adjustRightInd w:val="0"/>
              <w:snapToGrid w:val="0"/>
              <w:spacing w:line="500" w:lineRule="exact"/>
              <w:jc w:val="center"/>
              <w:rPr>
                <w:rFonts w:hint="eastAsia" w:ascii="宋体" w:hAnsi="宋体"/>
                <w:bCs/>
                <w:color w:val="auto"/>
                <w:kern w:val="44"/>
                <w:sz w:val="18"/>
                <w:highlight w:val="none"/>
              </w:rPr>
            </w:pPr>
            <w:r>
              <w:rPr>
                <w:rFonts w:hint="eastAsia" w:ascii="宋体" w:hAnsi="宋体"/>
                <w:b/>
                <w:color w:val="auto"/>
                <w:kern w:val="44"/>
                <w:sz w:val="18"/>
                <w:highlight w:val="none"/>
              </w:rPr>
              <w:t>数量</w:t>
            </w:r>
          </w:p>
        </w:tc>
        <w:tc>
          <w:tcPr>
            <w:tcW w:w="4997" w:type="dxa"/>
            <w:vAlign w:val="center"/>
          </w:tcPr>
          <w:p w14:paraId="369E2BC2">
            <w:pPr>
              <w:adjustRightInd w:val="0"/>
              <w:snapToGrid w:val="0"/>
              <w:spacing w:line="500" w:lineRule="exact"/>
              <w:jc w:val="center"/>
              <w:rPr>
                <w:rFonts w:hint="eastAsia" w:ascii="宋体" w:hAnsi="宋体"/>
                <w:bCs/>
                <w:color w:val="auto"/>
                <w:kern w:val="44"/>
                <w:sz w:val="18"/>
                <w:highlight w:val="none"/>
              </w:rPr>
            </w:pPr>
            <w:r>
              <w:rPr>
                <w:rFonts w:hint="eastAsia" w:ascii="宋体" w:hAnsi="宋体"/>
                <w:b/>
                <w:color w:val="auto"/>
                <w:kern w:val="44"/>
                <w:sz w:val="18"/>
                <w:highlight w:val="none"/>
              </w:rPr>
              <w:t>基本要求</w:t>
            </w:r>
          </w:p>
        </w:tc>
      </w:tr>
      <w:tr w14:paraId="5D5E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54" w:type="dxa"/>
            <w:vAlign w:val="center"/>
          </w:tcPr>
          <w:p w14:paraId="359366DE">
            <w:pPr>
              <w:widowControl/>
              <w:adjustRightInd w:val="0"/>
              <w:snapToGrid w:val="0"/>
              <w:spacing w:line="500" w:lineRule="exact"/>
              <w:ind w:left="-361" w:leftChars="-172" w:firstLine="360" w:firstLineChars="200"/>
              <w:jc w:val="center"/>
              <w:rPr>
                <w:rFonts w:hint="eastAsia" w:ascii="宋体" w:hAnsi="宋体" w:cs="宋体"/>
                <w:color w:val="auto"/>
                <w:kern w:val="0"/>
                <w:sz w:val="18"/>
                <w:szCs w:val="21"/>
                <w:highlight w:val="none"/>
              </w:rPr>
            </w:pPr>
            <w:r>
              <w:rPr>
                <w:rFonts w:hint="eastAsia" w:ascii="宋体" w:hAnsi="宋体" w:cs="宋体"/>
                <w:color w:val="auto"/>
                <w:kern w:val="0"/>
                <w:sz w:val="18"/>
                <w:szCs w:val="21"/>
                <w:highlight w:val="none"/>
              </w:rPr>
              <w:t>1</w:t>
            </w:r>
          </w:p>
        </w:tc>
        <w:tc>
          <w:tcPr>
            <w:tcW w:w="2076" w:type="dxa"/>
            <w:vAlign w:val="center"/>
          </w:tcPr>
          <w:p w14:paraId="62E37F72">
            <w:pPr>
              <w:adjustRightInd w:val="0"/>
              <w:snapToGrid w:val="0"/>
              <w:spacing w:line="500" w:lineRule="exac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总监理工程师</w:t>
            </w:r>
          </w:p>
        </w:tc>
        <w:tc>
          <w:tcPr>
            <w:tcW w:w="1347" w:type="dxa"/>
            <w:vAlign w:val="center"/>
          </w:tcPr>
          <w:p w14:paraId="74C6FE43">
            <w:pPr>
              <w:adjustRightInd w:val="0"/>
              <w:snapToGrid w:val="0"/>
              <w:spacing w:line="500" w:lineRule="exact"/>
              <w:jc w:val="center"/>
              <w:rPr>
                <w:rFonts w:hint="eastAsia" w:ascii="宋体" w:hAnsi="宋体" w:cs="宋体"/>
                <w:color w:val="auto"/>
                <w:szCs w:val="21"/>
                <w:highlight w:val="none"/>
                <w:lang w:val="zh-CN" w:bidi="ar"/>
              </w:rPr>
            </w:pPr>
            <w:r>
              <w:rPr>
                <w:rFonts w:ascii="宋体" w:hAnsi="宋体" w:cs="宋体"/>
                <w:color w:val="auto"/>
                <w:szCs w:val="21"/>
                <w:highlight w:val="none"/>
                <w:lang w:val="zh-CN" w:bidi="ar"/>
              </w:rPr>
              <w:t>1</w:t>
            </w:r>
          </w:p>
        </w:tc>
        <w:tc>
          <w:tcPr>
            <w:tcW w:w="4997" w:type="dxa"/>
            <w:vAlign w:val="center"/>
          </w:tcPr>
          <w:p w14:paraId="1A5284A1">
            <w:pPr>
              <w:adjustRightInd w:val="0"/>
              <w:snapToGrid w:val="0"/>
              <w:spacing w:line="276" w:lineRule="auto"/>
              <w:jc w:val="lef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按招标公告要求；驻场</w:t>
            </w:r>
          </w:p>
        </w:tc>
      </w:tr>
      <w:tr w14:paraId="3DBB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F1E3E6B">
            <w:pPr>
              <w:pStyle w:val="23"/>
              <w:spacing w:line="500" w:lineRule="exact"/>
              <w:jc w:val="center"/>
              <w:rPr>
                <w:rFonts w:hint="eastAsia" w:ascii="宋体" w:hAnsi="宋体" w:cs="宋体"/>
                <w:bCs/>
                <w:color w:val="auto"/>
                <w:kern w:val="44"/>
                <w:sz w:val="18"/>
                <w:szCs w:val="24"/>
                <w:highlight w:val="none"/>
              </w:rPr>
            </w:pPr>
            <w:r>
              <w:rPr>
                <w:rFonts w:hint="eastAsia" w:ascii="宋体" w:hAnsi="宋体" w:cs="宋体"/>
                <w:bCs/>
                <w:color w:val="auto"/>
                <w:kern w:val="44"/>
                <w:sz w:val="18"/>
                <w:szCs w:val="24"/>
                <w:highlight w:val="none"/>
              </w:rPr>
              <w:t>2</w:t>
            </w:r>
          </w:p>
        </w:tc>
        <w:tc>
          <w:tcPr>
            <w:tcW w:w="2076" w:type="dxa"/>
            <w:vAlign w:val="center"/>
          </w:tcPr>
          <w:p w14:paraId="185D2984">
            <w:pPr>
              <w:adjustRightInd w:val="0"/>
              <w:snapToGrid w:val="0"/>
              <w:spacing w:line="500" w:lineRule="exac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环境监理工程师</w:t>
            </w:r>
          </w:p>
        </w:tc>
        <w:tc>
          <w:tcPr>
            <w:tcW w:w="1347" w:type="dxa"/>
            <w:vAlign w:val="center"/>
          </w:tcPr>
          <w:p w14:paraId="5FC99A0B">
            <w:pPr>
              <w:widowControl/>
              <w:adjustRightInd w:val="0"/>
              <w:snapToGrid w:val="0"/>
              <w:spacing w:line="500" w:lineRule="exact"/>
              <w:ind w:left="-361" w:leftChars="-172" w:firstLine="420" w:firstLineChars="200"/>
              <w:jc w:val="center"/>
              <w:rPr>
                <w:rFonts w:hint="eastAsia" w:ascii="宋体" w:hAnsi="宋体" w:cs="宋体"/>
                <w:color w:val="auto"/>
                <w:szCs w:val="21"/>
                <w:highlight w:val="none"/>
                <w:lang w:val="zh-CN" w:bidi="ar"/>
              </w:rPr>
            </w:pPr>
            <w:r>
              <w:rPr>
                <w:rFonts w:hint="eastAsia" w:ascii="宋体" w:hAnsi="宋体" w:cs="宋体"/>
                <w:color w:val="auto"/>
                <w:szCs w:val="21"/>
                <w:highlight w:val="none"/>
                <w:lang w:bidi="ar"/>
              </w:rPr>
              <w:t>1</w:t>
            </w:r>
          </w:p>
        </w:tc>
        <w:tc>
          <w:tcPr>
            <w:tcW w:w="4997" w:type="dxa"/>
            <w:vAlign w:val="center"/>
          </w:tcPr>
          <w:p w14:paraId="32226687">
            <w:pPr>
              <w:adjustRightInd w:val="0"/>
              <w:snapToGrid w:val="0"/>
              <w:spacing w:line="276" w:lineRule="auto"/>
              <w:jc w:val="lef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具有环境监理培训证；分阶段驻场</w:t>
            </w:r>
          </w:p>
        </w:tc>
      </w:tr>
      <w:tr w14:paraId="58FF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56B4789">
            <w:pPr>
              <w:pStyle w:val="23"/>
              <w:spacing w:line="500" w:lineRule="exact"/>
              <w:jc w:val="center"/>
              <w:rPr>
                <w:rFonts w:hint="eastAsia" w:ascii="宋体" w:hAnsi="宋体" w:cs="宋体"/>
                <w:bCs/>
                <w:color w:val="auto"/>
                <w:kern w:val="44"/>
                <w:sz w:val="18"/>
                <w:szCs w:val="24"/>
                <w:highlight w:val="none"/>
              </w:rPr>
            </w:pPr>
            <w:r>
              <w:rPr>
                <w:rFonts w:hint="eastAsia" w:ascii="宋体" w:hAnsi="宋体" w:cs="宋体"/>
                <w:bCs/>
                <w:color w:val="auto"/>
                <w:kern w:val="44"/>
                <w:sz w:val="18"/>
                <w:szCs w:val="24"/>
                <w:highlight w:val="none"/>
              </w:rPr>
              <w:t>3</w:t>
            </w:r>
          </w:p>
        </w:tc>
        <w:tc>
          <w:tcPr>
            <w:tcW w:w="2076" w:type="dxa"/>
            <w:vAlign w:val="center"/>
          </w:tcPr>
          <w:p w14:paraId="0B480079">
            <w:pPr>
              <w:adjustRightInd w:val="0"/>
              <w:snapToGrid w:val="0"/>
              <w:spacing w:line="500" w:lineRule="exac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市政监理工程师</w:t>
            </w:r>
          </w:p>
        </w:tc>
        <w:tc>
          <w:tcPr>
            <w:tcW w:w="1347" w:type="dxa"/>
            <w:vAlign w:val="center"/>
          </w:tcPr>
          <w:p w14:paraId="4F895094">
            <w:pPr>
              <w:widowControl/>
              <w:adjustRightInd w:val="0"/>
              <w:snapToGrid w:val="0"/>
              <w:spacing w:line="500" w:lineRule="exact"/>
              <w:ind w:left="-361" w:leftChars="-172" w:firstLine="420" w:firstLineChars="20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p>
        </w:tc>
        <w:tc>
          <w:tcPr>
            <w:tcW w:w="4997" w:type="dxa"/>
            <w:vAlign w:val="center"/>
          </w:tcPr>
          <w:p w14:paraId="78D8D44A">
            <w:pPr>
              <w:adjustRightInd w:val="0"/>
              <w:snapToGrid w:val="0"/>
              <w:spacing w:line="276" w:lineRule="auto"/>
              <w:jc w:val="lef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具有注册监理工程师证或专业监理工程师证，专业以注册监理工程师证或专业监理工程师证或职称证或毕业证中的专业名称（含相近专业）为准；分阶段驻场</w:t>
            </w:r>
          </w:p>
        </w:tc>
      </w:tr>
      <w:tr w14:paraId="6A9F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6CFE44D">
            <w:pPr>
              <w:pStyle w:val="23"/>
              <w:spacing w:line="500" w:lineRule="exact"/>
              <w:jc w:val="center"/>
              <w:rPr>
                <w:rFonts w:hint="eastAsia" w:ascii="宋体" w:hAnsi="宋体" w:cs="宋体"/>
                <w:bCs/>
                <w:color w:val="auto"/>
                <w:kern w:val="44"/>
                <w:sz w:val="18"/>
                <w:szCs w:val="24"/>
                <w:highlight w:val="none"/>
              </w:rPr>
            </w:pPr>
            <w:r>
              <w:rPr>
                <w:rFonts w:hint="eastAsia" w:ascii="宋体" w:hAnsi="宋体" w:cs="宋体"/>
                <w:bCs/>
                <w:color w:val="auto"/>
                <w:kern w:val="44"/>
                <w:sz w:val="18"/>
                <w:szCs w:val="24"/>
                <w:highlight w:val="none"/>
              </w:rPr>
              <w:t>4</w:t>
            </w:r>
          </w:p>
        </w:tc>
        <w:tc>
          <w:tcPr>
            <w:tcW w:w="2076" w:type="dxa"/>
            <w:vAlign w:val="center"/>
          </w:tcPr>
          <w:p w14:paraId="11738E1C">
            <w:pPr>
              <w:adjustRightInd w:val="0"/>
              <w:snapToGrid w:val="0"/>
              <w:spacing w:line="500" w:lineRule="exac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造价工程师</w:t>
            </w:r>
          </w:p>
        </w:tc>
        <w:tc>
          <w:tcPr>
            <w:tcW w:w="1347" w:type="dxa"/>
            <w:vAlign w:val="center"/>
          </w:tcPr>
          <w:p w14:paraId="477E54A7">
            <w:pPr>
              <w:widowControl/>
              <w:adjustRightInd w:val="0"/>
              <w:snapToGrid w:val="0"/>
              <w:spacing w:line="500" w:lineRule="exact"/>
              <w:ind w:left="-361" w:leftChars="-172" w:firstLine="420" w:firstLineChars="200"/>
              <w:jc w:val="center"/>
              <w:rPr>
                <w:rFonts w:hint="eastAsia" w:ascii="宋体" w:hAnsi="宋体" w:cs="宋体"/>
                <w:color w:val="auto"/>
                <w:szCs w:val="21"/>
                <w:highlight w:val="none"/>
                <w:lang w:val="zh-CN" w:bidi="ar"/>
              </w:rPr>
            </w:pPr>
            <w:r>
              <w:rPr>
                <w:rFonts w:hint="eastAsia" w:ascii="宋体" w:hAnsi="宋体" w:cs="宋体"/>
                <w:color w:val="auto"/>
                <w:szCs w:val="21"/>
                <w:highlight w:val="none"/>
                <w:lang w:bidi="ar"/>
              </w:rPr>
              <w:t xml:space="preserve">1 </w:t>
            </w:r>
          </w:p>
        </w:tc>
        <w:tc>
          <w:tcPr>
            <w:tcW w:w="4997" w:type="dxa"/>
            <w:vAlign w:val="center"/>
          </w:tcPr>
          <w:p w14:paraId="6CEB48F3">
            <w:pPr>
              <w:adjustRightInd w:val="0"/>
              <w:snapToGrid w:val="0"/>
              <w:spacing w:line="276" w:lineRule="auto"/>
              <w:jc w:val="left"/>
              <w:rPr>
                <w:rFonts w:hint="eastAsia" w:ascii="宋体" w:hAnsi="宋体" w:cs="宋体"/>
                <w:color w:val="auto"/>
                <w:szCs w:val="21"/>
                <w:highlight w:val="none"/>
                <w:lang w:val="zh-CN" w:bidi="ar"/>
              </w:rPr>
            </w:pPr>
            <w:r>
              <w:rPr>
                <w:rFonts w:hint="eastAsia" w:ascii="宋体" w:hAnsi="宋体" w:cs="宋体"/>
                <w:color w:val="auto"/>
                <w:szCs w:val="21"/>
                <w:highlight w:val="none"/>
                <w:lang w:val="en-US" w:eastAsia="zh-CN" w:bidi="ar"/>
              </w:rPr>
              <w:t>具有</w:t>
            </w:r>
            <w:r>
              <w:rPr>
                <w:rFonts w:hint="eastAsia" w:ascii="宋体" w:hAnsi="宋体" w:cs="宋体"/>
                <w:color w:val="auto"/>
                <w:szCs w:val="21"/>
                <w:highlight w:val="none"/>
                <w:lang w:val="zh-CN" w:bidi="ar"/>
              </w:rPr>
              <w:t>一级注册造价工程师</w:t>
            </w:r>
            <w:r>
              <w:rPr>
                <w:rFonts w:hint="eastAsia" w:ascii="宋体" w:hAnsi="宋体" w:cs="宋体"/>
                <w:color w:val="auto"/>
                <w:szCs w:val="21"/>
                <w:highlight w:val="none"/>
                <w:lang w:val="en-US" w:eastAsia="zh-CN" w:bidi="ar"/>
              </w:rPr>
              <w:t>证书</w:t>
            </w:r>
            <w:r>
              <w:rPr>
                <w:rFonts w:hint="eastAsia" w:ascii="宋体" w:hAnsi="宋体" w:cs="宋体"/>
                <w:color w:val="auto"/>
                <w:szCs w:val="21"/>
                <w:highlight w:val="none"/>
                <w:lang w:val="zh-CN" w:bidi="ar"/>
              </w:rPr>
              <w:t>；</w:t>
            </w:r>
          </w:p>
        </w:tc>
      </w:tr>
      <w:tr w14:paraId="177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4" w:type="dxa"/>
            <w:vAlign w:val="center"/>
          </w:tcPr>
          <w:p w14:paraId="3FFF325F">
            <w:pPr>
              <w:pStyle w:val="23"/>
              <w:spacing w:line="500" w:lineRule="exact"/>
              <w:jc w:val="center"/>
              <w:rPr>
                <w:rFonts w:hint="eastAsia" w:ascii="宋体" w:hAnsi="宋体"/>
                <w:bCs/>
                <w:color w:val="auto"/>
                <w:kern w:val="44"/>
                <w:sz w:val="18"/>
                <w:highlight w:val="none"/>
              </w:rPr>
            </w:pPr>
            <w:r>
              <w:rPr>
                <w:rFonts w:hint="eastAsia" w:ascii="宋体" w:hAnsi="宋体" w:cs="宋体"/>
                <w:bCs/>
                <w:color w:val="auto"/>
                <w:kern w:val="44"/>
                <w:sz w:val="18"/>
                <w:szCs w:val="24"/>
                <w:highlight w:val="none"/>
              </w:rPr>
              <w:t>5</w:t>
            </w:r>
          </w:p>
        </w:tc>
        <w:tc>
          <w:tcPr>
            <w:tcW w:w="2076" w:type="dxa"/>
            <w:vAlign w:val="center"/>
          </w:tcPr>
          <w:p w14:paraId="11D9395C">
            <w:pPr>
              <w:adjustRightInd w:val="0"/>
              <w:snapToGrid w:val="0"/>
              <w:spacing w:line="500" w:lineRule="exact"/>
              <w:rPr>
                <w:rFonts w:hint="eastAsia" w:ascii="宋体" w:hAnsi="宋体" w:cs="宋体"/>
                <w:color w:val="auto"/>
                <w:szCs w:val="21"/>
                <w:highlight w:val="none"/>
                <w:lang w:val="zh-CN" w:bidi="ar"/>
              </w:rPr>
            </w:pPr>
            <w:r>
              <w:rPr>
                <w:rFonts w:hint="eastAsia" w:ascii="宋体" w:hAnsi="宋体" w:cs="宋体"/>
                <w:color w:val="auto"/>
                <w:szCs w:val="21"/>
                <w:highlight w:val="none"/>
                <w:lang w:bidi="ar"/>
              </w:rPr>
              <w:t>安全员</w:t>
            </w:r>
          </w:p>
        </w:tc>
        <w:tc>
          <w:tcPr>
            <w:tcW w:w="1347" w:type="dxa"/>
            <w:vAlign w:val="center"/>
          </w:tcPr>
          <w:p w14:paraId="2CF4AD84">
            <w:pPr>
              <w:widowControl/>
              <w:adjustRightInd w:val="0"/>
              <w:snapToGrid w:val="0"/>
              <w:spacing w:line="500" w:lineRule="exact"/>
              <w:ind w:left="-361" w:leftChars="-172" w:firstLine="420" w:firstLineChars="200"/>
              <w:jc w:val="center"/>
              <w:rPr>
                <w:rFonts w:hint="eastAsia" w:ascii="宋体" w:hAnsi="宋体" w:cs="宋体"/>
                <w:color w:val="auto"/>
                <w:szCs w:val="21"/>
                <w:highlight w:val="none"/>
                <w:lang w:val="zh-CN" w:bidi="ar"/>
              </w:rPr>
            </w:pPr>
            <w:r>
              <w:rPr>
                <w:rFonts w:hint="eastAsia" w:ascii="宋体" w:hAnsi="宋体" w:cs="宋体"/>
                <w:color w:val="auto"/>
                <w:szCs w:val="21"/>
                <w:highlight w:val="none"/>
                <w:lang w:bidi="ar"/>
              </w:rPr>
              <w:t>1</w:t>
            </w:r>
          </w:p>
        </w:tc>
        <w:tc>
          <w:tcPr>
            <w:tcW w:w="4997" w:type="dxa"/>
            <w:vAlign w:val="center"/>
          </w:tcPr>
          <w:p w14:paraId="754B7F9E">
            <w:pPr>
              <w:adjustRightInd w:val="0"/>
              <w:snapToGrid w:val="0"/>
              <w:spacing w:line="276" w:lineRule="auto"/>
              <w:jc w:val="lef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具备安全员证或注册安全工程师证书；驻场</w:t>
            </w:r>
          </w:p>
        </w:tc>
      </w:tr>
      <w:tr w14:paraId="70EC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4" w:type="dxa"/>
            <w:vAlign w:val="center"/>
          </w:tcPr>
          <w:p w14:paraId="0C70401A">
            <w:pPr>
              <w:adjustRightInd w:val="0"/>
              <w:snapToGrid w:val="0"/>
              <w:spacing w:line="500" w:lineRule="exact"/>
              <w:jc w:val="center"/>
              <w:rPr>
                <w:rFonts w:hint="eastAsia" w:ascii="宋体" w:hAnsi="宋体"/>
                <w:bCs/>
                <w:color w:val="auto"/>
                <w:kern w:val="44"/>
                <w:sz w:val="18"/>
                <w:highlight w:val="none"/>
              </w:rPr>
            </w:pPr>
            <w:r>
              <w:rPr>
                <w:rFonts w:hint="eastAsia" w:ascii="宋体" w:hAnsi="宋体"/>
                <w:bCs/>
                <w:color w:val="auto"/>
                <w:kern w:val="44"/>
                <w:sz w:val="18"/>
                <w:highlight w:val="none"/>
              </w:rPr>
              <w:t>6</w:t>
            </w:r>
          </w:p>
        </w:tc>
        <w:tc>
          <w:tcPr>
            <w:tcW w:w="2076" w:type="dxa"/>
            <w:vAlign w:val="center"/>
          </w:tcPr>
          <w:p w14:paraId="4D3E629C">
            <w:pPr>
              <w:adjustRightInd w:val="0"/>
              <w:snapToGrid w:val="0"/>
              <w:spacing w:line="500" w:lineRule="exac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监理员</w:t>
            </w:r>
          </w:p>
        </w:tc>
        <w:tc>
          <w:tcPr>
            <w:tcW w:w="1347" w:type="dxa"/>
            <w:vAlign w:val="center"/>
          </w:tcPr>
          <w:p w14:paraId="59D81888">
            <w:pPr>
              <w:widowControl/>
              <w:adjustRightInd w:val="0"/>
              <w:snapToGrid w:val="0"/>
              <w:spacing w:line="500" w:lineRule="exact"/>
              <w:ind w:left="-361" w:leftChars="-172" w:firstLine="420" w:firstLineChars="200"/>
              <w:jc w:val="center"/>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1</w:t>
            </w:r>
          </w:p>
        </w:tc>
        <w:tc>
          <w:tcPr>
            <w:tcW w:w="4997" w:type="dxa"/>
            <w:vAlign w:val="center"/>
          </w:tcPr>
          <w:p w14:paraId="3651FEBB">
            <w:pPr>
              <w:adjustRightInd w:val="0"/>
              <w:snapToGrid w:val="0"/>
              <w:spacing w:line="276" w:lineRule="auto"/>
              <w:jc w:val="lef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具有监理员培训证书或上岗证；驻场</w:t>
            </w:r>
          </w:p>
        </w:tc>
      </w:tr>
      <w:tr w14:paraId="35C7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54" w:type="dxa"/>
            <w:vAlign w:val="center"/>
          </w:tcPr>
          <w:p w14:paraId="0EE352C8">
            <w:pPr>
              <w:adjustRightInd w:val="0"/>
              <w:snapToGrid w:val="0"/>
              <w:spacing w:line="500" w:lineRule="exact"/>
              <w:jc w:val="center"/>
              <w:rPr>
                <w:rFonts w:hint="eastAsia" w:ascii="宋体" w:hAnsi="宋体"/>
                <w:bCs/>
                <w:color w:val="auto"/>
                <w:kern w:val="44"/>
                <w:sz w:val="18"/>
                <w:highlight w:val="none"/>
              </w:rPr>
            </w:pPr>
          </w:p>
        </w:tc>
        <w:tc>
          <w:tcPr>
            <w:tcW w:w="2076" w:type="dxa"/>
            <w:vAlign w:val="center"/>
          </w:tcPr>
          <w:p w14:paraId="6DB6A56A">
            <w:pPr>
              <w:adjustRightInd w:val="0"/>
              <w:snapToGrid w:val="0"/>
              <w:spacing w:line="500" w:lineRule="exact"/>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合计</w:t>
            </w:r>
          </w:p>
        </w:tc>
        <w:tc>
          <w:tcPr>
            <w:tcW w:w="1347" w:type="dxa"/>
            <w:vAlign w:val="center"/>
          </w:tcPr>
          <w:p w14:paraId="4F5C1478">
            <w:pPr>
              <w:adjustRightInd w:val="0"/>
              <w:snapToGrid w:val="0"/>
              <w:spacing w:line="500" w:lineRule="exact"/>
              <w:jc w:val="center"/>
              <w:rPr>
                <w:rFonts w:hint="eastAsia" w:ascii="宋体" w:hAnsi="宋体" w:cs="宋体"/>
                <w:color w:val="auto"/>
                <w:szCs w:val="21"/>
                <w:highlight w:val="none"/>
                <w:lang w:val="zh-CN" w:bidi="ar"/>
              </w:rPr>
            </w:pPr>
            <w:r>
              <w:rPr>
                <w:rFonts w:hint="eastAsia" w:ascii="宋体" w:hAnsi="宋体" w:cs="宋体"/>
                <w:color w:val="auto"/>
                <w:szCs w:val="21"/>
                <w:highlight w:val="none"/>
                <w:lang w:bidi="ar"/>
              </w:rPr>
              <w:t>6</w:t>
            </w:r>
          </w:p>
        </w:tc>
        <w:tc>
          <w:tcPr>
            <w:tcW w:w="4997" w:type="dxa"/>
            <w:vAlign w:val="center"/>
          </w:tcPr>
          <w:p w14:paraId="2FB99940">
            <w:pPr>
              <w:adjustRightInd w:val="0"/>
              <w:snapToGrid w:val="0"/>
              <w:spacing w:line="500" w:lineRule="exact"/>
              <w:jc w:val="left"/>
              <w:rPr>
                <w:rFonts w:hint="eastAsia" w:ascii="宋体" w:hAnsi="宋体" w:cs="宋体"/>
                <w:color w:val="auto"/>
                <w:szCs w:val="21"/>
                <w:highlight w:val="none"/>
                <w:lang w:val="zh-CN" w:bidi="ar"/>
              </w:rPr>
            </w:pPr>
          </w:p>
        </w:tc>
      </w:tr>
    </w:tbl>
    <w:p w14:paraId="6536DD8B">
      <w:pPr>
        <w:pStyle w:val="19"/>
        <w:rPr>
          <w:color w:val="auto"/>
          <w:highlight w:val="none"/>
        </w:rPr>
      </w:pPr>
      <w:r>
        <w:rPr>
          <w:rFonts w:hint="eastAsia"/>
          <w:color w:val="auto"/>
          <w:highlight w:val="none"/>
        </w:rPr>
        <w:t>注：（1）管理人员需提供</w:t>
      </w:r>
      <w:r>
        <w:rPr>
          <w:rFonts w:hint="eastAsia"/>
          <w:color w:val="auto"/>
          <w:highlight w:val="none"/>
          <w:lang w:val="en-US" w:eastAsia="zh-CN"/>
        </w:rPr>
        <w:t>投标截止日前三个月内任意1个月的社保缴纳证明材料</w:t>
      </w:r>
      <w:r>
        <w:rPr>
          <w:rFonts w:hint="eastAsia"/>
          <w:color w:val="auto"/>
          <w:highlight w:val="none"/>
        </w:rPr>
        <w:t>；</w:t>
      </w:r>
    </w:p>
    <w:p w14:paraId="028B31F5">
      <w:pPr>
        <w:pStyle w:val="19"/>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）按照《造价工程师职业资格制度规定》的规定，根据原人事部、原建设部发布的《造价工程师执业资格制度暂行规定》（人发〔1996〕77 号）取得的造价工程师执业资格，并经注册且在有效期内的，等同于一级注册造价工程师；</w:t>
      </w:r>
    </w:p>
    <w:p w14:paraId="318A350D">
      <w:pPr>
        <w:pStyle w:val="19"/>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）各专业人员可根据工程实际进度需要及建设单位要求分阶段安排人员的进场，应满足施工时监理人员旁站监理的要求；</w:t>
      </w:r>
    </w:p>
    <w:p w14:paraId="10F04C32">
      <w:pPr>
        <w:pStyle w:val="19"/>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）上述人员（除总监理工程师外）要求不作为形式评审、资格评审、响应性评审的审查依据，只作为综合评分表中的评审依据。</w:t>
      </w:r>
    </w:p>
    <w:p w14:paraId="0AF7642C">
      <w:pPr>
        <w:keepNext w:val="0"/>
        <w:keepLines w:val="0"/>
        <w:pageBreakBefore w:val="0"/>
        <w:kinsoku/>
        <w:wordWrap/>
        <w:overflowPunct/>
        <w:autoSpaceDE/>
        <w:autoSpaceDN/>
        <w:bidi w:val="0"/>
        <w:spacing w:line="500" w:lineRule="exact"/>
        <w:textAlignment w:val="auto"/>
        <w:rPr>
          <w:color w:val="auto"/>
          <w:sz w:val="24"/>
          <w:szCs w:val="28"/>
          <w:highlight w:val="none"/>
        </w:rPr>
      </w:pPr>
      <w:r>
        <w:rPr>
          <w:rFonts w:hint="eastAsia" w:ascii="宋体" w:hAnsi="宋体" w:cs="宋体"/>
          <w:b/>
          <w:bCs/>
          <w:color w:val="auto"/>
          <w:sz w:val="24"/>
          <w:highlight w:val="none"/>
        </w:rPr>
        <w:t>7、拟投入本项目的试验检测设备基本要求</w:t>
      </w:r>
    </w:p>
    <w:p w14:paraId="3094D3E9">
      <w:pPr>
        <w:keepNext w:val="0"/>
        <w:keepLines w:val="0"/>
        <w:pageBreakBefore w:val="0"/>
        <w:kinsoku/>
        <w:wordWrap/>
        <w:overflowPunct/>
        <w:autoSpaceDE/>
        <w:autoSpaceDN/>
        <w:bidi w:val="0"/>
        <w:spacing w:line="500" w:lineRule="exact"/>
        <w:ind w:firstLine="424" w:firstLineChars="176"/>
        <w:jc w:val="center"/>
        <w:textAlignment w:val="auto"/>
        <w:rPr>
          <w:rFonts w:ascii="宋体" w:hAnsi="宋体"/>
          <w:b/>
          <w:color w:val="auto"/>
          <w:sz w:val="24"/>
          <w:szCs w:val="24"/>
          <w:highlight w:val="none"/>
        </w:rPr>
      </w:pPr>
      <w:r>
        <w:rPr>
          <w:rFonts w:hint="eastAsia" w:ascii="宋体" w:hAnsi="宋体"/>
          <w:b/>
          <w:color w:val="auto"/>
          <w:sz w:val="24"/>
          <w:szCs w:val="24"/>
          <w:highlight w:val="none"/>
        </w:rPr>
        <w:t>拟投入本项目的试验检测设备基本要求表</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52"/>
        <w:gridCol w:w="2869"/>
      </w:tblGrid>
      <w:tr w14:paraId="6A95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7E9D61B4">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b/>
                <w:color w:val="auto"/>
                <w:sz w:val="24"/>
                <w:szCs w:val="24"/>
                <w:highlight w:val="none"/>
              </w:rPr>
            </w:pPr>
            <w:r>
              <w:rPr>
                <w:rFonts w:hint="eastAsia" w:ascii="宋体" w:hAnsi="宋体"/>
                <w:b/>
                <w:color w:val="auto"/>
                <w:szCs w:val="21"/>
                <w:highlight w:val="none"/>
              </w:rPr>
              <w:t>序号</w:t>
            </w:r>
          </w:p>
        </w:tc>
        <w:tc>
          <w:tcPr>
            <w:tcW w:w="4552" w:type="dxa"/>
            <w:tcBorders>
              <w:top w:val="single" w:color="000000" w:sz="4" w:space="0"/>
              <w:left w:val="single" w:color="000000" w:sz="4" w:space="0"/>
              <w:bottom w:val="single" w:color="000000" w:sz="4" w:space="0"/>
              <w:right w:val="single" w:color="000000" w:sz="4" w:space="0"/>
            </w:tcBorders>
            <w:vAlign w:val="center"/>
          </w:tcPr>
          <w:p w14:paraId="3AF9ABB5">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b/>
                <w:color w:val="auto"/>
                <w:sz w:val="24"/>
                <w:szCs w:val="24"/>
                <w:highlight w:val="none"/>
              </w:rPr>
            </w:pPr>
            <w:r>
              <w:rPr>
                <w:rFonts w:hint="eastAsia" w:ascii="宋体" w:hAnsi="宋体"/>
                <w:b/>
                <w:color w:val="auto"/>
                <w:szCs w:val="21"/>
                <w:highlight w:val="none"/>
              </w:rPr>
              <w:t>投入本项目的试验检测设备名称</w:t>
            </w:r>
          </w:p>
        </w:tc>
        <w:tc>
          <w:tcPr>
            <w:tcW w:w="2869" w:type="dxa"/>
            <w:tcBorders>
              <w:top w:val="single" w:color="000000" w:sz="4" w:space="0"/>
              <w:left w:val="single" w:color="000000" w:sz="4" w:space="0"/>
              <w:bottom w:val="single" w:color="000000" w:sz="4" w:space="0"/>
              <w:right w:val="single" w:color="000000" w:sz="4" w:space="0"/>
            </w:tcBorders>
            <w:vAlign w:val="center"/>
          </w:tcPr>
          <w:p w14:paraId="0F079413">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b/>
                <w:color w:val="auto"/>
                <w:sz w:val="24"/>
                <w:szCs w:val="24"/>
                <w:highlight w:val="none"/>
              </w:rPr>
            </w:pPr>
            <w:r>
              <w:rPr>
                <w:rFonts w:hint="eastAsia" w:ascii="宋体" w:hAnsi="宋体"/>
                <w:b/>
                <w:color w:val="auto"/>
                <w:szCs w:val="21"/>
                <w:highlight w:val="none"/>
              </w:rPr>
              <w:t>数量</w:t>
            </w:r>
          </w:p>
        </w:tc>
      </w:tr>
      <w:tr w14:paraId="480E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09861018">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1</w:t>
            </w:r>
          </w:p>
        </w:tc>
        <w:tc>
          <w:tcPr>
            <w:tcW w:w="4552" w:type="dxa"/>
            <w:tcBorders>
              <w:top w:val="single" w:color="000000" w:sz="4" w:space="0"/>
              <w:left w:val="single" w:color="000000" w:sz="4" w:space="0"/>
              <w:bottom w:val="single" w:color="000000" w:sz="4" w:space="0"/>
              <w:right w:val="single" w:color="000000" w:sz="4" w:space="0"/>
            </w:tcBorders>
            <w:vAlign w:val="center"/>
          </w:tcPr>
          <w:p w14:paraId="001D3C50">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30米钢卷尺</w:t>
            </w:r>
          </w:p>
        </w:tc>
        <w:tc>
          <w:tcPr>
            <w:tcW w:w="2869" w:type="dxa"/>
            <w:tcBorders>
              <w:top w:val="single" w:color="000000" w:sz="4" w:space="0"/>
              <w:left w:val="single" w:color="000000" w:sz="4" w:space="0"/>
              <w:bottom w:val="single" w:color="000000" w:sz="4" w:space="0"/>
              <w:right w:val="single" w:color="000000" w:sz="4" w:space="0"/>
            </w:tcBorders>
            <w:vAlign w:val="center"/>
          </w:tcPr>
          <w:p w14:paraId="4C05ED25">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3个</w:t>
            </w:r>
          </w:p>
        </w:tc>
      </w:tr>
      <w:tr w14:paraId="7ACD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224CC12E">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2</w:t>
            </w:r>
          </w:p>
        </w:tc>
        <w:tc>
          <w:tcPr>
            <w:tcW w:w="4552" w:type="dxa"/>
            <w:tcBorders>
              <w:top w:val="single" w:color="000000" w:sz="4" w:space="0"/>
              <w:left w:val="single" w:color="000000" w:sz="4" w:space="0"/>
              <w:bottom w:val="single" w:color="000000" w:sz="4" w:space="0"/>
              <w:right w:val="single" w:color="000000" w:sz="4" w:space="0"/>
            </w:tcBorders>
            <w:vAlign w:val="center"/>
          </w:tcPr>
          <w:p w14:paraId="72D9D505">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5米钢卷尺</w:t>
            </w:r>
          </w:p>
        </w:tc>
        <w:tc>
          <w:tcPr>
            <w:tcW w:w="2869" w:type="dxa"/>
            <w:tcBorders>
              <w:top w:val="single" w:color="000000" w:sz="4" w:space="0"/>
              <w:left w:val="single" w:color="000000" w:sz="4" w:space="0"/>
              <w:bottom w:val="single" w:color="000000" w:sz="4" w:space="0"/>
              <w:right w:val="single" w:color="000000" w:sz="4" w:space="0"/>
            </w:tcBorders>
            <w:vAlign w:val="center"/>
          </w:tcPr>
          <w:p w14:paraId="34EAAB11">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5个</w:t>
            </w:r>
          </w:p>
        </w:tc>
      </w:tr>
      <w:tr w14:paraId="132D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6CEB533D">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3</w:t>
            </w:r>
          </w:p>
        </w:tc>
        <w:tc>
          <w:tcPr>
            <w:tcW w:w="4552" w:type="dxa"/>
            <w:tcBorders>
              <w:top w:val="single" w:color="000000" w:sz="4" w:space="0"/>
              <w:left w:val="single" w:color="000000" w:sz="4" w:space="0"/>
              <w:bottom w:val="single" w:color="000000" w:sz="4" w:space="0"/>
              <w:right w:val="single" w:color="000000" w:sz="4" w:space="0"/>
            </w:tcBorders>
            <w:vAlign w:val="center"/>
          </w:tcPr>
          <w:p w14:paraId="1426F424">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eastAsia" w:ascii="宋体" w:hAnsi="宋体"/>
                <w:color w:val="auto"/>
                <w:szCs w:val="21"/>
                <w:highlight w:val="none"/>
              </w:rPr>
              <w:t>激光垂准仪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0D71C4EA">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1台</w:t>
            </w:r>
          </w:p>
        </w:tc>
      </w:tr>
      <w:tr w14:paraId="48F9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1FE25A85">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4</w:t>
            </w:r>
          </w:p>
        </w:tc>
        <w:tc>
          <w:tcPr>
            <w:tcW w:w="4552" w:type="dxa"/>
            <w:tcBorders>
              <w:top w:val="single" w:color="000000" w:sz="4" w:space="0"/>
              <w:left w:val="single" w:color="000000" w:sz="4" w:space="0"/>
              <w:bottom w:val="single" w:color="000000" w:sz="4" w:space="0"/>
              <w:right w:val="single" w:color="000000" w:sz="4" w:space="0"/>
            </w:tcBorders>
            <w:vAlign w:val="center"/>
          </w:tcPr>
          <w:p w14:paraId="1B1FF5D3">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eastAsia" w:ascii="宋体" w:hAnsi="宋体"/>
                <w:color w:val="auto"/>
                <w:szCs w:val="21"/>
                <w:highlight w:val="none"/>
              </w:rPr>
              <w:t>建筑工程检测尺</w:t>
            </w:r>
          </w:p>
        </w:tc>
        <w:tc>
          <w:tcPr>
            <w:tcW w:w="2869" w:type="dxa"/>
            <w:tcBorders>
              <w:top w:val="single" w:color="000000" w:sz="4" w:space="0"/>
              <w:left w:val="single" w:color="000000" w:sz="4" w:space="0"/>
              <w:bottom w:val="single" w:color="000000" w:sz="4" w:space="0"/>
              <w:right w:val="single" w:color="000000" w:sz="4" w:space="0"/>
            </w:tcBorders>
            <w:vAlign w:val="center"/>
          </w:tcPr>
          <w:p w14:paraId="30152076">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1个</w:t>
            </w:r>
          </w:p>
        </w:tc>
      </w:tr>
      <w:tr w14:paraId="1349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1993EB5E">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5</w:t>
            </w:r>
          </w:p>
        </w:tc>
        <w:tc>
          <w:tcPr>
            <w:tcW w:w="4552" w:type="dxa"/>
            <w:tcBorders>
              <w:top w:val="single" w:color="000000" w:sz="4" w:space="0"/>
              <w:left w:val="single" w:color="000000" w:sz="4" w:space="0"/>
              <w:bottom w:val="single" w:color="000000" w:sz="4" w:space="0"/>
              <w:right w:val="single" w:color="000000" w:sz="4" w:space="0"/>
            </w:tcBorders>
            <w:vAlign w:val="center"/>
          </w:tcPr>
          <w:p w14:paraId="5FE7C9EA">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eastAsia" w:ascii="宋体" w:hAnsi="宋体"/>
                <w:color w:val="auto"/>
                <w:szCs w:val="21"/>
                <w:highlight w:val="none"/>
              </w:rPr>
              <w:t>焊接检测尺</w:t>
            </w:r>
          </w:p>
        </w:tc>
        <w:tc>
          <w:tcPr>
            <w:tcW w:w="2869" w:type="dxa"/>
            <w:tcBorders>
              <w:top w:val="single" w:color="000000" w:sz="4" w:space="0"/>
              <w:left w:val="single" w:color="000000" w:sz="4" w:space="0"/>
              <w:bottom w:val="single" w:color="000000" w:sz="4" w:space="0"/>
              <w:right w:val="single" w:color="000000" w:sz="4" w:space="0"/>
            </w:tcBorders>
            <w:vAlign w:val="center"/>
          </w:tcPr>
          <w:p w14:paraId="2BAD181E">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1个</w:t>
            </w:r>
          </w:p>
        </w:tc>
      </w:tr>
      <w:tr w14:paraId="0A11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0A22FDDE">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6</w:t>
            </w:r>
          </w:p>
        </w:tc>
        <w:tc>
          <w:tcPr>
            <w:tcW w:w="4552" w:type="dxa"/>
            <w:tcBorders>
              <w:top w:val="single" w:color="000000" w:sz="4" w:space="0"/>
              <w:left w:val="single" w:color="000000" w:sz="4" w:space="0"/>
              <w:bottom w:val="single" w:color="000000" w:sz="4" w:space="0"/>
              <w:right w:val="single" w:color="000000" w:sz="4" w:space="0"/>
            </w:tcBorders>
            <w:vAlign w:val="center"/>
          </w:tcPr>
          <w:p w14:paraId="51A9FAE2">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eastAsia" w:ascii="宋体" w:hAnsi="宋体"/>
                <w:color w:val="auto"/>
                <w:szCs w:val="21"/>
                <w:highlight w:val="none"/>
              </w:rPr>
              <w:t>读数显微镜</w:t>
            </w:r>
          </w:p>
        </w:tc>
        <w:tc>
          <w:tcPr>
            <w:tcW w:w="2869" w:type="dxa"/>
            <w:tcBorders>
              <w:top w:val="single" w:color="000000" w:sz="4" w:space="0"/>
              <w:left w:val="single" w:color="000000" w:sz="4" w:space="0"/>
              <w:bottom w:val="single" w:color="000000" w:sz="4" w:space="0"/>
              <w:right w:val="single" w:color="000000" w:sz="4" w:space="0"/>
            </w:tcBorders>
            <w:vAlign w:val="center"/>
          </w:tcPr>
          <w:p w14:paraId="344D301E">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1个</w:t>
            </w:r>
          </w:p>
        </w:tc>
      </w:tr>
      <w:tr w14:paraId="189F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2C81D7A6">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7</w:t>
            </w:r>
          </w:p>
        </w:tc>
        <w:tc>
          <w:tcPr>
            <w:tcW w:w="4552" w:type="dxa"/>
            <w:tcBorders>
              <w:top w:val="single" w:color="000000" w:sz="4" w:space="0"/>
              <w:left w:val="single" w:color="000000" w:sz="4" w:space="0"/>
              <w:bottom w:val="single" w:color="000000" w:sz="4" w:space="0"/>
              <w:right w:val="single" w:color="000000" w:sz="4" w:space="0"/>
            </w:tcBorders>
            <w:vAlign w:val="center"/>
          </w:tcPr>
          <w:p w14:paraId="0480AADE">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eastAsia" w:ascii="宋体" w:hAnsi="宋体"/>
                <w:color w:val="auto"/>
                <w:szCs w:val="21"/>
                <w:highlight w:val="none"/>
              </w:rPr>
              <w:t>涂层测厚仪</w:t>
            </w:r>
          </w:p>
        </w:tc>
        <w:tc>
          <w:tcPr>
            <w:tcW w:w="2869" w:type="dxa"/>
            <w:tcBorders>
              <w:top w:val="single" w:color="000000" w:sz="4" w:space="0"/>
              <w:left w:val="single" w:color="000000" w:sz="4" w:space="0"/>
              <w:bottom w:val="single" w:color="000000" w:sz="4" w:space="0"/>
              <w:right w:val="single" w:color="000000" w:sz="4" w:space="0"/>
            </w:tcBorders>
            <w:vAlign w:val="center"/>
          </w:tcPr>
          <w:p w14:paraId="5B37B5EC">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1个</w:t>
            </w:r>
          </w:p>
        </w:tc>
      </w:tr>
      <w:tr w14:paraId="4FC7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586177F5">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8</w:t>
            </w:r>
          </w:p>
        </w:tc>
        <w:tc>
          <w:tcPr>
            <w:tcW w:w="4552" w:type="dxa"/>
            <w:tcBorders>
              <w:top w:val="single" w:color="000000" w:sz="4" w:space="0"/>
              <w:left w:val="single" w:color="000000" w:sz="4" w:space="0"/>
              <w:bottom w:val="single" w:color="000000" w:sz="4" w:space="0"/>
              <w:right w:val="single" w:color="000000" w:sz="4" w:space="0"/>
            </w:tcBorders>
            <w:vAlign w:val="center"/>
          </w:tcPr>
          <w:p w14:paraId="2BB18C55">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eastAsia" w:ascii="宋体" w:hAnsi="宋体"/>
                <w:color w:val="auto"/>
                <w:szCs w:val="21"/>
                <w:highlight w:val="none"/>
              </w:rPr>
              <w:t>游标卡尺</w:t>
            </w:r>
          </w:p>
        </w:tc>
        <w:tc>
          <w:tcPr>
            <w:tcW w:w="2869" w:type="dxa"/>
            <w:tcBorders>
              <w:top w:val="single" w:color="000000" w:sz="4" w:space="0"/>
              <w:left w:val="single" w:color="000000" w:sz="4" w:space="0"/>
              <w:bottom w:val="single" w:color="000000" w:sz="4" w:space="0"/>
              <w:right w:val="single" w:color="000000" w:sz="4" w:space="0"/>
            </w:tcBorders>
            <w:vAlign w:val="center"/>
          </w:tcPr>
          <w:p w14:paraId="67A74C36">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1个</w:t>
            </w:r>
          </w:p>
        </w:tc>
      </w:tr>
      <w:tr w14:paraId="6174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06EF5E0D">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9</w:t>
            </w:r>
          </w:p>
        </w:tc>
        <w:tc>
          <w:tcPr>
            <w:tcW w:w="4552" w:type="dxa"/>
            <w:tcBorders>
              <w:top w:val="single" w:color="000000" w:sz="4" w:space="0"/>
              <w:left w:val="single" w:color="000000" w:sz="4" w:space="0"/>
              <w:bottom w:val="single" w:color="000000" w:sz="4" w:space="0"/>
              <w:right w:val="single" w:color="000000" w:sz="4" w:space="0"/>
            </w:tcBorders>
            <w:vAlign w:val="center"/>
          </w:tcPr>
          <w:p w14:paraId="229BBF3F">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eastAsia" w:ascii="宋体" w:hAnsi="宋体"/>
                <w:color w:val="auto"/>
                <w:szCs w:val="21"/>
                <w:highlight w:val="none"/>
              </w:rPr>
              <w:t>扭矩扳手</w:t>
            </w:r>
          </w:p>
        </w:tc>
        <w:tc>
          <w:tcPr>
            <w:tcW w:w="2869" w:type="dxa"/>
            <w:tcBorders>
              <w:top w:val="single" w:color="000000" w:sz="4" w:space="0"/>
              <w:left w:val="single" w:color="000000" w:sz="4" w:space="0"/>
              <w:bottom w:val="single" w:color="000000" w:sz="4" w:space="0"/>
              <w:right w:val="single" w:color="000000" w:sz="4" w:space="0"/>
            </w:tcBorders>
            <w:vAlign w:val="center"/>
          </w:tcPr>
          <w:p w14:paraId="7AB91CD5">
            <w:pPr>
              <w:keepNext w:val="0"/>
              <w:keepLines w:val="0"/>
              <w:pageBreakBefore w:val="0"/>
              <w:suppressLineNumbers w:val="0"/>
              <w:kinsoku/>
              <w:wordWrap/>
              <w:overflowPunct/>
              <w:autoSpaceDE/>
              <w:autoSpaceDN/>
              <w:bidi w:val="0"/>
              <w:spacing w:before="0" w:beforeAutospacing="0" w:after="0" w:afterAutospacing="0" w:line="500" w:lineRule="exact"/>
              <w:ind w:left="0" w:right="0"/>
              <w:jc w:val="center"/>
              <w:textAlignment w:val="auto"/>
              <w:rPr>
                <w:rFonts w:hint="default" w:ascii="宋体" w:hAnsi="宋体"/>
                <w:color w:val="auto"/>
                <w:sz w:val="24"/>
                <w:szCs w:val="24"/>
                <w:highlight w:val="none"/>
              </w:rPr>
            </w:pPr>
            <w:r>
              <w:rPr>
                <w:rFonts w:hint="default" w:ascii="宋体" w:hAnsi="宋体"/>
                <w:color w:val="auto"/>
                <w:szCs w:val="21"/>
                <w:highlight w:val="none"/>
              </w:rPr>
              <w:t>1个</w:t>
            </w:r>
          </w:p>
        </w:tc>
      </w:tr>
    </w:tbl>
    <w:p w14:paraId="66DA2F94">
      <w:pPr>
        <w:spacing w:before="48" w:beforeLines="20" w:after="48" w:afterLines="20" w:line="500" w:lineRule="exact"/>
        <w:ind w:firstLine="480" w:firstLineChars="200"/>
        <w:rPr>
          <w:color w:val="auto"/>
          <w:highlight w:val="none"/>
        </w:rPr>
      </w:pPr>
      <w:r>
        <w:rPr>
          <w:rFonts w:hint="eastAsia" w:ascii="宋体" w:hAnsi="宋体"/>
          <w:color w:val="auto"/>
          <w:sz w:val="24"/>
          <w:szCs w:val="24"/>
          <w:highlight w:val="none"/>
        </w:rPr>
        <w:t>注：上表中为投入本项目的试验检测设备的最低要求。</w:t>
      </w:r>
      <w:r>
        <w:rPr>
          <w:rFonts w:hint="eastAsia" w:ascii="宋体" w:hAnsi="宋体" w:eastAsia="宋体" w:cs="宋体"/>
          <w:color w:val="auto"/>
          <w:sz w:val="24"/>
          <w:highlight w:val="none"/>
          <w:lang w:val="en-US" w:eastAsia="zh-CN"/>
        </w:rPr>
        <w:t xml:space="preserve"> </w:t>
      </w:r>
      <w:bookmarkStart w:id="948" w:name="_Toc18567"/>
    </w:p>
    <w:p w14:paraId="07183E2A">
      <w:pPr>
        <w:rPr>
          <w:color w:val="auto"/>
          <w:highlight w:val="none"/>
        </w:rPr>
      </w:pPr>
      <w:r>
        <w:rPr>
          <w:color w:val="auto"/>
          <w:highlight w:val="none"/>
        </w:rPr>
        <w:br w:type="page"/>
      </w:r>
    </w:p>
    <w:p w14:paraId="5B18A106">
      <w:pPr>
        <w:pStyle w:val="3"/>
        <w:keepNext w:val="0"/>
        <w:keepLines w:val="0"/>
        <w:jc w:val="center"/>
        <w:rPr>
          <w:color w:val="auto"/>
          <w:highlight w:val="none"/>
        </w:rPr>
      </w:pPr>
      <w:r>
        <w:rPr>
          <w:color w:val="auto"/>
          <w:highlight w:val="none"/>
        </w:rPr>
        <w:t>第</w:t>
      </w:r>
      <w:r>
        <w:rPr>
          <w:rFonts w:hint="eastAsia"/>
          <w:color w:val="auto"/>
          <w:highlight w:val="none"/>
        </w:rPr>
        <w:t>三</w:t>
      </w:r>
      <w:r>
        <w:rPr>
          <w:color w:val="auto"/>
          <w:highlight w:val="none"/>
        </w:rPr>
        <w:t>卷</w:t>
      </w:r>
      <w:bookmarkEnd w:id="948"/>
    </w:p>
    <w:p w14:paraId="1D0280E3">
      <w:pPr>
        <w:rPr>
          <w:color w:val="auto"/>
          <w:highlight w:val="none"/>
        </w:rPr>
      </w:pPr>
    </w:p>
    <w:p w14:paraId="745AC473">
      <w:pPr>
        <w:spacing w:line="400" w:lineRule="exact"/>
        <w:jc w:val="center"/>
        <w:rPr>
          <w:rFonts w:ascii="Times New Roman" w:hAnsi="Times New Roman"/>
          <w:color w:val="auto"/>
          <w:highlight w:val="none"/>
        </w:rPr>
      </w:pPr>
    </w:p>
    <w:p w14:paraId="174E557C">
      <w:pPr>
        <w:pStyle w:val="19"/>
        <w:rPr>
          <w:color w:val="auto"/>
          <w:highlight w:val="none"/>
        </w:rPr>
      </w:pPr>
    </w:p>
    <w:p w14:paraId="7352EE75">
      <w:pPr>
        <w:pStyle w:val="19"/>
        <w:rPr>
          <w:color w:val="auto"/>
          <w:highlight w:val="none"/>
        </w:rPr>
      </w:pPr>
    </w:p>
    <w:p w14:paraId="16046004">
      <w:pPr>
        <w:pStyle w:val="3"/>
        <w:keepNext w:val="0"/>
        <w:keepLines w:val="0"/>
        <w:jc w:val="center"/>
        <w:rPr>
          <w:color w:val="auto"/>
          <w:highlight w:val="none"/>
        </w:rPr>
      </w:pPr>
      <w:bookmarkStart w:id="949" w:name="_Toc6708"/>
      <w:r>
        <w:rPr>
          <w:color w:val="auto"/>
          <w:highlight w:val="none"/>
        </w:rPr>
        <w:t>第六章</w:t>
      </w:r>
      <w:r>
        <w:rPr>
          <w:rFonts w:hint="eastAsia"/>
          <w:color w:val="auto"/>
          <w:highlight w:val="none"/>
        </w:rPr>
        <w:t xml:space="preserve"> </w:t>
      </w:r>
      <w:r>
        <w:rPr>
          <w:color w:val="auto"/>
          <w:highlight w:val="none"/>
        </w:rPr>
        <w:t>投标文件格式</w:t>
      </w:r>
      <w:bookmarkEnd w:id="949"/>
    </w:p>
    <w:p w14:paraId="363927C1">
      <w:pPr>
        <w:spacing w:line="400" w:lineRule="exact"/>
        <w:rPr>
          <w:rFonts w:ascii="Times New Roman" w:hAnsi="Times New Roman"/>
          <w:color w:val="auto"/>
          <w:highlight w:val="none"/>
        </w:rPr>
      </w:pPr>
    </w:p>
    <w:p w14:paraId="2E50B839">
      <w:pPr>
        <w:spacing w:line="400" w:lineRule="exact"/>
        <w:rPr>
          <w:rFonts w:ascii="Times New Roman" w:hAnsi="Times New Roman"/>
          <w:color w:val="auto"/>
          <w:highlight w:val="none"/>
        </w:rPr>
      </w:pPr>
    </w:p>
    <w:p w14:paraId="3A1F9293">
      <w:pPr>
        <w:spacing w:line="400" w:lineRule="exact"/>
        <w:rPr>
          <w:rFonts w:ascii="Times New Roman" w:hAnsi="Times New Roman"/>
          <w:color w:val="auto"/>
          <w:highlight w:val="none"/>
        </w:rPr>
      </w:pPr>
    </w:p>
    <w:p w14:paraId="6AA33BBE">
      <w:pPr>
        <w:spacing w:line="400" w:lineRule="exact"/>
        <w:rPr>
          <w:rFonts w:ascii="Times New Roman" w:hAnsi="Times New Roman"/>
          <w:color w:val="auto"/>
          <w:highlight w:val="none"/>
        </w:rPr>
      </w:pPr>
    </w:p>
    <w:p w14:paraId="3F3F1D72">
      <w:pPr>
        <w:spacing w:line="400" w:lineRule="exact"/>
        <w:rPr>
          <w:rFonts w:ascii="Times New Roman" w:hAnsi="Times New Roman"/>
          <w:color w:val="auto"/>
          <w:highlight w:val="none"/>
        </w:rPr>
      </w:pPr>
    </w:p>
    <w:p w14:paraId="0D3D7798">
      <w:pPr>
        <w:spacing w:line="400" w:lineRule="exact"/>
        <w:rPr>
          <w:rFonts w:ascii="Times New Roman" w:hAnsi="Times New Roman"/>
          <w:color w:val="auto"/>
          <w:highlight w:val="none"/>
        </w:rPr>
      </w:pPr>
    </w:p>
    <w:p w14:paraId="18A89387">
      <w:pPr>
        <w:spacing w:line="400" w:lineRule="exact"/>
        <w:rPr>
          <w:rFonts w:ascii="Times New Roman" w:hAnsi="Times New Roman"/>
          <w:color w:val="auto"/>
          <w:highlight w:val="none"/>
        </w:rPr>
      </w:pPr>
    </w:p>
    <w:p w14:paraId="0D6360D6">
      <w:pPr>
        <w:spacing w:line="400" w:lineRule="exact"/>
        <w:rPr>
          <w:rFonts w:ascii="Times New Roman" w:hAnsi="Times New Roman"/>
          <w:color w:val="auto"/>
          <w:highlight w:val="none"/>
        </w:rPr>
      </w:pPr>
    </w:p>
    <w:p w14:paraId="1A2D7A21">
      <w:pPr>
        <w:spacing w:line="400" w:lineRule="exact"/>
        <w:rPr>
          <w:rFonts w:ascii="Times New Roman" w:hAnsi="Times New Roman"/>
          <w:color w:val="auto"/>
          <w:highlight w:val="none"/>
        </w:rPr>
      </w:pPr>
    </w:p>
    <w:p w14:paraId="61D9FD63">
      <w:pPr>
        <w:spacing w:line="400" w:lineRule="exact"/>
        <w:rPr>
          <w:rFonts w:ascii="Times New Roman" w:hAnsi="Times New Roman"/>
          <w:color w:val="auto"/>
          <w:highlight w:val="none"/>
        </w:rPr>
      </w:pPr>
    </w:p>
    <w:p w14:paraId="437408D8">
      <w:pPr>
        <w:spacing w:line="400" w:lineRule="exact"/>
        <w:rPr>
          <w:rFonts w:ascii="Times New Roman" w:hAnsi="Times New Roman"/>
          <w:color w:val="auto"/>
          <w:highlight w:val="none"/>
        </w:rPr>
      </w:pPr>
    </w:p>
    <w:p w14:paraId="537043AC">
      <w:pPr>
        <w:spacing w:line="400" w:lineRule="exact"/>
        <w:rPr>
          <w:rFonts w:ascii="Times New Roman" w:hAnsi="Times New Roman"/>
          <w:color w:val="auto"/>
          <w:highlight w:val="none"/>
        </w:rPr>
      </w:pPr>
    </w:p>
    <w:p w14:paraId="5B7A1DAC">
      <w:pPr>
        <w:spacing w:line="400" w:lineRule="exact"/>
        <w:rPr>
          <w:rFonts w:ascii="Times New Roman" w:hAnsi="Times New Roman"/>
          <w:color w:val="auto"/>
          <w:highlight w:val="none"/>
        </w:rPr>
      </w:pPr>
    </w:p>
    <w:p w14:paraId="19B34623">
      <w:pPr>
        <w:spacing w:line="400" w:lineRule="exact"/>
        <w:rPr>
          <w:rFonts w:ascii="Times New Roman" w:hAnsi="Times New Roman"/>
          <w:color w:val="auto"/>
          <w:highlight w:val="none"/>
        </w:rPr>
      </w:pPr>
    </w:p>
    <w:p w14:paraId="4F91DFFA">
      <w:pPr>
        <w:spacing w:line="400" w:lineRule="exact"/>
        <w:rPr>
          <w:rFonts w:ascii="Times New Roman" w:hAnsi="Times New Roman"/>
          <w:color w:val="auto"/>
          <w:highlight w:val="none"/>
        </w:rPr>
      </w:pPr>
    </w:p>
    <w:p w14:paraId="13CF6C72">
      <w:pPr>
        <w:spacing w:line="400" w:lineRule="exact"/>
        <w:rPr>
          <w:rFonts w:ascii="Times New Roman" w:hAnsi="Times New Roman"/>
          <w:color w:val="auto"/>
          <w:highlight w:val="none"/>
        </w:rPr>
      </w:pPr>
    </w:p>
    <w:p w14:paraId="7BFC0BBC">
      <w:pPr>
        <w:spacing w:line="400" w:lineRule="exact"/>
        <w:rPr>
          <w:rFonts w:ascii="Times New Roman" w:hAnsi="Times New Roman"/>
          <w:color w:val="auto"/>
          <w:highlight w:val="none"/>
        </w:rPr>
      </w:pPr>
    </w:p>
    <w:p w14:paraId="28E7A90E">
      <w:pPr>
        <w:pStyle w:val="10"/>
        <w:rPr>
          <w:rFonts w:ascii="Times New Roman" w:hAnsi="Times New Roman"/>
          <w:color w:val="auto"/>
          <w:highlight w:val="none"/>
        </w:rPr>
      </w:pPr>
    </w:p>
    <w:p w14:paraId="37297D99">
      <w:pPr>
        <w:rPr>
          <w:rFonts w:ascii="Times New Roman" w:hAnsi="Times New Roman"/>
          <w:color w:val="auto"/>
          <w:highlight w:val="none"/>
        </w:rPr>
      </w:pPr>
    </w:p>
    <w:p w14:paraId="0A4238B7">
      <w:pPr>
        <w:autoSpaceDE w:val="0"/>
        <w:autoSpaceDN w:val="0"/>
        <w:adjustRightInd w:val="0"/>
        <w:jc w:val="center"/>
        <w:rPr>
          <w:b/>
          <w:color w:val="auto"/>
          <w:sz w:val="44"/>
          <w:szCs w:val="44"/>
          <w:highlight w:val="none"/>
        </w:rPr>
      </w:pPr>
    </w:p>
    <w:p w14:paraId="2FB758B2">
      <w:pPr>
        <w:autoSpaceDE w:val="0"/>
        <w:autoSpaceDN w:val="0"/>
        <w:adjustRightInd w:val="0"/>
        <w:jc w:val="center"/>
        <w:rPr>
          <w:b/>
          <w:color w:val="auto"/>
          <w:sz w:val="44"/>
          <w:szCs w:val="44"/>
          <w:highlight w:val="none"/>
        </w:rPr>
      </w:pPr>
      <w:r>
        <w:rPr>
          <w:rFonts w:hint="eastAsia"/>
          <w:b/>
          <w:color w:val="auto"/>
          <w:sz w:val="44"/>
          <w:szCs w:val="44"/>
          <w:highlight w:val="none"/>
          <w:lang w:eastAsia="zh-CN"/>
        </w:rPr>
        <w:t>（项目名称）</w:t>
      </w:r>
    </w:p>
    <w:p w14:paraId="6CBAFFFF">
      <w:pPr>
        <w:pStyle w:val="10"/>
        <w:rPr>
          <w:color w:val="auto"/>
          <w:highlight w:val="none"/>
        </w:rPr>
      </w:pPr>
    </w:p>
    <w:p w14:paraId="48C56216">
      <w:pPr>
        <w:rPr>
          <w:rFonts w:ascii="Times New Roman" w:hAnsi="Times New Roman" w:eastAsia="黑体"/>
          <w:color w:val="auto"/>
          <w:sz w:val="20"/>
          <w:highlight w:val="none"/>
        </w:rPr>
      </w:pPr>
    </w:p>
    <w:p w14:paraId="0BD577B9">
      <w:pPr>
        <w:rPr>
          <w:rFonts w:ascii="Times New Roman" w:hAnsi="Times New Roman" w:eastAsia="黑体"/>
          <w:color w:val="auto"/>
          <w:sz w:val="20"/>
          <w:highlight w:val="none"/>
        </w:rPr>
      </w:pPr>
    </w:p>
    <w:p w14:paraId="6F2D06B2">
      <w:pPr>
        <w:rPr>
          <w:rFonts w:ascii="Times New Roman" w:hAnsi="Times New Roman" w:eastAsia="黑体"/>
          <w:color w:val="auto"/>
          <w:sz w:val="20"/>
          <w:highlight w:val="none"/>
        </w:rPr>
      </w:pPr>
    </w:p>
    <w:p w14:paraId="0E550582">
      <w:pPr>
        <w:rPr>
          <w:rFonts w:ascii="Times New Roman" w:hAnsi="Times New Roman" w:eastAsia="黑体"/>
          <w:color w:val="auto"/>
          <w:sz w:val="20"/>
          <w:highlight w:val="none"/>
        </w:rPr>
      </w:pPr>
    </w:p>
    <w:p w14:paraId="297C6843">
      <w:pPr>
        <w:rPr>
          <w:rFonts w:ascii="Times New Roman" w:hAnsi="Times New Roman" w:eastAsia="黑体"/>
          <w:color w:val="auto"/>
          <w:sz w:val="20"/>
          <w:highlight w:val="none"/>
        </w:rPr>
      </w:pPr>
    </w:p>
    <w:p w14:paraId="70362485">
      <w:pPr>
        <w:jc w:val="center"/>
        <w:rPr>
          <w:rFonts w:ascii="Times New Roman" w:hAnsi="Times New Roman" w:eastAsia="黑体"/>
          <w:color w:val="auto"/>
          <w:sz w:val="84"/>
          <w:szCs w:val="84"/>
          <w:highlight w:val="none"/>
        </w:rPr>
      </w:pPr>
    </w:p>
    <w:p w14:paraId="4AF770CF">
      <w:pPr>
        <w:jc w:val="center"/>
        <w:rPr>
          <w:rFonts w:ascii="Times New Roman" w:hAnsi="Times New Roman" w:eastAsia="黑体"/>
          <w:color w:val="auto"/>
          <w:sz w:val="84"/>
          <w:szCs w:val="84"/>
          <w:highlight w:val="none"/>
        </w:rPr>
      </w:pPr>
      <w:r>
        <w:rPr>
          <w:rFonts w:ascii="Times New Roman" w:hAnsi="Times New Roman" w:eastAsia="黑体"/>
          <w:color w:val="auto"/>
          <w:sz w:val="84"/>
          <w:szCs w:val="84"/>
          <w:highlight w:val="none"/>
        </w:rPr>
        <w:t>投 标 文 件</w:t>
      </w:r>
    </w:p>
    <w:p w14:paraId="6904ACB5">
      <w:pPr>
        <w:jc w:val="center"/>
        <w:rPr>
          <w:rFonts w:ascii="Times New Roman" w:hAnsi="Times New Roman" w:eastAsia="黑体"/>
          <w:color w:val="auto"/>
          <w:sz w:val="44"/>
          <w:highlight w:val="none"/>
        </w:rPr>
      </w:pPr>
    </w:p>
    <w:p w14:paraId="54BB01AC">
      <w:pPr>
        <w:rPr>
          <w:rFonts w:ascii="Times New Roman" w:hAnsi="Times New Roman" w:eastAsia="黑体"/>
          <w:color w:val="auto"/>
          <w:sz w:val="28"/>
          <w:highlight w:val="none"/>
        </w:rPr>
      </w:pPr>
    </w:p>
    <w:p w14:paraId="6C477A52">
      <w:pPr>
        <w:rPr>
          <w:rFonts w:ascii="Times New Roman" w:hAnsi="Times New Roman" w:eastAsia="黑体"/>
          <w:color w:val="auto"/>
          <w:sz w:val="28"/>
          <w:highlight w:val="none"/>
        </w:rPr>
      </w:pPr>
    </w:p>
    <w:p w14:paraId="08F85164">
      <w:pPr>
        <w:rPr>
          <w:rFonts w:ascii="Times New Roman" w:hAnsi="Times New Roman" w:eastAsia="黑体"/>
          <w:color w:val="auto"/>
          <w:sz w:val="28"/>
          <w:highlight w:val="none"/>
        </w:rPr>
      </w:pPr>
    </w:p>
    <w:p w14:paraId="5557FFF1">
      <w:pPr>
        <w:rPr>
          <w:rFonts w:ascii="Times New Roman" w:hAnsi="Times New Roman" w:eastAsia="黑体"/>
          <w:color w:val="auto"/>
          <w:sz w:val="28"/>
          <w:highlight w:val="none"/>
        </w:rPr>
      </w:pPr>
    </w:p>
    <w:p w14:paraId="34FAABB8">
      <w:pPr>
        <w:rPr>
          <w:rFonts w:ascii="Times New Roman" w:hAnsi="Times New Roman" w:eastAsia="黑体"/>
          <w:color w:val="auto"/>
          <w:sz w:val="28"/>
          <w:highlight w:val="none"/>
        </w:rPr>
      </w:pPr>
    </w:p>
    <w:p w14:paraId="6D8C77CB">
      <w:pPr>
        <w:rPr>
          <w:rFonts w:ascii="Times New Roman" w:hAnsi="Times New Roman" w:eastAsia="黑体"/>
          <w:color w:val="auto"/>
          <w:sz w:val="28"/>
          <w:highlight w:val="none"/>
        </w:rPr>
      </w:pPr>
    </w:p>
    <w:p w14:paraId="1A7E4128">
      <w:pPr>
        <w:rPr>
          <w:rFonts w:ascii="Times New Roman" w:hAnsi="Times New Roman" w:eastAsia="黑体"/>
          <w:color w:val="auto"/>
          <w:sz w:val="28"/>
          <w:highlight w:val="none"/>
        </w:rPr>
      </w:pPr>
    </w:p>
    <w:p w14:paraId="4D465A31">
      <w:pPr>
        <w:rPr>
          <w:rFonts w:ascii="Times New Roman" w:hAnsi="Times New Roman" w:eastAsia="黑体"/>
          <w:color w:val="auto"/>
          <w:sz w:val="28"/>
          <w:highlight w:val="none"/>
        </w:rPr>
      </w:pPr>
    </w:p>
    <w:p w14:paraId="116CDDA7">
      <w:pPr>
        <w:rPr>
          <w:rFonts w:ascii="Times New Roman" w:hAnsi="Times New Roman" w:eastAsia="黑体"/>
          <w:color w:val="auto"/>
          <w:sz w:val="28"/>
          <w:highlight w:val="none"/>
        </w:rPr>
      </w:pPr>
    </w:p>
    <w:p w14:paraId="56B36D43">
      <w:pPr>
        <w:rPr>
          <w:rFonts w:ascii="Times New Roman" w:hAnsi="Times New Roman" w:eastAsia="黑体"/>
          <w:color w:val="auto"/>
          <w:sz w:val="28"/>
          <w:highlight w:val="none"/>
        </w:rPr>
      </w:pPr>
    </w:p>
    <w:p w14:paraId="15EBCB6D">
      <w:pPr>
        <w:rPr>
          <w:rFonts w:ascii="Times New Roman" w:hAnsi="Times New Roman" w:eastAsia="黑体"/>
          <w:color w:val="auto"/>
          <w:sz w:val="28"/>
          <w:highlight w:val="none"/>
        </w:rPr>
      </w:pPr>
    </w:p>
    <w:p w14:paraId="5B291BF8">
      <w:pPr>
        <w:rPr>
          <w:rFonts w:ascii="Times New Roman" w:hAnsi="Times New Roman" w:eastAsia="黑体"/>
          <w:color w:val="auto"/>
          <w:sz w:val="28"/>
          <w:highlight w:val="none"/>
        </w:rPr>
      </w:pPr>
    </w:p>
    <w:p w14:paraId="5750C070">
      <w:pPr>
        <w:rPr>
          <w:rFonts w:ascii="Times New Roman" w:hAnsi="Times New Roman" w:eastAsia="黑体"/>
          <w:color w:val="auto"/>
          <w:sz w:val="28"/>
          <w:highlight w:val="none"/>
        </w:rPr>
      </w:pPr>
    </w:p>
    <w:p w14:paraId="5F14149F">
      <w:pPr>
        <w:spacing w:line="360" w:lineRule="auto"/>
        <w:rPr>
          <w:rFonts w:ascii="Times New Roman" w:hAnsi="Times New Roman" w:eastAsia="黑体"/>
          <w:color w:val="auto"/>
          <w:sz w:val="28"/>
          <w:highlight w:val="none"/>
        </w:rPr>
      </w:pPr>
    </w:p>
    <w:p w14:paraId="2F4B9AEC">
      <w:pPr>
        <w:spacing w:line="360" w:lineRule="auto"/>
        <w:ind w:firstLine="1120" w:firstLineChars="400"/>
        <w:rPr>
          <w:rFonts w:ascii="Times New Roman" w:hAnsi="Times New Roman" w:eastAsia="黑体"/>
          <w:color w:val="auto"/>
          <w:sz w:val="28"/>
          <w:highlight w:val="none"/>
          <w:u w:val="single"/>
        </w:rPr>
      </w:pPr>
      <w:r>
        <w:rPr>
          <w:rFonts w:ascii="Times New Roman" w:hAnsi="Times New Roman" w:eastAsia="黑体"/>
          <w:color w:val="auto"/>
          <w:sz w:val="28"/>
          <w:highlight w:val="none"/>
        </w:rPr>
        <w:t>投标人：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（盖单位章）</w:t>
      </w:r>
    </w:p>
    <w:p w14:paraId="0175BAD0">
      <w:pPr>
        <w:spacing w:line="360" w:lineRule="auto"/>
        <w:ind w:firstLine="1120" w:firstLineChars="400"/>
        <w:jc w:val="left"/>
        <w:rPr>
          <w:rFonts w:ascii="Times New Roman" w:hAnsi="Times New Roman" w:eastAsia="黑体"/>
          <w:color w:val="auto"/>
          <w:sz w:val="28"/>
          <w:highlight w:val="none"/>
        </w:rPr>
      </w:pPr>
      <w:r>
        <w:rPr>
          <w:rFonts w:ascii="Times New Roman" w:hAnsi="Times New Roman" w:eastAsia="黑体"/>
          <w:color w:val="auto"/>
          <w:sz w:val="28"/>
          <w:highlight w:val="none"/>
        </w:rPr>
        <w:t>法定代表人或其委托代理人：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w:t>
      </w:r>
      <w:r>
        <w:rPr>
          <w:rFonts w:hint="eastAsia" w:ascii="Times New Roman" w:hAnsi="Times New Roman" w:eastAsia="黑体"/>
          <w:color w:val="auto"/>
          <w:sz w:val="28"/>
          <w:highlight w:val="none"/>
        </w:rPr>
        <w:t>签字或盖章</w:t>
      </w:r>
      <w:r>
        <w:rPr>
          <w:rFonts w:ascii="Times New Roman" w:hAnsi="Times New Roman" w:eastAsia="黑体"/>
          <w:color w:val="auto"/>
          <w:sz w:val="28"/>
          <w:highlight w:val="none"/>
        </w:rPr>
        <w:t>）</w:t>
      </w:r>
    </w:p>
    <w:p w14:paraId="6B9C421B">
      <w:pPr>
        <w:jc w:val="center"/>
        <w:rPr>
          <w:rFonts w:ascii="Times New Roman" w:hAnsi="Times New Roman" w:eastAsia="黑体"/>
          <w:color w:val="auto"/>
          <w:sz w:val="28"/>
          <w:highlight w:val="none"/>
        </w:rPr>
      </w:pPr>
    </w:p>
    <w:p w14:paraId="51AE626D">
      <w:pPr>
        <w:spacing w:line="400" w:lineRule="exact"/>
        <w:jc w:val="center"/>
        <w:rPr>
          <w:rFonts w:ascii="Times New Roman" w:hAnsi="Times New Roman" w:eastAsia="黑体"/>
          <w:color w:val="auto"/>
          <w:sz w:val="28"/>
          <w:highlight w:val="none"/>
        </w:rPr>
      </w:pPr>
      <w:r>
        <w:rPr>
          <w:rFonts w:ascii="Times New Roman" w:hAnsi="Times New Roman"/>
          <w:color w:val="auto"/>
          <w:highlight w:val="none"/>
          <w:u w:val="single"/>
        </w:rPr>
        <w:t xml:space="preserve">       </w:t>
      </w:r>
      <w:r>
        <w:rPr>
          <w:rFonts w:ascii="Times New Roman" w:hAnsi="Times New Roman" w:eastAsia="黑体"/>
          <w:color w:val="auto"/>
          <w:sz w:val="28"/>
          <w:highlight w:val="none"/>
        </w:rPr>
        <w:t>年</w:t>
      </w:r>
      <w:r>
        <w:rPr>
          <w:rFonts w:ascii="Times New Roman" w:hAnsi="Times New Roman"/>
          <w:color w:val="auto"/>
          <w:highlight w:val="none"/>
          <w:u w:val="single"/>
        </w:rPr>
        <w:t xml:space="preserve">       </w:t>
      </w:r>
      <w:r>
        <w:rPr>
          <w:rFonts w:ascii="Times New Roman" w:hAnsi="Times New Roman" w:eastAsia="黑体"/>
          <w:color w:val="auto"/>
          <w:sz w:val="28"/>
          <w:highlight w:val="none"/>
        </w:rPr>
        <w:t>月</w:t>
      </w:r>
      <w:r>
        <w:rPr>
          <w:rFonts w:ascii="Times New Roman" w:hAnsi="Times New Roman"/>
          <w:color w:val="auto"/>
          <w:highlight w:val="none"/>
          <w:u w:val="single"/>
        </w:rPr>
        <w:t xml:space="preserve">       </w:t>
      </w:r>
      <w:r>
        <w:rPr>
          <w:rFonts w:ascii="Times New Roman" w:hAnsi="Times New Roman" w:eastAsia="黑体"/>
          <w:color w:val="auto"/>
          <w:sz w:val="28"/>
          <w:highlight w:val="none"/>
        </w:rPr>
        <w:t>日</w:t>
      </w:r>
    </w:p>
    <w:p w14:paraId="50229792">
      <w:pPr>
        <w:pStyle w:val="4"/>
        <w:keepNext w:val="0"/>
        <w:keepLines w:val="0"/>
        <w:jc w:val="center"/>
        <w:rPr>
          <w:rFonts w:ascii="Times New Roman" w:hAnsi="Times New Roman"/>
          <w:color w:val="auto"/>
          <w:highlight w:val="none"/>
        </w:rPr>
      </w:pPr>
    </w:p>
    <w:p w14:paraId="24FC1441">
      <w:pPr>
        <w:rPr>
          <w:rFonts w:ascii="Times New Roman" w:hAnsi="Times New Roman"/>
          <w:color w:val="auto"/>
          <w:highlight w:val="none"/>
        </w:rPr>
      </w:pPr>
      <w:bookmarkStart w:id="950" w:name="_Toc2862"/>
      <w:bookmarkStart w:id="951" w:name="_Toc10686"/>
      <w:bookmarkStart w:id="952" w:name="_Toc29071"/>
      <w:r>
        <w:rPr>
          <w:rFonts w:ascii="Times New Roman" w:hAnsi="Times New Roman"/>
          <w:color w:val="auto"/>
          <w:highlight w:val="none"/>
        </w:rPr>
        <w:br w:type="page"/>
      </w:r>
    </w:p>
    <w:p w14:paraId="520BA40B">
      <w:pPr>
        <w:pStyle w:val="4"/>
        <w:keepNext w:val="0"/>
        <w:keepLines w:val="0"/>
        <w:jc w:val="center"/>
        <w:rPr>
          <w:rFonts w:ascii="Times New Roman" w:hAnsi="Times New Roman"/>
          <w:color w:val="auto"/>
          <w:highlight w:val="none"/>
        </w:rPr>
      </w:pPr>
      <w:r>
        <w:rPr>
          <w:rFonts w:ascii="Times New Roman" w:hAnsi="Times New Roman"/>
          <w:color w:val="auto"/>
          <w:highlight w:val="none"/>
        </w:rPr>
        <w:t>目</w:t>
      </w:r>
      <w:r>
        <w:rPr>
          <w:rFonts w:hint="eastAsia" w:ascii="Times New Roman" w:hAnsi="Times New Roman"/>
          <w:color w:val="auto"/>
          <w:highlight w:val="none"/>
        </w:rPr>
        <w:t xml:space="preserve">  </w:t>
      </w:r>
      <w:r>
        <w:rPr>
          <w:rFonts w:ascii="Times New Roman" w:hAnsi="Times New Roman"/>
          <w:color w:val="auto"/>
          <w:highlight w:val="none"/>
        </w:rPr>
        <w:t>录</w:t>
      </w:r>
      <w:bookmarkEnd w:id="950"/>
      <w:bookmarkEnd w:id="951"/>
      <w:bookmarkEnd w:id="952"/>
    </w:p>
    <w:p w14:paraId="5A687495">
      <w:pPr>
        <w:spacing w:line="540" w:lineRule="exact"/>
        <w:rPr>
          <w:rFonts w:ascii="Times New Roman" w:hAnsi="Times New Roman"/>
          <w:color w:val="auto"/>
          <w:highlight w:val="none"/>
        </w:rPr>
      </w:pPr>
      <w:r>
        <w:rPr>
          <w:rFonts w:ascii="Times New Roman" w:hAnsi="Times New Roman"/>
          <w:color w:val="auto"/>
          <w:highlight w:val="none"/>
        </w:rPr>
        <w:t>一、投标函及投标函附录</w:t>
      </w:r>
    </w:p>
    <w:p w14:paraId="2E81A904">
      <w:pPr>
        <w:spacing w:line="540" w:lineRule="exact"/>
        <w:rPr>
          <w:rFonts w:ascii="Times New Roman" w:hAnsi="Times New Roman"/>
          <w:color w:val="auto"/>
          <w:highlight w:val="none"/>
        </w:rPr>
      </w:pPr>
      <w:r>
        <w:rPr>
          <w:rFonts w:ascii="Times New Roman" w:hAnsi="Times New Roman"/>
          <w:color w:val="auto"/>
          <w:highlight w:val="none"/>
        </w:rPr>
        <w:t>二、法定代表人身份证明</w:t>
      </w:r>
      <w:r>
        <w:rPr>
          <w:rFonts w:hint="eastAsia" w:ascii="Times New Roman" w:hAnsi="Times New Roman"/>
          <w:color w:val="auto"/>
          <w:highlight w:val="none"/>
        </w:rPr>
        <w:t>、</w:t>
      </w:r>
      <w:r>
        <w:rPr>
          <w:rFonts w:ascii="Times New Roman" w:hAnsi="Times New Roman"/>
          <w:color w:val="auto"/>
          <w:highlight w:val="none"/>
        </w:rPr>
        <w:t>授权委托书（适用于有委托代理人的情况）</w:t>
      </w:r>
    </w:p>
    <w:p w14:paraId="6D642399">
      <w:pPr>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三</w:t>
      </w:r>
      <w:r>
        <w:rPr>
          <w:rFonts w:ascii="Times New Roman" w:hAnsi="Times New Roman"/>
          <w:color w:val="auto"/>
          <w:highlight w:val="none"/>
        </w:rPr>
        <w:t>、</w:t>
      </w:r>
      <w:r>
        <w:rPr>
          <w:rFonts w:hint="eastAsia" w:ascii="Times New Roman" w:hAnsi="Times New Roman"/>
          <w:color w:val="auto"/>
          <w:highlight w:val="none"/>
        </w:rPr>
        <w:t>投标报价表</w:t>
      </w:r>
    </w:p>
    <w:p w14:paraId="58C684A1">
      <w:pPr>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四</w:t>
      </w:r>
      <w:r>
        <w:rPr>
          <w:rFonts w:ascii="Times New Roman" w:hAnsi="Times New Roman"/>
          <w:color w:val="auto"/>
          <w:highlight w:val="none"/>
        </w:rPr>
        <w:t>、资格审查资料</w:t>
      </w:r>
    </w:p>
    <w:p w14:paraId="76B1C91C">
      <w:pPr>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w:t>
      </w:r>
      <w:r>
        <w:rPr>
          <w:rFonts w:hint="eastAsia" w:ascii="Times New Roman" w:hAnsi="Times New Roman"/>
          <w:color w:val="auto"/>
          <w:highlight w:val="none"/>
        </w:rPr>
        <w:t>监理大纲</w:t>
      </w:r>
    </w:p>
    <w:p w14:paraId="1179FEBB">
      <w:pPr>
        <w:spacing w:line="540" w:lineRule="exact"/>
        <w:rPr>
          <w:rFonts w:ascii="Times New Roman" w:hAnsi="Times New Roman"/>
          <w:color w:val="auto"/>
          <w:highlight w:val="none"/>
        </w:rPr>
      </w:pPr>
      <w:bookmarkStart w:id="953" w:name="_Toc7039"/>
      <w:bookmarkStart w:id="954" w:name="_Toc352691655"/>
      <w:bookmarkStart w:id="955" w:name="_Toc369531691"/>
      <w:r>
        <w:rPr>
          <w:rFonts w:hint="eastAsia" w:ascii="Times New Roman" w:hAnsi="Times New Roman"/>
          <w:color w:val="auto"/>
          <w:highlight w:val="none"/>
          <w:lang w:val="en-US" w:eastAsia="zh-CN"/>
        </w:rPr>
        <w:t>六</w:t>
      </w:r>
      <w:r>
        <w:rPr>
          <w:rFonts w:ascii="Times New Roman" w:hAnsi="Times New Roman"/>
          <w:color w:val="auto"/>
          <w:highlight w:val="none"/>
        </w:rPr>
        <w:t>、其他资料</w:t>
      </w:r>
    </w:p>
    <w:p w14:paraId="6BA0BE1C">
      <w:pPr>
        <w:spacing w:line="540" w:lineRule="exact"/>
        <w:rPr>
          <w:rFonts w:ascii="Times New Roman" w:hAnsi="Times New Roman" w:eastAsia="黑体"/>
          <w:color w:val="auto"/>
          <w:sz w:val="20"/>
          <w:highlight w:val="none"/>
        </w:rPr>
      </w:pPr>
    </w:p>
    <w:p w14:paraId="33B39B61">
      <w:pPr>
        <w:spacing w:line="540" w:lineRule="exact"/>
        <w:rPr>
          <w:rFonts w:ascii="Times New Roman" w:hAnsi="Times New Roman" w:eastAsia="黑体"/>
          <w:color w:val="auto"/>
          <w:sz w:val="20"/>
          <w:highlight w:val="none"/>
        </w:rPr>
      </w:pPr>
    </w:p>
    <w:p w14:paraId="3184986F">
      <w:pPr>
        <w:spacing w:line="540" w:lineRule="exact"/>
        <w:rPr>
          <w:rFonts w:ascii="Times New Roman" w:hAnsi="Times New Roman" w:eastAsia="黑体"/>
          <w:color w:val="auto"/>
          <w:sz w:val="20"/>
          <w:highlight w:val="none"/>
        </w:rPr>
      </w:pPr>
    </w:p>
    <w:p w14:paraId="562375DB">
      <w:pPr>
        <w:spacing w:line="540" w:lineRule="exact"/>
        <w:rPr>
          <w:rFonts w:ascii="Times New Roman" w:hAnsi="Times New Roman" w:eastAsia="黑体"/>
          <w:color w:val="auto"/>
          <w:sz w:val="20"/>
          <w:highlight w:val="none"/>
        </w:rPr>
      </w:pPr>
    </w:p>
    <w:p w14:paraId="32CBFB82">
      <w:pPr>
        <w:spacing w:line="540" w:lineRule="exact"/>
        <w:rPr>
          <w:rFonts w:ascii="Times New Roman" w:hAnsi="Times New Roman" w:eastAsia="黑体"/>
          <w:color w:val="auto"/>
          <w:sz w:val="20"/>
          <w:highlight w:val="none"/>
        </w:rPr>
      </w:pPr>
    </w:p>
    <w:p w14:paraId="224E01E2">
      <w:pPr>
        <w:spacing w:line="540" w:lineRule="exact"/>
        <w:rPr>
          <w:rFonts w:ascii="Times New Roman" w:hAnsi="Times New Roman" w:eastAsia="黑体"/>
          <w:color w:val="auto"/>
          <w:sz w:val="20"/>
          <w:highlight w:val="none"/>
        </w:rPr>
      </w:pPr>
    </w:p>
    <w:p w14:paraId="76B1172F">
      <w:pPr>
        <w:spacing w:line="540" w:lineRule="exact"/>
        <w:rPr>
          <w:rFonts w:ascii="Times New Roman" w:hAnsi="Times New Roman" w:eastAsia="黑体"/>
          <w:color w:val="auto"/>
          <w:sz w:val="20"/>
          <w:highlight w:val="none"/>
        </w:rPr>
      </w:pPr>
    </w:p>
    <w:p w14:paraId="1641D1C7">
      <w:pPr>
        <w:spacing w:line="540" w:lineRule="exact"/>
        <w:rPr>
          <w:rFonts w:ascii="Times New Roman" w:hAnsi="Times New Roman" w:eastAsia="黑体"/>
          <w:color w:val="auto"/>
          <w:sz w:val="20"/>
          <w:highlight w:val="none"/>
        </w:rPr>
      </w:pPr>
    </w:p>
    <w:p w14:paraId="2C7C37BD">
      <w:pPr>
        <w:spacing w:line="540" w:lineRule="exact"/>
        <w:rPr>
          <w:rFonts w:ascii="Times New Roman" w:hAnsi="Times New Roman" w:eastAsia="黑体"/>
          <w:color w:val="auto"/>
          <w:sz w:val="20"/>
          <w:highlight w:val="none"/>
        </w:rPr>
      </w:pPr>
    </w:p>
    <w:p w14:paraId="188CE2A1">
      <w:pPr>
        <w:spacing w:line="540" w:lineRule="exact"/>
        <w:rPr>
          <w:rFonts w:ascii="Times New Roman" w:hAnsi="Times New Roman" w:eastAsia="黑体"/>
          <w:color w:val="auto"/>
          <w:sz w:val="20"/>
          <w:highlight w:val="none"/>
        </w:rPr>
      </w:pPr>
    </w:p>
    <w:bookmarkEnd w:id="953"/>
    <w:bookmarkEnd w:id="954"/>
    <w:bookmarkEnd w:id="955"/>
    <w:p w14:paraId="46DB9154">
      <w:pPr>
        <w:pStyle w:val="4"/>
        <w:keepNext w:val="0"/>
        <w:keepLines w:val="0"/>
        <w:jc w:val="center"/>
        <w:rPr>
          <w:rFonts w:ascii="Times New Roman" w:hAnsi="Times New Roman"/>
          <w:color w:val="auto"/>
          <w:highlight w:val="none"/>
        </w:rPr>
      </w:pPr>
      <w:r>
        <w:rPr>
          <w:rFonts w:ascii="Times New Roman" w:hAnsi="Times New Roman"/>
          <w:color w:val="auto"/>
          <w:highlight w:val="none"/>
        </w:rPr>
        <w:br w:type="page"/>
      </w:r>
      <w:bookmarkStart w:id="956" w:name="_Toc30909"/>
      <w:bookmarkStart w:id="957" w:name="_Toc17634"/>
      <w:r>
        <w:rPr>
          <w:rFonts w:ascii="Times New Roman" w:hAnsi="Times New Roman"/>
          <w:color w:val="auto"/>
          <w:highlight w:val="none"/>
        </w:rPr>
        <w:t>一、投标</w:t>
      </w:r>
      <w:bookmarkStart w:id="958" w:name="_Toc369531692"/>
      <w:bookmarkStart w:id="959" w:name="_Toc352691656"/>
      <w:bookmarkStart w:id="960" w:name="_Toc6931"/>
      <w:r>
        <w:rPr>
          <w:rFonts w:ascii="Times New Roman" w:hAnsi="Times New Roman"/>
          <w:color w:val="auto"/>
          <w:highlight w:val="none"/>
        </w:rPr>
        <w:t>函及投标函附录</w:t>
      </w:r>
      <w:bookmarkEnd w:id="956"/>
      <w:bookmarkEnd w:id="957"/>
    </w:p>
    <w:bookmarkEnd w:id="958"/>
    <w:bookmarkEnd w:id="959"/>
    <w:bookmarkEnd w:id="960"/>
    <w:p w14:paraId="14105786">
      <w:pPr>
        <w:pStyle w:val="5"/>
        <w:keepNext w:val="0"/>
        <w:keepLines w:val="0"/>
        <w:ind w:firstLine="137"/>
        <w:rPr>
          <w:rFonts w:ascii="Times New Roman" w:hAnsi="Times New Roman"/>
          <w:color w:val="auto"/>
          <w:highlight w:val="none"/>
        </w:rPr>
      </w:pPr>
      <w:bookmarkStart w:id="961" w:name="_Toc391394111"/>
      <w:bookmarkStart w:id="962" w:name="_Toc3971"/>
      <w:bookmarkStart w:id="963" w:name="_Toc482188651"/>
      <w:bookmarkStart w:id="964" w:name="_Toc16357"/>
      <w:bookmarkStart w:id="965" w:name="_Toc20447"/>
      <w:bookmarkStart w:id="966" w:name="_Toc385943065"/>
      <w:bookmarkStart w:id="967" w:name="_Toc359594235"/>
      <w:bookmarkStart w:id="968" w:name="_Toc370676426"/>
      <w:r>
        <w:rPr>
          <w:rFonts w:ascii="Times New Roman" w:hAnsi="Times New Roman"/>
          <w:color w:val="auto"/>
          <w:highlight w:val="none"/>
        </w:rPr>
        <w:t>（一）投标函</w:t>
      </w:r>
      <w:bookmarkEnd w:id="961"/>
      <w:bookmarkEnd w:id="962"/>
      <w:bookmarkEnd w:id="963"/>
      <w:bookmarkEnd w:id="964"/>
      <w:bookmarkEnd w:id="965"/>
      <w:bookmarkEnd w:id="966"/>
      <w:bookmarkEnd w:id="967"/>
      <w:bookmarkEnd w:id="968"/>
    </w:p>
    <w:p w14:paraId="742F6FBF">
      <w:pPr>
        <w:spacing w:line="440" w:lineRule="exact"/>
        <w:rPr>
          <w:rFonts w:ascii="Times New Roman" w:hAnsi="Times New Roman"/>
          <w:color w:val="auto"/>
          <w:szCs w:val="21"/>
          <w:highlight w:val="none"/>
        </w:rPr>
      </w:pPr>
      <w:r>
        <w:rPr>
          <w:rFonts w:ascii="Times New Roman" w:hAnsi="Times New Roman"/>
          <w:color w:val="auto"/>
          <w:szCs w:val="21"/>
          <w:highlight w:val="none"/>
        </w:rPr>
        <w:t>（招标人名称）：</w:t>
      </w:r>
    </w:p>
    <w:p w14:paraId="38A8EAD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1．我方已仔细研究了</w:t>
      </w:r>
      <w:r>
        <w:rPr>
          <w:rFonts w:hint="eastAsia" w:ascii="Times New Roman" w:hAnsi="Times New Roman"/>
          <w:color w:val="auto"/>
          <w:szCs w:val="21"/>
          <w:highlight w:val="none"/>
          <w:u w:val="single"/>
          <w:lang w:eastAsia="zh-CN"/>
        </w:rPr>
        <w:t>（项目名称）</w:t>
      </w:r>
      <w:r>
        <w:rPr>
          <w:rFonts w:ascii="Times New Roman" w:hAnsi="Times New Roman"/>
          <w:color w:val="auto"/>
          <w:szCs w:val="21"/>
          <w:highlight w:val="none"/>
        </w:rPr>
        <w:t>招标项目招标文件的全部内容，愿意以人民币（大写）</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rPr>
        <w:t>）的投标报价</w:t>
      </w:r>
      <w:r>
        <w:rPr>
          <w:rFonts w:ascii="Times New Roman" w:hAnsi="Times New Roman" w:eastAsia="黑体"/>
          <w:color w:val="auto"/>
          <w:szCs w:val="21"/>
          <w:highlight w:val="none"/>
        </w:rPr>
        <w:t>，</w:t>
      </w:r>
      <w:r>
        <w:rPr>
          <w:rFonts w:ascii="Times New Roman" w:hAnsi="Times New Roman"/>
          <w:color w:val="auto"/>
          <w:szCs w:val="21"/>
          <w:highlight w:val="none"/>
        </w:rPr>
        <w:t>服务期限：</w:t>
      </w:r>
      <w:r>
        <w:rPr>
          <w:rFonts w:hint="eastAsia" w:ascii="Times New Roman" w:hAnsi="Times New Roman"/>
          <w:color w:val="auto"/>
          <w:szCs w:val="21"/>
          <w:highlight w:val="none"/>
          <w:u w:val="single"/>
        </w:rPr>
        <w:t>按招标文件要求</w:t>
      </w:r>
      <w:r>
        <w:rPr>
          <w:rFonts w:ascii="Times New Roman" w:hAnsi="Times New Roman"/>
          <w:color w:val="auto"/>
          <w:szCs w:val="21"/>
          <w:highlight w:val="none"/>
        </w:rPr>
        <w:t>，按合同约定完成</w:t>
      </w:r>
      <w:r>
        <w:rPr>
          <w:rFonts w:hint="eastAsia" w:ascii="Times New Roman" w:hAnsi="Times New Roman"/>
          <w:color w:val="auto"/>
          <w:szCs w:val="21"/>
          <w:highlight w:val="none"/>
          <w:u w:val="single"/>
          <w:lang w:val="en-US" w:eastAsia="zh-CN"/>
        </w:rPr>
        <w:t>修复工程</w:t>
      </w:r>
      <w:r>
        <w:rPr>
          <w:rFonts w:ascii="Times New Roman" w:hAnsi="Times New Roman"/>
          <w:color w:val="auto"/>
          <w:szCs w:val="21"/>
          <w:highlight w:val="none"/>
          <w:u w:val="single"/>
        </w:rPr>
        <w:t>监理</w:t>
      </w:r>
      <w:r>
        <w:rPr>
          <w:rFonts w:ascii="Times New Roman" w:hAnsi="Times New Roman"/>
          <w:color w:val="auto"/>
          <w:szCs w:val="21"/>
          <w:highlight w:val="none"/>
        </w:rPr>
        <w:t>工作。</w:t>
      </w:r>
    </w:p>
    <w:p w14:paraId="51BCB2B9">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 我方的投标文件包括下列内容：</w:t>
      </w:r>
    </w:p>
    <w:p w14:paraId="24ACA934">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（1）投标函</w:t>
      </w:r>
      <w:r>
        <w:rPr>
          <w:rFonts w:ascii="Times New Roman" w:hAnsi="Times New Roman"/>
          <w:color w:val="auto"/>
          <w:highlight w:val="none"/>
        </w:rPr>
        <w:t>及投标函附录</w:t>
      </w:r>
      <w:r>
        <w:rPr>
          <w:rFonts w:ascii="Times New Roman" w:hAnsi="Times New Roman"/>
          <w:color w:val="auto"/>
          <w:szCs w:val="21"/>
          <w:highlight w:val="none"/>
        </w:rPr>
        <w:t>；</w:t>
      </w:r>
    </w:p>
    <w:p w14:paraId="42B80EE6">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（2）法定代表人身份证明或授权委托书；</w:t>
      </w:r>
    </w:p>
    <w:p w14:paraId="3A2E9E79">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w:t>
      </w:r>
      <w:r>
        <w:rPr>
          <w:rFonts w:hint="eastAsia" w:ascii="Times New Roman" w:hAnsi="Times New Roman"/>
          <w:color w:val="auto"/>
          <w:szCs w:val="21"/>
          <w:highlight w:val="none"/>
        </w:rPr>
        <w:t>投标报价表</w:t>
      </w:r>
      <w:r>
        <w:rPr>
          <w:rFonts w:ascii="Times New Roman" w:hAnsi="Times New Roman"/>
          <w:color w:val="auto"/>
          <w:szCs w:val="21"/>
          <w:highlight w:val="none"/>
        </w:rPr>
        <w:t>；</w:t>
      </w:r>
    </w:p>
    <w:p w14:paraId="3E05D733">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4</w:t>
      </w:r>
      <w:r>
        <w:rPr>
          <w:rFonts w:ascii="Times New Roman" w:hAnsi="Times New Roman"/>
          <w:color w:val="auto"/>
          <w:szCs w:val="21"/>
          <w:highlight w:val="none"/>
        </w:rPr>
        <w:t>）资格审查资料；</w:t>
      </w:r>
    </w:p>
    <w:p w14:paraId="77D985B1">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w:t>
      </w:r>
      <w:r>
        <w:rPr>
          <w:rFonts w:hint="eastAsia" w:ascii="Times New Roman" w:hAnsi="Times New Roman"/>
          <w:color w:val="auto"/>
          <w:szCs w:val="21"/>
          <w:highlight w:val="none"/>
        </w:rPr>
        <w:t>监理大纲</w:t>
      </w:r>
      <w:r>
        <w:rPr>
          <w:rFonts w:ascii="Times New Roman" w:hAnsi="Times New Roman"/>
          <w:color w:val="auto"/>
          <w:szCs w:val="21"/>
          <w:highlight w:val="none"/>
        </w:rPr>
        <w:t>；</w:t>
      </w:r>
    </w:p>
    <w:p w14:paraId="3EEF0F0F">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6</w:t>
      </w:r>
      <w:r>
        <w:rPr>
          <w:rFonts w:hint="eastAsia" w:ascii="Times New Roman" w:hAnsi="Times New Roman"/>
          <w:color w:val="auto"/>
          <w:szCs w:val="21"/>
          <w:highlight w:val="none"/>
        </w:rPr>
        <w:t>）其他资料。</w:t>
      </w:r>
    </w:p>
    <w:p w14:paraId="745A9514">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投标文件的上述组成部分如存在内容不一致的，以投标函为准。</w:t>
      </w:r>
    </w:p>
    <w:p w14:paraId="5CF909CB">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3．我方承诺在招标文件规定的投标有效期</w:t>
      </w:r>
      <w:r>
        <w:rPr>
          <w:rFonts w:ascii="Times New Roman" w:hAnsi="Times New Roman"/>
          <w:color w:val="auto"/>
          <w:szCs w:val="21"/>
          <w:highlight w:val="none"/>
          <w:u w:val="single"/>
        </w:rPr>
        <w:t>90</w:t>
      </w:r>
      <w:r>
        <w:rPr>
          <w:rFonts w:ascii="Times New Roman" w:hAnsi="Times New Roman"/>
          <w:color w:val="auto"/>
          <w:szCs w:val="21"/>
          <w:highlight w:val="none"/>
        </w:rPr>
        <w:t>日历天内不撤销投标文件。</w:t>
      </w:r>
    </w:p>
    <w:p w14:paraId="6D2B810C">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4．如我方中标，我方承诺：</w:t>
      </w:r>
    </w:p>
    <w:p w14:paraId="5ABE49F9">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（1）在收到中标通知书后，在中标通知书规定的期限内与你方签订合同；</w:t>
      </w:r>
    </w:p>
    <w:p w14:paraId="26F8C6CE">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（2）在签订合同时不向你方提出附加条件；</w:t>
      </w:r>
    </w:p>
    <w:p w14:paraId="075D2481">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（3）按照招标文件要求提交履约保证金；</w:t>
      </w:r>
      <w:bookmarkStart w:id="969" w:name="_Toc369531694"/>
      <w:bookmarkStart w:id="970" w:name="_Toc352691658"/>
      <w:bookmarkStart w:id="971" w:name="_Toc1187"/>
    </w:p>
    <w:p w14:paraId="23B31459">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（4）在合</w:t>
      </w:r>
      <w:bookmarkEnd w:id="969"/>
      <w:bookmarkEnd w:id="970"/>
      <w:bookmarkEnd w:id="971"/>
      <w:r>
        <w:rPr>
          <w:rFonts w:ascii="Times New Roman" w:hAnsi="Times New Roman"/>
          <w:color w:val="auto"/>
          <w:szCs w:val="21"/>
          <w:highlight w:val="none"/>
        </w:rPr>
        <w:t>同约定的期限内完成合同规定的全部义务。</w:t>
      </w:r>
    </w:p>
    <w:p w14:paraId="6FF1E033">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5．我方在此声明，所递交的投标文件及有关资料内容完整、真实和准确，且不存在第二章“投标人须知”第1.4.3项规定的任何一种情形。</w:t>
      </w:r>
    </w:p>
    <w:p w14:paraId="7918DF84">
      <w:pPr>
        <w:spacing w:line="44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6. 如我方中标，我方承诺，满足“委托人要求”中的所有内容。</w:t>
      </w:r>
    </w:p>
    <w:p w14:paraId="4B1CBF42">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val="en-US" w:eastAsia="zh-CN"/>
        </w:rPr>
        <w:t>7</w:t>
      </w:r>
      <w:r>
        <w:rPr>
          <w:rFonts w:ascii="Times New Roman" w:hAnsi="Times New Roman"/>
          <w:color w:val="auto"/>
          <w:szCs w:val="21"/>
          <w:highlight w:val="none"/>
        </w:rPr>
        <w:t>．如我方中标，我方承诺：我司提交的所有投标资料真实可靠，并</w:t>
      </w:r>
      <w:r>
        <w:rPr>
          <w:rFonts w:hint="eastAsia" w:ascii="Times New Roman" w:hAnsi="Times New Roman"/>
          <w:color w:val="auto"/>
          <w:szCs w:val="21"/>
          <w:highlight w:val="none"/>
        </w:rPr>
        <w:t>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bookmarkEnd w:id="936"/>
    <w:bookmarkEnd w:id="937"/>
    <w:bookmarkEnd w:id="938"/>
    <w:bookmarkEnd w:id="939"/>
    <w:bookmarkEnd w:id="940"/>
    <w:bookmarkEnd w:id="941"/>
    <w:bookmarkEnd w:id="942"/>
    <w:bookmarkEnd w:id="943"/>
    <w:bookmarkEnd w:id="944"/>
    <w:p w14:paraId="411B71B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color w:val="auto"/>
          <w:szCs w:val="21"/>
          <w:highlight w:val="none"/>
        </w:rPr>
      </w:pPr>
      <w:bookmarkStart w:id="972" w:name="_Toc352691660"/>
      <w:bookmarkEnd w:id="972"/>
      <w:bookmarkStart w:id="973" w:name="_Toc16824"/>
      <w:bookmarkEnd w:id="973"/>
      <w:bookmarkStart w:id="974" w:name="_Toc16568"/>
      <w:bookmarkEnd w:id="974"/>
      <w:bookmarkStart w:id="975" w:name="_Toc369531696"/>
      <w:bookmarkEnd w:id="975"/>
      <w:bookmarkStart w:id="976" w:name="_Toc369531695"/>
      <w:bookmarkEnd w:id="976"/>
      <w:bookmarkStart w:id="977" w:name="_Toc352691659"/>
      <w:bookmarkEnd w:id="977"/>
      <w:r>
        <w:rPr>
          <w:rFonts w:ascii="Times New Roman" w:hAnsi="Times New Roman"/>
          <w:color w:val="auto"/>
          <w:szCs w:val="21"/>
          <w:highlight w:val="none"/>
        </w:rPr>
        <w:t xml:space="preserve">8. </w:t>
      </w:r>
      <w:r>
        <w:rPr>
          <w:rFonts w:hint="eastAsia" w:ascii="Times New Roman" w:hAnsi="Times New Roman"/>
          <w:color w:val="auto"/>
          <w:szCs w:val="21"/>
          <w:highlight w:val="none"/>
        </w:rPr>
        <w:t>如我方中标，我方承诺：严格按照</w:t>
      </w:r>
      <w:r>
        <w:rPr>
          <w:rFonts w:ascii="Times New Roman" w:hAnsi="Times New Roman"/>
          <w:color w:val="auto"/>
          <w:szCs w:val="21"/>
          <w:highlight w:val="none"/>
        </w:rPr>
        <w:t>本招标文件第五章委托人要求及</w:t>
      </w:r>
      <w:r>
        <w:rPr>
          <w:rFonts w:hint="eastAsia" w:ascii="Times New Roman" w:hAnsi="Times New Roman"/>
          <w:color w:val="auto"/>
          <w:szCs w:val="21"/>
          <w:highlight w:val="none"/>
        </w:rPr>
        <w:t>《</w:t>
      </w:r>
      <w:r>
        <w:rPr>
          <w:rFonts w:hint="eastAsia" w:ascii="Times New Roman" w:hAnsi="Times New Roman"/>
          <w:color w:val="auto"/>
          <w:szCs w:val="21"/>
          <w:highlight w:val="none"/>
          <w:lang w:eastAsia="zh-CN"/>
        </w:rPr>
        <w:t>项目监理人员配备要求表</w:t>
      </w:r>
      <w:r>
        <w:rPr>
          <w:rFonts w:hint="eastAsia" w:ascii="Times New Roman" w:hAnsi="Times New Roman"/>
          <w:color w:val="auto"/>
          <w:szCs w:val="21"/>
          <w:highlight w:val="none"/>
        </w:rPr>
        <w:t>》的要求开展工作。</w:t>
      </w:r>
    </w:p>
    <w:p w14:paraId="73428E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color w:val="auto"/>
          <w:szCs w:val="21"/>
          <w:highlight w:val="none"/>
        </w:rPr>
      </w:pPr>
      <w:r>
        <w:rPr>
          <w:rFonts w:hint="eastAsia" w:ascii="Times New Roman" w:hAnsi="Times New Roman"/>
          <w:color w:val="auto"/>
          <w:szCs w:val="21"/>
          <w:highlight w:val="none"/>
        </w:rPr>
        <w:t>9.我单位属于非联合体投标。</w:t>
      </w:r>
    </w:p>
    <w:p w14:paraId="3CE0E91B">
      <w:pPr>
        <w:spacing w:line="440" w:lineRule="exact"/>
        <w:ind w:firstLine="2520" w:firstLineChars="1200"/>
        <w:jc w:val="left"/>
        <w:rPr>
          <w:rFonts w:ascii="Times New Roman" w:hAnsi="Times New Roman"/>
          <w:color w:val="auto"/>
          <w:szCs w:val="21"/>
          <w:highlight w:val="none"/>
        </w:rPr>
      </w:pPr>
    </w:p>
    <w:p w14:paraId="398F39B3">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0EF03DE1">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w:t>
      </w:r>
      <w:r>
        <w:rPr>
          <w:rFonts w:hint="eastAsia" w:ascii="Times New Roman" w:hAnsi="Times New Roman"/>
          <w:color w:val="auto"/>
          <w:szCs w:val="21"/>
          <w:highlight w:val="none"/>
        </w:rPr>
        <w:t>签名或盖章</w:t>
      </w:r>
      <w:r>
        <w:rPr>
          <w:rFonts w:ascii="Times New Roman" w:hAnsi="Times New Roman"/>
          <w:color w:val="auto"/>
          <w:szCs w:val="21"/>
          <w:highlight w:val="none"/>
        </w:rPr>
        <w:t>）</w:t>
      </w:r>
    </w:p>
    <w:p w14:paraId="5C388528">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6B8FC75F">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网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0CB8F011">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0825A10F">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33EA2DDD">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362933E5">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14:paraId="7053D953">
      <w:pPr>
        <w:spacing w:line="440" w:lineRule="exact"/>
        <w:rPr>
          <w:rFonts w:ascii="Times New Roman" w:hAnsi="Times New Roman" w:eastAsia="黑体"/>
          <w:color w:val="auto"/>
          <w:sz w:val="20"/>
          <w:highlight w:val="none"/>
        </w:rPr>
      </w:pPr>
      <w:bookmarkStart w:id="978" w:name="_Toc300835209"/>
      <w:bookmarkStart w:id="979" w:name="_Toc17960"/>
      <w:bookmarkStart w:id="980" w:name="_Toc152045787"/>
      <w:bookmarkStart w:id="981" w:name="_Toc144974856"/>
      <w:bookmarkStart w:id="982" w:name="_Toc369531697"/>
      <w:bookmarkStart w:id="983" w:name="_Toc352691661"/>
      <w:bookmarkStart w:id="984" w:name="_Toc361508752"/>
      <w:bookmarkStart w:id="985" w:name="_Toc247527827"/>
      <w:bookmarkStart w:id="986" w:name="_Toc384308375"/>
      <w:bookmarkStart w:id="987" w:name="_Toc152042576"/>
      <w:bookmarkStart w:id="988" w:name="_Toc247514246"/>
    </w:p>
    <w:p w14:paraId="082F4541">
      <w:pPr>
        <w:spacing w:line="440" w:lineRule="exact"/>
        <w:rPr>
          <w:rFonts w:ascii="Times New Roman" w:hAnsi="Times New Roman" w:eastAsia="黑体"/>
          <w:color w:val="auto"/>
          <w:sz w:val="20"/>
          <w:highlight w:val="none"/>
        </w:rPr>
      </w:pPr>
    </w:p>
    <w:p w14:paraId="5040EC71">
      <w:pPr>
        <w:spacing w:line="440" w:lineRule="exact"/>
        <w:rPr>
          <w:rFonts w:ascii="Times New Roman" w:hAnsi="Times New Roman" w:eastAsia="黑体"/>
          <w:color w:val="auto"/>
          <w:sz w:val="20"/>
          <w:highlight w:val="none"/>
        </w:rPr>
      </w:pPr>
    </w:p>
    <w:p w14:paraId="33153868">
      <w:pPr>
        <w:spacing w:line="440" w:lineRule="exact"/>
        <w:rPr>
          <w:rFonts w:ascii="Times New Roman" w:hAnsi="Times New Roman" w:eastAsia="黑体"/>
          <w:color w:val="auto"/>
          <w:sz w:val="20"/>
          <w:highlight w:val="none"/>
        </w:rPr>
      </w:pPr>
    </w:p>
    <w:p w14:paraId="4B7F6369">
      <w:pPr>
        <w:spacing w:line="440" w:lineRule="exact"/>
        <w:rPr>
          <w:rFonts w:ascii="Times New Roman" w:hAnsi="Times New Roman" w:eastAsia="黑体"/>
          <w:color w:val="auto"/>
          <w:sz w:val="20"/>
          <w:highlight w:val="none"/>
        </w:rPr>
      </w:pPr>
    </w:p>
    <w:p w14:paraId="3E6E8452">
      <w:pPr>
        <w:spacing w:line="440" w:lineRule="exact"/>
        <w:rPr>
          <w:rFonts w:ascii="Times New Roman" w:hAnsi="Times New Roman" w:eastAsia="黑体"/>
          <w:color w:val="auto"/>
          <w:sz w:val="20"/>
          <w:highlight w:val="none"/>
        </w:rPr>
      </w:pPr>
    </w:p>
    <w:p w14:paraId="39BEBF44">
      <w:pPr>
        <w:spacing w:line="440" w:lineRule="exact"/>
        <w:rPr>
          <w:rFonts w:ascii="Times New Roman" w:hAnsi="Times New Roman" w:eastAsia="黑体"/>
          <w:color w:val="auto"/>
          <w:sz w:val="20"/>
          <w:highlight w:val="none"/>
        </w:rPr>
      </w:pPr>
    </w:p>
    <w:p w14:paraId="1140E1BB">
      <w:pPr>
        <w:spacing w:line="440" w:lineRule="exact"/>
        <w:rPr>
          <w:rFonts w:ascii="Times New Roman" w:hAnsi="Times New Roman" w:eastAsia="黑体"/>
          <w:color w:val="auto"/>
          <w:sz w:val="20"/>
          <w:highlight w:val="none"/>
        </w:rPr>
      </w:pPr>
    </w:p>
    <w:p w14:paraId="1D0B2AB7">
      <w:pPr>
        <w:spacing w:line="440" w:lineRule="exact"/>
        <w:rPr>
          <w:rFonts w:ascii="Times New Roman" w:hAnsi="Times New Roman" w:eastAsia="黑体"/>
          <w:color w:val="auto"/>
          <w:sz w:val="20"/>
          <w:highlight w:val="none"/>
        </w:rPr>
      </w:pPr>
    </w:p>
    <w:p w14:paraId="4F8421B4">
      <w:pPr>
        <w:spacing w:line="440" w:lineRule="exact"/>
        <w:rPr>
          <w:rFonts w:ascii="Times New Roman" w:hAnsi="Times New Roman" w:eastAsia="黑体"/>
          <w:color w:val="auto"/>
          <w:sz w:val="20"/>
          <w:highlight w:val="none"/>
        </w:rPr>
      </w:pPr>
    </w:p>
    <w:p w14:paraId="238F71AB">
      <w:pPr>
        <w:spacing w:line="440" w:lineRule="exact"/>
        <w:rPr>
          <w:rFonts w:ascii="Times New Roman" w:hAnsi="Times New Roman" w:eastAsia="黑体"/>
          <w:color w:val="auto"/>
          <w:sz w:val="20"/>
          <w:highlight w:val="none"/>
        </w:rPr>
      </w:pPr>
    </w:p>
    <w:p w14:paraId="5AAC8882">
      <w:pPr>
        <w:spacing w:line="440" w:lineRule="exact"/>
        <w:rPr>
          <w:rFonts w:ascii="Times New Roman" w:hAnsi="Times New Roman" w:eastAsia="黑体"/>
          <w:color w:val="auto"/>
          <w:sz w:val="20"/>
          <w:highlight w:val="none"/>
        </w:rPr>
      </w:pPr>
    </w:p>
    <w:p w14:paraId="3156382E">
      <w:pPr>
        <w:spacing w:line="440" w:lineRule="exact"/>
        <w:rPr>
          <w:rFonts w:ascii="Times New Roman" w:hAnsi="Times New Roman" w:eastAsia="黑体"/>
          <w:color w:val="auto"/>
          <w:sz w:val="20"/>
          <w:highlight w:val="none"/>
        </w:rPr>
      </w:pPr>
    </w:p>
    <w:p w14:paraId="20630B0F">
      <w:pPr>
        <w:spacing w:line="440" w:lineRule="exact"/>
        <w:rPr>
          <w:rFonts w:ascii="Times New Roman" w:hAnsi="Times New Roman" w:eastAsia="黑体"/>
          <w:color w:val="auto"/>
          <w:sz w:val="20"/>
          <w:highlight w:val="none"/>
        </w:rPr>
      </w:pPr>
    </w:p>
    <w:p w14:paraId="4FDEACFC">
      <w:pPr>
        <w:spacing w:line="440" w:lineRule="exact"/>
        <w:rPr>
          <w:rFonts w:ascii="Times New Roman" w:hAnsi="Times New Roman" w:eastAsia="黑体"/>
          <w:color w:val="auto"/>
          <w:sz w:val="20"/>
          <w:highlight w:val="none"/>
        </w:rPr>
      </w:pPr>
    </w:p>
    <w:p w14:paraId="28C24859">
      <w:pPr>
        <w:spacing w:line="440" w:lineRule="exact"/>
        <w:rPr>
          <w:rFonts w:ascii="Times New Roman" w:hAnsi="Times New Roman" w:eastAsia="黑体"/>
          <w:color w:val="auto"/>
          <w:sz w:val="20"/>
          <w:highlight w:val="none"/>
        </w:rPr>
      </w:pPr>
    </w:p>
    <w:p w14:paraId="0AFB0086">
      <w:pPr>
        <w:spacing w:line="440" w:lineRule="exact"/>
        <w:rPr>
          <w:rFonts w:ascii="Times New Roman" w:hAnsi="Times New Roman" w:eastAsia="黑体"/>
          <w:color w:val="auto"/>
          <w:sz w:val="20"/>
          <w:highlight w:val="none"/>
        </w:rPr>
      </w:pPr>
    </w:p>
    <w:p w14:paraId="3968C253">
      <w:pPr>
        <w:pStyle w:val="5"/>
        <w:keepNext w:val="0"/>
        <w:keepLines w:val="0"/>
        <w:ind w:firstLine="137"/>
        <w:jc w:val="center"/>
        <w:rPr>
          <w:rFonts w:ascii="Times New Roman" w:hAnsi="Times New Roman"/>
          <w:color w:val="auto"/>
          <w:highlight w:val="none"/>
        </w:rPr>
      </w:pPr>
      <w:bookmarkStart w:id="989" w:name="_Toc370676427"/>
      <w:bookmarkStart w:id="990" w:name="_Toc31792"/>
      <w:bookmarkStart w:id="991" w:name="_Toc385943066"/>
      <w:bookmarkStart w:id="992" w:name="_Toc11424"/>
      <w:bookmarkStart w:id="993" w:name="_Toc12614"/>
      <w:bookmarkStart w:id="994" w:name="_Toc391394112"/>
      <w:bookmarkStart w:id="995" w:name="_Toc482188652"/>
      <w:bookmarkStart w:id="996" w:name="_Toc359594236"/>
      <w:r>
        <w:rPr>
          <w:rFonts w:ascii="Times New Roman" w:hAnsi="Times New Roman"/>
          <w:color w:val="auto"/>
          <w:highlight w:val="none"/>
        </w:rPr>
        <w:t>（二）投标函附录</w:t>
      </w:r>
      <w:bookmarkEnd w:id="989"/>
      <w:bookmarkEnd w:id="990"/>
      <w:bookmarkEnd w:id="991"/>
      <w:bookmarkEnd w:id="992"/>
      <w:bookmarkEnd w:id="993"/>
      <w:bookmarkEnd w:id="994"/>
      <w:bookmarkEnd w:id="995"/>
      <w:bookmarkEnd w:id="996"/>
    </w:p>
    <w:tbl>
      <w:tblPr>
        <w:tblStyle w:val="16"/>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456"/>
        <w:gridCol w:w="5228"/>
      </w:tblGrid>
      <w:tr w14:paraId="78BF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75A3DD75">
            <w:pPr>
              <w:keepNext w:val="0"/>
              <w:keepLines w:val="0"/>
              <w:suppressLineNumbers w:val="0"/>
              <w:spacing w:before="0" w:beforeAutospacing="0" w:after="0" w:afterAutospacing="0"/>
              <w:ind w:left="0" w:right="0"/>
              <w:jc w:val="center"/>
              <w:rPr>
                <w:rFonts w:hint="default" w:ascii="Times New Roman" w:hAnsi="Times New Roman"/>
                <w:b/>
                <w:color w:val="auto"/>
                <w:sz w:val="24"/>
                <w:szCs w:val="28"/>
                <w:highlight w:val="none"/>
              </w:rPr>
            </w:pPr>
            <w:r>
              <w:rPr>
                <w:rFonts w:hint="eastAsia" w:ascii="Times New Roman" w:hAnsi="Times New Roman"/>
                <w:b/>
                <w:color w:val="auto"/>
                <w:sz w:val="24"/>
                <w:szCs w:val="28"/>
                <w:highlight w:val="none"/>
              </w:rPr>
              <w:t>序号</w:t>
            </w:r>
          </w:p>
        </w:tc>
        <w:tc>
          <w:tcPr>
            <w:tcW w:w="2456" w:type="dxa"/>
            <w:tcBorders>
              <w:top w:val="single" w:color="auto" w:sz="4" w:space="0"/>
              <w:left w:val="single" w:color="auto" w:sz="4" w:space="0"/>
              <w:bottom w:val="single" w:color="auto" w:sz="4" w:space="0"/>
              <w:right w:val="single" w:color="auto" w:sz="4" w:space="0"/>
            </w:tcBorders>
            <w:vAlign w:val="center"/>
          </w:tcPr>
          <w:p w14:paraId="4366EDCE">
            <w:pPr>
              <w:keepNext w:val="0"/>
              <w:keepLines w:val="0"/>
              <w:suppressLineNumbers w:val="0"/>
              <w:spacing w:before="0" w:beforeAutospacing="0" w:after="0" w:afterAutospacing="0"/>
              <w:ind w:left="0" w:right="0"/>
              <w:jc w:val="center"/>
              <w:rPr>
                <w:rFonts w:hint="default" w:ascii="Times New Roman" w:hAnsi="Times New Roman"/>
                <w:b/>
                <w:color w:val="auto"/>
                <w:sz w:val="24"/>
                <w:szCs w:val="28"/>
                <w:highlight w:val="none"/>
              </w:rPr>
            </w:pPr>
            <w:r>
              <w:rPr>
                <w:rFonts w:hint="eastAsia" w:ascii="Times New Roman" w:hAnsi="Times New Roman"/>
                <w:b/>
                <w:color w:val="auto"/>
                <w:sz w:val="24"/>
                <w:szCs w:val="28"/>
                <w:highlight w:val="none"/>
              </w:rPr>
              <w:t>条款名称</w:t>
            </w:r>
          </w:p>
        </w:tc>
        <w:tc>
          <w:tcPr>
            <w:tcW w:w="5228" w:type="dxa"/>
            <w:tcBorders>
              <w:top w:val="single" w:color="auto" w:sz="4" w:space="0"/>
              <w:left w:val="single" w:color="auto" w:sz="4" w:space="0"/>
              <w:bottom w:val="single" w:color="auto" w:sz="4" w:space="0"/>
              <w:right w:val="single" w:color="auto" w:sz="4" w:space="0"/>
            </w:tcBorders>
            <w:vAlign w:val="center"/>
          </w:tcPr>
          <w:p w14:paraId="2162CCE6">
            <w:pPr>
              <w:keepNext w:val="0"/>
              <w:keepLines w:val="0"/>
              <w:suppressLineNumbers w:val="0"/>
              <w:spacing w:before="0" w:beforeAutospacing="0" w:after="0" w:afterAutospacing="0"/>
              <w:ind w:left="0" w:right="0"/>
              <w:jc w:val="center"/>
              <w:rPr>
                <w:rFonts w:hint="default" w:ascii="Times New Roman" w:hAnsi="Times New Roman"/>
                <w:b/>
                <w:color w:val="auto"/>
                <w:sz w:val="24"/>
                <w:szCs w:val="28"/>
                <w:highlight w:val="none"/>
              </w:rPr>
            </w:pPr>
            <w:r>
              <w:rPr>
                <w:rFonts w:hint="eastAsia" w:ascii="Times New Roman" w:hAnsi="Times New Roman"/>
                <w:b/>
                <w:color w:val="auto"/>
                <w:sz w:val="24"/>
                <w:szCs w:val="28"/>
                <w:highlight w:val="none"/>
              </w:rPr>
              <w:t>约定内容</w:t>
            </w:r>
          </w:p>
        </w:tc>
      </w:tr>
      <w:tr w14:paraId="07A3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4DB2C0A3">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1</w:t>
            </w:r>
          </w:p>
        </w:tc>
        <w:tc>
          <w:tcPr>
            <w:tcW w:w="2456" w:type="dxa"/>
            <w:tcBorders>
              <w:top w:val="single" w:color="auto" w:sz="4" w:space="0"/>
              <w:left w:val="single" w:color="auto" w:sz="4" w:space="0"/>
              <w:bottom w:val="single" w:color="auto" w:sz="4" w:space="0"/>
              <w:right w:val="single" w:color="auto" w:sz="4" w:space="0"/>
            </w:tcBorders>
            <w:vAlign w:val="center"/>
          </w:tcPr>
          <w:p w14:paraId="777D687A">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总监理工程师</w:t>
            </w:r>
          </w:p>
        </w:tc>
        <w:tc>
          <w:tcPr>
            <w:tcW w:w="5228" w:type="dxa"/>
            <w:tcBorders>
              <w:top w:val="single" w:color="auto" w:sz="4" w:space="0"/>
              <w:left w:val="single" w:color="auto" w:sz="4" w:space="0"/>
              <w:bottom w:val="single" w:color="auto" w:sz="4" w:space="0"/>
              <w:right w:val="single" w:color="auto" w:sz="4" w:space="0"/>
            </w:tcBorders>
            <w:vAlign w:val="center"/>
          </w:tcPr>
          <w:p w14:paraId="5645E190">
            <w:pPr>
              <w:keepNext w:val="0"/>
              <w:keepLines w:val="0"/>
              <w:suppressLineNumbers w:val="0"/>
              <w:spacing w:before="0" w:beforeAutospacing="0" w:after="0" w:afterAutospacing="0" w:line="360" w:lineRule="auto"/>
              <w:ind w:left="0" w:right="0"/>
              <w:jc w:val="left"/>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姓名：</w:t>
            </w:r>
            <w:r>
              <w:rPr>
                <w:rFonts w:hint="default" w:ascii="Times New Roman" w:hAnsi="Times New Roman"/>
                <w:bCs/>
                <w:color w:val="auto"/>
                <w:sz w:val="24"/>
                <w:szCs w:val="28"/>
                <w:highlight w:val="none"/>
              </w:rPr>
              <w:t xml:space="preserve"> </w:t>
            </w:r>
          </w:p>
          <w:p w14:paraId="503DE038">
            <w:pPr>
              <w:keepNext w:val="0"/>
              <w:keepLines w:val="0"/>
              <w:suppressLineNumbers w:val="0"/>
              <w:spacing w:before="0" w:beforeAutospacing="0" w:after="0" w:afterAutospacing="0" w:line="360" w:lineRule="auto"/>
              <w:ind w:left="0" w:right="0"/>
              <w:jc w:val="left"/>
              <w:rPr>
                <w:rFonts w:hint="eastAsia" w:ascii="Times New Roman" w:hAnsi="Times New Roman"/>
                <w:bCs/>
                <w:color w:val="auto"/>
                <w:sz w:val="24"/>
                <w:szCs w:val="28"/>
                <w:highlight w:val="none"/>
              </w:rPr>
            </w:pPr>
            <w:r>
              <w:rPr>
                <w:rFonts w:hint="default" w:ascii="Times New Roman" w:hAnsi="Times New Roman"/>
                <w:bCs/>
                <w:color w:val="auto"/>
                <w:sz w:val="24"/>
                <w:szCs w:val="28"/>
                <w:highlight w:val="none"/>
                <w:lang w:val="en-US"/>
              </w:rPr>
              <w:t>技术职称</w:t>
            </w:r>
            <w:r>
              <w:rPr>
                <w:rFonts w:hint="eastAsia" w:ascii="Times New Roman" w:hAnsi="Times New Roman"/>
                <w:bCs/>
                <w:color w:val="auto"/>
                <w:sz w:val="24"/>
                <w:szCs w:val="28"/>
                <w:highlight w:val="none"/>
              </w:rPr>
              <w:t>：</w:t>
            </w:r>
          </w:p>
          <w:p w14:paraId="6BD53B26">
            <w:pPr>
              <w:pStyle w:val="11"/>
              <w:rPr>
                <w:rFonts w:hint="default"/>
                <w:color w:val="auto"/>
                <w:highlight w:val="none"/>
              </w:rPr>
            </w:pPr>
            <w:r>
              <w:rPr>
                <w:rFonts w:hint="default" w:ascii="Times New Roman" w:hAnsi="Times New Roman" w:eastAsia="宋体"/>
                <w:bCs/>
                <w:color w:val="auto"/>
                <w:sz w:val="24"/>
                <w:szCs w:val="28"/>
                <w:highlight w:val="none"/>
              </w:rPr>
              <w:t>注册证号：</w:t>
            </w:r>
          </w:p>
        </w:tc>
      </w:tr>
      <w:tr w14:paraId="08F7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582AD3C1">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2</w:t>
            </w:r>
          </w:p>
        </w:tc>
        <w:tc>
          <w:tcPr>
            <w:tcW w:w="2456" w:type="dxa"/>
            <w:tcBorders>
              <w:top w:val="single" w:color="auto" w:sz="4" w:space="0"/>
              <w:left w:val="single" w:color="auto" w:sz="4" w:space="0"/>
              <w:bottom w:val="single" w:color="auto" w:sz="4" w:space="0"/>
              <w:right w:val="single" w:color="auto" w:sz="4" w:space="0"/>
            </w:tcBorders>
            <w:vAlign w:val="center"/>
          </w:tcPr>
          <w:p w14:paraId="0C7CF4CE">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服务期限</w:t>
            </w:r>
          </w:p>
        </w:tc>
        <w:tc>
          <w:tcPr>
            <w:tcW w:w="5228" w:type="dxa"/>
            <w:tcBorders>
              <w:top w:val="single" w:color="auto" w:sz="4" w:space="0"/>
              <w:left w:val="single" w:color="auto" w:sz="4" w:space="0"/>
              <w:bottom w:val="single" w:color="auto" w:sz="4" w:space="0"/>
              <w:right w:val="single" w:color="auto" w:sz="4" w:space="0"/>
            </w:tcBorders>
            <w:vAlign w:val="center"/>
          </w:tcPr>
          <w:p w14:paraId="61253438">
            <w:pPr>
              <w:keepNext w:val="0"/>
              <w:keepLines w:val="0"/>
              <w:suppressLineNumbers w:val="0"/>
              <w:spacing w:before="0" w:beforeAutospacing="0" w:after="0" w:afterAutospacing="0" w:line="360" w:lineRule="auto"/>
              <w:ind w:left="0" w:right="0"/>
              <w:jc w:val="left"/>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按招标文件要求</w:t>
            </w:r>
          </w:p>
        </w:tc>
      </w:tr>
      <w:tr w14:paraId="23B9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7E109221">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default" w:ascii="Times New Roman" w:hAnsi="Times New Roman"/>
                <w:bCs/>
                <w:color w:val="auto"/>
                <w:sz w:val="24"/>
                <w:szCs w:val="28"/>
                <w:highlight w:val="none"/>
              </w:rPr>
              <w:t>3</w:t>
            </w:r>
          </w:p>
        </w:tc>
        <w:tc>
          <w:tcPr>
            <w:tcW w:w="2456" w:type="dxa"/>
            <w:tcBorders>
              <w:top w:val="single" w:color="auto" w:sz="4" w:space="0"/>
              <w:left w:val="single" w:color="auto" w:sz="4" w:space="0"/>
              <w:bottom w:val="single" w:color="auto" w:sz="4" w:space="0"/>
              <w:right w:val="single" w:color="auto" w:sz="4" w:space="0"/>
            </w:tcBorders>
            <w:vAlign w:val="center"/>
          </w:tcPr>
          <w:p w14:paraId="655BC1C0">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合同价款确定方式</w:t>
            </w:r>
          </w:p>
        </w:tc>
        <w:tc>
          <w:tcPr>
            <w:tcW w:w="5228" w:type="dxa"/>
            <w:tcBorders>
              <w:top w:val="single" w:color="auto" w:sz="4" w:space="0"/>
              <w:left w:val="single" w:color="auto" w:sz="4" w:space="0"/>
              <w:bottom w:val="single" w:color="auto" w:sz="4" w:space="0"/>
              <w:right w:val="single" w:color="auto" w:sz="4" w:space="0"/>
            </w:tcBorders>
            <w:vAlign w:val="center"/>
          </w:tcPr>
          <w:p w14:paraId="48CCF423">
            <w:pPr>
              <w:keepNext w:val="0"/>
              <w:keepLines w:val="0"/>
              <w:suppressLineNumbers w:val="0"/>
              <w:spacing w:before="0" w:beforeAutospacing="0" w:after="0" w:afterAutospacing="0" w:line="360" w:lineRule="auto"/>
              <w:ind w:left="0" w:right="0"/>
              <w:jc w:val="left"/>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按合同约定</w:t>
            </w:r>
          </w:p>
        </w:tc>
      </w:tr>
      <w:tr w14:paraId="4660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604DA011">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4</w:t>
            </w:r>
          </w:p>
        </w:tc>
        <w:tc>
          <w:tcPr>
            <w:tcW w:w="2456" w:type="dxa"/>
            <w:tcBorders>
              <w:top w:val="single" w:color="auto" w:sz="4" w:space="0"/>
              <w:left w:val="single" w:color="auto" w:sz="4" w:space="0"/>
              <w:bottom w:val="single" w:color="auto" w:sz="4" w:space="0"/>
              <w:right w:val="single" w:color="auto" w:sz="4" w:space="0"/>
            </w:tcBorders>
            <w:vAlign w:val="center"/>
          </w:tcPr>
          <w:p w14:paraId="19B7D094">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default" w:ascii="Times New Roman" w:hAnsi="Times New Roman"/>
                <w:bCs/>
                <w:color w:val="auto"/>
                <w:sz w:val="24"/>
                <w:szCs w:val="28"/>
                <w:highlight w:val="none"/>
              </w:rPr>
              <w:t>质量</w:t>
            </w:r>
            <w:r>
              <w:rPr>
                <w:rFonts w:hint="eastAsia" w:ascii="Times New Roman" w:hAnsi="Times New Roman"/>
                <w:bCs/>
                <w:color w:val="auto"/>
                <w:sz w:val="24"/>
                <w:szCs w:val="28"/>
                <w:highlight w:val="none"/>
              </w:rPr>
              <w:t>标准</w:t>
            </w:r>
          </w:p>
        </w:tc>
        <w:tc>
          <w:tcPr>
            <w:tcW w:w="5228" w:type="dxa"/>
            <w:tcBorders>
              <w:top w:val="single" w:color="auto" w:sz="4" w:space="0"/>
              <w:left w:val="single" w:color="auto" w:sz="4" w:space="0"/>
              <w:bottom w:val="single" w:color="auto" w:sz="4" w:space="0"/>
              <w:right w:val="single" w:color="auto" w:sz="4" w:space="0"/>
            </w:tcBorders>
            <w:vAlign w:val="center"/>
          </w:tcPr>
          <w:p w14:paraId="77504DE7">
            <w:pPr>
              <w:keepNext w:val="0"/>
              <w:keepLines w:val="0"/>
              <w:suppressLineNumbers w:val="0"/>
              <w:spacing w:before="0" w:beforeAutospacing="0" w:after="0" w:afterAutospacing="0" w:line="360" w:lineRule="auto"/>
              <w:ind w:left="0" w:right="0"/>
              <w:jc w:val="left"/>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按招标文件要求</w:t>
            </w:r>
          </w:p>
        </w:tc>
      </w:tr>
      <w:tr w14:paraId="6C25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6B3821D0">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5</w:t>
            </w:r>
          </w:p>
        </w:tc>
        <w:tc>
          <w:tcPr>
            <w:tcW w:w="2456" w:type="dxa"/>
            <w:tcBorders>
              <w:top w:val="single" w:color="auto" w:sz="4" w:space="0"/>
              <w:left w:val="single" w:color="auto" w:sz="4" w:space="0"/>
              <w:bottom w:val="single" w:color="auto" w:sz="4" w:space="0"/>
              <w:right w:val="single" w:color="auto" w:sz="4" w:space="0"/>
            </w:tcBorders>
            <w:vAlign w:val="center"/>
          </w:tcPr>
          <w:p w14:paraId="01CADB31">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投标报价（含税）</w:t>
            </w:r>
          </w:p>
        </w:tc>
        <w:tc>
          <w:tcPr>
            <w:tcW w:w="5228" w:type="dxa"/>
            <w:tcBorders>
              <w:top w:val="single" w:color="auto" w:sz="4" w:space="0"/>
              <w:left w:val="single" w:color="auto" w:sz="4" w:space="0"/>
              <w:bottom w:val="single" w:color="auto" w:sz="4" w:space="0"/>
              <w:right w:val="single" w:color="auto" w:sz="4" w:space="0"/>
            </w:tcBorders>
            <w:vAlign w:val="center"/>
          </w:tcPr>
          <w:p w14:paraId="1D61C0BF">
            <w:pPr>
              <w:keepNext w:val="0"/>
              <w:keepLines w:val="0"/>
              <w:suppressLineNumbers w:val="0"/>
              <w:spacing w:before="0" w:beforeAutospacing="0" w:after="0" w:afterAutospacing="0" w:line="360" w:lineRule="auto"/>
              <w:ind w:left="0" w:right="0" w:firstLine="0" w:firstLineChars="0"/>
              <w:jc w:val="both"/>
              <w:rPr>
                <w:rFonts w:hint="default" w:ascii="Times New Roman" w:hAnsi="Times New Roman"/>
                <w:bCs/>
                <w:color w:val="auto"/>
                <w:sz w:val="24"/>
                <w:szCs w:val="28"/>
                <w:highlight w:val="none"/>
                <w:u w:val="single"/>
              </w:rPr>
            </w:pPr>
            <w:r>
              <w:rPr>
                <w:rFonts w:hint="eastAsia" w:ascii="Times New Roman" w:hAnsi="Times New Roman"/>
                <w:bCs/>
                <w:color w:val="auto"/>
                <w:sz w:val="24"/>
                <w:szCs w:val="28"/>
                <w:highlight w:val="none"/>
              </w:rPr>
              <w:t>投标报价：（大写）</w:t>
            </w:r>
            <w:r>
              <w:rPr>
                <w:rFonts w:hint="eastAsia" w:ascii="Times New Roman" w:hAnsi="Times New Roman"/>
                <w:bCs/>
                <w:color w:val="auto"/>
                <w:sz w:val="24"/>
                <w:szCs w:val="28"/>
                <w:highlight w:val="none"/>
                <w:u w:val="single"/>
              </w:rPr>
              <w:t xml:space="preserve">              </w:t>
            </w:r>
          </w:p>
          <w:p w14:paraId="2316F380">
            <w:pPr>
              <w:keepNext w:val="0"/>
              <w:keepLines w:val="0"/>
              <w:suppressLineNumbers w:val="0"/>
              <w:spacing w:before="0" w:beforeAutospacing="0" w:after="0" w:afterAutospacing="0" w:line="360" w:lineRule="auto"/>
              <w:ind w:left="0" w:right="0" w:firstLine="1200" w:firstLineChars="500"/>
              <w:jc w:val="left"/>
              <w:rPr>
                <w:rFonts w:hint="default" w:ascii="Times New Roman" w:hAnsi="Times New Roman"/>
                <w:bCs/>
                <w:color w:val="auto"/>
                <w:sz w:val="24"/>
                <w:szCs w:val="28"/>
                <w:highlight w:val="none"/>
                <w:u w:val="single"/>
              </w:rPr>
            </w:pPr>
            <w:r>
              <w:rPr>
                <w:rFonts w:hint="eastAsia" w:ascii="Times New Roman" w:hAnsi="Times New Roman"/>
                <w:bCs/>
                <w:color w:val="auto"/>
                <w:sz w:val="24"/>
                <w:szCs w:val="28"/>
                <w:highlight w:val="none"/>
              </w:rPr>
              <w:t xml:space="preserve">（小写）¥ </w:t>
            </w:r>
            <w:r>
              <w:rPr>
                <w:rFonts w:hint="eastAsia" w:ascii="Times New Roman" w:hAnsi="Times New Roman"/>
                <w:bCs/>
                <w:color w:val="auto"/>
                <w:sz w:val="24"/>
                <w:szCs w:val="28"/>
                <w:highlight w:val="none"/>
                <w:u w:val="single"/>
              </w:rPr>
              <w:t xml:space="preserve">              </w:t>
            </w:r>
          </w:p>
        </w:tc>
      </w:tr>
      <w:tr w14:paraId="3A35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40995364">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6</w:t>
            </w:r>
          </w:p>
        </w:tc>
        <w:tc>
          <w:tcPr>
            <w:tcW w:w="2456" w:type="dxa"/>
            <w:tcBorders>
              <w:top w:val="single" w:color="auto" w:sz="4" w:space="0"/>
              <w:left w:val="single" w:color="auto" w:sz="4" w:space="0"/>
              <w:bottom w:val="single" w:color="auto" w:sz="4" w:space="0"/>
              <w:right w:val="single" w:color="auto" w:sz="4" w:space="0"/>
            </w:tcBorders>
            <w:vAlign w:val="center"/>
          </w:tcPr>
          <w:p w14:paraId="2DADE043">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投标有效期</w:t>
            </w:r>
          </w:p>
        </w:tc>
        <w:tc>
          <w:tcPr>
            <w:tcW w:w="5228" w:type="dxa"/>
            <w:tcBorders>
              <w:top w:val="single" w:color="auto" w:sz="4" w:space="0"/>
              <w:left w:val="single" w:color="auto" w:sz="4" w:space="0"/>
              <w:bottom w:val="single" w:color="auto" w:sz="4" w:space="0"/>
              <w:right w:val="single" w:color="auto" w:sz="4" w:space="0"/>
            </w:tcBorders>
            <w:vAlign w:val="center"/>
          </w:tcPr>
          <w:p w14:paraId="046A51AF">
            <w:pPr>
              <w:keepNext w:val="0"/>
              <w:keepLines w:val="0"/>
              <w:suppressLineNumbers w:val="0"/>
              <w:spacing w:before="0" w:beforeAutospacing="0" w:after="0" w:afterAutospacing="0" w:line="360" w:lineRule="auto"/>
              <w:ind w:left="0" w:right="0"/>
              <w:jc w:val="left"/>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90日历天（从投标截止之日算起）</w:t>
            </w:r>
          </w:p>
        </w:tc>
      </w:tr>
      <w:tr w14:paraId="3D4A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35B3B87B">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7</w:t>
            </w:r>
          </w:p>
        </w:tc>
        <w:tc>
          <w:tcPr>
            <w:tcW w:w="2456" w:type="dxa"/>
            <w:tcBorders>
              <w:top w:val="single" w:color="auto" w:sz="4" w:space="0"/>
              <w:left w:val="single" w:color="auto" w:sz="4" w:space="0"/>
              <w:bottom w:val="single" w:color="auto" w:sz="4" w:space="0"/>
              <w:right w:val="single" w:color="auto" w:sz="4" w:space="0"/>
            </w:tcBorders>
            <w:vAlign w:val="center"/>
          </w:tcPr>
          <w:p w14:paraId="11F3C121">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法 人 营 业</w:t>
            </w:r>
          </w:p>
          <w:p w14:paraId="6BC59181">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执 照 证 号</w:t>
            </w:r>
          </w:p>
        </w:tc>
        <w:tc>
          <w:tcPr>
            <w:tcW w:w="5228" w:type="dxa"/>
            <w:tcBorders>
              <w:top w:val="single" w:color="auto" w:sz="4" w:space="0"/>
              <w:left w:val="single" w:color="auto" w:sz="4" w:space="0"/>
              <w:bottom w:val="single" w:color="auto" w:sz="4" w:space="0"/>
              <w:right w:val="single" w:color="auto" w:sz="4" w:space="0"/>
            </w:tcBorders>
            <w:vAlign w:val="center"/>
          </w:tcPr>
          <w:p w14:paraId="39888E59">
            <w:pPr>
              <w:keepNext w:val="0"/>
              <w:keepLines w:val="0"/>
              <w:suppressLineNumbers w:val="0"/>
              <w:spacing w:before="0" w:beforeAutospacing="0" w:after="0" w:afterAutospacing="0" w:line="360" w:lineRule="auto"/>
              <w:ind w:left="0" w:right="0"/>
              <w:rPr>
                <w:rFonts w:hint="default" w:ascii="Times New Roman" w:hAnsi="Times New Roman"/>
                <w:bCs/>
                <w:color w:val="auto"/>
                <w:sz w:val="24"/>
                <w:szCs w:val="28"/>
                <w:highlight w:val="none"/>
              </w:rPr>
            </w:pPr>
          </w:p>
        </w:tc>
      </w:tr>
      <w:tr w14:paraId="3B19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45CEAA5D">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8</w:t>
            </w:r>
          </w:p>
        </w:tc>
        <w:tc>
          <w:tcPr>
            <w:tcW w:w="2456" w:type="dxa"/>
            <w:tcBorders>
              <w:top w:val="single" w:color="auto" w:sz="4" w:space="0"/>
              <w:left w:val="single" w:color="auto" w:sz="4" w:space="0"/>
              <w:bottom w:val="single" w:color="auto" w:sz="4" w:space="0"/>
              <w:right w:val="single" w:color="auto" w:sz="4" w:space="0"/>
            </w:tcBorders>
            <w:vAlign w:val="center"/>
          </w:tcPr>
          <w:p w14:paraId="154057E3">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资 质 等 级</w:t>
            </w:r>
          </w:p>
          <w:p w14:paraId="5E71AEA7">
            <w:pPr>
              <w:keepNext w:val="0"/>
              <w:keepLines w:val="0"/>
              <w:suppressLineNumbers w:val="0"/>
              <w:spacing w:before="0" w:beforeAutospacing="0" w:after="0" w:afterAutospacing="0" w:line="360" w:lineRule="auto"/>
              <w:ind w:left="0" w:right="0"/>
              <w:jc w:val="center"/>
              <w:rPr>
                <w:rFonts w:hint="default" w:ascii="Times New Roman" w:hAnsi="Times New Roman"/>
                <w:bCs/>
                <w:color w:val="auto"/>
                <w:sz w:val="24"/>
                <w:szCs w:val="28"/>
                <w:highlight w:val="none"/>
              </w:rPr>
            </w:pPr>
            <w:r>
              <w:rPr>
                <w:rFonts w:hint="eastAsia" w:ascii="Times New Roman" w:hAnsi="Times New Roman"/>
                <w:bCs/>
                <w:color w:val="auto"/>
                <w:sz w:val="24"/>
                <w:szCs w:val="28"/>
                <w:highlight w:val="none"/>
              </w:rPr>
              <w:t>及 证 书 号</w:t>
            </w:r>
          </w:p>
        </w:tc>
        <w:tc>
          <w:tcPr>
            <w:tcW w:w="5228" w:type="dxa"/>
            <w:tcBorders>
              <w:top w:val="single" w:color="auto" w:sz="4" w:space="0"/>
              <w:left w:val="single" w:color="auto" w:sz="4" w:space="0"/>
              <w:bottom w:val="single" w:color="auto" w:sz="4" w:space="0"/>
              <w:right w:val="single" w:color="auto" w:sz="4" w:space="0"/>
            </w:tcBorders>
            <w:vAlign w:val="center"/>
          </w:tcPr>
          <w:p w14:paraId="65E45733">
            <w:pPr>
              <w:spacing w:line="276" w:lineRule="auto"/>
              <w:rPr>
                <w:rFonts w:ascii="Times New Roman" w:hAnsi="Times New Roman"/>
                <w:color w:val="auto"/>
                <w:sz w:val="24"/>
                <w:highlight w:val="none"/>
              </w:rPr>
            </w:pPr>
            <w:r>
              <w:rPr>
                <w:rFonts w:hint="eastAsia" w:ascii="Times New Roman" w:hAnsi="Times New Roman"/>
                <w:color w:val="auto"/>
                <w:sz w:val="24"/>
                <w:highlight w:val="none"/>
              </w:rPr>
              <w:t>资质等级：</w:t>
            </w:r>
          </w:p>
          <w:p w14:paraId="3E973B7D">
            <w:pPr>
              <w:keepNext w:val="0"/>
              <w:keepLines w:val="0"/>
              <w:suppressLineNumbers w:val="0"/>
              <w:spacing w:before="0" w:beforeAutospacing="0" w:after="0" w:afterAutospacing="0" w:line="360" w:lineRule="auto"/>
              <w:ind w:left="0" w:right="0"/>
              <w:rPr>
                <w:rFonts w:hint="default" w:ascii="Times New Roman" w:hAnsi="Times New Roman"/>
                <w:bCs/>
                <w:color w:val="auto"/>
                <w:sz w:val="24"/>
                <w:szCs w:val="28"/>
                <w:highlight w:val="none"/>
              </w:rPr>
            </w:pPr>
            <w:r>
              <w:rPr>
                <w:rFonts w:hint="eastAsia" w:ascii="Times New Roman" w:hAnsi="Times New Roman"/>
                <w:color w:val="auto"/>
                <w:sz w:val="24"/>
                <w:highlight w:val="none"/>
              </w:rPr>
              <w:t>资质证书号：</w:t>
            </w:r>
          </w:p>
        </w:tc>
      </w:tr>
    </w:tbl>
    <w:p w14:paraId="6F14A17F">
      <w:pPr>
        <w:spacing w:line="440" w:lineRule="exact"/>
        <w:ind w:firstLine="2520" w:firstLineChars="1200"/>
        <w:jc w:val="left"/>
        <w:rPr>
          <w:rFonts w:ascii="Times New Roman" w:hAnsi="Times New Roman"/>
          <w:color w:val="auto"/>
          <w:szCs w:val="21"/>
          <w:highlight w:val="none"/>
        </w:rPr>
      </w:pPr>
    </w:p>
    <w:p w14:paraId="72CCD1BF">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2AB6E4A9">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szCs w:val="21"/>
          <w:highlight w:val="none"/>
        </w:rPr>
        <w:t>）</w:t>
      </w:r>
    </w:p>
    <w:p w14:paraId="66DC347F">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14:paraId="6508D3C6">
      <w:pPr>
        <w:pStyle w:val="10"/>
        <w:rPr>
          <w:rFonts w:ascii="Times New Roman" w:hAnsi="Times New Roman"/>
          <w:color w:val="auto"/>
          <w:szCs w:val="21"/>
          <w:highlight w:val="none"/>
        </w:rPr>
      </w:pPr>
    </w:p>
    <w:p w14:paraId="206E32B9">
      <w:pPr>
        <w:rPr>
          <w:rFonts w:ascii="Times New Roman" w:hAnsi="Times New Roman"/>
          <w:color w:val="auto"/>
          <w:szCs w:val="21"/>
          <w:highlight w:val="none"/>
        </w:rPr>
      </w:pPr>
    </w:p>
    <w:p w14:paraId="57C55137">
      <w:pPr>
        <w:pStyle w:val="10"/>
        <w:rPr>
          <w:rFonts w:ascii="Times New Roman" w:hAnsi="Times New Roman"/>
          <w:color w:val="auto"/>
          <w:szCs w:val="21"/>
          <w:highlight w:val="none"/>
        </w:rPr>
      </w:pPr>
    </w:p>
    <w:p w14:paraId="1229AA31">
      <w:pPr>
        <w:rPr>
          <w:rFonts w:ascii="Times New Roman" w:hAnsi="Times New Roman"/>
          <w:color w:val="auto"/>
          <w:szCs w:val="21"/>
          <w:highlight w:val="none"/>
        </w:rPr>
      </w:pPr>
    </w:p>
    <w:p w14:paraId="340A3421">
      <w:pPr>
        <w:pStyle w:val="10"/>
        <w:rPr>
          <w:rFonts w:ascii="Times New Roman" w:hAnsi="Times New Roman"/>
          <w:color w:val="auto"/>
          <w:szCs w:val="21"/>
          <w:highlight w:val="none"/>
        </w:rPr>
      </w:pPr>
    </w:p>
    <w:p w14:paraId="13195FAF">
      <w:pPr>
        <w:rPr>
          <w:color w:val="auto"/>
          <w:highlight w:val="none"/>
        </w:rPr>
      </w:pPr>
    </w:p>
    <w:p w14:paraId="43ED6682">
      <w:pPr>
        <w:rPr>
          <w:rFonts w:ascii="Times New Roman" w:hAnsi="Times New Roman"/>
          <w:color w:val="auto"/>
          <w:highlight w:val="none"/>
        </w:rPr>
      </w:pPr>
      <w:bookmarkStart w:id="997" w:name="_Toc9317"/>
      <w:bookmarkStart w:id="998" w:name="_Toc12745"/>
      <w:r>
        <w:rPr>
          <w:rFonts w:ascii="Times New Roman" w:hAnsi="Times New Roman"/>
          <w:color w:val="auto"/>
          <w:highlight w:val="none"/>
        </w:rPr>
        <w:br w:type="page"/>
      </w:r>
    </w:p>
    <w:p w14:paraId="2F86EA96">
      <w:pPr>
        <w:pStyle w:val="4"/>
        <w:keepNext w:val="0"/>
        <w:keepLines w:val="0"/>
        <w:jc w:val="center"/>
        <w:rPr>
          <w:rFonts w:ascii="Times New Roman" w:hAnsi="Times New Roman"/>
          <w:color w:val="auto"/>
          <w:sz w:val="20"/>
          <w:highlight w:val="none"/>
        </w:rPr>
      </w:pPr>
      <w:r>
        <w:rPr>
          <w:rFonts w:ascii="Times New Roman" w:hAnsi="Times New Roman"/>
          <w:color w:val="auto"/>
          <w:highlight w:val="none"/>
        </w:rPr>
        <w:t>二</w:t>
      </w:r>
      <w:bookmarkEnd w:id="978"/>
      <w:bookmarkEnd w:id="979"/>
      <w:bookmarkEnd w:id="980"/>
      <w:bookmarkEnd w:id="981"/>
      <w:bookmarkEnd w:id="982"/>
      <w:bookmarkEnd w:id="983"/>
      <w:bookmarkEnd w:id="984"/>
      <w:bookmarkEnd w:id="985"/>
      <w:bookmarkEnd w:id="986"/>
      <w:bookmarkEnd w:id="987"/>
      <w:bookmarkEnd w:id="988"/>
      <w:r>
        <w:rPr>
          <w:rFonts w:ascii="Times New Roman" w:hAnsi="Times New Roman"/>
          <w:color w:val="auto"/>
          <w:highlight w:val="none"/>
        </w:rPr>
        <w:t>、法定代表人身份证明</w:t>
      </w:r>
      <w:r>
        <w:rPr>
          <w:rFonts w:hint="eastAsia" w:ascii="Times New Roman" w:hAnsi="Times New Roman"/>
          <w:color w:val="auto"/>
          <w:highlight w:val="none"/>
          <w:lang w:eastAsia="zh-CN"/>
        </w:rPr>
        <w:t>、</w:t>
      </w:r>
      <w:r>
        <w:rPr>
          <w:rFonts w:hint="eastAsia" w:ascii="Times New Roman" w:hAnsi="Times New Roman"/>
          <w:color w:val="auto"/>
          <w:highlight w:val="none"/>
        </w:rPr>
        <w:t>授权委托书（格式可自定）</w:t>
      </w:r>
      <w:bookmarkEnd w:id="997"/>
      <w:bookmarkEnd w:id="998"/>
    </w:p>
    <w:p w14:paraId="4D8D377F">
      <w:pPr>
        <w:spacing w:line="440" w:lineRule="exact"/>
        <w:jc w:val="center"/>
        <w:rPr>
          <w:rFonts w:ascii="宋体" w:hAnsi="宋体"/>
          <w:b/>
          <w:color w:val="auto"/>
          <w:sz w:val="28"/>
          <w:szCs w:val="28"/>
          <w:highlight w:val="none"/>
        </w:rPr>
      </w:pPr>
    </w:p>
    <w:p w14:paraId="2BC671D4">
      <w:pPr>
        <w:spacing w:line="440" w:lineRule="exact"/>
        <w:jc w:val="center"/>
        <w:rPr>
          <w:rFonts w:ascii="宋体" w:hAnsi="宋体"/>
          <w:b/>
          <w:color w:val="auto"/>
          <w:sz w:val="28"/>
          <w:szCs w:val="28"/>
          <w:highlight w:val="none"/>
        </w:rPr>
      </w:pPr>
      <w:r>
        <w:rPr>
          <w:rFonts w:hint="eastAsia" w:ascii="宋体" w:hAnsi="宋体"/>
          <w:b/>
          <w:color w:val="auto"/>
          <w:sz w:val="28"/>
          <w:szCs w:val="28"/>
          <w:highlight w:val="none"/>
        </w:rPr>
        <w:t>法定代表人身份证明</w:t>
      </w:r>
    </w:p>
    <w:p w14:paraId="3556CB10">
      <w:pPr>
        <w:pStyle w:val="14"/>
        <w:rPr>
          <w:color w:val="auto"/>
          <w:highlight w:val="none"/>
        </w:rPr>
      </w:pPr>
    </w:p>
    <w:p w14:paraId="3A5074B0">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投标人名称：</w:t>
      </w:r>
      <w:r>
        <w:rPr>
          <w:rFonts w:ascii="Times New Roman" w:hAnsi="Times New Roman"/>
          <w:color w:val="auto"/>
          <w:sz w:val="24"/>
          <w:szCs w:val="24"/>
          <w:highlight w:val="none"/>
          <w:u w:val="single"/>
        </w:rPr>
        <w:t xml:space="preserve">                        </w:t>
      </w:r>
    </w:p>
    <w:p w14:paraId="44C4763B">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姓名：</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性别：</w:t>
      </w:r>
      <w:bookmarkStart w:id="999" w:name="_Toc27897"/>
      <w:bookmarkStart w:id="1000" w:name="_Toc352691662"/>
      <w:bookmarkStart w:id="1001" w:name="_Toc369531698"/>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bookmarkEnd w:id="999"/>
      <w:bookmarkEnd w:id="1000"/>
      <w:bookmarkEnd w:id="1001"/>
      <w:r>
        <w:rPr>
          <w:rFonts w:ascii="Times New Roman" w:hAnsi="Times New Roman"/>
          <w:color w:val="auto"/>
          <w:sz w:val="24"/>
          <w:szCs w:val="24"/>
          <w:highlight w:val="none"/>
        </w:rPr>
        <w:t>龄</w:t>
      </w:r>
      <w:bookmarkStart w:id="1002" w:name="_Toc15573"/>
      <w:bookmarkStart w:id="1003" w:name="_Toc144974858"/>
      <w:bookmarkStart w:id="1004" w:name="_Toc369531699"/>
      <w:bookmarkStart w:id="1005" w:name="_Toc384308377"/>
      <w:bookmarkStart w:id="1006" w:name="_Toc247514248"/>
      <w:bookmarkStart w:id="1007" w:name="_Toc361508754"/>
      <w:bookmarkStart w:id="1008" w:name="_Toc300835211"/>
      <w:bookmarkStart w:id="1009" w:name="_Toc352691663"/>
      <w:bookmarkStart w:id="1010" w:name="_Toc152042578"/>
      <w:bookmarkStart w:id="1011" w:name="_Toc152045789"/>
      <w:bookmarkStart w:id="1012" w:name="_Toc247527829"/>
      <w:r>
        <w:rPr>
          <w:rFonts w:ascii="Times New Roman" w:hAnsi="Times New Roman"/>
          <w:color w:val="auto"/>
          <w:sz w:val="24"/>
          <w:szCs w:val="24"/>
          <w:highlight w:val="none"/>
        </w:rPr>
        <w:t>：</w:t>
      </w:r>
      <w:bookmarkEnd w:id="1002"/>
      <w:bookmarkEnd w:id="1003"/>
      <w:bookmarkEnd w:id="1004"/>
      <w:bookmarkEnd w:id="1005"/>
      <w:bookmarkEnd w:id="1006"/>
      <w:bookmarkEnd w:id="1007"/>
      <w:bookmarkEnd w:id="1008"/>
      <w:bookmarkEnd w:id="1009"/>
      <w:bookmarkEnd w:id="1010"/>
      <w:bookmarkEnd w:id="1011"/>
      <w:bookmarkEnd w:id="1012"/>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职务：</w:t>
      </w:r>
      <w:r>
        <w:rPr>
          <w:rFonts w:ascii="Times New Roman" w:hAnsi="Times New Roman"/>
          <w:color w:val="auto"/>
          <w:sz w:val="24"/>
          <w:szCs w:val="24"/>
          <w:highlight w:val="none"/>
          <w:u w:val="single"/>
        </w:rPr>
        <w:t xml:space="preserve">        </w:t>
      </w:r>
    </w:p>
    <w:p w14:paraId="5BB4187D">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系</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（投标人名称）的法定代表人。</w:t>
      </w:r>
    </w:p>
    <w:p w14:paraId="62000258">
      <w:pPr>
        <w:spacing w:line="44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特此证明。</w:t>
      </w:r>
    </w:p>
    <w:p w14:paraId="149FB9C7">
      <w:pPr>
        <w:spacing w:line="440" w:lineRule="exact"/>
        <w:rPr>
          <w:rFonts w:ascii="Times New Roman" w:hAnsi="Times New Roman"/>
          <w:color w:val="auto"/>
          <w:sz w:val="24"/>
          <w:szCs w:val="24"/>
          <w:highlight w:val="none"/>
        </w:rPr>
      </w:pPr>
    </w:p>
    <w:p w14:paraId="597CED20">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附：法定代表人身份证</w:t>
      </w:r>
      <w:r>
        <w:rPr>
          <w:rFonts w:hint="eastAsia" w:ascii="Times New Roman" w:hAnsi="Times New Roman"/>
          <w:color w:val="auto"/>
          <w:sz w:val="24"/>
          <w:szCs w:val="24"/>
          <w:highlight w:val="none"/>
        </w:rPr>
        <w:t>扫描件</w:t>
      </w:r>
      <w:r>
        <w:rPr>
          <w:rFonts w:ascii="Times New Roman" w:hAnsi="Times New Roman"/>
          <w:color w:val="auto"/>
          <w:sz w:val="24"/>
          <w:szCs w:val="24"/>
          <w:highlight w:val="none"/>
        </w:rPr>
        <w:t>。</w:t>
      </w:r>
    </w:p>
    <w:p w14:paraId="0A8110E0">
      <w:pPr>
        <w:spacing w:line="440" w:lineRule="exact"/>
        <w:rPr>
          <w:rFonts w:ascii="Times New Roman" w:hAnsi="Times New Roman"/>
          <w:color w:val="auto"/>
          <w:sz w:val="24"/>
          <w:szCs w:val="24"/>
          <w:highlight w:val="none"/>
        </w:rPr>
      </w:pPr>
    </w:p>
    <w:p w14:paraId="727ECF7B">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注：本身份证明需由投标人加盖单位公章。</w:t>
      </w:r>
    </w:p>
    <w:p w14:paraId="5E732E40">
      <w:pPr>
        <w:spacing w:line="440" w:lineRule="exact"/>
        <w:rPr>
          <w:rFonts w:ascii="Times New Roman" w:hAnsi="Times New Roman"/>
          <w:color w:val="auto"/>
          <w:sz w:val="24"/>
          <w:szCs w:val="24"/>
          <w:highlight w:val="none"/>
        </w:rPr>
      </w:pPr>
    </w:p>
    <w:p w14:paraId="281224FB">
      <w:pPr>
        <w:spacing w:line="440" w:lineRule="exact"/>
        <w:rPr>
          <w:rFonts w:ascii="Times New Roman" w:hAnsi="Times New Roman"/>
          <w:color w:val="auto"/>
          <w:sz w:val="24"/>
          <w:szCs w:val="24"/>
          <w:highlight w:val="none"/>
        </w:rPr>
      </w:pPr>
    </w:p>
    <w:p w14:paraId="64460EC4">
      <w:pPr>
        <w:spacing w:line="44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 xml:space="preserve">                              投标人</w:t>
      </w:r>
      <w:r>
        <w:rPr>
          <w:rFonts w:hint="eastAsia" w:ascii="Times New Roman" w:hAnsi="Times New Roman"/>
          <w:color w:val="auto"/>
          <w:sz w:val="24"/>
          <w:szCs w:val="24"/>
          <w:highlight w:val="none"/>
        </w:rPr>
        <w:t>名称</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ab/>
      </w:r>
      <w:r>
        <w:rPr>
          <w:rFonts w:ascii="Times New Roman" w:hAnsi="Times New Roman"/>
          <w:color w:val="auto"/>
          <w:sz w:val="24"/>
          <w:szCs w:val="24"/>
          <w:highlight w:val="none"/>
        </w:rPr>
        <w:t>（</w:t>
      </w:r>
      <w:r>
        <w:rPr>
          <w:rFonts w:hint="eastAsia" w:ascii="Times New Roman" w:hAnsi="Times New Roman"/>
          <w:color w:val="auto"/>
          <w:sz w:val="24"/>
          <w:szCs w:val="24"/>
          <w:highlight w:val="none"/>
        </w:rPr>
        <w:t>盖</w:t>
      </w:r>
      <w:r>
        <w:rPr>
          <w:rFonts w:ascii="Times New Roman" w:hAnsi="Times New Roman"/>
          <w:color w:val="auto"/>
          <w:sz w:val="24"/>
          <w:szCs w:val="24"/>
          <w:highlight w:val="none"/>
        </w:rPr>
        <w:t>单位</w:t>
      </w:r>
      <w:r>
        <w:rPr>
          <w:rFonts w:hint="eastAsia" w:ascii="Times New Roman" w:hAnsi="Times New Roman"/>
          <w:color w:val="auto"/>
          <w:sz w:val="24"/>
          <w:szCs w:val="24"/>
          <w:highlight w:val="none"/>
        </w:rPr>
        <w:t>章</w:t>
      </w:r>
      <w:r>
        <w:rPr>
          <w:rFonts w:ascii="Times New Roman" w:hAnsi="Times New Roman"/>
          <w:color w:val="auto"/>
          <w:sz w:val="24"/>
          <w:szCs w:val="24"/>
          <w:highlight w:val="none"/>
        </w:rPr>
        <w:t>）</w:t>
      </w:r>
    </w:p>
    <w:p w14:paraId="4CCC4BA6">
      <w:pPr>
        <w:spacing w:line="440" w:lineRule="exact"/>
        <w:rPr>
          <w:rFonts w:ascii="Times New Roman" w:hAnsi="Times New Roman"/>
          <w:color w:val="auto"/>
          <w:sz w:val="24"/>
          <w:szCs w:val="24"/>
          <w:highlight w:val="none"/>
        </w:rPr>
      </w:pPr>
    </w:p>
    <w:p w14:paraId="79868267">
      <w:pPr>
        <w:spacing w:line="440" w:lineRule="exact"/>
        <w:ind w:firstLine="5280" w:firstLineChars="2200"/>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232DF2F2">
      <w:pPr>
        <w:spacing w:line="440" w:lineRule="exact"/>
        <w:rPr>
          <w:rFonts w:ascii="Times New Roman" w:hAnsi="Times New Roman" w:eastAsia="黑体"/>
          <w:color w:val="auto"/>
          <w:sz w:val="24"/>
          <w:szCs w:val="24"/>
          <w:highlight w:val="none"/>
        </w:rPr>
      </w:pPr>
    </w:p>
    <w:p w14:paraId="639CD741">
      <w:pPr>
        <w:pStyle w:val="19"/>
        <w:rPr>
          <w:color w:val="auto"/>
          <w:highlight w:val="none"/>
        </w:rPr>
      </w:pPr>
    </w:p>
    <w:p w14:paraId="1D54EC8C">
      <w:pPr>
        <w:spacing w:line="440" w:lineRule="exact"/>
        <w:rPr>
          <w:rFonts w:ascii="Times New Roman" w:hAnsi="Times New Roman" w:eastAsia="黑体"/>
          <w:color w:val="auto"/>
          <w:sz w:val="20"/>
          <w:highlight w:val="none"/>
        </w:rPr>
      </w:pPr>
    </w:p>
    <w:p w14:paraId="4CE4C00D">
      <w:pPr>
        <w:spacing w:line="440" w:lineRule="exact"/>
        <w:rPr>
          <w:rFonts w:ascii="Times New Roman" w:hAnsi="Times New Roman" w:eastAsia="黑体"/>
          <w:color w:val="auto"/>
          <w:sz w:val="20"/>
          <w:highlight w:val="none"/>
        </w:rPr>
      </w:pPr>
    </w:p>
    <w:p w14:paraId="11748E4D">
      <w:pPr>
        <w:spacing w:line="440" w:lineRule="exact"/>
        <w:rPr>
          <w:rFonts w:ascii="Times New Roman" w:hAnsi="Times New Roman" w:eastAsia="黑体"/>
          <w:color w:val="auto"/>
          <w:sz w:val="20"/>
          <w:highlight w:val="none"/>
        </w:rPr>
      </w:pPr>
    </w:p>
    <w:p w14:paraId="5BB970CB">
      <w:pPr>
        <w:pStyle w:val="4"/>
        <w:keepNext w:val="0"/>
        <w:keepLines w:val="0"/>
        <w:jc w:val="center"/>
        <w:rPr>
          <w:rFonts w:ascii="宋体" w:hAnsi="宋体" w:eastAsia="宋体"/>
          <w:color w:val="auto"/>
          <w:sz w:val="28"/>
          <w:szCs w:val="28"/>
          <w:highlight w:val="none"/>
        </w:rPr>
      </w:pPr>
      <w:r>
        <w:rPr>
          <w:rFonts w:ascii="Times New Roman" w:hAnsi="Times New Roman"/>
          <w:color w:val="auto"/>
          <w:highlight w:val="none"/>
        </w:rPr>
        <w:br w:type="page"/>
      </w:r>
      <w:bookmarkStart w:id="1013" w:name="_Toc30395"/>
      <w:bookmarkStart w:id="1014" w:name="_Toc15725"/>
      <w:bookmarkStart w:id="1015" w:name="_Toc19566"/>
      <w:bookmarkStart w:id="1016" w:name="_Toc24470"/>
      <w:r>
        <w:rPr>
          <w:rFonts w:hint="eastAsia" w:ascii="宋体" w:hAnsi="宋体" w:eastAsia="宋体"/>
          <w:color w:val="auto"/>
          <w:sz w:val="28"/>
          <w:szCs w:val="28"/>
          <w:highlight w:val="none"/>
        </w:rPr>
        <w:t>授权委托书</w:t>
      </w:r>
      <w:bookmarkEnd w:id="1013"/>
      <w:bookmarkEnd w:id="1014"/>
      <w:bookmarkEnd w:id="1015"/>
      <w:bookmarkEnd w:id="1016"/>
    </w:p>
    <w:p w14:paraId="747530DF">
      <w:pPr>
        <w:topLinePunct/>
        <w:spacing w:line="440" w:lineRule="exact"/>
        <w:ind w:firstLine="420" w:firstLineChars="200"/>
        <w:rPr>
          <w:rFonts w:ascii="Times New Roman" w:hAnsi="Times New Roman"/>
          <w:color w:val="auto"/>
          <w:highlight w:val="none"/>
        </w:rPr>
      </w:pPr>
      <w:r>
        <w:rPr>
          <w:rFonts w:ascii="Times New Roman" w:hAnsi="Times New Roman"/>
          <w:color w:val="auto"/>
          <w:highlight w:val="none"/>
        </w:rPr>
        <w:t>本人</w:t>
      </w:r>
      <w:r>
        <w:rPr>
          <w:rFonts w:ascii="Times New Roman" w:hAnsi="Times New Roman"/>
          <w:color w:val="auto"/>
          <w:highlight w:val="none"/>
          <w:u w:val="single"/>
        </w:rPr>
        <w:t xml:space="preserve">              </w:t>
      </w:r>
      <w:r>
        <w:rPr>
          <w:rFonts w:ascii="Times New Roman" w:hAnsi="Times New Roman"/>
          <w:color w:val="auto"/>
          <w:highlight w:val="none"/>
        </w:rPr>
        <w:t>（姓名）系</w:t>
      </w:r>
      <w:r>
        <w:rPr>
          <w:rFonts w:ascii="Times New Roman" w:hAnsi="Times New Roman"/>
          <w:color w:val="auto"/>
          <w:highlight w:val="none"/>
          <w:u w:val="single"/>
        </w:rPr>
        <w:t xml:space="preserve">                    </w:t>
      </w:r>
      <w:r>
        <w:rPr>
          <w:rFonts w:ascii="Times New Roman" w:hAnsi="Times New Roman"/>
          <w:color w:val="auto"/>
          <w:highlight w:val="none"/>
        </w:rPr>
        <w:t>（投标人名称）的法定代表人，现委托</w:t>
      </w:r>
      <w:r>
        <w:rPr>
          <w:rFonts w:ascii="Times New Roman" w:hAnsi="Times New Roman"/>
          <w:color w:val="auto"/>
          <w:highlight w:val="none"/>
          <w:u w:val="single"/>
        </w:rPr>
        <w:t xml:space="preserve">            （姓名）</w:t>
      </w:r>
      <w:r>
        <w:rPr>
          <w:rFonts w:ascii="Times New Roman" w:hAnsi="Times New Roman"/>
          <w:color w:val="auto"/>
          <w:highlight w:val="none"/>
        </w:rPr>
        <w:t>为我方代理人。代理人根据授权，以我方名义签署、澄清确认、递交、撤回、修改监理招标项目投标文件、签订合同和处理有关事宜，其法律后果由我方承担。</w:t>
      </w:r>
    </w:p>
    <w:p w14:paraId="3F5EFBC4">
      <w:pPr>
        <w:spacing w:line="440" w:lineRule="exact"/>
        <w:rPr>
          <w:rFonts w:ascii="Times New Roman" w:hAnsi="Times New Roman"/>
          <w:color w:val="auto"/>
          <w:highlight w:val="none"/>
        </w:rPr>
      </w:pPr>
      <w:r>
        <w:rPr>
          <w:rFonts w:ascii="Times New Roman" w:hAnsi="Times New Roman"/>
          <w:color w:val="auto"/>
          <w:highlight w:val="none"/>
        </w:rPr>
        <w:t>委托期限：</w:t>
      </w:r>
      <w:r>
        <w:rPr>
          <w:rFonts w:ascii="Times New Roman" w:hAnsi="Times New Roman"/>
          <w:color w:val="auto"/>
          <w:highlight w:val="none"/>
          <w:u w:val="single"/>
        </w:rPr>
        <w:t xml:space="preserve">                       </w:t>
      </w:r>
      <w:r>
        <w:rPr>
          <w:rFonts w:ascii="Times New Roman" w:hAnsi="Times New Roman"/>
          <w:color w:val="auto"/>
          <w:highlight w:val="none"/>
        </w:rPr>
        <w:t>。</w:t>
      </w:r>
    </w:p>
    <w:p w14:paraId="452C854F">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代理人无转委托权。</w:t>
      </w:r>
    </w:p>
    <w:p w14:paraId="7966A465">
      <w:pPr>
        <w:spacing w:line="440" w:lineRule="exact"/>
        <w:ind w:firstLine="420" w:firstLineChars="200"/>
        <w:rPr>
          <w:rFonts w:ascii="Times New Roman" w:hAnsi="Times New Roman"/>
          <w:color w:val="auto"/>
          <w:highlight w:val="none"/>
        </w:rPr>
      </w:pPr>
    </w:p>
    <w:p w14:paraId="0FC97E05">
      <w:pPr>
        <w:spacing w:line="440" w:lineRule="exact"/>
        <w:rPr>
          <w:rFonts w:ascii="Times New Roman" w:hAnsi="Times New Roman"/>
          <w:color w:val="auto"/>
          <w:highlight w:val="none"/>
        </w:rPr>
      </w:pPr>
      <w:r>
        <w:rPr>
          <w:rFonts w:ascii="Times New Roman" w:hAnsi="Times New Roman"/>
          <w:color w:val="auto"/>
          <w:highlight w:val="none"/>
        </w:rPr>
        <w:t>附：法定代表人身份证</w:t>
      </w:r>
      <w:r>
        <w:rPr>
          <w:rFonts w:hint="eastAsia" w:ascii="Times New Roman" w:hAnsi="Times New Roman"/>
          <w:color w:val="auto"/>
          <w:highlight w:val="none"/>
        </w:rPr>
        <w:t>扫描件</w:t>
      </w:r>
      <w:r>
        <w:rPr>
          <w:rFonts w:ascii="Times New Roman" w:hAnsi="Times New Roman"/>
          <w:color w:val="auto"/>
          <w:highlight w:val="none"/>
        </w:rPr>
        <w:t>及委托代理人身份证</w:t>
      </w:r>
      <w:r>
        <w:rPr>
          <w:rFonts w:hint="eastAsia" w:ascii="Times New Roman" w:hAnsi="Times New Roman"/>
          <w:color w:val="auto"/>
          <w:highlight w:val="none"/>
        </w:rPr>
        <w:t>扫描件</w:t>
      </w:r>
    </w:p>
    <w:p w14:paraId="122BA3C7">
      <w:pPr>
        <w:spacing w:line="440" w:lineRule="exact"/>
        <w:rPr>
          <w:rFonts w:ascii="Times New Roman" w:hAnsi="Times New Roman"/>
          <w:color w:val="auto"/>
          <w:highlight w:val="none"/>
        </w:rPr>
      </w:pPr>
    </w:p>
    <w:p w14:paraId="11578B22">
      <w:pPr>
        <w:spacing w:line="440" w:lineRule="exact"/>
        <w:rPr>
          <w:rFonts w:ascii="Times New Roman" w:hAnsi="Times New Roman"/>
          <w:color w:val="auto"/>
          <w:highlight w:val="none"/>
        </w:rPr>
      </w:pPr>
      <w:r>
        <w:rPr>
          <w:rFonts w:ascii="Times New Roman" w:hAnsi="Times New Roman"/>
          <w:color w:val="auto"/>
          <w:highlight w:val="none"/>
        </w:rPr>
        <w:t>注：本授权委托书需由投标人加盖单位公章并由其法定代表人和委托代理人签字。</w:t>
      </w:r>
    </w:p>
    <w:p w14:paraId="2A60F9D7">
      <w:pPr>
        <w:spacing w:line="440" w:lineRule="exact"/>
        <w:rPr>
          <w:rFonts w:ascii="Times New Roman" w:hAnsi="Times New Roman"/>
          <w:color w:val="auto"/>
          <w:highlight w:val="none"/>
        </w:rPr>
      </w:pPr>
    </w:p>
    <w:p w14:paraId="2E02E66E">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投标人</w:t>
      </w:r>
      <w:r>
        <w:rPr>
          <w:rFonts w:hint="eastAsia" w:ascii="Times New Roman" w:hAnsi="Times New Roman"/>
          <w:color w:val="auto"/>
          <w:highlight w:val="none"/>
        </w:rPr>
        <w:t>名称</w:t>
      </w:r>
      <w:r>
        <w:rPr>
          <w:rFonts w:ascii="Times New Roman" w:hAnsi="Times New Roman"/>
          <w:color w:val="auto"/>
          <w:highlight w:val="none"/>
        </w:rPr>
        <w:t>：</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w:t>
      </w:r>
      <w:r>
        <w:rPr>
          <w:rFonts w:hint="eastAsia" w:ascii="Times New Roman" w:hAnsi="Times New Roman"/>
          <w:color w:val="auto"/>
          <w:highlight w:val="none"/>
        </w:rPr>
        <w:t>盖</w:t>
      </w:r>
      <w:r>
        <w:rPr>
          <w:rFonts w:ascii="Times New Roman" w:hAnsi="Times New Roman"/>
          <w:color w:val="auto"/>
          <w:highlight w:val="none"/>
        </w:rPr>
        <w:t>单位</w:t>
      </w:r>
      <w:r>
        <w:rPr>
          <w:rFonts w:hint="eastAsia" w:ascii="Times New Roman" w:hAnsi="Times New Roman"/>
          <w:color w:val="auto"/>
          <w:highlight w:val="none"/>
        </w:rPr>
        <w:t>章</w:t>
      </w:r>
      <w:r>
        <w:rPr>
          <w:rFonts w:ascii="Times New Roman" w:hAnsi="Times New Roman"/>
          <w:color w:val="auto"/>
          <w:highlight w:val="none"/>
        </w:rPr>
        <w:t>）</w:t>
      </w:r>
    </w:p>
    <w:p w14:paraId="30CF0BDE">
      <w:pPr>
        <w:spacing w:line="440" w:lineRule="exact"/>
        <w:ind w:firstLine="2690" w:firstLineChars="1281"/>
        <w:jc w:val="left"/>
        <w:rPr>
          <w:rFonts w:ascii="Times New Roman" w:hAnsi="Times New Roman"/>
          <w:color w:val="auto"/>
          <w:highlight w:val="none"/>
        </w:rPr>
      </w:pPr>
      <w:r>
        <w:rPr>
          <w:rFonts w:ascii="Times New Roman" w:hAnsi="Times New Roman"/>
          <w:color w:val="auto"/>
          <w:highlight w:val="none"/>
        </w:rPr>
        <w:t>法定代表人：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w:t>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highlight w:val="none"/>
        </w:rPr>
        <w:t>）</w:t>
      </w:r>
    </w:p>
    <w:p w14:paraId="4B9957AC">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687E1ED7">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委托代理人：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highlight w:val="none"/>
        </w:rPr>
        <w:t>（</w:t>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highlight w:val="none"/>
        </w:rPr>
        <w:t>）</w:t>
      </w:r>
    </w:p>
    <w:p w14:paraId="745525F1">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70EF5DD7">
      <w:pPr>
        <w:spacing w:line="440" w:lineRule="exact"/>
        <w:ind w:firstLine="2692" w:firstLineChars="1282"/>
        <w:rPr>
          <w:rFonts w:ascii="Times New Roman" w:hAnsi="Times New Roman"/>
          <w:color w:val="auto"/>
          <w:highlight w:val="none"/>
        </w:rPr>
      </w:pPr>
    </w:p>
    <w:p w14:paraId="326F4B9E">
      <w:pPr>
        <w:spacing w:line="440" w:lineRule="exact"/>
        <w:ind w:firstLine="2692" w:firstLineChars="1282"/>
        <w:rPr>
          <w:rFonts w:ascii="Times New Roman" w:hAnsi="Times New Roman"/>
          <w:color w:val="auto"/>
          <w:highlight w:val="none"/>
        </w:rPr>
      </w:pPr>
    </w:p>
    <w:p w14:paraId="4754D77A">
      <w:pPr>
        <w:spacing w:line="440" w:lineRule="exact"/>
        <w:ind w:firstLine="4057" w:firstLineChars="1932"/>
        <w:jc w:val="right"/>
        <w:rPr>
          <w:rFonts w:ascii="Times New Roman" w:hAnsi="Times New Roman"/>
          <w:color w:val="auto"/>
          <w:highlight w:val="none"/>
        </w:rPr>
        <w:sectPr>
          <w:footerReference r:id="rId4" w:type="default"/>
          <w:pgSz w:w="12240" w:h="15840"/>
          <w:pgMar w:top="1627" w:right="1373" w:bottom="1393" w:left="1627" w:header="720" w:footer="720" w:gutter="0"/>
          <w:cols w:space="720" w:num="1"/>
          <w:docGrid w:linePitch="285" w:charSpace="0"/>
        </w:sect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4B589420">
      <w:pPr>
        <w:pStyle w:val="4"/>
        <w:keepNext w:val="0"/>
        <w:keepLines w:val="0"/>
        <w:pageBreakBefore w:val="0"/>
        <w:widowControl w:val="0"/>
        <w:kinsoku/>
        <w:wordWrap/>
        <w:overflowPunct/>
        <w:topLinePunct w:val="0"/>
        <w:autoSpaceDE/>
        <w:autoSpaceDN/>
        <w:bidi w:val="0"/>
        <w:adjustRightInd/>
        <w:snapToGrid/>
        <w:spacing w:before="0" w:after="0" w:line="413" w:lineRule="auto"/>
        <w:jc w:val="center"/>
        <w:textAlignment w:val="auto"/>
        <w:rPr>
          <w:rFonts w:ascii="Times New Roman" w:hAnsi="Times New Roman"/>
          <w:color w:val="auto"/>
          <w:highlight w:val="none"/>
        </w:rPr>
      </w:pPr>
      <w:bookmarkStart w:id="1017" w:name="_Toc24631"/>
      <w:bookmarkStart w:id="1018" w:name="_Toc30876"/>
      <w:r>
        <w:rPr>
          <w:rFonts w:hint="eastAsia" w:ascii="Times New Roman" w:hAnsi="Times New Roman"/>
          <w:color w:val="auto"/>
          <w:highlight w:val="none"/>
          <w:lang w:val="en-US" w:eastAsia="zh-CN"/>
        </w:rPr>
        <w:t>三</w:t>
      </w:r>
      <w:r>
        <w:rPr>
          <w:rFonts w:ascii="Times New Roman" w:hAnsi="Times New Roman"/>
          <w:color w:val="auto"/>
          <w:highlight w:val="none"/>
        </w:rPr>
        <w:t>、</w:t>
      </w:r>
      <w:bookmarkEnd w:id="1017"/>
      <w:bookmarkEnd w:id="1018"/>
      <w:bookmarkStart w:id="1019" w:name="_Toc527028920"/>
      <w:bookmarkStart w:id="1020" w:name="_Toc527028748"/>
      <w:bookmarkStart w:id="1021" w:name="_Toc361508760"/>
      <w:r>
        <w:rPr>
          <w:rFonts w:hint="eastAsia" w:ascii="Times New Roman" w:hAnsi="Times New Roman"/>
          <w:color w:val="auto"/>
          <w:highlight w:val="none"/>
        </w:rPr>
        <w:t>投标报价表</w:t>
      </w:r>
    </w:p>
    <w:p w14:paraId="7F1B6A44">
      <w:pPr>
        <w:spacing w:line="360" w:lineRule="auto"/>
        <w:ind w:left="1680" w:hanging="1920" w:hangingChars="800"/>
        <w:rPr>
          <w:color w:val="auto"/>
          <w:sz w:val="24"/>
          <w:szCs w:val="24"/>
          <w:highlight w:val="none"/>
        </w:rPr>
      </w:pPr>
      <w:r>
        <w:rPr>
          <w:rFonts w:hint="eastAsia" w:ascii="宋体" w:hAnsi="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rPr>
        <w:t xml:space="preserve">                                    </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817"/>
        <w:gridCol w:w="1183"/>
        <w:gridCol w:w="1300"/>
        <w:gridCol w:w="1284"/>
        <w:gridCol w:w="1666"/>
        <w:gridCol w:w="2234"/>
        <w:gridCol w:w="2624"/>
      </w:tblGrid>
      <w:tr w14:paraId="7084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FC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4B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工程或费用名称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69B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B90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CB0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8"/>
                <w:rFonts w:hint="eastAsia" w:ascii="宋体" w:hAnsi="宋体" w:eastAsia="宋体" w:cs="宋体"/>
                <w:color w:val="auto"/>
                <w:highlight w:val="none"/>
                <w:lang w:val="en-US" w:eastAsia="zh-CN" w:bidi="ar"/>
              </w:rPr>
              <w:t>单价（元）</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3CE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8"/>
                <w:rFonts w:hint="eastAsia" w:ascii="宋体" w:hAnsi="宋体" w:eastAsia="宋体" w:cs="宋体"/>
                <w:color w:val="auto"/>
                <w:highlight w:val="none"/>
                <w:lang w:val="en-US" w:eastAsia="zh-CN" w:bidi="ar"/>
              </w:rPr>
              <w:t>合计费用</w:t>
            </w:r>
            <w:r>
              <w:rPr>
                <w:rStyle w:val="29"/>
                <w:rFonts w:hint="eastAsia" w:ascii="宋体" w:hAnsi="宋体" w:eastAsia="宋体" w:cs="宋体"/>
                <w:color w:val="auto"/>
                <w:highlight w:val="none"/>
                <w:lang w:val="en-US" w:eastAsia="zh-CN" w:bidi="ar"/>
              </w:rPr>
              <w:t xml:space="preserve"> </w:t>
            </w:r>
            <w:r>
              <w:rPr>
                <w:rStyle w:val="28"/>
                <w:rFonts w:hint="eastAsia" w:ascii="宋体" w:hAnsi="宋体" w:eastAsia="宋体" w:cs="宋体"/>
                <w:color w:val="auto"/>
                <w:highlight w:val="none"/>
                <w:lang w:val="en-US" w:eastAsia="zh-CN" w:bidi="ar"/>
              </w:rPr>
              <w:t>（元）</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F8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最高限价</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综合单价（元）</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30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EF4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E5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23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环境监理费用</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9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38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E49B">
            <w:pPr>
              <w:jc w:val="center"/>
              <w:rPr>
                <w:rFonts w:hint="eastAsia" w:ascii="宋体" w:hAnsi="宋体" w:eastAsia="宋体" w:cs="宋体"/>
                <w:b/>
                <w:bCs/>
                <w:i w:val="0"/>
                <w:iCs w:val="0"/>
                <w:color w:val="auto"/>
                <w:sz w:val="21"/>
                <w:szCs w:val="21"/>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F303">
            <w:pPr>
              <w:jc w:val="center"/>
              <w:rPr>
                <w:rFonts w:hint="eastAsia" w:ascii="宋体" w:hAnsi="宋体" w:eastAsia="宋体" w:cs="宋体"/>
                <w:b/>
                <w:bCs/>
                <w:i w:val="0"/>
                <w:iCs w:val="0"/>
                <w:color w:val="auto"/>
                <w:sz w:val="21"/>
                <w:szCs w:val="21"/>
                <w:highlight w:val="none"/>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6445">
            <w:pPr>
              <w:keepNext w:val="0"/>
              <w:keepLines w:val="0"/>
              <w:widowControl/>
              <w:suppressLineNumbers w:val="0"/>
              <w:ind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1,339,404.30</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ADFA">
            <w:pPr>
              <w:jc w:val="center"/>
              <w:rPr>
                <w:rFonts w:hint="eastAsia" w:ascii="宋体" w:hAnsi="宋体" w:eastAsia="宋体" w:cs="宋体"/>
                <w:b/>
                <w:bCs/>
                <w:i w:val="0"/>
                <w:iCs w:val="0"/>
                <w:color w:val="auto"/>
                <w:sz w:val="21"/>
                <w:szCs w:val="21"/>
                <w:highlight w:val="none"/>
                <w:u w:val="none"/>
              </w:rPr>
            </w:pPr>
          </w:p>
        </w:tc>
      </w:tr>
      <w:tr w14:paraId="0A70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AD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CE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环境监理服务费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50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2F2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C2A5">
            <w:pPr>
              <w:jc w:val="center"/>
              <w:rPr>
                <w:rFonts w:hint="eastAsia" w:ascii="宋体" w:hAnsi="宋体" w:eastAsia="宋体" w:cs="宋体"/>
                <w:b/>
                <w:bCs/>
                <w:i w:val="0"/>
                <w:iCs w:val="0"/>
                <w:color w:val="auto"/>
                <w:sz w:val="21"/>
                <w:szCs w:val="21"/>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72D0">
            <w:pPr>
              <w:jc w:val="center"/>
              <w:rPr>
                <w:rFonts w:hint="eastAsia" w:ascii="宋体" w:hAnsi="宋体" w:eastAsia="宋体" w:cs="宋体"/>
                <w:b/>
                <w:bCs/>
                <w:i w:val="0"/>
                <w:iCs w:val="0"/>
                <w:color w:val="auto"/>
                <w:sz w:val="21"/>
                <w:szCs w:val="21"/>
                <w:highlight w:val="none"/>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EF5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958,231.80</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9A87">
            <w:pPr>
              <w:rPr>
                <w:rFonts w:hint="eastAsia" w:ascii="宋体" w:hAnsi="宋体" w:eastAsia="宋体" w:cs="宋体"/>
                <w:b/>
                <w:bCs/>
                <w:i w:val="0"/>
                <w:iCs w:val="0"/>
                <w:color w:val="auto"/>
                <w:sz w:val="21"/>
                <w:szCs w:val="21"/>
                <w:highlight w:val="none"/>
                <w:u w:val="none"/>
              </w:rPr>
            </w:pPr>
          </w:p>
        </w:tc>
      </w:tr>
      <w:tr w14:paraId="1F9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88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24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环境监测费</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8C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6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3F9D">
            <w:pPr>
              <w:jc w:val="center"/>
              <w:rPr>
                <w:rFonts w:hint="eastAsia" w:ascii="宋体" w:hAnsi="宋体" w:eastAsia="宋体" w:cs="宋体"/>
                <w:b/>
                <w:bCs/>
                <w:i w:val="0"/>
                <w:iCs w:val="0"/>
                <w:color w:val="auto"/>
                <w:sz w:val="21"/>
                <w:szCs w:val="21"/>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5450">
            <w:pPr>
              <w:jc w:val="center"/>
              <w:rPr>
                <w:rFonts w:hint="eastAsia" w:ascii="宋体" w:hAnsi="宋体" w:eastAsia="宋体" w:cs="宋体"/>
                <w:b/>
                <w:bCs/>
                <w:i w:val="0"/>
                <w:iCs w:val="0"/>
                <w:color w:val="auto"/>
                <w:sz w:val="21"/>
                <w:szCs w:val="21"/>
                <w:highlight w:val="none"/>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7A2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381,172.50</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3D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[2.1+2.2+2.3+2.4]</w:t>
            </w:r>
          </w:p>
        </w:tc>
      </w:tr>
      <w:tr w14:paraId="08CA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5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5B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大气监测</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C6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30"/>
                <w:rFonts w:hint="eastAsia" w:ascii="宋体" w:hAnsi="宋体" w:eastAsia="宋体" w:cs="宋体"/>
                <w:color w:val="auto"/>
                <w:highlight w:val="none"/>
                <w:lang w:val="en-US" w:eastAsia="zh-CN" w:bidi="ar"/>
              </w:rPr>
              <w:t>个</w:t>
            </w:r>
            <w:r>
              <w:rPr>
                <w:rStyle w:val="29"/>
                <w:rFonts w:hint="eastAsia" w:ascii="宋体" w:hAnsi="宋体" w:eastAsia="宋体" w:cs="宋体"/>
                <w:color w:val="auto"/>
                <w:highlight w:val="none"/>
                <w:lang w:val="en-US" w:eastAsia="zh-CN" w:bidi="ar"/>
              </w:rPr>
              <w:t>*</w:t>
            </w:r>
            <w:r>
              <w:rPr>
                <w:rStyle w:val="30"/>
                <w:rFonts w:hint="eastAsia" w:ascii="宋体" w:hAnsi="宋体" w:eastAsia="宋体" w:cs="宋体"/>
                <w:color w:val="auto"/>
                <w:highlight w:val="none"/>
                <w:lang w:val="en-US" w:eastAsia="zh-CN" w:bidi="ar"/>
              </w:rPr>
              <w:t>次</w:t>
            </w:r>
            <w:r>
              <w:rPr>
                <w:rStyle w:val="29"/>
                <w:rFonts w:hint="eastAsia" w:ascii="宋体" w:hAnsi="宋体" w:eastAsia="宋体" w:cs="宋体"/>
                <w:color w:val="auto"/>
                <w:highlight w:val="none"/>
                <w:lang w:val="en-US" w:eastAsia="zh-CN" w:bidi="ar"/>
              </w:rPr>
              <w:t xml:space="preserve"> </w:t>
            </w:r>
            <w:r>
              <w:rPr>
                <w:rStyle w:val="30"/>
                <w:rFonts w:hint="eastAsia" w:ascii="宋体" w:hAnsi="宋体" w:eastAsia="宋体" w:cs="宋体"/>
                <w:color w:val="auto"/>
                <w:highlight w:val="none"/>
                <w:lang w:val="en-US" w:eastAsia="zh-CN" w:bidi="ar"/>
              </w:rPr>
              <w:t>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3C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926B">
            <w:pPr>
              <w:jc w:val="center"/>
              <w:rPr>
                <w:rFonts w:hint="eastAsia" w:ascii="宋体" w:hAnsi="宋体" w:eastAsia="宋体" w:cs="宋体"/>
                <w:i w:val="0"/>
                <w:iCs w:val="0"/>
                <w:color w:val="auto"/>
                <w:sz w:val="21"/>
                <w:szCs w:val="21"/>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A454">
            <w:pPr>
              <w:jc w:val="center"/>
              <w:rPr>
                <w:rFonts w:hint="eastAsia" w:ascii="宋体" w:hAnsi="宋体" w:eastAsia="宋体" w:cs="宋体"/>
                <w:i w:val="0"/>
                <w:iCs w:val="0"/>
                <w:color w:val="auto"/>
                <w:sz w:val="21"/>
                <w:szCs w:val="21"/>
                <w:highlight w:val="none"/>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2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DEA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30"/>
                <w:rFonts w:hint="eastAsia" w:ascii="宋体" w:hAnsi="宋体" w:eastAsia="宋体" w:cs="宋体"/>
                <w:color w:val="auto"/>
                <w:highlight w:val="none"/>
                <w:lang w:val="en-US" w:eastAsia="zh-CN" w:bidi="ar"/>
              </w:rPr>
              <w:t>含监测指标：</w:t>
            </w:r>
            <w:r>
              <w:rPr>
                <w:rStyle w:val="29"/>
                <w:rFonts w:hint="eastAsia" w:ascii="宋体" w:hAnsi="宋体" w:eastAsia="宋体" w:cs="宋体"/>
                <w:color w:val="auto"/>
                <w:highlight w:val="none"/>
                <w:lang w:val="en-US" w:eastAsia="zh-CN" w:bidi="ar"/>
              </w:rPr>
              <w:t>TSP</w:t>
            </w:r>
            <w:r>
              <w:rPr>
                <w:rStyle w:val="30"/>
                <w:rFonts w:hint="eastAsia" w:ascii="宋体" w:hAnsi="宋体" w:eastAsia="宋体" w:cs="宋体"/>
                <w:color w:val="auto"/>
                <w:highlight w:val="none"/>
                <w:lang w:val="en-US" w:eastAsia="zh-CN" w:bidi="ar"/>
              </w:rPr>
              <w:t>（总悬浮颗粒</w:t>
            </w:r>
            <w:bookmarkStart w:id="1080" w:name="_GoBack"/>
            <w:bookmarkEnd w:id="1080"/>
            <w:r>
              <w:rPr>
                <w:rStyle w:val="30"/>
                <w:rFonts w:hint="eastAsia" w:ascii="宋体" w:hAnsi="宋体" w:eastAsia="宋体" w:cs="宋体"/>
                <w:color w:val="auto"/>
                <w:highlight w:val="none"/>
                <w:lang w:val="en-US" w:eastAsia="zh-CN" w:bidi="ar"/>
              </w:rPr>
              <w:t>物）检测、砷（金属元素检测）</w:t>
            </w:r>
          </w:p>
        </w:tc>
      </w:tr>
      <w:tr w14:paraId="4212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7A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7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地下水井建设</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B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C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76D0">
            <w:pPr>
              <w:jc w:val="center"/>
              <w:rPr>
                <w:rFonts w:hint="eastAsia" w:ascii="宋体" w:hAnsi="宋体" w:eastAsia="宋体" w:cs="宋体"/>
                <w:i w:val="0"/>
                <w:iCs w:val="0"/>
                <w:color w:val="auto"/>
                <w:sz w:val="21"/>
                <w:szCs w:val="21"/>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77D8">
            <w:pPr>
              <w:jc w:val="center"/>
              <w:rPr>
                <w:rFonts w:hint="eastAsia" w:ascii="宋体" w:hAnsi="宋体" w:eastAsia="宋体" w:cs="宋体"/>
                <w:i w:val="0"/>
                <w:iCs w:val="0"/>
                <w:color w:val="auto"/>
                <w:sz w:val="21"/>
                <w:szCs w:val="21"/>
                <w:highlight w:val="none"/>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B0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1656.25</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E31D">
            <w:pPr>
              <w:rPr>
                <w:rFonts w:hint="eastAsia" w:ascii="宋体" w:hAnsi="宋体" w:eastAsia="宋体" w:cs="宋体"/>
                <w:i w:val="0"/>
                <w:iCs w:val="0"/>
                <w:color w:val="auto"/>
                <w:sz w:val="21"/>
                <w:szCs w:val="21"/>
                <w:highlight w:val="none"/>
                <w:u w:val="none"/>
              </w:rPr>
            </w:pPr>
          </w:p>
        </w:tc>
      </w:tr>
      <w:tr w14:paraId="5B4C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64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水监测</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62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30"/>
                <w:rFonts w:hint="eastAsia" w:ascii="宋体" w:hAnsi="宋体" w:eastAsia="宋体" w:cs="宋体"/>
                <w:color w:val="auto"/>
                <w:highlight w:val="none"/>
                <w:lang w:val="en-US" w:eastAsia="zh-CN" w:bidi="ar"/>
              </w:rPr>
              <w:t>个</w:t>
            </w:r>
            <w:r>
              <w:rPr>
                <w:rStyle w:val="29"/>
                <w:rFonts w:hint="eastAsia" w:ascii="宋体" w:hAnsi="宋体" w:eastAsia="宋体" w:cs="宋体"/>
                <w:color w:val="auto"/>
                <w:highlight w:val="none"/>
                <w:lang w:val="en-US" w:eastAsia="zh-CN" w:bidi="ar"/>
              </w:rPr>
              <w:t>*</w:t>
            </w:r>
            <w:r>
              <w:rPr>
                <w:rStyle w:val="30"/>
                <w:rFonts w:hint="eastAsia" w:ascii="宋体" w:hAnsi="宋体" w:eastAsia="宋体" w:cs="宋体"/>
                <w:color w:val="auto"/>
                <w:highlight w:val="none"/>
                <w:lang w:val="en-US" w:eastAsia="zh-CN" w:bidi="ar"/>
              </w:rPr>
              <w:t>次</w:t>
            </w:r>
            <w:r>
              <w:rPr>
                <w:rStyle w:val="29"/>
                <w:rFonts w:hint="eastAsia" w:ascii="宋体" w:hAnsi="宋体" w:eastAsia="宋体" w:cs="宋体"/>
                <w:color w:val="auto"/>
                <w:highlight w:val="none"/>
                <w:lang w:val="en-US" w:eastAsia="zh-CN" w:bidi="ar"/>
              </w:rPr>
              <w:t xml:space="preserve"> </w:t>
            </w:r>
            <w:r>
              <w:rPr>
                <w:rStyle w:val="30"/>
                <w:rFonts w:hint="eastAsia" w:ascii="宋体" w:hAnsi="宋体" w:eastAsia="宋体" w:cs="宋体"/>
                <w:color w:val="auto"/>
                <w:highlight w:val="none"/>
                <w:lang w:val="en-US" w:eastAsia="zh-CN" w:bidi="ar"/>
              </w:rPr>
              <w:t>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A80C">
            <w:pPr>
              <w:jc w:val="center"/>
              <w:rPr>
                <w:rFonts w:hint="eastAsia" w:ascii="宋体" w:hAnsi="宋体" w:eastAsia="宋体" w:cs="宋体"/>
                <w:i w:val="0"/>
                <w:iCs w:val="0"/>
                <w:color w:val="auto"/>
                <w:sz w:val="21"/>
                <w:szCs w:val="21"/>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ED6A">
            <w:pPr>
              <w:jc w:val="center"/>
              <w:rPr>
                <w:rFonts w:hint="eastAsia" w:ascii="宋体" w:hAnsi="宋体" w:eastAsia="宋体" w:cs="宋体"/>
                <w:i w:val="0"/>
                <w:iCs w:val="0"/>
                <w:color w:val="auto"/>
                <w:sz w:val="21"/>
                <w:szCs w:val="21"/>
                <w:highlight w:val="none"/>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3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229.5</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73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30"/>
                <w:rFonts w:hint="eastAsia" w:ascii="宋体" w:hAnsi="宋体" w:eastAsia="宋体" w:cs="宋体"/>
                <w:color w:val="auto"/>
                <w:highlight w:val="none"/>
                <w:lang w:val="en-US" w:eastAsia="zh-CN" w:bidi="ar"/>
              </w:rPr>
              <w:t>含浊度检测、悬浮物检测、</w:t>
            </w:r>
            <w:r>
              <w:rPr>
                <w:rStyle w:val="29"/>
                <w:rFonts w:hint="eastAsia" w:ascii="宋体" w:hAnsi="宋体" w:eastAsia="宋体" w:cs="宋体"/>
                <w:color w:val="auto"/>
                <w:highlight w:val="none"/>
                <w:lang w:val="en-US" w:eastAsia="zh-CN" w:bidi="ar"/>
              </w:rPr>
              <w:t>pH</w:t>
            </w:r>
            <w:r>
              <w:rPr>
                <w:rStyle w:val="30"/>
                <w:rFonts w:hint="eastAsia" w:ascii="宋体" w:hAnsi="宋体" w:eastAsia="宋体" w:cs="宋体"/>
                <w:color w:val="auto"/>
                <w:highlight w:val="none"/>
                <w:lang w:val="en-US" w:eastAsia="zh-CN" w:bidi="ar"/>
              </w:rPr>
              <w:t>检测、砷检测</w:t>
            </w:r>
          </w:p>
        </w:tc>
      </w:tr>
      <w:tr w14:paraId="5449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BC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6E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噪声监测</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F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30"/>
                <w:rFonts w:hint="eastAsia" w:ascii="宋体" w:hAnsi="宋体" w:eastAsia="宋体" w:cs="宋体"/>
                <w:color w:val="auto"/>
                <w:highlight w:val="none"/>
                <w:lang w:val="en-US" w:eastAsia="zh-CN" w:bidi="ar"/>
              </w:rPr>
              <w:t>个</w:t>
            </w:r>
            <w:r>
              <w:rPr>
                <w:rStyle w:val="29"/>
                <w:rFonts w:hint="eastAsia" w:ascii="宋体" w:hAnsi="宋体" w:eastAsia="宋体" w:cs="宋体"/>
                <w:color w:val="auto"/>
                <w:highlight w:val="none"/>
                <w:lang w:val="en-US" w:eastAsia="zh-CN" w:bidi="ar"/>
              </w:rPr>
              <w:t>*</w:t>
            </w:r>
            <w:r>
              <w:rPr>
                <w:rStyle w:val="30"/>
                <w:rFonts w:hint="eastAsia" w:ascii="宋体" w:hAnsi="宋体" w:eastAsia="宋体" w:cs="宋体"/>
                <w:color w:val="auto"/>
                <w:highlight w:val="none"/>
                <w:lang w:val="en-US" w:eastAsia="zh-CN" w:bidi="ar"/>
              </w:rPr>
              <w:t>次</w:t>
            </w:r>
            <w:r>
              <w:rPr>
                <w:rStyle w:val="29"/>
                <w:rFonts w:hint="eastAsia" w:ascii="宋体" w:hAnsi="宋体" w:eastAsia="宋体" w:cs="宋体"/>
                <w:color w:val="auto"/>
                <w:highlight w:val="none"/>
                <w:lang w:val="en-US" w:eastAsia="zh-CN" w:bidi="ar"/>
              </w:rPr>
              <w:t xml:space="preserve"> </w:t>
            </w:r>
            <w:r>
              <w:rPr>
                <w:rStyle w:val="30"/>
                <w:rFonts w:hint="eastAsia" w:ascii="宋体" w:hAnsi="宋体" w:eastAsia="宋体" w:cs="宋体"/>
                <w:color w:val="auto"/>
                <w:highlight w:val="none"/>
                <w:lang w:val="en-US" w:eastAsia="zh-CN" w:bidi="ar"/>
              </w:rPr>
              <w:t>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1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952.00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DEB7">
            <w:pPr>
              <w:jc w:val="center"/>
              <w:rPr>
                <w:rFonts w:hint="eastAsia" w:ascii="宋体" w:hAnsi="宋体" w:eastAsia="宋体" w:cs="宋体"/>
                <w:i w:val="0"/>
                <w:iCs w:val="0"/>
                <w:color w:val="auto"/>
                <w:sz w:val="21"/>
                <w:szCs w:val="21"/>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97B9">
            <w:pPr>
              <w:jc w:val="center"/>
              <w:rPr>
                <w:rFonts w:hint="eastAsia" w:ascii="宋体" w:hAnsi="宋体" w:eastAsia="宋体" w:cs="宋体"/>
                <w:i w:val="0"/>
                <w:iCs w:val="0"/>
                <w:color w:val="auto"/>
                <w:sz w:val="21"/>
                <w:szCs w:val="21"/>
                <w:highlight w:val="none"/>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4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50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含监测指标：日间噪音、夜间噪声</w:t>
            </w:r>
          </w:p>
        </w:tc>
      </w:tr>
    </w:tbl>
    <w:p w14:paraId="769AEC15">
      <w:pPr>
        <w:rPr>
          <w:rFonts w:ascii="宋体" w:hAnsi="宋体" w:cs="宋体"/>
          <w:color w:val="auto"/>
          <w:szCs w:val="21"/>
          <w:highlight w:val="none"/>
        </w:rPr>
      </w:pPr>
      <w:r>
        <w:rPr>
          <w:rFonts w:hint="eastAsia" w:ascii="宋体" w:hAnsi="宋体" w:cs="宋体"/>
          <w:color w:val="auto"/>
          <w:szCs w:val="21"/>
          <w:highlight w:val="none"/>
        </w:rPr>
        <w:t>备注：（1）投标报价为人民币，以元为单位，投标报价小数点后保留二位小数，第三位小数四舍五入）。</w:t>
      </w:r>
    </w:p>
    <w:p w14:paraId="12101430">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投标报价为已含税（增值税税率 6%）价格。</w:t>
      </w:r>
    </w:p>
    <w:p w14:paraId="4FF2806A">
      <w:pPr>
        <w:rPr>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）各投标人的投标报价不得超过最高投标限价。</w:t>
      </w:r>
    </w:p>
    <w:p w14:paraId="10220949">
      <w:pPr>
        <w:pStyle w:val="19"/>
        <w:rPr>
          <w:rFonts w:hint="eastAsia"/>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color w:val="auto"/>
          <w:highlight w:val="none"/>
          <w:lang w:val="en-US" w:eastAsia="zh-CN"/>
        </w:rPr>
        <w:t>合同价款</w:t>
      </w:r>
      <w:r>
        <w:rPr>
          <w:rFonts w:hint="eastAsia"/>
          <w:color w:val="auto"/>
          <w:highlight w:val="none"/>
        </w:rPr>
        <w:t>包括但不限于劳务(含技术人员)费、材料费、机具费(含各种车辆、仪器设备、软件等使用费、进出场费)、试验费、损坏修复费、各项措施费、报告及方案编写费、工作成果报审费、配合协调费、保险费、风险费、管理费、规费、利润、税金、保险费等全部相关费用，以及合同明示或暗示的所有责任、义务和风险等，除合同另有约定外，委托人不需再另行任何支付费用。</w:t>
      </w:r>
      <w:r>
        <w:rPr>
          <w:rFonts w:hint="eastAsia"/>
          <w:color w:val="auto"/>
          <w:highlight w:val="none"/>
          <w:lang w:val="en-US" w:eastAsia="zh-CN"/>
        </w:rPr>
        <w:t>环境监理费按土壤污染修复合同结算价为计费基数结算，结合下浮率20%及投标人中标下浮率进行结算，环境监测费根据监测工程量按实结算，当</w:t>
      </w:r>
      <w:r>
        <w:rPr>
          <w:rFonts w:hint="eastAsia"/>
          <w:color w:val="auto"/>
          <w:highlight w:val="none"/>
        </w:rPr>
        <w:t>超出合同暂定</w:t>
      </w:r>
      <w:r>
        <w:rPr>
          <w:rFonts w:hint="eastAsia"/>
          <w:color w:val="auto"/>
          <w:highlight w:val="none"/>
          <w:lang w:eastAsia="zh-CN"/>
        </w:rPr>
        <w:t>监测工程量时</w:t>
      </w:r>
      <w:r>
        <w:rPr>
          <w:rFonts w:hint="eastAsia"/>
          <w:color w:val="auto"/>
          <w:highlight w:val="none"/>
          <w:lang w:val="en-US" w:eastAsia="zh-CN"/>
        </w:rPr>
        <w:t>按中标合同价包干结算，总费用结算价不超合同价，</w:t>
      </w:r>
      <w:r>
        <w:rPr>
          <w:rFonts w:hint="eastAsia"/>
          <w:color w:val="auto"/>
          <w:highlight w:val="none"/>
        </w:rPr>
        <w:t>最终以财政部门或甲方终审部门审定结算价为准</w:t>
      </w:r>
      <w:r>
        <w:rPr>
          <w:rFonts w:hint="eastAsia"/>
          <w:color w:val="auto"/>
          <w:highlight w:val="none"/>
          <w:lang w:val="en-US" w:eastAsia="zh-CN"/>
        </w:rPr>
        <w:t>。</w:t>
      </w:r>
    </w:p>
    <w:p w14:paraId="54EB0A7A">
      <w:pPr>
        <w:jc w:val="center"/>
        <w:rPr>
          <w:rFonts w:ascii="Times New Roman" w:hAnsi="Times New Roman"/>
          <w:color w:val="auto"/>
          <w:highlight w:val="none"/>
        </w:rPr>
      </w:pPr>
    </w:p>
    <w:p w14:paraId="079CA3E9">
      <w:pPr>
        <w:jc w:val="center"/>
        <w:rPr>
          <w:rFonts w:ascii="Times New Roman" w:hAnsi="Times New Roman"/>
          <w:color w:val="auto"/>
          <w:highlight w:val="none"/>
        </w:rPr>
      </w:pPr>
    </w:p>
    <w:p w14:paraId="778CA765">
      <w:pPr>
        <w:jc w:val="center"/>
        <w:rPr>
          <w:rFonts w:ascii="Times New Roman" w:hAnsi="Times New Roman"/>
          <w:color w:val="auto"/>
          <w:highlight w:val="none"/>
        </w:rPr>
      </w:pPr>
    </w:p>
    <w:p w14:paraId="47B1649D">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4E5B18D0">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szCs w:val="21"/>
          <w:highlight w:val="none"/>
        </w:rPr>
        <w:t>）</w:t>
      </w:r>
    </w:p>
    <w:p w14:paraId="526C22D3">
      <w:pPr>
        <w:spacing w:line="440" w:lineRule="exact"/>
        <w:ind w:firstLine="4725" w:firstLineChars="2250"/>
        <w:jc w:val="right"/>
        <w:rPr>
          <w:rFonts w:ascii="Times New Roman" w:hAnsi="Times New Roman"/>
          <w:color w:val="auto"/>
          <w:szCs w:val="21"/>
          <w:highlight w:val="none"/>
        </w:rPr>
        <w:sectPr>
          <w:pgSz w:w="15840" w:h="12240" w:orient="landscape"/>
          <w:pgMar w:top="1627" w:right="1627" w:bottom="1373" w:left="1393" w:header="720" w:footer="720" w:gutter="0"/>
          <w:cols w:space="720" w:num="1"/>
          <w:docGrid w:linePitch="285" w:charSpace="0"/>
        </w:sect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bookmarkEnd w:id="1019"/>
    <w:bookmarkEnd w:id="1020"/>
    <w:p w14:paraId="4EE85CB5">
      <w:pPr>
        <w:pStyle w:val="4"/>
        <w:keepNext w:val="0"/>
        <w:keepLines w:val="0"/>
        <w:spacing w:after="0"/>
        <w:jc w:val="center"/>
        <w:rPr>
          <w:rFonts w:ascii="Times New Roman" w:hAnsi="Times New Roman"/>
          <w:color w:val="auto"/>
          <w:highlight w:val="none"/>
        </w:rPr>
      </w:pPr>
      <w:bookmarkStart w:id="1022" w:name="_Toc32340"/>
      <w:bookmarkStart w:id="1023" w:name="_Toc6755"/>
      <w:r>
        <w:rPr>
          <w:rFonts w:hint="eastAsia" w:ascii="Times New Roman" w:hAnsi="Times New Roman"/>
          <w:color w:val="auto"/>
          <w:highlight w:val="none"/>
          <w:lang w:val="en-US" w:eastAsia="zh-CN"/>
        </w:rPr>
        <w:t>四</w:t>
      </w:r>
      <w:r>
        <w:rPr>
          <w:rFonts w:ascii="Times New Roman" w:hAnsi="Times New Roman"/>
          <w:color w:val="auto"/>
          <w:highlight w:val="none"/>
        </w:rPr>
        <w:t>、资格审查资料</w:t>
      </w:r>
      <w:bookmarkEnd w:id="1022"/>
      <w:bookmarkEnd w:id="1023"/>
    </w:p>
    <w:p w14:paraId="15E5B030">
      <w:pPr>
        <w:pStyle w:val="5"/>
        <w:keepNext w:val="0"/>
        <w:keepLines w:val="0"/>
        <w:spacing w:before="20" w:after="0"/>
        <w:ind w:firstLine="137"/>
        <w:jc w:val="center"/>
        <w:rPr>
          <w:rFonts w:ascii="Times New Roman" w:hAnsi="Times New Roman"/>
          <w:color w:val="auto"/>
          <w:highlight w:val="none"/>
        </w:rPr>
      </w:pPr>
      <w:bookmarkStart w:id="1024" w:name="_Toc31262"/>
      <w:bookmarkStart w:id="1025" w:name="_Toc25680"/>
      <w:bookmarkStart w:id="1026" w:name="_Toc14222"/>
      <w:r>
        <w:rPr>
          <w:rFonts w:ascii="Times New Roman" w:hAnsi="Times New Roman"/>
          <w:color w:val="auto"/>
          <w:highlight w:val="none"/>
        </w:rPr>
        <w:t>（一）基本情况表（格式可自定）</w:t>
      </w:r>
      <w:bookmarkEnd w:id="1024"/>
      <w:bookmarkEnd w:id="1025"/>
      <w:bookmarkEnd w:id="1026"/>
    </w:p>
    <w:tbl>
      <w:tblPr>
        <w:tblStyle w:val="16"/>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8543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12C376">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AD04E61">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36E60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0B77521">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70B671F">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30FB5D1">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DED4FED">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26EE9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457094AC">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ECC547B">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54D1A55">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9DDB299">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D5A5B8C">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4226F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3767316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0BF90BEB">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406C7F5">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7CCF2B3">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D1DEE6E">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70F1A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9A749AF">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089A0E3">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C2B3D5A">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41821944">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B89810F">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CAA4219">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6231522">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6CF50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379F853">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B8679C5">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1970A0B">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2BFB4D9">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F45A331">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F84C919">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96E1F58">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1851E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95F8FE">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企业</w:t>
            </w:r>
            <w:r>
              <w:rPr>
                <w:rFonts w:hint="default" w:ascii="Times New Roman" w:hAnsi="Times New Roman"/>
                <w:color w:val="auto"/>
                <w:szCs w:val="21"/>
                <w:highlight w:val="none"/>
              </w:rPr>
              <w:t>监理</w:t>
            </w:r>
            <w:r>
              <w:rPr>
                <w:rFonts w:hint="default" w:ascii="Times New Roman" w:hAnsi="Times New Roman"/>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5118D53">
            <w:pPr>
              <w:keepNext w:val="0"/>
              <w:keepLines w:val="0"/>
              <w:suppressLineNumbers w:val="0"/>
              <w:topLinePunct/>
              <w:spacing w:before="100" w:beforeAutospacing="1" w:after="100" w:afterAutospacing="1" w:line="440" w:lineRule="exact"/>
              <w:ind w:left="0" w:right="0" w:firstLine="105" w:firstLineChars="50"/>
              <w:jc w:val="center"/>
              <w:rPr>
                <w:rFonts w:hint="default" w:ascii="Times New Roman" w:hAnsi="Times New Roman"/>
                <w:color w:val="auto"/>
                <w:highlight w:val="none"/>
              </w:rPr>
            </w:pPr>
            <w:r>
              <w:rPr>
                <w:rFonts w:hint="default" w:ascii="Times New Roman" w:hAnsi="Times New Roman"/>
                <w:color w:val="auto"/>
                <w:highlight w:val="none"/>
              </w:rPr>
              <w:t>类型：                    等级：      证书号：</w:t>
            </w:r>
          </w:p>
        </w:tc>
      </w:tr>
      <w:tr w14:paraId="0039E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DE3EA92">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447F2B9">
            <w:pPr>
              <w:keepNext w:val="0"/>
              <w:keepLines w:val="0"/>
              <w:suppressLineNumbers w:val="0"/>
              <w:topLinePunct/>
              <w:spacing w:before="100" w:beforeAutospacing="1" w:after="100" w:afterAutospacing="1" w:line="440" w:lineRule="exact"/>
              <w:ind w:left="0" w:right="0" w:firstLine="105" w:firstLineChars="50"/>
              <w:jc w:val="center"/>
              <w:rPr>
                <w:rFonts w:hint="default" w:ascii="Times New Roman" w:hAnsi="Times New Roman"/>
                <w:color w:val="auto"/>
                <w:highlight w:val="none"/>
              </w:rPr>
            </w:pPr>
            <w:r>
              <w:rPr>
                <w:rFonts w:hint="default" w:ascii="Times New Roman" w:hAnsi="Times New Roman"/>
                <w:color w:val="auto"/>
                <w:highlight w:val="none"/>
              </w:rPr>
              <w:t>类型：                    等级：      证书号：</w:t>
            </w:r>
          </w:p>
        </w:tc>
      </w:tr>
      <w:tr w14:paraId="6F880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6D1E097">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2D6E14F">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69FFF0C6">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员工总人数：</w:t>
            </w:r>
          </w:p>
        </w:tc>
      </w:tr>
      <w:tr w14:paraId="2F863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88AD42">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C63D88D">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3C327E58">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CEADDAA">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A02D733">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3E147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757AA02">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7B113AF">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14:paraId="00BBB27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5C97E40">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8D15D8C">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4DA8F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49CC6D6">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C99789A">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14:paraId="64281CB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890A093">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A9B13BF">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23BB4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236D8A4">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7E5B10B">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14:paraId="64762C0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2C7586D">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2C81BAE">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3C73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6FC6DCF">
            <w:pPr>
              <w:keepNext w:val="0"/>
              <w:keepLines w:val="0"/>
              <w:suppressLineNumbers w:val="0"/>
              <w:topLinePunct/>
              <w:spacing w:before="100" w:beforeAutospacing="1" w:after="100" w:afterAutospacing="1" w:line="440" w:lineRule="exact"/>
              <w:ind w:left="0" w:right="0" w:firstLine="210" w:firstLineChars="100"/>
              <w:jc w:val="center"/>
              <w:rPr>
                <w:rFonts w:hint="default" w:ascii="Times New Roman" w:hAnsi="Times New Roman"/>
                <w:color w:val="auto"/>
                <w:highlight w:val="none"/>
              </w:rPr>
            </w:pPr>
            <w:r>
              <w:rPr>
                <w:rFonts w:hint="default" w:ascii="Times New Roman" w:hAnsi="Times New Roman"/>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12EB84D3">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3AE8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12587A1F">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3430018F">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r w14:paraId="52866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2152224">
            <w:pPr>
              <w:keepNext w:val="0"/>
              <w:keepLines w:val="0"/>
              <w:suppressLineNumbers w:val="0"/>
              <w:topLinePunct/>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FDD5B4A">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p>
        </w:tc>
      </w:tr>
    </w:tbl>
    <w:p w14:paraId="04F0D05C">
      <w:pPr>
        <w:spacing w:line="400" w:lineRule="exact"/>
        <w:rPr>
          <w:rFonts w:ascii="Times New Roman" w:hAnsi="Times New Roman"/>
          <w:color w:val="auto"/>
          <w:highlight w:val="none"/>
        </w:rPr>
      </w:pPr>
      <w:r>
        <w:rPr>
          <w:rFonts w:ascii="Times New Roman" w:hAnsi="Times New Roman"/>
          <w:color w:val="auto"/>
          <w:highlight w:val="none"/>
        </w:rPr>
        <w:t>注：</w:t>
      </w:r>
      <w:r>
        <w:rPr>
          <w:rFonts w:hint="eastAsia" w:ascii="宋体" w:hAnsi="宋体" w:cs="宋体"/>
          <w:color w:val="auto"/>
          <w:szCs w:val="20"/>
          <w:highlight w:val="none"/>
        </w:rPr>
        <w:t>在本表后附相关证</w:t>
      </w:r>
      <w:bookmarkStart w:id="1027" w:name="_Toc520184752"/>
      <w:r>
        <w:rPr>
          <w:rFonts w:hint="eastAsia" w:ascii="宋体" w:hAnsi="宋体" w:cs="宋体"/>
          <w:color w:val="auto"/>
          <w:szCs w:val="20"/>
          <w:highlight w:val="none"/>
        </w:rPr>
        <w:t>明材料。</w:t>
      </w:r>
      <w:bookmarkEnd w:id="1027"/>
    </w:p>
    <w:p w14:paraId="0BA18F46">
      <w:pPr>
        <w:pStyle w:val="5"/>
        <w:keepNext w:val="0"/>
        <w:keepLines w:val="0"/>
        <w:ind w:firstLine="137"/>
        <w:rPr>
          <w:rFonts w:ascii="Times New Roman" w:hAnsi="Times New Roman"/>
          <w:color w:val="auto"/>
          <w:highlight w:val="none"/>
        </w:rPr>
      </w:pPr>
    </w:p>
    <w:bookmarkEnd w:id="1021"/>
    <w:p w14:paraId="5045D5DE">
      <w:pPr>
        <w:pStyle w:val="5"/>
        <w:keepNext w:val="0"/>
        <w:keepLines w:val="0"/>
        <w:spacing w:before="20" w:after="0"/>
        <w:ind w:firstLine="137"/>
        <w:jc w:val="center"/>
        <w:rPr>
          <w:rFonts w:ascii="Times New Roman" w:hAnsi="Times New Roman"/>
          <w:color w:val="auto"/>
          <w:highlight w:val="none"/>
        </w:rPr>
      </w:pPr>
      <w:bookmarkStart w:id="1028" w:name="_Toc179632825"/>
      <w:bookmarkStart w:id="1029" w:name="_Toc152045805"/>
      <w:bookmarkStart w:id="1030" w:name="_Toc9737"/>
      <w:bookmarkStart w:id="1031" w:name="_Toc152042594"/>
      <w:bookmarkStart w:id="1032" w:name="_Toc385943079"/>
      <w:bookmarkStart w:id="1033" w:name="_Toc359594249"/>
      <w:bookmarkStart w:id="1034" w:name="_Toc370676440"/>
      <w:bookmarkStart w:id="1035" w:name="_Toc144974873"/>
      <w:bookmarkStart w:id="1036" w:name="_Toc300835232"/>
      <w:bookmarkStart w:id="1037" w:name="_Toc482188668"/>
      <w:bookmarkStart w:id="1038" w:name="_Toc384308390"/>
      <w:bookmarkStart w:id="1039" w:name="_Toc391394125"/>
      <w:bookmarkStart w:id="1040" w:name="_Toc12664"/>
      <w:bookmarkStart w:id="1041" w:name="_Toc29422"/>
      <w:bookmarkStart w:id="1042" w:name="_Toc12423"/>
      <w:r>
        <w:rPr>
          <w:rFonts w:ascii="Times New Roman" w:hAnsi="Times New Roman"/>
          <w:color w:val="auto"/>
          <w:highlight w:val="none"/>
        </w:rPr>
        <w:t>（</w:t>
      </w:r>
      <w:r>
        <w:rPr>
          <w:rFonts w:hint="eastAsia" w:ascii="Times New Roman" w:hAnsi="Times New Roman"/>
          <w:color w:val="auto"/>
          <w:highlight w:val="none"/>
        </w:rPr>
        <w:t>二</w:t>
      </w:r>
      <w:r>
        <w:rPr>
          <w:rFonts w:ascii="Times New Roman" w:hAnsi="Times New Roman"/>
          <w:color w:val="auto"/>
          <w:highlight w:val="none"/>
        </w:rPr>
        <w:t>）</w:t>
      </w:r>
      <w:r>
        <w:rPr>
          <w:rFonts w:hint="eastAsia" w:ascii="Times New Roman" w:hAnsi="Times New Roman"/>
          <w:color w:val="auto"/>
          <w:highlight w:val="none"/>
        </w:rPr>
        <w:t>总监理工程师</w:t>
      </w:r>
      <w:r>
        <w:rPr>
          <w:rFonts w:ascii="Times New Roman" w:hAnsi="Times New Roman"/>
          <w:color w:val="auto"/>
          <w:highlight w:val="none"/>
        </w:rPr>
        <w:t>简历表</w:t>
      </w:r>
      <w:bookmarkEnd w:id="1028"/>
      <w:bookmarkEnd w:id="1029"/>
      <w:bookmarkEnd w:id="1030"/>
      <w:bookmarkEnd w:id="1031"/>
      <w:bookmarkEnd w:id="1032"/>
      <w:bookmarkEnd w:id="1033"/>
      <w:bookmarkEnd w:id="1034"/>
      <w:bookmarkEnd w:id="1035"/>
      <w:bookmarkEnd w:id="1036"/>
      <w:bookmarkEnd w:id="1037"/>
      <w:bookmarkEnd w:id="1038"/>
      <w:bookmarkEnd w:id="1039"/>
      <w:r>
        <w:rPr>
          <w:rFonts w:ascii="Times New Roman" w:hAnsi="Times New Roman"/>
          <w:color w:val="auto"/>
          <w:highlight w:val="none"/>
        </w:rPr>
        <w:t>（格式可自定）</w:t>
      </w:r>
      <w:bookmarkEnd w:id="1040"/>
      <w:bookmarkEnd w:id="1041"/>
      <w:bookmarkEnd w:id="1042"/>
    </w:p>
    <w:p w14:paraId="4370D2BF">
      <w:pPr>
        <w:topLinePunct/>
        <w:spacing w:line="440" w:lineRule="exact"/>
        <w:jc w:val="center"/>
        <w:rPr>
          <w:rFonts w:ascii="Times New Roman" w:hAnsi="Times New Roman"/>
          <w:color w:val="auto"/>
          <w:sz w:val="23"/>
          <w:highlight w:val="none"/>
        </w:rPr>
      </w:pP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06AA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3E469AAC">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姓  名</w:t>
            </w:r>
          </w:p>
        </w:tc>
        <w:tc>
          <w:tcPr>
            <w:tcW w:w="1048" w:type="dxa"/>
            <w:gridSpan w:val="2"/>
            <w:vAlign w:val="center"/>
          </w:tcPr>
          <w:p w14:paraId="7F180F28">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958" w:type="dxa"/>
            <w:vAlign w:val="center"/>
          </w:tcPr>
          <w:p w14:paraId="16EF7BF9">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年龄</w:t>
            </w:r>
          </w:p>
        </w:tc>
        <w:tc>
          <w:tcPr>
            <w:tcW w:w="1065" w:type="dxa"/>
            <w:vAlign w:val="center"/>
          </w:tcPr>
          <w:p w14:paraId="04DB9F4C">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2368" w:type="dxa"/>
            <w:gridSpan w:val="3"/>
            <w:vAlign w:val="center"/>
          </w:tcPr>
          <w:p w14:paraId="328F42DA">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执业资格证书（或上岗证书）名称</w:t>
            </w:r>
          </w:p>
        </w:tc>
        <w:tc>
          <w:tcPr>
            <w:tcW w:w="1896" w:type="dxa"/>
            <w:vAlign w:val="center"/>
          </w:tcPr>
          <w:p w14:paraId="6534026B">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r>
      <w:tr w14:paraId="7C15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29E46B8">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职  称</w:t>
            </w:r>
          </w:p>
        </w:tc>
        <w:tc>
          <w:tcPr>
            <w:tcW w:w="1048" w:type="dxa"/>
            <w:gridSpan w:val="2"/>
            <w:vAlign w:val="center"/>
          </w:tcPr>
          <w:p w14:paraId="1947113E">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958" w:type="dxa"/>
            <w:vAlign w:val="center"/>
          </w:tcPr>
          <w:p w14:paraId="2FB3F216">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学历</w:t>
            </w:r>
          </w:p>
        </w:tc>
        <w:tc>
          <w:tcPr>
            <w:tcW w:w="1065" w:type="dxa"/>
            <w:vAlign w:val="center"/>
          </w:tcPr>
          <w:p w14:paraId="71D44472">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2368" w:type="dxa"/>
            <w:gridSpan w:val="3"/>
            <w:vAlign w:val="center"/>
          </w:tcPr>
          <w:p w14:paraId="0CB1095A">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拟在本项目任职</w:t>
            </w:r>
          </w:p>
        </w:tc>
        <w:tc>
          <w:tcPr>
            <w:tcW w:w="1896" w:type="dxa"/>
            <w:vAlign w:val="center"/>
          </w:tcPr>
          <w:p w14:paraId="1F9DF12F">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r>
      <w:tr w14:paraId="248D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393A24A">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工作年限</w:t>
            </w:r>
          </w:p>
        </w:tc>
        <w:tc>
          <w:tcPr>
            <w:tcW w:w="3071" w:type="dxa"/>
            <w:gridSpan w:val="4"/>
            <w:vAlign w:val="center"/>
          </w:tcPr>
          <w:p w14:paraId="3E8FD120">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2368" w:type="dxa"/>
            <w:gridSpan w:val="3"/>
            <w:vAlign w:val="center"/>
          </w:tcPr>
          <w:p w14:paraId="669D0ACF">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从事监理工作年限</w:t>
            </w:r>
          </w:p>
        </w:tc>
        <w:tc>
          <w:tcPr>
            <w:tcW w:w="1896" w:type="dxa"/>
            <w:vAlign w:val="center"/>
          </w:tcPr>
          <w:p w14:paraId="1E063607">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r>
      <w:tr w14:paraId="0F35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11ADE136">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毕业学校</w:t>
            </w:r>
          </w:p>
        </w:tc>
        <w:tc>
          <w:tcPr>
            <w:tcW w:w="7335" w:type="dxa"/>
            <w:gridSpan w:val="8"/>
            <w:vAlign w:val="center"/>
          </w:tcPr>
          <w:p w14:paraId="4F482DB7">
            <w:pPr>
              <w:keepNext w:val="0"/>
              <w:keepLines w:val="0"/>
              <w:suppressLineNumbers w:val="0"/>
              <w:spacing w:before="100" w:beforeAutospacing="1" w:after="100" w:afterAutospacing="1" w:line="440" w:lineRule="exact"/>
              <w:ind w:left="0" w:right="0" w:firstLine="1155" w:firstLineChars="550"/>
              <w:rPr>
                <w:rFonts w:hint="default" w:ascii="Times New Roman" w:hAnsi="Times New Roman"/>
                <w:color w:val="auto"/>
                <w:highlight w:val="none"/>
              </w:rPr>
            </w:pPr>
            <w:r>
              <w:rPr>
                <w:rFonts w:hint="default" w:ascii="Times New Roman" w:hAnsi="Times New Roman"/>
                <w:color w:val="auto"/>
                <w:highlight w:val="none"/>
              </w:rPr>
              <w:t>年毕业于            学校        专业</w:t>
            </w:r>
          </w:p>
        </w:tc>
      </w:tr>
      <w:tr w14:paraId="3800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D569EB2">
            <w:pPr>
              <w:keepNext w:val="0"/>
              <w:keepLines w:val="0"/>
              <w:suppressLineNumbers w:val="0"/>
              <w:spacing w:before="100" w:beforeAutospacing="1" w:after="100" w:afterAutospacing="1" w:line="44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主要工作经历</w:t>
            </w:r>
          </w:p>
        </w:tc>
      </w:tr>
      <w:tr w14:paraId="773C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1B880C7E">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时  间</w:t>
            </w:r>
          </w:p>
        </w:tc>
        <w:tc>
          <w:tcPr>
            <w:tcW w:w="3420" w:type="dxa"/>
            <w:gridSpan w:val="4"/>
            <w:vAlign w:val="center"/>
          </w:tcPr>
          <w:p w14:paraId="4E2143E5">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参加过的类似项目</w:t>
            </w:r>
          </w:p>
        </w:tc>
        <w:tc>
          <w:tcPr>
            <w:tcW w:w="1261" w:type="dxa"/>
            <w:vAlign w:val="center"/>
          </w:tcPr>
          <w:p w14:paraId="5D88F100">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担任职务</w:t>
            </w:r>
          </w:p>
        </w:tc>
        <w:tc>
          <w:tcPr>
            <w:tcW w:w="2297" w:type="dxa"/>
            <w:gridSpan w:val="2"/>
            <w:vAlign w:val="center"/>
          </w:tcPr>
          <w:p w14:paraId="4BBC6D94">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委托人及联系电话</w:t>
            </w:r>
          </w:p>
        </w:tc>
      </w:tr>
      <w:tr w14:paraId="56EC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11EAC4A">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tcPr>
          <w:p w14:paraId="056641E4">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tcPr>
          <w:p w14:paraId="1D2ADE53">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tcPr>
          <w:p w14:paraId="4575BF76">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313B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9E86364">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tcPr>
          <w:p w14:paraId="57C8B920">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tcPr>
          <w:p w14:paraId="76AAC6AA">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tcPr>
          <w:p w14:paraId="7C5B7EB2">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6338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FA7488E">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tcPr>
          <w:p w14:paraId="788295C3">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tcPr>
          <w:p w14:paraId="573FEF12">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tcPr>
          <w:p w14:paraId="228DE8AE">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75EC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2F0B52B">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vAlign w:val="center"/>
          </w:tcPr>
          <w:p w14:paraId="479A2F24">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vAlign w:val="center"/>
          </w:tcPr>
          <w:p w14:paraId="2CDB4F43">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vAlign w:val="center"/>
          </w:tcPr>
          <w:p w14:paraId="165262AB">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279F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AEF2314">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vAlign w:val="center"/>
          </w:tcPr>
          <w:p w14:paraId="4A1C2BFA">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vAlign w:val="center"/>
          </w:tcPr>
          <w:p w14:paraId="2B65C71F">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vAlign w:val="center"/>
          </w:tcPr>
          <w:p w14:paraId="314A4CDE">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0354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8A05CC9">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vAlign w:val="center"/>
          </w:tcPr>
          <w:p w14:paraId="69A82BA2">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vAlign w:val="center"/>
          </w:tcPr>
          <w:p w14:paraId="3F45DD0F">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vAlign w:val="center"/>
          </w:tcPr>
          <w:p w14:paraId="20D5CCEA">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0350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2DC0D21">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vAlign w:val="center"/>
          </w:tcPr>
          <w:p w14:paraId="6127DF1D">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vAlign w:val="center"/>
          </w:tcPr>
          <w:p w14:paraId="2986FF90">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vAlign w:val="center"/>
          </w:tcPr>
          <w:p w14:paraId="7A826401">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bl>
    <w:p w14:paraId="404A1ED0">
      <w:pPr>
        <w:spacing w:line="440" w:lineRule="exact"/>
        <w:rPr>
          <w:rFonts w:ascii="Times New Roman" w:hAnsi="Times New Roman"/>
          <w:color w:val="auto"/>
          <w:highlight w:val="none"/>
        </w:rPr>
      </w:pPr>
      <w:r>
        <w:rPr>
          <w:rFonts w:ascii="Times New Roman" w:hAnsi="Times New Roman"/>
          <w:color w:val="auto"/>
          <w:highlight w:val="none"/>
        </w:rPr>
        <w:t>注：</w:t>
      </w:r>
      <w:r>
        <w:rPr>
          <w:rFonts w:hint="eastAsia" w:ascii="Times New Roman" w:hAnsi="Times New Roman"/>
          <w:color w:val="auto"/>
          <w:highlight w:val="none"/>
        </w:rPr>
        <w:t>在本表后附相关证明材料。</w:t>
      </w:r>
    </w:p>
    <w:p w14:paraId="581247A5">
      <w:pPr>
        <w:spacing w:line="440" w:lineRule="exact"/>
        <w:rPr>
          <w:rFonts w:ascii="Times New Roman" w:hAnsi="Times New Roman"/>
          <w:color w:val="auto"/>
          <w:highlight w:val="none"/>
        </w:rPr>
      </w:pPr>
    </w:p>
    <w:p w14:paraId="376F3BF7">
      <w:pPr>
        <w:spacing w:line="440" w:lineRule="exact"/>
        <w:rPr>
          <w:rFonts w:ascii="Times New Roman" w:hAnsi="Times New Roman"/>
          <w:color w:val="auto"/>
          <w:highlight w:val="none"/>
        </w:rPr>
      </w:pPr>
      <w:bookmarkStart w:id="1043" w:name="_Toc352703741"/>
      <w:bookmarkStart w:id="1044" w:name="_Toc300835229"/>
    </w:p>
    <w:p w14:paraId="20E2B6F2">
      <w:pPr>
        <w:spacing w:line="440" w:lineRule="exact"/>
        <w:jc w:val="center"/>
        <w:rPr>
          <w:rFonts w:ascii="Times New Roman" w:hAnsi="Times New Roman" w:eastAsia="黑体"/>
          <w:color w:val="auto"/>
          <w:sz w:val="28"/>
          <w:szCs w:val="20"/>
          <w:highlight w:val="none"/>
        </w:rPr>
      </w:pPr>
    </w:p>
    <w:p w14:paraId="2711A23D">
      <w:pPr>
        <w:pStyle w:val="14"/>
        <w:rPr>
          <w:color w:val="auto"/>
          <w:highlight w:val="none"/>
        </w:rPr>
      </w:pPr>
    </w:p>
    <w:p w14:paraId="2F38151B">
      <w:pPr>
        <w:spacing w:line="440" w:lineRule="exact"/>
        <w:jc w:val="center"/>
        <w:rPr>
          <w:rFonts w:ascii="Times New Roman" w:hAnsi="Times New Roman" w:eastAsia="黑体"/>
          <w:color w:val="auto"/>
          <w:sz w:val="28"/>
          <w:szCs w:val="20"/>
          <w:highlight w:val="none"/>
        </w:rPr>
      </w:pPr>
    </w:p>
    <w:bookmarkEnd w:id="1043"/>
    <w:bookmarkEnd w:id="1044"/>
    <w:p w14:paraId="4FBE78DE">
      <w:pPr>
        <w:spacing w:line="440" w:lineRule="exact"/>
        <w:jc w:val="center"/>
        <w:rPr>
          <w:rFonts w:ascii="Times New Roman" w:hAnsi="Times New Roman" w:eastAsia="黑体"/>
          <w:color w:val="auto"/>
          <w:sz w:val="28"/>
          <w:szCs w:val="20"/>
          <w:highlight w:val="none"/>
        </w:rPr>
      </w:pPr>
      <w:bookmarkStart w:id="1045" w:name="_Toc482188666"/>
    </w:p>
    <w:p w14:paraId="58B86E6C">
      <w:pPr>
        <w:pStyle w:val="5"/>
        <w:keepNext w:val="0"/>
        <w:keepLines w:val="0"/>
        <w:spacing w:before="20" w:after="0"/>
        <w:ind w:firstLine="137"/>
        <w:jc w:val="left"/>
        <w:rPr>
          <w:rFonts w:ascii="Times New Roman" w:hAnsi="Times New Roman"/>
          <w:color w:val="auto"/>
          <w:highlight w:val="none"/>
        </w:rPr>
      </w:pPr>
      <w:bookmarkStart w:id="1046" w:name="_Toc253"/>
      <w:bookmarkStart w:id="1047" w:name="_Toc1193"/>
      <w:bookmarkStart w:id="1048" w:name="_Toc168"/>
      <w:r>
        <w:rPr>
          <w:rFonts w:ascii="Times New Roman" w:hAnsi="Times New Roman"/>
          <w:color w:val="auto"/>
          <w:highlight w:val="none"/>
        </w:rPr>
        <w:t>（</w:t>
      </w:r>
      <w:r>
        <w:rPr>
          <w:rFonts w:hint="eastAsia" w:ascii="Times New Roman" w:hAnsi="Times New Roman"/>
          <w:color w:val="auto"/>
          <w:highlight w:val="none"/>
        </w:rPr>
        <w:t>三</w:t>
      </w:r>
      <w:r>
        <w:rPr>
          <w:rFonts w:ascii="Times New Roman" w:hAnsi="Times New Roman"/>
          <w:color w:val="auto"/>
          <w:highlight w:val="none"/>
        </w:rPr>
        <w:t>）</w:t>
      </w:r>
      <w:r>
        <w:rPr>
          <w:rFonts w:hint="eastAsia" w:ascii="Times New Roman" w:hAnsi="Times New Roman"/>
          <w:color w:val="auto"/>
          <w:highlight w:val="none"/>
        </w:rPr>
        <w:t>资格审查前在</w:t>
      </w:r>
      <w:r>
        <w:rPr>
          <w:rFonts w:hint="eastAsia" w:ascii="Times New Roman" w:hAnsi="Times New Roman"/>
          <w:color w:val="auto"/>
          <w:highlight w:val="none"/>
          <w:lang w:eastAsia="zh-CN"/>
        </w:rPr>
        <w:t>广州交易集团有限公司（广州公共资源交易中心）</w:t>
      </w:r>
      <w:r>
        <w:rPr>
          <w:rFonts w:hint="eastAsia" w:ascii="Times New Roman" w:hAnsi="Times New Roman"/>
          <w:color w:val="auto"/>
          <w:highlight w:val="none"/>
        </w:rPr>
        <w:t>企业库的信息截图</w:t>
      </w:r>
      <w:bookmarkEnd w:id="1046"/>
      <w:bookmarkEnd w:id="1047"/>
      <w:bookmarkEnd w:id="1048"/>
    </w:p>
    <w:p w14:paraId="311AF512">
      <w:pPr>
        <w:spacing w:line="440" w:lineRule="exact"/>
        <w:rPr>
          <w:rFonts w:ascii="Times New Roman" w:hAnsi="Times New Roman"/>
          <w:color w:val="auto"/>
          <w:highlight w:val="none"/>
        </w:rPr>
      </w:pPr>
    </w:p>
    <w:p w14:paraId="3AC0A876">
      <w:pPr>
        <w:spacing w:line="440" w:lineRule="exact"/>
        <w:jc w:val="center"/>
        <w:rPr>
          <w:rFonts w:ascii="Times New Roman" w:hAnsi="Times New Roman"/>
          <w:color w:val="auto"/>
          <w:highlight w:val="none"/>
        </w:rPr>
      </w:pPr>
      <w:r>
        <w:rPr>
          <w:rFonts w:ascii="Times New Roman" w:hAnsi="Times New Roman"/>
          <w:color w:val="auto"/>
          <w:highlight w:val="none"/>
        </w:rPr>
        <w:t>注：附相关证明材料。</w:t>
      </w:r>
    </w:p>
    <w:p w14:paraId="13179EF8">
      <w:pPr>
        <w:pStyle w:val="5"/>
        <w:keepNext w:val="0"/>
        <w:keepLines w:val="0"/>
        <w:spacing w:before="20" w:after="0"/>
        <w:ind w:firstLine="137"/>
        <w:jc w:val="center"/>
        <w:rPr>
          <w:rFonts w:ascii="Times New Roman" w:hAnsi="Times New Roman"/>
          <w:color w:val="auto"/>
          <w:highlight w:val="none"/>
        </w:rPr>
      </w:pPr>
      <w:r>
        <w:rPr>
          <w:rFonts w:ascii="Times New Roman" w:hAnsi="Times New Roman"/>
          <w:color w:val="auto"/>
          <w:highlight w:val="none"/>
        </w:rPr>
        <w:br w:type="page"/>
      </w:r>
      <w:bookmarkEnd w:id="1045"/>
      <w:bookmarkStart w:id="1049" w:name="_Toc26812"/>
      <w:bookmarkStart w:id="1050" w:name="_Toc27871"/>
      <w:bookmarkStart w:id="1051" w:name="_Toc24618"/>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w:t>
      </w:r>
      <w:r>
        <w:rPr>
          <w:rFonts w:hint="eastAsia" w:ascii="Times New Roman" w:hAnsi="Times New Roman"/>
          <w:color w:val="auto"/>
          <w:highlight w:val="none"/>
        </w:rPr>
        <w:t>投标人声明</w:t>
      </w:r>
      <w:bookmarkEnd w:id="1049"/>
      <w:bookmarkEnd w:id="1050"/>
      <w:bookmarkEnd w:id="1051"/>
    </w:p>
    <w:p w14:paraId="6D33147C">
      <w:pPr>
        <w:pStyle w:val="4"/>
        <w:keepNext w:val="0"/>
        <w:keepLines w:val="0"/>
        <w:jc w:val="center"/>
        <w:rPr>
          <w:rFonts w:ascii="Times New Roman" w:hAnsi="Times New Roman" w:eastAsia="宋体"/>
          <w:b w:val="0"/>
          <w:color w:val="auto"/>
          <w:sz w:val="21"/>
          <w:szCs w:val="22"/>
          <w:highlight w:val="none"/>
        </w:rPr>
      </w:pPr>
      <w:bookmarkStart w:id="1052" w:name="_Toc30285"/>
      <w:bookmarkStart w:id="1053" w:name="_Toc5124"/>
      <w:bookmarkStart w:id="1054" w:name="_Toc571"/>
      <w:bookmarkStart w:id="1055" w:name="_Toc23748"/>
      <w:r>
        <w:rPr>
          <w:rFonts w:hint="eastAsia" w:ascii="Times New Roman" w:hAnsi="Times New Roman" w:eastAsia="宋体"/>
          <w:b w:val="0"/>
          <w:color w:val="auto"/>
          <w:sz w:val="21"/>
          <w:szCs w:val="22"/>
          <w:highlight w:val="none"/>
        </w:rPr>
        <w:t>格式详见招标公告附件一</w:t>
      </w:r>
      <w:bookmarkEnd w:id="1052"/>
      <w:bookmarkEnd w:id="1053"/>
      <w:bookmarkEnd w:id="1054"/>
      <w:bookmarkEnd w:id="1055"/>
    </w:p>
    <w:p w14:paraId="47643354">
      <w:pPr>
        <w:spacing w:line="360" w:lineRule="auto"/>
        <w:ind w:firstLine="4920" w:firstLineChars="2050"/>
        <w:rPr>
          <w:rFonts w:ascii="宋体" w:hAnsi="宋体" w:cs="宋体"/>
          <w:color w:val="auto"/>
          <w:kern w:val="0"/>
          <w:sz w:val="24"/>
          <w:szCs w:val="24"/>
          <w:highlight w:val="none"/>
        </w:rPr>
      </w:pPr>
    </w:p>
    <w:p w14:paraId="6941BF7D">
      <w:pPr>
        <w:pStyle w:val="8"/>
        <w:rPr>
          <w:rFonts w:ascii="宋体" w:hAnsi="宋体" w:cs="宋体"/>
          <w:color w:val="auto"/>
          <w:kern w:val="0"/>
          <w:sz w:val="24"/>
          <w:szCs w:val="24"/>
          <w:highlight w:val="none"/>
        </w:rPr>
      </w:pPr>
    </w:p>
    <w:p w14:paraId="07877C2C">
      <w:pPr>
        <w:pStyle w:val="8"/>
        <w:rPr>
          <w:rFonts w:ascii="宋体" w:hAnsi="宋体" w:cs="宋体"/>
          <w:color w:val="auto"/>
          <w:kern w:val="0"/>
          <w:sz w:val="24"/>
          <w:szCs w:val="24"/>
          <w:highlight w:val="none"/>
        </w:rPr>
      </w:pPr>
    </w:p>
    <w:p w14:paraId="199644D6">
      <w:pPr>
        <w:pStyle w:val="8"/>
        <w:rPr>
          <w:rFonts w:ascii="宋体" w:hAnsi="宋体" w:cs="宋体"/>
          <w:color w:val="auto"/>
          <w:kern w:val="0"/>
          <w:sz w:val="24"/>
          <w:szCs w:val="24"/>
          <w:highlight w:val="none"/>
        </w:rPr>
      </w:pPr>
    </w:p>
    <w:p w14:paraId="7679ADEA">
      <w:pPr>
        <w:pStyle w:val="8"/>
        <w:rPr>
          <w:rFonts w:ascii="宋体" w:hAnsi="宋体" w:cs="宋体"/>
          <w:color w:val="auto"/>
          <w:kern w:val="0"/>
          <w:sz w:val="24"/>
          <w:szCs w:val="24"/>
          <w:highlight w:val="none"/>
        </w:rPr>
      </w:pPr>
    </w:p>
    <w:p w14:paraId="7E0389DD">
      <w:pPr>
        <w:pStyle w:val="8"/>
        <w:rPr>
          <w:rFonts w:ascii="宋体" w:hAnsi="宋体" w:cs="宋体"/>
          <w:color w:val="auto"/>
          <w:kern w:val="0"/>
          <w:sz w:val="24"/>
          <w:szCs w:val="24"/>
          <w:highlight w:val="none"/>
        </w:rPr>
      </w:pPr>
    </w:p>
    <w:p w14:paraId="6579E39A">
      <w:pPr>
        <w:pStyle w:val="8"/>
        <w:rPr>
          <w:rFonts w:ascii="宋体" w:hAnsi="宋体" w:cs="宋体"/>
          <w:color w:val="auto"/>
          <w:kern w:val="0"/>
          <w:sz w:val="24"/>
          <w:szCs w:val="24"/>
          <w:highlight w:val="none"/>
        </w:rPr>
      </w:pPr>
    </w:p>
    <w:p w14:paraId="40B302F7">
      <w:pPr>
        <w:pStyle w:val="8"/>
        <w:rPr>
          <w:rFonts w:ascii="宋体" w:hAnsi="宋体" w:cs="宋体"/>
          <w:color w:val="auto"/>
          <w:kern w:val="0"/>
          <w:sz w:val="24"/>
          <w:szCs w:val="24"/>
          <w:highlight w:val="none"/>
        </w:rPr>
      </w:pPr>
    </w:p>
    <w:p w14:paraId="30BD69BF">
      <w:pPr>
        <w:pStyle w:val="8"/>
        <w:rPr>
          <w:rFonts w:ascii="宋体" w:hAnsi="宋体" w:cs="宋体"/>
          <w:color w:val="auto"/>
          <w:kern w:val="0"/>
          <w:sz w:val="24"/>
          <w:szCs w:val="24"/>
          <w:highlight w:val="none"/>
        </w:rPr>
      </w:pPr>
    </w:p>
    <w:p w14:paraId="45C70808">
      <w:pPr>
        <w:pStyle w:val="8"/>
        <w:rPr>
          <w:rFonts w:ascii="宋体" w:hAnsi="宋体" w:cs="宋体"/>
          <w:color w:val="auto"/>
          <w:kern w:val="0"/>
          <w:sz w:val="24"/>
          <w:szCs w:val="24"/>
          <w:highlight w:val="none"/>
        </w:rPr>
      </w:pPr>
    </w:p>
    <w:p w14:paraId="502E4A8F">
      <w:pPr>
        <w:pStyle w:val="8"/>
        <w:rPr>
          <w:rFonts w:ascii="宋体" w:hAnsi="宋体" w:cs="宋体"/>
          <w:color w:val="auto"/>
          <w:kern w:val="0"/>
          <w:sz w:val="24"/>
          <w:szCs w:val="24"/>
          <w:highlight w:val="none"/>
        </w:rPr>
      </w:pPr>
    </w:p>
    <w:p w14:paraId="4E7D4D9D">
      <w:pPr>
        <w:pStyle w:val="8"/>
        <w:rPr>
          <w:rFonts w:ascii="宋体" w:hAnsi="宋体" w:cs="宋体"/>
          <w:color w:val="auto"/>
          <w:kern w:val="0"/>
          <w:sz w:val="24"/>
          <w:szCs w:val="24"/>
          <w:highlight w:val="none"/>
        </w:rPr>
      </w:pPr>
    </w:p>
    <w:p w14:paraId="4FF290AE">
      <w:pPr>
        <w:pStyle w:val="8"/>
        <w:rPr>
          <w:rFonts w:ascii="宋体" w:hAnsi="宋体" w:cs="宋体"/>
          <w:color w:val="auto"/>
          <w:kern w:val="0"/>
          <w:sz w:val="24"/>
          <w:szCs w:val="24"/>
          <w:highlight w:val="none"/>
        </w:rPr>
      </w:pPr>
    </w:p>
    <w:p w14:paraId="692FC29C">
      <w:pPr>
        <w:pStyle w:val="8"/>
        <w:rPr>
          <w:rFonts w:ascii="宋体" w:hAnsi="宋体" w:cs="宋体"/>
          <w:color w:val="auto"/>
          <w:kern w:val="0"/>
          <w:sz w:val="24"/>
          <w:szCs w:val="24"/>
          <w:highlight w:val="none"/>
        </w:rPr>
      </w:pPr>
    </w:p>
    <w:p w14:paraId="291E51A8">
      <w:pPr>
        <w:pStyle w:val="8"/>
        <w:rPr>
          <w:rFonts w:ascii="宋体" w:hAnsi="宋体" w:cs="宋体"/>
          <w:color w:val="auto"/>
          <w:kern w:val="0"/>
          <w:sz w:val="24"/>
          <w:szCs w:val="24"/>
          <w:highlight w:val="none"/>
        </w:rPr>
      </w:pPr>
    </w:p>
    <w:p w14:paraId="05F54781">
      <w:pPr>
        <w:pStyle w:val="8"/>
        <w:rPr>
          <w:rFonts w:ascii="宋体" w:hAnsi="宋体" w:cs="宋体"/>
          <w:color w:val="auto"/>
          <w:kern w:val="0"/>
          <w:sz w:val="24"/>
          <w:szCs w:val="24"/>
          <w:highlight w:val="none"/>
        </w:rPr>
      </w:pPr>
    </w:p>
    <w:p w14:paraId="313277DE">
      <w:pPr>
        <w:pStyle w:val="8"/>
        <w:rPr>
          <w:rFonts w:ascii="宋体" w:hAnsi="宋体" w:cs="宋体"/>
          <w:color w:val="auto"/>
          <w:kern w:val="0"/>
          <w:sz w:val="24"/>
          <w:szCs w:val="24"/>
          <w:highlight w:val="none"/>
        </w:rPr>
      </w:pPr>
    </w:p>
    <w:p w14:paraId="426657AB">
      <w:pPr>
        <w:pStyle w:val="8"/>
        <w:rPr>
          <w:rFonts w:ascii="宋体" w:hAnsi="宋体" w:cs="宋体"/>
          <w:color w:val="auto"/>
          <w:kern w:val="0"/>
          <w:sz w:val="24"/>
          <w:szCs w:val="24"/>
          <w:highlight w:val="none"/>
        </w:rPr>
      </w:pPr>
    </w:p>
    <w:p w14:paraId="76B44DE4">
      <w:pPr>
        <w:jc w:val="right"/>
        <w:rPr>
          <w:rFonts w:ascii="宋体" w:hAnsi="宋体" w:cs="宋体"/>
          <w:color w:val="auto"/>
          <w:kern w:val="0"/>
          <w:sz w:val="24"/>
          <w:highlight w:val="none"/>
        </w:rPr>
      </w:pPr>
    </w:p>
    <w:p w14:paraId="0627C610">
      <w:pPr>
        <w:rPr>
          <w:rFonts w:ascii="宋体" w:hAnsi="宋体" w:cs="宋体"/>
          <w:color w:val="auto"/>
          <w:kern w:val="0"/>
          <w:sz w:val="24"/>
          <w:highlight w:val="none"/>
        </w:rPr>
      </w:pPr>
    </w:p>
    <w:p w14:paraId="7BC8A607">
      <w:pPr>
        <w:rPr>
          <w:rFonts w:ascii="Times New Roman" w:hAnsi="Times New Roman"/>
          <w:color w:val="auto"/>
          <w:sz w:val="28"/>
          <w:szCs w:val="28"/>
          <w:highlight w:val="none"/>
        </w:rPr>
      </w:pPr>
    </w:p>
    <w:p w14:paraId="59626A0B">
      <w:pPr>
        <w:rPr>
          <w:rFonts w:ascii="Times New Roman" w:hAnsi="Times New Roman"/>
          <w:color w:val="auto"/>
          <w:sz w:val="28"/>
          <w:szCs w:val="28"/>
          <w:highlight w:val="none"/>
        </w:rPr>
      </w:pPr>
    </w:p>
    <w:p w14:paraId="59384EC0">
      <w:pPr>
        <w:jc w:val="center"/>
        <w:rPr>
          <w:rFonts w:ascii="Times New Roman" w:hAnsi="Times New Roman" w:eastAsia="黑体"/>
          <w:color w:val="auto"/>
          <w:sz w:val="28"/>
          <w:szCs w:val="20"/>
          <w:highlight w:val="none"/>
        </w:rPr>
      </w:pPr>
    </w:p>
    <w:p w14:paraId="69D2752B">
      <w:pPr>
        <w:jc w:val="center"/>
        <w:rPr>
          <w:rFonts w:ascii="Times New Roman" w:hAnsi="Times New Roman" w:eastAsia="黑体"/>
          <w:color w:val="auto"/>
          <w:sz w:val="28"/>
          <w:szCs w:val="20"/>
          <w:highlight w:val="none"/>
        </w:rPr>
      </w:pPr>
    </w:p>
    <w:p w14:paraId="4A6F85B9">
      <w:pPr>
        <w:jc w:val="center"/>
        <w:rPr>
          <w:rFonts w:ascii="Times New Roman" w:hAnsi="Times New Roman" w:eastAsia="黑体"/>
          <w:color w:val="auto"/>
          <w:sz w:val="28"/>
          <w:szCs w:val="20"/>
          <w:highlight w:val="none"/>
        </w:rPr>
      </w:pPr>
    </w:p>
    <w:p w14:paraId="448146C6">
      <w:pPr>
        <w:jc w:val="center"/>
        <w:rPr>
          <w:rFonts w:ascii="Times New Roman" w:hAnsi="Times New Roman" w:eastAsia="黑体"/>
          <w:color w:val="auto"/>
          <w:sz w:val="28"/>
          <w:szCs w:val="20"/>
          <w:highlight w:val="none"/>
        </w:rPr>
      </w:pPr>
    </w:p>
    <w:p w14:paraId="517C3E58">
      <w:pPr>
        <w:jc w:val="center"/>
        <w:rPr>
          <w:rFonts w:ascii="Times New Roman" w:hAnsi="Times New Roman" w:eastAsia="黑体"/>
          <w:color w:val="auto"/>
          <w:sz w:val="28"/>
          <w:szCs w:val="20"/>
          <w:highlight w:val="none"/>
        </w:rPr>
      </w:pPr>
    </w:p>
    <w:p w14:paraId="1CB5F706">
      <w:pPr>
        <w:pStyle w:val="24"/>
        <w:rPr>
          <w:color w:val="auto"/>
          <w:highlight w:val="none"/>
        </w:rPr>
      </w:pPr>
    </w:p>
    <w:p w14:paraId="23F9E9BF">
      <w:pPr>
        <w:pStyle w:val="4"/>
        <w:keepNext w:val="0"/>
        <w:keepLines w:val="0"/>
        <w:spacing w:after="0"/>
        <w:jc w:val="center"/>
        <w:rPr>
          <w:rFonts w:ascii="Times New Roman" w:hAnsi="Times New Roman"/>
          <w:color w:val="auto"/>
          <w:highlight w:val="none"/>
        </w:rPr>
      </w:pPr>
      <w:r>
        <w:rPr>
          <w:rFonts w:hint="eastAsia" w:ascii="Times New Roman" w:hAnsi="Times New Roman"/>
          <w:color w:val="auto"/>
          <w:sz w:val="28"/>
          <w:highlight w:val="none"/>
        </w:rPr>
        <w:br w:type="page"/>
      </w:r>
      <w:bookmarkStart w:id="1056" w:name="_Toc2183"/>
      <w:bookmarkStart w:id="1057" w:name="_Toc148"/>
      <w:r>
        <w:rPr>
          <w:rFonts w:hint="eastAsia" w:ascii="Times New Roman" w:hAnsi="Times New Roman"/>
          <w:color w:val="auto"/>
          <w:highlight w:val="none"/>
          <w:lang w:val="en-US" w:eastAsia="zh-CN"/>
        </w:rPr>
        <w:t>五</w:t>
      </w:r>
      <w:r>
        <w:rPr>
          <w:rFonts w:ascii="Times New Roman" w:hAnsi="Times New Roman"/>
          <w:color w:val="auto"/>
          <w:highlight w:val="none"/>
        </w:rPr>
        <w:t>、</w:t>
      </w:r>
      <w:r>
        <w:rPr>
          <w:rFonts w:hint="eastAsia" w:ascii="Times New Roman" w:hAnsi="Times New Roman"/>
          <w:b w:val="0"/>
          <w:color w:val="auto"/>
          <w:highlight w:val="none"/>
        </w:rPr>
        <w:t>监理大纲</w:t>
      </w:r>
      <w:bookmarkEnd w:id="1056"/>
      <w:bookmarkEnd w:id="1057"/>
    </w:p>
    <w:p w14:paraId="49F03AD3">
      <w:pPr>
        <w:spacing w:line="360" w:lineRule="auto"/>
        <w:ind w:firstLine="474" w:firstLineChars="226"/>
        <w:rPr>
          <w:rFonts w:ascii="Times New Roman" w:hAnsi="Times New Roman"/>
          <w:color w:val="auto"/>
          <w:szCs w:val="21"/>
          <w:highlight w:val="none"/>
        </w:rPr>
      </w:pPr>
      <w:r>
        <w:rPr>
          <w:rFonts w:hint="eastAsia" w:ascii="Times New Roman" w:hAnsi="Times New Roman"/>
          <w:color w:val="auto"/>
          <w:szCs w:val="21"/>
          <w:highlight w:val="none"/>
        </w:rPr>
        <w:t>按监理大纲评分标准的要求提供相关内容。</w:t>
      </w:r>
    </w:p>
    <w:p w14:paraId="1D817C47">
      <w:pPr>
        <w:rPr>
          <w:rFonts w:ascii="Times New Roman" w:hAnsi="Times New Roman"/>
          <w:color w:val="auto"/>
          <w:highlight w:val="none"/>
        </w:rPr>
      </w:pPr>
    </w:p>
    <w:p w14:paraId="5C5D374E">
      <w:pPr>
        <w:pStyle w:val="4"/>
        <w:keepNext w:val="0"/>
        <w:keepLines w:val="0"/>
        <w:spacing w:line="400" w:lineRule="exact"/>
        <w:jc w:val="center"/>
        <w:rPr>
          <w:rFonts w:ascii="Times New Roman" w:hAnsi="Times New Roman"/>
          <w:color w:val="auto"/>
          <w:highlight w:val="none"/>
        </w:rPr>
      </w:pPr>
    </w:p>
    <w:p w14:paraId="4F8F2983">
      <w:pPr>
        <w:rPr>
          <w:color w:val="auto"/>
          <w:highlight w:val="none"/>
        </w:rPr>
      </w:pPr>
    </w:p>
    <w:p w14:paraId="5D42A32D">
      <w:pPr>
        <w:rPr>
          <w:color w:val="auto"/>
          <w:highlight w:val="none"/>
        </w:rPr>
      </w:pPr>
    </w:p>
    <w:p w14:paraId="6817501A">
      <w:pPr>
        <w:rPr>
          <w:color w:val="auto"/>
          <w:highlight w:val="none"/>
        </w:rPr>
      </w:pPr>
    </w:p>
    <w:p w14:paraId="2EB93963">
      <w:pPr>
        <w:rPr>
          <w:color w:val="auto"/>
          <w:highlight w:val="none"/>
        </w:rPr>
      </w:pPr>
    </w:p>
    <w:p w14:paraId="0BDAD417">
      <w:pPr>
        <w:pStyle w:val="4"/>
        <w:keepNext w:val="0"/>
        <w:keepLines w:val="0"/>
        <w:spacing w:after="0"/>
        <w:jc w:val="center"/>
        <w:rPr>
          <w:color w:val="auto"/>
          <w:highlight w:val="none"/>
        </w:rPr>
      </w:pPr>
      <w:r>
        <w:rPr>
          <w:rFonts w:hint="eastAsia"/>
          <w:color w:val="auto"/>
          <w:highlight w:val="none"/>
        </w:rPr>
        <w:br w:type="page"/>
      </w:r>
      <w:bookmarkStart w:id="1058" w:name="_Toc11133"/>
      <w:bookmarkStart w:id="1059" w:name="_Toc20862"/>
      <w:r>
        <w:rPr>
          <w:rFonts w:hint="eastAsia"/>
          <w:color w:val="auto"/>
          <w:highlight w:val="none"/>
          <w:lang w:val="en-US" w:eastAsia="zh-CN"/>
        </w:rPr>
        <w:t>六</w:t>
      </w:r>
      <w:r>
        <w:rPr>
          <w:rFonts w:hint="eastAsia"/>
          <w:color w:val="auto"/>
          <w:highlight w:val="none"/>
        </w:rPr>
        <w:t>、其他资料</w:t>
      </w:r>
      <w:bookmarkEnd w:id="1058"/>
      <w:bookmarkEnd w:id="1059"/>
    </w:p>
    <w:p w14:paraId="062822FC">
      <w:pPr>
        <w:pStyle w:val="5"/>
        <w:keepNext w:val="0"/>
        <w:keepLines w:val="0"/>
        <w:ind w:firstLine="137"/>
        <w:jc w:val="center"/>
        <w:rPr>
          <w:rFonts w:ascii="Times New Roman" w:hAnsi="Times New Roman"/>
          <w:color w:val="auto"/>
          <w:highlight w:val="none"/>
        </w:rPr>
      </w:pPr>
      <w:bookmarkStart w:id="1060" w:name="_Toc21816"/>
      <w:bookmarkStart w:id="1061" w:name="_Toc9850"/>
      <w:r>
        <w:rPr>
          <w:rFonts w:hint="eastAsia" w:ascii="Times New Roman" w:hAnsi="Times New Roman"/>
          <w:color w:val="auto"/>
          <w:highlight w:val="none"/>
        </w:rPr>
        <w:t>（一）承诺书</w:t>
      </w:r>
      <w:bookmarkEnd w:id="1060"/>
      <w:bookmarkEnd w:id="1061"/>
    </w:p>
    <w:p w14:paraId="5BA67D75">
      <w:pPr>
        <w:spacing w:line="360" w:lineRule="auto"/>
        <w:outlineLvl w:val="2"/>
        <w:rPr>
          <w:rFonts w:ascii="宋体" w:hAnsi="宋体"/>
          <w:b/>
          <w:color w:val="auto"/>
          <w:sz w:val="28"/>
          <w:szCs w:val="28"/>
          <w:highlight w:val="none"/>
        </w:rPr>
      </w:pPr>
      <w:bookmarkStart w:id="1062" w:name="_Toc3473"/>
      <w:bookmarkStart w:id="1063" w:name="_Toc530470653"/>
      <w:bookmarkStart w:id="1064" w:name="_Toc535938760"/>
      <w:bookmarkStart w:id="1065" w:name="_Toc406"/>
      <w:r>
        <w:rPr>
          <w:rFonts w:hint="eastAsia" w:ascii="宋体" w:hAnsi="宋体"/>
          <w:b/>
          <w:color w:val="auto"/>
          <w:sz w:val="28"/>
          <w:szCs w:val="28"/>
          <w:highlight w:val="none"/>
        </w:rPr>
        <w:t>①</w:t>
      </w:r>
      <w:r>
        <w:rPr>
          <w:rFonts w:hint="eastAsia" w:ascii="宋体" w:hAnsi="宋体"/>
          <w:b/>
          <w:color w:val="auto"/>
          <w:sz w:val="28"/>
          <w:szCs w:val="28"/>
          <w:highlight w:val="none"/>
          <w:lang w:eastAsia="zh-CN"/>
        </w:rPr>
        <w:t>项目监理</w:t>
      </w:r>
      <w:r>
        <w:rPr>
          <w:rFonts w:hint="eastAsia" w:ascii="宋体" w:hAnsi="宋体"/>
          <w:b/>
          <w:color w:val="auto"/>
          <w:sz w:val="28"/>
          <w:szCs w:val="28"/>
          <w:highlight w:val="none"/>
        </w:rPr>
        <w:t>服务承诺书</w:t>
      </w:r>
      <w:bookmarkEnd w:id="1062"/>
      <w:bookmarkEnd w:id="1063"/>
      <w:bookmarkEnd w:id="1064"/>
      <w:bookmarkEnd w:id="1065"/>
    </w:p>
    <w:p w14:paraId="150A1398">
      <w:pPr>
        <w:spacing w:line="360" w:lineRule="auto"/>
        <w:jc w:val="center"/>
        <w:rPr>
          <w:rFonts w:ascii="宋体" w:hAnsi="宋体"/>
          <w:b/>
          <w:color w:val="auto"/>
          <w:sz w:val="32"/>
          <w:szCs w:val="30"/>
          <w:highlight w:val="none"/>
        </w:rPr>
      </w:pPr>
      <w:r>
        <w:rPr>
          <w:rFonts w:hint="eastAsia" w:ascii="宋体" w:hAnsi="宋体"/>
          <w:b/>
          <w:color w:val="auto"/>
          <w:sz w:val="32"/>
          <w:szCs w:val="30"/>
          <w:highlight w:val="none"/>
          <w:lang w:eastAsia="zh-CN"/>
        </w:rPr>
        <w:t>项目监理</w:t>
      </w:r>
      <w:r>
        <w:rPr>
          <w:rFonts w:hint="eastAsia" w:ascii="宋体" w:hAnsi="宋体"/>
          <w:b/>
          <w:color w:val="auto"/>
          <w:sz w:val="32"/>
          <w:szCs w:val="30"/>
          <w:highlight w:val="none"/>
        </w:rPr>
        <w:t>服务承诺书</w:t>
      </w:r>
    </w:p>
    <w:p w14:paraId="38E734ED">
      <w:pPr>
        <w:topLinePunct/>
        <w:spacing w:line="360" w:lineRule="auto"/>
        <w:rPr>
          <w:rFonts w:ascii="宋体" w:hAnsi="宋体"/>
          <w:bCs/>
          <w:snapToGrid w:val="0"/>
          <w:color w:val="auto"/>
          <w:spacing w:val="4"/>
          <w:sz w:val="24"/>
          <w:szCs w:val="24"/>
          <w:highlight w:val="none"/>
        </w:rPr>
      </w:pPr>
      <w:r>
        <w:rPr>
          <w:rFonts w:hint="eastAsia" w:ascii="宋体" w:hAnsi="宋体"/>
          <w:bCs/>
          <w:snapToGrid w:val="0"/>
          <w:color w:val="auto"/>
          <w:spacing w:val="4"/>
          <w:sz w:val="24"/>
          <w:szCs w:val="24"/>
          <w:highlight w:val="none"/>
        </w:rPr>
        <w:t>致：</w:t>
      </w:r>
      <w:r>
        <w:rPr>
          <w:rFonts w:hint="eastAsia" w:ascii="宋体" w:hAnsi="宋体" w:cs="宋体"/>
          <w:bCs/>
          <w:snapToGrid w:val="0"/>
          <w:color w:val="auto"/>
          <w:spacing w:val="4"/>
          <w:sz w:val="24"/>
          <w:szCs w:val="24"/>
          <w:highlight w:val="none"/>
          <w:u w:val="single"/>
        </w:rPr>
        <w:t>（招标人名称）</w:t>
      </w:r>
    </w:p>
    <w:p w14:paraId="2C10FEBC">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一旦我方中标，我方愿意做出如下承诺：</w:t>
      </w:r>
    </w:p>
    <w:p w14:paraId="3313E7BD">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一、我方同意投标有效截止日期之日起的投标有效期内遵守本投标文件。在此期限届满之前，本投标文件将始终对我方有约束力，并可随时按此投标书接受中标。</w:t>
      </w:r>
    </w:p>
    <w:p w14:paraId="6ED82D9E">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二、我方完全愿意接受本项目招标文件中的监理合同条款，如我方中标，我们将在招标人要求的时间内签订监理服务合同。</w:t>
      </w:r>
    </w:p>
    <w:p w14:paraId="642C0E39">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三、如果我方中标，我方保证在签订合同后，在合同要求的期限内进驻现场开展工作，并在工程施工准备期、施工期和工程收尾期严格履行合同。</w:t>
      </w:r>
      <w:r>
        <w:rPr>
          <w:rFonts w:hint="eastAsia" w:ascii="宋体" w:hAnsi="宋体"/>
          <w:color w:val="auto"/>
          <w:spacing w:val="4"/>
          <w:sz w:val="24"/>
          <w:szCs w:val="24"/>
          <w:highlight w:val="none"/>
        </w:rPr>
        <w:t>如果我方中标，我方承诺严格按照合同和招投标文件规定履行义务，并同意贵单位将我方履行合同、招投标文件义务的履约情况和不诚信行为（包括但不限于由单位</w:t>
      </w:r>
      <w:r>
        <w:rPr>
          <w:rFonts w:hint="eastAsia" w:ascii="宋体" w:hAnsi="宋体"/>
          <w:color w:val="auto"/>
          <w:sz w:val="24"/>
          <w:highlight w:val="none"/>
        </w:rPr>
        <w:t>组织的考核、考评通报、作</w:t>
      </w:r>
      <w:r>
        <w:rPr>
          <w:rFonts w:hint="eastAsia" w:ascii="宋体" w:hAnsi="宋体"/>
          <w:color w:val="auto"/>
          <w:spacing w:val="4"/>
          <w:sz w:val="24"/>
          <w:szCs w:val="24"/>
          <w:highlight w:val="none"/>
        </w:rPr>
        <w:t>出的违约责任处理决定等）在相关媒体上公开披露，由此造成的一切损失和不利后果均由我方自行承担。</w:t>
      </w:r>
    </w:p>
    <w:p w14:paraId="2B5A014A">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四、我方承诺按照招标文件和委托合同的规定对监理与相关服务费</w:t>
      </w:r>
      <w:r>
        <w:rPr>
          <w:rFonts w:hint="eastAsia" w:ascii="宋体" w:hAnsi="宋体"/>
          <w:snapToGrid w:val="0"/>
          <w:color w:val="auto"/>
          <w:spacing w:val="4"/>
          <w:sz w:val="24"/>
          <w:szCs w:val="24"/>
          <w:highlight w:val="none"/>
          <w:lang w:val="en-US" w:eastAsia="zh-CN"/>
        </w:rPr>
        <w:t>申请</w:t>
      </w:r>
      <w:r>
        <w:rPr>
          <w:rFonts w:hint="eastAsia" w:ascii="宋体" w:hAnsi="宋体"/>
          <w:snapToGrid w:val="0"/>
          <w:color w:val="auto"/>
          <w:spacing w:val="4"/>
          <w:sz w:val="24"/>
          <w:szCs w:val="24"/>
          <w:highlight w:val="none"/>
        </w:rPr>
        <w:t>支付和结算。</w:t>
      </w:r>
    </w:p>
    <w:p w14:paraId="6F6AEC18">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五、保证监理服务满足工程的需要，监理人员服务费中包括工资、奖金、补贴、加班费（法定节假日和8小时工作以外）、办公费、差旅费（包括进、退场和探亲交通费）、招待费、因公受伤医疗费，以及监理单位为监理人员提供或承担的住房、医疗、保险、交通等福利待遇。</w:t>
      </w:r>
    </w:p>
    <w:p w14:paraId="6EB963F9">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六、我方将严格按照监理人员执业守则，按照国家相关法规、规范及我方制定的监理大纲、实施细则进行监理，在保证质量、安全的前提下，确保工程按期交付。</w:t>
      </w:r>
    </w:p>
    <w:p w14:paraId="128F87D7">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七、在未正式签订合同前，贵单位的招标文件、中标通知书和本投标文件将构成约束我们双方的法律文书。</w:t>
      </w:r>
    </w:p>
    <w:p w14:paraId="05C86D6F">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八、如果贵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接受我方</w:t>
      </w:r>
      <w:r>
        <w:rPr>
          <w:rFonts w:hint="eastAsia" w:ascii="宋体" w:hAnsi="宋体"/>
          <w:snapToGrid w:val="0"/>
          <w:color w:val="auto"/>
          <w:spacing w:val="4"/>
          <w:sz w:val="24"/>
          <w:szCs w:val="24"/>
          <w:highlight w:val="none"/>
          <w:lang w:val="en-US" w:eastAsia="zh-CN"/>
        </w:rPr>
        <w:t>中</w:t>
      </w:r>
      <w:r>
        <w:rPr>
          <w:rFonts w:hint="eastAsia" w:ascii="宋体" w:hAnsi="宋体"/>
          <w:snapToGrid w:val="0"/>
          <w:color w:val="auto"/>
          <w:spacing w:val="4"/>
          <w:sz w:val="24"/>
          <w:szCs w:val="24"/>
          <w:highlight w:val="none"/>
        </w:rPr>
        <w:t>标，我方将按照招标文件中规定的条件，按招标文件写明的金额，提交</w:t>
      </w:r>
      <w:r>
        <w:rPr>
          <w:rFonts w:hint="eastAsia" w:ascii="宋体" w:hAnsi="宋体"/>
          <w:snapToGrid w:val="0"/>
          <w:color w:val="auto"/>
          <w:spacing w:val="4"/>
          <w:sz w:val="24"/>
          <w:szCs w:val="24"/>
          <w:highlight w:val="none"/>
          <w:lang w:val="en-US" w:eastAsia="zh-CN"/>
        </w:rPr>
        <w:t>履约</w:t>
      </w:r>
      <w:r>
        <w:rPr>
          <w:rFonts w:hint="eastAsia" w:ascii="宋体" w:hAnsi="宋体"/>
          <w:snapToGrid w:val="0"/>
          <w:color w:val="auto"/>
          <w:spacing w:val="4"/>
          <w:sz w:val="24"/>
          <w:szCs w:val="24"/>
          <w:highlight w:val="none"/>
        </w:rPr>
        <w:t>保证金。</w:t>
      </w:r>
    </w:p>
    <w:p w14:paraId="5F125491">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九、我方理解，贵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不一定接受最低标价的投标文件或可能接受任何的投标文件。同时也理解，不论结果如何，贵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不承担我方的任何投标费用。</w:t>
      </w:r>
    </w:p>
    <w:p w14:paraId="3C65B836">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十、如果我方在投标有效期内撤</w:t>
      </w:r>
      <w:r>
        <w:rPr>
          <w:rFonts w:hint="eastAsia" w:ascii="宋体" w:hAnsi="宋体"/>
          <w:snapToGrid w:val="0"/>
          <w:color w:val="auto"/>
          <w:spacing w:val="4"/>
          <w:sz w:val="24"/>
          <w:szCs w:val="24"/>
          <w:highlight w:val="none"/>
          <w:lang w:val="en-US" w:eastAsia="zh-CN"/>
        </w:rPr>
        <w:t>销</w:t>
      </w:r>
      <w:r>
        <w:rPr>
          <w:rFonts w:hint="eastAsia" w:ascii="宋体" w:hAnsi="宋体"/>
          <w:snapToGrid w:val="0"/>
          <w:color w:val="auto"/>
          <w:spacing w:val="4"/>
          <w:sz w:val="24"/>
          <w:szCs w:val="24"/>
          <w:highlight w:val="none"/>
        </w:rPr>
        <w:t>投标文件，或收到中标通知书后未能按招标文件规定的期限签署或拒绝签署合同，或未能或拒绝提交履约担保，贵</w:t>
      </w:r>
      <w:r>
        <w:rPr>
          <w:rFonts w:hint="eastAsia" w:ascii="宋体" w:hAnsi="宋体"/>
          <w:color w:val="auto"/>
          <w:spacing w:val="4"/>
          <w:sz w:val="24"/>
          <w:szCs w:val="24"/>
          <w:highlight w:val="none"/>
        </w:rPr>
        <w:t>单位</w:t>
      </w:r>
      <w:r>
        <w:rPr>
          <w:rFonts w:hint="eastAsia" w:ascii="宋体" w:hAnsi="宋体"/>
          <w:snapToGrid w:val="0"/>
          <w:color w:val="auto"/>
          <w:spacing w:val="4"/>
          <w:sz w:val="24"/>
          <w:szCs w:val="24"/>
          <w:highlight w:val="none"/>
        </w:rPr>
        <w:t>有权视为我方自动放弃中标资格。</w:t>
      </w:r>
    </w:p>
    <w:p w14:paraId="37FD9F50">
      <w:pPr>
        <w:topLinePunct/>
        <w:spacing w:line="360" w:lineRule="auto"/>
        <w:ind w:firstLine="496" w:firstLineChars="200"/>
        <w:rPr>
          <w:rFonts w:ascii="宋体" w:hAnsi="宋体"/>
          <w:snapToGrid w:val="0"/>
          <w:color w:val="auto"/>
          <w:spacing w:val="4"/>
          <w:sz w:val="24"/>
          <w:szCs w:val="24"/>
          <w:highlight w:val="none"/>
        </w:rPr>
      </w:pPr>
    </w:p>
    <w:p w14:paraId="3A2E595A">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投  标  单  位（盖章）：</w:t>
      </w:r>
    </w:p>
    <w:p w14:paraId="10045FAB">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法定代表人或委托代理人（签名或盖章）：</w:t>
      </w:r>
    </w:p>
    <w:p w14:paraId="2078F1F4">
      <w:pPr>
        <w:spacing w:line="360" w:lineRule="auto"/>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 xml:space="preserve">    日     期：     年   月   日</w:t>
      </w:r>
    </w:p>
    <w:p w14:paraId="28817D09">
      <w:pPr>
        <w:spacing w:line="360" w:lineRule="auto"/>
        <w:outlineLvl w:val="2"/>
        <w:rPr>
          <w:rFonts w:ascii="宋体" w:hAnsi="宋体"/>
          <w:b/>
          <w:color w:val="auto"/>
          <w:sz w:val="28"/>
          <w:szCs w:val="28"/>
          <w:highlight w:val="none"/>
        </w:rPr>
      </w:pPr>
      <w:r>
        <w:rPr>
          <w:rFonts w:hint="eastAsia" w:ascii="宋体" w:hAnsi="宋体"/>
          <w:b/>
          <w:color w:val="auto"/>
          <w:sz w:val="28"/>
          <w:szCs w:val="28"/>
          <w:highlight w:val="none"/>
        </w:rPr>
        <w:br w:type="page"/>
      </w:r>
      <w:bookmarkStart w:id="1066" w:name="_Toc1305"/>
      <w:bookmarkStart w:id="1067" w:name="_Toc530470654"/>
      <w:bookmarkStart w:id="1068" w:name="_Toc535938761"/>
      <w:bookmarkStart w:id="1069" w:name="_Toc17661"/>
      <w:r>
        <w:rPr>
          <w:rFonts w:hint="eastAsia" w:ascii="宋体" w:hAnsi="宋体"/>
          <w:b/>
          <w:color w:val="auto"/>
          <w:sz w:val="28"/>
          <w:szCs w:val="28"/>
          <w:highlight w:val="none"/>
        </w:rPr>
        <w:t>②</w:t>
      </w:r>
      <w:r>
        <w:rPr>
          <w:rFonts w:hint="eastAsia" w:ascii="宋体" w:hAnsi="宋体"/>
          <w:b/>
          <w:color w:val="auto"/>
          <w:sz w:val="28"/>
          <w:szCs w:val="28"/>
          <w:highlight w:val="none"/>
          <w:lang w:eastAsia="zh-CN"/>
        </w:rPr>
        <w:t>项目监理</w:t>
      </w:r>
      <w:r>
        <w:rPr>
          <w:rFonts w:hint="eastAsia" w:ascii="宋体" w:hAnsi="宋体"/>
          <w:b/>
          <w:color w:val="auto"/>
          <w:sz w:val="28"/>
          <w:szCs w:val="28"/>
          <w:highlight w:val="none"/>
        </w:rPr>
        <w:t>合同响应承诺书</w:t>
      </w:r>
      <w:bookmarkEnd w:id="1066"/>
      <w:bookmarkEnd w:id="1067"/>
      <w:bookmarkEnd w:id="1068"/>
      <w:bookmarkEnd w:id="1069"/>
    </w:p>
    <w:p w14:paraId="26C7F0E8">
      <w:pPr>
        <w:topLinePunct/>
        <w:spacing w:line="360" w:lineRule="auto"/>
        <w:jc w:val="center"/>
        <w:rPr>
          <w:rFonts w:ascii="宋体" w:hAnsi="宋体"/>
          <w:color w:val="auto"/>
          <w:sz w:val="32"/>
          <w:szCs w:val="20"/>
          <w:highlight w:val="none"/>
        </w:rPr>
      </w:pPr>
    </w:p>
    <w:p w14:paraId="3EECC36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lang w:eastAsia="zh-CN"/>
        </w:rPr>
        <w:t>项目监理</w:t>
      </w:r>
      <w:r>
        <w:rPr>
          <w:rFonts w:hint="eastAsia" w:ascii="宋体" w:hAnsi="宋体"/>
          <w:b/>
          <w:color w:val="auto"/>
          <w:sz w:val="32"/>
          <w:szCs w:val="32"/>
          <w:highlight w:val="none"/>
        </w:rPr>
        <w:t>合同响应承诺书</w:t>
      </w:r>
    </w:p>
    <w:p w14:paraId="2669C194">
      <w:pPr>
        <w:topLinePunct/>
        <w:spacing w:line="360" w:lineRule="auto"/>
        <w:ind w:firstLine="496" w:firstLineChars="200"/>
        <w:rPr>
          <w:rFonts w:ascii="宋体" w:hAnsi="宋体"/>
          <w:snapToGrid w:val="0"/>
          <w:color w:val="auto"/>
          <w:spacing w:val="4"/>
          <w:sz w:val="24"/>
          <w:szCs w:val="24"/>
          <w:highlight w:val="none"/>
        </w:rPr>
      </w:pPr>
    </w:p>
    <w:p w14:paraId="40EB06F9">
      <w:pPr>
        <w:topLinePunct/>
        <w:spacing w:line="360" w:lineRule="auto"/>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致：（招标人名称）</w:t>
      </w:r>
    </w:p>
    <w:p w14:paraId="5FC86CA5">
      <w:pPr>
        <w:topLinePunct/>
        <w:spacing w:line="360" w:lineRule="auto"/>
        <w:rPr>
          <w:rFonts w:ascii="宋体" w:hAnsi="宋体"/>
          <w:snapToGrid w:val="0"/>
          <w:color w:val="auto"/>
          <w:spacing w:val="4"/>
          <w:sz w:val="24"/>
          <w:szCs w:val="24"/>
          <w:highlight w:val="none"/>
        </w:rPr>
      </w:pPr>
    </w:p>
    <w:p w14:paraId="39CEF919">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我方完全愿意接受本项目招标文件所附合同条款，如我方中标，我们将在贵</w:t>
      </w:r>
      <w:r>
        <w:rPr>
          <w:rFonts w:hint="eastAsia" w:ascii="宋体" w:hAnsi="宋体"/>
          <w:color w:val="auto"/>
          <w:spacing w:val="4"/>
          <w:sz w:val="24"/>
          <w:szCs w:val="24"/>
          <w:highlight w:val="none"/>
        </w:rPr>
        <w:t>单位</w:t>
      </w:r>
      <w:r>
        <w:rPr>
          <w:rFonts w:hint="eastAsia" w:ascii="宋体" w:hAnsi="宋体"/>
          <w:snapToGrid w:val="0"/>
          <w:color w:val="auto"/>
          <w:spacing w:val="4"/>
          <w:sz w:val="24"/>
          <w:szCs w:val="24"/>
          <w:highlight w:val="none"/>
        </w:rPr>
        <w:t>要求的时间内签订监理服务合同。</w:t>
      </w:r>
    </w:p>
    <w:p w14:paraId="6A0025E9">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特此承诺。</w:t>
      </w:r>
    </w:p>
    <w:p w14:paraId="65E8A949">
      <w:pPr>
        <w:topLinePunct/>
        <w:spacing w:line="360" w:lineRule="auto"/>
        <w:ind w:firstLine="496" w:firstLineChars="200"/>
        <w:rPr>
          <w:rFonts w:ascii="宋体" w:hAnsi="宋体"/>
          <w:snapToGrid w:val="0"/>
          <w:color w:val="auto"/>
          <w:spacing w:val="4"/>
          <w:sz w:val="24"/>
          <w:szCs w:val="24"/>
          <w:highlight w:val="none"/>
        </w:rPr>
      </w:pPr>
    </w:p>
    <w:p w14:paraId="60F18A43">
      <w:pPr>
        <w:topLinePunct/>
        <w:spacing w:line="360" w:lineRule="auto"/>
        <w:ind w:firstLine="496" w:firstLineChars="200"/>
        <w:rPr>
          <w:rFonts w:ascii="宋体" w:hAnsi="宋体"/>
          <w:snapToGrid w:val="0"/>
          <w:color w:val="auto"/>
          <w:spacing w:val="4"/>
          <w:sz w:val="24"/>
          <w:szCs w:val="24"/>
          <w:highlight w:val="none"/>
        </w:rPr>
      </w:pPr>
    </w:p>
    <w:p w14:paraId="6EBD5B13">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投  标  单  位（盖章）：</w:t>
      </w:r>
    </w:p>
    <w:p w14:paraId="3AD41B21">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法定代表人或委托代理人（签名或盖章）：</w:t>
      </w:r>
    </w:p>
    <w:p w14:paraId="346C0605">
      <w:pPr>
        <w:spacing w:line="360" w:lineRule="auto"/>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 xml:space="preserve">    日     期：     年   月   日</w:t>
      </w:r>
    </w:p>
    <w:p w14:paraId="2A940F60">
      <w:pPr>
        <w:rPr>
          <w:rFonts w:ascii="宋体" w:hAnsi="宋体"/>
          <w:color w:val="auto"/>
          <w:sz w:val="28"/>
          <w:szCs w:val="28"/>
          <w:highlight w:val="none"/>
        </w:rPr>
      </w:pPr>
    </w:p>
    <w:p w14:paraId="4E5E3FD9">
      <w:pPr>
        <w:rPr>
          <w:rFonts w:ascii="宋体" w:hAnsi="宋体"/>
          <w:snapToGrid w:val="0"/>
          <w:color w:val="auto"/>
          <w:spacing w:val="4"/>
          <w:sz w:val="24"/>
          <w:szCs w:val="24"/>
          <w:highlight w:val="none"/>
        </w:rPr>
      </w:pPr>
      <w:r>
        <w:rPr>
          <w:rFonts w:hint="eastAsia" w:ascii="宋体" w:hAnsi="宋体"/>
          <w:color w:val="auto"/>
          <w:sz w:val="28"/>
          <w:szCs w:val="28"/>
          <w:highlight w:val="none"/>
        </w:rPr>
        <w:br w:type="page"/>
      </w:r>
    </w:p>
    <w:p w14:paraId="54EE0D9A">
      <w:pPr>
        <w:pStyle w:val="5"/>
        <w:keepNext w:val="0"/>
        <w:keepLines w:val="0"/>
        <w:ind w:firstLine="137"/>
        <w:jc w:val="center"/>
        <w:rPr>
          <w:rFonts w:ascii="Times New Roman" w:hAnsi="Times New Roman"/>
          <w:color w:val="auto"/>
          <w:highlight w:val="none"/>
        </w:rPr>
      </w:pPr>
      <w:bookmarkStart w:id="1070" w:name="_Toc4532"/>
      <w:bookmarkStart w:id="1071" w:name="_Toc15174"/>
      <w:r>
        <w:rPr>
          <w:rFonts w:hint="eastAsia" w:ascii="Times New Roman" w:hAnsi="Times New Roman"/>
          <w:color w:val="auto"/>
          <w:highlight w:val="none"/>
        </w:rPr>
        <w:t>（二）</w:t>
      </w:r>
      <w:r>
        <w:rPr>
          <w:rFonts w:ascii="Times New Roman" w:hAnsi="Times New Roman"/>
          <w:color w:val="auto"/>
          <w:highlight w:val="none"/>
        </w:rPr>
        <w:t>近年</w:t>
      </w:r>
      <w:r>
        <w:rPr>
          <w:rFonts w:hint="eastAsia" w:ascii="Times New Roman" w:hAnsi="Times New Roman"/>
          <w:color w:val="auto"/>
          <w:highlight w:val="none"/>
        </w:rPr>
        <w:t>承接</w:t>
      </w:r>
      <w:r>
        <w:rPr>
          <w:rFonts w:ascii="Times New Roman" w:hAnsi="Times New Roman"/>
          <w:color w:val="auto"/>
          <w:highlight w:val="none"/>
        </w:rPr>
        <w:t>的类似项目情况表（格式可自定）</w:t>
      </w:r>
      <w:bookmarkEnd w:id="1070"/>
      <w:bookmarkEnd w:id="1071"/>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6DA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ADFB704">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14:paraId="17864383">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714A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36E35E0">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14:paraId="0221C9C7">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3EB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10B94F7">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委托人名称</w:t>
            </w:r>
          </w:p>
        </w:tc>
        <w:tc>
          <w:tcPr>
            <w:tcW w:w="6253" w:type="dxa"/>
            <w:tcBorders>
              <w:top w:val="single" w:color="auto" w:sz="4" w:space="0"/>
              <w:left w:val="single" w:color="auto" w:sz="4" w:space="0"/>
              <w:bottom w:val="single" w:color="auto" w:sz="4" w:space="0"/>
              <w:right w:val="single" w:color="auto" w:sz="4" w:space="0"/>
            </w:tcBorders>
          </w:tcPr>
          <w:p w14:paraId="0EC558C1">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20F3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D0D6C35">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委托人地址</w:t>
            </w:r>
          </w:p>
        </w:tc>
        <w:tc>
          <w:tcPr>
            <w:tcW w:w="6253" w:type="dxa"/>
            <w:tcBorders>
              <w:top w:val="single" w:color="auto" w:sz="4" w:space="0"/>
              <w:left w:val="single" w:color="auto" w:sz="4" w:space="0"/>
              <w:bottom w:val="single" w:color="auto" w:sz="4" w:space="0"/>
              <w:right w:val="single" w:color="auto" w:sz="4" w:space="0"/>
            </w:tcBorders>
          </w:tcPr>
          <w:p w14:paraId="5C5B1C3A">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5F01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9D752F3">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委托人电话</w:t>
            </w:r>
          </w:p>
        </w:tc>
        <w:tc>
          <w:tcPr>
            <w:tcW w:w="6253" w:type="dxa"/>
            <w:tcBorders>
              <w:top w:val="single" w:color="auto" w:sz="4" w:space="0"/>
              <w:left w:val="single" w:color="auto" w:sz="4" w:space="0"/>
              <w:bottom w:val="single" w:color="auto" w:sz="4" w:space="0"/>
              <w:right w:val="single" w:color="auto" w:sz="4" w:space="0"/>
            </w:tcBorders>
          </w:tcPr>
          <w:p w14:paraId="13FDA512">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2671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2E3F90A">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合同价格</w:t>
            </w:r>
          </w:p>
        </w:tc>
        <w:tc>
          <w:tcPr>
            <w:tcW w:w="6253" w:type="dxa"/>
            <w:tcBorders>
              <w:top w:val="single" w:color="auto" w:sz="4" w:space="0"/>
              <w:left w:val="single" w:color="auto" w:sz="4" w:space="0"/>
              <w:bottom w:val="single" w:color="auto" w:sz="4" w:space="0"/>
              <w:right w:val="single" w:color="auto" w:sz="4" w:space="0"/>
            </w:tcBorders>
          </w:tcPr>
          <w:p w14:paraId="046C2779">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0D1D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DAD6C6D">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监理服务期限</w:t>
            </w:r>
          </w:p>
        </w:tc>
        <w:tc>
          <w:tcPr>
            <w:tcW w:w="6253" w:type="dxa"/>
            <w:tcBorders>
              <w:top w:val="single" w:color="auto" w:sz="4" w:space="0"/>
              <w:left w:val="single" w:color="auto" w:sz="4" w:space="0"/>
              <w:bottom w:val="single" w:color="auto" w:sz="4" w:space="0"/>
              <w:right w:val="single" w:color="auto" w:sz="4" w:space="0"/>
            </w:tcBorders>
          </w:tcPr>
          <w:p w14:paraId="0C14906D">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442B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F164244">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监理内容</w:t>
            </w:r>
          </w:p>
        </w:tc>
        <w:tc>
          <w:tcPr>
            <w:tcW w:w="6253" w:type="dxa"/>
            <w:tcBorders>
              <w:top w:val="single" w:color="auto" w:sz="4" w:space="0"/>
              <w:left w:val="single" w:color="auto" w:sz="4" w:space="0"/>
              <w:bottom w:val="single" w:color="auto" w:sz="4" w:space="0"/>
              <w:right w:val="single" w:color="auto" w:sz="4" w:space="0"/>
            </w:tcBorders>
          </w:tcPr>
          <w:p w14:paraId="367A2BD7">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0F2C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F6779D1">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总监理工程师</w:t>
            </w:r>
          </w:p>
        </w:tc>
        <w:tc>
          <w:tcPr>
            <w:tcW w:w="6253" w:type="dxa"/>
            <w:tcBorders>
              <w:top w:val="single" w:color="auto" w:sz="4" w:space="0"/>
              <w:left w:val="single" w:color="auto" w:sz="4" w:space="0"/>
              <w:bottom w:val="single" w:color="auto" w:sz="4" w:space="0"/>
              <w:right w:val="single" w:color="auto" w:sz="4" w:space="0"/>
            </w:tcBorders>
          </w:tcPr>
          <w:p w14:paraId="74E7EBDE">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4249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96177CD">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项目描述</w:t>
            </w:r>
          </w:p>
        </w:tc>
        <w:tc>
          <w:tcPr>
            <w:tcW w:w="6253" w:type="dxa"/>
            <w:tcBorders>
              <w:top w:val="single" w:color="auto" w:sz="4" w:space="0"/>
              <w:left w:val="single" w:color="auto" w:sz="4" w:space="0"/>
              <w:bottom w:val="single" w:color="auto" w:sz="4" w:space="0"/>
              <w:right w:val="single" w:color="auto" w:sz="4" w:space="0"/>
            </w:tcBorders>
          </w:tcPr>
          <w:p w14:paraId="0511A5DB">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p w14:paraId="2316F6AF">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p w14:paraId="05D95E50">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p w14:paraId="765570E5">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p w14:paraId="1154CDB8">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p w14:paraId="4E3F00EE">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p w14:paraId="73009A6D">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r w14:paraId="15B2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9571678">
            <w:pPr>
              <w:keepNext w:val="0"/>
              <w:keepLines w:val="0"/>
              <w:suppressLineNumbers w:val="0"/>
              <w:topLinePunct/>
              <w:spacing w:before="0" w:beforeAutospacing="0" w:after="0" w:afterAutospacing="0" w:line="440" w:lineRule="exact"/>
              <w:ind w:left="0" w:right="0"/>
              <w:jc w:val="center"/>
              <w:rPr>
                <w:rFonts w:hint="default" w:ascii="Times New Roman" w:hAnsi="Times New Roman"/>
                <w:color w:val="auto"/>
                <w:highlight w:val="none"/>
              </w:rPr>
            </w:pPr>
            <w:r>
              <w:rPr>
                <w:rFonts w:hint="eastAsia" w:ascii="宋体" w:hAnsi="宋体" w:cs="宋体"/>
                <w:color w:val="auto"/>
                <w:highlight w:val="none"/>
              </w:rPr>
              <w:t>备注</w:t>
            </w:r>
          </w:p>
        </w:tc>
        <w:tc>
          <w:tcPr>
            <w:tcW w:w="6253" w:type="dxa"/>
            <w:tcBorders>
              <w:top w:val="single" w:color="auto" w:sz="4" w:space="0"/>
              <w:left w:val="single" w:color="auto" w:sz="4" w:space="0"/>
              <w:bottom w:val="single" w:color="auto" w:sz="4" w:space="0"/>
              <w:right w:val="single" w:color="auto" w:sz="4" w:space="0"/>
            </w:tcBorders>
          </w:tcPr>
          <w:p w14:paraId="11F43AFA">
            <w:pPr>
              <w:keepNext w:val="0"/>
              <w:keepLines w:val="0"/>
              <w:suppressLineNumbers w:val="0"/>
              <w:topLinePunct/>
              <w:spacing w:before="0" w:beforeAutospacing="0" w:after="0" w:afterAutospacing="0" w:line="440" w:lineRule="exact"/>
              <w:ind w:left="0" w:right="0"/>
              <w:rPr>
                <w:rFonts w:hint="default" w:ascii="Times New Roman" w:hAnsi="Times New Roman"/>
                <w:color w:val="auto"/>
                <w:highlight w:val="none"/>
              </w:rPr>
            </w:pPr>
          </w:p>
        </w:tc>
      </w:tr>
    </w:tbl>
    <w:p w14:paraId="44A3F2E3">
      <w:pPr>
        <w:spacing w:line="440" w:lineRule="exact"/>
        <w:rPr>
          <w:rFonts w:ascii="Times New Roman" w:hAnsi="Times New Roman"/>
          <w:color w:val="auto"/>
          <w:highlight w:val="none"/>
        </w:rPr>
      </w:pPr>
      <w:r>
        <w:rPr>
          <w:rFonts w:ascii="Times New Roman" w:hAnsi="Times New Roman"/>
          <w:color w:val="auto"/>
          <w:highlight w:val="none"/>
        </w:rPr>
        <w:t>注：在本表后附相关证明材料。</w:t>
      </w:r>
    </w:p>
    <w:p w14:paraId="7F3A8BA4">
      <w:pPr>
        <w:spacing w:line="440" w:lineRule="exact"/>
        <w:rPr>
          <w:rFonts w:ascii="Times New Roman" w:hAnsi="Times New Roman"/>
          <w:color w:val="auto"/>
          <w:highlight w:val="none"/>
        </w:rPr>
      </w:pPr>
    </w:p>
    <w:p w14:paraId="71884A8D">
      <w:pPr>
        <w:spacing w:line="440" w:lineRule="exact"/>
        <w:rPr>
          <w:rFonts w:ascii="Times New Roman" w:hAnsi="Times New Roman"/>
          <w:color w:val="auto"/>
          <w:highlight w:val="none"/>
        </w:rPr>
      </w:pPr>
    </w:p>
    <w:p w14:paraId="2E2D62AF">
      <w:pPr>
        <w:pStyle w:val="5"/>
        <w:ind w:firstLine="137"/>
        <w:jc w:val="center"/>
        <w:rPr>
          <w:rFonts w:ascii="Times New Roman" w:hAnsi="Times New Roman"/>
          <w:color w:val="auto"/>
          <w:highlight w:val="none"/>
        </w:rPr>
      </w:pPr>
      <w:bookmarkStart w:id="1072" w:name="_Toc21884"/>
      <w:bookmarkStart w:id="1073" w:name="_Toc6374"/>
      <w:r>
        <w:rPr>
          <w:rFonts w:hint="eastAsia" w:ascii="Times New Roman" w:hAnsi="Times New Roman"/>
          <w:color w:val="auto"/>
          <w:highlight w:val="none"/>
        </w:rPr>
        <w:t>（三）</w:t>
      </w:r>
      <w:r>
        <w:rPr>
          <w:rFonts w:ascii="Times New Roman" w:hAnsi="Times New Roman"/>
          <w:color w:val="auto"/>
          <w:highlight w:val="none"/>
        </w:rPr>
        <w:t>项目管理团队人员信息表</w:t>
      </w:r>
      <w:bookmarkEnd w:id="1072"/>
      <w:bookmarkEnd w:id="1073"/>
    </w:p>
    <w:tbl>
      <w:tblPr>
        <w:tblStyle w:val="16"/>
        <w:tblW w:w="8979" w:type="dxa"/>
        <w:jc w:val="center"/>
        <w:tblLayout w:type="fixed"/>
        <w:tblCellMar>
          <w:top w:w="0" w:type="dxa"/>
          <w:left w:w="0" w:type="dxa"/>
          <w:bottom w:w="0" w:type="dxa"/>
          <w:right w:w="0" w:type="dxa"/>
        </w:tblCellMar>
      </w:tblPr>
      <w:tblGrid>
        <w:gridCol w:w="865"/>
        <w:gridCol w:w="1261"/>
        <w:gridCol w:w="1784"/>
        <w:gridCol w:w="1784"/>
        <w:gridCol w:w="3285"/>
      </w:tblGrid>
      <w:tr w14:paraId="513E8CE5">
        <w:tblPrEx>
          <w:tblCellMar>
            <w:top w:w="0" w:type="dxa"/>
            <w:left w:w="0" w:type="dxa"/>
            <w:bottom w:w="0" w:type="dxa"/>
            <w:right w:w="0" w:type="dxa"/>
          </w:tblCellMar>
        </w:tblPrEx>
        <w:trPr>
          <w:trHeight w:val="744" w:hRule="atLeast"/>
          <w:jc w:val="center"/>
        </w:trPr>
        <w:tc>
          <w:tcPr>
            <w:tcW w:w="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014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auto"/>
                <w:kern w:val="0"/>
                <w:sz w:val="28"/>
                <w:szCs w:val="28"/>
                <w:highlight w:val="none"/>
                <w:lang w:bidi="ar"/>
              </w:rPr>
            </w:pPr>
            <w:r>
              <w:rPr>
                <w:rFonts w:hint="eastAsia" w:ascii="仿宋" w:hAnsi="仿宋" w:eastAsia="仿宋" w:cs="仿宋"/>
                <w:b/>
                <w:color w:val="auto"/>
                <w:kern w:val="0"/>
                <w:sz w:val="28"/>
                <w:szCs w:val="28"/>
                <w:highlight w:val="none"/>
                <w:lang w:bidi="ar"/>
              </w:rPr>
              <w:t>序号</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D2B0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auto"/>
                <w:kern w:val="0"/>
                <w:sz w:val="28"/>
                <w:szCs w:val="28"/>
                <w:highlight w:val="none"/>
                <w:lang w:bidi="ar"/>
              </w:rPr>
            </w:pPr>
            <w:r>
              <w:rPr>
                <w:rFonts w:hint="eastAsia" w:ascii="仿宋" w:hAnsi="仿宋" w:eastAsia="仿宋" w:cs="仿宋"/>
                <w:b/>
                <w:color w:val="auto"/>
                <w:kern w:val="0"/>
                <w:sz w:val="28"/>
                <w:szCs w:val="28"/>
                <w:highlight w:val="none"/>
                <w:lang w:bidi="ar"/>
              </w:rPr>
              <w:t>姓名</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2822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bidi="ar"/>
              </w:rPr>
              <w:t>岗位</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52E3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bidi="ar"/>
              </w:rPr>
              <w:t>职称</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8B3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bidi="ar"/>
              </w:rPr>
              <w:t>职称证书或资格证书编号</w:t>
            </w:r>
          </w:p>
        </w:tc>
      </w:tr>
      <w:tr w14:paraId="00656175">
        <w:tblPrEx>
          <w:tblCellMar>
            <w:top w:w="0" w:type="dxa"/>
            <w:left w:w="0" w:type="dxa"/>
            <w:bottom w:w="0" w:type="dxa"/>
            <w:right w:w="0" w:type="dxa"/>
          </w:tblCellMar>
        </w:tblPrEx>
        <w:trPr>
          <w:trHeight w:val="618" w:hRule="atLeast"/>
          <w:jc w:val="center"/>
        </w:trPr>
        <w:tc>
          <w:tcPr>
            <w:tcW w:w="8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48E7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p>
        </w:tc>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9AB99">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EB251">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C87EE">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3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208AB">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r>
      <w:tr w14:paraId="4187C8A8">
        <w:tblPrEx>
          <w:tblCellMar>
            <w:top w:w="0" w:type="dxa"/>
            <w:left w:w="0" w:type="dxa"/>
            <w:bottom w:w="0" w:type="dxa"/>
            <w:right w:w="0" w:type="dxa"/>
          </w:tblCellMar>
        </w:tblPrEx>
        <w:trPr>
          <w:trHeight w:val="618" w:hRule="atLeast"/>
          <w:jc w:val="center"/>
        </w:trPr>
        <w:tc>
          <w:tcPr>
            <w:tcW w:w="8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7FB0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w:t>
            </w:r>
          </w:p>
        </w:tc>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20341">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C14E2">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69C05">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3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10B26">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r>
      <w:tr w14:paraId="564B402F">
        <w:tblPrEx>
          <w:tblCellMar>
            <w:top w:w="0" w:type="dxa"/>
            <w:left w:w="0" w:type="dxa"/>
            <w:bottom w:w="0" w:type="dxa"/>
            <w:right w:w="0" w:type="dxa"/>
          </w:tblCellMar>
        </w:tblPrEx>
        <w:trPr>
          <w:trHeight w:val="618" w:hRule="atLeast"/>
          <w:jc w:val="center"/>
        </w:trPr>
        <w:tc>
          <w:tcPr>
            <w:tcW w:w="8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7222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3</w:t>
            </w:r>
          </w:p>
        </w:tc>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4A33E">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39C32">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E791B">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3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521EE">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r>
      <w:tr w14:paraId="1316CFD2">
        <w:tblPrEx>
          <w:tblCellMar>
            <w:top w:w="0" w:type="dxa"/>
            <w:left w:w="0" w:type="dxa"/>
            <w:bottom w:w="0" w:type="dxa"/>
            <w:right w:w="0" w:type="dxa"/>
          </w:tblCellMar>
        </w:tblPrEx>
        <w:trPr>
          <w:trHeight w:val="618" w:hRule="atLeast"/>
          <w:jc w:val="center"/>
        </w:trPr>
        <w:tc>
          <w:tcPr>
            <w:tcW w:w="8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0D0D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4</w:t>
            </w:r>
          </w:p>
        </w:tc>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B3BA2">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7BC83">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60151">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3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A53AE">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r>
      <w:tr w14:paraId="7FE35294">
        <w:tblPrEx>
          <w:tblCellMar>
            <w:top w:w="0" w:type="dxa"/>
            <w:left w:w="0" w:type="dxa"/>
            <w:bottom w:w="0" w:type="dxa"/>
            <w:right w:w="0" w:type="dxa"/>
          </w:tblCellMar>
        </w:tblPrEx>
        <w:trPr>
          <w:trHeight w:val="618" w:hRule="atLeast"/>
          <w:jc w:val="center"/>
        </w:trPr>
        <w:tc>
          <w:tcPr>
            <w:tcW w:w="8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0F4F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w:t>
            </w:r>
          </w:p>
        </w:tc>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66608">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7AAEC">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17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0344D">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c>
          <w:tcPr>
            <w:tcW w:w="3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21AC3">
            <w:pPr>
              <w:keepNext w:val="0"/>
              <w:keepLines w:val="0"/>
              <w:suppressLineNumbers w:val="0"/>
              <w:spacing w:before="0" w:beforeAutospacing="0" w:after="0" w:afterAutospacing="0"/>
              <w:ind w:left="0" w:right="0"/>
              <w:jc w:val="center"/>
              <w:rPr>
                <w:rFonts w:hint="default" w:ascii="仿宋" w:hAnsi="仿宋" w:eastAsia="仿宋" w:cs="仿宋"/>
                <w:color w:val="auto"/>
                <w:sz w:val="28"/>
                <w:szCs w:val="28"/>
                <w:highlight w:val="none"/>
              </w:rPr>
            </w:pPr>
          </w:p>
        </w:tc>
      </w:tr>
      <w:tr w14:paraId="122886BF">
        <w:tblPrEx>
          <w:tblCellMar>
            <w:top w:w="0" w:type="dxa"/>
            <w:left w:w="0" w:type="dxa"/>
            <w:bottom w:w="0" w:type="dxa"/>
            <w:right w:w="0" w:type="dxa"/>
          </w:tblCellMar>
        </w:tblPrEx>
        <w:trPr>
          <w:trHeight w:val="5787" w:hRule="atLeast"/>
          <w:jc w:val="center"/>
        </w:trPr>
        <w:tc>
          <w:tcPr>
            <w:tcW w:w="897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55EB0">
            <w:pPr>
              <w:keepNext w:val="0"/>
              <w:keepLines w:val="0"/>
              <w:widowControl/>
              <w:suppressLineNumbers w:val="0"/>
              <w:spacing w:before="0" w:beforeAutospacing="0" w:after="0" w:afterAutospacing="0"/>
              <w:ind w:left="0" w:right="0"/>
              <w:jc w:val="left"/>
              <w:textAlignment w:val="center"/>
              <w:rPr>
                <w:rStyle w:val="25"/>
                <w:rFonts w:hint="default"/>
                <w:color w:val="auto"/>
                <w:highlight w:val="none"/>
                <w:lang w:bidi="ar"/>
              </w:rPr>
            </w:pPr>
            <w:r>
              <w:rPr>
                <w:rStyle w:val="25"/>
                <w:rFonts w:hint="default"/>
                <w:color w:val="auto"/>
                <w:highlight w:val="none"/>
                <w:lang w:bidi="ar"/>
              </w:rPr>
              <w:t>备注：</w:t>
            </w:r>
          </w:p>
          <w:p w14:paraId="32463621">
            <w:pPr>
              <w:keepNext w:val="0"/>
              <w:keepLines w:val="0"/>
              <w:widowControl/>
              <w:suppressLineNumbers w:val="0"/>
              <w:spacing w:before="0" w:beforeAutospacing="0" w:after="0" w:afterAutospacing="0"/>
              <w:ind w:left="0" w:right="0"/>
              <w:jc w:val="left"/>
              <w:textAlignment w:val="center"/>
              <w:rPr>
                <w:rStyle w:val="25"/>
                <w:rFonts w:hint="default"/>
                <w:color w:val="auto"/>
                <w:highlight w:val="none"/>
                <w:lang w:bidi="ar"/>
              </w:rPr>
            </w:pPr>
            <w:r>
              <w:rPr>
                <w:rStyle w:val="25"/>
                <w:rFonts w:hint="default"/>
                <w:color w:val="auto"/>
                <w:highlight w:val="none"/>
                <w:lang w:bidi="ar"/>
              </w:rPr>
              <w:t>1、“岗位”要求</w:t>
            </w:r>
            <w:r>
              <w:rPr>
                <w:rStyle w:val="26"/>
                <w:rFonts w:hint="default"/>
                <w:color w:val="auto"/>
                <w:highlight w:val="none"/>
                <w:lang w:bidi="ar"/>
              </w:rPr>
              <w:t>（总监理工程师除外）</w:t>
            </w:r>
            <w:r>
              <w:rPr>
                <w:rStyle w:val="25"/>
                <w:rFonts w:hint="default"/>
                <w:color w:val="auto"/>
                <w:highlight w:val="none"/>
                <w:lang w:bidi="ar"/>
              </w:rPr>
              <w:t>由招标人根据项目管理需要在本表备注中明确提出，如：拟派驻施工现场的专业监理工程师、监理员等。以上项目管理团队人员信息将由交易系统提取后供各相关单位在履约时比对、查核。</w:t>
            </w:r>
          </w:p>
          <w:p w14:paraId="492E3346">
            <w:pPr>
              <w:keepNext w:val="0"/>
              <w:keepLines w:val="0"/>
              <w:widowControl/>
              <w:suppressLineNumbers w:val="0"/>
              <w:spacing w:before="0" w:beforeAutospacing="0" w:after="0" w:afterAutospacing="0"/>
              <w:ind w:left="0" w:right="0"/>
              <w:jc w:val="left"/>
              <w:textAlignment w:val="center"/>
              <w:rPr>
                <w:rStyle w:val="25"/>
                <w:rFonts w:hint="default"/>
                <w:color w:val="auto"/>
                <w:highlight w:val="none"/>
                <w:lang w:bidi="ar"/>
              </w:rPr>
            </w:pPr>
            <w:r>
              <w:rPr>
                <w:rStyle w:val="25"/>
                <w:rFonts w:hint="default"/>
                <w:color w:val="auto"/>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03EB59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sz w:val="28"/>
                <w:szCs w:val="28"/>
                <w:highlight w:val="none"/>
              </w:rPr>
            </w:pPr>
            <w:r>
              <w:rPr>
                <w:rStyle w:val="25"/>
                <w:rFonts w:hint="default"/>
                <w:color w:val="auto"/>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A1E731C">
      <w:pPr>
        <w:pStyle w:val="5"/>
        <w:keepNext w:val="0"/>
        <w:keepLines w:val="0"/>
        <w:ind w:firstLine="137"/>
        <w:jc w:val="center"/>
        <w:rPr>
          <w:rFonts w:ascii="Times New Roman" w:hAnsi="Times New Roman"/>
          <w:color w:val="auto"/>
          <w:highlight w:val="none"/>
        </w:rPr>
      </w:pPr>
    </w:p>
    <w:p w14:paraId="4663908D">
      <w:pPr>
        <w:rPr>
          <w:rFonts w:ascii="Times New Roman" w:hAnsi="Times New Roman"/>
          <w:color w:val="auto"/>
          <w:highlight w:val="none"/>
        </w:rPr>
      </w:pPr>
    </w:p>
    <w:p w14:paraId="4B13D433">
      <w:pPr>
        <w:pStyle w:val="10"/>
        <w:rPr>
          <w:rFonts w:ascii="Times New Roman" w:hAnsi="Times New Roman"/>
          <w:color w:val="auto"/>
          <w:highlight w:val="none"/>
        </w:rPr>
      </w:pPr>
    </w:p>
    <w:p w14:paraId="04AE27FF">
      <w:pPr>
        <w:pStyle w:val="5"/>
        <w:keepNext w:val="0"/>
        <w:keepLines w:val="0"/>
        <w:ind w:firstLine="137"/>
        <w:jc w:val="center"/>
        <w:rPr>
          <w:rFonts w:ascii="Times New Roman" w:hAnsi="Times New Roman"/>
          <w:color w:val="auto"/>
          <w:highlight w:val="none"/>
        </w:rPr>
      </w:pPr>
    </w:p>
    <w:p w14:paraId="11A99F68">
      <w:pPr>
        <w:pStyle w:val="5"/>
        <w:keepNext w:val="0"/>
        <w:keepLines w:val="0"/>
        <w:ind w:firstLine="137"/>
        <w:jc w:val="center"/>
        <w:rPr>
          <w:rFonts w:ascii="Times New Roman" w:hAnsi="Times New Roman"/>
          <w:color w:val="auto"/>
          <w:highlight w:val="none"/>
        </w:rPr>
      </w:pPr>
      <w:bookmarkStart w:id="1074" w:name="_Toc79"/>
      <w:bookmarkStart w:id="1075" w:name="_Toc2110"/>
      <w:r>
        <w:rPr>
          <w:rFonts w:hint="eastAsia" w:ascii="Times New Roman" w:hAnsi="Times New Roman"/>
          <w:color w:val="auto"/>
          <w:highlight w:val="none"/>
        </w:rPr>
        <w:t>（四）</w:t>
      </w:r>
      <w:r>
        <w:rPr>
          <w:rFonts w:ascii="Times New Roman" w:hAnsi="Times New Roman"/>
          <w:color w:val="auto"/>
          <w:highlight w:val="none"/>
        </w:rPr>
        <w:t>主要人员简历表（格式可自定）</w:t>
      </w:r>
      <w:bookmarkEnd w:id="1074"/>
      <w:bookmarkEnd w:id="1075"/>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240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2C4826B5">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姓  名</w:t>
            </w:r>
          </w:p>
        </w:tc>
        <w:tc>
          <w:tcPr>
            <w:tcW w:w="1048" w:type="dxa"/>
            <w:gridSpan w:val="2"/>
            <w:vAlign w:val="center"/>
          </w:tcPr>
          <w:p w14:paraId="180BDBF3">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958" w:type="dxa"/>
            <w:vAlign w:val="center"/>
          </w:tcPr>
          <w:p w14:paraId="247A1A69">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年龄</w:t>
            </w:r>
          </w:p>
        </w:tc>
        <w:tc>
          <w:tcPr>
            <w:tcW w:w="1065" w:type="dxa"/>
            <w:vAlign w:val="center"/>
          </w:tcPr>
          <w:p w14:paraId="21A0138A">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2368" w:type="dxa"/>
            <w:gridSpan w:val="3"/>
            <w:vAlign w:val="center"/>
          </w:tcPr>
          <w:p w14:paraId="639E5179">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执业资格证书（或上岗证书）名称</w:t>
            </w:r>
          </w:p>
        </w:tc>
        <w:tc>
          <w:tcPr>
            <w:tcW w:w="1896" w:type="dxa"/>
            <w:vAlign w:val="center"/>
          </w:tcPr>
          <w:p w14:paraId="4DAF0BB7">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r>
      <w:tr w14:paraId="1356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989E705">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职  称</w:t>
            </w:r>
          </w:p>
        </w:tc>
        <w:tc>
          <w:tcPr>
            <w:tcW w:w="1048" w:type="dxa"/>
            <w:gridSpan w:val="2"/>
            <w:vAlign w:val="center"/>
          </w:tcPr>
          <w:p w14:paraId="232FB052">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958" w:type="dxa"/>
            <w:vAlign w:val="center"/>
          </w:tcPr>
          <w:p w14:paraId="409213E9">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学历</w:t>
            </w:r>
          </w:p>
        </w:tc>
        <w:tc>
          <w:tcPr>
            <w:tcW w:w="1065" w:type="dxa"/>
            <w:vAlign w:val="center"/>
          </w:tcPr>
          <w:p w14:paraId="61E5D155">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2368" w:type="dxa"/>
            <w:gridSpan w:val="3"/>
            <w:vAlign w:val="center"/>
          </w:tcPr>
          <w:p w14:paraId="71F5DBAC">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拟在本项目任职</w:t>
            </w:r>
          </w:p>
        </w:tc>
        <w:tc>
          <w:tcPr>
            <w:tcW w:w="1896" w:type="dxa"/>
            <w:vAlign w:val="center"/>
          </w:tcPr>
          <w:p w14:paraId="1E2E5E7E">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r>
      <w:tr w14:paraId="421A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5EE840A3">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工作年限</w:t>
            </w:r>
          </w:p>
        </w:tc>
        <w:tc>
          <w:tcPr>
            <w:tcW w:w="3071" w:type="dxa"/>
            <w:gridSpan w:val="4"/>
            <w:vAlign w:val="center"/>
          </w:tcPr>
          <w:p w14:paraId="37176D3D">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c>
          <w:tcPr>
            <w:tcW w:w="2368" w:type="dxa"/>
            <w:gridSpan w:val="3"/>
            <w:vAlign w:val="center"/>
          </w:tcPr>
          <w:p w14:paraId="798B2252">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从事监理工作年限</w:t>
            </w:r>
          </w:p>
        </w:tc>
        <w:tc>
          <w:tcPr>
            <w:tcW w:w="1896" w:type="dxa"/>
            <w:vAlign w:val="center"/>
          </w:tcPr>
          <w:p w14:paraId="5A8B9D7D">
            <w:pPr>
              <w:keepNext w:val="0"/>
              <w:keepLines w:val="0"/>
              <w:suppressLineNumbers w:val="0"/>
              <w:spacing w:before="0" w:beforeAutospacing="0" w:after="0" w:afterAutospacing="0" w:line="440" w:lineRule="exact"/>
              <w:ind w:left="0" w:right="0"/>
              <w:jc w:val="center"/>
              <w:rPr>
                <w:rFonts w:hint="default" w:ascii="Times New Roman" w:hAnsi="Times New Roman"/>
                <w:color w:val="auto"/>
                <w:highlight w:val="none"/>
              </w:rPr>
            </w:pPr>
          </w:p>
        </w:tc>
      </w:tr>
      <w:tr w14:paraId="56C0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315A714F">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毕业学校</w:t>
            </w:r>
          </w:p>
        </w:tc>
        <w:tc>
          <w:tcPr>
            <w:tcW w:w="7335" w:type="dxa"/>
            <w:gridSpan w:val="8"/>
            <w:vAlign w:val="center"/>
          </w:tcPr>
          <w:p w14:paraId="4D945F3C">
            <w:pPr>
              <w:keepNext w:val="0"/>
              <w:keepLines w:val="0"/>
              <w:suppressLineNumbers w:val="0"/>
              <w:spacing w:before="100" w:beforeAutospacing="1" w:after="100" w:afterAutospacing="1" w:line="440" w:lineRule="exact"/>
              <w:ind w:left="0" w:right="0" w:firstLine="1155" w:firstLineChars="550"/>
              <w:rPr>
                <w:rFonts w:hint="default" w:ascii="Times New Roman" w:hAnsi="Times New Roman"/>
                <w:color w:val="auto"/>
                <w:highlight w:val="none"/>
              </w:rPr>
            </w:pPr>
            <w:r>
              <w:rPr>
                <w:rFonts w:hint="default" w:ascii="Times New Roman" w:hAnsi="Times New Roman"/>
                <w:color w:val="auto"/>
                <w:highlight w:val="none"/>
              </w:rPr>
              <w:t>年毕业于            学校        专业</w:t>
            </w:r>
          </w:p>
        </w:tc>
      </w:tr>
      <w:tr w14:paraId="2F88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78EB038C">
            <w:pPr>
              <w:keepNext w:val="0"/>
              <w:keepLines w:val="0"/>
              <w:suppressLineNumbers w:val="0"/>
              <w:spacing w:before="100" w:beforeAutospacing="1" w:after="100" w:afterAutospacing="1" w:line="44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主要工作经历</w:t>
            </w:r>
          </w:p>
        </w:tc>
      </w:tr>
      <w:tr w14:paraId="182A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5BA8FA54">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时  间</w:t>
            </w:r>
          </w:p>
        </w:tc>
        <w:tc>
          <w:tcPr>
            <w:tcW w:w="3420" w:type="dxa"/>
            <w:gridSpan w:val="4"/>
            <w:vAlign w:val="center"/>
          </w:tcPr>
          <w:p w14:paraId="649922CB">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参加过的类似项目</w:t>
            </w:r>
          </w:p>
        </w:tc>
        <w:tc>
          <w:tcPr>
            <w:tcW w:w="1261" w:type="dxa"/>
            <w:vAlign w:val="center"/>
          </w:tcPr>
          <w:p w14:paraId="4C9576DD">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担任职务</w:t>
            </w:r>
          </w:p>
        </w:tc>
        <w:tc>
          <w:tcPr>
            <w:tcW w:w="2297" w:type="dxa"/>
            <w:gridSpan w:val="2"/>
            <w:vAlign w:val="center"/>
          </w:tcPr>
          <w:p w14:paraId="5D2EC3B4">
            <w:pPr>
              <w:keepNext w:val="0"/>
              <w:keepLines w:val="0"/>
              <w:suppressLineNumbers w:val="0"/>
              <w:spacing w:before="100" w:beforeAutospacing="1" w:after="100" w:afterAutospacing="1" w:line="44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委托人及联系电话</w:t>
            </w:r>
          </w:p>
        </w:tc>
      </w:tr>
      <w:tr w14:paraId="0A02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A7E60E4">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tcPr>
          <w:p w14:paraId="69166BD2">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tcPr>
          <w:p w14:paraId="18F8CE68">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tcPr>
          <w:p w14:paraId="7D6303F2">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6739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0403C04">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tcPr>
          <w:p w14:paraId="74535184">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tcPr>
          <w:p w14:paraId="3930F6A4">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tcPr>
          <w:p w14:paraId="597C0072">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0C33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7C6939F">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tcPr>
          <w:p w14:paraId="33E1F896">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tcPr>
          <w:p w14:paraId="7CF534A1">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tcPr>
          <w:p w14:paraId="69A20587">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4E0A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8DDA4BD">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vAlign w:val="center"/>
          </w:tcPr>
          <w:p w14:paraId="4948A3F1">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vAlign w:val="center"/>
          </w:tcPr>
          <w:p w14:paraId="5A20EDFD">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vAlign w:val="center"/>
          </w:tcPr>
          <w:p w14:paraId="240C18E7">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32B9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46F0199">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vAlign w:val="center"/>
          </w:tcPr>
          <w:p w14:paraId="6B345BCB">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vAlign w:val="center"/>
          </w:tcPr>
          <w:p w14:paraId="78BA0911">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vAlign w:val="center"/>
          </w:tcPr>
          <w:p w14:paraId="12C1FB3E">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672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3DE19D9">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vAlign w:val="center"/>
          </w:tcPr>
          <w:p w14:paraId="29B8556A">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vAlign w:val="center"/>
          </w:tcPr>
          <w:p w14:paraId="33C227A0">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vAlign w:val="center"/>
          </w:tcPr>
          <w:p w14:paraId="35B63C21">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r w14:paraId="2347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DA3D23A">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3420" w:type="dxa"/>
            <w:gridSpan w:val="4"/>
            <w:vAlign w:val="center"/>
          </w:tcPr>
          <w:p w14:paraId="3A510BCE">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1261" w:type="dxa"/>
            <w:vAlign w:val="center"/>
          </w:tcPr>
          <w:p w14:paraId="2F8E5BBF">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c>
          <w:tcPr>
            <w:tcW w:w="2297" w:type="dxa"/>
            <w:gridSpan w:val="2"/>
            <w:vAlign w:val="center"/>
          </w:tcPr>
          <w:p w14:paraId="5E5822E7">
            <w:pPr>
              <w:keepNext w:val="0"/>
              <w:keepLines w:val="0"/>
              <w:suppressLineNumbers w:val="0"/>
              <w:spacing w:before="0" w:beforeAutospacing="0" w:after="0" w:afterAutospacing="0" w:line="440" w:lineRule="exact"/>
              <w:ind w:left="0" w:right="0"/>
              <w:rPr>
                <w:rFonts w:hint="default" w:ascii="Times New Roman" w:hAnsi="Times New Roman"/>
                <w:color w:val="auto"/>
                <w:highlight w:val="none"/>
              </w:rPr>
            </w:pPr>
          </w:p>
        </w:tc>
      </w:tr>
    </w:tbl>
    <w:p w14:paraId="2ABD4B50">
      <w:pPr>
        <w:spacing w:line="440" w:lineRule="exact"/>
        <w:rPr>
          <w:rFonts w:ascii="Times New Roman" w:hAnsi="Times New Roman"/>
          <w:color w:val="auto"/>
          <w:highlight w:val="none"/>
        </w:rPr>
      </w:pPr>
      <w:r>
        <w:rPr>
          <w:rFonts w:ascii="Times New Roman" w:hAnsi="Times New Roman"/>
          <w:color w:val="auto"/>
          <w:highlight w:val="none"/>
        </w:rPr>
        <w:t>注：在本表后附相关证明材料。</w:t>
      </w:r>
    </w:p>
    <w:p w14:paraId="0B4E79BD">
      <w:pPr>
        <w:pStyle w:val="5"/>
        <w:keepNext w:val="0"/>
        <w:keepLines w:val="0"/>
        <w:ind w:firstLine="137"/>
        <w:rPr>
          <w:rFonts w:ascii="Times New Roman" w:hAnsi="Times New Roman"/>
          <w:color w:val="auto"/>
          <w:highlight w:val="none"/>
        </w:rPr>
      </w:pPr>
    </w:p>
    <w:p w14:paraId="28841EE3">
      <w:pPr>
        <w:rPr>
          <w:rFonts w:ascii="Times New Roman" w:hAnsi="Times New Roman"/>
          <w:color w:val="auto"/>
          <w:highlight w:val="none"/>
        </w:rPr>
      </w:pPr>
    </w:p>
    <w:p w14:paraId="45FDD840">
      <w:pPr>
        <w:pStyle w:val="14"/>
        <w:rPr>
          <w:color w:val="auto"/>
          <w:highlight w:val="none"/>
        </w:rPr>
      </w:pPr>
    </w:p>
    <w:p w14:paraId="556429D4">
      <w:pPr>
        <w:pStyle w:val="5"/>
        <w:keepNext w:val="0"/>
        <w:keepLines w:val="0"/>
        <w:ind w:firstLine="137"/>
        <w:rPr>
          <w:rFonts w:ascii="Times New Roman" w:hAnsi="Times New Roman"/>
          <w:color w:val="auto"/>
          <w:highlight w:val="none"/>
        </w:rPr>
      </w:pPr>
    </w:p>
    <w:p w14:paraId="07296F93">
      <w:pPr>
        <w:pStyle w:val="5"/>
        <w:keepNext w:val="0"/>
        <w:keepLines w:val="0"/>
        <w:ind w:firstLine="137"/>
        <w:rPr>
          <w:rFonts w:ascii="Times New Roman" w:hAnsi="Times New Roman"/>
          <w:color w:val="auto"/>
          <w:highlight w:val="none"/>
        </w:rPr>
      </w:pPr>
      <w:bookmarkStart w:id="1076" w:name="_Toc388"/>
      <w:bookmarkStart w:id="1077" w:name="_Toc22556"/>
      <w:r>
        <w:rPr>
          <w:rFonts w:hint="eastAsia" w:ascii="Times New Roman" w:hAnsi="Times New Roman"/>
          <w:color w:val="auto"/>
          <w:highlight w:val="none"/>
        </w:rPr>
        <w:t>（五）拟投入本项目的通讯、办公、检测设备清单</w:t>
      </w:r>
      <w:r>
        <w:rPr>
          <w:rFonts w:ascii="Times New Roman" w:hAnsi="Times New Roman"/>
          <w:color w:val="auto"/>
          <w:highlight w:val="none"/>
        </w:rPr>
        <w:t>（格式可自定）</w:t>
      </w:r>
      <w:bookmarkEnd w:id="1076"/>
      <w:bookmarkEnd w:id="1077"/>
    </w:p>
    <w:tbl>
      <w:tblPr>
        <w:tblStyle w:val="16"/>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14:paraId="0AB0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vAlign w:val="center"/>
          </w:tcPr>
          <w:p w14:paraId="323B4858">
            <w:pPr>
              <w:keepNext w:val="0"/>
              <w:keepLines w:val="0"/>
              <w:suppressLineNumbers w:val="0"/>
              <w:spacing w:before="0" w:beforeAutospacing="0" w:after="0" w:afterAutospacing="0" w:line="440" w:lineRule="exact"/>
              <w:ind w:left="0" w:right="0"/>
              <w:rPr>
                <w:rFonts w:hint="default" w:ascii="Times New Roman" w:hAnsi="Times New Roman"/>
                <w:color w:val="auto"/>
                <w:szCs w:val="21"/>
                <w:highlight w:val="none"/>
              </w:rPr>
            </w:pPr>
            <w:r>
              <w:rPr>
                <w:rFonts w:hint="default" w:ascii="Times New Roman" w:hAnsi="Times New Roman"/>
                <w:color w:val="auto"/>
                <w:szCs w:val="21"/>
                <w:highlight w:val="none"/>
              </w:rPr>
              <w:t>序号</w:t>
            </w:r>
          </w:p>
        </w:tc>
        <w:tc>
          <w:tcPr>
            <w:tcW w:w="1275" w:type="dxa"/>
            <w:vAlign w:val="center"/>
          </w:tcPr>
          <w:p w14:paraId="09A00C1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仪器设备</w:t>
            </w:r>
          </w:p>
          <w:p w14:paraId="29B43AA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名称</w:t>
            </w:r>
          </w:p>
        </w:tc>
        <w:tc>
          <w:tcPr>
            <w:tcW w:w="936" w:type="dxa"/>
            <w:vAlign w:val="center"/>
          </w:tcPr>
          <w:p w14:paraId="69833E4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型号</w:t>
            </w:r>
          </w:p>
          <w:p w14:paraId="7FE2316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规格</w:t>
            </w:r>
          </w:p>
        </w:tc>
        <w:tc>
          <w:tcPr>
            <w:tcW w:w="747" w:type="dxa"/>
            <w:vAlign w:val="center"/>
          </w:tcPr>
          <w:p w14:paraId="51CA09E9">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数量</w:t>
            </w:r>
          </w:p>
        </w:tc>
        <w:tc>
          <w:tcPr>
            <w:tcW w:w="850" w:type="dxa"/>
            <w:vAlign w:val="center"/>
          </w:tcPr>
          <w:p w14:paraId="219BCD2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国别</w:t>
            </w:r>
          </w:p>
          <w:p w14:paraId="5CE4A2D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产地</w:t>
            </w:r>
          </w:p>
        </w:tc>
        <w:tc>
          <w:tcPr>
            <w:tcW w:w="992" w:type="dxa"/>
            <w:vAlign w:val="center"/>
          </w:tcPr>
          <w:p w14:paraId="73E015E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制造</w:t>
            </w:r>
          </w:p>
          <w:p w14:paraId="361FF65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年份</w:t>
            </w:r>
          </w:p>
        </w:tc>
        <w:tc>
          <w:tcPr>
            <w:tcW w:w="1419" w:type="dxa"/>
            <w:vAlign w:val="center"/>
          </w:tcPr>
          <w:p w14:paraId="337001C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用途</w:t>
            </w:r>
          </w:p>
        </w:tc>
        <w:tc>
          <w:tcPr>
            <w:tcW w:w="1162" w:type="dxa"/>
            <w:vAlign w:val="center"/>
          </w:tcPr>
          <w:p w14:paraId="2DA6857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备注</w:t>
            </w:r>
          </w:p>
        </w:tc>
      </w:tr>
      <w:tr w14:paraId="23FC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vAlign w:val="center"/>
          </w:tcPr>
          <w:p w14:paraId="568F8F7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vAlign w:val="center"/>
          </w:tcPr>
          <w:p w14:paraId="1D1B9CE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vAlign w:val="center"/>
          </w:tcPr>
          <w:p w14:paraId="70F74F9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vAlign w:val="center"/>
          </w:tcPr>
          <w:p w14:paraId="71D2CE0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vAlign w:val="center"/>
          </w:tcPr>
          <w:p w14:paraId="11883B7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vAlign w:val="center"/>
          </w:tcPr>
          <w:p w14:paraId="493F538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vAlign w:val="center"/>
          </w:tcPr>
          <w:p w14:paraId="378CF6C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vAlign w:val="center"/>
          </w:tcPr>
          <w:p w14:paraId="3B891D0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640D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vAlign w:val="center"/>
          </w:tcPr>
          <w:p w14:paraId="5409EF5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vAlign w:val="center"/>
          </w:tcPr>
          <w:p w14:paraId="163897C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vAlign w:val="center"/>
          </w:tcPr>
          <w:p w14:paraId="000676C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vAlign w:val="center"/>
          </w:tcPr>
          <w:p w14:paraId="0F47CBB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vAlign w:val="center"/>
          </w:tcPr>
          <w:p w14:paraId="0307B98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vAlign w:val="center"/>
          </w:tcPr>
          <w:p w14:paraId="5FF7DE4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vAlign w:val="center"/>
          </w:tcPr>
          <w:p w14:paraId="3F0997F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vAlign w:val="center"/>
          </w:tcPr>
          <w:p w14:paraId="5B0F5F9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072D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06F579F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7B5D6F5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29B3D67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7EECB58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1A3DE41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10E77C9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2EC04DB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38F197C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5307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048CE609">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77DF8BD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47A256F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0626505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5F9A758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23F58B89">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424DCE3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5F12007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466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Pr>
          <w:p w14:paraId="0202931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2467D4D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4FAF9D0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252D7B9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1E2A5E8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010F90B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25CE53B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5A338EE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6FA7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7469C4E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17094DC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126E99A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6BB0B04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044648C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719C338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61D2EB3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37CC699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6F52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7959B4F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70D58B09">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3D24932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71B4DD9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61D39FE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15CD6D3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4D6DE4F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4C9A64F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1C72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3AC1035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7092710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2A20096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5C8C138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1F7A3B4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437FF95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08683B7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1D666DA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78A8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08FA270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417FA5E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7846061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1EF036E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1201E0E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09D6555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308EA96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0E8E4A8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2D51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4D9B953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47642D7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52C67C49">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72C5BA8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3F36FCC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37AAC4B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100EB19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678DB6F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5AE2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097634E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0C32518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51D161F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59ECEA4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1EAD83B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65EA2D6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6631326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44B8ACE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4F12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451A9CB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1A50E79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68C56B5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5478D36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171AD96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7EFAA5A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2E536D9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53E8A87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0C92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Pr>
          <w:p w14:paraId="4CBF9C8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7561B98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0F30360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7D1B7FB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44D4542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63ECAC0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19770F7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38B63D8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25AC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256F3E3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61D1D71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4651345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7B153B59">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176019B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30E665C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3D57D26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5DD0978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1B8D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5FEBCAC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4C5BDB3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4877965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0687BF6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4430DC7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4E17E91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47F3A1D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499FCEE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7A36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4EF6DDA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3A7D6AB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57C88E4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5ADD177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16B0FB8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608859F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77719F7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6F234A0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3933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10EEF94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550D196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2CA147D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6721354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2EDBB13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3416E2A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23AA0FB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3C7C363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5829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47BC5BA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18241D3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070E269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3820B93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565A121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2821049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7B7F69C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037BFEE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r w14:paraId="7421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6CC975A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275" w:type="dxa"/>
          </w:tcPr>
          <w:p w14:paraId="2345D19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36" w:type="dxa"/>
          </w:tcPr>
          <w:p w14:paraId="782845B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747" w:type="dxa"/>
          </w:tcPr>
          <w:p w14:paraId="2426DC1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850" w:type="dxa"/>
          </w:tcPr>
          <w:p w14:paraId="2DA2B81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992" w:type="dxa"/>
          </w:tcPr>
          <w:p w14:paraId="2383759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419" w:type="dxa"/>
          </w:tcPr>
          <w:p w14:paraId="4F82F21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c>
          <w:tcPr>
            <w:tcW w:w="1162" w:type="dxa"/>
          </w:tcPr>
          <w:p w14:paraId="6BB0F7E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Cs w:val="21"/>
                <w:highlight w:val="none"/>
              </w:rPr>
            </w:pPr>
          </w:p>
        </w:tc>
      </w:tr>
    </w:tbl>
    <w:p w14:paraId="3B9448C4">
      <w:pPr>
        <w:rPr>
          <w:rFonts w:ascii="Times New Roman" w:hAnsi="Times New Roman"/>
          <w:color w:val="auto"/>
          <w:highlight w:val="none"/>
        </w:rPr>
      </w:pPr>
    </w:p>
    <w:p w14:paraId="3E2FF0A8">
      <w:pPr>
        <w:pStyle w:val="4"/>
        <w:keepNext w:val="0"/>
        <w:keepLines w:val="0"/>
        <w:spacing w:after="0"/>
        <w:jc w:val="center"/>
        <w:rPr>
          <w:color w:val="auto"/>
          <w:highlight w:val="none"/>
        </w:rPr>
      </w:pPr>
    </w:p>
    <w:p w14:paraId="6F606885">
      <w:pPr>
        <w:rPr>
          <w:color w:val="auto"/>
          <w:highlight w:val="none"/>
        </w:rPr>
      </w:pPr>
    </w:p>
    <w:p w14:paraId="16F20752">
      <w:pPr>
        <w:pStyle w:val="14"/>
        <w:rPr>
          <w:color w:val="auto"/>
          <w:highlight w:val="none"/>
        </w:rPr>
      </w:pPr>
    </w:p>
    <w:p w14:paraId="598020DC">
      <w:pPr>
        <w:pStyle w:val="5"/>
        <w:keepNext w:val="0"/>
        <w:keepLines w:val="0"/>
        <w:ind w:firstLine="137"/>
        <w:rPr>
          <w:rFonts w:hint="eastAsia" w:ascii="Times New Roman" w:hAnsi="Times New Roman"/>
          <w:color w:val="auto"/>
          <w:highlight w:val="none"/>
        </w:rPr>
      </w:pPr>
      <w:bookmarkStart w:id="1078" w:name="_Toc17798"/>
      <w:bookmarkStart w:id="1079" w:name="_Toc3146"/>
    </w:p>
    <w:p w14:paraId="7BBCB096">
      <w:pPr>
        <w:pStyle w:val="5"/>
        <w:keepNext w:val="0"/>
        <w:keepLines w:val="0"/>
        <w:ind w:firstLine="137"/>
        <w:rPr>
          <w:rFonts w:hint="eastAsia" w:ascii="Times New Roman" w:hAnsi="Times New Roman"/>
          <w:color w:val="auto"/>
          <w:highlight w:val="none"/>
        </w:rPr>
      </w:pPr>
      <w:r>
        <w:rPr>
          <w:rFonts w:hint="eastAsia" w:ascii="Times New Roman" w:hAnsi="Times New Roman"/>
          <w:color w:val="auto"/>
          <w:highlight w:val="none"/>
        </w:rPr>
        <w:t>（六）投标人认为需要提供的资料（如有）</w:t>
      </w:r>
      <w:bookmarkEnd w:id="1078"/>
      <w:bookmarkEnd w:id="1079"/>
    </w:p>
    <w:p w14:paraId="1CE0390A">
      <w:pPr>
        <w:rPr>
          <w:color w:val="auto"/>
          <w:highlight w:val="none"/>
        </w:rPr>
      </w:pPr>
    </w:p>
    <w:sectPr>
      <w:pgSz w:w="12240" w:h="15840"/>
      <w:pgMar w:top="1440" w:right="1425" w:bottom="116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A3AD">
    <w:pPr>
      <w:pStyle w:val="11"/>
      <w:jc w:val="center"/>
    </w:pPr>
    <w:r>
      <w:fldChar w:fldCharType="begin"/>
    </w:r>
    <w:r>
      <w:instrText xml:space="preserve"> PAGE   \* MERGEFORMAT </w:instrText>
    </w:r>
    <w:r>
      <w:fldChar w:fldCharType="separate"/>
    </w:r>
    <w:r>
      <w:rPr>
        <w:lang w:val="zh-CN"/>
      </w:rPr>
      <w:t>2</w:t>
    </w:r>
    <w:r>
      <w:rPr>
        <w:lang w:val="zh-CN"/>
      </w:rPr>
      <w:fldChar w:fldCharType="end"/>
    </w:r>
  </w:p>
  <w:p w14:paraId="427DD8E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CD61">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1770" cy="1492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1770" cy="149225"/>
                      </a:xfrm>
                      <a:prstGeom prst="rect">
                        <a:avLst/>
                      </a:prstGeom>
                      <a:noFill/>
                      <a:ln>
                        <a:noFill/>
                      </a:ln>
                    </wps:spPr>
                    <wps:txbx>
                      <w:txbxContent>
                        <w:p w14:paraId="6B474F1B">
                          <w:pPr>
                            <w:pStyle w:val="11"/>
                            <w:jc w:val="center"/>
                          </w:pPr>
                          <w:r>
                            <w:fldChar w:fldCharType="begin"/>
                          </w:r>
                          <w:r>
                            <w:instrText xml:space="preserve"> PAGE   \* MERGEFORMAT </w:instrText>
                          </w:r>
                          <w:r>
                            <w:fldChar w:fldCharType="separate"/>
                          </w:r>
                          <w:r>
                            <w:rPr>
                              <w:lang w:val="zh-CN"/>
                            </w:rPr>
                            <w:t>36</w:t>
                          </w:r>
                          <w:r>
                            <w:rPr>
                              <w:lang w:val="zh-CN"/>
                            </w:rPr>
                            <w:fldChar w:fldCharType="end"/>
                          </w:r>
                        </w:p>
                      </w:txbxContent>
                    </wps:txbx>
                    <wps:bodyPr lIns="0" tIns="0" rIns="0" bIns="0"/>
                  </wps:wsp>
                </a:graphicData>
              </a:graphic>
            </wp:anchor>
          </w:drawing>
        </mc:Choice>
        <mc:Fallback>
          <w:pict>
            <v:shape id="_x0000_s1026" o:spid="_x0000_s1026" o:spt="202" type="#_x0000_t202" style="position:absolute;left:0pt;margin-top:0pt;height:11.75pt;width:15.1pt;mso-position-horizontal:center;mso-position-horizontal-relative:margin;z-index:251659264;mso-width-relative:page;mso-height-relative:page;" filled="f" stroked="f" coordsize="21600,21600" o:gfxdata="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s+U7&#10;1AAAAAMBAAAPAAAAAAAAAAEAIAAAACIAAABkcnMvZG93bnJldi54bWxQSwECFAAUAAAACACHTuJA&#10;aMB08bMBAABlAwAADgAAAAAAAAABACAAAAAjAQAAZHJzL2Uyb0RvYy54bWxQSwUGAAAAAAYABgBZ&#10;AQAASAUAAAAA&#10;">
              <v:fill on="f" focussize="0,0"/>
              <v:stroke on="f"/>
              <v:imagedata o:title=""/>
              <o:lock v:ext="edit" aspectratio="f"/>
              <v:textbox inset="0mm,0mm,0mm,0mm">
                <w:txbxContent>
                  <w:p w14:paraId="6B474F1B">
                    <w:pPr>
                      <w:pStyle w:val="11"/>
                      <w:jc w:val="center"/>
                    </w:pPr>
                    <w:r>
                      <w:fldChar w:fldCharType="begin"/>
                    </w:r>
                    <w:r>
                      <w:instrText xml:space="preserve"> PAGE   \* MERGEFORMAT </w:instrText>
                    </w:r>
                    <w:r>
                      <w:fldChar w:fldCharType="separate"/>
                    </w:r>
                    <w:r>
                      <w:rPr>
                        <w:lang w:val="zh-CN"/>
                      </w:rPr>
                      <w:t>36</w:t>
                    </w:r>
                    <w:r>
                      <w:rPr>
                        <w:lang w:val="zh-CN"/>
                      </w:rPr>
                      <w:fldChar w:fldCharType="end"/>
                    </w:r>
                  </w:p>
                </w:txbxContent>
              </v:textbox>
            </v:shape>
          </w:pict>
        </mc:Fallback>
      </mc:AlternateContent>
    </w:r>
  </w:p>
  <w:p w14:paraId="4469DD3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A44F7"/>
    <w:multiLevelType w:val="singleLevel"/>
    <w:tmpl w:val="6FAA44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YWJlMDFmMmVkYjQ1NjhiZDRmYTkxZGJhOTk4OTEifQ=="/>
  </w:docVars>
  <w:rsids>
    <w:rsidRoot w:val="118D0A21"/>
    <w:rsid w:val="00310860"/>
    <w:rsid w:val="0069744B"/>
    <w:rsid w:val="008129A1"/>
    <w:rsid w:val="009A6724"/>
    <w:rsid w:val="00A566D5"/>
    <w:rsid w:val="00B2494E"/>
    <w:rsid w:val="01057174"/>
    <w:rsid w:val="01565C22"/>
    <w:rsid w:val="01E7687A"/>
    <w:rsid w:val="033B0BCD"/>
    <w:rsid w:val="03B46C2F"/>
    <w:rsid w:val="04544089"/>
    <w:rsid w:val="04CD7FA9"/>
    <w:rsid w:val="04D74983"/>
    <w:rsid w:val="04FC43EA"/>
    <w:rsid w:val="05266597"/>
    <w:rsid w:val="06400C4E"/>
    <w:rsid w:val="06710E08"/>
    <w:rsid w:val="06A765D7"/>
    <w:rsid w:val="06B34F7C"/>
    <w:rsid w:val="06D575E9"/>
    <w:rsid w:val="07D653C6"/>
    <w:rsid w:val="07E13D6B"/>
    <w:rsid w:val="081564DB"/>
    <w:rsid w:val="08C94F2B"/>
    <w:rsid w:val="08E104C7"/>
    <w:rsid w:val="08ED6E6B"/>
    <w:rsid w:val="09320D22"/>
    <w:rsid w:val="09622C8A"/>
    <w:rsid w:val="098F1CD1"/>
    <w:rsid w:val="09AA6B0A"/>
    <w:rsid w:val="0A053D41"/>
    <w:rsid w:val="0A8F3F52"/>
    <w:rsid w:val="0B2C7FD5"/>
    <w:rsid w:val="0B61144B"/>
    <w:rsid w:val="0B7277C4"/>
    <w:rsid w:val="0C150BBD"/>
    <w:rsid w:val="0CA169D5"/>
    <w:rsid w:val="0CBA266F"/>
    <w:rsid w:val="0D8D29CB"/>
    <w:rsid w:val="0DD26630"/>
    <w:rsid w:val="0E10795B"/>
    <w:rsid w:val="0E462B7A"/>
    <w:rsid w:val="0E511C4A"/>
    <w:rsid w:val="0E611762"/>
    <w:rsid w:val="0E963B01"/>
    <w:rsid w:val="0F0335D4"/>
    <w:rsid w:val="0F0F11BE"/>
    <w:rsid w:val="0F6E4136"/>
    <w:rsid w:val="0FD22917"/>
    <w:rsid w:val="0FFF1232"/>
    <w:rsid w:val="10741C20"/>
    <w:rsid w:val="10EC5C5A"/>
    <w:rsid w:val="118916FB"/>
    <w:rsid w:val="118D0A21"/>
    <w:rsid w:val="125F420A"/>
    <w:rsid w:val="12883761"/>
    <w:rsid w:val="12D746E8"/>
    <w:rsid w:val="132F62D2"/>
    <w:rsid w:val="135B0E75"/>
    <w:rsid w:val="138130D2"/>
    <w:rsid w:val="140E1078"/>
    <w:rsid w:val="141D437D"/>
    <w:rsid w:val="14824041"/>
    <w:rsid w:val="15204125"/>
    <w:rsid w:val="152359C3"/>
    <w:rsid w:val="152A6D51"/>
    <w:rsid w:val="15783F61"/>
    <w:rsid w:val="15A46B04"/>
    <w:rsid w:val="15EC04AB"/>
    <w:rsid w:val="163F4A7E"/>
    <w:rsid w:val="1666200B"/>
    <w:rsid w:val="173F707E"/>
    <w:rsid w:val="17780248"/>
    <w:rsid w:val="17887D5F"/>
    <w:rsid w:val="17AD77C6"/>
    <w:rsid w:val="18910E95"/>
    <w:rsid w:val="193006AE"/>
    <w:rsid w:val="19C0183D"/>
    <w:rsid w:val="19C21C4E"/>
    <w:rsid w:val="19C72DC1"/>
    <w:rsid w:val="19F17E3E"/>
    <w:rsid w:val="1A562397"/>
    <w:rsid w:val="1A781007"/>
    <w:rsid w:val="1AB377E9"/>
    <w:rsid w:val="1AF5395E"/>
    <w:rsid w:val="1B027E29"/>
    <w:rsid w:val="1B1A48F6"/>
    <w:rsid w:val="1B481CDF"/>
    <w:rsid w:val="1B67330E"/>
    <w:rsid w:val="1BE539D2"/>
    <w:rsid w:val="1C185B56"/>
    <w:rsid w:val="1C711843"/>
    <w:rsid w:val="1D1075D0"/>
    <w:rsid w:val="1D291FE4"/>
    <w:rsid w:val="1D954F84"/>
    <w:rsid w:val="1E2D340E"/>
    <w:rsid w:val="1E605592"/>
    <w:rsid w:val="1EE53CE9"/>
    <w:rsid w:val="1F844F28"/>
    <w:rsid w:val="20937EA1"/>
    <w:rsid w:val="215238B8"/>
    <w:rsid w:val="215620E3"/>
    <w:rsid w:val="219F4623"/>
    <w:rsid w:val="21DC5877"/>
    <w:rsid w:val="22066450"/>
    <w:rsid w:val="222D7E81"/>
    <w:rsid w:val="22665141"/>
    <w:rsid w:val="228961A6"/>
    <w:rsid w:val="22BE6D2B"/>
    <w:rsid w:val="22C32593"/>
    <w:rsid w:val="22F83FEB"/>
    <w:rsid w:val="231E77CA"/>
    <w:rsid w:val="23501FA0"/>
    <w:rsid w:val="23C6058D"/>
    <w:rsid w:val="23CC22E1"/>
    <w:rsid w:val="246B5E9B"/>
    <w:rsid w:val="24A43132"/>
    <w:rsid w:val="24A84769"/>
    <w:rsid w:val="24AE34FB"/>
    <w:rsid w:val="24FB6014"/>
    <w:rsid w:val="25861D82"/>
    <w:rsid w:val="26115776"/>
    <w:rsid w:val="264834DB"/>
    <w:rsid w:val="264B2FCC"/>
    <w:rsid w:val="26753BA5"/>
    <w:rsid w:val="272D447F"/>
    <w:rsid w:val="27541A0C"/>
    <w:rsid w:val="27765E26"/>
    <w:rsid w:val="27A44741"/>
    <w:rsid w:val="27DF1C1D"/>
    <w:rsid w:val="2803474D"/>
    <w:rsid w:val="2829733C"/>
    <w:rsid w:val="28662918"/>
    <w:rsid w:val="289E5635"/>
    <w:rsid w:val="28BA7F95"/>
    <w:rsid w:val="290731DA"/>
    <w:rsid w:val="294837F2"/>
    <w:rsid w:val="29EE6148"/>
    <w:rsid w:val="2A307D13"/>
    <w:rsid w:val="2B3B716B"/>
    <w:rsid w:val="2BB86E45"/>
    <w:rsid w:val="2BF65788"/>
    <w:rsid w:val="2C0B1233"/>
    <w:rsid w:val="2C3752C4"/>
    <w:rsid w:val="2C5A672F"/>
    <w:rsid w:val="2CD40032"/>
    <w:rsid w:val="2D314CC9"/>
    <w:rsid w:val="2D472F73"/>
    <w:rsid w:val="2D8C0151"/>
    <w:rsid w:val="2D9D235F"/>
    <w:rsid w:val="2DC9254F"/>
    <w:rsid w:val="2E1F47D9"/>
    <w:rsid w:val="2E314855"/>
    <w:rsid w:val="2E67471B"/>
    <w:rsid w:val="2E97657E"/>
    <w:rsid w:val="2EC658E5"/>
    <w:rsid w:val="2F063F34"/>
    <w:rsid w:val="2FC736C3"/>
    <w:rsid w:val="3025663B"/>
    <w:rsid w:val="302E54F0"/>
    <w:rsid w:val="30C419B0"/>
    <w:rsid w:val="30F46739"/>
    <w:rsid w:val="31411253"/>
    <w:rsid w:val="31A81060"/>
    <w:rsid w:val="31DB3455"/>
    <w:rsid w:val="32562ADC"/>
    <w:rsid w:val="327318E0"/>
    <w:rsid w:val="329500DA"/>
    <w:rsid w:val="32B819E9"/>
    <w:rsid w:val="32B83797"/>
    <w:rsid w:val="32BE3742"/>
    <w:rsid w:val="32F01183"/>
    <w:rsid w:val="32FC7B27"/>
    <w:rsid w:val="333472C1"/>
    <w:rsid w:val="3353526D"/>
    <w:rsid w:val="341113B0"/>
    <w:rsid w:val="34317F55"/>
    <w:rsid w:val="349A1047"/>
    <w:rsid w:val="35444A4E"/>
    <w:rsid w:val="358A766C"/>
    <w:rsid w:val="36525B04"/>
    <w:rsid w:val="367125DA"/>
    <w:rsid w:val="368A369C"/>
    <w:rsid w:val="36BD7643"/>
    <w:rsid w:val="37187152"/>
    <w:rsid w:val="37EB3CC7"/>
    <w:rsid w:val="381256F7"/>
    <w:rsid w:val="381C0324"/>
    <w:rsid w:val="38286CC9"/>
    <w:rsid w:val="399276E7"/>
    <w:rsid w:val="399F51B0"/>
    <w:rsid w:val="39AB0F94"/>
    <w:rsid w:val="3A7C32FC"/>
    <w:rsid w:val="3AA54601"/>
    <w:rsid w:val="3B167A46"/>
    <w:rsid w:val="3B4C0F20"/>
    <w:rsid w:val="3B9C1EA7"/>
    <w:rsid w:val="3BE07E5D"/>
    <w:rsid w:val="3C834E15"/>
    <w:rsid w:val="3CBE5E4E"/>
    <w:rsid w:val="3CE55188"/>
    <w:rsid w:val="3D2B3D5B"/>
    <w:rsid w:val="3D6C3AFB"/>
    <w:rsid w:val="3D962926"/>
    <w:rsid w:val="3DC92CFC"/>
    <w:rsid w:val="3DD97850"/>
    <w:rsid w:val="3E3C527C"/>
    <w:rsid w:val="3E774506"/>
    <w:rsid w:val="3E927592"/>
    <w:rsid w:val="3EA23C71"/>
    <w:rsid w:val="3EB07A18"/>
    <w:rsid w:val="3F0833B0"/>
    <w:rsid w:val="3F981C83"/>
    <w:rsid w:val="3F995CD9"/>
    <w:rsid w:val="3FAE3F57"/>
    <w:rsid w:val="40291362"/>
    <w:rsid w:val="406A518C"/>
    <w:rsid w:val="40E51BFB"/>
    <w:rsid w:val="41F13778"/>
    <w:rsid w:val="41F60AD4"/>
    <w:rsid w:val="422519D2"/>
    <w:rsid w:val="42703746"/>
    <w:rsid w:val="427174BE"/>
    <w:rsid w:val="435272F0"/>
    <w:rsid w:val="43E20674"/>
    <w:rsid w:val="4416656F"/>
    <w:rsid w:val="44184095"/>
    <w:rsid w:val="44984918"/>
    <w:rsid w:val="45DF3482"/>
    <w:rsid w:val="45E85CE9"/>
    <w:rsid w:val="46655A71"/>
    <w:rsid w:val="4678706D"/>
    <w:rsid w:val="46A77952"/>
    <w:rsid w:val="46C9769E"/>
    <w:rsid w:val="46CF55AF"/>
    <w:rsid w:val="47265086"/>
    <w:rsid w:val="473A4323"/>
    <w:rsid w:val="476D64A6"/>
    <w:rsid w:val="477A1765"/>
    <w:rsid w:val="47961EA1"/>
    <w:rsid w:val="481B23A6"/>
    <w:rsid w:val="48206756"/>
    <w:rsid w:val="488C6E00"/>
    <w:rsid w:val="489A66EB"/>
    <w:rsid w:val="4A061AFF"/>
    <w:rsid w:val="4AC32AEB"/>
    <w:rsid w:val="4AD8457E"/>
    <w:rsid w:val="4B187071"/>
    <w:rsid w:val="4B401494"/>
    <w:rsid w:val="4BDA4326"/>
    <w:rsid w:val="4BDD7A8B"/>
    <w:rsid w:val="4C5E6D05"/>
    <w:rsid w:val="4C7E21F8"/>
    <w:rsid w:val="4C9149E5"/>
    <w:rsid w:val="4CF84A64"/>
    <w:rsid w:val="4CF8792E"/>
    <w:rsid w:val="4D3B1A90"/>
    <w:rsid w:val="4DCE1C69"/>
    <w:rsid w:val="4E9C58C3"/>
    <w:rsid w:val="4EB66985"/>
    <w:rsid w:val="4F2935FA"/>
    <w:rsid w:val="4F4137AC"/>
    <w:rsid w:val="4FDA66A3"/>
    <w:rsid w:val="500656EA"/>
    <w:rsid w:val="50DC644B"/>
    <w:rsid w:val="51024103"/>
    <w:rsid w:val="51856AE2"/>
    <w:rsid w:val="51DA0BDC"/>
    <w:rsid w:val="51F31C9E"/>
    <w:rsid w:val="52505342"/>
    <w:rsid w:val="5251037B"/>
    <w:rsid w:val="5253273C"/>
    <w:rsid w:val="529C14F4"/>
    <w:rsid w:val="538434F5"/>
    <w:rsid w:val="53A07C03"/>
    <w:rsid w:val="54980F22"/>
    <w:rsid w:val="550348EE"/>
    <w:rsid w:val="55366A71"/>
    <w:rsid w:val="553B5E36"/>
    <w:rsid w:val="553D7E00"/>
    <w:rsid w:val="5559450E"/>
    <w:rsid w:val="555D3FFE"/>
    <w:rsid w:val="55A57753"/>
    <w:rsid w:val="55C220B3"/>
    <w:rsid w:val="55DF43C5"/>
    <w:rsid w:val="55EB160A"/>
    <w:rsid w:val="56292132"/>
    <w:rsid w:val="563034C0"/>
    <w:rsid w:val="565E627F"/>
    <w:rsid w:val="56831054"/>
    <w:rsid w:val="56A417B8"/>
    <w:rsid w:val="56A874FB"/>
    <w:rsid w:val="571921A6"/>
    <w:rsid w:val="571D0F05"/>
    <w:rsid w:val="57407733"/>
    <w:rsid w:val="574D1E50"/>
    <w:rsid w:val="575E22AF"/>
    <w:rsid w:val="575E5E0B"/>
    <w:rsid w:val="57C2334C"/>
    <w:rsid w:val="57D656BE"/>
    <w:rsid w:val="57DB3900"/>
    <w:rsid w:val="58012B81"/>
    <w:rsid w:val="581B5AAA"/>
    <w:rsid w:val="5827444F"/>
    <w:rsid w:val="584D65AC"/>
    <w:rsid w:val="589F0489"/>
    <w:rsid w:val="59103135"/>
    <w:rsid w:val="592B4413"/>
    <w:rsid w:val="594D4389"/>
    <w:rsid w:val="596F4300"/>
    <w:rsid w:val="59950477"/>
    <w:rsid w:val="59D67344"/>
    <w:rsid w:val="59E92304"/>
    <w:rsid w:val="59F710B2"/>
    <w:rsid w:val="59FB2037"/>
    <w:rsid w:val="5ADD34EB"/>
    <w:rsid w:val="5AE26D53"/>
    <w:rsid w:val="5AFD3BD5"/>
    <w:rsid w:val="5B404CF2"/>
    <w:rsid w:val="5B523ED9"/>
    <w:rsid w:val="5B772B61"/>
    <w:rsid w:val="5BD42235"/>
    <w:rsid w:val="5C180C7F"/>
    <w:rsid w:val="5C2D3FFE"/>
    <w:rsid w:val="5C7B120D"/>
    <w:rsid w:val="5CD050B5"/>
    <w:rsid w:val="5CF52D6E"/>
    <w:rsid w:val="5D740137"/>
    <w:rsid w:val="5DEB5CD5"/>
    <w:rsid w:val="5E1B6804"/>
    <w:rsid w:val="5E27164D"/>
    <w:rsid w:val="5E784568"/>
    <w:rsid w:val="5EA8132D"/>
    <w:rsid w:val="5ED74E21"/>
    <w:rsid w:val="5F217E4A"/>
    <w:rsid w:val="5FBB029F"/>
    <w:rsid w:val="60651FB9"/>
    <w:rsid w:val="60883EF9"/>
    <w:rsid w:val="608D09A3"/>
    <w:rsid w:val="60DA1417"/>
    <w:rsid w:val="612E0D6E"/>
    <w:rsid w:val="619012B7"/>
    <w:rsid w:val="61F9789D"/>
    <w:rsid w:val="628D57F7"/>
    <w:rsid w:val="62C90F25"/>
    <w:rsid w:val="631F0B45"/>
    <w:rsid w:val="635B58F5"/>
    <w:rsid w:val="638B7F88"/>
    <w:rsid w:val="63915694"/>
    <w:rsid w:val="64852C29"/>
    <w:rsid w:val="650A5824"/>
    <w:rsid w:val="66763171"/>
    <w:rsid w:val="66861189"/>
    <w:rsid w:val="668F2A3A"/>
    <w:rsid w:val="66BC48FC"/>
    <w:rsid w:val="675E1128"/>
    <w:rsid w:val="67760F4F"/>
    <w:rsid w:val="67A21D44"/>
    <w:rsid w:val="681F15E7"/>
    <w:rsid w:val="6844104D"/>
    <w:rsid w:val="685D01C5"/>
    <w:rsid w:val="68664B20"/>
    <w:rsid w:val="691E364C"/>
    <w:rsid w:val="69750844"/>
    <w:rsid w:val="697F233D"/>
    <w:rsid w:val="698F00A6"/>
    <w:rsid w:val="69BB0E9B"/>
    <w:rsid w:val="69F06D97"/>
    <w:rsid w:val="6A8A4E2D"/>
    <w:rsid w:val="6AA162E3"/>
    <w:rsid w:val="6AC326FD"/>
    <w:rsid w:val="6B2A30BC"/>
    <w:rsid w:val="6B421874"/>
    <w:rsid w:val="6BB65DBE"/>
    <w:rsid w:val="6BCE3108"/>
    <w:rsid w:val="6C316127"/>
    <w:rsid w:val="6C5125EA"/>
    <w:rsid w:val="6C5A3E24"/>
    <w:rsid w:val="6C635F46"/>
    <w:rsid w:val="6C9102FF"/>
    <w:rsid w:val="6CAE57C5"/>
    <w:rsid w:val="6D3279D3"/>
    <w:rsid w:val="6D6C2BD8"/>
    <w:rsid w:val="6DA070A2"/>
    <w:rsid w:val="6DAD31F1"/>
    <w:rsid w:val="6DC26C9C"/>
    <w:rsid w:val="6DC9627D"/>
    <w:rsid w:val="6DE035C6"/>
    <w:rsid w:val="6DFB3FB2"/>
    <w:rsid w:val="6E8403F6"/>
    <w:rsid w:val="6E97570D"/>
    <w:rsid w:val="6ECB392F"/>
    <w:rsid w:val="6ECD3B4B"/>
    <w:rsid w:val="6FAA79E8"/>
    <w:rsid w:val="6FBE3493"/>
    <w:rsid w:val="6FD40A8B"/>
    <w:rsid w:val="6FFE5F86"/>
    <w:rsid w:val="70161521"/>
    <w:rsid w:val="7040034C"/>
    <w:rsid w:val="70903082"/>
    <w:rsid w:val="709B37D5"/>
    <w:rsid w:val="70D25448"/>
    <w:rsid w:val="7148570A"/>
    <w:rsid w:val="714B044F"/>
    <w:rsid w:val="714D2D21"/>
    <w:rsid w:val="714D4BF6"/>
    <w:rsid w:val="7173778D"/>
    <w:rsid w:val="719426FE"/>
    <w:rsid w:val="71B40FF2"/>
    <w:rsid w:val="722C6DDA"/>
    <w:rsid w:val="72677E12"/>
    <w:rsid w:val="72987FCC"/>
    <w:rsid w:val="72F0059F"/>
    <w:rsid w:val="72F7544D"/>
    <w:rsid w:val="730507D0"/>
    <w:rsid w:val="73164BEE"/>
    <w:rsid w:val="732710B7"/>
    <w:rsid w:val="73DB1E6E"/>
    <w:rsid w:val="742E508B"/>
    <w:rsid w:val="751C1631"/>
    <w:rsid w:val="75736F2C"/>
    <w:rsid w:val="75D457BF"/>
    <w:rsid w:val="76037E52"/>
    <w:rsid w:val="76053BCA"/>
    <w:rsid w:val="76171B4F"/>
    <w:rsid w:val="765D3AE5"/>
    <w:rsid w:val="766D79C1"/>
    <w:rsid w:val="766F54E7"/>
    <w:rsid w:val="77086676"/>
    <w:rsid w:val="77197D0F"/>
    <w:rsid w:val="77B75398"/>
    <w:rsid w:val="785726D7"/>
    <w:rsid w:val="78574485"/>
    <w:rsid w:val="78D41F79"/>
    <w:rsid w:val="79DA35C0"/>
    <w:rsid w:val="79E57F9A"/>
    <w:rsid w:val="79FC7092"/>
    <w:rsid w:val="7A6510DB"/>
    <w:rsid w:val="7A756E44"/>
    <w:rsid w:val="7A76228E"/>
    <w:rsid w:val="7A8772A3"/>
    <w:rsid w:val="7AB75F02"/>
    <w:rsid w:val="7AEC5358"/>
    <w:rsid w:val="7AEF6BF7"/>
    <w:rsid w:val="7B18614D"/>
    <w:rsid w:val="7B2A5E81"/>
    <w:rsid w:val="7B7B66DC"/>
    <w:rsid w:val="7B827A6B"/>
    <w:rsid w:val="7B9E4FF6"/>
    <w:rsid w:val="7BF22E42"/>
    <w:rsid w:val="7C091F3A"/>
    <w:rsid w:val="7C43544C"/>
    <w:rsid w:val="7C464F3C"/>
    <w:rsid w:val="7C5A08E1"/>
    <w:rsid w:val="7CD82038"/>
    <w:rsid w:val="7CEF2EDE"/>
    <w:rsid w:val="7CFC55FB"/>
    <w:rsid w:val="7D00333D"/>
    <w:rsid w:val="7D24527D"/>
    <w:rsid w:val="7D2708CA"/>
    <w:rsid w:val="7D7F24B4"/>
    <w:rsid w:val="7D8602B6"/>
    <w:rsid w:val="7DC73E5B"/>
    <w:rsid w:val="7DF85966"/>
    <w:rsid w:val="7E026C41"/>
    <w:rsid w:val="7E17093E"/>
    <w:rsid w:val="7E215319"/>
    <w:rsid w:val="7E8809BA"/>
    <w:rsid w:val="7EE60311"/>
    <w:rsid w:val="7EF46ED2"/>
    <w:rsid w:val="7F4C5500"/>
    <w:rsid w:val="7F594F87"/>
    <w:rsid w:val="7FA21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3"/>
    <w:basedOn w:val="1"/>
    <w:qFormat/>
    <w:uiPriority w:val="0"/>
    <w:rPr>
      <w:rFonts w:ascii="宋体"/>
      <w:sz w:val="24"/>
      <w:szCs w:val="20"/>
    </w:rPr>
  </w:style>
  <w:style w:type="paragraph" w:styleId="8">
    <w:name w:val="Body Text"/>
    <w:basedOn w:val="1"/>
    <w:unhideWhenUsed/>
    <w:qFormat/>
    <w:uiPriority w:val="0"/>
    <w:pPr>
      <w:spacing w:after="120"/>
    </w:pPr>
    <w:rPr>
      <w:rFonts w:ascii="Times New Roman" w:hAnsi="Times New Roman"/>
      <w:szCs w:val="20"/>
    </w:rPr>
  </w:style>
  <w:style w:type="paragraph" w:styleId="9">
    <w:name w:val="Body Text Indent"/>
    <w:basedOn w:val="1"/>
    <w:qFormat/>
    <w:uiPriority w:val="0"/>
    <w:pPr>
      <w:spacing w:after="120"/>
      <w:ind w:left="420" w:leftChars="200"/>
    </w:pPr>
    <w:rPr>
      <w:rFonts w:ascii="Times New Roman" w:hAnsi="Times New Roman"/>
      <w:szCs w:val="20"/>
    </w:rPr>
  </w:style>
  <w:style w:type="paragraph" w:styleId="10">
    <w:name w:val="Plain Text"/>
    <w:basedOn w:val="1"/>
    <w:next w:val="1"/>
    <w:qFormat/>
    <w:uiPriority w:val="99"/>
    <w:rPr>
      <w:rFonts w:ascii="宋体"/>
    </w:rPr>
  </w:style>
  <w:style w:type="paragraph" w:styleId="11">
    <w:name w:val="footer"/>
    <w:basedOn w:val="1"/>
    <w:qFormat/>
    <w:uiPriority w:val="0"/>
    <w:pPr>
      <w:tabs>
        <w:tab w:val="center" w:pos="4153"/>
        <w:tab w:val="right" w:pos="8306"/>
      </w:tabs>
      <w:snapToGrid w:val="0"/>
      <w:jc w:val="left"/>
    </w:pPr>
    <w:rPr>
      <w:sz w:val="18"/>
    </w:rPr>
  </w:style>
  <w:style w:type="paragraph" w:styleId="12">
    <w:name w:val="toc 1"/>
    <w:basedOn w:val="1"/>
    <w:next w:val="1"/>
    <w:qFormat/>
    <w:uiPriority w:val="39"/>
  </w:style>
  <w:style w:type="paragraph" w:styleId="13">
    <w:name w:val="toc 2"/>
    <w:basedOn w:val="1"/>
    <w:next w:val="1"/>
    <w:qFormat/>
    <w:uiPriority w:val="39"/>
    <w:pPr>
      <w:ind w:left="200" w:leftChars="200"/>
    </w:pPr>
    <w:rPr>
      <w:rFonts w:ascii="Times New Roman" w:hAnsi="Times New Roman"/>
    </w:rPr>
  </w:style>
  <w:style w:type="paragraph" w:styleId="14">
    <w:name w:val="Body Text First Indent"/>
    <w:basedOn w:val="8"/>
    <w:qFormat/>
    <w:uiPriority w:val="0"/>
    <w:pPr>
      <w:spacing w:line="312" w:lineRule="auto"/>
      <w:ind w:firstLine="420"/>
    </w:pPr>
    <w:rPr>
      <w:szCs w:val="24"/>
    </w:rPr>
  </w:style>
  <w:style w:type="paragraph" w:styleId="15">
    <w:name w:val="Body Text First Indent 2"/>
    <w:basedOn w:val="9"/>
    <w:unhideWhenUsed/>
    <w:qFormat/>
    <w:uiPriority w:val="99"/>
    <w:pPr>
      <w:widowControl/>
      <w:spacing w:line="256" w:lineRule="auto"/>
      <w:ind w:firstLine="420" w:firstLineChars="200"/>
      <w:jc w:val="left"/>
    </w:pPr>
    <w:rPr>
      <w:rFonts w:eastAsia="Calibri"/>
      <w:color w:val="000000"/>
      <w:sz w:val="22"/>
    </w:rPr>
  </w:style>
  <w:style w:type="character" w:styleId="18">
    <w:name w:val="annotation reference"/>
    <w:qFormat/>
    <w:uiPriority w:val="0"/>
    <w:rPr>
      <w:sz w:val="21"/>
    </w:rPr>
  </w:style>
  <w:style w:type="paragraph" w:customStyle="1" w:styleId="1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21">
    <w:name w:val="Table Paragraph"/>
    <w:basedOn w:val="1"/>
    <w:unhideWhenUsed/>
    <w:qFormat/>
    <w:uiPriority w:val="99"/>
    <w:rPr>
      <w:rFonts w:hint="eastAsia"/>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表格文字"/>
    <w:basedOn w:val="1"/>
    <w:next w:val="1"/>
    <w:qFormat/>
    <w:uiPriority w:val="0"/>
    <w:pPr>
      <w:adjustRightInd w:val="0"/>
      <w:spacing w:line="420" w:lineRule="atLeast"/>
      <w:jc w:val="left"/>
    </w:pPr>
    <w:rPr>
      <w:rFonts w:ascii="Times New Roman" w:hAnsi="Times New Roman" w:cs="Calibri"/>
      <w:kern w:val="0"/>
      <w:szCs w:val="20"/>
    </w:rPr>
  </w:style>
  <w:style w:type="paragraph" w:customStyle="1" w:styleId="24">
    <w:name w:val="样式 宋体 行距: 1.5 倍行距"/>
    <w:basedOn w:val="1"/>
    <w:qFormat/>
    <w:uiPriority w:val="99"/>
    <w:pPr>
      <w:jc w:val="center"/>
    </w:pPr>
    <w:rPr>
      <w:b/>
      <w:bCs/>
    </w:rPr>
  </w:style>
  <w:style w:type="character" w:customStyle="1" w:styleId="25">
    <w:name w:val="font31"/>
    <w:basedOn w:val="17"/>
    <w:qFormat/>
    <w:uiPriority w:val="0"/>
    <w:rPr>
      <w:rFonts w:hint="eastAsia" w:ascii="仿宋" w:hAnsi="仿宋" w:eastAsia="仿宋" w:cs="仿宋"/>
      <w:color w:val="000000"/>
      <w:sz w:val="28"/>
      <w:szCs w:val="28"/>
      <w:u w:val="none"/>
    </w:rPr>
  </w:style>
  <w:style w:type="character" w:customStyle="1" w:styleId="26">
    <w:name w:val="font01"/>
    <w:basedOn w:val="17"/>
    <w:qFormat/>
    <w:uiPriority w:val="0"/>
    <w:rPr>
      <w:rFonts w:hint="eastAsia" w:ascii="仿宋" w:hAnsi="仿宋" w:eastAsia="仿宋" w:cs="仿宋"/>
      <w:b/>
      <w:color w:val="000000"/>
      <w:sz w:val="28"/>
      <w:szCs w:val="28"/>
      <w:u w:val="none"/>
    </w:rPr>
  </w:style>
  <w:style w:type="paragraph" w:customStyle="1" w:styleId="27">
    <w:name w:val="null3"/>
    <w:qFormat/>
    <w:uiPriority w:val="0"/>
    <w:rPr>
      <w:rFonts w:hint="eastAsia" w:ascii="Calibri" w:hAnsi="Calibri" w:eastAsia="宋体" w:cs="Times New Roman"/>
      <w:lang w:val="en-US" w:eastAsia="zh-Hans" w:bidi="ar-SA"/>
    </w:rPr>
  </w:style>
  <w:style w:type="character" w:customStyle="1" w:styleId="28">
    <w:name w:val="font21"/>
    <w:basedOn w:val="17"/>
    <w:qFormat/>
    <w:uiPriority w:val="0"/>
    <w:rPr>
      <w:rFonts w:hint="eastAsia" w:ascii="宋体" w:hAnsi="宋体" w:eastAsia="宋体" w:cs="宋体"/>
      <w:b/>
      <w:bCs/>
      <w:color w:val="000000"/>
      <w:sz w:val="21"/>
      <w:szCs w:val="21"/>
      <w:u w:val="none"/>
    </w:rPr>
  </w:style>
  <w:style w:type="character" w:customStyle="1" w:styleId="29">
    <w:name w:val="font41"/>
    <w:basedOn w:val="17"/>
    <w:qFormat/>
    <w:uiPriority w:val="0"/>
    <w:rPr>
      <w:rFonts w:hint="default" w:ascii="Times New Roman" w:hAnsi="Times New Roman" w:cs="Times New Roman"/>
      <w:color w:val="000000"/>
      <w:sz w:val="21"/>
      <w:szCs w:val="21"/>
      <w:u w:val="none"/>
    </w:rPr>
  </w:style>
  <w:style w:type="character" w:customStyle="1" w:styleId="30">
    <w:name w:val="font51"/>
    <w:basedOn w:val="1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777</Words>
  <Characters>889</Characters>
  <Lines>0</Lines>
  <Paragraphs>0</Paragraphs>
  <TotalTime>12</TotalTime>
  <ScaleCrop>false</ScaleCrop>
  <LinksUpToDate>false</LinksUpToDate>
  <CharactersWithSpaces>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2024-05-15T06:44:00Z</dcterms:created>
  <dc:creator>吴嘉鹏</dc:creator>
  <cp:lastModifiedBy>USER</cp:lastModifiedBy>
  <dcterms:modified xsi:type="dcterms:W3CDTF">2025-08-21T02:49:37Z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5FD9E3362B424B26A556FDF9CEC9D016_13</vt:lpwstr>
  </property>
  <property fmtid="{D5CDD505-2E9C-101B-9397-08002B2CF9AE}" pid="4" name="KSOTemplateDocerSaveRecord">
    <vt:lpwstr>eyJoZGlkIjoiYzFmM2UyNmExMGFkOTdkNDE4YTQyNjA4NjVjNTk1ODciLCJ1c2VySWQiOiIyODM1MzYwNDEifQ==</vt:lpwstr>
  </property>
</Properties>
</file>