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1689C">
      <w:pPr>
        <w:autoSpaceDE w:val="0"/>
        <w:autoSpaceDN w:val="0"/>
        <w:adjustRightInd w:val="0"/>
        <w:jc w:val="center"/>
        <w:rPr>
          <w:b/>
          <w:color w:val="auto"/>
          <w:sz w:val="44"/>
          <w:szCs w:val="44"/>
          <w:highlight w:val="none"/>
        </w:rPr>
      </w:pPr>
    </w:p>
    <w:p w14:paraId="3FD75F69">
      <w:pPr>
        <w:autoSpaceDE w:val="0"/>
        <w:autoSpaceDN w:val="0"/>
        <w:adjustRightInd w:val="0"/>
        <w:jc w:val="center"/>
        <w:rPr>
          <w:rFonts w:hint="eastAsia"/>
          <w:b/>
          <w:color w:val="auto"/>
          <w:sz w:val="52"/>
          <w:szCs w:val="52"/>
          <w:highlight w:val="none"/>
          <w:lang w:eastAsia="zh-CN"/>
        </w:rPr>
      </w:pPr>
    </w:p>
    <w:p w14:paraId="5FD91EAF">
      <w:pPr>
        <w:autoSpaceDE w:val="0"/>
        <w:autoSpaceDN w:val="0"/>
        <w:adjustRightInd w:val="0"/>
        <w:jc w:val="center"/>
        <w:rPr>
          <w:rFonts w:hint="eastAsia"/>
          <w:b/>
          <w:color w:val="auto"/>
          <w:sz w:val="48"/>
          <w:szCs w:val="48"/>
          <w:highlight w:val="none"/>
          <w:lang w:eastAsia="zh-CN"/>
        </w:rPr>
      </w:pPr>
      <w:r>
        <w:rPr>
          <w:rFonts w:hint="eastAsia"/>
          <w:b/>
          <w:color w:val="auto"/>
          <w:sz w:val="48"/>
          <w:szCs w:val="48"/>
          <w:highlight w:val="none"/>
          <w:lang w:eastAsia="zh-CN"/>
        </w:rPr>
        <w:t>花果山产业小镇综合配套工程建设项目</w:t>
      </w:r>
    </w:p>
    <w:p w14:paraId="1D6FC9EB">
      <w:pPr>
        <w:autoSpaceDE w:val="0"/>
        <w:autoSpaceDN w:val="0"/>
        <w:adjustRightInd w:val="0"/>
        <w:jc w:val="center"/>
        <w:rPr>
          <w:rFonts w:hint="eastAsia"/>
          <w:b/>
          <w:color w:val="auto"/>
          <w:sz w:val="48"/>
          <w:szCs w:val="48"/>
          <w:highlight w:val="none"/>
          <w:lang w:eastAsia="zh-CN"/>
        </w:rPr>
      </w:pPr>
      <w:r>
        <w:rPr>
          <w:rFonts w:hint="eastAsia"/>
          <w:b/>
          <w:color w:val="auto"/>
          <w:sz w:val="48"/>
          <w:szCs w:val="48"/>
          <w:highlight w:val="none"/>
          <w:lang w:eastAsia="zh-CN"/>
        </w:rPr>
        <w:t>土壤污染修复监理服务</w:t>
      </w:r>
    </w:p>
    <w:p w14:paraId="521FA6CA">
      <w:pPr>
        <w:pStyle w:val="2"/>
        <w:rPr>
          <w:rFonts w:hint="eastAsia"/>
          <w:b/>
          <w:color w:val="auto"/>
          <w:sz w:val="52"/>
          <w:szCs w:val="52"/>
          <w:highlight w:val="none"/>
          <w:lang w:eastAsia="zh-CN"/>
        </w:rPr>
      </w:pPr>
    </w:p>
    <w:p w14:paraId="44C3BAEB">
      <w:pPr>
        <w:pStyle w:val="2"/>
        <w:rPr>
          <w:rFonts w:hint="default"/>
          <w:b/>
          <w:color w:val="auto"/>
          <w:sz w:val="52"/>
          <w:szCs w:val="52"/>
          <w:highlight w:val="none"/>
          <w:lang w:val="en-US" w:eastAsia="zh-CN"/>
        </w:rPr>
      </w:pPr>
    </w:p>
    <w:p w14:paraId="3873BFBA">
      <w:pPr>
        <w:pStyle w:val="2"/>
        <w:rPr>
          <w:color w:val="auto"/>
          <w:highlight w:val="none"/>
        </w:rPr>
      </w:pPr>
    </w:p>
    <w:p w14:paraId="62A9C9C4">
      <w:pPr>
        <w:pStyle w:val="5"/>
        <w:rPr>
          <w:color w:val="auto"/>
          <w:highlight w:val="none"/>
        </w:rPr>
      </w:pPr>
    </w:p>
    <w:p w14:paraId="32E2DD69">
      <w:pPr>
        <w:spacing w:line="400" w:lineRule="exact"/>
        <w:jc w:val="right"/>
        <w:rPr>
          <w:color w:val="auto"/>
          <w:highlight w:val="none"/>
        </w:rPr>
      </w:pPr>
    </w:p>
    <w:p w14:paraId="7D533B93">
      <w:pPr>
        <w:pStyle w:val="6"/>
        <w:rPr>
          <w:color w:val="auto"/>
          <w:highlight w:val="none"/>
        </w:rPr>
      </w:pPr>
    </w:p>
    <w:p w14:paraId="1F3EFF20">
      <w:pPr>
        <w:rPr>
          <w:color w:val="auto"/>
          <w:sz w:val="28"/>
          <w:szCs w:val="28"/>
          <w:highlight w:val="none"/>
        </w:rPr>
      </w:pPr>
    </w:p>
    <w:p w14:paraId="0BA34354">
      <w:pPr>
        <w:rPr>
          <w:color w:val="auto"/>
          <w:sz w:val="28"/>
          <w:highlight w:val="none"/>
        </w:rPr>
      </w:pPr>
    </w:p>
    <w:p w14:paraId="7259952C">
      <w:pPr>
        <w:spacing w:line="360" w:lineRule="auto"/>
        <w:jc w:val="center"/>
        <w:rPr>
          <w:rFonts w:ascii="宋体" w:hAnsi="宋体"/>
          <w:b/>
          <w:bCs/>
          <w:color w:val="auto"/>
          <w:spacing w:val="26"/>
          <w:sz w:val="110"/>
          <w:szCs w:val="110"/>
          <w:highlight w:val="none"/>
        </w:rPr>
      </w:pPr>
      <w:r>
        <w:rPr>
          <w:rFonts w:hint="eastAsia" w:ascii="宋体" w:hAnsi="宋体"/>
          <w:b/>
          <w:bCs/>
          <w:color w:val="auto"/>
          <w:spacing w:val="26"/>
          <w:sz w:val="96"/>
          <w:szCs w:val="110"/>
          <w:highlight w:val="none"/>
        </w:rPr>
        <w:t>招标公告</w:t>
      </w:r>
    </w:p>
    <w:p w14:paraId="29A38351">
      <w:pPr>
        <w:spacing w:line="400" w:lineRule="exact"/>
        <w:rPr>
          <w:color w:val="auto"/>
          <w:highlight w:val="none"/>
        </w:rPr>
      </w:pPr>
    </w:p>
    <w:p w14:paraId="5EB0DB84">
      <w:pPr>
        <w:spacing w:line="400" w:lineRule="exact"/>
        <w:rPr>
          <w:color w:val="auto"/>
          <w:highlight w:val="none"/>
        </w:rPr>
      </w:pPr>
    </w:p>
    <w:p w14:paraId="76D3237B">
      <w:pPr>
        <w:spacing w:line="400" w:lineRule="exact"/>
        <w:rPr>
          <w:color w:val="auto"/>
          <w:highlight w:val="none"/>
        </w:rPr>
      </w:pPr>
    </w:p>
    <w:p w14:paraId="03B06A67">
      <w:pPr>
        <w:spacing w:line="400" w:lineRule="exact"/>
        <w:rPr>
          <w:color w:val="auto"/>
          <w:highlight w:val="none"/>
        </w:rPr>
      </w:pPr>
    </w:p>
    <w:p w14:paraId="52F7210F">
      <w:pPr>
        <w:spacing w:line="400" w:lineRule="exact"/>
        <w:rPr>
          <w:color w:val="auto"/>
          <w:highlight w:val="none"/>
        </w:rPr>
      </w:pPr>
    </w:p>
    <w:p w14:paraId="1EB0A1ED">
      <w:pPr>
        <w:spacing w:line="400" w:lineRule="exact"/>
        <w:rPr>
          <w:color w:val="auto"/>
          <w:highlight w:val="none"/>
        </w:rPr>
      </w:pPr>
    </w:p>
    <w:p w14:paraId="53C5E06D">
      <w:pPr>
        <w:spacing w:line="400" w:lineRule="exact"/>
        <w:rPr>
          <w:color w:val="auto"/>
          <w:highlight w:val="none"/>
        </w:rPr>
      </w:pPr>
    </w:p>
    <w:p w14:paraId="6F102E2F">
      <w:pPr>
        <w:spacing w:line="400" w:lineRule="exact"/>
        <w:rPr>
          <w:color w:val="auto"/>
          <w:highlight w:val="none"/>
        </w:rPr>
      </w:pPr>
    </w:p>
    <w:p w14:paraId="11075047">
      <w:pPr>
        <w:spacing w:line="48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招标单位：广州市越秀区代建项目管理中心</w:t>
      </w:r>
    </w:p>
    <w:p w14:paraId="0B799371">
      <w:pPr>
        <w:spacing w:line="48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招标代理机构：广州珠江监理咨询集团有限公司</w:t>
      </w:r>
    </w:p>
    <w:p w14:paraId="30DFCE44">
      <w:pPr>
        <w:spacing w:line="360" w:lineRule="auto"/>
        <w:jc w:val="center"/>
        <w:rPr>
          <w:color w:val="auto"/>
          <w:sz w:val="32"/>
          <w:highlight w:val="none"/>
        </w:rPr>
      </w:pPr>
      <w:r>
        <w:rPr>
          <w:rFonts w:hint="eastAsia" w:ascii="宋体" w:hAnsi="宋体" w:cs="宋体"/>
          <w:color w:val="auto"/>
          <w:sz w:val="32"/>
          <w:szCs w:val="32"/>
          <w:highlight w:val="none"/>
        </w:rPr>
        <w:t>日期：</w:t>
      </w:r>
      <w:r>
        <w:rPr>
          <w:rFonts w:ascii="宋体" w:hAnsi="宋体" w:cs="宋体"/>
          <w:color w:val="auto"/>
          <w:sz w:val="32"/>
          <w:highlight w:val="none"/>
          <w:u w:val="single"/>
        </w:rPr>
        <w:t>202</w:t>
      </w:r>
      <w:r>
        <w:rPr>
          <w:rFonts w:hint="eastAsia" w:ascii="宋体" w:hAnsi="宋体" w:cs="宋体"/>
          <w:color w:val="auto"/>
          <w:sz w:val="32"/>
          <w:highlight w:val="none"/>
          <w:u w:val="single"/>
          <w:lang w:val="en-US" w:eastAsia="zh-CN"/>
        </w:rPr>
        <w:t>5</w:t>
      </w:r>
      <w:r>
        <w:rPr>
          <w:rFonts w:hint="eastAsia" w:ascii="宋体" w:hAnsi="宋体" w:cs="宋体"/>
          <w:color w:val="auto"/>
          <w:sz w:val="32"/>
          <w:highlight w:val="none"/>
        </w:rPr>
        <w:t>年</w:t>
      </w:r>
      <w:r>
        <w:rPr>
          <w:rFonts w:hint="eastAsia" w:ascii="宋体" w:hAnsi="宋体" w:cs="宋体"/>
          <w:color w:val="auto"/>
          <w:sz w:val="32"/>
          <w:highlight w:val="none"/>
          <w:u w:val="single"/>
          <w:lang w:val="en-US" w:eastAsia="zh-CN"/>
        </w:rPr>
        <w:t>8</w:t>
      </w:r>
      <w:r>
        <w:rPr>
          <w:rFonts w:hint="eastAsia" w:ascii="宋体" w:hAnsi="宋体" w:cs="宋体"/>
          <w:color w:val="auto"/>
          <w:sz w:val="32"/>
          <w:highlight w:val="none"/>
        </w:rPr>
        <w:t>月</w:t>
      </w:r>
    </w:p>
    <w:p w14:paraId="5E592C1A">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br w:type="page"/>
      </w:r>
    </w:p>
    <w:p w14:paraId="17F4F6CD">
      <w:pPr>
        <w:spacing w:line="560" w:lineRule="exact"/>
        <w:jc w:val="center"/>
        <w:rPr>
          <w:rFonts w:hint="eastAsia" w:ascii="宋体" w:hAnsi="宋体" w:cs="宋体"/>
          <w:b/>
          <w:color w:val="auto"/>
          <w:sz w:val="36"/>
          <w:szCs w:val="36"/>
          <w:highlight w:val="none"/>
          <w:lang w:eastAsia="zh-CN"/>
        </w:rPr>
      </w:pPr>
      <w:r>
        <w:rPr>
          <w:rFonts w:hint="eastAsia" w:ascii="宋体" w:hAnsi="宋体" w:cs="宋体"/>
          <w:b/>
          <w:color w:val="auto"/>
          <w:sz w:val="36"/>
          <w:szCs w:val="36"/>
          <w:highlight w:val="none"/>
          <w:lang w:eastAsia="zh-CN"/>
        </w:rPr>
        <w:t>花果山产业小镇综合配套工程建设项目</w:t>
      </w:r>
    </w:p>
    <w:p w14:paraId="59D54246">
      <w:pPr>
        <w:spacing w:line="56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土壤污染修复</w:t>
      </w:r>
      <w:r>
        <w:rPr>
          <w:rFonts w:hint="eastAsia" w:ascii="宋体" w:hAnsi="宋体" w:cs="宋体"/>
          <w:b/>
          <w:color w:val="auto"/>
          <w:sz w:val="36"/>
          <w:szCs w:val="36"/>
          <w:highlight w:val="none"/>
          <w:lang w:eastAsia="zh-CN"/>
        </w:rPr>
        <w:t>监理服务</w:t>
      </w:r>
      <w:r>
        <w:rPr>
          <w:rFonts w:hint="eastAsia" w:ascii="宋体" w:hAnsi="宋体" w:cs="宋体"/>
          <w:b/>
          <w:color w:val="auto"/>
          <w:sz w:val="36"/>
          <w:szCs w:val="36"/>
          <w:highlight w:val="none"/>
        </w:rPr>
        <w:t>招标公告</w:t>
      </w:r>
    </w:p>
    <w:p w14:paraId="3235044B">
      <w:pPr>
        <w:pStyle w:val="3"/>
        <w:keepNext w:val="0"/>
        <w:keepLines w:val="0"/>
        <w:spacing w:before="0" w:after="0" w:line="560" w:lineRule="exact"/>
        <w:rPr>
          <w:rFonts w:ascii="Times New Roman" w:hAnsi="Times New Roman"/>
          <w:color w:val="auto"/>
          <w:highlight w:val="none"/>
        </w:rPr>
      </w:pPr>
      <w:bookmarkStart w:id="0" w:name="_Toc527028841"/>
      <w:bookmarkStart w:id="1" w:name="_Toc511557025"/>
    </w:p>
    <w:p w14:paraId="57CF3739">
      <w:pPr>
        <w:pStyle w:val="3"/>
        <w:keepNext w:val="0"/>
        <w:keepLines w:val="0"/>
        <w:spacing w:before="0" w:after="0" w:line="560" w:lineRule="exact"/>
        <w:rPr>
          <w:rFonts w:ascii="Times New Roman" w:hAnsi="Times New Roman"/>
          <w:color w:val="auto"/>
          <w:highlight w:val="none"/>
        </w:rPr>
      </w:pPr>
      <w:r>
        <w:rPr>
          <w:rFonts w:ascii="Times New Roman" w:hAnsi="Times New Roman"/>
          <w:color w:val="auto"/>
          <w:highlight w:val="none"/>
        </w:rPr>
        <w:t>1. 招标条件</w:t>
      </w:r>
      <w:bookmarkEnd w:id="0"/>
      <w:bookmarkEnd w:id="1"/>
    </w:p>
    <w:p w14:paraId="160CC68E">
      <w:pPr>
        <w:shd w:val="clear" w:color="auto" w:fill="FFFFFF"/>
        <w:adjustRightInd w:val="0"/>
        <w:snapToGrid w:val="0"/>
        <w:spacing w:line="360" w:lineRule="auto"/>
        <w:ind w:firstLine="480" w:firstLineChars="200"/>
        <w:rPr>
          <w:rFonts w:ascii="宋体" w:hAnsi="宋体" w:cs="宋体"/>
          <w:color w:val="auto"/>
          <w:kern w:val="0"/>
          <w:sz w:val="24"/>
          <w:szCs w:val="24"/>
          <w:highlight w:val="none"/>
          <w:u w:val="single"/>
          <w:shd w:val="clear" w:color="auto" w:fill="FFFFFF"/>
        </w:rPr>
      </w:pPr>
      <w:bookmarkStart w:id="2" w:name="_Toc527028842"/>
      <w:bookmarkStart w:id="3" w:name="_Toc511557026"/>
      <w:r>
        <w:rPr>
          <w:rFonts w:hint="eastAsia" w:ascii="宋体" w:hAnsi="宋体"/>
          <w:color w:val="auto"/>
          <w:sz w:val="24"/>
          <w:szCs w:val="24"/>
          <w:highlight w:val="none"/>
        </w:rPr>
        <w:t>本招标项目</w:t>
      </w:r>
      <w:r>
        <w:rPr>
          <w:rFonts w:hint="eastAsia" w:ascii="宋体" w:hAnsi="宋体"/>
          <w:color w:val="auto"/>
          <w:sz w:val="24"/>
          <w:highlight w:val="none"/>
          <w:u w:val="single"/>
        </w:rPr>
        <w:t>花果山产业小镇综合配套工程建设项目</w:t>
      </w:r>
      <w:r>
        <w:rPr>
          <w:rFonts w:hint="eastAsia" w:ascii="宋体" w:hAnsi="宋体"/>
          <w:color w:val="auto"/>
          <w:sz w:val="24"/>
          <w:szCs w:val="24"/>
          <w:highlight w:val="none"/>
        </w:rPr>
        <w:t>已根据</w:t>
      </w:r>
      <w:r>
        <w:rPr>
          <w:rFonts w:hint="eastAsia" w:ascii="宋体" w:hAnsi="宋体"/>
          <w:color w:val="auto"/>
          <w:sz w:val="24"/>
          <w:highlight w:val="none"/>
          <w:u w:val="single"/>
        </w:rPr>
        <w:t>《广州市越秀区发展和改革局关于调整花果山超高清视频产业特色小镇整体改造提升工程可行性研究报告的复函》（穗越发改投批〔2021〕18号）</w:t>
      </w:r>
      <w:r>
        <w:rPr>
          <w:rFonts w:hint="eastAsia" w:ascii="宋体" w:hAnsi="宋体"/>
          <w:color w:val="auto"/>
          <w:sz w:val="24"/>
          <w:szCs w:val="24"/>
          <w:highlight w:val="none"/>
        </w:rPr>
        <w:t>批准建设，</w:t>
      </w:r>
      <w:r>
        <w:rPr>
          <w:rFonts w:ascii="宋体" w:hAnsi="宋体"/>
          <w:color w:val="auto"/>
          <w:sz w:val="24"/>
          <w:highlight w:val="none"/>
        </w:rPr>
        <w:t>项目业主为</w:t>
      </w:r>
      <w:r>
        <w:rPr>
          <w:rFonts w:hint="eastAsia" w:ascii="宋体" w:hAnsi="宋体"/>
          <w:color w:val="auto"/>
          <w:sz w:val="24"/>
          <w:highlight w:val="none"/>
          <w:u w:val="single"/>
          <w:lang w:val="en-US" w:eastAsia="zh-CN"/>
        </w:rPr>
        <w:t>黄花岗科技园管委会</w:t>
      </w:r>
      <w:r>
        <w:rPr>
          <w:rFonts w:ascii="宋体" w:hAnsi="宋体"/>
          <w:color w:val="auto"/>
          <w:sz w:val="24"/>
          <w:highlight w:val="none"/>
        </w:rPr>
        <w:t>，</w:t>
      </w:r>
      <w:r>
        <w:rPr>
          <w:rFonts w:ascii="宋体" w:hAnsi="宋体"/>
          <w:color w:val="auto"/>
          <w:sz w:val="24"/>
          <w:highlight w:val="none"/>
        </w:rPr>
        <w:t>项目</w:t>
      </w:r>
      <w:r>
        <w:rPr>
          <w:rFonts w:hint="eastAsia" w:ascii="宋体" w:hAnsi="宋体"/>
          <w:color w:val="auto"/>
          <w:sz w:val="24"/>
          <w:highlight w:val="none"/>
        </w:rPr>
        <w:t>组织实施单位</w:t>
      </w:r>
      <w:r>
        <w:rPr>
          <w:rFonts w:ascii="宋体" w:hAnsi="宋体"/>
          <w:color w:val="auto"/>
          <w:sz w:val="24"/>
          <w:highlight w:val="none"/>
        </w:rPr>
        <w:t>为</w:t>
      </w:r>
      <w:r>
        <w:rPr>
          <w:rFonts w:hint="eastAsia" w:ascii="宋体" w:hAnsi="宋体"/>
          <w:color w:val="auto"/>
          <w:sz w:val="24"/>
          <w:highlight w:val="none"/>
          <w:u w:val="single"/>
        </w:rPr>
        <w:t>广州市越秀区代建项目管理中心</w:t>
      </w:r>
      <w:r>
        <w:rPr>
          <w:rFonts w:ascii="宋体" w:hAnsi="宋体"/>
          <w:color w:val="auto"/>
          <w:sz w:val="24"/>
          <w:highlight w:val="none"/>
        </w:rPr>
        <w:t>，</w:t>
      </w:r>
      <w:r>
        <w:rPr>
          <w:rFonts w:hint="eastAsia" w:ascii="宋体" w:hAnsi="宋体"/>
          <w:color w:val="auto"/>
          <w:sz w:val="24"/>
          <w:szCs w:val="24"/>
          <w:highlight w:val="none"/>
        </w:rPr>
        <w:t>建设资金来自</w:t>
      </w:r>
      <w:bookmarkStart w:id="4" w:name="_Hlk80179351"/>
      <w:r>
        <w:rPr>
          <w:rFonts w:hint="eastAsia" w:ascii="宋体" w:hAnsi="宋体"/>
          <w:color w:val="auto"/>
          <w:sz w:val="24"/>
          <w:szCs w:val="24"/>
          <w:highlight w:val="none"/>
          <w:u w:val="single"/>
        </w:rPr>
        <w:t>区财政资金</w:t>
      </w:r>
      <w:r>
        <w:rPr>
          <w:rFonts w:hint="eastAsia" w:ascii="宋体" w:hAnsi="宋体"/>
          <w:color w:val="auto"/>
          <w:sz w:val="24"/>
          <w:szCs w:val="24"/>
          <w:highlight w:val="none"/>
        </w:rPr>
        <w:t>，项目出资比例为</w:t>
      </w:r>
      <w:r>
        <w:rPr>
          <w:rFonts w:hint="eastAsia" w:ascii="宋体" w:hAnsi="宋体"/>
          <w:color w:val="auto"/>
          <w:sz w:val="24"/>
          <w:szCs w:val="24"/>
          <w:highlight w:val="none"/>
          <w:u w:val="single"/>
        </w:rPr>
        <w:t>100%</w:t>
      </w:r>
      <w:r>
        <w:rPr>
          <w:rFonts w:hint="eastAsia" w:ascii="宋体" w:hAnsi="宋体"/>
          <w:color w:val="auto"/>
          <w:sz w:val="24"/>
          <w:szCs w:val="24"/>
          <w:highlight w:val="none"/>
        </w:rPr>
        <w:t>，</w:t>
      </w:r>
      <w:bookmarkEnd w:id="4"/>
      <w:r>
        <w:rPr>
          <w:rFonts w:hint="eastAsia" w:ascii="宋体" w:hAnsi="宋体"/>
          <w:color w:val="auto"/>
          <w:sz w:val="24"/>
          <w:szCs w:val="24"/>
          <w:highlight w:val="none"/>
        </w:rPr>
        <w:t>招标人为</w:t>
      </w:r>
      <w:r>
        <w:rPr>
          <w:rFonts w:hint="eastAsia" w:ascii="宋体" w:hAnsi="宋体"/>
          <w:color w:val="auto"/>
          <w:sz w:val="24"/>
          <w:highlight w:val="none"/>
          <w:u w:val="single"/>
        </w:rPr>
        <w:t>广州市越秀区代建项目管理中心</w:t>
      </w:r>
      <w:r>
        <w:rPr>
          <w:rFonts w:hint="eastAsia" w:ascii="宋体" w:hAnsi="宋体"/>
          <w:color w:val="auto"/>
          <w:sz w:val="24"/>
          <w:szCs w:val="24"/>
          <w:highlight w:val="none"/>
        </w:rPr>
        <w:t>。</w:t>
      </w:r>
      <w:r>
        <w:rPr>
          <w:rFonts w:hint="eastAsia" w:ascii="宋体" w:hAnsi="宋体" w:cs="宋体"/>
          <w:color w:val="auto"/>
          <w:sz w:val="24"/>
          <w:szCs w:val="24"/>
          <w:highlight w:val="none"/>
          <w:shd w:val="clear" w:color="auto" w:fill="FFFFFF"/>
        </w:rPr>
        <w:t>项目已具备招标条件，现对该项目的</w:t>
      </w:r>
      <w:r>
        <w:rPr>
          <w:rFonts w:hint="eastAsia" w:ascii="宋体" w:hAnsi="宋体" w:cs="宋体"/>
          <w:color w:val="auto"/>
          <w:sz w:val="24"/>
          <w:szCs w:val="24"/>
          <w:highlight w:val="none"/>
          <w:u w:val="single"/>
          <w:shd w:val="clear" w:color="auto" w:fill="FFFFFF"/>
        </w:rPr>
        <w:t>土壤污染修复</w:t>
      </w:r>
      <w:r>
        <w:rPr>
          <w:rFonts w:hint="eastAsia" w:ascii="宋体" w:hAnsi="宋体" w:cs="宋体"/>
          <w:color w:val="auto"/>
          <w:sz w:val="24"/>
          <w:szCs w:val="24"/>
          <w:highlight w:val="none"/>
          <w:u w:val="single"/>
          <w:shd w:val="clear" w:color="auto" w:fill="FFFFFF"/>
          <w:lang w:val="en-US" w:eastAsia="zh-CN"/>
        </w:rPr>
        <w:t>监理</w:t>
      </w:r>
      <w:r>
        <w:rPr>
          <w:rFonts w:hint="eastAsia" w:ascii="宋体" w:hAnsi="宋体" w:cs="宋体"/>
          <w:color w:val="auto"/>
          <w:sz w:val="24"/>
          <w:szCs w:val="24"/>
          <w:highlight w:val="none"/>
          <w:u w:val="single"/>
          <w:shd w:val="clear" w:color="auto" w:fill="FFFFFF"/>
        </w:rPr>
        <w:t>服务</w:t>
      </w:r>
      <w:r>
        <w:rPr>
          <w:rFonts w:hint="eastAsia" w:ascii="宋体" w:hAnsi="宋体" w:cs="宋体"/>
          <w:bCs/>
          <w:color w:val="auto"/>
          <w:sz w:val="24"/>
          <w:szCs w:val="24"/>
          <w:highlight w:val="none"/>
          <w:shd w:val="clear" w:color="auto" w:fill="FFFFFF"/>
        </w:rPr>
        <w:t>进行</w:t>
      </w:r>
      <w:r>
        <w:rPr>
          <w:rFonts w:hint="eastAsia" w:ascii="宋体" w:hAnsi="宋体" w:cs="宋体"/>
          <w:color w:val="auto"/>
          <w:sz w:val="24"/>
          <w:szCs w:val="24"/>
          <w:highlight w:val="none"/>
          <w:shd w:val="clear" w:color="auto" w:fill="FFFFFF"/>
        </w:rPr>
        <w:t>公开招标。</w:t>
      </w:r>
    </w:p>
    <w:p w14:paraId="12D86747">
      <w:pPr>
        <w:pStyle w:val="3"/>
        <w:keepNext w:val="0"/>
        <w:keepLines w:val="0"/>
        <w:spacing w:before="0" w:after="0" w:line="560" w:lineRule="exact"/>
        <w:rPr>
          <w:rFonts w:ascii="Times New Roman" w:hAnsi="Times New Roman"/>
          <w:color w:val="auto"/>
          <w:highlight w:val="none"/>
        </w:rPr>
      </w:pPr>
      <w:r>
        <w:rPr>
          <w:rFonts w:ascii="Times New Roman" w:hAnsi="Times New Roman"/>
          <w:color w:val="auto"/>
          <w:highlight w:val="none"/>
        </w:rPr>
        <w:t>2. 项目概况与</w:t>
      </w:r>
      <w:r>
        <w:rPr>
          <w:rFonts w:hint="eastAsia" w:ascii="Times New Roman" w:hAnsi="Times New Roman"/>
          <w:color w:val="auto"/>
          <w:highlight w:val="none"/>
        </w:rPr>
        <w:t>招标范围</w:t>
      </w:r>
      <w:bookmarkEnd w:id="2"/>
      <w:bookmarkEnd w:id="3"/>
    </w:p>
    <w:p w14:paraId="7B974325">
      <w:pPr>
        <w:spacing w:line="560" w:lineRule="exact"/>
        <w:ind w:firstLine="480" w:firstLineChars="200"/>
        <w:rPr>
          <w:rFonts w:hint="eastAsia" w:ascii="宋体" w:hAnsi="宋体" w:eastAsia="宋体" w:cs="宋体"/>
          <w:color w:val="auto"/>
          <w:sz w:val="24"/>
          <w:highlight w:val="none"/>
          <w:u w:val="single"/>
          <w:lang w:eastAsia="zh-CN"/>
        </w:rPr>
      </w:pPr>
      <w:r>
        <w:rPr>
          <w:rFonts w:hint="eastAsia"/>
          <w:color w:val="auto"/>
          <w:sz w:val="24"/>
          <w:szCs w:val="24"/>
          <w:highlight w:val="none"/>
        </w:rPr>
        <w:t>2.1项目名称：</w:t>
      </w:r>
      <w:r>
        <w:rPr>
          <w:rFonts w:hint="eastAsia" w:ascii="宋体" w:hAnsi="宋体"/>
          <w:color w:val="auto"/>
          <w:sz w:val="24"/>
          <w:highlight w:val="none"/>
          <w:u w:val="single"/>
        </w:rPr>
        <w:t>花果山产业小镇综合配套工程建设项目</w:t>
      </w:r>
      <w:r>
        <w:rPr>
          <w:rFonts w:hint="eastAsia"/>
          <w:color w:val="auto"/>
          <w:sz w:val="24"/>
          <w:szCs w:val="24"/>
          <w:highlight w:val="none"/>
          <w:u w:val="single"/>
          <w:lang w:eastAsia="zh-CN"/>
        </w:rPr>
        <w:t>土壤</w:t>
      </w:r>
      <w:r>
        <w:rPr>
          <w:rFonts w:hint="eastAsia"/>
          <w:color w:val="auto"/>
          <w:sz w:val="24"/>
          <w:szCs w:val="24"/>
          <w:highlight w:val="none"/>
          <w:u w:val="single"/>
          <w:lang w:val="en-US" w:eastAsia="zh-CN"/>
        </w:rPr>
        <w:t>污染</w:t>
      </w:r>
      <w:r>
        <w:rPr>
          <w:rFonts w:hint="eastAsia"/>
          <w:color w:val="auto"/>
          <w:sz w:val="24"/>
          <w:szCs w:val="24"/>
          <w:highlight w:val="none"/>
          <w:u w:val="single"/>
          <w:lang w:eastAsia="zh-CN"/>
        </w:rPr>
        <w:t>修复监理服务</w:t>
      </w:r>
    </w:p>
    <w:p w14:paraId="37537FEC">
      <w:pPr>
        <w:spacing w:line="560" w:lineRule="exact"/>
        <w:ind w:firstLine="480" w:firstLineChars="200"/>
        <w:rPr>
          <w:rFonts w:ascii="宋体" w:hAnsi="宋体" w:cs="宋体"/>
          <w:color w:val="auto"/>
          <w:kern w:val="0"/>
          <w:sz w:val="24"/>
          <w:highlight w:val="none"/>
          <w:u w:val="single"/>
        </w:rPr>
      </w:pPr>
      <w:r>
        <w:rPr>
          <w:rFonts w:hint="eastAsia"/>
          <w:color w:val="auto"/>
          <w:sz w:val="24"/>
          <w:szCs w:val="24"/>
          <w:highlight w:val="none"/>
        </w:rPr>
        <w:t>2.2 建设地点：</w:t>
      </w:r>
      <w:r>
        <w:rPr>
          <w:rFonts w:hint="eastAsia" w:ascii="宋体" w:hAnsi="宋体" w:cs="宋体"/>
          <w:bCs/>
          <w:color w:val="auto"/>
          <w:sz w:val="24"/>
          <w:szCs w:val="24"/>
          <w:highlight w:val="none"/>
          <w:u w:val="single"/>
        </w:rPr>
        <w:t>广州市越秀区西胜街以北、广州市广播电视台以东、广州青少年科技馆以西地块。</w:t>
      </w:r>
    </w:p>
    <w:p w14:paraId="68CE150C">
      <w:pPr>
        <w:spacing w:line="560" w:lineRule="exact"/>
        <w:ind w:firstLine="480" w:firstLineChars="200"/>
        <w:rPr>
          <w:color w:val="auto"/>
          <w:sz w:val="24"/>
          <w:szCs w:val="24"/>
          <w:highlight w:val="none"/>
          <w:u w:val="single"/>
        </w:rPr>
      </w:pPr>
      <w:r>
        <w:rPr>
          <w:rFonts w:hint="eastAsia"/>
          <w:color w:val="auto"/>
          <w:sz w:val="24"/>
          <w:szCs w:val="24"/>
          <w:highlight w:val="none"/>
        </w:rPr>
        <w:t>2.3项目规模和标段划分</w:t>
      </w:r>
    </w:p>
    <w:p w14:paraId="7F2AEB1B">
      <w:pPr>
        <w:spacing w:line="560" w:lineRule="exact"/>
        <w:ind w:firstLine="480" w:firstLineChars="200"/>
        <w:rPr>
          <w:rFonts w:hint="default" w:ascii="宋体" w:hAnsi="宋体" w:eastAsia="宋体"/>
          <w:color w:val="auto"/>
          <w:sz w:val="24"/>
          <w:highlight w:val="none"/>
          <w:lang w:val="en-US" w:eastAsia="zh-CN"/>
        </w:rPr>
      </w:pPr>
      <w:r>
        <w:rPr>
          <w:rFonts w:hint="eastAsia"/>
          <w:color w:val="auto"/>
          <w:sz w:val="24"/>
          <w:szCs w:val="24"/>
          <w:highlight w:val="none"/>
        </w:rPr>
        <w:t>（1）项目规模：</w:t>
      </w:r>
      <w:r>
        <w:rPr>
          <w:rFonts w:hint="eastAsia"/>
          <w:color w:val="auto"/>
          <w:sz w:val="24"/>
          <w:szCs w:val="24"/>
          <w:highlight w:val="none"/>
          <w:u w:val="single"/>
        </w:rPr>
        <w:t>花果山产业小镇综合配套工程建设项目地块位于广州市越秀区西胜街北侧、广州青少年科技馆西侧、广州电视台东侧，调查地块（地块一行政办公用地与地块三文化设施用地）占地面积为11158.67平方米。本项目地块土壤污染风险评估是基于地块调查超筛的土壤砷作为关注污染物以及第二类用地的情景下相应污染物的健康风险进行了相应分析与评估，调查地块内风险管控/修复最大深度：阶梯一为0~19米、阶梯二为0~22米，风险管控/修复的最大投影面积为9461.26平方米，风险管控/修复的土方量约为69326.59立方米，疑似污染土方量约为6528.07立方米。其中计划风险管控土方量约10139.80立方米，修复土方量59186.79立方米，支护措施产生土方暂估6919.30立方米（最终以修复实施方案备案为准）。</w:t>
      </w:r>
    </w:p>
    <w:p w14:paraId="6E4E33C2">
      <w:pPr>
        <w:spacing w:line="560" w:lineRule="exact"/>
        <w:ind w:firstLine="480" w:firstLineChars="200"/>
        <w:rPr>
          <w:bCs/>
          <w:color w:val="auto"/>
          <w:sz w:val="24"/>
          <w:szCs w:val="24"/>
          <w:highlight w:val="none"/>
          <w:u w:val="single"/>
        </w:rPr>
      </w:pPr>
      <w:r>
        <w:rPr>
          <w:rFonts w:hint="eastAsia"/>
          <w:color w:val="auto"/>
          <w:sz w:val="24"/>
          <w:szCs w:val="24"/>
          <w:highlight w:val="none"/>
        </w:rPr>
        <w:t>（2）</w:t>
      </w:r>
      <w:r>
        <w:rPr>
          <w:rFonts w:hint="eastAsia"/>
          <w:bCs/>
          <w:color w:val="auto"/>
          <w:sz w:val="24"/>
          <w:szCs w:val="24"/>
          <w:highlight w:val="none"/>
        </w:rPr>
        <w:t>标段划分：</w:t>
      </w:r>
      <w:r>
        <w:rPr>
          <w:rFonts w:hint="eastAsia"/>
          <w:bCs/>
          <w:color w:val="auto"/>
          <w:sz w:val="24"/>
          <w:szCs w:val="24"/>
          <w:highlight w:val="none"/>
          <w:u w:val="single"/>
        </w:rPr>
        <w:t>本项目划分1个标段。</w:t>
      </w:r>
    </w:p>
    <w:p w14:paraId="0418F041">
      <w:pPr>
        <w:spacing w:line="560" w:lineRule="exact"/>
        <w:ind w:firstLine="480" w:firstLineChars="200"/>
        <w:rPr>
          <w:color w:val="auto"/>
          <w:sz w:val="24"/>
          <w:szCs w:val="24"/>
          <w:highlight w:val="none"/>
        </w:rPr>
      </w:pPr>
      <w:r>
        <w:rPr>
          <w:rFonts w:hint="eastAsia"/>
          <w:color w:val="auto"/>
          <w:sz w:val="24"/>
          <w:szCs w:val="24"/>
          <w:highlight w:val="none"/>
        </w:rPr>
        <w:t>2.4招标范围</w:t>
      </w:r>
    </w:p>
    <w:p w14:paraId="6D5578A6">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ascii="宋体" w:hAnsi="宋体"/>
          <w:color w:val="auto"/>
          <w:sz w:val="24"/>
          <w:highlight w:val="none"/>
          <w:u w:val="single"/>
        </w:rPr>
      </w:pPr>
      <w:r>
        <w:rPr>
          <w:rFonts w:hint="eastAsia" w:ascii="宋体" w:hAnsi="宋体"/>
          <w:color w:val="auto"/>
          <w:sz w:val="24"/>
          <w:highlight w:val="none"/>
          <w:u w:val="single"/>
        </w:rPr>
        <w:t>结合本</w:t>
      </w:r>
      <w:r>
        <w:rPr>
          <w:rFonts w:hint="eastAsia" w:ascii="宋体" w:hAnsi="宋体"/>
          <w:color w:val="auto"/>
          <w:sz w:val="24"/>
          <w:highlight w:val="none"/>
          <w:u w:val="single"/>
          <w:lang w:val="en-US" w:eastAsia="zh-CN"/>
        </w:rPr>
        <w:t>项目</w:t>
      </w:r>
      <w:r>
        <w:rPr>
          <w:rFonts w:hint="eastAsia" w:ascii="宋体" w:hAnsi="宋体"/>
          <w:color w:val="auto"/>
          <w:sz w:val="24"/>
          <w:highlight w:val="none"/>
          <w:u w:val="single"/>
        </w:rPr>
        <w:t>地块实际情况及</w:t>
      </w:r>
      <w:r>
        <w:rPr>
          <w:rFonts w:hint="eastAsia" w:ascii="宋体" w:hAnsi="宋体"/>
          <w:color w:val="auto"/>
          <w:sz w:val="24"/>
          <w:highlight w:val="none"/>
          <w:u w:val="single"/>
          <w:lang w:val="en-US" w:eastAsia="zh-CN"/>
        </w:rPr>
        <w:t>上述</w:t>
      </w:r>
      <w:r>
        <w:rPr>
          <w:rFonts w:hint="eastAsia" w:ascii="宋体" w:hAnsi="宋体"/>
          <w:color w:val="auto"/>
          <w:sz w:val="24"/>
          <w:highlight w:val="none"/>
          <w:u w:val="single"/>
        </w:rPr>
        <w:t>法律法规</w:t>
      </w:r>
      <w:r>
        <w:rPr>
          <w:rFonts w:hint="eastAsia" w:ascii="宋体" w:hAnsi="宋体"/>
          <w:color w:val="auto"/>
          <w:sz w:val="24"/>
          <w:highlight w:val="none"/>
          <w:u w:val="single"/>
          <w:lang w:val="en-US" w:eastAsia="zh-CN"/>
        </w:rPr>
        <w:t>规定</w:t>
      </w:r>
      <w:r>
        <w:rPr>
          <w:rFonts w:hint="eastAsia" w:ascii="宋体" w:hAnsi="宋体"/>
          <w:color w:val="auto"/>
          <w:sz w:val="24"/>
          <w:highlight w:val="none"/>
          <w:u w:val="single"/>
        </w:rPr>
        <w:t>，实施</w:t>
      </w:r>
      <w:r>
        <w:rPr>
          <w:rFonts w:hint="eastAsia" w:ascii="宋体" w:hAnsi="宋体"/>
          <w:color w:val="auto"/>
          <w:sz w:val="24"/>
          <w:highlight w:val="none"/>
          <w:u w:val="single"/>
          <w:lang w:val="en-US" w:eastAsia="zh-CN"/>
        </w:rPr>
        <w:t>对本</w:t>
      </w:r>
      <w:r>
        <w:rPr>
          <w:rFonts w:hint="eastAsia" w:ascii="宋体" w:hAnsi="宋体"/>
          <w:color w:val="auto"/>
          <w:sz w:val="24"/>
          <w:highlight w:val="none"/>
          <w:u w:val="single"/>
        </w:rPr>
        <w:t>项目临时设施工程、污染土壤清挖以及修复过程、二次污染防治的全过程监理工作</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对质量和进度进行控制，以及对场地修复期间的安全施工进行监理，确保修复工作符合环境保护有关法律法规的要求；土壤修复过程中监测大气、水、噪声等各项数据；</w:t>
      </w:r>
      <w:r>
        <w:rPr>
          <w:rFonts w:hint="eastAsia" w:ascii="宋体" w:hAnsi="宋体"/>
          <w:color w:val="auto"/>
          <w:sz w:val="24"/>
          <w:highlight w:val="none"/>
          <w:u w:val="single"/>
          <w:lang w:val="en-US" w:eastAsia="zh-CN"/>
        </w:rPr>
        <w:t>通过</w:t>
      </w:r>
      <w:r>
        <w:rPr>
          <w:rFonts w:hint="eastAsia" w:ascii="宋体" w:hAnsi="宋体"/>
          <w:color w:val="auto"/>
          <w:sz w:val="24"/>
          <w:highlight w:val="none"/>
          <w:u w:val="single"/>
        </w:rPr>
        <w:t>驻场</w:t>
      </w:r>
      <w:r>
        <w:rPr>
          <w:rFonts w:hint="eastAsia" w:ascii="宋体" w:hAnsi="宋体"/>
          <w:color w:val="auto"/>
          <w:sz w:val="24"/>
          <w:highlight w:val="none"/>
          <w:u w:val="single"/>
          <w:lang w:val="en-US" w:eastAsia="zh-CN"/>
        </w:rPr>
        <w:t>监理</w:t>
      </w:r>
      <w:r>
        <w:rPr>
          <w:rFonts w:hint="eastAsia" w:ascii="宋体" w:hAnsi="宋体"/>
          <w:color w:val="auto"/>
          <w:sz w:val="24"/>
          <w:highlight w:val="none"/>
          <w:u w:val="single"/>
        </w:rPr>
        <w:t>、旁站</w:t>
      </w:r>
      <w:r>
        <w:rPr>
          <w:rFonts w:hint="eastAsia" w:ascii="宋体" w:hAnsi="宋体"/>
          <w:color w:val="auto"/>
          <w:sz w:val="24"/>
          <w:highlight w:val="none"/>
          <w:u w:val="single"/>
          <w:lang w:val="en-US" w:eastAsia="zh-CN"/>
        </w:rPr>
        <w:t>监理</w:t>
      </w:r>
      <w:r>
        <w:rPr>
          <w:rFonts w:hint="eastAsia" w:ascii="宋体" w:hAnsi="宋体"/>
          <w:color w:val="auto"/>
          <w:sz w:val="24"/>
          <w:highlight w:val="none"/>
          <w:u w:val="single"/>
        </w:rPr>
        <w:t>或巡视等</w:t>
      </w:r>
      <w:r>
        <w:rPr>
          <w:rFonts w:hint="eastAsia" w:ascii="宋体" w:hAnsi="宋体"/>
          <w:color w:val="auto"/>
          <w:sz w:val="24"/>
          <w:highlight w:val="none"/>
          <w:u w:val="single"/>
          <w:lang w:val="en-US" w:eastAsia="zh-CN"/>
        </w:rPr>
        <w:t>方式</w:t>
      </w:r>
      <w:r>
        <w:rPr>
          <w:rFonts w:hint="eastAsia" w:ascii="宋体" w:hAnsi="宋体"/>
          <w:color w:val="auto"/>
          <w:sz w:val="24"/>
          <w:highlight w:val="none"/>
          <w:u w:val="single"/>
        </w:rPr>
        <w:t>实施监理，</w:t>
      </w:r>
      <w:r>
        <w:rPr>
          <w:rFonts w:hint="eastAsia" w:ascii="宋体" w:hAnsi="宋体"/>
          <w:color w:val="auto"/>
          <w:sz w:val="24"/>
          <w:highlight w:val="none"/>
          <w:u w:val="single"/>
          <w:lang w:val="en-US" w:eastAsia="zh-CN"/>
        </w:rPr>
        <w:t>及时</w:t>
      </w:r>
      <w:r>
        <w:rPr>
          <w:rFonts w:hint="eastAsia" w:ascii="宋体" w:hAnsi="宋体"/>
          <w:color w:val="auto"/>
          <w:sz w:val="24"/>
          <w:highlight w:val="none"/>
          <w:u w:val="single"/>
        </w:rPr>
        <w:t>提交监理过程有关报告，编制项目的环境监理方案报</w:t>
      </w:r>
      <w:r>
        <w:rPr>
          <w:rFonts w:hint="eastAsia" w:cs="Microsoft JhengHei"/>
          <w:color w:val="auto"/>
          <w:sz w:val="24"/>
          <w:szCs w:val="24"/>
          <w:highlight w:val="none"/>
          <w:u w:val="single"/>
          <w:lang w:val="en-US" w:eastAsia="zh-CN"/>
        </w:rPr>
        <w:t>广东</w:t>
      </w:r>
      <w:r>
        <w:rPr>
          <w:rFonts w:hint="eastAsia" w:ascii="Times New Roman" w:hAnsi="Times New Roman" w:eastAsia="宋体" w:cs="Microsoft JhengHei"/>
          <w:color w:val="auto"/>
          <w:sz w:val="24"/>
          <w:szCs w:val="24"/>
          <w:highlight w:val="none"/>
          <w:u w:val="single"/>
          <w:lang w:val="en-US" w:eastAsia="zh-CN"/>
        </w:rPr>
        <w:t>省、</w:t>
      </w:r>
      <w:r>
        <w:rPr>
          <w:rFonts w:hint="eastAsia" w:cs="Microsoft JhengHei"/>
          <w:color w:val="auto"/>
          <w:sz w:val="24"/>
          <w:szCs w:val="24"/>
          <w:highlight w:val="none"/>
          <w:u w:val="single"/>
          <w:lang w:val="en-US" w:eastAsia="zh-CN"/>
        </w:rPr>
        <w:t>广州市</w:t>
      </w:r>
      <w:r>
        <w:rPr>
          <w:rFonts w:hint="eastAsia" w:ascii="宋体" w:hAnsi="宋体"/>
          <w:color w:val="auto"/>
          <w:sz w:val="24"/>
          <w:highlight w:val="none"/>
          <w:u w:val="single"/>
        </w:rPr>
        <w:t>生态环境主管部门备案，并严格按照已备案的环境监理方案和环境保护相关要求，进行</w:t>
      </w:r>
      <w:r>
        <w:rPr>
          <w:rFonts w:hint="eastAsia" w:ascii="宋体" w:hAnsi="宋体"/>
          <w:color w:val="auto"/>
          <w:sz w:val="24"/>
          <w:highlight w:val="none"/>
          <w:u w:val="single"/>
          <w:lang w:eastAsia="zh-CN"/>
        </w:rPr>
        <w:t>项目监理</w:t>
      </w:r>
      <w:r>
        <w:rPr>
          <w:rFonts w:hint="eastAsia" w:ascii="宋体" w:hAnsi="宋体"/>
          <w:color w:val="auto"/>
          <w:sz w:val="24"/>
          <w:highlight w:val="none"/>
          <w:u w:val="single"/>
        </w:rPr>
        <w:t>和环境监理（包括提交相关报告）。包括但不限于：</w:t>
      </w:r>
    </w:p>
    <w:p w14:paraId="590053FF">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ascii="宋体" w:hAnsi="宋体"/>
          <w:color w:val="auto"/>
          <w:sz w:val="24"/>
          <w:highlight w:val="none"/>
          <w:u w:val="single"/>
        </w:rPr>
      </w:pPr>
      <w:r>
        <w:rPr>
          <w:rFonts w:hint="eastAsia" w:ascii="宋体" w:hAnsi="宋体"/>
          <w:color w:val="auto"/>
          <w:sz w:val="24"/>
          <w:highlight w:val="none"/>
          <w:u w:val="single"/>
        </w:rPr>
        <w:t>（1）负责工程各项环境管理（包括</w:t>
      </w:r>
      <w:r>
        <w:rPr>
          <w:rFonts w:hint="eastAsia" w:ascii="宋体" w:hAnsi="宋体"/>
          <w:color w:val="auto"/>
          <w:sz w:val="24"/>
          <w:highlight w:val="none"/>
          <w:u w:val="single"/>
          <w:lang w:eastAsia="zh-CN"/>
        </w:rPr>
        <w:t>项目监理</w:t>
      </w:r>
      <w:r>
        <w:rPr>
          <w:rFonts w:hint="eastAsia" w:ascii="宋体" w:hAnsi="宋体"/>
          <w:color w:val="auto"/>
          <w:sz w:val="24"/>
          <w:highlight w:val="none"/>
          <w:u w:val="single"/>
        </w:rPr>
        <w:t>）、检查、监测、检测等一切相关工作，若不具备检测资质的，应将此部分任务委托给广东省生态环境主管部门公示的合格检测机构名录中的单位负责，检测费用由</w:t>
      </w:r>
      <w:r>
        <w:rPr>
          <w:rFonts w:hint="eastAsia" w:ascii="宋体" w:hAnsi="宋体"/>
          <w:color w:val="auto"/>
          <w:sz w:val="24"/>
          <w:highlight w:val="none"/>
          <w:u w:val="single"/>
          <w:lang w:val="en-US" w:eastAsia="zh-CN"/>
        </w:rPr>
        <w:t>监理</w:t>
      </w:r>
      <w:r>
        <w:rPr>
          <w:rFonts w:hint="eastAsia" w:ascii="宋体" w:hAnsi="宋体"/>
          <w:color w:val="auto"/>
          <w:sz w:val="24"/>
          <w:highlight w:val="none"/>
          <w:u w:val="single"/>
        </w:rPr>
        <w:t>人承担。</w:t>
      </w:r>
    </w:p>
    <w:p w14:paraId="5F165E0B">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ascii="宋体" w:hAnsi="宋体"/>
          <w:color w:val="auto"/>
          <w:sz w:val="24"/>
          <w:highlight w:val="none"/>
          <w:u w:val="single"/>
        </w:rPr>
      </w:pPr>
      <w:r>
        <w:rPr>
          <w:rFonts w:hint="eastAsia" w:ascii="宋体" w:hAnsi="宋体"/>
          <w:color w:val="auto"/>
          <w:sz w:val="24"/>
          <w:highlight w:val="none"/>
          <w:u w:val="single"/>
        </w:rPr>
        <w:t>（2）对</w:t>
      </w:r>
      <w:r>
        <w:rPr>
          <w:rFonts w:hint="eastAsia" w:ascii="宋体" w:hAnsi="宋体"/>
          <w:color w:val="auto"/>
          <w:sz w:val="24"/>
          <w:highlight w:val="none"/>
          <w:u w:val="single"/>
          <w:lang w:val="en-US" w:eastAsia="zh-CN"/>
        </w:rPr>
        <w:t>本项目地块土壤</w:t>
      </w:r>
      <w:r>
        <w:rPr>
          <w:rFonts w:hint="eastAsia" w:ascii="宋体" w:hAnsi="宋体"/>
          <w:color w:val="auto"/>
          <w:sz w:val="24"/>
          <w:highlight w:val="none"/>
          <w:u w:val="single"/>
        </w:rPr>
        <w:t>污染修复工程进行环境监理（包括</w:t>
      </w:r>
      <w:r>
        <w:rPr>
          <w:rFonts w:hint="eastAsia" w:ascii="宋体" w:hAnsi="宋体"/>
          <w:color w:val="auto"/>
          <w:sz w:val="24"/>
          <w:highlight w:val="none"/>
          <w:u w:val="single"/>
          <w:lang w:eastAsia="zh-CN"/>
        </w:rPr>
        <w:t>项目监理</w:t>
      </w:r>
      <w:r>
        <w:rPr>
          <w:rFonts w:hint="eastAsia" w:ascii="宋体" w:hAnsi="宋体"/>
          <w:color w:val="auto"/>
          <w:sz w:val="24"/>
          <w:highlight w:val="none"/>
          <w:u w:val="single"/>
        </w:rPr>
        <w:t>），对</w:t>
      </w:r>
      <w:r>
        <w:rPr>
          <w:rFonts w:hint="eastAsia" w:ascii="宋体" w:hAnsi="宋体"/>
          <w:color w:val="auto"/>
          <w:sz w:val="24"/>
          <w:highlight w:val="none"/>
          <w:u w:val="single"/>
          <w:lang w:val="en-US" w:eastAsia="zh-CN"/>
        </w:rPr>
        <w:t>承包人</w:t>
      </w:r>
      <w:r>
        <w:rPr>
          <w:rFonts w:hint="eastAsia" w:ascii="宋体" w:hAnsi="宋体"/>
          <w:color w:val="auto"/>
          <w:sz w:val="24"/>
          <w:highlight w:val="none"/>
          <w:u w:val="single"/>
        </w:rPr>
        <w:t>实施</w:t>
      </w:r>
      <w:r>
        <w:rPr>
          <w:rFonts w:hint="eastAsia" w:ascii="宋体" w:hAnsi="宋体"/>
          <w:color w:val="auto"/>
          <w:sz w:val="24"/>
          <w:highlight w:val="none"/>
          <w:u w:val="single"/>
          <w:lang w:val="en-US" w:eastAsia="zh-CN"/>
        </w:rPr>
        <w:t>修复过</w:t>
      </w:r>
      <w:r>
        <w:rPr>
          <w:rFonts w:hint="eastAsia" w:ascii="宋体" w:hAnsi="宋体"/>
          <w:color w:val="auto"/>
          <w:sz w:val="24"/>
          <w:highlight w:val="none"/>
          <w:u w:val="single"/>
        </w:rPr>
        <w:t>程中的工程安全、质量、进度及防止二次污染等</w:t>
      </w:r>
      <w:r>
        <w:rPr>
          <w:rFonts w:hint="eastAsia" w:ascii="宋体" w:hAnsi="宋体"/>
          <w:color w:val="auto"/>
          <w:sz w:val="24"/>
          <w:highlight w:val="none"/>
          <w:u w:val="single"/>
          <w:lang w:val="en-US" w:eastAsia="zh-CN"/>
        </w:rPr>
        <w:t>事项</w:t>
      </w:r>
      <w:r>
        <w:rPr>
          <w:rFonts w:hint="eastAsia" w:ascii="宋体" w:hAnsi="宋体"/>
          <w:color w:val="auto"/>
          <w:sz w:val="24"/>
          <w:highlight w:val="none"/>
          <w:u w:val="single"/>
        </w:rPr>
        <w:t>进行监督管理</w:t>
      </w:r>
      <w:r>
        <w:rPr>
          <w:rFonts w:hint="eastAsia" w:ascii="宋体" w:hAnsi="宋体"/>
          <w:color w:val="auto"/>
          <w:sz w:val="24"/>
          <w:highlight w:val="none"/>
          <w:u w:val="single"/>
          <w:lang w:eastAsia="zh-CN"/>
        </w:rPr>
        <w:t>。</w:t>
      </w:r>
    </w:p>
    <w:p w14:paraId="658D6310">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hint="eastAsia" w:ascii="宋体" w:hAnsi="宋体"/>
          <w:color w:val="auto"/>
          <w:sz w:val="24"/>
          <w:highlight w:val="none"/>
          <w:u w:val="single"/>
        </w:rPr>
      </w:pPr>
      <w:r>
        <w:rPr>
          <w:rFonts w:hint="eastAsia" w:ascii="宋体" w:hAnsi="宋体"/>
          <w:color w:val="auto"/>
          <w:sz w:val="24"/>
          <w:highlight w:val="none"/>
          <w:u w:val="single"/>
        </w:rPr>
        <w:t>（3）配合</w:t>
      </w:r>
      <w:r>
        <w:rPr>
          <w:rFonts w:hint="eastAsia" w:ascii="宋体" w:hAnsi="宋体"/>
          <w:color w:val="auto"/>
          <w:sz w:val="24"/>
          <w:highlight w:val="none"/>
          <w:u w:val="single"/>
          <w:lang w:eastAsia="zh-CN"/>
        </w:rPr>
        <w:t>招标</w:t>
      </w:r>
      <w:r>
        <w:rPr>
          <w:rFonts w:hint="eastAsia" w:ascii="宋体" w:hAnsi="宋体"/>
          <w:color w:val="auto"/>
          <w:sz w:val="24"/>
          <w:highlight w:val="none"/>
          <w:u w:val="single"/>
        </w:rPr>
        <w:t>人、第三方机构、相关职能管理部门</w:t>
      </w:r>
      <w:r>
        <w:rPr>
          <w:rFonts w:hint="eastAsia" w:ascii="宋体" w:hAnsi="宋体"/>
          <w:color w:val="auto"/>
          <w:sz w:val="24"/>
          <w:highlight w:val="none"/>
          <w:u w:val="single"/>
          <w:lang w:val="en-US" w:eastAsia="zh-CN"/>
        </w:rPr>
        <w:t>开展</w:t>
      </w:r>
      <w:r>
        <w:rPr>
          <w:rFonts w:hint="eastAsia" w:ascii="宋体" w:hAnsi="宋体"/>
          <w:color w:val="auto"/>
          <w:sz w:val="24"/>
          <w:highlight w:val="none"/>
          <w:u w:val="single"/>
        </w:rPr>
        <w:t>的各类检查、检测、监测、效果评估等工作，协助</w:t>
      </w:r>
      <w:r>
        <w:rPr>
          <w:rFonts w:hint="eastAsia" w:ascii="宋体" w:hAnsi="宋体"/>
          <w:color w:val="auto"/>
          <w:sz w:val="24"/>
          <w:highlight w:val="none"/>
          <w:u w:val="single"/>
          <w:lang w:eastAsia="zh-CN"/>
        </w:rPr>
        <w:t>招标</w:t>
      </w:r>
      <w:r>
        <w:rPr>
          <w:rFonts w:hint="eastAsia" w:ascii="宋体" w:hAnsi="宋体"/>
          <w:color w:val="auto"/>
          <w:sz w:val="24"/>
          <w:highlight w:val="none"/>
          <w:u w:val="single"/>
        </w:rPr>
        <w:t>人配合好环境保护行政主管部门的日常监督管理、生态环境主管部门监督检查、项目环保审查和环保验收工作。</w:t>
      </w:r>
    </w:p>
    <w:p w14:paraId="0CAFDE0E">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hint="eastAsia" w:ascii="宋体" w:hAnsi="宋体"/>
          <w:color w:val="auto"/>
          <w:sz w:val="24"/>
          <w:highlight w:val="none"/>
          <w:u w:val="single"/>
        </w:rPr>
      </w:pPr>
      <w:r>
        <w:rPr>
          <w:rFonts w:hint="eastAsia" w:ascii="宋体" w:hAnsi="宋体"/>
          <w:color w:val="auto"/>
          <w:sz w:val="24"/>
          <w:highlight w:val="none"/>
          <w:u w:val="single"/>
        </w:rPr>
        <w:t>（4）对</w:t>
      </w:r>
      <w:r>
        <w:rPr>
          <w:rFonts w:hint="eastAsia" w:ascii="宋体" w:hAnsi="宋体"/>
          <w:color w:val="auto"/>
          <w:sz w:val="24"/>
          <w:highlight w:val="none"/>
          <w:u w:val="single"/>
          <w:lang w:val="en-US" w:eastAsia="zh-CN"/>
        </w:rPr>
        <w:t>本项目地块土壤</w:t>
      </w:r>
      <w:r>
        <w:rPr>
          <w:rFonts w:hint="eastAsia" w:ascii="宋体" w:hAnsi="宋体"/>
          <w:color w:val="auto"/>
          <w:sz w:val="24"/>
          <w:highlight w:val="none"/>
          <w:u w:val="single"/>
        </w:rPr>
        <w:t>污染</w:t>
      </w:r>
      <w:r>
        <w:rPr>
          <w:rFonts w:hint="eastAsia" w:ascii="宋体" w:hAnsi="宋体"/>
          <w:color w:val="auto"/>
          <w:sz w:val="24"/>
          <w:highlight w:val="none"/>
          <w:u w:val="single"/>
          <w:lang w:val="en-US" w:eastAsia="zh-CN"/>
        </w:rPr>
        <w:t>修复</w:t>
      </w:r>
      <w:r>
        <w:rPr>
          <w:rFonts w:hint="eastAsia" w:ascii="宋体" w:hAnsi="宋体"/>
          <w:color w:val="auto"/>
          <w:sz w:val="24"/>
          <w:highlight w:val="none"/>
          <w:u w:val="single"/>
        </w:rPr>
        <w:t>过程实施监测、检测，</w:t>
      </w:r>
      <w:r>
        <w:rPr>
          <w:rFonts w:hint="eastAsia" w:ascii="宋体" w:hAnsi="宋体"/>
          <w:color w:val="auto"/>
          <w:sz w:val="24"/>
          <w:highlight w:val="none"/>
          <w:u w:val="single"/>
          <w:lang w:val="en-US" w:eastAsia="zh-CN"/>
        </w:rPr>
        <w:t>保证相关</w:t>
      </w:r>
      <w:r>
        <w:rPr>
          <w:rFonts w:hint="eastAsia" w:ascii="宋体" w:hAnsi="宋体"/>
          <w:color w:val="auto"/>
          <w:sz w:val="24"/>
          <w:highlight w:val="none"/>
          <w:u w:val="single"/>
        </w:rPr>
        <w:t>监测、检测符合国家技术规范，并将</w:t>
      </w:r>
      <w:r>
        <w:rPr>
          <w:rFonts w:hint="eastAsia" w:ascii="宋体" w:hAnsi="宋体"/>
          <w:color w:val="auto"/>
          <w:sz w:val="24"/>
          <w:highlight w:val="none"/>
          <w:u w:val="single"/>
          <w:lang w:val="en-US" w:eastAsia="zh-CN"/>
        </w:rPr>
        <w:t>相关</w:t>
      </w:r>
      <w:r>
        <w:rPr>
          <w:rFonts w:hint="eastAsia" w:ascii="宋体" w:hAnsi="宋体"/>
          <w:color w:val="auto"/>
          <w:sz w:val="24"/>
          <w:highlight w:val="none"/>
          <w:u w:val="single"/>
        </w:rPr>
        <w:t>监测、检测报告附在监理验收报告中</w:t>
      </w:r>
      <w:r>
        <w:rPr>
          <w:rFonts w:hint="eastAsia" w:ascii="宋体" w:hAnsi="宋体"/>
          <w:color w:val="auto"/>
          <w:sz w:val="24"/>
          <w:highlight w:val="none"/>
          <w:u w:val="single"/>
          <w:lang w:eastAsia="zh-CN"/>
        </w:rPr>
        <w:t>。</w:t>
      </w:r>
    </w:p>
    <w:p w14:paraId="3D956CED">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hint="default" w:ascii="宋体" w:hAnsi="宋体"/>
          <w:color w:val="auto"/>
          <w:sz w:val="24"/>
          <w:highlight w:val="none"/>
          <w:u w:val="single"/>
        </w:rPr>
      </w:pPr>
      <w:r>
        <w:rPr>
          <w:rFonts w:hint="eastAsia" w:ascii="宋体" w:hAnsi="宋体"/>
          <w:color w:val="auto"/>
          <w:sz w:val="24"/>
          <w:highlight w:val="none"/>
          <w:u w:val="single"/>
        </w:rPr>
        <w:t>（5）</w:t>
      </w:r>
      <w:r>
        <w:rPr>
          <w:rFonts w:hint="eastAsia" w:ascii="宋体" w:hAnsi="宋体"/>
          <w:color w:val="auto"/>
          <w:sz w:val="24"/>
          <w:highlight w:val="none"/>
          <w:u w:val="single"/>
          <w:lang w:val="en-US" w:eastAsia="zh-CN"/>
        </w:rPr>
        <w:t>本项目地块土壤</w:t>
      </w:r>
      <w:r>
        <w:rPr>
          <w:rFonts w:hint="eastAsia" w:ascii="宋体" w:hAnsi="宋体"/>
          <w:color w:val="auto"/>
          <w:sz w:val="24"/>
          <w:highlight w:val="none"/>
          <w:u w:val="single"/>
        </w:rPr>
        <w:t>污染</w:t>
      </w:r>
      <w:r>
        <w:rPr>
          <w:rFonts w:hint="eastAsia" w:ascii="宋体" w:hAnsi="宋体"/>
          <w:color w:val="auto"/>
          <w:sz w:val="24"/>
          <w:highlight w:val="none"/>
          <w:u w:val="single"/>
          <w:lang w:val="en-US" w:eastAsia="zh-CN"/>
        </w:rPr>
        <w:t>修复</w:t>
      </w:r>
      <w:r>
        <w:rPr>
          <w:rFonts w:hint="eastAsia" w:ascii="宋体" w:hAnsi="宋体"/>
          <w:color w:val="auto"/>
          <w:sz w:val="24"/>
          <w:highlight w:val="none"/>
          <w:u w:val="single"/>
        </w:rPr>
        <w:t>工程竣工后，编制本项目监理总结报告，并协助配合第三方验收，该报告必须通过</w:t>
      </w:r>
      <w:r>
        <w:rPr>
          <w:rFonts w:hint="eastAsia" w:ascii="宋体" w:hAnsi="宋体"/>
          <w:color w:val="auto"/>
          <w:sz w:val="24"/>
          <w:highlight w:val="none"/>
          <w:u w:val="single"/>
          <w:lang w:val="en-US" w:eastAsia="zh-CN"/>
        </w:rPr>
        <w:t>广东省、广州市</w:t>
      </w:r>
      <w:r>
        <w:rPr>
          <w:rFonts w:hint="eastAsia" w:ascii="宋体" w:hAnsi="宋体"/>
          <w:color w:val="auto"/>
          <w:sz w:val="24"/>
          <w:highlight w:val="none"/>
          <w:u w:val="single"/>
        </w:rPr>
        <w:t>生态环境主管部门的技术评审，并取得同意备案的函复文件。</w:t>
      </w:r>
      <w:r>
        <w:rPr>
          <w:rFonts w:hint="eastAsia" w:ascii="宋体" w:hAnsi="宋体"/>
          <w:color w:val="auto"/>
          <w:sz w:val="24"/>
          <w:highlight w:val="none"/>
          <w:u w:val="single"/>
          <w:lang w:val="en-US" w:eastAsia="zh-CN"/>
        </w:rPr>
        <w:t>如该报告未能通过广东省、广州市</w:t>
      </w:r>
      <w:r>
        <w:rPr>
          <w:rFonts w:hint="eastAsia" w:ascii="宋体" w:hAnsi="宋体"/>
          <w:color w:val="auto"/>
          <w:sz w:val="24"/>
          <w:highlight w:val="none"/>
          <w:u w:val="single"/>
        </w:rPr>
        <w:t>生态环境主管部门的技术评审</w:t>
      </w:r>
      <w:r>
        <w:rPr>
          <w:rFonts w:hint="eastAsia" w:ascii="宋体" w:hAnsi="宋体"/>
          <w:color w:val="auto"/>
          <w:sz w:val="24"/>
          <w:highlight w:val="none"/>
          <w:u w:val="single"/>
          <w:lang w:eastAsia="zh-CN"/>
        </w:rPr>
        <w:t>，招标</w:t>
      </w:r>
      <w:r>
        <w:rPr>
          <w:rFonts w:hint="eastAsia" w:ascii="宋体" w:hAnsi="宋体"/>
          <w:color w:val="auto"/>
          <w:sz w:val="24"/>
          <w:highlight w:val="none"/>
          <w:u w:val="single"/>
        </w:rPr>
        <w:t>人</w:t>
      </w:r>
      <w:r>
        <w:rPr>
          <w:rFonts w:hint="eastAsia" w:ascii="宋体" w:hAnsi="宋体"/>
          <w:color w:val="auto"/>
          <w:sz w:val="24"/>
          <w:highlight w:val="none"/>
          <w:u w:val="single"/>
          <w:lang w:val="en-US" w:eastAsia="zh-CN"/>
        </w:rPr>
        <w:t>有权解除本合同，监理人应向</w:t>
      </w:r>
      <w:r>
        <w:rPr>
          <w:rFonts w:hint="eastAsia" w:ascii="宋体" w:hAnsi="宋体"/>
          <w:color w:val="auto"/>
          <w:sz w:val="24"/>
          <w:highlight w:val="none"/>
          <w:u w:val="single"/>
          <w:lang w:eastAsia="zh-CN"/>
        </w:rPr>
        <w:t>招标</w:t>
      </w:r>
      <w:r>
        <w:rPr>
          <w:rFonts w:hint="eastAsia" w:ascii="宋体" w:hAnsi="宋体"/>
          <w:color w:val="auto"/>
          <w:sz w:val="24"/>
          <w:highlight w:val="none"/>
          <w:u w:val="single"/>
          <w:lang w:val="en-US" w:eastAsia="zh-CN"/>
        </w:rPr>
        <w:t>人支付本合同监理服务费30%的违约金，赔偿因此给委托人造成的全部损失。</w:t>
      </w:r>
    </w:p>
    <w:p w14:paraId="4BF61BA3">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hint="eastAsia" w:ascii="宋体" w:hAnsi="宋体"/>
          <w:color w:val="auto"/>
          <w:sz w:val="24"/>
          <w:highlight w:val="none"/>
          <w:u w:val="single"/>
        </w:rPr>
      </w:pPr>
      <w:r>
        <w:rPr>
          <w:rFonts w:hint="eastAsia" w:ascii="宋体" w:hAnsi="宋体"/>
          <w:color w:val="auto"/>
          <w:sz w:val="24"/>
          <w:highlight w:val="none"/>
          <w:u w:val="single"/>
        </w:rPr>
        <w:t>（6）</w:t>
      </w:r>
      <w:r>
        <w:rPr>
          <w:rFonts w:hint="eastAsia" w:ascii="宋体" w:hAnsi="宋体"/>
          <w:color w:val="auto"/>
          <w:sz w:val="24"/>
          <w:highlight w:val="none"/>
          <w:u w:val="single"/>
          <w:lang w:val="en-US" w:eastAsia="zh-CN"/>
        </w:rPr>
        <w:t>协助招标人</w:t>
      </w:r>
      <w:r>
        <w:rPr>
          <w:rFonts w:hint="eastAsia" w:ascii="宋体" w:hAnsi="宋体"/>
          <w:color w:val="auto"/>
          <w:sz w:val="24"/>
          <w:highlight w:val="none"/>
          <w:u w:val="single"/>
        </w:rPr>
        <w:t>对</w:t>
      </w:r>
      <w:r>
        <w:rPr>
          <w:rFonts w:hint="eastAsia" w:ascii="宋体" w:hAnsi="宋体"/>
          <w:color w:val="auto"/>
          <w:sz w:val="24"/>
          <w:highlight w:val="none"/>
          <w:u w:val="single"/>
          <w:lang w:val="en-US" w:eastAsia="zh-CN"/>
        </w:rPr>
        <w:t>承包人</w:t>
      </w:r>
      <w:r>
        <w:rPr>
          <w:rFonts w:hint="eastAsia" w:ascii="宋体" w:hAnsi="宋体"/>
          <w:color w:val="auto"/>
          <w:sz w:val="24"/>
          <w:highlight w:val="none"/>
          <w:u w:val="single"/>
        </w:rPr>
        <w:t>提供的工程量、工程款、变更、索赔、签证、工程结算等工程造价文件进行审核，协助</w:t>
      </w:r>
      <w:r>
        <w:rPr>
          <w:rFonts w:hint="eastAsia" w:ascii="宋体" w:hAnsi="宋体"/>
          <w:color w:val="auto"/>
          <w:sz w:val="24"/>
          <w:highlight w:val="none"/>
          <w:u w:val="single"/>
          <w:lang w:eastAsia="zh-CN"/>
        </w:rPr>
        <w:t>招标</w:t>
      </w:r>
      <w:r>
        <w:rPr>
          <w:rFonts w:hint="eastAsia" w:ascii="宋体" w:hAnsi="宋体"/>
          <w:color w:val="auto"/>
          <w:sz w:val="24"/>
          <w:highlight w:val="none"/>
          <w:u w:val="single"/>
        </w:rPr>
        <w:t>人对监理项目的投资、工程造价进行控制，并于</w:t>
      </w:r>
      <w:r>
        <w:rPr>
          <w:rFonts w:hint="eastAsia" w:ascii="宋体" w:hAnsi="宋体"/>
          <w:color w:val="auto"/>
          <w:sz w:val="24"/>
          <w:highlight w:val="none"/>
          <w:u w:val="single"/>
          <w:lang w:val="en-US" w:eastAsia="zh-CN"/>
        </w:rPr>
        <w:t>每月</w:t>
      </w:r>
      <w:r>
        <w:rPr>
          <w:rFonts w:hint="eastAsia" w:ascii="宋体" w:hAnsi="宋体"/>
          <w:color w:val="auto"/>
          <w:sz w:val="24"/>
          <w:highlight w:val="none"/>
          <w:u w:val="single"/>
        </w:rPr>
        <w:t>5日前应向</w:t>
      </w:r>
      <w:r>
        <w:rPr>
          <w:rFonts w:hint="eastAsia" w:ascii="宋体" w:hAnsi="宋体"/>
          <w:color w:val="auto"/>
          <w:sz w:val="24"/>
          <w:highlight w:val="none"/>
          <w:u w:val="single"/>
          <w:lang w:eastAsia="zh-CN"/>
        </w:rPr>
        <w:t>招标</w:t>
      </w:r>
      <w:r>
        <w:rPr>
          <w:rFonts w:hint="eastAsia" w:ascii="宋体" w:hAnsi="宋体"/>
          <w:color w:val="auto"/>
          <w:sz w:val="24"/>
          <w:highlight w:val="none"/>
          <w:u w:val="single"/>
        </w:rPr>
        <w:t>人提交上一月的监理月报。月报需详细反映月度进度、质量、工程款支付和工程签证等情况，及所采取的对策和措施，对工程的意见和建议及下月监理工作的重点。</w:t>
      </w:r>
    </w:p>
    <w:p w14:paraId="4EBC39F3">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hint="eastAsia" w:ascii="宋体" w:hAnsi="宋体"/>
          <w:color w:val="auto"/>
          <w:sz w:val="24"/>
          <w:highlight w:val="none"/>
          <w:u w:val="single"/>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）督促和检查</w:t>
      </w:r>
      <w:r>
        <w:rPr>
          <w:rFonts w:hint="eastAsia" w:ascii="宋体" w:hAnsi="宋体"/>
          <w:color w:val="auto"/>
          <w:sz w:val="24"/>
          <w:highlight w:val="none"/>
          <w:u w:val="single"/>
          <w:lang w:val="en-US" w:eastAsia="zh-CN"/>
        </w:rPr>
        <w:t>承包人</w:t>
      </w:r>
      <w:r>
        <w:rPr>
          <w:rFonts w:hint="eastAsia" w:ascii="宋体" w:hAnsi="宋体"/>
          <w:color w:val="auto"/>
          <w:sz w:val="24"/>
          <w:highlight w:val="none"/>
          <w:u w:val="single"/>
        </w:rPr>
        <w:t>文明施工、健全安全生产防护措施，巡查、检查现场安全、文明施工实施情况，审核项目环境保护、安全防护措施</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二次污染防控措施等</w:t>
      </w:r>
      <w:r>
        <w:rPr>
          <w:rFonts w:hint="eastAsia" w:ascii="宋体" w:hAnsi="宋体"/>
          <w:color w:val="auto"/>
          <w:sz w:val="24"/>
          <w:highlight w:val="none"/>
          <w:u w:val="single"/>
        </w:rPr>
        <w:t>是否符合国家法律法规的要求，对于不符合规定的事项向</w:t>
      </w:r>
      <w:r>
        <w:rPr>
          <w:rFonts w:hint="eastAsia" w:ascii="宋体" w:hAnsi="宋体"/>
          <w:color w:val="auto"/>
          <w:sz w:val="24"/>
          <w:highlight w:val="none"/>
          <w:u w:val="single"/>
          <w:lang w:val="en-US" w:eastAsia="zh-CN"/>
        </w:rPr>
        <w:t>承包人</w:t>
      </w:r>
      <w:r>
        <w:rPr>
          <w:rFonts w:hint="eastAsia" w:ascii="宋体" w:hAnsi="宋体"/>
          <w:color w:val="auto"/>
          <w:sz w:val="24"/>
          <w:highlight w:val="none"/>
          <w:u w:val="single"/>
        </w:rPr>
        <w:t>发出整改要求。</w:t>
      </w:r>
    </w:p>
    <w:p w14:paraId="785619F0">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rFonts w:hint="eastAsia" w:ascii="宋体" w:hAnsi="宋体" w:eastAsia="宋体" w:cs="Times New Roman"/>
          <w:color w:val="auto"/>
          <w:sz w:val="24"/>
          <w:highlight w:val="none"/>
          <w:u w:val="single"/>
          <w:lang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）督促并审核</w:t>
      </w:r>
      <w:r>
        <w:rPr>
          <w:rFonts w:hint="eastAsia" w:ascii="宋体" w:hAnsi="宋体"/>
          <w:color w:val="auto"/>
          <w:sz w:val="24"/>
          <w:highlight w:val="none"/>
          <w:u w:val="single"/>
          <w:lang w:val="en-US" w:eastAsia="zh-CN"/>
        </w:rPr>
        <w:t>承包人</w:t>
      </w:r>
      <w:r>
        <w:rPr>
          <w:rFonts w:hint="eastAsia" w:ascii="宋体" w:hAnsi="宋体"/>
          <w:color w:val="auto"/>
          <w:sz w:val="24"/>
          <w:highlight w:val="none"/>
          <w:u w:val="single"/>
        </w:rPr>
        <w:t>编制、整理工程竣工验收及备案文件、技术资料、竣工图纸和各种必须归档的资料，协助</w:t>
      </w:r>
      <w:r>
        <w:rPr>
          <w:rFonts w:hint="eastAsia" w:ascii="宋体" w:hAnsi="宋体"/>
          <w:color w:val="auto"/>
          <w:sz w:val="24"/>
          <w:highlight w:val="none"/>
          <w:u w:val="single"/>
          <w:lang w:eastAsia="zh-CN"/>
        </w:rPr>
        <w:t>招标</w:t>
      </w:r>
      <w:r>
        <w:rPr>
          <w:rFonts w:hint="eastAsia" w:ascii="宋体" w:hAnsi="宋体"/>
          <w:color w:val="auto"/>
          <w:sz w:val="24"/>
          <w:highlight w:val="none"/>
          <w:u w:val="single"/>
        </w:rPr>
        <w:t>人办理各项验收和</w:t>
      </w:r>
      <w:r>
        <w:rPr>
          <w:rFonts w:hint="eastAsia" w:ascii="宋体" w:hAnsi="宋体"/>
          <w:color w:val="auto"/>
          <w:sz w:val="24"/>
          <w:highlight w:val="none"/>
          <w:u w:val="single"/>
          <w:lang w:val="en-US" w:eastAsia="zh-CN"/>
        </w:rPr>
        <w:t>项目</w:t>
      </w:r>
      <w:r>
        <w:rPr>
          <w:rFonts w:hint="eastAsia" w:ascii="宋体" w:hAnsi="宋体"/>
          <w:color w:val="auto"/>
          <w:sz w:val="24"/>
          <w:highlight w:val="none"/>
          <w:u w:val="single"/>
        </w:rPr>
        <w:t>移交工作</w:t>
      </w:r>
      <w:r>
        <w:rPr>
          <w:rFonts w:hint="eastAsia" w:ascii="宋体" w:hAnsi="宋体"/>
          <w:color w:val="auto"/>
          <w:sz w:val="24"/>
          <w:highlight w:val="none"/>
          <w:u w:val="single"/>
          <w:lang w:val="en-US" w:eastAsia="zh-CN"/>
        </w:rPr>
        <w:t>等</w:t>
      </w:r>
      <w:r>
        <w:rPr>
          <w:rFonts w:hint="eastAsia" w:ascii="宋体" w:hAnsi="宋体"/>
          <w:color w:val="auto"/>
          <w:sz w:val="24"/>
          <w:highlight w:val="none"/>
          <w:u w:val="single"/>
        </w:rPr>
        <w:t>。</w:t>
      </w:r>
    </w:p>
    <w:p w14:paraId="64799D85">
      <w:pPr>
        <w:keepNext w:val="0"/>
        <w:keepLines w:val="0"/>
        <w:pageBreakBefore w:val="0"/>
        <w:kinsoku/>
        <w:wordWrap/>
        <w:overflowPunct/>
        <w:autoSpaceDE/>
        <w:autoSpaceDN/>
        <w:bidi w:val="0"/>
        <w:adjustRightInd w:val="0"/>
        <w:snapToGrid w:val="0"/>
        <w:spacing w:line="500" w:lineRule="exact"/>
        <w:ind w:firstLine="480" w:firstLineChars="200"/>
        <w:jc w:val="left"/>
        <w:textAlignment w:val="auto"/>
        <w:rPr>
          <w:color w:val="auto"/>
          <w:sz w:val="24"/>
          <w:szCs w:val="24"/>
          <w:highlight w:val="none"/>
        </w:rPr>
      </w:pPr>
      <w:r>
        <w:rPr>
          <w:rFonts w:hint="eastAsia" w:ascii="宋体" w:hAnsi="宋体" w:eastAsia="宋体" w:cs="Times New Roman"/>
          <w:color w:val="auto"/>
          <w:sz w:val="24"/>
          <w:highlight w:val="none"/>
          <w:u w:val="none"/>
          <w:lang w:eastAsia="zh-CN"/>
        </w:rPr>
        <w:t>2.5服务</w:t>
      </w:r>
      <w:r>
        <w:rPr>
          <w:rFonts w:hint="eastAsia"/>
          <w:color w:val="auto"/>
          <w:sz w:val="24"/>
          <w:szCs w:val="24"/>
          <w:highlight w:val="none"/>
        </w:rPr>
        <w:t>期限</w:t>
      </w:r>
    </w:p>
    <w:p w14:paraId="30918634">
      <w:pPr>
        <w:spacing w:line="560" w:lineRule="exact"/>
        <w:ind w:firstLine="480" w:firstLineChars="200"/>
        <w:rPr>
          <w:rFonts w:hint="eastAsia"/>
          <w:color w:val="auto"/>
          <w:sz w:val="24"/>
          <w:szCs w:val="24"/>
          <w:highlight w:val="none"/>
          <w:u w:val="single"/>
          <w:lang w:val="en-US" w:eastAsia="zh-CN"/>
        </w:rPr>
      </w:pPr>
      <w:r>
        <w:rPr>
          <w:rFonts w:hint="eastAsia"/>
          <w:color w:val="auto"/>
          <w:sz w:val="24"/>
          <w:szCs w:val="24"/>
          <w:highlight w:val="none"/>
          <w:u w:val="single"/>
          <w:lang w:val="en-US" w:eastAsia="zh-CN"/>
        </w:rPr>
        <w:t>监理服务周期为合同签订之日起至本项目通过广东省、广州市环保主管部门验收及备案且本项目地块完成广东省建设用地土壤污染风险管控和修复名录移出工作之日止。</w:t>
      </w:r>
    </w:p>
    <w:p w14:paraId="15E74BB7">
      <w:pPr>
        <w:spacing w:line="560" w:lineRule="exact"/>
        <w:ind w:firstLine="480" w:firstLineChars="200"/>
        <w:rPr>
          <w:rFonts w:hint="eastAsia" w:ascii="宋体" w:hAnsi="宋体" w:eastAsia="宋体" w:cs="宋体"/>
          <w:color w:val="auto"/>
          <w:sz w:val="24"/>
          <w:szCs w:val="24"/>
          <w:highlight w:val="none"/>
          <w:lang w:eastAsia="zh-CN"/>
        </w:rPr>
      </w:pPr>
      <w:r>
        <w:rPr>
          <w:rFonts w:hint="eastAsia"/>
          <w:color w:val="auto"/>
          <w:sz w:val="24"/>
          <w:szCs w:val="24"/>
          <w:highlight w:val="none"/>
        </w:rPr>
        <w:t xml:space="preserve">2.6 </w:t>
      </w:r>
      <w:r>
        <w:rPr>
          <w:rFonts w:hint="eastAsia" w:ascii="宋体" w:hAnsi="宋体" w:cs="宋体"/>
          <w:color w:val="auto"/>
          <w:sz w:val="24"/>
          <w:szCs w:val="24"/>
          <w:highlight w:val="none"/>
        </w:rPr>
        <w:t>最高投标限价（即招标控制价）：</w:t>
      </w:r>
      <w:r>
        <w:rPr>
          <w:rFonts w:hint="eastAsia" w:ascii="宋体" w:hAnsi="宋体" w:cs="宋体"/>
          <w:color w:val="auto"/>
          <w:sz w:val="24"/>
          <w:szCs w:val="24"/>
          <w:highlight w:val="none"/>
          <w:u w:val="single"/>
          <w:lang w:val="en-US" w:eastAsia="zh-CN"/>
        </w:rPr>
        <w:t>1,339,404.30</w:t>
      </w:r>
      <w:r>
        <w:rPr>
          <w:rFonts w:hint="eastAsia" w:ascii="宋体" w:hAnsi="宋体" w:cs="宋体"/>
          <w:color w:val="auto"/>
          <w:sz w:val="24"/>
          <w:szCs w:val="24"/>
          <w:highlight w:val="none"/>
          <w:lang w:val="en-US" w:eastAsia="zh-CN"/>
        </w:rPr>
        <w:t>元。</w:t>
      </w:r>
      <w:r>
        <w:rPr>
          <w:rFonts w:hint="eastAsia" w:ascii="宋体" w:hAnsi="宋体" w:cs="宋体"/>
          <w:bCs/>
          <w:color w:val="auto"/>
          <w:sz w:val="24"/>
          <w:szCs w:val="24"/>
          <w:highlight w:val="none"/>
        </w:rPr>
        <w:t>(本项目实行双限价，即:投标人的投标总报价及综合单价都不能超过招标人公布的最高投标限价或综合单价限价</w:t>
      </w:r>
      <w:r>
        <w:rPr>
          <w:rFonts w:hint="eastAsia" w:ascii="宋体" w:hAnsi="宋体" w:cs="宋体"/>
          <w:bCs/>
          <w:color w:val="auto"/>
          <w:sz w:val="24"/>
          <w:szCs w:val="24"/>
          <w:highlight w:val="none"/>
          <w:u w:val="single"/>
        </w:rPr>
        <w:t>，</w:t>
      </w:r>
      <w:r>
        <w:rPr>
          <w:rFonts w:hint="eastAsia" w:ascii="宋体" w:hAnsi="宋体" w:cs="宋体"/>
          <w:bCs/>
          <w:color w:val="auto"/>
          <w:sz w:val="24"/>
          <w:szCs w:val="24"/>
          <w:highlight w:val="none"/>
        </w:rPr>
        <w:t>投标总报价超过最高投标限价或投标综合单价超过综合单价限价的投标文件将被拒绝。</w:t>
      </w:r>
      <w:r>
        <w:rPr>
          <w:rFonts w:hint="eastAsia" w:ascii="宋体" w:hAnsi="宋体" w:cs="宋体"/>
          <w:bCs/>
          <w:color w:val="auto"/>
          <w:sz w:val="24"/>
          <w:szCs w:val="24"/>
          <w:highlight w:val="none"/>
          <w:lang w:eastAsia="zh-CN"/>
        </w:rPr>
        <w:t>）</w:t>
      </w:r>
    </w:p>
    <w:p w14:paraId="72BF8A13">
      <w:pPr>
        <w:pStyle w:val="3"/>
        <w:keepNext w:val="0"/>
        <w:keepLines w:val="0"/>
        <w:spacing w:before="0" w:after="0" w:line="560" w:lineRule="exact"/>
        <w:rPr>
          <w:rFonts w:ascii="Times New Roman" w:hAnsi="Times New Roman"/>
          <w:color w:val="auto"/>
          <w:highlight w:val="none"/>
        </w:rPr>
      </w:pPr>
      <w:bookmarkStart w:id="5" w:name="_Toc527028843"/>
      <w:bookmarkStart w:id="6" w:name="_Toc511557027"/>
      <w:r>
        <w:rPr>
          <w:rFonts w:ascii="Times New Roman" w:hAnsi="Times New Roman"/>
          <w:color w:val="auto"/>
          <w:highlight w:val="none"/>
        </w:rPr>
        <w:t>3. 投标人资格要求</w:t>
      </w:r>
      <w:bookmarkEnd w:id="5"/>
      <w:bookmarkEnd w:id="6"/>
    </w:p>
    <w:p w14:paraId="198217D7">
      <w:pPr>
        <w:spacing w:line="560" w:lineRule="exact"/>
        <w:ind w:firstLine="480" w:firstLineChars="200"/>
        <w:rPr>
          <w:rFonts w:hint="eastAsia" w:ascii="宋体" w:hAnsi="宋体" w:eastAsia="宋体" w:cs="宋体"/>
          <w:color w:val="auto"/>
          <w:sz w:val="24"/>
          <w:szCs w:val="24"/>
          <w:highlight w:val="none"/>
          <w:lang w:val="en-US" w:eastAsia="zh-CN"/>
        </w:rPr>
      </w:pPr>
      <w:r>
        <w:rPr>
          <w:rFonts w:ascii="宋体" w:hAnsi="宋体" w:cs="宋体"/>
          <w:color w:val="auto"/>
          <w:kern w:val="0"/>
          <w:sz w:val="24"/>
          <w:szCs w:val="24"/>
          <w:highlight w:val="none"/>
        </w:rPr>
        <w:t>3.1</w:t>
      </w:r>
      <w:r>
        <w:rPr>
          <w:rFonts w:hint="eastAsia" w:ascii="宋体" w:hAnsi="宋体" w:cs="宋体"/>
          <w:color w:val="auto"/>
          <w:kern w:val="0"/>
          <w:sz w:val="24"/>
          <w:szCs w:val="24"/>
          <w:highlight w:val="none"/>
        </w:rPr>
        <w:t xml:space="preserve"> 投标人须具有以下资质：投标人须同时具有</w:t>
      </w:r>
      <w:r>
        <w:rPr>
          <w:rFonts w:hint="eastAsia" w:ascii="宋体" w:hAnsi="宋体" w:cs="宋体"/>
          <w:color w:val="auto"/>
          <w:kern w:val="0"/>
          <w:sz w:val="24"/>
          <w:szCs w:val="24"/>
          <w:highlight w:val="none"/>
          <w:u w:val="single"/>
        </w:rPr>
        <w:t>①环境保护产业协会颁发的建设项目工程环境监理能力评价证书等级乙级或以上资质（社会区域）；②建设行政主管部门颁发的市政公用工程监理乙级或以上资质或工程监理综合资质；</w:t>
      </w:r>
      <w:r>
        <w:rPr>
          <w:rFonts w:hint="eastAsia" w:ascii="宋体" w:hAnsi="宋体" w:cs="宋体"/>
          <w:color w:val="auto"/>
          <w:kern w:val="0"/>
          <w:sz w:val="24"/>
          <w:szCs w:val="24"/>
          <w:highlight w:val="none"/>
        </w:rPr>
        <w:t>香港企业参加投标的，须在广东省住房和城乡建设主管部门备案且备案的业务范围满足本项目资质要求。[注：依据《广东省住房和城乡建设厅关于印发香港工程建设咨询企业和专业人士在粤港澳大湾区内地城市开业执业试点管理暂行办法的通知》（粤建规范[2020]1号）规定]。</w:t>
      </w:r>
    </w:p>
    <w:p w14:paraId="4351A3C9">
      <w:pPr>
        <w:spacing w:line="560" w:lineRule="exact"/>
        <w:ind w:firstLine="480" w:firstLineChars="200"/>
        <w:rPr>
          <w:rFonts w:ascii="宋体" w:hAnsi="宋体" w:cs="宋体"/>
          <w:color w:val="auto"/>
          <w:kern w:val="0"/>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2 拟派项目总监理工程师须具有建设部</w:t>
      </w:r>
      <w:r>
        <w:rPr>
          <w:rFonts w:ascii="宋体" w:hAnsi="宋体" w:cs="宋体"/>
          <w:color w:val="auto"/>
          <w:sz w:val="24"/>
          <w:szCs w:val="24"/>
          <w:highlight w:val="none"/>
        </w:rPr>
        <w:t>2006年4月1日后颁发的中华人民共和国注册监理工程师注册执业证书，且其注册专业为</w:t>
      </w:r>
      <w:r>
        <w:rPr>
          <w:rFonts w:hint="eastAsia" w:ascii="宋体" w:hAnsi="宋体" w:cs="宋体"/>
          <w:color w:val="auto"/>
          <w:sz w:val="24"/>
          <w:szCs w:val="24"/>
          <w:highlight w:val="none"/>
          <w:u w:val="single"/>
        </w:rPr>
        <w:t>市政公用工程</w:t>
      </w:r>
      <w:r>
        <w:rPr>
          <w:rFonts w:hint="eastAsia" w:ascii="宋体" w:hAnsi="宋体" w:cs="宋体"/>
          <w:color w:val="auto"/>
          <w:sz w:val="24"/>
          <w:szCs w:val="24"/>
          <w:highlight w:val="none"/>
        </w:rPr>
        <w:t>，注册执业单位为本公司，并具备本科或以上学历</w:t>
      </w:r>
      <w:r>
        <w:rPr>
          <w:rFonts w:hint="eastAsia" w:ascii="宋体" w:hAnsi="宋体" w:cs="宋体"/>
          <w:color w:val="auto"/>
          <w:kern w:val="0"/>
          <w:sz w:val="24"/>
          <w:szCs w:val="24"/>
          <w:highlight w:val="none"/>
        </w:rPr>
        <w:t>；香港专业人士参与投标的，</w:t>
      </w:r>
      <w:r>
        <w:rPr>
          <w:rFonts w:hint="eastAsia" w:ascii="宋体" w:hAnsi="宋体" w:cs="宋体"/>
          <w:color w:val="auto"/>
          <w:sz w:val="24"/>
          <w:highlight w:val="none"/>
        </w:rPr>
        <w:t>须</w:t>
      </w:r>
      <w:r>
        <w:rPr>
          <w:rFonts w:hint="eastAsia" w:ascii="宋体" w:hAnsi="宋体" w:cs="宋体"/>
          <w:color w:val="auto"/>
          <w:sz w:val="24"/>
          <w:szCs w:val="24"/>
          <w:highlight w:val="none"/>
        </w:rPr>
        <w:t>在广东省住房和城乡建设主管部门备案且备案的资格满足本项目招标文件的要求</w:t>
      </w:r>
      <w:r>
        <w:rPr>
          <w:rFonts w:hint="eastAsia" w:ascii="宋体" w:hAnsi="宋体" w:cs="宋体"/>
          <w:color w:val="auto"/>
          <w:kern w:val="0"/>
          <w:sz w:val="24"/>
          <w:szCs w:val="24"/>
          <w:highlight w:val="none"/>
        </w:rPr>
        <w:t>。</w:t>
      </w:r>
    </w:p>
    <w:p w14:paraId="3060C7F7">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资质证书有效期按《住房和城乡建设部办公厅关于做好建筑业“证照分离”改革衔接有关工作的通知》（建办市〔2021〕30号）、《住房和城乡建设部办公厅关于建设工程企业资质有关事宜的通知》（建办市函〔2022〕361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《广东省住房和城乡建设厅关于建设工程企业资质有关事宜的通知》（粤建许函〔2022〕846号）</w:t>
      </w:r>
      <w:r>
        <w:rPr>
          <w:rFonts w:hint="eastAsia" w:ascii="宋体" w:hAnsi="宋体" w:cs="宋体"/>
          <w:color w:val="auto"/>
          <w:sz w:val="24"/>
          <w:szCs w:val="24"/>
          <w:highlight w:val="none"/>
          <w:lang w:eastAsia="zh-CN"/>
        </w:rPr>
        <w:t>、《住房城乡建设部建筑市场监管司关于建设工程企业资质延续有关事项的通知》（建司局函市〔2023〕116号）、《广东省住房和城乡建设厅关于建设工程企业资质延续有关事项的通知》（粤建许函〔2023〕820号）、</w:t>
      </w:r>
      <w:r>
        <w:rPr>
          <w:rFonts w:hint="eastAsia" w:ascii="宋体" w:hAnsi="宋体" w:eastAsia="宋体" w:cs="宋体"/>
          <w:color w:val="auto"/>
          <w:kern w:val="2"/>
          <w:sz w:val="24"/>
          <w:szCs w:val="24"/>
          <w:highlight w:val="none"/>
        </w:rPr>
        <w:t>《住房城乡建设部办公厅关于做好有关建设工程企业资质证书换领和延续工作的通知》（建办市〔2023〕47号）、</w:t>
      </w:r>
      <w:r>
        <w:rPr>
          <w:rFonts w:hint="eastAsia" w:ascii="宋体" w:hAnsi="宋体" w:cs="宋体"/>
          <w:color w:val="auto"/>
          <w:sz w:val="24"/>
          <w:szCs w:val="24"/>
          <w:highlight w:val="none"/>
          <w:lang w:eastAsia="zh-CN"/>
        </w:rPr>
        <w:t>《广东省住房和城乡建设厅关于做好有关建设工程企业资质证书换领工作的通知》（粤建许函〔2024〕124号）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《广州市住房和城乡建设局关于建设工程企业资质证书换领工作的通知》（穗建审批〔2024〕242号）</w:t>
      </w:r>
      <w:r>
        <w:rPr>
          <w:rFonts w:hint="eastAsia" w:ascii="宋体" w:hAnsi="宋体" w:cs="宋体"/>
          <w:color w:val="auto"/>
          <w:sz w:val="24"/>
          <w:szCs w:val="24"/>
          <w:highlight w:val="none"/>
          <w:lang w:eastAsia="zh-CN"/>
        </w:rPr>
        <w:t>等相关规定。</w:t>
      </w:r>
      <w:r>
        <w:rPr>
          <w:rFonts w:hint="eastAsia" w:ascii="宋体" w:hAnsi="宋体" w:eastAsia="宋体" w:cs="宋体"/>
          <w:color w:val="auto"/>
          <w:kern w:val="2"/>
          <w:sz w:val="24"/>
          <w:szCs w:val="24"/>
          <w:highlight w:val="none"/>
        </w:rPr>
        <w:t>根据上述文件的要求，投标人需办理企业资质有效期延续的，应当按照相关规定及时办理。</w:t>
      </w:r>
    </w:p>
    <w:p w14:paraId="226310CE">
      <w:pPr>
        <w:spacing w:line="56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3.</w:t>
      </w:r>
      <w:r>
        <w:rPr>
          <w:rFonts w:hint="eastAsia" w:ascii="宋体" w:hAnsi="宋体" w:cs="宋体"/>
          <w:color w:val="auto"/>
          <w:sz w:val="24"/>
          <w:szCs w:val="24"/>
          <w:highlight w:val="none"/>
        </w:rPr>
        <w:t>3 本次招标</w:t>
      </w:r>
      <w:r>
        <w:rPr>
          <w:rFonts w:hint="eastAsia" w:ascii="宋体" w:hAnsi="宋体" w:cs="宋体"/>
          <w:b/>
          <w:bCs/>
          <w:color w:val="auto"/>
          <w:sz w:val="24"/>
          <w:szCs w:val="24"/>
          <w:highlight w:val="none"/>
          <w:u w:val="single"/>
        </w:rPr>
        <w:t>不接受</w:t>
      </w:r>
      <w:r>
        <w:rPr>
          <w:rFonts w:hint="eastAsia" w:ascii="宋体" w:hAnsi="宋体" w:cs="宋体"/>
          <w:color w:val="auto"/>
          <w:sz w:val="24"/>
          <w:szCs w:val="24"/>
          <w:highlight w:val="none"/>
        </w:rPr>
        <w:t>联合体投标。</w:t>
      </w:r>
    </w:p>
    <w:p w14:paraId="5345A98D">
      <w:pPr>
        <w:spacing w:line="5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4 其他要求：</w:t>
      </w:r>
    </w:p>
    <w:p w14:paraId="01C40E04">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①投标人参加投标的意思表达清楚，投标人代表被授权有效。</w:t>
      </w:r>
    </w:p>
    <w:p w14:paraId="60192622">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②投标人具有独立法人资格，按国家法律经营。</w:t>
      </w:r>
    </w:p>
    <w:p w14:paraId="395AAC81">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③投标人已按规定格式签名盖章《投标人声明》（格式见招标公告附件一）。</w:t>
      </w:r>
    </w:p>
    <w:p w14:paraId="638D53B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szCs w:val="24"/>
          <w:highlight w:val="none"/>
        </w:rPr>
        <w:t>④</w:t>
      </w:r>
      <w:r>
        <w:rPr>
          <w:rFonts w:hint="eastAsia"/>
          <w:color w:val="auto"/>
          <w:sz w:val="24"/>
          <w:szCs w:val="24"/>
          <w:highlight w:val="none"/>
        </w:rPr>
        <w:t>资格审查前，投标人须在</w:t>
      </w:r>
      <w:r>
        <w:rPr>
          <w:rFonts w:hint="eastAsia"/>
          <w:color w:val="auto"/>
          <w:sz w:val="24"/>
          <w:highlight w:val="none"/>
        </w:rPr>
        <w:t>广州公共资源交易中心办理企业信息登记</w:t>
      </w:r>
      <w:r>
        <w:rPr>
          <w:rFonts w:hint="eastAsia"/>
          <w:color w:val="auto"/>
          <w:sz w:val="24"/>
          <w:szCs w:val="24"/>
          <w:highlight w:val="none"/>
        </w:rPr>
        <w:t>及拟担任本工程项目总监理工程师须是</w:t>
      </w:r>
      <w:r>
        <w:rPr>
          <w:rFonts w:hint="eastAsia"/>
          <w:color w:val="auto"/>
          <w:sz w:val="24"/>
          <w:highlight w:val="none"/>
        </w:rPr>
        <w:t>本企业信息登记信息中</w:t>
      </w:r>
      <w:r>
        <w:rPr>
          <w:rFonts w:hint="eastAsia"/>
          <w:color w:val="auto"/>
          <w:sz w:val="24"/>
          <w:szCs w:val="24"/>
          <w:highlight w:val="none"/>
        </w:rPr>
        <w:t>的在册人员，企业信息取自投标截止时间投标人</w:t>
      </w:r>
      <w:r>
        <w:rPr>
          <w:rFonts w:hint="eastAsia"/>
          <w:color w:val="auto"/>
          <w:sz w:val="24"/>
          <w:highlight w:val="none"/>
        </w:rPr>
        <w:t>在广州公共资源交易中心企业库内登记</w:t>
      </w:r>
      <w:r>
        <w:rPr>
          <w:rFonts w:hint="eastAsia"/>
          <w:color w:val="auto"/>
          <w:sz w:val="24"/>
          <w:szCs w:val="24"/>
          <w:highlight w:val="none"/>
        </w:rPr>
        <w:t>的信息。</w:t>
      </w:r>
    </w:p>
    <w:p w14:paraId="50273179">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14:paraId="57587A84">
      <w:pPr>
        <w:spacing w:line="560" w:lineRule="exact"/>
        <w:ind w:firstLine="480" w:firstLineChars="200"/>
        <w:rPr>
          <w:color w:val="auto"/>
          <w:sz w:val="24"/>
          <w:szCs w:val="24"/>
          <w:highlight w:val="none"/>
          <w:u w:val="single"/>
        </w:rPr>
      </w:pPr>
      <w:r>
        <w:rPr>
          <w:rFonts w:hint="eastAsia"/>
          <w:color w:val="auto"/>
          <w:sz w:val="24"/>
          <w:szCs w:val="24"/>
          <w:highlight w:val="none"/>
        </w:rPr>
        <w:t>⑥未被列入拖欠农民工工资失信联合惩戒对象名单</w:t>
      </w:r>
      <w:r>
        <w:rPr>
          <w:rFonts w:hint="eastAsia"/>
          <w:color w:val="auto"/>
          <w:sz w:val="24"/>
          <w:szCs w:val="24"/>
          <w:highlight w:val="none"/>
          <w:lang w:val="en-US" w:eastAsia="zh-CN"/>
        </w:rPr>
        <w:t>和失信被执行人</w:t>
      </w:r>
      <w:r>
        <w:rPr>
          <w:rFonts w:hint="eastAsia"/>
          <w:color w:val="auto"/>
          <w:sz w:val="24"/>
          <w:szCs w:val="24"/>
          <w:highlight w:val="none"/>
          <w:lang w:eastAsia="zh-CN"/>
        </w:rPr>
        <w:t>。</w:t>
      </w:r>
      <w:r>
        <w:rPr>
          <w:rFonts w:hint="eastAsia"/>
          <w:color w:val="auto"/>
          <w:sz w:val="24"/>
          <w:szCs w:val="24"/>
          <w:highlight w:val="none"/>
          <w:u w:val="single"/>
          <w:lang w:eastAsia="zh-CN"/>
        </w:rPr>
        <w:t>本项评审投标人无需提供资料，按</w:t>
      </w:r>
      <w:r>
        <w:rPr>
          <w:rFonts w:hint="eastAsia"/>
          <w:color w:val="auto"/>
          <w:sz w:val="24"/>
          <w:szCs w:val="24"/>
          <w:highlight w:val="none"/>
          <w:u w:val="single"/>
          <w:lang w:val="en-US" w:eastAsia="zh-CN"/>
        </w:rPr>
        <w:t>投标截止时</w:t>
      </w:r>
      <w:r>
        <w:rPr>
          <w:rFonts w:hint="eastAsia"/>
          <w:color w:val="auto"/>
          <w:sz w:val="24"/>
          <w:szCs w:val="24"/>
          <w:highlight w:val="none"/>
          <w:u w:val="single"/>
          <w:lang w:eastAsia="zh-CN"/>
        </w:rPr>
        <w:t>广州交易集团有限公司（广州公共资源交易中心）交易系统比对的结果进行评审。</w:t>
      </w:r>
    </w:p>
    <w:p w14:paraId="1248488D">
      <w:pPr>
        <w:pStyle w:val="3"/>
        <w:keepNext w:val="0"/>
        <w:keepLines w:val="0"/>
        <w:spacing w:before="0" w:after="0" w:line="560" w:lineRule="exact"/>
        <w:rPr>
          <w:rFonts w:ascii="Times New Roman" w:hAnsi="Times New Roman"/>
          <w:color w:val="auto"/>
          <w:highlight w:val="none"/>
        </w:rPr>
      </w:pPr>
      <w:bookmarkStart w:id="7" w:name="_Toc527028844"/>
      <w:bookmarkStart w:id="8" w:name="_Toc511557028"/>
      <w:r>
        <w:rPr>
          <w:rFonts w:ascii="Times New Roman" w:hAnsi="Times New Roman"/>
          <w:color w:val="auto"/>
          <w:highlight w:val="none"/>
        </w:rPr>
        <w:t xml:space="preserve">4. </w:t>
      </w:r>
      <w:r>
        <w:rPr>
          <w:rFonts w:hint="eastAsia" w:ascii="Times New Roman" w:hAnsi="Times New Roman"/>
          <w:color w:val="auto"/>
          <w:highlight w:val="none"/>
        </w:rPr>
        <w:t>招标文件的获取</w:t>
      </w:r>
      <w:bookmarkEnd w:id="7"/>
      <w:bookmarkEnd w:id="8"/>
    </w:p>
    <w:p w14:paraId="502D394B">
      <w:pPr>
        <w:tabs>
          <w:tab w:val="left" w:pos="360"/>
        </w:tabs>
        <w:spacing w:line="5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4.1</w:t>
      </w:r>
      <w:r>
        <w:rPr>
          <w:rFonts w:hint="eastAsia" w:ascii="宋体" w:hAnsi="宋体" w:cs="宋体"/>
          <w:color w:val="auto"/>
          <w:sz w:val="24"/>
          <w:szCs w:val="24"/>
          <w:highlight w:val="none"/>
        </w:rPr>
        <w:t xml:space="preserve"> 凡有意参加投标者，请于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分（北京时间，下同），</w:t>
      </w:r>
      <w:r>
        <w:rPr>
          <w:rFonts w:hint="eastAsia" w:ascii="宋体" w:hAnsi="宋体" w:cs="宋体"/>
          <w:color w:val="auto"/>
          <w:sz w:val="24"/>
          <w:szCs w:val="24"/>
          <w:highlight w:val="none"/>
        </w:rPr>
        <w:t>登录</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网站（</w:t>
      </w:r>
      <w:r>
        <w:rPr>
          <w:rFonts w:ascii="宋体" w:hAnsi="宋体" w:cs="宋体"/>
          <w:color w:val="auto"/>
          <w:sz w:val="24"/>
          <w:szCs w:val="24"/>
          <w:highlight w:val="none"/>
        </w:rPr>
        <w:t>http//www.gzggzy.cn</w:t>
      </w:r>
      <w:r>
        <w:rPr>
          <w:rFonts w:hint="eastAsia" w:ascii="宋体" w:hAnsi="宋体" w:cs="宋体"/>
          <w:color w:val="auto"/>
          <w:sz w:val="24"/>
          <w:szCs w:val="24"/>
          <w:highlight w:val="none"/>
        </w:rPr>
        <w:t>）下载电子招标文件。</w:t>
      </w:r>
    </w:p>
    <w:p w14:paraId="24F72B5A">
      <w:pPr>
        <w:spacing w:line="5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4.2</w:t>
      </w:r>
      <w:r>
        <w:rPr>
          <w:rFonts w:hint="eastAsia" w:ascii="宋体" w:hAnsi="宋体" w:cs="宋体"/>
          <w:color w:val="auto"/>
          <w:sz w:val="24"/>
          <w:szCs w:val="24"/>
          <w:highlight w:val="none"/>
        </w:rPr>
        <w:t xml:space="preserve"> 发布招标公告时间</w:t>
      </w:r>
      <w:r>
        <w:rPr>
          <w:rFonts w:hint="eastAsia" w:ascii="宋体" w:hAnsi="宋体" w:cs="宋体"/>
          <w:color w:val="auto"/>
          <w:kern w:val="0"/>
          <w:sz w:val="24"/>
          <w:highlight w:val="none"/>
        </w:rPr>
        <w:t>（含本日）</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p>
    <w:p w14:paraId="435CDA9C">
      <w:pPr>
        <w:spacing w:line="5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注：本公告发布之日起开始发布招标文件，发布招标公告的时间为招标公告发出之日起至递交投标文件截止时间止,并从招标公告发布之日起开始计算备标时间。</w:t>
      </w:r>
    </w:p>
    <w:p w14:paraId="62FE319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4.2.1 投标人通过</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交易平台网站办理网上投标登记手续。按照交易平台关于全流程电子化项目的相关指南进行操作，具体详见</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网站。</w:t>
      </w:r>
    </w:p>
    <w:p w14:paraId="33F13D2C">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4.2.2 开标时间：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p>
    <w:p w14:paraId="5CF5C259">
      <w:pPr>
        <w:spacing w:line="5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4.3</w:t>
      </w:r>
      <w:r>
        <w:rPr>
          <w:rFonts w:hint="eastAsia" w:ascii="宋体" w:hAnsi="宋体" w:cs="宋体"/>
          <w:color w:val="auto"/>
          <w:sz w:val="24"/>
          <w:szCs w:val="24"/>
          <w:highlight w:val="none"/>
        </w:rPr>
        <w:t xml:space="preserve"> 本项目采用</w:t>
      </w:r>
      <w:r>
        <w:rPr>
          <w:rFonts w:hint="eastAsia" w:ascii="宋体" w:hAnsi="宋体" w:cs="宋体"/>
          <w:b/>
          <w:bCs/>
          <w:color w:val="auto"/>
          <w:sz w:val="24"/>
          <w:szCs w:val="24"/>
          <w:highlight w:val="none"/>
          <w:u w:val="single"/>
        </w:rPr>
        <w:t>资格后审</w:t>
      </w:r>
      <w:r>
        <w:rPr>
          <w:rFonts w:hint="eastAsia" w:ascii="宋体" w:hAnsi="宋体" w:cs="宋体"/>
          <w:color w:val="auto"/>
          <w:sz w:val="24"/>
          <w:szCs w:val="24"/>
          <w:highlight w:val="none"/>
        </w:rPr>
        <w:t>方式。</w:t>
      </w:r>
    </w:p>
    <w:p w14:paraId="2801CD9B">
      <w:pPr>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潜在投标人或利害关系人对本招标公告及招标文件有异议的，应当在投标截止时间10日前向招标人书面提出。</w:t>
      </w:r>
    </w:p>
    <w:p w14:paraId="0939B80C">
      <w:pPr>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异议受理部门：</w:t>
      </w:r>
      <w:r>
        <w:rPr>
          <w:rFonts w:hint="eastAsia" w:ascii="宋体" w:hAnsi="宋体" w:eastAsia="宋体" w:cs="宋体"/>
          <w:color w:val="auto"/>
          <w:sz w:val="24"/>
          <w:szCs w:val="24"/>
          <w:highlight w:val="none"/>
          <w:u w:val="single"/>
        </w:rPr>
        <w:t>广州市越秀区代建项目管理中心</w:t>
      </w:r>
    </w:p>
    <w:p w14:paraId="66246615">
      <w:pPr>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异议受理电话：</w:t>
      </w:r>
      <w:r>
        <w:rPr>
          <w:rFonts w:hint="eastAsia" w:ascii="宋体" w:hAnsi="宋体" w:eastAsia="宋体" w:cs="宋体"/>
          <w:color w:val="auto"/>
          <w:sz w:val="24"/>
          <w:szCs w:val="24"/>
          <w:highlight w:val="none"/>
          <w:u w:val="single"/>
        </w:rPr>
        <w:t>020-83520212</w:t>
      </w:r>
    </w:p>
    <w:p w14:paraId="6C0ADFA6">
      <w:pPr>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广州市越秀区东华西路永胜街51号</w:t>
      </w:r>
    </w:p>
    <w:p w14:paraId="7E6EEEC3">
      <w:pPr>
        <w:snapToGrid w:val="0"/>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BF80C9F">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注：电子招投标操作流程详见广州公共资源交易中心网站发布的最新版操作指引。</w:t>
      </w:r>
    </w:p>
    <w:p w14:paraId="6A050439">
      <w:pPr>
        <w:pStyle w:val="3"/>
        <w:keepNext w:val="0"/>
        <w:keepLines w:val="0"/>
        <w:spacing w:before="0" w:after="0" w:line="560" w:lineRule="exact"/>
        <w:rPr>
          <w:rFonts w:ascii="Times New Roman" w:hAnsi="Times New Roman"/>
          <w:color w:val="auto"/>
          <w:highlight w:val="none"/>
        </w:rPr>
      </w:pPr>
      <w:bookmarkStart w:id="9" w:name="_Toc511557029"/>
      <w:bookmarkStart w:id="10" w:name="_Toc527028845"/>
      <w:r>
        <w:rPr>
          <w:rFonts w:hint="eastAsia" w:ascii="Times New Roman" w:hAnsi="Times New Roman"/>
          <w:color w:val="auto"/>
          <w:highlight w:val="none"/>
        </w:rPr>
        <w:t>5</w:t>
      </w:r>
      <w:r>
        <w:rPr>
          <w:rFonts w:ascii="Times New Roman" w:hAnsi="Times New Roman"/>
          <w:color w:val="auto"/>
          <w:highlight w:val="none"/>
        </w:rPr>
        <w:t xml:space="preserve">. </w:t>
      </w:r>
      <w:r>
        <w:rPr>
          <w:rFonts w:hint="eastAsia" w:ascii="Times New Roman" w:hAnsi="Times New Roman"/>
          <w:color w:val="auto"/>
          <w:highlight w:val="none"/>
        </w:rPr>
        <w:t>投标文件的递交</w:t>
      </w:r>
      <w:bookmarkEnd w:id="9"/>
      <w:bookmarkEnd w:id="10"/>
    </w:p>
    <w:p w14:paraId="197AA033">
      <w:pPr>
        <w:snapToGrid w:val="0"/>
        <w:spacing w:line="560" w:lineRule="exact"/>
        <w:ind w:firstLine="480" w:firstLineChars="200"/>
        <w:rPr>
          <w:rFonts w:ascii="宋体" w:hAnsi="宋体" w:cs="宋体"/>
          <w:color w:val="auto"/>
          <w:sz w:val="24"/>
          <w:szCs w:val="24"/>
          <w:highlight w:val="none"/>
        </w:rPr>
      </w:pPr>
      <w:bookmarkStart w:id="11" w:name="_Toc511557030"/>
      <w:r>
        <w:rPr>
          <w:rFonts w:ascii="宋体" w:hAnsi="宋体" w:cs="宋体"/>
          <w:color w:val="auto"/>
          <w:sz w:val="24"/>
          <w:szCs w:val="24"/>
          <w:highlight w:val="none"/>
        </w:rPr>
        <w:t xml:space="preserve">5.1 </w:t>
      </w:r>
      <w:r>
        <w:rPr>
          <w:rFonts w:hint="eastAsia" w:ascii="宋体" w:hAnsi="宋体" w:cs="宋体"/>
          <w:color w:val="auto"/>
          <w:sz w:val="24"/>
          <w:szCs w:val="24"/>
          <w:highlight w:val="none"/>
        </w:rPr>
        <w:t>投标文件递交的截止时间（投标截止时间，下同）为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分，投标人应在截止时间前通过</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none"/>
        </w:rPr>
        <w:t>网站（</w:t>
      </w:r>
      <w:r>
        <w:rPr>
          <w:rFonts w:ascii="宋体" w:hAnsi="宋体" w:cs="宋体"/>
          <w:color w:val="auto"/>
          <w:sz w:val="24"/>
          <w:szCs w:val="24"/>
          <w:highlight w:val="none"/>
          <w:u w:val="none"/>
        </w:rPr>
        <w:t>http://www.gzggzy.cn</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rPr>
        <w:t>递交电子投标文件。</w:t>
      </w:r>
    </w:p>
    <w:p w14:paraId="3304DBF3">
      <w:pPr>
        <w:snapToGrid w:val="0"/>
        <w:spacing w:line="560" w:lineRule="exact"/>
        <w:ind w:left="239" w:leftChars="114"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递交备用投标文件电子光盘的规定：时间为：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分；地点：</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开标室</w:t>
      </w:r>
      <w:r>
        <w:rPr>
          <w:rFonts w:hint="eastAsia" w:ascii="宋体" w:hAnsi="宋体" w:cs="宋体"/>
          <w:color w:val="auto"/>
          <w:sz w:val="24"/>
          <w:szCs w:val="24"/>
          <w:highlight w:val="none"/>
        </w:rPr>
        <w:t>。（电子光盘需按规定封装。投标人将数据刻录到光盘之后，投标前自行检查文件是否可以读取）。</w:t>
      </w:r>
    </w:p>
    <w:p w14:paraId="78103A60">
      <w:pPr>
        <w:spacing w:line="5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投标人完成电子投标上传后，电子招标投标交易平台即时向投标人发出递交回执通知。递交时间以递交回执通知载明的传输时间为准。</w:t>
      </w:r>
    </w:p>
    <w:p w14:paraId="617CD3AA">
      <w:pPr>
        <w:spacing w:line="5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5.3 </w:t>
      </w:r>
      <w:r>
        <w:rPr>
          <w:rFonts w:hint="eastAsia" w:ascii="宋体" w:hAnsi="宋体" w:cs="宋体"/>
          <w:color w:val="auto"/>
          <w:sz w:val="24"/>
          <w:szCs w:val="24"/>
          <w:highlight w:val="none"/>
        </w:rPr>
        <w:t>逾期送达的投标文件，电子招标投标交易平台将予以拒收。逾期未上传成功的电子投标文件，招标人拒绝接收。</w:t>
      </w:r>
    </w:p>
    <w:p w14:paraId="2F3304B1">
      <w:pPr>
        <w:spacing w:line="560" w:lineRule="exact"/>
        <w:ind w:firstLine="480" w:firstLineChars="200"/>
        <w:rPr>
          <w:color w:val="auto"/>
          <w:sz w:val="24"/>
          <w:szCs w:val="24"/>
          <w:highlight w:val="none"/>
        </w:rPr>
      </w:pPr>
      <w:r>
        <w:rPr>
          <w:rFonts w:hint="eastAsia" w:ascii="宋体" w:hAnsi="宋体" w:cs="宋体"/>
          <w:color w:val="auto"/>
          <w:sz w:val="24"/>
          <w:szCs w:val="24"/>
          <w:highlight w:val="none"/>
        </w:rPr>
        <w:t>5.4 递交投标文件截止时间及开标时间是否有变化，请密切留意交易中心网站中的相关信息。递交投标文件截止时间后，投标文件评审时间因故推迟的，相关资审信息仍以原递交投标文件截止时间的信息为准。</w:t>
      </w:r>
    </w:p>
    <w:p w14:paraId="599AC5B4">
      <w:pPr>
        <w:pStyle w:val="3"/>
        <w:keepNext w:val="0"/>
        <w:keepLines w:val="0"/>
        <w:spacing w:before="0" w:after="0" w:line="560" w:lineRule="exact"/>
        <w:rPr>
          <w:rFonts w:ascii="Times New Roman" w:hAnsi="Times New Roman"/>
          <w:color w:val="auto"/>
          <w:highlight w:val="none"/>
        </w:rPr>
      </w:pPr>
      <w:bookmarkStart w:id="12" w:name="_Toc527028846"/>
      <w:r>
        <w:rPr>
          <w:rFonts w:hint="eastAsia" w:ascii="Times New Roman" w:hAnsi="Times New Roman"/>
          <w:color w:val="auto"/>
          <w:highlight w:val="none"/>
        </w:rPr>
        <w:t>6. 发布公告的媒介</w:t>
      </w:r>
      <w:bookmarkEnd w:id="11"/>
      <w:bookmarkEnd w:id="12"/>
    </w:p>
    <w:p w14:paraId="605DEF83">
      <w:pPr>
        <w:spacing w:line="560" w:lineRule="exact"/>
        <w:ind w:firstLine="480" w:firstLineChars="200"/>
        <w:rPr>
          <w:rFonts w:hint="eastAsia" w:ascii="宋体" w:hAnsi="宋体" w:eastAsia="宋体" w:cs="宋体"/>
          <w:color w:val="auto"/>
          <w:sz w:val="24"/>
          <w:szCs w:val="24"/>
          <w:highlight w:val="none"/>
        </w:rPr>
      </w:pPr>
      <w:bookmarkStart w:id="13" w:name="_Toc527028847"/>
      <w:bookmarkStart w:id="14" w:name="_Toc511557031"/>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网站（http://www.gzggzy.cn）、广东省招标投标监管网（https://zbtb.gd.gov.cn/#/index）和中国招标投标公共服务平台（http：//www.cebpubservice.com/）</w:t>
      </w:r>
      <w:r>
        <w:rPr>
          <w:rFonts w:hint="eastAsia" w:ascii="宋体" w:hAnsi="宋体" w:eastAsia="宋体" w:cs="宋体"/>
          <w:color w:val="auto"/>
          <w:sz w:val="24"/>
          <w:szCs w:val="24"/>
          <w:highlight w:val="none"/>
        </w:rPr>
        <w:t>等媒体发布上发布，本公告的修改、补充，在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网站发布。本公告在各媒体发布的文本如有不同之处，以在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网站发布的文本为准。</w:t>
      </w:r>
    </w:p>
    <w:p w14:paraId="44AC57BE">
      <w:pPr>
        <w:pStyle w:val="3"/>
        <w:keepNext w:val="0"/>
        <w:keepLines w:val="0"/>
        <w:spacing w:before="0" w:after="0" w:line="560" w:lineRule="exact"/>
        <w:rPr>
          <w:rFonts w:ascii="Times New Roman" w:hAnsi="Times New Roman"/>
          <w:color w:val="auto"/>
          <w:highlight w:val="none"/>
        </w:rPr>
      </w:pPr>
      <w:r>
        <w:rPr>
          <w:rFonts w:hint="eastAsia" w:ascii="Times New Roman" w:hAnsi="Times New Roman"/>
          <w:color w:val="auto"/>
          <w:highlight w:val="none"/>
        </w:rPr>
        <w:t>7. 联系方式</w:t>
      </w:r>
      <w:bookmarkEnd w:id="13"/>
      <w:bookmarkEnd w:id="14"/>
    </w:p>
    <w:tbl>
      <w:tblPr>
        <w:tblStyle w:val="9"/>
        <w:tblW w:w="8533" w:type="dxa"/>
        <w:tblInd w:w="0" w:type="dxa"/>
        <w:tblLayout w:type="fixed"/>
        <w:tblCellMar>
          <w:top w:w="0" w:type="dxa"/>
          <w:left w:w="108" w:type="dxa"/>
          <w:bottom w:w="0" w:type="dxa"/>
          <w:right w:w="108" w:type="dxa"/>
        </w:tblCellMar>
      </w:tblPr>
      <w:tblGrid>
        <w:gridCol w:w="4272"/>
        <w:gridCol w:w="4261"/>
      </w:tblGrid>
      <w:tr w14:paraId="62474F3A">
        <w:tblPrEx>
          <w:tblCellMar>
            <w:top w:w="0" w:type="dxa"/>
            <w:left w:w="108" w:type="dxa"/>
            <w:bottom w:w="0" w:type="dxa"/>
            <w:right w:w="108" w:type="dxa"/>
          </w:tblCellMar>
        </w:tblPrEx>
        <w:tc>
          <w:tcPr>
            <w:tcW w:w="4272" w:type="dxa"/>
          </w:tcPr>
          <w:p w14:paraId="2AD4B2A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bookmarkStart w:id="15" w:name="_Toc361508562"/>
            <w:bookmarkEnd w:id="15"/>
            <w:bookmarkStart w:id="16" w:name="_Toc369531498"/>
            <w:bookmarkEnd w:id="16"/>
            <w:bookmarkStart w:id="17" w:name="_Toc247527535"/>
            <w:bookmarkEnd w:id="17"/>
            <w:bookmarkStart w:id="18" w:name="_Toc384308188"/>
            <w:bookmarkEnd w:id="18"/>
            <w:bookmarkStart w:id="19" w:name="_Toc247513934"/>
            <w:bookmarkEnd w:id="19"/>
            <w:bookmarkStart w:id="20" w:name="_Toc247527536"/>
            <w:bookmarkEnd w:id="20"/>
            <w:bookmarkStart w:id="21" w:name="_Toc369531495"/>
            <w:bookmarkEnd w:id="21"/>
            <w:bookmarkStart w:id="22" w:name="_Toc247513935"/>
            <w:bookmarkEnd w:id="22"/>
            <w:bookmarkStart w:id="23" w:name="_Toc300834930"/>
            <w:bookmarkEnd w:id="23"/>
            <w:bookmarkStart w:id="24" w:name="_Toc384308187"/>
            <w:bookmarkEnd w:id="24"/>
            <w:bookmarkStart w:id="25" w:name="_Toc17972"/>
            <w:bookmarkEnd w:id="25"/>
            <w:bookmarkStart w:id="26" w:name="_Toc152042289"/>
            <w:bookmarkEnd w:id="26"/>
            <w:bookmarkStart w:id="27" w:name="_Toc10785"/>
            <w:bookmarkEnd w:id="27"/>
            <w:bookmarkStart w:id="28" w:name="_Toc361508560"/>
            <w:bookmarkEnd w:id="28"/>
            <w:bookmarkStart w:id="29" w:name="_Toc152045512"/>
            <w:bookmarkEnd w:id="29"/>
            <w:bookmarkStart w:id="30" w:name="_Toc384308185"/>
            <w:bookmarkEnd w:id="30"/>
            <w:bookmarkStart w:id="31" w:name="_Toc369531497"/>
            <w:bookmarkEnd w:id="31"/>
            <w:bookmarkStart w:id="32" w:name="_Toc152045513"/>
            <w:bookmarkEnd w:id="32"/>
            <w:bookmarkStart w:id="33" w:name="_Toc352691455"/>
            <w:bookmarkEnd w:id="33"/>
            <w:bookmarkStart w:id="34" w:name="_Toc144974481"/>
            <w:bookmarkEnd w:id="34"/>
            <w:bookmarkStart w:id="35" w:name="_Toc352691456"/>
            <w:bookmarkEnd w:id="35"/>
            <w:bookmarkStart w:id="36" w:name="_Toc30817"/>
            <w:bookmarkEnd w:id="36"/>
            <w:bookmarkStart w:id="37" w:name="_Toc300834929"/>
            <w:bookmarkEnd w:id="37"/>
            <w:bookmarkStart w:id="38" w:name="_Toc152042288"/>
            <w:bookmarkEnd w:id="38"/>
            <w:bookmarkStart w:id="39" w:name="_Toc361508563"/>
            <w:bookmarkEnd w:id="39"/>
            <w:bookmarkStart w:id="40" w:name="_Toc300834927"/>
            <w:bookmarkEnd w:id="40"/>
            <w:bookmarkStart w:id="41" w:name="_Toc144974480"/>
            <w:bookmarkEnd w:id="41"/>
            <w:bookmarkStart w:id="42" w:name="_Toc352691453"/>
            <w:bookmarkEnd w:id="42"/>
            <w:r>
              <w:rPr>
                <w:rFonts w:hint="eastAsia" w:ascii="宋体" w:hAnsi="宋体" w:cs="宋体"/>
                <w:color w:val="auto"/>
                <w:sz w:val="24"/>
                <w:szCs w:val="24"/>
                <w:highlight w:val="none"/>
              </w:rPr>
              <w:t>招标人：</w:t>
            </w:r>
            <w:r>
              <w:rPr>
                <w:rFonts w:hint="eastAsia" w:ascii="宋体" w:hAnsi="宋体"/>
                <w:color w:val="auto"/>
                <w:sz w:val="24"/>
                <w:highlight w:val="none"/>
                <w:u w:val="single"/>
              </w:rPr>
              <w:t>广州市越秀区代建项目管理中</w:t>
            </w:r>
            <w:r>
              <w:rPr>
                <w:rFonts w:hint="eastAsia" w:ascii="宋体" w:hAnsi="宋体"/>
                <w:color w:val="auto"/>
                <w:sz w:val="24"/>
                <w:highlight w:val="none"/>
                <w:u w:val="single"/>
                <w:lang w:val="en-US" w:eastAsia="zh-CN"/>
              </w:rPr>
              <w:t>心</w:t>
            </w:r>
          </w:p>
        </w:tc>
        <w:tc>
          <w:tcPr>
            <w:tcW w:w="4261" w:type="dxa"/>
          </w:tcPr>
          <w:p w14:paraId="110C47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招标代理机构：</w:t>
            </w:r>
            <w:r>
              <w:rPr>
                <w:rFonts w:hint="eastAsia" w:ascii="宋体" w:hAnsi="宋体"/>
                <w:color w:val="auto"/>
                <w:sz w:val="24"/>
                <w:highlight w:val="none"/>
                <w:u w:val="single"/>
              </w:rPr>
              <w:t>广州珠江监理咨询集团有限公司</w:t>
            </w:r>
          </w:p>
        </w:tc>
      </w:tr>
      <w:tr w14:paraId="735B0150">
        <w:tblPrEx>
          <w:tblCellMar>
            <w:top w:w="0" w:type="dxa"/>
            <w:left w:w="108" w:type="dxa"/>
            <w:bottom w:w="0" w:type="dxa"/>
            <w:right w:w="108" w:type="dxa"/>
          </w:tblCellMar>
        </w:tblPrEx>
        <w:tc>
          <w:tcPr>
            <w:tcW w:w="4272" w:type="dxa"/>
          </w:tcPr>
          <w:p w14:paraId="77F1E1F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广州市越秀区东华西路永胜街51号</w:t>
            </w:r>
          </w:p>
        </w:tc>
        <w:tc>
          <w:tcPr>
            <w:tcW w:w="4261" w:type="dxa"/>
          </w:tcPr>
          <w:p w14:paraId="570B907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olor w:val="auto"/>
                <w:sz w:val="24"/>
                <w:highlight w:val="none"/>
                <w:u w:val="single"/>
              </w:rPr>
              <w:t>广州市越秀区永泰路50号101房</w:t>
            </w:r>
          </w:p>
        </w:tc>
      </w:tr>
      <w:tr w14:paraId="05C771C9">
        <w:tblPrEx>
          <w:tblCellMar>
            <w:top w:w="0" w:type="dxa"/>
            <w:left w:w="108" w:type="dxa"/>
            <w:bottom w:w="0" w:type="dxa"/>
            <w:right w:w="108" w:type="dxa"/>
          </w:tblCellMar>
        </w:tblPrEx>
        <w:tc>
          <w:tcPr>
            <w:tcW w:w="4272" w:type="dxa"/>
          </w:tcPr>
          <w:p w14:paraId="6D3C04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olor w:val="auto"/>
                <w:sz w:val="24"/>
                <w:highlight w:val="none"/>
                <w:u w:val="single"/>
              </w:rPr>
              <w:t>杜工</w:t>
            </w:r>
          </w:p>
        </w:tc>
        <w:tc>
          <w:tcPr>
            <w:tcW w:w="4261" w:type="dxa"/>
          </w:tcPr>
          <w:p w14:paraId="29849F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olor w:val="auto"/>
                <w:sz w:val="24"/>
                <w:highlight w:val="none"/>
                <w:u w:val="single"/>
                <w:lang w:val="en-US" w:eastAsia="zh-CN"/>
              </w:rPr>
              <w:t>张工、叶工</w:t>
            </w:r>
          </w:p>
        </w:tc>
      </w:tr>
      <w:tr w14:paraId="1190BA8A">
        <w:tblPrEx>
          <w:tblCellMar>
            <w:top w:w="0" w:type="dxa"/>
            <w:left w:w="108" w:type="dxa"/>
            <w:bottom w:w="0" w:type="dxa"/>
            <w:right w:w="108" w:type="dxa"/>
          </w:tblCellMar>
        </w:tblPrEx>
        <w:tc>
          <w:tcPr>
            <w:tcW w:w="4272" w:type="dxa"/>
          </w:tcPr>
          <w:p w14:paraId="4C7BE6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020-83520212</w:t>
            </w:r>
          </w:p>
        </w:tc>
        <w:tc>
          <w:tcPr>
            <w:tcW w:w="4261" w:type="dxa"/>
          </w:tcPr>
          <w:p w14:paraId="2FE3B6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w:t>
            </w:r>
            <w:r>
              <w:rPr>
                <w:rFonts w:ascii="宋体" w:hAnsi="宋体" w:cs="宋体"/>
                <w:color w:val="auto"/>
                <w:sz w:val="24"/>
                <w:highlight w:val="none"/>
                <w:u w:val="single"/>
              </w:rPr>
              <w:t>020-83492175</w:t>
            </w:r>
            <w:r>
              <w:rPr>
                <w:rFonts w:hint="eastAsia" w:ascii="宋体" w:hAnsi="宋体" w:cs="宋体"/>
                <w:color w:val="auto"/>
                <w:sz w:val="24"/>
                <w:highlight w:val="none"/>
                <w:u w:val="single"/>
                <w:lang w:val="en-US" w:eastAsia="zh-CN"/>
              </w:rPr>
              <w:t>-813</w:t>
            </w:r>
          </w:p>
        </w:tc>
      </w:tr>
    </w:tbl>
    <w:p w14:paraId="7C470E25">
      <w:pPr>
        <w:widowControl/>
        <w:adjustRightInd w:val="0"/>
        <w:snapToGrid w:val="0"/>
        <w:spacing w:line="360" w:lineRule="auto"/>
        <w:ind w:firstLine="482" w:firstLineChars="200"/>
        <w:rPr>
          <w:rFonts w:ascii="宋体" w:hAnsi="宋体" w:cs="宋体"/>
          <w:b/>
          <w:bCs/>
          <w:color w:val="auto"/>
          <w:kern w:val="0"/>
          <w:sz w:val="24"/>
          <w:szCs w:val="24"/>
          <w:highlight w:val="none"/>
          <w:shd w:val="clear" w:color="auto" w:fill="FFFFFF"/>
        </w:rPr>
      </w:pPr>
    </w:p>
    <w:p w14:paraId="6E2150D4">
      <w:pPr>
        <w:widowControl/>
        <w:adjustRightInd w:val="0"/>
        <w:snapToGrid w:val="0"/>
        <w:spacing w:line="360" w:lineRule="auto"/>
        <w:ind w:firstLine="480" w:firstLineChars="200"/>
        <w:rPr>
          <w:rFonts w:ascii="宋体" w:hAnsi="宋体" w:cs="宋体"/>
          <w:color w:val="auto"/>
          <w:sz w:val="24"/>
          <w:szCs w:val="24"/>
          <w:highlight w:val="none"/>
          <w:u w:val="single"/>
        </w:rPr>
      </w:pPr>
    </w:p>
    <w:p w14:paraId="09F55C9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招标监督机构：广州市越秀区代建项目管理中心</w:t>
      </w:r>
    </w:p>
    <w:p w14:paraId="75B75072">
      <w:pPr>
        <w:keepNext w:val="0"/>
        <w:keepLines w:val="0"/>
        <w:pageBreakBefore w:val="0"/>
        <w:kinsoku/>
        <w:wordWrap/>
        <w:overflowPunct/>
        <w:topLinePunct w:val="0"/>
        <w:autoSpaceDE/>
        <w:autoSpaceDN/>
        <w:bidi w:val="0"/>
        <w:spacing w:line="56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single"/>
        </w:rPr>
        <w:t>监督电话：</w:t>
      </w:r>
      <w:r>
        <w:rPr>
          <w:rFonts w:ascii="宋体" w:hAnsi="宋体"/>
          <w:color w:val="auto"/>
          <w:kern w:val="0"/>
          <w:sz w:val="24"/>
          <w:highlight w:val="none"/>
          <w:u w:val="single"/>
        </w:rPr>
        <w:t>020-</w:t>
      </w:r>
      <w:r>
        <w:rPr>
          <w:rFonts w:hint="eastAsia" w:ascii="宋体" w:hAnsi="宋体"/>
          <w:color w:val="auto"/>
          <w:kern w:val="0"/>
          <w:sz w:val="24"/>
          <w:highlight w:val="none"/>
          <w:u w:val="single"/>
        </w:rPr>
        <w:t>8352021</w:t>
      </w:r>
      <w:r>
        <w:rPr>
          <w:rFonts w:hint="eastAsia" w:ascii="宋体" w:hAnsi="宋体"/>
          <w:color w:val="auto"/>
          <w:kern w:val="0"/>
          <w:sz w:val="24"/>
          <w:highlight w:val="none"/>
          <w:u w:val="single"/>
          <w:lang w:val="en-US" w:eastAsia="zh-CN"/>
        </w:rPr>
        <w:t>2</w:t>
      </w:r>
    </w:p>
    <w:p w14:paraId="2680D2AA">
      <w:pPr>
        <w:spacing w:line="560" w:lineRule="exact"/>
        <w:rPr>
          <w:rFonts w:ascii="宋体" w:hAnsi="宋体" w:cs="宋体"/>
          <w:color w:val="auto"/>
          <w:highlight w:val="none"/>
        </w:rPr>
        <w:sectPr>
          <w:footerReference r:id="rId3" w:type="default"/>
          <w:pgSz w:w="12240" w:h="15840"/>
          <w:pgMar w:top="1440" w:right="1800" w:bottom="1440" w:left="1800" w:header="850" w:footer="567" w:gutter="0"/>
          <w:pgNumType w:start="0"/>
          <w:cols w:space="720" w:num="1"/>
          <w:titlePg/>
          <w:docGrid w:linePitch="286" w:charSpace="0"/>
        </w:sectPr>
      </w:pPr>
    </w:p>
    <w:p w14:paraId="67262781">
      <w:pPr>
        <w:spacing w:line="56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附件一：</w:t>
      </w:r>
    </w:p>
    <w:p w14:paraId="0C9A5CAA">
      <w:pPr>
        <w:widowControl/>
        <w:snapToGrid w:val="0"/>
        <w:spacing w:line="560" w:lineRule="exact"/>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投标人声明</w:t>
      </w:r>
    </w:p>
    <w:p w14:paraId="3D0CC597">
      <w:pPr>
        <w:keepNext w:val="0"/>
        <w:keepLines w:val="0"/>
        <w:pageBreakBefore w:val="0"/>
        <w:kinsoku/>
        <w:wordWrap/>
        <w:overflowPunct/>
        <w:topLinePunct w:val="0"/>
        <w:autoSpaceDE/>
        <w:autoSpaceDN/>
        <w:bidi w:val="0"/>
        <w:adjustRightInd/>
        <w:snapToGrid w:val="0"/>
        <w:spacing w:line="48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本招标项目招标人及招标监管机构：</w:t>
      </w:r>
    </w:p>
    <w:p w14:paraId="192FB304">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本公司就参加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项目投标工作，作出郑重声明：</w:t>
      </w:r>
    </w:p>
    <w:p w14:paraId="30C332DB">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一、本公司保证投标登记材料及其后提供的一切材料都是真实的。如我司成为本项目中标候选人，我司同意并授权招标人将我司投标文件商务部分的人员、业绩、奖项等资料进行公开。</w:t>
      </w:r>
    </w:p>
    <w:p w14:paraId="4003FE54">
      <w:pPr>
        <w:keepNext w:val="0"/>
        <w:keepLines w:val="0"/>
        <w:pageBreakBefore w:val="0"/>
        <w:kinsoku/>
        <w:wordWrap/>
        <w:overflowPunct/>
        <w:topLinePunct w:val="0"/>
        <w:autoSpaceDE/>
        <w:autoSpaceDN/>
        <w:bidi w:val="0"/>
        <w:adjustRightInd/>
        <w:snapToGrid w:val="0"/>
        <w:spacing w:line="480" w:lineRule="exact"/>
        <w:ind w:firstLine="482" w:firstLineChars="200"/>
        <w:textAlignment w:val="auto"/>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14E7C219">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三、本公司不存在招标文件第二章投标人须知第1.4.3项所规定的任何一种情形。</w:t>
      </w:r>
    </w:p>
    <w:p w14:paraId="2E64F620">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四、本公司及其有隶属关系的机构，没有参加本项目招标文件的编写工作；本公司与本次招标的招标代理机构没有隶属关系或其他利害关系。</w:t>
      </w:r>
    </w:p>
    <w:p w14:paraId="68C0F565">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五、本公司承诺，中标后严格执行安全生产相关管理规定。</w:t>
      </w:r>
    </w:p>
    <w:p w14:paraId="2C7F7773">
      <w:pPr>
        <w:keepNext w:val="0"/>
        <w:keepLines w:val="0"/>
        <w:pageBreakBefore w:val="0"/>
        <w:kinsoku/>
        <w:wordWrap/>
        <w:overflowPunct/>
        <w:topLinePunct w:val="0"/>
        <w:autoSpaceDE/>
        <w:autoSpaceDN/>
        <w:bidi w:val="0"/>
        <w:adjustRightInd/>
        <w:spacing w:line="480" w:lineRule="exact"/>
        <w:ind w:firstLine="482" w:firstLineChars="200"/>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六、与本公司单位负责人为同一人或者与本公司存在控股、管理关系的其他单位包括：</w:t>
      </w:r>
      <w:r>
        <w:rPr>
          <w:rFonts w:hint="eastAsia" w:ascii="宋体" w:hAnsi="宋体" w:cs="宋体"/>
          <w:b/>
          <w:color w:val="auto"/>
          <w:kern w:val="0"/>
          <w:sz w:val="24"/>
          <w:szCs w:val="24"/>
          <w:highlight w:val="none"/>
          <w:u w:val="single"/>
        </w:rPr>
        <w:t xml:space="preserve">        </w:t>
      </w:r>
      <w:r>
        <w:rPr>
          <w:rFonts w:hint="eastAsia" w:ascii="宋体" w:hAnsi="宋体" w:cs="宋体"/>
          <w:b/>
          <w:color w:val="auto"/>
          <w:kern w:val="0"/>
          <w:sz w:val="24"/>
          <w:szCs w:val="24"/>
          <w:highlight w:val="none"/>
        </w:rPr>
        <w:t>。（注：本条由投标人如实填写，如有，应列出全部满足招标公告资质要求的相关单位的名称；如无，则填写“无”。若投标人未列全符合相关条件的单位，但同时未列全的相关单位未参与本项目投标的，不视为该投标人违反了招标公告</w:t>
      </w:r>
      <w:r>
        <w:rPr>
          <w:rFonts w:hint="eastAsia" w:ascii="宋体" w:hAnsi="宋体" w:cs="宋体"/>
          <w:b/>
          <w:color w:val="auto"/>
          <w:kern w:val="0"/>
          <w:sz w:val="24"/>
          <w:szCs w:val="24"/>
          <w:highlight w:val="none"/>
          <w:lang w:val="en-US" w:eastAsia="zh-CN"/>
        </w:rPr>
        <w:t>3.4</w:t>
      </w:r>
      <w:r>
        <w:rPr>
          <w:rFonts w:hint="eastAsia" w:ascii="宋体" w:hAnsi="宋体" w:cs="宋体"/>
          <w:b/>
          <w:color w:val="auto"/>
          <w:kern w:val="0"/>
          <w:sz w:val="24"/>
          <w:szCs w:val="24"/>
          <w:highlight w:val="none"/>
        </w:rPr>
        <w:t>第</w:t>
      </w:r>
      <w:r>
        <w:rPr>
          <w:rFonts w:hint="eastAsia" w:ascii="宋体" w:hAnsi="宋体" w:eastAsia="宋体" w:cs="宋体"/>
          <w:b/>
          <w:color w:val="auto"/>
          <w:kern w:val="0"/>
          <w:sz w:val="24"/>
          <w:szCs w:val="24"/>
          <w:highlight w:val="none"/>
        </w:rPr>
        <w:t>⑥</w:t>
      </w:r>
      <w:r>
        <w:rPr>
          <w:rFonts w:hint="eastAsia" w:ascii="宋体" w:hAnsi="宋体" w:cs="宋体"/>
          <w:b/>
          <w:color w:val="auto"/>
          <w:kern w:val="0"/>
          <w:sz w:val="24"/>
          <w:szCs w:val="24"/>
          <w:highlight w:val="none"/>
        </w:rPr>
        <w:t>点的规定，不作为对其投标文件进行无效标处理的依据。）</w:t>
      </w:r>
    </w:p>
    <w:p w14:paraId="5FD0DFF7">
      <w:pPr>
        <w:keepNext w:val="0"/>
        <w:keepLines w:val="0"/>
        <w:pageBreakBefore w:val="0"/>
        <w:kinsoku/>
        <w:wordWrap/>
        <w:overflowPunct/>
        <w:topLinePunct w:val="0"/>
        <w:autoSpaceDE/>
        <w:autoSpaceDN/>
        <w:bidi w:val="0"/>
        <w:adjustRightInd/>
        <w:snapToGrid w:val="0"/>
        <w:spacing w:line="480" w:lineRule="exact"/>
        <w:ind w:firstLine="482" w:firstLineChars="200"/>
        <w:textAlignment w:val="auto"/>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本公司违反上述承诺，或本声明陈述与事实不符，经查实，本公司愿意接受公开通报</w:t>
      </w:r>
      <w:r>
        <w:rPr>
          <w:rFonts w:hint="eastAsia" w:ascii="宋体" w:hAnsi="宋体" w:cs="宋体"/>
          <w:color w:val="auto"/>
          <w:kern w:val="0"/>
          <w:sz w:val="24"/>
          <w:szCs w:val="24"/>
          <w:highlight w:val="none"/>
        </w:rPr>
        <w:t>，承担由此带来的一切后果。</w:t>
      </w:r>
    </w:p>
    <w:p w14:paraId="5DF1D5A2">
      <w:pPr>
        <w:keepNext w:val="0"/>
        <w:keepLines w:val="0"/>
        <w:pageBreakBefore w:val="0"/>
        <w:widowControl/>
        <w:shd w:val="clear" w:color="auto" w:fill="FFFFFF"/>
        <w:kinsoku/>
        <w:wordWrap/>
        <w:overflowPunct/>
        <w:topLinePunct w:val="0"/>
        <w:autoSpaceDE/>
        <w:autoSpaceDN/>
        <w:bidi w:val="0"/>
        <w:adjustRightInd/>
        <w:spacing w:line="480" w:lineRule="exact"/>
        <w:ind w:firstLine="480" w:firstLineChars="200"/>
        <w:textAlignment w:val="auto"/>
        <w:rPr>
          <w:color w:val="auto"/>
          <w:highlight w:val="none"/>
        </w:rPr>
      </w:pPr>
      <w:r>
        <w:rPr>
          <w:rFonts w:hint="eastAsia" w:ascii="宋体" w:hAnsi="宋体" w:cs="宋体"/>
          <w:color w:val="auto"/>
          <w:kern w:val="0"/>
          <w:sz w:val="24"/>
          <w:szCs w:val="24"/>
          <w:highlight w:val="none"/>
        </w:rPr>
        <w:t>特此声明。</w:t>
      </w:r>
    </w:p>
    <w:p w14:paraId="489F44BF">
      <w:pPr>
        <w:keepNext w:val="0"/>
        <w:keepLines w:val="0"/>
        <w:pageBreakBefore w:val="0"/>
        <w:kinsoku/>
        <w:wordWrap/>
        <w:overflowPunct/>
        <w:topLinePunct w:val="0"/>
        <w:autoSpaceDE/>
        <w:autoSpaceDN/>
        <w:bidi w:val="0"/>
        <w:adjustRightInd/>
        <w:snapToGrid w:val="0"/>
        <w:spacing w:line="480" w:lineRule="exact"/>
        <w:ind w:right="1898" w:rightChars="904" w:firstLine="4320" w:firstLineChars="18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声明企业：(企业公章)</w:t>
      </w:r>
    </w:p>
    <w:p w14:paraId="1CBCC372">
      <w:pPr>
        <w:keepNext w:val="0"/>
        <w:keepLines w:val="0"/>
        <w:pageBreakBefore w:val="0"/>
        <w:kinsoku/>
        <w:wordWrap/>
        <w:overflowPunct/>
        <w:topLinePunct w:val="0"/>
        <w:autoSpaceDE/>
        <w:autoSpaceDN/>
        <w:bidi w:val="0"/>
        <w:adjustRightInd/>
        <w:snapToGrid w:val="0"/>
        <w:spacing w:line="480" w:lineRule="exact"/>
        <w:ind w:right="1898" w:rightChars="904" w:firstLine="4320" w:firstLineChars="18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法定代表人签字</w:t>
      </w:r>
      <w:r>
        <w:rPr>
          <w:rFonts w:hint="eastAsia" w:ascii="宋体" w:hAnsi="宋体" w:cs="宋体"/>
          <w:color w:val="auto"/>
          <w:kern w:val="0"/>
          <w:sz w:val="24"/>
          <w:szCs w:val="24"/>
          <w:highlight w:val="none"/>
          <w:lang w:val="en-US" w:eastAsia="zh-CN"/>
        </w:rPr>
        <w:t>或盖章</w:t>
      </w:r>
      <w:r>
        <w:rPr>
          <w:rFonts w:hint="eastAsia" w:ascii="宋体" w:hAnsi="宋体" w:cs="宋体"/>
          <w:color w:val="auto"/>
          <w:kern w:val="0"/>
          <w:sz w:val="24"/>
          <w:szCs w:val="24"/>
          <w:highlight w:val="none"/>
        </w:rPr>
        <w:t>：</w:t>
      </w:r>
    </w:p>
    <w:p w14:paraId="0EF16A29">
      <w:pPr>
        <w:keepNext w:val="0"/>
        <w:keepLines w:val="0"/>
        <w:pageBreakBefore w:val="0"/>
        <w:kinsoku/>
        <w:wordWrap/>
        <w:overflowPunct/>
        <w:topLinePunct w:val="0"/>
        <w:autoSpaceDE/>
        <w:autoSpaceDN/>
        <w:bidi w:val="0"/>
        <w:adjustRightInd/>
        <w:snapToGrid w:val="0"/>
        <w:spacing w:line="480" w:lineRule="exact"/>
        <w:ind w:right="1898" w:rightChars="904" w:firstLine="4320" w:firstLineChars="18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总监理工程师签字</w:t>
      </w:r>
      <w:r>
        <w:rPr>
          <w:rFonts w:hint="eastAsia" w:ascii="宋体" w:hAnsi="宋体" w:cs="宋体"/>
          <w:color w:val="auto"/>
          <w:kern w:val="0"/>
          <w:sz w:val="24"/>
          <w:szCs w:val="24"/>
          <w:highlight w:val="none"/>
          <w:lang w:val="en-US" w:eastAsia="zh-CN"/>
        </w:rPr>
        <w:t>或盖章</w:t>
      </w:r>
      <w:r>
        <w:rPr>
          <w:rFonts w:hint="eastAsia" w:ascii="宋体" w:hAnsi="宋体" w:cs="宋体"/>
          <w:color w:val="auto"/>
          <w:kern w:val="0"/>
          <w:sz w:val="24"/>
          <w:szCs w:val="24"/>
          <w:highlight w:val="none"/>
        </w:rPr>
        <w:t>：</w:t>
      </w:r>
    </w:p>
    <w:p w14:paraId="5BB05FF9">
      <w:pPr>
        <w:keepNext w:val="0"/>
        <w:keepLines w:val="0"/>
        <w:pageBreakBefore w:val="0"/>
        <w:kinsoku/>
        <w:wordWrap/>
        <w:overflowPunct/>
        <w:topLinePunct w:val="0"/>
        <w:autoSpaceDE/>
        <w:autoSpaceDN/>
        <w:bidi w:val="0"/>
        <w:adjustRightInd/>
        <w:spacing w:line="480" w:lineRule="exact"/>
        <w:ind w:firstLine="4800" w:firstLineChars="2000"/>
        <w:textAlignment w:val="auto"/>
        <w:rPr>
          <w:color w:val="auto"/>
          <w:highlight w:val="none"/>
        </w:rPr>
      </w:pPr>
      <w:r>
        <w:rPr>
          <w:rFonts w:hint="eastAsia" w:ascii="宋体" w:hAnsi="宋体" w:cs="宋体"/>
          <w:color w:val="auto"/>
          <w:kern w:val="0"/>
          <w:sz w:val="24"/>
          <w:szCs w:val="24"/>
          <w:highlight w:val="none"/>
        </w:rPr>
        <w:t>年   月   日</w:t>
      </w:r>
      <w:bookmarkStart w:id="43" w:name="_GoBack"/>
      <w:bookmarkEnd w:id="43"/>
    </w:p>
    <w:p w14:paraId="28696DBC">
      <w:pPr>
        <w:rPr>
          <w:highlight w:val="none"/>
        </w:rPr>
      </w:pPr>
    </w:p>
    <w:sectPr>
      <w:footerReference r:id="rId4" w:type="default"/>
      <w:pgSz w:w="11906" w:h="16838"/>
      <w:pgMar w:top="1440" w:right="126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25EB">
    <w:pPr>
      <w:pStyle w:val="7"/>
      <w:jc w:val="center"/>
    </w:pPr>
    <w:r>
      <w:fldChar w:fldCharType="begin"/>
    </w:r>
    <w:r>
      <w:instrText xml:space="preserve"> PAGE   \* MERGEFORMAT </w:instrText>
    </w:r>
    <w:r>
      <w:fldChar w:fldCharType="separate"/>
    </w:r>
    <w:r>
      <w:rPr>
        <w:lang w:val="zh-CN"/>
      </w:rPr>
      <w:t>11</w:t>
    </w:r>
    <w:r>
      <w:rPr>
        <w:lang w:val="zh-CN"/>
      </w:rPr>
      <w:fldChar w:fldCharType="end"/>
    </w:r>
  </w:p>
  <w:p w14:paraId="78887C7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F5C6">
    <w:pPr>
      <w:pStyle w:val="7"/>
      <w:jc w:val="center"/>
    </w:pPr>
    <w:r>
      <w:fldChar w:fldCharType="begin"/>
    </w:r>
    <w:r>
      <w:instrText xml:space="preserve"> PAGE   \* MERGEFORMAT </w:instrText>
    </w:r>
    <w:r>
      <w:fldChar w:fldCharType="separate"/>
    </w:r>
    <w:r>
      <w:rPr>
        <w:lang w:val="zh-CN"/>
      </w:rPr>
      <w:t>11</w:t>
    </w:r>
    <w:r>
      <w:rPr>
        <w:lang w:val="zh-CN"/>
      </w:rPr>
      <w:fldChar w:fldCharType="end"/>
    </w:r>
  </w:p>
  <w:p w14:paraId="3DA38DF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ZGQ0OWVkMDI5N2UzZmQ2NDhjMmNjMmJkNDg1OWUifQ=="/>
  </w:docVars>
  <w:rsids>
    <w:rsidRoot w:val="286B00CB"/>
    <w:rsid w:val="044D71EC"/>
    <w:rsid w:val="04AC7907"/>
    <w:rsid w:val="04EB48D3"/>
    <w:rsid w:val="050414F1"/>
    <w:rsid w:val="062A132D"/>
    <w:rsid w:val="064029FC"/>
    <w:rsid w:val="06DD5B44"/>
    <w:rsid w:val="08D132F7"/>
    <w:rsid w:val="0B13248D"/>
    <w:rsid w:val="0EB977F0"/>
    <w:rsid w:val="0F557518"/>
    <w:rsid w:val="12192A7F"/>
    <w:rsid w:val="12843C71"/>
    <w:rsid w:val="12FA4D5B"/>
    <w:rsid w:val="135D2E40"/>
    <w:rsid w:val="138A52B7"/>
    <w:rsid w:val="17574EFC"/>
    <w:rsid w:val="178766DD"/>
    <w:rsid w:val="17B648CC"/>
    <w:rsid w:val="19A70479"/>
    <w:rsid w:val="1BAF1D5E"/>
    <w:rsid w:val="1BE113C5"/>
    <w:rsid w:val="1C817528"/>
    <w:rsid w:val="1DCE0CB3"/>
    <w:rsid w:val="1F817EB6"/>
    <w:rsid w:val="20656F4F"/>
    <w:rsid w:val="207417C9"/>
    <w:rsid w:val="236B68F8"/>
    <w:rsid w:val="25AB3597"/>
    <w:rsid w:val="286B00CB"/>
    <w:rsid w:val="29281BF2"/>
    <w:rsid w:val="294C6E3C"/>
    <w:rsid w:val="2F2A7C22"/>
    <w:rsid w:val="316B7AE0"/>
    <w:rsid w:val="3560089F"/>
    <w:rsid w:val="368A369C"/>
    <w:rsid w:val="376637C1"/>
    <w:rsid w:val="37F94D50"/>
    <w:rsid w:val="38883C0B"/>
    <w:rsid w:val="39994B8E"/>
    <w:rsid w:val="3BAE3989"/>
    <w:rsid w:val="3BD553B9"/>
    <w:rsid w:val="3C814FA3"/>
    <w:rsid w:val="3CEF7E48"/>
    <w:rsid w:val="3F0D6A3F"/>
    <w:rsid w:val="3F15211D"/>
    <w:rsid w:val="40F7192E"/>
    <w:rsid w:val="416E7E42"/>
    <w:rsid w:val="44654E01"/>
    <w:rsid w:val="459E05CA"/>
    <w:rsid w:val="45CA5863"/>
    <w:rsid w:val="462B784E"/>
    <w:rsid w:val="47A07BBB"/>
    <w:rsid w:val="4B412E32"/>
    <w:rsid w:val="4C546416"/>
    <w:rsid w:val="4E0F6509"/>
    <w:rsid w:val="50B023DD"/>
    <w:rsid w:val="51D64118"/>
    <w:rsid w:val="53BE0A79"/>
    <w:rsid w:val="5438608E"/>
    <w:rsid w:val="54596730"/>
    <w:rsid w:val="564362A7"/>
    <w:rsid w:val="59545718"/>
    <w:rsid w:val="5DC170F4"/>
    <w:rsid w:val="5F622211"/>
    <w:rsid w:val="5FD70E51"/>
    <w:rsid w:val="61C936AB"/>
    <w:rsid w:val="62F53AC8"/>
    <w:rsid w:val="63791599"/>
    <w:rsid w:val="64D911C7"/>
    <w:rsid w:val="66095D10"/>
    <w:rsid w:val="66C67529"/>
    <w:rsid w:val="67E91721"/>
    <w:rsid w:val="6B282560"/>
    <w:rsid w:val="6C1A00FB"/>
    <w:rsid w:val="6D301BA0"/>
    <w:rsid w:val="716B31A7"/>
    <w:rsid w:val="738E13CF"/>
    <w:rsid w:val="757840E4"/>
    <w:rsid w:val="790740FD"/>
    <w:rsid w:val="79FF6B82"/>
    <w:rsid w:val="7A2465E9"/>
    <w:rsid w:val="7AA8721A"/>
    <w:rsid w:val="7B0703E4"/>
    <w:rsid w:val="7B48165F"/>
    <w:rsid w:val="7B701DAA"/>
    <w:rsid w:val="7C5D53A4"/>
    <w:rsid w:val="7E500A02"/>
    <w:rsid w:val="7EF70770"/>
    <w:rsid w:val="7EFB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kern w:val="0"/>
      <w:sz w:val="20"/>
      <w:szCs w:val="20"/>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szCs w:val="20"/>
    </w:rPr>
  </w:style>
  <w:style w:type="paragraph" w:styleId="6">
    <w:name w:val="Plain Text"/>
    <w:basedOn w:val="1"/>
    <w:semiHidden/>
    <w:unhideWhenUsed/>
    <w:qFormat/>
    <w:uiPriority w:val="99"/>
    <w:rPr>
      <w:rFonts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First Indent"/>
    <w:basedOn w:val="5"/>
    <w:qFormat/>
    <w:uiPriority w:val="0"/>
    <w:pPr>
      <w:spacing w:line="312" w:lineRule="auto"/>
      <w:ind w:firstLine="420"/>
    </w:pPr>
    <w:rPr>
      <w:szCs w:val="24"/>
    </w:rPr>
  </w:style>
  <w:style w:type="paragraph" w:customStyle="1" w:styleId="11">
    <w:name w:val="null3"/>
    <w:qFormat/>
    <w:uiPriority w:val="0"/>
    <w:rPr>
      <w:rFonts w:hint="eastAsia" w:ascii="Calibri" w:hAnsi="Calibri" w:eastAsia="宋体" w:cs="Times New Roman"/>
      <w:lang w:val="en-US" w:eastAsia="zh-Hans" w:bidi="ar-SA"/>
    </w:rPr>
  </w:style>
  <w:style w:type="paragraph" w:styleId="12">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5164</Words>
  <Characters>5508</Characters>
  <Lines>0</Lines>
  <Paragraphs>0</Paragraphs>
  <TotalTime>0</TotalTime>
  <ScaleCrop>false</ScaleCrop>
  <LinksUpToDate>false</LinksUpToDate>
  <CharactersWithSpaces>5664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2024-05-15T06:42:00Z</dcterms:created>
  <dc:creator>吴嘉鹏</dc:creator>
  <cp:lastModifiedBy>USER</cp:lastModifiedBy>
  <dcterms:modified xsi:type="dcterms:W3CDTF">2025-08-21T02:20:26Z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B42450A0FE9C4A7CA2E3B508E3CC5444_13</vt:lpwstr>
  </property>
  <property fmtid="{D5CDD505-2E9C-101B-9397-08002B2CF9AE}" pid="4" name="KSOTemplateDocerSaveRecord">
    <vt:lpwstr>eyJoZGlkIjoiYzFmM2UyNmExMGFkOTdkNDE4YTQyNjA4NjVjNTk1ODciLCJ1c2VySWQiOiIyODM1MzYwNDEifQ==</vt:lpwstr>
  </property>
</Properties>
</file>