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DBA54">
      <w:pPr>
        <w:spacing w:line="360" w:lineRule="auto"/>
        <w:rPr>
          <w:rFonts w:ascii="宋体" w:hAnsi="宋体" w:cs="宋体"/>
          <w:color w:val="auto"/>
          <w:highlight w:val="none"/>
        </w:rPr>
      </w:pPr>
    </w:p>
    <w:p w14:paraId="262AFDF7">
      <w:pPr>
        <w:spacing w:line="360" w:lineRule="auto"/>
        <w:rPr>
          <w:rFonts w:ascii="宋体" w:hAnsi="宋体" w:cs="宋体"/>
          <w:color w:val="auto"/>
          <w:highlight w:val="none"/>
        </w:rPr>
      </w:pPr>
    </w:p>
    <w:p w14:paraId="67CEA3B0">
      <w:pPr>
        <w:spacing w:line="600" w:lineRule="auto"/>
        <w:jc w:val="center"/>
        <w:rPr>
          <w:rFonts w:hint="eastAsia" w:ascii="宋体" w:hAnsi="宋体" w:eastAsia="宋体" w:cs="宋体"/>
          <w:b/>
          <w:color w:val="auto"/>
          <w:sz w:val="36"/>
          <w:szCs w:val="36"/>
          <w:highlight w:val="none"/>
          <w:lang w:eastAsia="zh-CN"/>
        </w:rPr>
      </w:pPr>
      <w:r>
        <w:rPr>
          <w:rFonts w:hint="eastAsia" w:ascii="宋体" w:hAnsi="宋体" w:cs="宋体"/>
          <w:b/>
          <w:color w:val="auto"/>
          <w:sz w:val="36"/>
          <w:szCs w:val="36"/>
          <w:highlight w:val="none"/>
          <w:lang w:eastAsia="zh-CN"/>
        </w:rPr>
        <w:t>化龙镇化龙南路北半幅（城际化龙站至化龙大道段）工程地铁保护第三方监测</w:t>
      </w:r>
    </w:p>
    <w:p w14:paraId="7B72F257">
      <w:pPr>
        <w:pStyle w:val="17"/>
        <w:spacing w:after="0" w:line="600" w:lineRule="auto"/>
        <w:rPr>
          <w:rFonts w:ascii="宋体" w:hAnsi="宋体" w:cs="宋体"/>
          <w:color w:val="auto"/>
          <w:highlight w:val="none"/>
        </w:rPr>
      </w:pPr>
    </w:p>
    <w:p w14:paraId="6472B71A">
      <w:pPr>
        <w:spacing w:line="360" w:lineRule="auto"/>
        <w:rPr>
          <w:rFonts w:ascii="宋体" w:hAnsi="宋体" w:cs="宋体"/>
          <w:color w:val="auto"/>
          <w:sz w:val="36"/>
          <w:szCs w:val="36"/>
          <w:highlight w:val="none"/>
        </w:rPr>
      </w:pPr>
    </w:p>
    <w:p w14:paraId="69F330A9">
      <w:pPr>
        <w:spacing w:line="360" w:lineRule="auto"/>
        <w:rPr>
          <w:rFonts w:ascii="宋体" w:hAnsi="宋体" w:cs="宋体"/>
          <w:color w:val="auto"/>
          <w:sz w:val="36"/>
          <w:szCs w:val="36"/>
          <w:highlight w:val="none"/>
        </w:rPr>
      </w:pPr>
    </w:p>
    <w:p w14:paraId="6E76E183">
      <w:pPr>
        <w:spacing w:line="360" w:lineRule="auto"/>
        <w:rPr>
          <w:rFonts w:ascii="宋体" w:hAnsi="宋体" w:cs="宋体"/>
          <w:color w:val="auto"/>
          <w:sz w:val="36"/>
          <w:szCs w:val="36"/>
          <w:highlight w:val="none"/>
        </w:rPr>
      </w:pPr>
    </w:p>
    <w:p w14:paraId="3E222D1C">
      <w:pPr>
        <w:spacing w:line="360" w:lineRule="auto"/>
        <w:rPr>
          <w:rFonts w:ascii="宋体" w:hAnsi="宋体" w:cs="宋体"/>
          <w:color w:val="auto"/>
          <w:sz w:val="36"/>
          <w:szCs w:val="36"/>
          <w:highlight w:val="none"/>
        </w:rPr>
      </w:pPr>
    </w:p>
    <w:p w14:paraId="33432F5F">
      <w:pPr>
        <w:spacing w:line="360" w:lineRule="auto"/>
        <w:jc w:val="center"/>
        <w:rPr>
          <w:rFonts w:ascii="宋体" w:hAnsi="宋体" w:cs="宋体"/>
          <w:b/>
          <w:color w:val="auto"/>
          <w:sz w:val="84"/>
          <w:szCs w:val="84"/>
          <w:highlight w:val="none"/>
        </w:rPr>
      </w:pPr>
      <w:r>
        <w:rPr>
          <w:rFonts w:hint="eastAsia" w:ascii="宋体" w:hAnsi="宋体" w:cs="宋体"/>
          <w:b/>
          <w:color w:val="auto"/>
          <w:sz w:val="84"/>
          <w:szCs w:val="84"/>
          <w:highlight w:val="none"/>
        </w:rPr>
        <w:t>招标文件</w:t>
      </w:r>
    </w:p>
    <w:p w14:paraId="65B0AD5A">
      <w:pPr>
        <w:spacing w:line="360" w:lineRule="auto"/>
        <w:rPr>
          <w:rFonts w:ascii="宋体" w:hAnsi="宋体" w:cs="宋体"/>
          <w:color w:val="auto"/>
          <w:sz w:val="36"/>
          <w:szCs w:val="36"/>
          <w:highlight w:val="none"/>
        </w:rPr>
      </w:pPr>
    </w:p>
    <w:p w14:paraId="5B65C285">
      <w:pPr>
        <w:spacing w:line="360" w:lineRule="auto"/>
        <w:rPr>
          <w:rFonts w:ascii="宋体" w:hAnsi="宋体" w:cs="宋体"/>
          <w:color w:val="auto"/>
          <w:sz w:val="36"/>
          <w:szCs w:val="36"/>
          <w:highlight w:val="none"/>
        </w:rPr>
      </w:pPr>
    </w:p>
    <w:p w14:paraId="36499C12">
      <w:pPr>
        <w:spacing w:line="360" w:lineRule="auto"/>
        <w:rPr>
          <w:rFonts w:ascii="宋体" w:hAnsi="宋体" w:cs="宋体"/>
          <w:color w:val="auto"/>
          <w:sz w:val="36"/>
          <w:szCs w:val="36"/>
          <w:highlight w:val="none"/>
        </w:rPr>
      </w:pPr>
    </w:p>
    <w:p w14:paraId="75838F68">
      <w:pPr>
        <w:spacing w:line="360" w:lineRule="auto"/>
        <w:rPr>
          <w:rFonts w:ascii="宋体" w:hAnsi="宋体" w:cs="宋体"/>
          <w:color w:val="auto"/>
          <w:sz w:val="36"/>
          <w:szCs w:val="36"/>
          <w:highlight w:val="none"/>
        </w:rPr>
      </w:pPr>
    </w:p>
    <w:p w14:paraId="3C334AF9">
      <w:pPr>
        <w:spacing w:line="360" w:lineRule="auto"/>
        <w:rPr>
          <w:rFonts w:ascii="宋体" w:hAnsi="宋体" w:cs="宋体"/>
          <w:color w:val="auto"/>
          <w:sz w:val="36"/>
          <w:szCs w:val="36"/>
          <w:highlight w:val="none"/>
        </w:rPr>
      </w:pPr>
    </w:p>
    <w:p w14:paraId="08C8C98F">
      <w:pPr>
        <w:spacing w:line="360" w:lineRule="auto"/>
        <w:rPr>
          <w:rFonts w:ascii="宋体" w:hAnsi="宋体" w:cs="宋体"/>
          <w:color w:val="auto"/>
          <w:sz w:val="36"/>
          <w:szCs w:val="36"/>
          <w:highlight w:val="none"/>
        </w:rPr>
      </w:pPr>
    </w:p>
    <w:p w14:paraId="7A35BE74">
      <w:pPr>
        <w:spacing w:line="360" w:lineRule="auto"/>
        <w:ind w:firstLine="964" w:firstLineChars="300"/>
        <w:rPr>
          <w:rFonts w:ascii="宋体" w:hAnsi="宋体" w:cs="宋体"/>
          <w:b/>
          <w:bCs/>
          <w:color w:val="auto"/>
          <w:sz w:val="32"/>
          <w:szCs w:val="32"/>
          <w:highlight w:val="none"/>
          <w:u w:val="single"/>
        </w:rPr>
      </w:pPr>
      <w:r>
        <w:rPr>
          <w:rFonts w:hint="eastAsia" w:ascii="宋体" w:hAnsi="宋体" w:cs="宋体"/>
          <w:b/>
          <w:bCs/>
          <w:color w:val="auto"/>
          <w:sz w:val="32"/>
          <w:szCs w:val="32"/>
          <w:highlight w:val="none"/>
        </w:rPr>
        <w:t>招标单位：广州市番禺区基本建设投资管理中心</w:t>
      </w:r>
    </w:p>
    <w:p w14:paraId="1C66BE65">
      <w:pPr>
        <w:spacing w:line="360" w:lineRule="auto"/>
        <w:ind w:firstLine="945"/>
        <w:rPr>
          <w:rFonts w:ascii="宋体" w:hAnsi="宋体" w:cs="宋体"/>
          <w:b/>
          <w:bCs/>
          <w:color w:val="auto"/>
          <w:sz w:val="32"/>
          <w:szCs w:val="32"/>
          <w:highlight w:val="none"/>
          <w:u w:val="single"/>
        </w:rPr>
      </w:pPr>
      <w:r>
        <w:rPr>
          <w:rFonts w:hint="eastAsia" w:ascii="宋体" w:hAnsi="宋体" w:cs="宋体"/>
          <w:b/>
          <w:bCs/>
          <w:color w:val="auto"/>
          <w:sz w:val="32"/>
          <w:szCs w:val="32"/>
          <w:highlight w:val="none"/>
        </w:rPr>
        <w:t>招标代理单位：</w:t>
      </w:r>
      <w:r>
        <w:rPr>
          <w:rFonts w:hint="eastAsia" w:ascii="宋体" w:hAnsi="宋体" w:cs="宋体"/>
          <w:b/>
          <w:bCs/>
          <w:color w:val="auto"/>
          <w:sz w:val="32"/>
          <w:szCs w:val="32"/>
          <w:highlight w:val="none"/>
          <w:lang w:eastAsia="zh-CN"/>
        </w:rPr>
        <w:t>广州高新工程顾问有限公司</w:t>
      </w:r>
      <w:r>
        <w:rPr>
          <w:rFonts w:hint="eastAsia" w:ascii="宋体" w:hAnsi="宋体" w:cs="宋体"/>
          <w:b/>
          <w:bCs/>
          <w:color w:val="auto"/>
          <w:sz w:val="32"/>
          <w:szCs w:val="32"/>
          <w:highlight w:val="none"/>
        </w:rPr>
        <w:t xml:space="preserve"> </w:t>
      </w:r>
    </w:p>
    <w:p w14:paraId="1CDF277F">
      <w:pPr>
        <w:spacing w:line="360" w:lineRule="auto"/>
        <w:ind w:firstLine="945"/>
        <w:rPr>
          <w:rFonts w:ascii="宋体" w:hAnsi="宋体" w:cs="宋体"/>
          <w:b/>
          <w:bCs/>
          <w:color w:val="auto"/>
          <w:sz w:val="32"/>
          <w:szCs w:val="32"/>
          <w:highlight w:val="none"/>
        </w:rPr>
      </w:pPr>
      <w:r>
        <w:rPr>
          <w:rFonts w:hint="eastAsia" w:ascii="宋体" w:hAnsi="宋体" w:cs="宋体"/>
          <w:b/>
          <w:bCs/>
          <w:color w:val="auto"/>
          <w:sz w:val="32"/>
          <w:szCs w:val="32"/>
          <w:highlight w:val="none"/>
        </w:rPr>
        <w:t>日期：</w:t>
      </w:r>
      <w:r>
        <w:rPr>
          <w:rFonts w:ascii="宋体" w:hAnsi="宋体" w:cs="宋体"/>
          <w:b/>
          <w:bCs/>
          <w:color w:val="auto"/>
          <w:sz w:val="32"/>
          <w:szCs w:val="32"/>
          <w:highlight w:val="none"/>
        </w:rPr>
        <w:t>20</w:t>
      </w:r>
      <w:r>
        <w:rPr>
          <w:rFonts w:hint="eastAsia" w:ascii="宋体" w:hAnsi="宋体" w:cs="宋体"/>
          <w:b/>
          <w:bCs/>
          <w:color w:val="auto"/>
          <w:sz w:val="32"/>
          <w:szCs w:val="32"/>
          <w:highlight w:val="none"/>
        </w:rPr>
        <w:t>25年</w:t>
      </w:r>
      <w:r>
        <w:rPr>
          <w:rFonts w:hint="eastAsia" w:ascii="宋体" w:hAnsi="宋体" w:cs="宋体"/>
          <w:b/>
          <w:bCs/>
          <w:color w:val="auto"/>
          <w:sz w:val="32"/>
          <w:szCs w:val="32"/>
          <w:highlight w:val="none"/>
          <w:lang w:val="en-US" w:eastAsia="zh-CN"/>
        </w:rPr>
        <w:t>8</w:t>
      </w:r>
      <w:r>
        <w:rPr>
          <w:rFonts w:hint="eastAsia" w:ascii="宋体" w:hAnsi="宋体" w:cs="宋体"/>
          <w:b/>
          <w:bCs/>
          <w:color w:val="auto"/>
          <w:sz w:val="32"/>
          <w:szCs w:val="32"/>
          <w:highlight w:val="none"/>
        </w:rPr>
        <w:t>月</w:t>
      </w:r>
    </w:p>
    <w:p w14:paraId="5B107310">
      <w:pPr>
        <w:pStyle w:val="17"/>
        <w:spacing w:after="0" w:line="360" w:lineRule="auto"/>
        <w:rPr>
          <w:rFonts w:ascii="宋体" w:hAnsi="宋体" w:cs="宋体"/>
          <w:color w:val="auto"/>
          <w:sz w:val="28"/>
          <w:highlight w:val="none"/>
        </w:rPr>
      </w:pPr>
    </w:p>
    <w:p w14:paraId="38124B33">
      <w:pPr>
        <w:pStyle w:val="17"/>
        <w:spacing w:after="0" w:line="360" w:lineRule="auto"/>
        <w:rPr>
          <w:rFonts w:ascii="宋体" w:hAnsi="宋体" w:cs="宋体"/>
          <w:color w:val="auto"/>
          <w:sz w:val="28"/>
          <w:highlight w:val="none"/>
        </w:rPr>
        <w:sectPr>
          <w:footerReference r:id="rId3" w:type="default"/>
          <w:pgSz w:w="11905" w:h="16838"/>
          <w:pgMar w:top="1417" w:right="1417" w:bottom="1417" w:left="1417" w:header="851" w:footer="850" w:gutter="0"/>
          <w:cols w:space="720" w:num="1"/>
          <w:titlePg/>
          <w:docGrid w:type="lines" w:linePitch="312" w:charSpace="0"/>
        </w:sectPr>
      </w:pPr>
    </w:p>
    <w:p w14:paraId="42FBF2A9">
      <w:pPr>
        <w:spacing w:line="360" w:lineRule="auto"/>
        <w:jc w:val="center"/>
        <w:rPr>
          <w:rFonts w:ascii="宋体" w:hAnsi="宋体" w:cs="宋体"/>
          <w:bCs/>
          <w:color w:val="auto"/>
          <w:sz w:val="52"/>
          <w:highlight w:val="none"/>
        </w:rPr>
      </w:pPr>
      <w:r>
        <w:rPr>
          <w:rFonts w:hint="eastAsia" w:ascii="宋体" w:hAnsi="宋体" w:cs="宋体"/>
          <w:bCs/>
          <w:color w:val="auto"/>
          <w:sz w:val="52"/>
          <w:highlight w:val="none"/>
        </w:rPr>
        <w:t>重要提示</w:t>
      </w:r>
    </w:p>
    <w:p w14:paraId="6D6DA7E4">
      <w:pPr>
        <w:spacing w:line="360" w:lineRule="auto"/>
        <w:ind w:firstLine="537" w:firstLineChars="224"/>
        <w:jc w:val="center"/>
        <w:rPr>
          <w:rFonts w:ascii="宋体" w:hAnsi="宋体" w:cs="宋体"/>
          <w:bCs/>
          <w:color w:val="auto"/>
          <w:sz w:val="24"/>
          <w:highlight w:val="none"/>
        </w:rPr>
      </w:pPr>
    </w:p>
    <w:p w14:paraId="5701D65A">
      <w:pPr>
        <w:spacing w:line="360" w:lineRule="auto"/>
        <w:ind w:firstLine="480" w:firstLineChars="200"/>
        <w:rPr>
          <w:rFonts w:ascii="宋体" w:hAnsi="宋体" w:cs="宋体"/>
          <w:color w:val="auto"/>
          <w:sz w:val="24"/>
          <w:highlight w:val="none"/>
        </w:rPr>
        <w:sectPr>
          <w:pgSz w:w="11905" w:h="16838"/>
          <w:pgMar w:top="1418" w:right="1701" w:bottom="1418" w:left="1701" w:header="851" w:footer="794" w:gutter="0"/>
          <w:pgNumType w:start="1"/>
          <w:cols w:space="720" w:num="1"/>
          <w:docGrid w:type="lines" w:linePitch="312" w:charSpace="0"/>
        </w:sectPr>
      </w:pPr>
      <w:r>
        <w:rPr>
          <w:rFonts w:hint="eastAsia" w:ascii="宋体" w:hAnsi="宋体" w:cs="宋体"/>
          <w:color w:val="auto"/>
          <w:sz w:val="24"/>
          <w:highlight w:val="none"/>
        </w:rPr>
        <w:t>本项目实施电子招投标，投标人应先认真阅读《房屋建筑和市政基础设施工程全流程电子化项目专章》。</w:t>
      </w:r>
    </w:p>
    <w:p w14:paraId="6120CEC9">
      <w:pPr>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目录</w:t>
      </w:r>
    </w:p>
    <w:p w14:paraId="7545A2EB">
      <w:pPr>
        <w:pStyle w:val="15"/>
        <w:tabs>
          <w:tab w:val="right" w:leader="dot" w:pos="8503"/>
        </w:tabs>
        <w:spacing w:before="0" w:after="0" w:line="360" w:lineRule="auto"/>
        <w:rPr>
          <w:color w:val="auto"/>
          <w:highlight w:val="none"/>
        </w:rPr>
      </w:pPr>
      <w:bookmarkStart w:id="0" w:name="_Toc377719897"/>
      <w:r>
        <w:rPr>
          <w:rFonts w:hint="eastAsia" w:ascii="宋体" w:hAnsi="宋体" w:cs="宋体"/>
          <w:b w:val="0"/>
          <w:bCs w:val="0"/>
          <w:color w:val="auto"/>
          <w:kern w:val="44"/>
          <w:sz w:val="21"/>
          <w:szCs w:val="21"/>
          <w:highlight w:val="none"/>
        </w:rPr>
        <w:fldChar w:fldCharType="begin"/>
      </w:r>
      <w:r>
        <w:rPr>
          <w:rFonts w:hint="eastAsia" w:ascii="宋体" w:hAnsi="宋体" w:cs="宋体"/>
          <w:b w:val="0"/>
          <w:bCs w:val="0"/>
          <w:color w:val="auto"/>
          <w:kern w:val="44"/>
          <w:sz w:val="21"/>
          <w:szCs w:val="21"/>
          <w:highlight w:val="none"/>
        </w:rPr>
        <w:instrText xml:space="preserve">TOC \o "1-2" \h \u </w:instrText>
      </w:r>
      <w:r>
        <w:rPr>
          <w:rFonts w:hint="eastAsia" w:ascii="宋体" w:hAnsi="宋体" w:cs="宋体"/>
          <w:b w:val="0"/>
          <w:bCs w:val="0"/>
          <w:color w:val="auto"/>
          <w:kern w:val="44"/>
          <w:sz w:val="21"/>
          <w:szCs w:val="21"/>
          <w:highlight w:val="none"/>
        </w:rPr>
        <w:fldChar w:fldCharType="separate"/>
      </w:r>
      <w:r>
        <w:rPr>
          <w:color w:val="auto"/>
          <w:highlight w:val="none"/>
        </w:rPr>
        <w:fldChar w:fldCharType="begin"/>
      </w:r>
      <w:r>
        <w:rPr>
          <w:color w:val="auto"/>
          <w:highlight w:val="none"/>
        </w:rPr>
        <w:instrText xml:space="preserve"> HYPERLINK \l "_Toc3058" </w:instrText>
      </w:r>
      <w:r>
        <w:rPr>
          <w:color w:val="auto"/>
          <w:highlight w:val="none"/>
        </w:rPr>
        <w:fldChar w:fldCharType="separate"/>
      </w:r>
      <w:r>
        <w:rPr>
          <w:rFonts w:hint="eastAsia" w:ascii="宋体" w:hAnsi="宋体" w:cs="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_Toc3058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24A457F0">
      <w:pPr>
        <w:pStyle w:val="15"/>
        <w:tabs>
          <w:tab w:val="right" w:leader="dot" w:pos="8503"/>
        </w:tabs>
        <w:spacing w:before="0" w:after="0" w:line="360" w:lineRule="auto"/>
        <w:rPr>
          <w:color w:val="auto"/>
          <w:highlight w:val="none"/>
        </w:rPr>
      </w:pPr>
      <w:r>
        <w:rPr>
          <w:color w:val="auto"/>
          <w:highlight w:val="none"/>
        </w:rPr>
        <w:fldChar w:fldCharType="begin"/>
      </w:r>
      <w:r>
        <w:rPr>
          <w:color w:val="auto"/>
          <w:highlight w:val="none"/>
        </w:rPr>
        <w:instrText xml:space="preserve"> HYPERLINK \l "_Toc11430" </w:instrText>
      </w:r>
      <w:r>
        <w:rPr>
          <w:color w:val="auto"/>
          <w:highlight w:val="none"/>
        </w:rPr>
        <w:fldChar w:fldCharType="separate"/>
      </w:r>
      <w:r>
        <w:rPr>
          <w:rFonts w:hint="eastAsia" w:ascii="宋体" w:hAnsi="宋体" w:cs="宋体"/>
          <w:color w:val="auto"/>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_Toc11430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62381F0E">
      <w:pPr>
        <w:pStyle w:val="16"/>
        <w:tabs>
          <w:tab w:val="right" w:leader="dot" w:pos="8503"/>
        </w:tabs>
        <w:spacing w:line="360" w:lineRule="auto"/>
        <w:rPr>
          <w:color w:val="auto"/>
          <w:highlight w:val="none"/>
        </w:rPr>
      </w:pPr>
      <w:r>
        <w:rPr>
          <w:color w:val="auto"/>
          <w:highlight w:val="none"/>
        </w:rPr>
        <w:fldChar w:fldCharType="begin"/>
      </w:r>
      <w:r>
        <w:rPr>
          <w:color w:val="auto"/>
          <w:highlight w:val="none"/>
        </w:rPr>
        <w:instrText xml:space="preserve"> HYPERLINK \l "_Toc25358" </w:instrText>
      </w:r>
      <w:r>
        <w:rPr>
          <w:color w:val="auto"/>
          <w:highlight w:val="none"/>
        </w:rPr>
        <w:fldChar w:fldCharType="separate"/>
      </w:r>
      <w:r>
        <w:rPr>
          <w:rFonts w:hint="eastAsia" w:ascii="宋体" w:hAnsi="宋体" w:cs="宋体"/>
          <w:color w:val="auto"/>
          <w:szCs w:val="36"/>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_Toc25358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01BDA4CA">
      <w:pPr>
        <w:pStyle w:val="16"/>
        <w:tabs>
          <w:tab w:val="right" w:leader="dot" w:pos="8503"/>
        </w:tabs>
        <w:spacing w:line="360" w:lineRule="auto"/>
        <w:rPr>
          <w:color w:val="auto"/>
          <w:highlight w:val="none"/>
        </w:rPr>
      </w:pPr>
      <w:r>
        <w:rPr>
          <w:color w:val="auto"/>
          <w:highlight w:val="none"/>
        </w:rPr>
        <w:fldChar w:fldCharType="begin"/>
      </w:r>
      <w:r>
        <w:rPr>
          <w:color w:val="auto"/>
          <w:highlight w:val="none"/>
        </w:rPr>
        <w:instrText xml:space="preserve"> HYPERLINK \l "_Toc12986" </w:instrText>
      </w:r>
      <w:r>
        <w:rPr>
          <w:color w:val="auto"/>
          <w:highlight w:val="none"/>
        </w:rPr>
        <w:fldChar w:fldCharType="separate"/>
      </w:r>
      <w:r>
        <w:rPr>
          <w:rFonts w:hint="eastAsia" w:ascii="宋体" w:hAnsi="宋体" w:cs="宋体"/>
          <w:bCs/>
          <w:color w:val="auto"/>
          <w:kern w:val="44"/>
          <w:szCs w:val="36"/>
          <w:highlight w:val="none"/>
        </w:rPr>
        <w:t>投标人须知</w:t>
      </w:r>
      <w:r>
        <w:rPr>
          <w:color w:val="auto"/>
          <w:highlight w:val="none"/>
        </w:rPr>
        <w:tab/>
      </w:r>
      <w:r>
        <w:rPr>
          <w:color w:val="auto"/>
          <w:highlight w:val="none"/>
        </w:rPr>
        <w:fldChar w:fldCharType="begin"/>
      </w:r>
      <w:r>
        <w:rPr>
          <w:color w:val="auto"/>
          <w:highlight w:val="none"/>
        </w:rPr>
        <w:instrText xml:space="preserve"> PAGEREF _Toc12986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78D3FF9F">
      <w:pPr>
        <w:pStyle w:val="16"/>
        <w:tabs>
          <w:tab w:val="right" w:leader="dot" w:pos="8503"/>
        </w:tabs>
        <w:spacing w:line="360" w:lineRule="auto"/>
        <w:rPr>
          <w:color w:val="auto"/>
          <w:highlight w:val="none"/>
        </w:rPr>
      </w:pPr>
      <w:r>
        <w:rPr>
          <w:color w:val="auto"/>
          <w:highlight w:val="none"/>
        </w:rPr>
        <w:fldChar w:fldCharType="begin"/>
      </w:r>
      <w:r>
        <w:rPr>
          <w:color w:val="auto"/>
          <w:highlight w:val="none"/>
        </w:rPr>
        <w:instrText xml:space="preserve"> HYPERLINK \l "_Toc30141" </w:instrText>
      </w:r>
      <w:r>
        <w:rPr>
          <w:color w:val="auto"/>
          <w:highlight w:val="none"/>
        </w:rPr>
        <w:fldChar w:fldCharType="separate"/>
      </w:r>
      <w:r>
        <w:rPr>
          <w:rFonts w:hint="eastAsia" w:ascii="宋体" w:hAnsi="宋体" w:cs="宋体"/>
          <w:bCs/>
          <w:color w:val="auto"/>
          <w:szCs w:val="32"/>
          <w:highlight w:val="none"/>
        </w:rPr>
        <w:t>1.总则</w:t>
      </w:r>
      <w:r>
        <w:rPr>
          <w:color w:val="auto"/>
          <w:highlight w:val="none"/>
        </w:rPr>
        <w:tab/>
      </w:r>
      <w:r>
        <w:rPr>
          <w:color w:val="auto"/>
          <w:highlight w:val="none"/>
        </w:rPr>
        <w:fldChar w:fldCharType="begin"/>
      </w:r>
      <w:r>
        <w:rPr>
          <w:color w:val="auto"/>
          <w:highlight w:val="none"/>
        </w:rPr>
        <w:instrText xml:space="preserve"> PAGEREF _Toc30141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5687A788">
      <w:pPr>
        <w:pStyle w:val="16"/>
        <w:tabs>
          <w:tab w:val="right" w:leader="dot" w:pos="8503"/>
        </w:tabs>
        <w:spacing w:line="360" w:lineRule="auto"/>
        <w:rPr>
          <w:color w:val="auto"/>
          <w:highlight w:val="none"/>
        </w:rPr>
      </w:pPr>
      <w:r>
        <w:rPr>
          <w:color w:val="auto"/>
          <w:highlight w:val="none"/>
        </w:rPr>
        <w:fldChar w:fldCharType="begin"/>
      </w:r>
      <w:r>
        <w:rPr>
          <w:color w:val="auto"/>
          <w:highlight w:val="none"/>
        </w:rPr>
        <w:instrText xml:space="preserve"> HYPERLINK \l "_Toc13966" </w:instrText>
      </w:r>
      <w:r>
        <w:rPr>
          <w:color w:val="auto"/>
          <w:highlight w:val="none"/>
        </w:rPr>
        <w:fldChar w:fldCharType="separate"/>
      </w:r>
      <w:r>
        <w:rPr>
          <w:rFonts w:hint="eastAsia" w:ascii="宋体" w:hAnsi="宋体" w:cs="宋体"/>
          <w:bCs/>
          <w:color w:val="auto"/>
          <w:szCs w:val="32"/>
          <w:highlight w:val="none"/>
        </w:rPr>
        <w:t>2.招标文件</w:t>
      </w:r>
      <w:r>
        <w:rPr>
          <w:color w:val="auto"/>
          <w:highlight w:val="none"/>
        </w:rPr>
        <w:tab/>
      </w:r>
      <w:r>
        <w:rPr>
          <w:color w:val="auto"/>
          <w:highlight w:val="none"/>
        </w:rPr>
        <w:fldChar w:fldCharType="begin"/>
      </w:r>
      <w:r>
        <w:rPr>
          <w:color w:val="auto"/>
          <w:highlight w:val="none"/>
        </w:rPr>
        <w:instrText xml:space="preserve"> PAGEREF _Toc13966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0F350562">
      <w:pPr>
        <w:pStyle w:val="16"/>
        <w:tabs>
          <w:tab w:val="right" w:leader="dot" w:pos="8503"/>
        </w:tabs>
        <w:spacing w:line="360" w:lineRule="auto"/>
        <w:rPr>
          <w:color w:val="auto"/>
          <w:highlight w:val="none"/>
        </w:rPr>
      </w:pPr>
      <w:r>
        <w:rPr>
          <w:color w:val="auto"/>
          <w:highlight w:val="none"/>
        </w:rPr>
        <w:fldChar w:fldCharType="begin"/>
      </w:r>
      <w:r>
        <w:rPr>
          <w:color w:val="auto"/>
          <w:highlight w:val="none"/>
        </w:rPr>
        <w:instrText xml:space="preserve"> HYPERLINK \l "_Toc14013" </w:instrText>
      </w:r>
      <w:r>
        <w:rPr>
          <w:color w:val="auto"/>
          <w:highlight w:val="none"/>
        </w:rPr>
        <w:fldChar w:fldCharType="separate"/>
      </w:r>
      <w:r>
        <w:rPr>
          <w:rFonts w:hint="eastAsia" w:ascii="宋体" w:hAnsi="宋体" w:cs="宋体"/>
          <w:bCs/>
          <w:color w:val="auto"/>
          <w:szCs w:val="32"/>
          <w:highlight w:val="none"/>
        </w:rPr>
        <w:t>3.投标文件</w:t>
      </w:r>
      <w:r>
        <w:rPr>
          <w:color w:val="auto"/>
          <w:highlight w:val="none"/>
        </w:rPr>
        <w:tab/>
      </w:r>
      <w:r>
        <w:rPr>
          <w:color w:val="auto"/>
          <w:highlight w:val="none"/>
        </w:rPr>
        <w:fldChar w:fldCharType="begin"/>
      </w:r>
      <w:r>
        <w:rPr>
          <w:color w:val="auto"/>
          <w:highlight w:val="none"/>
        </w:rPr>
        <w:instrText xml:space="preserve"> PAGEREF _Toc14013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261754A1">
      <w:pPr>
        <w:pStyle w:val="16"/>
        <w:tabs>
          <w:tab w:val="right" w:leader="dot" w:pos="8503"/>
        </w:tabs>
        <w:spacing w:line="360" w:lineRule="auto"/>
        <w:rPr>
          <w:color w:val="auto"/>
          <w:highlight w:val="none"/>
        </w:rPr>
      </w:pPr>
      <w:r>
        <w:rPr>
          <w:color w:val="auto"/>
          <w:highlight w:val="none"/>
        </w:rPr>
        <w:fldChar w:fldCharType="begin"/>
      </w:r>
      <w:r>
        <w:rPr>
          <w:color w:val="auto"/>
          <w:highlight w:val="none"/>
        </w:rPr>
        <w:instrText xml:space="preserve"> HYPERLINK \l "_Toc3516" </w:instrText>
      </w:r>
      <w:r>
        <w:rPr>
          <w:color w:val="auto"/>
          <w:highlight w:val="none"/>
        </w:rPr>
        <w:fldChar w:fldCharType="separate"/>
      </w:r>
      <w:r>
        <w:rPr>
          <w:rFonts w:hint="eastAsia" w:ascii="宋体" w:hAnsi="宋体" w:cs="宋体"/>
          <w:bCs/>
          <w:color w:val="auto"/>
          <w:szCs w:val="32"/>
          <w:highlight w:val="none"/>
        </w:rPr>
        <w:t>4.投标</w:t>
      </w:r>
      <w:r>
        <w:rPr>
          <w:color w:val="auto"/>
          <w:highlight w:val="none"/>
        </w:rPr>
        <w:tab/>
      </w:r>
      <w:r>
        <w:rPr>
          <w:color w:val="auto"/>
          <w:highlight w:val="none"/>
        </w:rPr>
        <w:fldChar w:fldCharType="begin"/>
      </w:r>
      <w:r>
        <w:rPr>
          <w:color w:val="auto"/>
          <w:highlight w:val="none"/>
        </w:rPr>
        <w:instrText xml:space="preserve"> PAGEREF _Toc3516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4EBBB9B3">
      <w:pPr>
        <w:pStyle w:val="16"/>
        <w:tabs>
          <w:tab w:val="right" w:leader="dot" w:pos="8503"/>
        </w:tabs>
        <w:spacing w:line="360" w:lineRule="auto"/>
        <w:rPr>
          <w:color w:val="auto"/>
          <w:highlight w:val="none"/>
        </w:rPr>
      </w:pPr>
      <w:r>
        <w:rPr>
          <w:color w:val="auto"/>
          <w:highlight w:val="none"/>
        </w:rPr>
        <w:fldChar w:fldCharType="begin"/>
      </w:r>
      <w:r>
        <w:rPr>
          <w:color w:val="auto"/>
          <w:highlight w:val="none"/>
        </w:rPr>
        <w:instrText xml:space="preserve"> HYPERLINK \l "_Toc25545" </w:instrText>
      </w:r>
      <w:r>
        <w:rPr>
          <w:color w:val="auto"/>
          <w:highlight w:val="none"/>
        </w:rPr>
        <w:fldChar w:fldCharType="separate"/>
      </w:r>
      <w:r>
        <w:rPr>
          <w:rFonts w:hint="eastAsia" w:ascii="宋体" w:hAnsi="宋体" w:cs="宋体"/>
          <w:bCs/>
          <w:color w:val="auto"/>
          <w:szCs w:val="32"/>
          <w:highlight w:val="none"/>
        </w:rPr>
        <w:t>5.开标</w:t>
      </w:r>
      <w:r>
        <w:rPr>
          <w:color w:val="auto"/>
          <w:highlight w:val="none"/>
        </w:rPr>
        <w:tab/>
      </w:r>
      <w:r>
        <w:rPr>
          <w:color w:val="auto"/>
          <w:highlight w:val="none"/>
        </w:rPr>
        <w:fldChar w:fldCharType="begin"/>
      </w:r>
      <w:r>
        <w:rPr>
          <w:color w:val="auto"/>
          <w:highlight w:val="none"/>
        </w:rPr>
        <w:instrText xml:space="preserve"> PAGEREF _Toc25545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7DD30A84">
      <w:pPr>
        <w:pStyle w:val="16"/>
        <w:tabs>
          <w:tab w:val="right" w:leader="dot" w:pos="8503"/>
        </w:tabs>
        <w:spacing w:line="360" w:lineRule="auto"/>
        <w:rPr>
          <w:color w:val="auto"/>
          <w:highlight w:val="none"/>
        </w:rPr>
      </w:pPr>
      <w:r>
        <w:rPr>
          <w:color w:val="auto"/>
          <w:highlight w:val="none"/>
        </w:rPr>
        <w:fldChar w:fldCharType="begin"/>
      </w:r>
      <w:r>
        <w:rPr>
          <w:color w:val="auto"/>
          <w:highlight w:val="none"/>
        </w:rPr>
        <w:instrText xml:space="preserve"> HYPERLINK \l "_Toc27507" </w:instrText>
      </w:r>
      <w:r>
        <w:rPr>
          <w:color w:val="auto"/>
          <w:highlight w:val="none"/>
        </w:rPr>
        <w:fldChar w:fldCharType="separate"/>
      </w:r>
      <w:r>
        <w:rPr>
          <w:rFonts w:hint="eastAsia" w:ascii="宋体" w:hAnsi="宋体" w:cs="宋体"/>
          <w:bCs/>
          <w:color w:val="auto"/>
          <w:szCs w:val="32"/>
          <w:highlight w:val="none"/>
        </w:rPr>
        <w:t>6.评标</w:t>
      </w:r>
      <w:r>
        <w:rPr>
          <w:color w:val="auto"/>
          <w:highlight w:val="none"/>
        </w:rPr>
        <w:tab/>
      </w:r>
      <w:r>
        <w:rPr>
          <w:color w:val="auto"/>
          <w:highlight w:val="none"/>
        </w:rPr>
        <w:fldChar w:fldCharType="begin"/>
      </w:r>
      <w:r>
        <w:rPr>
          <w:color w:val="auto"/>
          <w:highlight w:val="none"/>
        </w:rPr>
        <w:instrText xml:space="preserve"> PAGEREF _Toc27507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39E2AD3B">
      <w:pPr>
        <w:pStyle w:val="16"/>
        <w:tabs>
          <w:tab w:val="right" w:leader="dot" w:pos="8503"/>
        </w:tabs>
        <w:spacing w:line="360" w:lineRule="auto"/>
        <w:rPr>
          <w:color w:val="auto"/>
          <w:highlight w:val="none"/>
        </w:rPr>
      </w:pPr>
      <w:r>
        <w:rPr>
          <w:color w:val="auto"/>
          <w:highlight w:val="none"/>
        </w:rPr>
        <w:fldChar w:fldCharType="begin"/>
      </w:r>
      <w:r>
        <w:rPr>
          <w:color w:val="auto"/>
          <w:highlight w:val="none"/>
        </w:rPr>
        <w:instrText xml:space="preserve"> HYPERLINK \l "_Toc9775" </w:instrText>
      </w:r>
      <w:r>
        <w:rPr>
          <w:color w:val="auto"/>
          <w:highlight w:val="none"/>
        </w:rPr>
        <w:fldChar w:fldCharType="separate"/>
      </w:r>
      <w:r>
        <w:rPr>
          <w:rFonts w:hint="eastAsia" w:ascii="宋体" w:hAnsi="宋体" w:cs="宋体"/>
          <w:bCs/>
          <w:color w:val="auto"/>
          <w:szCs w:val="32"/>
          <w:highlight w:val="none"/>
        </w:rPr>
        <w:t>7.合同授予</w:t>
      </w:r>
      <w:r>
        <w:rPr>
          <w:color w:val="auto"/>
          <w:highlight w:val="none"/>
        </w:rPr>
        <w:tab/>
      </w:r>
      <w:r>
        <w:rPr>
          <w:color w:val="auto"/>
          <w:highlight w:val="none"/>
        </w:rPr>
        <w:fldChar w:fldCharType="begin"/>
      </w:r>
      <w:r>
        <w:rPr>
          <w:color w:val="auto"/>
          <w:highlight w:val="none"/>
        </w:rPr>
        <w:instrText xml:space="preserve"> PAGEREF _Toc9775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7C213D26">
      <w:pPr>
        <w:pStyle w:val="16"/>
        <w:tabs>
          <w:tab w:val="right" w:leader="dot" w:pos="8503"/>
        </w:tabs>
        <w:spacing w:line="360" w:lineRule="auto"/>
        <w:rPr>
          <w:color w:val="auto"/>
          <w:highlight w:val="none"/>
        </w:rPr>
      </w:pPr>
      <w:r>
        <w:rPr>
          <w:color w:val="auto"/>
          <w:highlight w:val="none"/>
        </w:rPr>
        <w:fldChar w:fldCharType="begin"/>
      </w:r>
      <w:r>
        <w:rPr>
          <w:color w:val="auto"/>
          <w:highlight w:val="none"/>
        </w:rPr>
        <w:instrText xml:space="preserve"> HYPERLINK \l "_Toc29502" </w:instrText>
      </w:r>
      <w:r>
        <w:rPr>
          <w:color w:val="auto"/>
          <w:highlight w:val="none"/>
        </w:rPr>
        <w:fldChar w:fldCharType="separate"/>
      </w:r>
      <w:r>
        <w:rPr>
          <w:rFonts w:hint="eastAsia" w:ascii="宋体" w:hAnsi="宋体" w:cs="宋体"/>
          <w:bCs/>
          <w:color w:val="auto"/>
          <w:szCs w:val="32"/>
          <w:highlight w:val="none"/>
        </w:rPr>
        <w:t>8.纪律和监督</w:t>
      </w:r>
      <w:r>
        <w:rPr>
          <w:color w:val="auto"/>
          <w:highlight w:val="none"/>
        </w:rPr>
        <w:tab/>
      </w:r>
      <w:r>
        <w:rPr>
          <w:color w:val="auto"/>
          <w:highlight w:val="none"/>
        </w:rPr>
        <w:fldChar w:fldCharType="begin"/>
      </w:r>
      <w:r>
        <w:rPr>
          <w:color w:val="auto"/>
          <w:highlight w:val="none"/>
        </w:rPr>
        <w:instrText xml:space="preserve"> PAGEREF _Toc29502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23E6226E">
      <w:pPr>
        <w:pStyle w:val="16"/>
        <w:tabs>
          <w:tab w:val="right" w:leader="dot" w:pos="8503"/>
        </w:tabs>
        <w:spacing w:line="360" w:lineRule="auto"/>
        <w:rPr>
          <w:color w:val="auto"/>
          <w:highlight w:val="none"/>
        </w:rPr>
      </w:pPr>
      <w:r>
        <w:rPr>
          <w:color w:val="auto"/>
          <w:highlight w:val="none"/>
        </w:rPr>
        <w:fldChar w:fldCharType="begin"/>
      </w:r>
      <w:r>
        <w:rPr>
          <w:color w:val="auto"/>
          <w:highlight w:val="none"/>
        </w:rPr>
        <w:instrText xml:space="preserve"> HYPERLINK \l "_Toc31993" </w:instrText>
      </w:r>
      <w:r>
        <w:rPr>
          <w:color w:val="auto"/>
          <w:highlight w:val="none"/>
        </w:rPr>
        <w:fldChar w:fldCharType="separate"/>
      </w:r>
      <w:r>
        <w:rPr>
          <w:rFonts w:hint="eastAsia" w:ascii="宋体" w:hAnsi="宋体" w:cs="宋体"/>
          <w:bCs/>
          <w:color w:val="auto"/>
          <w:szCs w:val="32"/>
          <w:highlight w:val="none"/>
        </w:rPr>
        <w:t>9.是否采用电子招标投标</w:t>
      </w:r>
      <w:r>
        <w:rPr>
          <w:color w:val="auto"/>
          <w:highlight w:val="none"/>
        </w:rPr>
        <w:tab/>
      </w:r>
      <w:r>
        <w:rPr>
          <w:color w:val="auto"/>
          <w:highlight w:val="none"/>
        </w:rPr>
        <w:fldChar w:fldCharType="begin"/>
      </w:r>
      <w:r>
        <w:rPr>
          <w:color w:val="auto"/>
          <w:highlight w:val="none"/>
        </w:rPr>
        <w:instrText xml:space="preserve"> PAGEREF _Toc31993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09DD8343">
      <w:pPr>
        <w:pStyle w:val="16"/>
        <w:tabs>
          <w:tab w:val="right" w:leader="dot" w:pos="8503"/>
        </w:tabs>
        <w:spacing w:line="360" w:lineRule="auto"/>
        <w:rPr>
          <w:color w:val="auto"/>
          <w:highlight w:val="none"/>
        </w:rPr>
      </w:pPr>
      <w:r>
        <w:rPr>
          <w:color w:val="auto"/>
          <w:highlight w:val="none"/>
        </w:rPr>
        <w:fldChar w:fldCharType="begin"/>
      </w:r>
      <w:r>
        <w:rPr>
          <w:color w:val="auto"/>
          <w:highlight w:val="none"/>
        </w:rPr>
        <w:instrText xml:space="preserve"> HYPERLINK \l "_Toc4862" </w:instrText>
      </w:r>
      <w:r>
        <w:rPr>
          <w:color w:val="auto"/>
          <w:highlight w:val="none"/>
        </w:rPr>
        <w:fldChar w:fldCharType="separate"/>
      </w:r>
      <w:r>
        <w:rPr>
          <w:rFonts w:hint="eastAsia" w:ascii="宋体" w:hAnsi="宋体" w:cs="宋体"/>
          <w:bCs/>
          <w:color w:val="auto"/>
          <w:szCs w:val="32"/>
          <w:highlight w:val="none"/>
        </w:rPr>
        <w:t>10.需要补充的其他内容</w:t>
      </w:r>
      <w:r>
        <w:rPr>
          <w:color w:val="auto"/>
          <w:highlight w:val="none"/>
        </w:rPr>
        <w:tab/>
      </w:r>
      <w:r>
        <w:rPr>
          <w:color w:val="auto"/>
          <w:highlight w:val="none"/>
        </w:rPr>
        <w:fldChar w:fldCharType="begin"/>
      </w:r>
      <w:r>
        <w:rPr>
          <w:color w:val="auto"/>
          <w:highlight w:val="none"/>
        </w:rPr>
        <w:instrText xml:space="preserve"> PAGEREF _Toc4862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521FAED0">
      <w:pPr>
        <w:pStyle w:val="15"/>
        <w:tabs>
          <w:tab w:val="right" w:leader="dot" w:pos="8503"/>
        </w:tabs>
        <w:spacing w:before="0" w:after="0" w:line="360" w:lineRule="auto"/>
        <w:rPr>
          <w:color w:val="auto"/>
          <w:highlight w:val="none"/>
        </w:rPr>
      </w:pPr>
      <w:r>
        <w:rPr>
          <w:color w:val="auto"/>
          <w:highlight w:val="none"/>
        </w:rPr>
        <w:fldChar w:fldCharType="begin"/>
      </w:r>
      <w:r>
        <w:rPr>
          <w:color w:val="auto"/>
          <w:highlight w:val="none"/>
        </w:rPr>
        <w:instrText xml:space="preserve"> HYPERLINK \l "_Toc25981" </w:instrText>
      </w:r>
      <w:r>
        <w:rPr>
          <w:color w:val="auto"/>
          <w:highlight w:val="none"/>
        </w:rPr>
        <w:fldChar w:fldCharType="separate"/>
      </w:r>
      <w:r>
        <w:rPr>
          <w:rFonts w:hint="eastAsia" w:ascii="宋体" w:hAnsi="宋体" w:cs="宋体"/>
          <w:color w:val="auto"/>
          <w:highlight w:val="none"/>
        </w:rPr>
        <w:t>第三章  评标办法（综合评分法）</w:t>
      </w:r>
      <w:r>
        <w:rPr>
          <w:color w:val="auto"/>
          <w:highlight w:val="none"/>
        </w:rPr>
        <w:tab/>
      </w:r>
      <w:r>
        <w:rPr>
          <w:color w:val="auto"/>
          <w:highlight w:val="none"/>
        </w:rPr>
        <w:fldChar w:fldCharType="begin"/>
      </w:r>
      <w:r>
        <w:rPr>
          <w:color w:val="auto"/>
          <w:highlight w:val="none"/>
        </w:rPr>
        <w:instrText xml:space="preserve"> PAGEREF _Toc25981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06FB77EF">
      <w:pPr>
        <w:pStyle w:val="16"/>
        <w:tabs>
          <w:tab w:val="right" w:leader="dot" w:pos="8503"/>
        </w:tabs>
        <w:spacing w:line="360" w:lineRule="auto"/>
        <w:rPr>
          <w:color w:val="auto"/>
          <w:highlight w:val="none"/>
        </w:rPr>
      </w:pPr>
      <w:r>
        <w:rPr>
          <w:color w:val="auto"/>
          <w:highlight w:val="none"/>
        </w:rPr>
        <w:fldChar w:fldCharType="begin"/>
      </w:r>
      <w:r>
        <w:rPr>
          <w:color w:val="auto"/>
          <w:highlight w:val="none"/>
        </w:rPr>
        <w:instrText xml:space="preserve"> HYPERLINK \l "_Toc26053" </w:instrText>
      </w:r>
      <w:r>
        <w:rPr>
          <w:color w:val="auto"/>
          <w:highlight w:val="none"/>
        </w:rPr>
        <w:fldChar w:fldCharType="separate"/>
      </w:r>
      <w:r>
        <w:rPr>
          <w:rFonts w:hint="eastAsia" w:ascii="宋体" w:hAnsi="宋体" w:cs="宋体"/>
          <w:color w:val="auto"/>
          <w:szCs w:val="36"/>
          <w:highlight w:val="none"/>
        </w:rPr>
        <w:t>评标办法前附表</w:t>
      </w:r>
      <w:r>
        <w:rPr>
          <w:color w:val="auto"/>
          <w:highlight w:val="none"/>
        </w:rPr>
        <w:tab/>
      </w:r>
      <w:r>
        <w:rPr>
          <w:color w:val="auto"/>
          <w:highlight w:val="none"/>
        </w:rPr>
        <w:fldChar w:fldCharType="begin"/>
      </w:r>
      <w:r>
        <w:rPr>
          <w:color w:val="auto"/>
          <w:highlight w:val="none"/>
        </w:rPr>
        <w:instrText xml:space="preserve"> PAGEREF _Toc26053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253E5904">
      <w:pPr>
        <w:pStyle w:val="16"/>
        <w:tabs>
          <w:tab w:val="right" w:leader="dot" w:pos="8503"/>
        </w:tabs>
        <w:spacing w:line="360" w:lineRule="auto"/>
        <w:rPr>
          <w:color w:val="auto"/>
          <w:highlight w:val="none"/>
        </w:rPr>
      </w:pPr>
      <w:r>
        <w:rPr>
          <w:color w:val="auto"/>
          <w:highlight w:val="none"/>
        </w:rPr>
        <w:fldChar w:fldCharType="begin"/>
      </w:r>
      <w:r>
        <w:rPr>
          <w:color w:val="auto"/>
          <w:highlight w:val="none"/>
        </w:rPr>
        <w:instrText xml:space="preserve"> HYPERLINK \l "_Toc7506" </w:instrText>
      </w:r>
      <w:r>
        <w:rPr>
          <w:color w:val="auto"/>
          <w:highlight w:val="none"/>
        </w:rPr>
        <w:fldChar w:fldCharType="separate"/>
      </w:r>
      <w:r>
        <w:rPr>
          <w:rFonts w:hint="eastAsia" w:ascii="宋体" w:hAnsi="宋体" w:cs="宋体"/>
          <w:color w:val="auto"/>
          <w:szCs w:val="36"/>
          <w:highlight w:val="none"/>
        </w:rPr>
        <w:t>评标方法</w:t>
      </w:r>
      <w:r>
        <w:rPr>
          <w:color w:val="auto"/>
          <w:highlight w:val="none"/>
        </w:rPr>
        <w:tab/>
      </w:r>
      <w:r>
        <w:rPr>
          <w:color w:val="auto"/>
          <w:highlight w:val="none"/>
        </w:rPr>
        <w:fldChar w:fldCharType="begin"/>
      </w:r>
      <w:r>
        <w:rPr>
          <w:color w:val="auto"/>
          <w:highlight w:val="none"/>
        </w:rPr>
        <w:instrText xml:space="preserve"> PAGEREF _Toc7506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5786FFE1">
      <w:pPr>
        <w:pStyle w:val="16"/>
        <w:tabs>
          <w:tab w:val="right" w:leader="dot" w:pos="8503"/>
        </w:tabs>
        <w:spacing w:line="360" w:lineRule="auto"/>
        <w:rPr>
          <w:color w:val="auto"/>
          <w:highlight w:val="none"/>
        </w:rPr>
      </w:pPr>
      <w:r>
        <w:rPr>
          <w:color w:val="auto"/>
          <w:highlight w:val="none"/>
        </w:rPr>
        <w:fldChar w:fldCharType="begin"/>
      </w:r>
      <w:r>
        <w:rPr>
          <w:color w:val="auto"/>
          <w:highlight w:val="none"/>
        </w:rPr>
        <w:instrText xml:space="preserve"> HYPERLINK \l "_Toc11888" </w:instrText>
      </w:r>
      <w:r>
        <w:rPr>
          <w:color w:val="auto"/>
          <w:highlight w:val="none"/>
        </w:rPr>
        <w:fldChar w:fldCharType="separate"/>
      </w:r>
      <w:r>
        <w:rPr>
          <w:rFonts w:hint="eastAsia" w:ascii="宋体" w:hAnsi="宋体" w:cs="宋体"/>
          <w:bCs/>
          <w:color w:val="auto"/>
          <w:szCs w:val="32"/>
          <w:highlight w:val="none"/>
        </w:rPr>
        <w:t>1.评标方法</w:t>
      </w:r>
      <w:r>
        <w:rPr>
          <w:color w:val="auto"/>
          <w:highlight w:val="none"/>
        </w:rPr>
        <w:tab/>
      </w:r>
      <w:r>
        <w:rPr>
          <w:color w:val="auto"/>
          <w:highlight w:val="none"/>
        </w:rPr>
        <w:fldChar w:fldCharType="begin"/>
      </w:r>
      <w:r>
        <w:rPr>
          <w:color w:val="auto"/>
          <w:highlight w:val="none"/>
        </w:rPr>
        <w:instrText xml:space="preserve"> PAGEREF _Toc11888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1868232D">
      <w:pPr>
        <w:pStyle w:val="16"/>
        <w:tabs>
          <w:tab w:val="right" w:leader="dot" w:pos="8503"/>
        </w:tabs>
        <w:spacing w:line="360" w:lineRule="auto"/>
        <w:rPr>
          <w:color w:val="auto"/>
          <w:highlight w:val="none"/>
        </w:rPr>
      </w:pPr>
      <w:r>
        <w:rPr>
          <w:color w:val="auto"/>
          <w:highlight w:val="none"/>
        </w:rPr>
        <w:fldChar w:fldCharType="begin"/>
      </w:r>
      <w:r>
        <w:rPr>
          <w:color w:val="auto"/>
          <w:highlight w:val="none"/>
        </w:rPr>
        <w:instrText xml:space="preserve"> HYPERLINK \l "_Toc28918" </w:instrText>
      </w:r>
      <w:r>
        <w:rPr>
          <w:color w:val="auto"/>
          <w:highlight w:val="none"/>
        </w:rPr>
        <w:fldChar w:fldCharType="separate"/>
      </w:r>
      <w:r>
        <w:rPr>
          <w:rFonts w:hint="eastAsia" w:ascii="宋体" w:hAnsi="宋体" w:cs="宋体"/>
          <w:bCs/>
          <w:color w:val="auto"/>
          <w:szCs w:val="32"/>
          <w:highlight w:val="none"/>
        </w:rPr>
        <w:t>2.评审标准</w:t>
      </w:r>
      <w:r>
        <w:rPr>
          <w:color w:val="auto"/>
          <w:highlight w:val="none"/>
        </w:rPr>
        <w:tab/>
      </w:r>
      <w:r>
        <w:rPr>
          <w:color w:val="auto"/>
          <w:highlight w:val="none"/>
        </w:rPr>
        <w:fldChar w:fldCharType="begin"/>
      </w:r>
      <w:r>
        <w:rPr>
          <w:color w:val="auto"/>
          <w:highlight w:val="none"/>
        </w:rPr>
        <w:instrText xml:space="preserve"> PAGEREF _Toc28918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0E17A7FF">
      <w:pPr>
        <w:pStyle w:val="16"/>
        <w:tabs>
          <w:tab w:val="right" w:leader="dot" w:pos="8503"/>
        </w:tabs>
        <w:spacing w:line="360" w:lineRule="auto"/>
        <w:rPr>
          <w:color w:val="auto"/>
          <w:highlight w:val="none"/>
        </w:rPr>
      </w:pPr>
      <w:r>
        <w:rPr>
          <w:color w:val="auto"/>
          <w:highlight w:val="none"/>
        </w:rPr>
        <w:fldChar w:fldCharType="begin"/>
      </w:r>
      <w:r>
        <w:rPr>
          <w:color w:val="auto"/>
          <w:highlight w:val="none"/>
        </w:rPr>
        <w:instrText xml:space="preserve"> HYPERLINK \l "_Toc12342" </w:instrText>
      </w:r>
      <w:r>
        <w:rPr>
          <w:color w:val="auto"/>
          <w:highlight w:val="none"/>
        </w:rPr>
        <w:fldChar w:fldCharType="separate"/>
      </w:r>
      <w:r>
        <w:rPr>
          <w:rFonts w:hint="eastAsia" w:ascii="宋体" w:hAnsi="宋体" w:cs="宋体"/>
          <w:bCs/>
          <w:color w:val="auto"/>
          <w:szCs w:val="32"/>
          <w:highlight w:val="none"/>
        </w:rPr>
        <w:t>3. 评标程序</w:t>
      </w:r>
      <w:r>
        <w:rPr>
          <w:color w:val="auto"/>
          <w:highlight w:val="none"/>
        </w:rPr>
        <w:tab/>
      </w:r>
      <w:r>
        <w:rPr>
          <w:color w:val="auto"/>
          <w:highlight w:val="none"/>
        </w:rPr>
        <w:fldChar w:fldCharType="begin"/>
      </w:r>
      <w:r>
        <w:rPr>
          <w:color w:val="auto"/>
          <w:highlight w:val="none"/>
        </w:rPr>
        <w:instrText xml:space="preserve"> PAGEREF _Toc12342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2C9B43DD">
      <w:pPr>
        <w:pStyle w:val="15"/>
        <w:tabs>
          <w:tab w:val="right" w:leader="dot" w:pos="8503"/>
        </w:tabs>
        <w:spacing w:before="0" w:after="0" w:line="360" w:lineRule="auto"/>
        <w:rPr>
          <w:color w:val="auto"/>
          <w:highlight w:val="none"/>
        </w:rPr>
      </w:pPr>
      <w:r>
        <w:rPr>
          <w:color w:val="auto"/>
          <w:highlight w:val="none"/>
        </w:rPr>
        <w:fldChar w:fldCharType="begin"/>
      </w:r>
      <w:r>
        <w:rPr>
          <w:color w:val="auto"/>
          <w:highlight w:val="none"/>
        </w:rPr>
        <w:instrText xml:space="preserve"> HYPERLINK \l "_Toc25775" </w:instrText>
      </w:r>
      <w:r>
        <w:rPr>
          <w:color w:val="auto"/>
          <w:highlight w:val="none"/>
        </w:rPr>
        <w:fldChar w:fldCharType="separate"/>
      </w:r>
      <w:r>
        <w:rPr>
          <w:rFonts w:hint="eastAsia" w:ascii="宋体" w:hAnsi="宋体" w:cs="宋体"/>
          <w:color w:val="auto"/>
          <w:szCs w:val="44"/>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_Toc25775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1826428D">
      <w:pPr>
        <w:pStyle w:val="15"/>
        <w:tabs>
          <w:tab w:val="right" w:leader="dot" w:pos="8503"/>
        </w:tabs>
        <w:spacing w:before="0" w:after="0" w:line="360" w:lineRule="auto"/>
        <w:rPr>
          <w:color w:val="auto"/>
          <w:highlight w:val="none"/>
        </w:rPr>
      </w:pPr>
      <w:r>
        <w:rPr>
          <w:color w:val="auto"/>
          <w:highlight w:val="none"/>
        </w:rPr>
        <w:fldChar w:fldCharType="begin"/>
      </w:r>
      <w:r>
        <w:rPr>
          <w:color w:val="auto"/>
          <w:highlight w:val="none"/>
        </w:rPr>
        <w:instrText xml:space="preserve"> HYPERLINK \l "_Toc7302" </w:instrText>
      </w:r>
      <w:r>
        <w:rPr>
          <w:color w:val="auto"/>
          <w:highlight w:val="none"/>
        </w:rPr>
        <w:fldChar w:fldCharType="separate"/>
      </w:r>
      <w:r>
        <w:rPr>
          <w:rFonts w:hint="eastAsia" w:ascii="宋体" w:hAnsi="宋体" w:cs="宋体"/>
          <w:color w:val="auto"/>
          <w:szCs w:val="32"/>
          <w:highlight w:val="none"/>
        </w:rPr>
        <w:t>（另册）</w:t>
      </w:r>
      <w:r>
        <w:rPr>
          <w:rFonts w:hint="eastAsia" w:ascii="宋体" w:hAnsi="宋体" w:cs="宋体"/>
          <w:color w:val="auto"/>
          <w:szCs w:val="44"/>
          <w:highlight w:val="none"/>
        </w:rPr>
        <w:t>第五章  招标人要求</w:t>
      </w:r>
      <w:r>
        <w:rPr>
          <w:color w:val="auto"/>
          <w:highlight w:val="none"/>
        </w:rPr>
        <w:tab/>
      </w:r>
      <w:r>
        <w:rPr>
          <w:color w:val="auto"/>
          <w:highlight w:val="none"/>
        </w:rPr>
        <w:fldChar w:fldCharType="begin"/>
      </w:r>
      <w:r>
        <w:rPr>
          <w:color w:val="auto"/>
          <w:highlight w:val="none"/>
        </w:rPr>
        <w:instrText xml:space="preserve"> PAGEREF _Toc7302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24C4F692">
      <w:pPr>
        <w:pStyle w:val="15"/>
        <w:tabs>
          <w:tab w:val="right" w:leader="dot" w:pos="8503"/>
        </w:tabs>
        <w:spacing w:before="0" w:after="0" w:line="360" w:lineRule="auto"/>
        <w:rPr>
          <w:color w:val="auto"/>
          <w:highlight w:val="none"/>
        </w:rPr>
      </w:pPr>
      <w:r>
        <w:rPr>
          <w:color w:val="auto"/>
          <w:highlight w:val="none"/>
        </w:rPr>
        <w:fldChar w:fldCharType="begin"/>
      </w:r>
      <w:r>
        <w:rPr>
          <w:color w:val="auto"/>
          <w:highlight w:val="none"/>
        </w:rPr>
        <w:instrText xml:space="preserve"> HYPERLINK \l "_Toc12654" </w:instrText>
      </w:r>
      <w:r>
        <w:rPr>
          <w:color w:val="auto"/>
          <w:highlight w:val="none"/>
        </w:rPr>
        <w:fldChar w:fldCharType="separate"/>
      </w:r>
      <w:r>
        <w:rPr>
          <w:rFonts w:hint="eastAsia" w:ascii="宋体" w:hAnsi="宋体" w:cs="宋体"/>
          <w:bCs w:val="0"/>
          <w:color w:val="auto"/>
          <w:szCs w:val="44"/>
          <w:highlight w:val="none"/>
        </w:rPr>
        <w:t xml:space="preserve">第六章 </w:t>
      </w:r>
      <w:r>
        <w:rPr>
          <w:rFonts w:hint="eastAsia" w:ascii="宋体" w:hAnsi="宋体" w:cs="宋体"/>
          <w:color w:val="auto"/>
          <w:szCs w:val="44"/>
          <w:highlight w:val="none"/>
        </w:rPr>
        <w:t>工程量清单</w:t>
      </w:r>
      <w:r>
        <w:rPr>
          <w:color w:val="auto"/>
          <w:highlight w:val="none"/>
        </w:rPr>
        <w:tab/>
      </w:r>
      <w:r>
        <w:rPr>
          <w:color w:val="auto"/>
          <w:highlight w:val="none"/>
        </w:rPr>
        <w:fldChar w:fldCharType="begin"/>
      </w:r>
      <w:r>
        <w:rPr>
          <w:color w:val="auto"/>
          <w:highlight w:val="none"/>
        </w:rPr>
        <w:instrText xml:space="preserve"> PAGEREF _Toc12654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41F0D0AF">
      <w:pPr>
        <w:pStyle w:val="15"/>
        <w:tabs>
          <w:tab w:val="right" w:leader="dot" w:pos="8503"/>
        </w:tabs>
        <w:spacing w:before="0" w:after="0" w:line="360" w:lineRule="auto"/>
        <w:rPr>
          <w:color w:val="auto"/>
          <w:highlight w:val="none"/>
        </w:rPr>
      </w:pPr>
      <w:r>
        <w:rPr>
          <w:color w:val="auto"/>
          <w:highlight w:val="none"/>
        </w:rPr>
        <w:fldChar w:fldCharType="begin"/>
      </w:r>
      <w:r>
        <w:rPr>
          <w:color w:val="auto"/>
          <w:highlight w:val="none"/>
        </w:rPr>
        <w:instrText xml:space="preserve"> HYPERLINK \l "_Toc18657" </w:instrText>
      </w:r>
      <w:r>
        <w:rPr>
          <w:color w:val="auto"/>
          <w:highlight w:val="none"/>
        </w:rPr>
        <w:fldChar w:fldCharType="separate"/>
      </w:r>
      <w:r>
        <w:rPr>
          <w:rFonts w:hint="eastAsia" w:ascii="宋体" w:hAnsi="宋体" w:cs="宋体"/>
          <w:color w:val="auto"/>
          <w:highlight w:val="none"/>
        </w:rPr>
        <w:t>第七章  投标文件格式</w:t>
      </w:r>
      <w:r>
        <w:rPr>
          <w:color w:val="auto"/>
          <w:highlight w:val="none"/>
        </w:rPr>
        <w:tab/>
      </w:r>
      <w:r>
        <w:rPr>
          <w:color w:val="auto"/>
          <w:highlight w:val="none"/>
        </w:rPr>
        <w:fldChar w:fldCharType="begin"/>
      </w:r>
      <w:r>
        <w:rPr>
          <w:color w:val="auto"/>
          <w:highlight w:val="none"/>
        </w:rPr>
        <w:instrText xml:space="preserve"> PAGEREF _Toc18657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1A27B490">
      <w:pPr>
        <w:pStyle w:val="16"/>
        <w:tabs>
          <w:tab w:val="right" w:leader="dot" w:pos="8503"/>
        </w:tabs>
        <w:spacing w:line="360" w:lineRule="auto"/>
        <w:rPr>
          <w:color w:val="auto"/>
          <w:highlight w:val="none"/>
        </w:rPr>
      </w:pPr>
      <w:r>
        <w:rPr>
          <w:color w:val="auto"/>
          <w:highlight w:val="none"/>
        </w:rPr>
        <w:fldChar w:fldCharType="begin"/>
      </w:r>
      <w:r>
        <w:rPr>
          <w:color w:val="auto"/>
          <w:highlight w:val="none"/>
        </w:rPr>
        <w:instrText xml:space="preserve"> HYPERLINK \l "_Toc7606" </w:instrText>
      </w:r>
      <w:r>
        <w:rPr>
          <w:color w:val="auto"/>
          <w:highlight w:val="none"/>
        </w:rPr>
        <w:fldChar w:fldCharType="separate"/>
      </w:r>
      <w:r>
        <w:rPr>
          <w:rFonts w:hint="eastAsia" w:ascii="宋体" w:hAnsi="宋体" w:cs="宋体"/>
          <w:color w:val="auto"/>
          <w:highlight w:val="none"/>
        </w:rPr>
        <w:t>一、</w:t>
      </w:r>
      <w:r>
        <w:rPr>
          <w:rFonts w:hint="eastAsia" w:ascii="宋体" w:hAnsi="宋体" w:cs="宋体"/>
          <w:bCs/>
          <w:color w:val="auto"/>
          <w:szCs w:val="32"/>
          <w:highlight w:val="none"/>
        </w:rPr>
        <w:t>投标函及投标函附录</w:t>
      </w:r>
      <w:r>
        <w:rPr>
          <w:color w:val="auto"/>
          <w:highlight w:val="none"/>
        </w:rPr>
        <w:tab/>
      </w:r>
      <w:r>
        <w:rPr>
          <w:color w:val="auto"/>
          <w:highlight w:val="none"/>
        </w:rPr>
        <w:fldChar w:fldCharType="begin"/>
      </w:r>
      <w:r>
        <w:rPr>
          <w:color w:val="auto"/>
          <w:highlight w:val="none"/>
        </w:rPr>
        <w:instrText xml:space="preserve"> PAGEREF _Toc7606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432C99E5">
      <w:pPr>
        <w:pStyle w:val="16"/>
        <w:tabs>
          <w:tab w:val="right" w:leader="dot" w:pos="8503"/>
        </w:tabs>
        <w:spacing w:line="360" w:lineRule="auto"/>
        <w:rPr>
          <w:color w:val="auto"/>
          <w:highlight w:val="none"/>
        </w:rPr>
      </w:pPr>
      <w:r>
        <w:rPr>
          <w:color w:val="auto"/>
          <w:highlight w:val="none"/>
        </w:rPr>
        <w:fldChar w:fldCharType="begin"/>
      </w:r>
      <w:r>
        <w:rPr>
          <w:color w:val="auto"/>
          <w:highlight w:val="none"/>
        </w:rPr>
        <w:instrText xml:space="preserve"> HYPERLINK \l "_Toc13471" </w:instrText>
      </w:r>
      <w:r>
        <w:rPr>
          <w:color w:val="auto"/>
          <w:highlight w:val="none"/>
        </w:rPr>
        <w:fldChar w:fldCharType="separate"/>
      </w:r>
      <w:r>
        <w:rPr>
          <w:rFonts w:hint="eastAsia" w:ascii="宋体" w:hAnsi="宋体" w:cs="宋体"/>
          <w:bCs/>
          <w:color w:val="auto"/>
          <w:szCs w:val="32"/>
          <w:highlight w:val="none"/>
        </w:rPr>
        <w:t>二、法定代表人证明书及授权委托书</w:t>
      </w:r>
      <w:r>
        <w:rPr>
          <w:color w:val="auto"/>
          <w:highlight w:val="none"/>
        </w:rPr>
        <w:tab/>
      </w:r>
      <w:r>
        <w:rPr>
          <w:color w:val="auto"/>
          <w:highlight w:val="none"/>
        </w:rPr>
        <w:fldChar w:fldCharType="begin"/>
      </w:r>
      <w:r>
        <w:rPr>
          <w:color w:val="auto"/>
          <w:highlight w:val="none"/>
        </w:rPr>
        <w:instrText xml:space="preserve"> PAGEREF _Toc13471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06A09CAB">
      <w:pPr>
        <w:pStyle w:val="16"/>
        <w:tabs>
          <w:tab w:val="right" w:leader="dot" w:pos="8503"/>
        </w:tabs>
        <w:spacing w:line="360" w:lineRule="auto"/>
        <w:rPr>
          <w:color w:val="auto"/>
          <w:highlight w:val="none"/>
        </w:rPr>
      </w:pPr>
      <w:r>
        <w:rPr>
          <w:color w:val="auto"/>
          <w:highlight w:val="none"/>
        </w:rPr>
        <w:fldChar w:fldCharType="begin"/>
      </w:r>
      <w:r>
        <w:rPr>
          <w:color w:val="auto"/>
          <w:highlight w:val="none"/>
        </w:rPr>
        <w:instrText xml:space="preserve"> HYPERLINK \l "_Toc15064" </w:instrText>
      </w:r>
      <w:r>
        <w:rPr>
          <w:color w:val="auto"/>
          <w:highlight w:val="none"/>
        </w:rPr>
        <w:fldChar w:fldCharType="separate"/>
      </w:r>
      <w:r>
        <w:rPr>
          <w:rFonts w:hint="eastAsia" w:ascii="宋体" w:hAnsi="宋体" w:cs="宋体"/>
          <w:bCs/>
          <w:color w:val="auto"/>
          <w:szCs w:val="32"/>
          <w:highlight w:val="none"/>
        </w:rPr>
        <w:t>三、关于投标保证金的承诺</w:t>
      </w:r>
      <w:r>
        <w:rPr>
          <w:color w:val="auto"/>
          <w:highlight w:val="none"/>
        </w:rPr>
        <w:tab/>
      </w:r>
      <w:r>
        <w:rPr>
          <w:color w:val="auto"/>
          <w:highlight w:val="none"/>
        </w:rPr>
        <w:fldChar w:fldCharType="begin"/>
      </w:r>
      <w:r>
        <w:rPr>
          <w:color w:val="auto"/>
          <w:highlight w:val="none"/>
        </w:rPr>
        <w:instrText xml:space="preserve"> PAGEREF _Toc15064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2B72CC9C">
      <w:pPr>
        <w:pStyle w:val="16"/>
        <w:tabs>
          <w:tab w:val="right" w:leader="dot" w:pos="8503"/>
        </w:tabs>
        <w:spacing w:line="360" w:lineRule="auto"/>
        <w:rPr>
          <w:color w:val="auto"/>
          <w:highlight w:val="none"/>
        </w:rPr>
      </w:pPr>
      <w:r>
        <w:rPr>
          <w:color w:val="auto"/>
          <w:highlight w:val="none"/>
        </w:rPr>
        <w:fldChar w:fldCharType="begin"/>
      </w:r>
      <w:r>
        <w:rPr>
          <w:color w:val="auto"/>
          <w:highlight w:val="none"/>
        </w:rPr>
        <w:instrText xml:space="preserve"> HYPERLINK \l "_Toc26045" </w:instrText>
      </w:r>
      <w:r>
        <w:rPr>
          <w:color w:val="auto"/>
          <w:highlight w:val="none"/>
        </w:rPr>
        <w:fldChar w:fldCharType="separate"/>
      </w:r>
      <w:r>
        <w:rPr>
          <w:rFonts w:hint="eastAsia" w:ascii="宋体" w:hAnsi="宋体" w:cs="宋体"/>
          <w:bCs/>
          <w:color w:val="auto"/>
          <w:szCs w:val="32"/>
          <w:highlight w:val="none"/>
        </w:rPr>
        <w:t>四、联合体协议书（如有）</w:t>
      </w:r>
      <w:r>
        <w:rPr>
          <w:color w:val="auto"/>
          <w:highlight w:val="none"/>
        </w:rPr>
        <w:tab/>
      </w:r>
      <w:r>
        <w:rPr>
          <w:color w:val="auto"/>
          <w:highlight w:val="none"/>
        </w:rPr>
        <w:fldChar w:fldCharType="begin"/>
      </w:r>
      <w:r>
        <w:rPr>
          <w:color w:val="auto"/>
          <w:highlight w:val="none"/>
        </w:rPr>
        <w:instrText xml:space="preserve"> PAGEREF _Toc26045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7C087AC4">
      <w:pPr>
        <w:pStyle w:val="16"/>
        <w:tabs>
          <w:tab w:val="right" w:leader="dot" w:pos="8503"/>
        </w:tabs>
        <w:spacing w:line="360" w:lineRule="auto"/>
        <w:rPr>
          <w:color w:val="auto"/>
          <w:highlight w:val="none"/>
        </w:rPr>
      </w:pPr>
      <w:r>
        <w:rPr>
          <w:color w:val="auto"/>
          <w:highlight w:val="none"/>
        </w:rPr>
        <w:fldChar w:fldCharType="begin"/>
      </w:r>
      <w:r>
        <w:rPr>
          <w:color w:val="auto"/>
          <w:highlight w:val="none"/>
        </w:rPr>
        <w:instrText xml:space="preserve"> HYPERLINK \l "_Toc4362" </w:instrText>
      </w:r>
      <w:r>
        <w:rPr>
          <w:color w:val="auto"/>
          <w:highlight w:val="none"/>
        </w:rPr>
        <w:fldChar w:fldCharType="separate"/>
      </w:r>
      <w:r>
        <w:rPr>
          <w:rFonts w:hint="eastAsia" w:ascii="宋体" w:hAnsi="宋体" w:cs="宋体"/>
          <w:bCs/>
          <w:color w:val="auto"/>
          <w:szCs w:val="32"/>
          <w:highlight w:val="none"/>
        </w:rPr>
        <w:t>五、资格审查资料</w:t>
      </w:r>
      <w:r>
        <w:rPr>
          <w:color w:val="auto"/>
          <w:highlight w:val="none"/>
        </w:rPr>
        <w:tab/>
      </w:r>
      <w:r>
        <w:rPr>
          <w:color w:val="auto"/>
          <w:highlight w:val="none"/>
        </w:rPr>
        <w:fldChar w:fldCharType="begin"/>
      </w:r>
      <w:r>
        <w:rPr>
          <w:color w:val="auto"/>
          <w:highlight w:val="none"/>
        </w:rPr>
        <w:instrText xml:space="preserve"> PAGEREF _Toc4362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3E57A634">
      <w:pPr>
        <w:pStyle w:val="16"/>
        <w:tabs>
          <w:tab w:val="right" w:leader="dot" w:pos="8503"/>
        </w:tabs>
        <w:spacing w:line="360" w:lineRule="auto"/>
        <w:rPr>
          <w:color w:val="auto"/>
          <w:highlight w:val="none"/>
        </w:rPr>
      </w:pPr>
      <w:r>
        <w:rPr>
          <w:color w:val="auto"/>
          <w:highlight w:val="none"/>
        </w:rPr>
        <w:fldChar w:fldCharType="begin"/>
      </w:r>
      <w:r>
        <w:rPr>
          <w:color w:val="auto"/>
          <w:highlight w:val="none"/>
        </w:rPr>
        <w:instrText xml:space="preserve"> HYPERLINK \l "_Toc7456" </w:instrText>
      </w:r>
      <w:r>
        <w:rPr>
          <w:color w:val="auto"/>
          <w:highlight w:val="none"/>
        </w:rPr>
        <w:fldChar w:fldCharType="separate"/>
      </w:r>
      <w:r>
        <w:rPr>
          <w:rFonts w:hint="eastAsia" w:ascii="宋体" w:hAnsi="宋体" w:cs="宋体"/>
          <w:bCs/>
          <w:color w:val="auto"/>
          <w:szCs w:val="32"/>
          <w:highlight w:val="none"/>
        </w:rPr>
        <w:t>六、类似项目业绩表</w:t>
      </w:r>
      <w:r>
        <w:rPr>
          <w:color w:val="auto"/>
          <w:highlight w:val="none"/>
        </w:rPr>
        <w:tab/>
      </w:r>
      <w:r>
        <w:rPr>
          <w:color w:val="auto"/>
          <w:highlight w:val="none"/>
        </w:rPr>
        <w:fldChar w:fldCharType="begin"/>
      </w:r>
      <w:r>
        <w:rPr>
          <w:color w:val="auto"/>
          <w:highlight w:val="none"/>
        </w:rPr>
        <w:instrText xml:space="preserve"> PAGEREF _Toc7456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282033D5">
      <w:pPr>
        <w:pStyle w:val="16"/>
        <w:tabs>
          <w:tab w:val="right" w:leader="dot" w:pos="8503"/>
        </w:tabs>
        <w:spacing w:line="360" w:lineRule="auto"/>
        <w:rPr>
          <w:color w:val="auto"/>
          <w:highlight w:val="none"/>
        </w:rPr>
      </w:pPr>
      <w:r>
        <w:rPr>
          <w:color w:val="auto"/>
          <w:highlight w:val="none"/>
        </w:rPr>
        <w:fldChar w:fldCharType="begin"/>
      </w:r>
      <w:r>
        <w:rPr>
          <w:color w:val="auto"/>
          <w:highlight w:val="none"/>
        </w:rPr>
        <w:instrText xml:space="preserve"> HYPERLINK \l "_Toc22808" </w:instrText>
      </w:r>
      <w:r>
        <w:rPr>
          <w:color w:val="auto"/>
          <w:highlight w:val="none"/>
        </w:rPr>
        <w:fldChar w:fldCharType="separate"/>
      </w:r>
      <w:r>
        <w:rPr>
          <w:rFonts w:hint="eastAsia" w:ascii="宋体" w:hAnsi="宋体" w:cs="宋体"/>
          <w:color w:val="auto"/>
          <w:highlight w:val="none"/>
        </w:rPr>
        <w:t>七、拟投入本项目的人员一览表</w:t>
      </w:r>
      <w:r>
        <w:rPr>
          <w:color w:val="auto"/>
          <w:highlight w:val="none"/>
        </w:rPr>
        <w:tab/>
      </w:r>
      <w:r>
        <w:rPr>
          <w:color w:val="auto"/>
          <w:highlight w:val="none"/>
        </w:rPr>
        <w:fldChar w:fldCharType="begin"/>
      </w:r>
      <w:r>
        <w:rPr>
          <w:color w:val="auto"/>
          <w:highlight w:val="none"/>
        </w:rPr>
        <w:instrText xml:space="preserve"> PAGEREF _Toc22808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223517FF">
      <w:pPr>
        <w:pStyle w:val="16"/>
        <w:tabs>
          <w:tab w:val="right" w:leader="dot" w:pos="8503"/>
        </w:tabs>
        <w:spacing w:line="360" w:lineRule="auto"/>
        <w:rPr>
          <w:color w:val="auto"/>
          <w:highlight w:val="none"/>
        </w:rPr>
      </w:pPr>
      <w:r>
        <w:rPr>
          <w:color w:val="auto"/>
          <w:highlight w:val="none"/>
        </w:rPr>
        <w:fldChar w:fldCharType="begin"/>
      </w:r>
      <w:r>
        <w:rPr>
          <w:color w:val="auto"/>
          <w:highlight w:val="none"/>
        </w:rPr>
        <w:instrText xml:space="preserve"> HYPERLINK \l "_Toc9717" </w:instrText>
      </w:r>
      <w:r>
        <w:rPr>
          <w:color w:val="auto"/>
          <w:highlight w:val="none"/>
        </w:rPr>
        <w:fldChar w:fldCharType="separate"/>
      </w:r>
      <w:r>
        <w:rPr>
          <w:rFonts w:hint="eastAsia" w:ascii="宋体" w:hAnsi="宋体" w:cs="宋体"/>
          <w:color w:val="auto"/>
          <w:highlight w:val="none"/>
        </w:rPr>
        <w:t>八、拟投入本项目的人员简历表</w:t>
      </w:r>
      <w:r>
        <w:rPr>
          <w:color w:val="auto"/>
          <w:highlight w:val="none"/>
        </w:rPr>
        <w:tab/>
      </w:r>
      <w:r>
        <w:rPr>
          <w:color w:val="auto"/>
          <w:highlight w:val="none"/>
        </w:rPr>
        <w:fldChar w:fldCharType="begin"/>
      </w:r>
      <w:r>
        <w:rPr>
          <w:color w:val="auto"/>
          <w:highlight w:val="none"/>
        </w:rPr>
        <w:instrText xml:space="preserve"> PAGEREF _Toc9717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3247E74A">
      <w:pPr>
        <w:pStyle w:val="16"/>
        <w:tabs>
          <w:tab w:val="right" w:leader="dot" w:pos="8503"/>
        </w:tabs>
        <w:spacing w:line="360" w:lineRule="auto"/>
        <w:rPr>
          <w:color w:val="auto"/>
          <w:highlight w:val="none"/>
        </w:rPr>
      </w:pPr>
      <w:r>
        <w:rPr>
          <w:color w:val="auto"/>
          <w:highlight w:val="none"/>
        </w:rPr>
        <w:fldChar w:fldCharType="begin"/>
      </w:r>
      <w:r>
        <w:rPr>
          <w:color w:val="auto"/>
          <w:highlight w:val="none"/>
        </w:rPr>
        <w:instrText xml:space="preserve"> HYPERLINK \l "_Toc6338" </w:instrText>
      </w:r>
      <w:r>
        <w:rPr>
          <w:color w:val="auto"/>
          <w:highlight w:val="none"/>
        </w:rPr>
        <w:fldChar w:fldCharType="separate"/>
      </w:r>
      <w:r>
        <w:rPr>
          <w:rFonts w:hint="eastAsia" w:ascii="宋体" w:hAnsi="宋体" w:cs="宋体"/>
          <w:color w:val="auto"/>
          <w:highlight w:val="none"/>
        </w:rPr>
        <w:t>九、拟投入本项目的主要仪器设备一览表</w:t>
      </w:r>
      <w:r>
        <w:rPr>
          <w:color w:val="auto"/>
          <w:highlight w:val="none"/>
        </w:rPr>
        <w:tab/>
      </w:r>
      <w:r>
        <w:rPr>
          <w:color w:val="auto"/>
          <w:highlight w:val="none"/>
        </w:rPr>
        <w:fldChar w:fldCharType="begin"/>
      </w:r>
      <w:r>
        <w:rPr>
          <w:color w:val="auto"/>
          <w:highlight w:val="none"/>
        </w:rPr>
        <w:instrText xml:space="preserve"> PAGEREF _Toc6338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6881E8DF">
      <w:pPr>
        <w:pStyle w:val="16"/>
        <w:tabs>
          <w:tab w:val="right" w:leader="dot" w:pos="8503"/>
        </w:tabs>
        <w:spacing w:line="360" w:lineRule="auto"/>
        <w:rPr>
          <w:color w:val="auto"/>
          <w:highlight w:val="none"/>
        </w:rPr>
      </w:pPr>
      <w:r>
        <w:rPr>
          <w:color w:val="auto"/>
          <w:highlight w:val="none"/>
        </w:rPr>
        <w:fldChar w:fldCharType="begin"/>
      </w:r>
      <w:r>
        <w:rPr>
          <w:color w:val="auto"/>
          <w:highlight w:val="none"/>
        </w:rPr>
        <w:instrText xml:space="preserve"> HYPERLINK \l "_Toc24856" </w:instrText>
      </w:r>
      <w:r>
        <w:rPr>
          <w:color w:val="auto"/>
          <w:highlight w:val="none"/>
        </w:rPr>
        <w:fldChar w:fldCharType="separate"/>
      </w:r>
      <w:r>
        <w:rPr>
          <w:rFonts w:hint="eastAsia" w:ascii="宋体" w:hAnsi="宋体" w:cs="宋体"/>
          <w:bCs/>
          <w:color w:val="auto"/>
          <w:szCs w:val="32"/>
          <w:highlight w:val="none"/>
        </w:rPr>
        <w:t>十、检测监测技术方案</w:t>
      </w:r>
      <w:r>
        <w:rPr>
          <w:color w:val="auto"/>
          <w:highlight w:val="none"/>
        </w:rPr>
        <w:tab/>
      </w:r>
      <w:r>
        <w:rPr>
          <w:color w:val="auto"/>
          <w:highlight w:val="none"/>
        </w:rPr>
        <w:fldChar w:fldCharType="begin"/>
      </w:r>
      <w:r>
        <w:rPr>
          <w:color w:val="auto"/>
          <w:highlight w:val="none"/>
        </w:rPr>
        <w:instrText xml:space="preserve"> PAGEREF _Toc24856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42143AF3">
      <w:pPr>
        <w:pStyle w:val="16"/>
        <w:tabs>
          <w:tab w:val="right" w:leader="dot" w:pos="8503"/>
        </w:tabs>
        <w:spacing w:line="360" w:lineRule="auto"/>
        <w:rPr>
          <w:color w:val="auto"/>
          <w:highlight w:val="none"/>
        </w:rPr>
      </w:pPr>
      <w:r>
        <w:rPr>
          <w:color w:val="auto"/>
          <w:highlight w:val="none"/>
        </w:rPr>
        <w:fldChar w:fldCharType="begin"/>
      </w:r>
      <w:r>
        <w:rPr>
          <w:color w:val="auto"/>
          <w:highlight w:val="none"/>
        </w:rPr>
        <w:instrText xml:space="preserve"> HYPERLINK \l "_Toc24338" </w:instrText>
      </w:r>
      <w:r>
        <w:rPr>
          <w:color w:val="auto"/>
          <w:highlight w:val="none"/>
        </w:rPr>
        <w:fldChar w:fldCharType="separate"/>
      </w:r>
      <w:r>
        <w:rPr>
          <w:rFonts w:hint="eastAsia" w:ascii="宋体" w:hAnsi="宋体" w:cs="宋体"/>
          <w:bCs/>
          <w:color w:val="auto"/>
          <w:szCs w:val="32"/>
          <w:highlight w:val="none"/>
        </w:rPr>
        <w:t>十一、投标人认为应该提供的其他资料</w:t>
      </w:r>
      <w:r>
        <w:rPr>
          <w:color w:val="auto"/>
          <w:highlight w:val="none"/>
        </w:rPr>
        <w:tab/>
      </w:r>
      <w:r>
        <w:rPr>
          <w:color w:val="auto"/>
          <w:highlight w:val="none"/>
        </w:rPr>
        <w:fldChar w:fldCharType="begin"/>
      </w:r>
      <w:r>
        <w:rPr>
          <w:color w:val="auto"/>
          <w:highlight w:val="none"/>
        </w:rPr>
        <w:instrText xml:space="preserve"> PAGEREF _Toc24338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5C166EEB">
      <w:pPr>
        <w:spacing w:line="360" w:lineRule="auto"/>
        <w:rPr>
          <w:rFonts w:ascii="宋体" w:hAnsi="宋体" w:cs="宋体"/>
          <w:b/>
          <w:bCs/>
          <w:color w:val="auto"/>
          <w:sz w:val="24"/>
          <w:szCs w:val="24"/>
          <w:highlight w:val="none"/>
        </w:rPr>
        <w:sectPr>
          <w:footerReference r:id="rId4" w:type="default"/>
          <w:pgSz w:w="11905" w:h="16838"/>
          <w:pgMar w:top="1418" w:right="1701" w:bottom="1418" w:left="1701" w:header="851" w:footer="794" w:gutter="0"/>
          <w:cols w:space="720" w:num="1"/>
          <w:docGrid w:type="lines" w:linePitch="312" w:charSpace="0"/>
        </w:sectPr>
      </w:pPr>
      <w:r>
        <w:rPr>
          <w:rFonts w:hint="eastAsia" w:ascii="宋体" w:hAnsi="宋体" w:cs="宋体"/>
          <w:color w:val="auto"/>
          <w:kern w:val="44"/>
          <w:szCs w:val="21"/>
          <w:highlight w:val="none"/>
        </w:rPr>
        <w:fldChar w:fldCharType="end"/>
      </w:r>
    </w:p>
    <w:p w14:paraId="1047F55A">
      <w:pPr>
        <w:pStyle w:val="3"/>
        <w:keepNext w:val="0"/>
        <w:keepLines w:val="0"/>
        <w:numPr>
          <w:ilvl w:val="0"/>
          <w:numId w:val="1"/>
        </w:numPr>
        <w:spacing w:line="360" w:lineRule="auto"/>
        <w:jc w:val="center"/>
        <w:rPr>
          <w:rFonts w:ascii="宋体" w:hAnsi="宋体" w:eastAsia="宋体" w:cs="宋体"/>
          <w:color w:val="auto"/>
          <w:highlight w:val="none"/>
        </w:rPr>
      </w:pPr>
      <w:bookmarkStart w:id="1" w:name="_Toc8029"/>
      <w:bookmarkStart w:id="2" w:name="_Toc525063243"/>
      <w:bookmarkStart w:id="3" w:name="_Toc532367869"/>
      <w:bookmarkStart w:id="4" w:name="_Toc11832"/>
      <w:bookmarkStart w:id="5" w:name="_Toc3857"/>
      <w:bookmarkStart w:id="6" w:name="_Toc17573"/>
      <w:bookmarkStart w:id="7" w:name="_Toc5050"/>
      <w:bookmarkStart w:id="8" w:name="_Toc18030"/>
      <w:bookmarkStart w:id="9" w:name="_Toc30437"/>
      <w:r>
        <w:rPr>
          <w:rFonts w:hint="eastAsia" w:ascii="宋体" w:hAnsi="宋体" w:eastAsia="宋体" w:cs="宋体"/>
          <w:color w:val="auto"/>
          <w:highlight w:val="none"/>
        </w:rPr>
        <w:t xml:space="preserve"> </w:t>
      </w:r>
      <w:bookmarkStart w:id="10" w:name="_Toc3058"/>
      <w:r>
        <w:rPr>
          <w:rFonts w:hint="eastAsia" w:ascii="宋体" w:hAnsi="宋体" w:eastAsia="宋体" w:cs="宋体"/>
          <w:color w:val="auto"/>
          <w:highlight w:val="none"/>
        </w:rPr>
        <w:t>招标公告</w:t>
      </w:r>
      <w:bookmarkEnd w:id="1"/>
      <w:bookmarkEnd w:id="2"/>
      <w:bookmarkEnd w:id="3"/>
      <w:bookmarkEnd w:id="4"/>
      <w:bookmarkEnd w:id="5"/>
      <w:bookmarkEnd w:id="6"/>
      <w:bookmarkEnd w:id="7"/>
      <w:bookmarkEnd w:id="8"/>
      <w:bookmarkEnd w:id="9"/>
      <w:bookmarkEnd w:id="10"/>
    </w:p>
    <w:p w14:paraId="28577EF7">
      <w:pPr>
        <w:spacing w:line="360" w:lineRule="auto"/>
        <w:rPr>
          <w:color w:val="auto"/>
          <w:highlight w:val="none"/>
        </w:rPr>
      </w:pPr>
    </w:p>
    <w:p w14:paraId="2E4C3266">
      <w:pPr>
        <w:spacing w:line="360" w:lineRule="auto"/>
        <w:jc w:val="center"/>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化龙镇化龙南路北半幅（城际化龙站至化龙大道段）工程地铁保护第三方监测</w:t>
      </w:r>
    </w:p>
    <w:p w14:paraId="2F7B0B4E">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招标公告（另册）</w:t>
      </w:r>
    </w:p>
    <w:p w14:paraId="5CC1ED02">
      <w:pPr>
        <w:spacing w:line="360" w:lineRule="auto"/>
        <w:rPr>
          <w:rFonts w:ascii="宋体" w:hAnsi="宋体" w:cs="宋体"/>
          <w:b/>
          <w:bCs/>
          <w:color w:val="auto"/>
          <w:sz w:val="44"/>
          <w:szCs w:val="44"/>
          <w:highlight w:val="none"/>
        </w:rPr>
      </w:pPr>
    </w:p>
    <w:p w14:paraId="2F75C0B9">
      <w:pPr>
        <w:spacing w:line="360" w:lineRule="auto"/>
        <w:rPr>
          <w:rFonts w:ascii="宋体" w:hAnsi="宋体" w:cs="宋体"/>
          <w:b/>
          <w:bCs/>
          <w:color w:val="auto"/>
          <w:sz w:val="44"/>
          <w:szCs w:val="44"/>
          <w:highlight w:val="none"/>
        </w:rPr>
        <w:sectPr>
          <w:footerReference r:id="rId5" w:type="default"/>
          <w:pgSz w:w="11905" w:h="16838"/>
          <w:pgMar w:top="1418" w:right="1701" w:bottom="1418" w:left="1701" w:header="851" w:footer="794" w:gutter="0"/>
          <w:cols w:space="720" w:num="1"/>
          <w:docGrid w:type="lines" w:linePitch="312" w:charSpace="0"/>
        </w:sectPr>
      </w:pPr>
    </w:p>
    <w:bookmarkEnd w:id="0"/>
    <w:p w14:paraId="5D9D99A1">
      <w:pPr>
        <w:pStyle w:val="3"/>
        <w:keepNext w:val="0"/>
        <w:keepLines w:val="0"/>
        <w:spacing w:line="360" w:lineRule="auto"/>
        <w:jc w:val="center"/>
        <w:rPr>
          <w:rFonts w:ascii="宋体" w:hAnsi="宋体" w:eastAsia="宋体" w:cs="宋体"/>
          <w:color w:val="auto"/>
          <w:highlight w:val="none"/>
        </w:rPr>
      </w:pPr>
      <w:bookmarkStart w:id="11" w:name="_Toc17191"/>
      <w:bookmarkStart w:id="12" w:name="_Toc525063244"/>
      <w:bookmarkStart w:id="13" w:name="_Toc11430"/>
      <w:bookmarkStart w:id="14" w:name="_Toc532367870"/>
      <w:bookmarkStart w:id="15" w:name="_Toc32023"/>
      <w:bookmarkStart w:id="16" w:name="_Toc25508"/>
      <w:bookmarkStart w:id="17" w:name="_Toc8572"/>
      <w:bookmarkStart w:id="18" w:name="_Toc25716"/>
      <w:bookmarkStart w:id="19" w:name="_Toc10944"/>
      <w:bookmarkStart w:id="20" w:name="_Toc21577"/>
      <w:r>
        <w:rPr>
          <w:rFonts w:hint="eastAsia" w:ascii="宋体" w:hAnsi="宋体" w:eastAsia="宋体" w:cs="宋体"/>
          <w:color w:val="auto"/>
          <w:highlight w:val="none"/>
        </w:rPr>
        <w:t>第二章  投标人须知</w:t>
      </w:r>
      <w:bookmarkEnd w:id="11"/>
      <w:bookmarkEnd w:id="12"/>
      <w:bookmarkEnd w:id="13"/>
      <w:bookmarkEnd w:id="14"/>
      <w:bookmarkEnd w:id="15"/>
      <w:bookmarkEnd w:id="16"/>
      <w:bookmarkEnd w:id="17"/>
      <w:bookmarkEnd w:id="18"/>
      <w:bookmarkEnd w:id="19"/>
      <w:bookmarkEnd w:id="20"/>
    </w:p>
    <w:p w14:paraId="2A2BE353">
      <w:pPr>
        <w:pStyle w:val="4"/>
        <w:keepNext w:val="0"/>
        <w:keepLines w:val="0"/>
        <w:spacing w:before="0" w:after="0" w:line="360" w:lineRule="auto"/>
        <w:jc w:val="center"/>
        <w:rPr>
          <w:rFonts w:ascii="宋体" w:hAnsi="宋体" w:eastAsia="宋体" w:cs="宋体"/>
          <w:color w:val="auto"/>
          <w:sz w:val="36"/>
          <w:szCs w:val="36"/>
          <w:highlight w:val="none"/>
        </w:rPr>
      </w:pPr>
      <w:bookmarkStart w:id="21" w:name="_Toc532367871"/>
      <w:bookmarkStart w:id="22" w:name="_Toc24433"/>
      <w:bookmarkStart w:id="23" w:name="_Toc25608"/>
      <w:bookmarkStart w:id="24" w:name="_Toc21151"/>
      <w:bookmarkStart w:id="25" w:name="_Toc390"/>
      <w:bookmarkStart w:id="26" w:name="_Toc16303"/>
      <w:bookmarkStart w:id="27" w:name="_Toc525063245"/>
      <w:bookmarkStart w:id="28" w:name="_Toc25358"/>
      <w:bookmarkStart w:id="29" w:name="_Toc32479"/>
      <w:bookmarkStart w:id="30" w:name="_Toc25024"/>
      <w:r>
        <w:rPr>
          <w:rFonts w:hint="eastAsia" w:ascii="宋体" w:hAnsi="宋体" w:eastAsia="宋体" w:cs="宋体"/>
          <w:color w:val="auto"/>
          <w:sz w:val="36"/>
          <w:szCs w:val="36"/>
          <w:highlight w:val="none"/>
        </w:rPr>
        <w:t>投标人须知前附表</w:t>
      </w:r>
      <w:bookmarkEnd w:id="21"/>
      <w:bookmarkEnd w:id="22"/>
      <w:bookmarkEnd w:id="23"/>
      <w:bookmarkEnd w:id="24"/>
      <w:bookmarkEnd w:id="25"/>
      <w:bookmarkEnd w:id="26"/>
      <w:bookmarkEnd w:id="27"/>
      <w:bookmarkEnd w:id="28"/>
      <w:bookmarkEnd w:id="29"/>
      <w:bookmarkEnd w:id="30"/>
    </w:p>
    <w:tbl>
      <w:tblPr>
        <w:tblStyle w:val="19"/>
        <w:tblW w:w="934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9"/>
        <w:gridCol w:w="2613"/>
        <w:gridCol w:w="5774"/>
      </w:tblGrid>
      <w:tr w14:paraId="21F98B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1" w:hRule="atLeast"/>
          <w:tblHeader/>
          <w:jc w:val="center"/>
        </w:trPr>
        <w:tc>
          <w:tcPr>
            <w:tcW w:w="959" w:type="dxa"/>
            <w:vAlign w:val="center"/>
          </w:tcPr>
          <w:p w14:paraId="1A9A5A1F">
            <w:pPr>
              <w:snapToGrid w:val="0"/>
              <w:spacing w:line="276"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2613" w:type="dxa"/>
            <w:vAlign w:val="center"/>
          </w:tcPr>
          <w:p w14:paraId="0B59AE6F">
            <w:pPr>
              <w:snapToGrid w:val="0"/>
              <w:spacing w:line="276" w:lineRule="auto"/>
              <w:jc w:val="center"/>
              <w:rPr>
                <w:rFonts w:ascii="宋体" w:hAnsi="宋体" w:cs="宋体"/>
                <w:b/>
                <w:color w:val="auto"/>
                <w:szCs w:val="21"/>
                <w:highlight w:val="none"/>
              </w:rPr>
            </w:pPr>
            <w:r>
              <w:rPr>
                <w:rFonts w:hint="eastAsia" w:ascii="宋体" w:hAnsi="宋体" w:cs="宋体"/>
                <w:b/>
                <w:color w:val="auto"/>
                <w:szCs w:val="21"/>
                <w:highlight w:val="none"/>
              </w:rPr>
              <w:t>条款名称</w:t>
            </w:r>
          </w:p>
        </w:tc>
        <w:tc>
          <w:tcPr>
            <w:tcW w:w="5774" w:type="dxa"/>
            <w:vAlign w:val="center"/>
          </w:tcPr>
          <w:p w14:paraId="33E86EAF">
            <w:pPr>
              <w:snapToGrid w:val="0"/>
              <w:spacing w:line="276" w:lineRule="auto"/>
              <w:jc w:val="center"/>
              <w:rPr>
                <w:rFonts w:ascii="宋体" w:hAnsi="宋体" w:cs="宋体"/>
                <w:b/>
                <w:color w:val="auto"/>
                <w:szCs w:val="21"/>
                <w:highlight w:val="none"/>
              </w:rPr>
            </w:pPr>
            <w:r>
              <w:rPr>
                <w:rFonts w:hint="eastAsia" w:ascii="宋体" w:hAnsi="宋体" w:cs="宋体"/>
                <w:b/>
                <w:color w:val="auto"/>
                <w:szCs w:val="21"/>
                <w:highlight w:val="none"/>
              </w:rPr>
              <w:t>编列内容</w:t>
            </w:r>
          </w:p>
        </w:tc>
      </w:tr>
      <w:tr w14:paraId="69F471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92" w:hRule="atLeast"/>
          <w:jc w:val="center"/>
        </w:trPr>
        <w:tc>
          <w:tcPr>
            <w:tcW w:w="959" w:type="dxa"/>
            <w:vAlign w:val="center"/>
          </w:tcPr>
          <w:p w14:paraId="667A1521">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1.1.2</w:t>
            </w:r>
          </w:p>
        </w:tc>
        <w:tc>
          <w:tcPr>
            <w:tcW w:w="2613" w:type="dxa"/>
            <w:vAlign w:val="center"/>
          </w:tcPr>
          <w:p w14:paraId="79A1B2D6">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招标人</w:t>
            </w:r>
          </w:p>
        </w:tc>
        <w:tc>
          <w:tcPr>
            <w:tcW w:w="5774" w:type="dxa"/>
            <w:vAlign w:val="center"/>
          </w:tcPr>
          <w:p w14:paraId="6C53F493">
            <w:pPr>
              <w:spacing w:line="276" w:lineRule="auto"/>
              <w:rPr>
                <w:rFonts w:ascii="宋体" w:hAnsi="宋体" w:cs="宋体"/>
                <w:color w:val="auto"/>
                <w:szCs w:val="21"/>
                <w:highlight w:val="none"/>
                <w:u w:val="single"/>
              </w:rPr>
            </w:pPr>
            <w:r>
              <w:rPr>
                <w:rFonts w:hint="eastAsia" w:ascii="宋体" w:hAnsi="宋体" w:cs="宋体"/>
                <w:color w:val="auto"/>
                <w:szCs w:val="21"/>
                <w:highlight w:val="none"/>
              </w:rPr>
              <w:t>名称：</w:t>
            </w:r>
            <w:r>
              <w:rPr>
                <w:rFonts w:hint="eastAsia" w:ascii="宋体" w:hAnsi="宋体" w:cs="宋体"/>
                <w:color w:val="auto"/>
                <w:szCs w:val="21"/>
                <w:highlight w:val="none"/>
                <w:u w:val="single"/>
              </w:rPr>
              <w:t>广州市番禺区基本建设投资管理中心</w:t>
            </w:r>
          </w:p>
          <w:p w14:paraId="24662108">
            <w:pPr>
              <w:spacing w:line="276" w:lineRule="auto"/>
              <w:rPr>
                <w:rFonts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广州市番禺区清河东路319号西副楼六楼</w:t>
            </w:r>
          </w:p>
          <w:p w14:paraId="501D5AF2">
            <w:pPr>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周工</w:t>
            </w:r>
          </w:p>
          <w:p w14:paraId="4FF02B29">
            <w:pPr>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电话：</w:t>
            </w:r>
            <w:r>
              <w:rPr>
                <w:rFonts w:ascii="宋体" w:hAnsi="宋体" w:cs="宋体"/>
                <w:color w:val="auto"/>
                <w:szCs w:val="21"/>
                <w:highlight w:val="none"/>
                <w:u w:val="single"/>
              </w:rPr>
              <w:t>020-84612339</w:t>
            </w:r>
          </w:p>
        </w:tc>
      </w:tr>
      <w:tr w14:paraId="06592B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98" w:hRule="atLeast"/>
          <w:jc w:val="center"/>
        </w:trPr>
        <w:tc>
          <w:tcPr>
            <w:tcW w:w="959" w:type="dxa"/>
            <w:vAlign w:val="center"/>
          </w:tcPr>
          <w:p w14:paraId="2593BAAA">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1.1.3</w:t>
            </w:r>
          </w:p>
        </w:tc>
        <w:tc>
          <w:tcPr>
            <w:tcW w:w="2613" w:type="dxa"/>
            <w:vAlign w:val="center"/>
          </w:tcPr>
          <w:p w14:paraId="06502A57">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招标代理机构</w:t>
            </w:r>
          </w:p>
        </w:tc>
        <w:tc>
          <w:tcPr>
            <w:tcW w:w="5774" w:type="dxa"/>
            <w:vAlign w:val="center"/>
          </w:tcPr>
          <w:p w14:paraId="0BE6E4C6">
            <w:pPr>
              <w:snapToGrid w:val="0"/>
              <w:spacing w:line="276" w:lineRule="auto"/>
              <w:rPr>
                <w:rFonts w:hint="eastAsia" w:ascii="宋体" w:hAnsi="宋体" w:eastAsia="宋体" w:cs="宋体"/>
                <w:color w:val="auto"/>
                <w:szCs w:val="21"/>
                <w:highlight w:val="none"/>
              </w:rPr>
            </w:pPr>
            <w:r>
              <w:rPr>
                <w:rFonts w:hint="eastAsia" w:ascii="宋体" w:hAnsi="宋体" w:cs="宋体"/>
                <w:color w:val="auto"/>
                <w:szCs w:val="21"/>
                <w:highlight w:val="none"/>
              </w:rPr>
              <w:t>名称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广州高新工程顾问有限公司</w:t>
            </w:r>
            <w:r>
              <w:rPr>
                <w:rFonts w:hint="eastAsia" w:ascii="宋体" w:hAnsi="宋体" w:eastAsia="宋体" w:cs="宋体"/>
                <w:color w:val="auto"/>
                <w:szCs w:val="21"/>
                <w:highlight w:val="none"/>
              </w:rPr>
              <w:t xml:space="preserve"> </w:t>
            </w:r>
          </w:p>
          <w:p w14:paraId="7B5CAE3E">
            <w:pPr>
              <w:snapToGrid w:val="0"/>
              <w:spacing w:line="276"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广州市天河区华观路1933号万科云城A栋503-504房</w:t>
            </w:r>
          </w:p>
          <w:p w14:paraId="5011D61F">
            <w:pPr>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val="en-US" w:eastAsia="zh-CN"/>
              </w:rPr>
              <w:t>何</w:t>
            </w:r>
            <w:r>
              <w:rPr>
                <w:rFonts w:hint="eastAsia" w:ascii="宋体" w:hAnsi="宋体" w:eastAsia="宋体" w:cs="宋体"/>
                <w:color w:val="auto"/>
                <w:szCs w:val="21"/>
                <w:highlight w:val="none"/>
              </w:rPr>
              <w:t>工</w:t>
            </w:r>
          </w:p>
          <w:p w14:paraId="2AD3CC8B">
            <w:pPr>
              <w:snapToGrid w:val="0"/>
              <w:spacing w:line="276"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lang w:val="en-US" w:eastAsia="zh-CN"/>
              </w:rPr>
              <w:t>13570237125</w:t>
            </w:r>
          </w:p>
        </w:tc>
      </w:tr>
      <w:tr w14:paraId="701101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9" w:type="dxa"/>
            <w:vAlign w:val="center"/>
          </w:tcPr>
          <w:p w14:paraId="0EEA1336">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1.1.4</w:t>
            </w:r>
          </w:p>
        </w:tc>
        <w:tc>
          <w:tcPr>
            <w:tcW w:w="2613" w:type="dxa"/>
            <w:vAlign w:val="center"/>
          </w:tcPr>
          <w:p w14:paraId="5636FDA7">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招标项目名称</w:t>
            </w:r>
          </w:p>
        </w:tc>
        <w:tc>
          <w:tcPr>
            <w:tcW w:w="5774" w:type="dxa"/>
            <w:vAlign w:val="center"/>
          </w:tcPr>
          <w:p w14:paraId="6DC72AB7">
            <w:pPr>
              <w:snapToGrid w:val="0"/>
              <w:spacing w:line="276"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化龙镇化龙南路北半幅（城际化龙站至化龙大道段）工程地铁保护第三方监测</w:t>
            </w:r>
          </w:p>
        </w:tc>
      </w:tr>
      <w:tr w14:paraId="6A8C0D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9" w:type="dxa"/>
            <w:vAlign w:val="center"/>
          </w:tcPr>
          <w:p w14:paraId="2D7D2A5C">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1.1.5</w:t>
            </w:r>
          </w:p>
        </w:tc>
        <w:tc>
          <w:tcPr>
            <w:tcW w:w="2613" w:type="dxa"/>
            <w:vAlign w:val="center"/>
          </w:tcPr>
          <w:p w14:paraId="40E639A7">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项目建设地点</w:t>
            </w:r>
          </w:p>
        </w:tc>
        <w:tc>
          <w:tcPr>
            <w:tcW w:w="5774" w:type="dxa"/>
            <w:vAlign w:val="center"/>
          </w:tcPr>
          <w:p w14:paraId="4AA93CBD">
            <w:pPr>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详见招标公告</w:t>
            </w:r>
          </w:p>
        </w:tc>
      </w:tr>
      <w:tr w14:paraId="76F4EF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9" w:type="dxa"/>
            <w:vAlign w:val="center"/>
          </w:tcPr>
          <w:p w14:paraId="1D431B65">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1.1.6</w:t>
            </w:r>
          </w:p>
        </w:tc>
        <w:tc>
          <w:tcPr>
            <w:tcW w:w="2613" w:type="dxa"/>
            <w:vAlign w:val="center"/>
          </w:tcPr>
          <w:p w14:paraId="14062BA1">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项目建设规模</w:t>
            </w:r>
          </w:p>
        </w:tc>
        <w:tc>
          <w:tcPr>
            <w:tcW w:w="5774" w:type="dxa"/>
            <w:vAlign w:val="center"/>
          </w:tcPr>
          <w:p w14:paraId="192FB9D5">
            <w:pPr>
              <w:snapToGrid w:val="0"/>
              <w:spacing w:line="276" w:lineRule="auto"/>
              <w:ind w:right="106"/>
              <w:rPr>
                <w:rFonts w:ascii="宋体" w:hAnsi="宋体" w:cs="宋体"/>
                <w:color w:val="auto"/>
                <w:szCs w:val="21"/>
                <w:highlight w:val="none"/>
              </w:rPr>
            </w:pPr>
            <w:r>
              <w:rPr>
                <w:rFonts w:hint="eastAsia" w:ascii="宋体" w:hAnsi="宋体" w:cs="宋体"/>
                <w:color w:val="auto"/>
                <w:szCs w:val="21"/>
                <w:highlight w:val="none"/>
              </w:rPr>
              <w:t>详见招标公告</w:t>
            </w:r>
          </w:p>
        </w:tc>
      </w:tr>
      <w:tr w14:paraId="78E651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36" w:hRule="atLeast"/>
          <w:jc w:val="center"/>
        </w:trPr>
        <w:tc>
          <w:tcPr>
            <w:tcW w:w="959" w:type="dxa"/>
            <w:vAlign w:val="center"/>
          </w:tcPr>
          <w:p w14:paraId="11C95681">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1.1.7</w:t>
            </w:r>
          </w:p>
        </w:tc>
        <w:tc>
          <w:tcPr>
            <w:tcW w:w="2613" w:type="dxa"/>
            <w:vAlign w:val="center"/>
          </w:tcPr>
          <w:p w14:paraId="1E6DFD42">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工程项目施工工期和监测服务期</w:t>
            </w:r>
          </w:p>
        </w:tc>
        <w:tc>
          <w:tcPr>
            <w:tcW w:w="5774" w:type="dxa"/>
            <w:vAlign w:val="center"/>
          </w:tcPr>
          <w:p w14:paraId="308DEC68">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施工计划工期约</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个月，本项目监测服务期从乙方单位进场至完成所有监测项目，服务周期必须满足实际施工要求。</w:t>
            </w:r>
          </w:p>
        </w:tc>
      </w:tr>
      <w:tr w14:paraId="0B2AA6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959" w:type="dxa"/>
            <w:vAlign w:val="center"/>
          </w:tcPr>
          <w:p w14:paraId="30FD6576">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1.1.8</w:t>
            </w:r>
          </w:p>
        </w:tc>
        <w:tc>
          <w:tcPr>
            <w:tcW w:w="2613" w:type="dxa"/>
            <w:vAlign w:val="center"/>
          </w:tcPr>
          <w:p w14:paraId="2710A018">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建筑安装工程费/工程概算</w:t>
            </w:r>
          </w:p>
        </w:tc>
        <w:tc>
          <w:tcPr>
            <w:tcW w:w="5774" w:type="dxa"/>
            <w:vAlign w:val="center"/>
          </w:tcPr>
          <w:p w14:paraId="62EE0365">
            <w:pPr>
              <w:snapToGrid w:val="0"/>
              <w:spacing w:line="276" w:lineRule="auto"/>
              <w:jc w:val="left"/>
              <w:rPr>
                <w:rFonts w:ascii="宋体" w:hAnsi="宋体" w:cs="宋体"/>
                <w:color w:val="auto"/>
                <w:szCs w:val="21"/>
                <w:highlight w:val="none"/>
              </w:rPr>
            </w:pPr>
            <w:r>
              <w:rPr>
                <w:rFonts w:hint="eastAsia" w:ascii="宋体" w:hAnsi="宋体" w:cs="宋体"/>
                <w:color w:val="auto"/>
                <w:szCs w:val="21"/>
                <w:highlight w:val="none"/>
              </w:rPr>
              <w:t>详见招标公告</w:t>
            </w:r>
          </w:p>
        </w:tc>
      </w:tr>
      <w:tr w14:paraId="5DDAB7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9" w:type="dxa"/>
            <w:vAlign w:val="center"/>
          </w:tcPr>
          <w:p w14:paraId="485507FC">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1.2.1</w:t>
            </w:r>
          </w:p>
        </w:tc>
        <w:tc>
          <w:tcPr>
            <w:tcW w:w="2613" w:type="dxa"/>
            <w:vAlign w:val="center"/>
          </w:tcPr>
          <w:p w14:paraId="77F977B9">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资金来源及比例</w:t>
            </w:r>
          </w:p>
        </w:tc>
        <w:tc>
          <w:tcPr>
            <w:tcW w:w="5774" w:type="dxa"/>
            <w:vAlign w:val="center"/>
          </w:tcPr>
          <w:p w14:paraId="79033D71">
            <w:pPr>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详见招标公告</w:t>
            </w:r>
          </w:p>
        </w:tc>
      </w:tr>
      <w:tr w14:paraId="28C562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9" w:type="dxa"/>
            <w:vAlign w:val="center"/>
          </w:tcPr>
          <w:p w14:paraId="2C3F98B0">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1.2.2</w:t>
            </w:r>
          </w:p>
        </w:tc>
        <w:tc>
          <w:tcPr>
            <w:tcW w:w="2613" w:type="dxa"/>
            <w:vAlign w:val="center"/>
          </w:tcPr>
          <w:p w14:paraId="2822C7D8">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资金落实情况</w:t>
            </w:r>
          </w:p>
        </w:tc>
        <w:tc>
          <w:tcPr>
            <w:tcW w:w="5774" w:type="dxa"/>
            <w:vAlign w:val="center"/>
          </w:tcPr>
          <w:p w14:paraId="51BD756C">
            <w:pPr>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已落实</w:t>
            </w:r>
          </w:p>
        </w:tc>
      </w:tr>
      <w:tr w14:paraId="636ED5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9" w:type="dxa"/>
            <w:vAlign w:val="center"/>
          </w:tcPr>
          <w:p w14:paraId="0493DA5D">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1.3.1</w:t>
            </w:r>
          </w:p>
        </w:tc>
        <w:tc>
          <w:tcPr>
            <w:tcW w:w="2613" w:type="dxa"/>
            <w:vAlign w:val="center"/>
          </w:tcPr>
          <w:p w14:paraId="7E8B9242">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招标范围</w:t>
            </w:r>
          </w:p>
        </w:tc>
        <w:tc>
          <w:tcPr>
            <w:tcW w:w="5774" w:type="dxa"/>
            <w:vAlign w:val="center"/>
          </w:tcPr>
          <w:p w14:paraId="51B885F6">
            <w:pPr>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详见招标公告</w:t>
            </w:r>
          </w:p>
        </w:tc>
      </w:tr>
      <w:tr w14:paraId="67FEC3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959" w:type="dxa"/>
            <w:vAlign w:val="center"/>
          </w:tcPr>
          <w:p w14:paraId="13CB4716">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1.3.2</w:t>
            </w:r>
          </w:p>
        </w:tc>
        <w:tc>
          <w:tcPr>
            <w:tcW w:w="2613" w:type="dxa"/>
            <w:vAlign w:val="center"/>
          </w:tcPr>
          <w:p w14:paraId="5E1464F2">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服务期限</w:t>
            </w:r>
          </w:p>
        </w:tc>
        <w:tc>
          <w:tcPr>
            <w:tcW w:w="5774" w:type="dxa"/>
            <w:vAlign w:val="center"/>
          </w:tcPr>
          <w:p w14:paraId="3892DA19">
            <w:pPr>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详见招标公告</w:t>
            </w:r>
          </w:p>
        </w:tc>
      </w:tr>
      <w:tr w14:paraId="56AB34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959" w:type="dxa"/>
            <w:vAlign w:val="center"/>
          </w:tcPr>
          <w:p w14:paraId="51A6068D">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1.3.3</w:t>
            </w:r>
          </w:p>
        </w:tc>
        <w:tc>
          <w:tcPr>
            <w:tcW w:w="2613" w:type="dxa"/>
            <w:vAlign w:val="center"/>
          </w:tcPr>
          <w:p w14:paraId="5AB66CC6">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质量标准</w:t>
            </w:r>
          </w:p>
        </w:tc>
        <w:tc>
          <w:tcPr>
            <w:tcW w:w="5774" w:type="dxa"/>
            <w:vAlign w:val="center"/>
          </w:tcPr>
          <w:p w14:paraId="1F4B3F43">
            <w:pPr>
              <w:snapToGrid w:val="0"/>
              <w:spacing w:line="276" w:lineRule="auto"/>
              <w:ind w:right="106"/>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质量符合国家和行业现行规定验收标准，确保监测项目及数量能满足建设行政主管部门的施工质量的验收和备案要求。包括但不限于监测布设的点数、监测频率、服务周期等必须满足实际施工要求。</w:t>
            </w:r>
          </w:p>
        </w:tc>
      </w:tr>
      <w:tr w14:paraId="0DB216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3" w:hRule="atLeast"/>
          <w:jc w:val="center"/>
        </w:trPr>
        <w:tc>
          <w:tcPr>
            <w:tcW w:w="959" w:type="dxa"/>
            <w:vAlign w:val="center"/>
          </w:tcPr>
          <w:p w14:paraId="4B8A14D0">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1.4.1</w:t>
            </w:r>
          </w:p>
        </w:tc>
        <w:tc>
          <w:tcPr>
            <w:tcW w:w="2613" w:type="dxa"/>
            <w:vAlign w:val="center"/>
          </w:tcPr>
          <w:p w14:paraId="72EBFC17">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投标人资质条件、能力、信誉</w:t>
            </w:r>
          </w:p>
        </w:tc>
        <w:tc>
          <w:tcPr>
            <w:tcW w:w="5774" w:type="dxa"/>
            <w:vAlign w:val="center"/>
          </w:tcPr>
          <w:p w14:paraId="21831B27">
            <w:pPr>
              <w:snapToGrid w:val="0"/>
              <w:spacing w:line="276" w:lineRule="auto"/>
              <w:ind w:firstLine="29" w:firstLineChars="14"/>
              <w:rPr>
                <w:rFonts w:ascii="宋体" w:hAnsi="宋体" w:cs="宋体"/>
                <w:color w:val="auto"/>
                <w:szCs w:val="21"/>
                <w:highlight w:val="none"/>
              </w:rPr>
            </w:pPr>
            <w:r>
              <w:rPr>
                <w:rFonts w:hint="eastAsia" w:ascii="宋体" w:hAnsi="宋体" w:cs="宋体"/>
                <w:color w:val="auto"/>
                <w:szCs w:val="21"/>
                <w:highlight w:val="none"/>
              </w:rPr>
              <w:t>（1）资质要求：详见招标公告投标人资格要求。</w:t>
            </w:r>
          </w:p>
          <w:p w14:paraId="795CD357">
            <w:pPr>
              <w:snapToGrid w:val="0"/>
              <w:spacing w:line="276" w:lineRule="auto"/>
              <w:ind w:firstLine="29" w:firstLineChars="14"/>
              <w:rPr>
                <w:rFonts w:ascii="宋体" w:hAnsi="宋体" w:cs="宋体"/>
                <w:color w:val="auto"/>
                <w:szCs w:val="21"/>
                <w:highlight w:val="none"/>
              </w:rPr>
            </w:pPr>
            <w:r>
              <w:rPr>
                <w:rFonts w:hint="eastAsia" w:ascii="宋体" w:hAnsi="宋体" w:cs="宋体"/>
                <w:color w:val="auto"/>
                <w:szCs w:val="21"/>
                <w:highlight w:val="none"/>
              </w:rPr>
              <w:t>（2）财务要求：/（不作为资格审查内容）</w:t>
            </w:r>
          </w:p>
          <w:p w14:paraId="429286AD">
            <w:pPr>
              <w:snapToGrid w:val="0"/>
              <w:spacing w:line="276" w:lineRule="auto"/>
              <w:ind w:right="106"/>
              <w:rPr>
                <w:rFonts w:ascii="宋体" w:hAnsi="宋体" w:cs="宋体"/>
                <w:color w:val="auto"/>
                <w:szCs w:val="21"/>
                <w:highlight w:val="none"/>
              </w:rPr>
            </w:pPr>
            <w:r>
              <w:rPr>
                <w:rFonts w:hint="eastAsia" w:ascii="宋体" w:hAnsi="宋体" w:cs="宋体"/>
                <w:color w:val="auto"/>
                <w:szCs w:val="21"/>
                <w:highlight w:val="none"/>
              </w:rPr>
              <w:t>（3）业绩要求：/（不作为资格审查内容）</w:t>
            </w:r>
          </w:p>
          <w:p w14:paraId="492D69E7">
            <w:pPr>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（4）信誉要求：/（不作为资格审查内容）</w:t>
            </w:r>
          </w:p>
          <w:p w14:paraId="45D59697">
            <w:pPr>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（5）项目负责人的资格要求：详见招标公告投标人资格要求。</w:t>
            </w:r>
          </w:p>
          <w:p w14:paraId="6FADC654">
            <w:pPr>
              <w:snapToGrid w:val="0"/>
              <w:spacing w:line="276" w:lineRule="auto"/>
              <w:ind w:right="106"/>
              <w:rPr>
                <w:rFonts w:ascii="宋体" w:hAnsi="宋体" w:cs="宋体"/>
                <w:color w:val="auto"/>
                <w:szCs w:val="21"/>
                <w:highlight w:val="none"/>
              </w:rPr>
            </w:pPr>
            <w:r>
              <w:rPr>
                <w:rFonts w:hint="eastAsia" w:ascii="宋体" w:hAnsi="宋体" w:cs="宋体"/>
                <w:color w:val="auto"/>
                <w:szCs w:val="21"/>
                <w:highlight w:val="none"/>
              </w:rPr>
              <w:t>（6）其他主要人员要求：/（不作为资格审查内容）</w:t>
            </w:r>
          </w:p>
          <w:p w14:paraId="609D3974">
            <w:pPr>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（7）试验仪器设备要求：/（不作为资格审查内容）</w:t>
            </w:r>
          </w:p>
          <w:p w14:paraId="3AE350EB">
            <w:pPr>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（8）其他要求：见招标公告投标人资格要求。</w:t>
            </w:r>
          </w:p>
        </w:tc>
      </w:tr>
      <w:tr w14:paraId="0AE6E6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9" w:hRule="atLeast"/>
          <w:jc w:val="center"/>
        </w:trPr>
        <w:tc>
          <w:tcPr>
            <w:tcW w:w="959" w:type="dxa"/>
            <w:vAlign w:val="center"/>
          </w:tcPr>
          <w:p w14:paraId="015CA53B">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1.4.2</w:t>
            </w:r>
          </w:p>
        </w:tc>
        <w:tc>
          <w:tcPr>
            <w:tcW w:w="2613" w:type="dxa"/>
            <w:vAlign w:val="center"/>
          </w:tcPr>
          <w:p w14:paraId="7FAE8E7F">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是否接受联合体投标</w:t>
            </w:r>
          </w:p>
        </w:tc>
        <w:tc>
          <w:tcPr>
            <w:tcW w:w="5774" w:type="dxa"/>
            <w:vAlign w:val="center"/>
          </w:tcPr>
          <w:p w14:paraId="3F1C03E4">
            <w:pPr>
              <w:topLinePunct/>
              <w:spacing w:line="276" w:lineRule="auto"/>
              <w:rPr>
                <w:rFonts w:ascii="宋体" w:hAnsi="宋体" w:cs="宋体"/>
                <w:color w:val="auto"/>
                <w:szCs w:val="21"/>
                <w:highlight w:val="none"/>
              </w:rPr>
            </w:pPr>
            <w:r>
              <w:rPr>
                <w:rFonts w:hint="eastAsia" w:ascii="宋体" w:hAnsi="宋体" w:cs="宋体"/>
                <w:color w:val="auto"/>
                <w:szCs w:val="21"/>
                <w:highlight w:val="none"/>
              </w:rPr>
              <w:t>□不接受</w:t>
            </w:r>
          </w:p>
          <w:p w14:paraId="5F488B3B">
            <w:pPr>
              <w:topLinePunct/>
              <w:spacing w:line="276" w:lineRule="auto"/>
              <w:rPr>
                <w:rFonts w:ascii="宋体" w:hAnsi="宋体" w:cs="宋体"/>
                <w:color w:val="auto"/>
                <w:szCs w:val="21"/>
                <w:highlight w:val="none"/>
              </w:rPr>
            </w:pPr>
            <w:r>
              <w:rPr>
                <w:rFonts w:hint="eastAsia" w:ascii="宋体" w:hAnsi="宋体" w:cs="宋体"/>
                <w:color w:val="auto"/>
                <w:szCs w:val="21"/>
                <w:highlight w:val="none"/>
              </w:rPr>
              <w:t>■接受，应满足</w:t>
            </w:r>
            <w:r>
              <w:rPr>
                <w:rFonts w:hint="eastAsia" w:ascii="宋体" w:hAnsi="宋体" w:cs="宋体"/>
                <w:color w:val="auto"/>
                <w:szCs w:val="21"/>
                <w:highlight w:val="none"/>
                <w:u w:val="single"/>
              </w:rPr>
              <w:t>招标公告</w:t>
            </w:r>
            <w:r>
              <w:rPr>
                <w:rFonts w:hint="eastAsia" w:ascii="宋体" w:hAnsi="宋体" w:cs="宋体"/>
                <w:color w:val="auto"/>
                <w:szCs w:val="21"/>
                <w:highlight w:val="none"/>
              </w:rPr>
              <w:t>要求</w:t>
            </w:r>
          </w:p>
        </w:tc>
      </w:tr>
      <w:tr w14:paraId="2556B7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6" w:hRule="atLeast"/>
          <w:jc w:val="center"/>
        </w:trPr>
        <w:tc>
          <w:tcPr>
            <w:tcW w:w="959" w:type="dxa"/>
            <w:vAlign w:val="center"/>
          </w:tcPr>
          <w:p w14:paraId="7EB9DDA0">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1.4.3</w:t>
            </w:r>
          </w:p>
        </w:tc>
        <w:tc>
          <w:tcPr>
            <w:tcW w:w="2613" w:type="dxa"/>
            <w:vAlign w:val="center"/>
          </w:tcPr>
          <w:p w14:paraId="1E7D2F0A">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投标人不得存在的其他情形</w:t>
            </w:r>
          </w:p>
        </w:tc>
        <w:tc>
          <w:tcPr>
            <w:tcW w:w="5774" w:type="dxa"/>
            <w:vAlign w:val="center"/>
          </w:tcPr>
          <w:p w14:paraId="2043DFBA">
            <w:pPr>
              <w:pStyle w:val="17"/>
              <w:spacing w:after="0" w:line="276" w:lineRule="auto"/>
              <w:ind w:firstLine="0"/>
              <w:rPr>
                <w:rFonts w:ascii="宋体" w:hAnsi="宋体" w:cs="宋体"/>
                <w:color w:val="auto"/>
                <w:szCs w:val="21"/>
                <w:highlight w:val="none"/>
              </w:rPr>
            </w:pPr>
            <w:r>
              <w:rPr>
                <w:rFonts w:hint="eastAsia" w:ascii="宋体" w:hAnsi="宋体" w:cs="宋体"/>
                <w:color w:val="auto"/>
                <w:szCs w:val="21"/>
                <w:highlight w:val="none"/>
                <w:u w:val="single"/>
              </w:rPr>
              <w:t>/</w:t>
            </w:r>
          </w:p>
        </w:tc>
      </w:tr>
      <w:tr w14:paraId="427186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1" w:hRule="atLeast"/>
          <w:jc w:val="center"/>
        </w:trPr>
        <w:tc>
          <w:tcPr>
            <w:tcW w:w="959" w:type="dxa"/>
            <w:vAlign w:val="center"/>
          </w:tcPr>
          <w:p w14:paraId="09689C2F">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1.9.1</w:t>
            </w:r>
          </w:p>
        </w:tc>
        <w:tc>
          <w:tcPr>
            <w:tcW w:w="2613" w:type="dxa"/>
            <w:vAlign w:val="center"/>
          </w:tcPr>
          <w:p w14:paraId="6DC2AD31">
            <w:pPr>
              <w:snapToGrid w:val="0"/>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踏勘现场</w:t>
            </w:r>
          </w:p>
        </w:tc>
        <w:tc>
          <w:tcPr>
            <w:tcW w:w="5774" w:type="dxa"/>
            <w:vAlign w:val="center"/>
          </w:tcPr>
          <w:p w14:paraId="6F74C634">
            <w:pPr>
              <w:pStyle w:val="8"/>
              <w:topLinePunct/>
              <w:spacing w:line="276" w:lineRule="auto"/>
              <w:rPr>
                <w:rFonts w:hAnsi="宋体" w:cs="宋体"/>
                <w:color w:val="auto"/>
                <w:sz w:val="21"/>
                <w:szCs w:val="21"/>
                <w:highlight w:val="none"/>
              </w:rPr>
            </w:pPr>
            <w:r>
              <w:rPr>
                <w:rFonts w:hint="eastAsia" w:hAnsi="宋体" w:cs="宋体"/>
                <w:color w:val="auto"/>
                <w:sz w:val="21"/>
                <w:szCs w:val="21"/>
                <w:highlight w:val="none"/>
              </w:rPr>
              <w:t>■不组织</w:t>
            </w:r>
          </w:p>
          <w:p w14:paraId="5F049F9D">
            <w:pPr>
              <w:pStyle w:val="8"/>
              <w:topLinePunct/>
              <w:spacing w:line="276" w:lineRule="auto"/>
              <w:rPr>
                <w:rFonts w:hAnsi="宋体" w:cs="宋体"/>
                <w:color w:val="auto"/>
                <w:sz w:val="21"/>
                <w:szCs w:val="21"/>
                <w:highlight w:val="none"/>
              </w:rPr>
            </w:pPr>
            <w:r>
              <w:rPr>
                <w:rFonts w:hint="eastAsia" w:hAnsi="宋体" w:cs="宋体"/>
                <w:color w:val="auto"/>
                <w:sz w:val="21"/>
                <w:szCs w:val="21"/>
                <w:highlight w:val="none"/>
              </w:rPr>
              <w:t>□组织，踏勘时间：         踏勘集中地点：</w:t>
            </w:r>
          </w:p>
        </w:tc>
      </w:tr>
      <w:tr w14:paraId="347166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3" w:hRule="atLeast"/>
          <w:jc w:val="center"/>
        </w:trPr>
        <w:tc>
          <w:tcPr>
            <w:tcW w:w="959" w:type="dxa"/>
            <w:vAlign w:val="center"/>
          </w:tcPr>
          <w:p w14:paraId="4822622C">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1.10.1</w:t>
            </w:r>
          </w:p>
        </w:tc>
        <w:tc>
          <w:tcPr>
            <w:tcW w:w="2613" w:type="dxa"/>
            <w:vAlign w:val="center"/>
          </w:tcPr>
          <w:p w14:paraId="102D3773">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投标预备会</w:t>
            </w:r>
          </w:p>
        </w:tc>
        <w:tc>
          <w:tcPr>
            <w:tcW w:w="5774" w:type="dxa"/>
            <w:vAlign w:val="center"/>
          </w:tcPr>
          <w:p w14:paraId="211FFF6F">
            <w:pPr>
              <w:pStyle w:val="8"/>
              <w:topLinePunct/>
              <w:spacing w:line="276" w:lineRule="auto"/>
              <w:rPr>
                <w:rFonts w:hAnsi="宋体" w:cs="宋体"/>
                <w:color w:val="auto"/>
                <w:sz w:val="21"/>
                <w:szCs w:val="21"/>
                <w:highlight w:val="none"/>
              </w:rPr>
            </w:pPr>
            <w:r>
              <w:rPr>
                <w:rFonts w:hint="eastAsia" w:hAnsi="宋体" w:cs="宋体"/>
                <w:color w:val="auto"/>
                <w:sz w:val="21"/>
                <w:szCs w:val="21"/>
                <w:highlight w:val="none"/>
              </w:rPr>
              <w:t>■不召开</w:t>
            </w:r>
          </w:p>
          <w:p w14:paraId="748B9B24">
            <w:pPr>
              <w:spacing w:line="276" w:lineRule="auto"/>
              <w:rPr>
                <w:rFonts w:ascii="宋体" w:hAnsi="宋体" w:cs="宋体"/>
                <w:color w:val="auto"/>
                <w:szCs w:val="21"/>
                <w:highlight w:val="none"/>
              </w:rPr>
            </w:pPr>
            <w:r>
              <w:rPr>
                <w:rFonts w:hint="eastAsia" w:ascii="宋体" w:hAnsi="宋体" w:cs="宋体"/>
                <w:color w:val="auto"/>
                <w:szCs w:val="21"/>
                <w:highlight w:val="none"/>
              </w:rPr>
              <w:t>□召开，召开时间：         召开地点：</w:t>
            </w:r>
          </w:p>
        </w:tc>
      </w:tr>
      <w:tr w14:paraId="01DE3A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959" w:type="dxa"/>
            <w:vMerge w:val="restart"/>
            <w:vAlign w:val="center"/>
          </w:tcPr>
          <w:p w14:paraId="3FD9663A">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1.10.2</w:t>
            </w:r>
          </w:p>
        </w:tc>
        <w:tc>
          <w:tcPr>
            <w:tcW w:w="2613" w:type="dxa"/>
            <w:vMerge w:val="restart"/>
            <w:vAlign w:val="center"/>
          </w:tcPr>
          <w:p w14:paraId="29A2BD38">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投标人在投标预备会前提出问题</w:t>
            </w:r>
          </w:p>
        </w:tc>
        <w:tc>
          <w:tcPr>
            <w:tcW w:w="5774" w:type="dxa"/>
            <w:vAlign w:val="center"/>
          </w:tcPr>
          <w:p w14:paraId="6C998CEB">
            <w:pPr>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u w:val="single"/>
              </w:rPr>
              <w:t xml:space="preserve"> / （本项目不召开投标预备会）</w:t>
            </w:r>
          </w:p>
        </w:tc>
      </w:tr>
      <w:tr w14:paraId="500700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959" w:type="dxa"/>
            <w:vMerge w:val="continue"/>
            <w:vAlign w:val="center"/>
          </w:tcPr>
          <w:p w14:paraId="561A3253">
            <w:pPr>
              <w:keepNext/>
              <w:keepLines/>
              <w:snapToGrid w:val="0"/>
              <w:spacing w:line="276" w:lineRule="auto"/>
              <w:jc w:val="center"/>
              <w:outlineLvl w:val="2"/>
              <w:rPr>
                <w:rFonts w:ascii="宋体" w:hAnsi="宋体" w:cs="宋体"/>
                <w:color w:val="auto"/>
                <w:szCs w:val="21"/>
                <w:highlight w:val="none"/>
              </w:rPr>
            </w:pPr>
          </w:p>
        </w:tc>
        <w:tc>
          <w:tcPr>
            <w:tcW w:w="2613" w:type="dxa"/>
            <w:vMerge w:val="continue"/>
            <w:vAlign w:val="center"/>
          </w:tcPr>
          <w:p w14:paraId="2E27B167">
            <w:pPr>
              <w:keepNext/>
              <w:keepLines/>
              <w:snapToGrid w:val="0"/>
              <w:spacing w:line="276" w:lineRule="auto"/>
              <w:jc w:val="center"/>
              <w:outlineLvl w:val="2"/>
              <w:rPr>
                <w:rFonts w:ascii="宋体" w:hAnsi="宋体" w:cs="宋体"/>
                <w:color w:val="auto"/>
                <w:szCs w:val="21"/>
                <w:highlight w:val="none"/>
              </w:rPr>
            </w:pPr>
          </w:p>
        </w:tc>
        <w:tc>
          <w:tcPr>
            <w:tcW w:w="5774" w:type="dxa"/>
            <w:vAlign w:val="center"/>
          </w:tcPr>
          <w:p w14:paraId="4A327A48">
            <w:pPr>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形式：</w:t>
            </w:r>
            <w:r>
              <w:rPr>
                <w:rFonts w:hint="eastAsia" w:ascii="宋体" w:hAnsi="宋体" w:cs="宋体"/>
                <w:color w:val="auto"/>
                <w:szCs w:val="21"/>
                <w:highlight w:val="none"/>
                <w:u w:val="single"/>
              </w:rPr>
              <w:t xml:space="preserve"> / （本项目不召开投标预备会）</w:t>
            </w:r>
          </w:p>
        </w:tc>
      </w:tr>
      <w:tr w14:paraId="0A65D1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6" w:hRule="atLeast"/>
          <w:jc w:val="center"/>
        </w:trPr>
        <w:tc>
          <w:tcPr>
            <w:tcW w:w="959" w:type="dxa"/>
            <w:vAlign w:val="center"/>
          </w:tcPr>
          <w:p w14:paraId="53875A5F">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1.10.3</w:t>
            </w:r>
          </w:p>
        </w:tc>
        <w:tc>
          <w:tcPr>
            <w:tcW w:w="2613" w:type="dxa"/>
            <w:vAlign w:val="center"/>
          </w:tcPr>
          <w:p w14:paraId="14F44978">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招标文件澄清发出的形式</w:t>
            </w:r>
          </w:p>
        </w:tc>
        <w:tc>
          <w:tcPr>
            <w:tcW w:w="5774" w:type="dxa"/>
            <w:vAlign w:val="center"/>
          </w:tcPr>
          <w:p w14:paraId="54C34F2A">
            <w:pPr>
              <w:snapToGrid w:val="0"/>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 xml:space="preserve">   /  （不召开投标预备会，此为投标预备会的答疑澄清）</w:t>
            </w:r>
          </w:p>
        </w:tc>
      </w:tr>
      <w:tr w14:paraId="49A2B0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6" w:hRule="atLeast"/>
          <w:jc w:val="center"/>
        </w:trPr>
        <w:tc>
          <w:tcPr>
            <w:tcW w:w="959" w:type="dxa"/>
            <w:vAlign w:val="center"/>
          </w:tcPr>
          <w:p w14:paraId="661D9C28">
            <w:pPr>
              <w:snapToGrid w:val="0"/>
              <w:spacing w:line="276" w:lineRule="auto"/>
              <w:jc w:val="center"/>
              <w:rPr>
                <w:rFonts w:ascii="宋体" w:hAnsi="宋体" w:cs="宋体"/>
                <w:color w:val="auto"/>
                <w:szCs w:val="21"/>
                <w:highlight w:val="none"/>
                <w:u w:val="single"/>
              </w:rPr>
            </w:pPr>
            <w:r>
              <w:rPr>
                <w:rFonts w:hint="eastAsia" w:ascii="宋体" w:hAnsi="宋体" w:cs="宋体"/>
                <w:color w:val="auto"/>
                <w:szCs w:val="21"/>
                <w:highlight w:val="none"/>
                <w:u w:val="single"/>
              </w:rPr>
              <w:t>1.11</w:t>
            </w:r>
          </w:p>
        </w:tc>
        <w:tc>
          <w:tcPr>
            <w:tcW w:w="2613" w:type="dxa"/>
            <w:vAlign w:val="center"/>
          </w:tcPr>
          <w:p w14:paraId="1F196CAF">
            <w:pPr>
              <w:snapToGrid w:val="0"/>
              <w:spacing w:line="276" w:lineRule="auto"/>
              <w:jc w:val="center"/>
              <w:rPr>
                <w:rFonts w:ascii="宋体" w:hAnsi="宋体" w:cs="宋体"/>
                <w:color w:val="auto"/>
                <w:szCs w:val="21"/>
                <w:highlight w:val="none"/>
                <w:u w:val="single"/>
              </w:rPr>
            </w:pPr>
            <w:r>
              <w:rPr>
                <w:rFonts w:hint="eastAsia" w:ascii="宋体" w:hAnsi="宋体" w:cs="宋体"/>
                <w:color w:val="auto"/>
                <w:szCs w:val="21"/>
                <w:highlight w:val="none"/>
                <w:u w:val="single"/>
              </w:rPr>
              <w:t>分包</w:t>
            </w:r>
          </w:p>
        </w:tc>
        <w:tc>
          <w:tcPr>
            <w:tcW w:w="5774" w:type="dxa"/>
            <w:vAlign w:val="center"/>
          </w:tcPr>
          <w:p w14:paraId="3E21CBE6">
            <w:pPr>
              <w:snapToGrid w:val="0"/>
              <w:spacing w:line="276" w:lineRule="auto"/>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u w:val="single"/>
                <w:lang w:eastAsia="zh-CN"/>
              </w:rPr>
              <w:t>不允许分包</w:t>
            </w:r>
          </w:p>
        </w:tc>
      </w:tr>
      <w:tr w14:paraId="1AD854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959" w:type="dxa"/>
            <w:vAlign w:val="center"/>
          </w:tcPr>
          <w:p w14:paraId="6447C204">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1.12.1</w:t>
            </w:r>
          </w:p>
        </w:tc>
        <w:tc>
          <w:tcPr>
            <w:tcW w:w="2613" w:type="dxa"/>
            <w:vAlign w:val="center"/>
          </w:tcPr>
          <w:p w14:paraId="469E381B">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实质性要求和条件</w:t>
            </w:r>
          </w:p>
        </w:tc>
        <w:tc>
          <w:tcPr>
            <w:tcW w:w="5774" w:type="dxa"/>
            <w:vAlign w:val="center"/>
          </w:tcPr>
          <w:p w14:paraId="48B63147">
            <w:pPr>
              <w:pStyle w:val="8"/>
              <w:topLinePunct/>
              <w:snapToGrid w:val="0"/>
              <w:spacing w:line="276" w:lineRule="auto"/>
              <w:rPr>
                <w:rFonts w:hAnsi="宋体" w:cs="宋体"/>
                <w:color w:val="auto"/>
                <w:sz w:val="21"/>
                <w:szCs w:val="21"/>
                <w:highlight w:val="none"/>
              </w:rPr>
            </w:pPr>
            <w:r>
              <w:rPr>
                <w:rFonts w:hint="eastAsia" w:hAnsi="宋体" w:cs="宋体"/>
                <w:color w:val="auto"/>
                <w:sz w:val="21"/>
                <w:szCs w:val="21"/>
                <w:highlight w:val="none"/>
                <w:u w:val="single"/>
              </w:rPr>
              <w:t xml:space="preserve">  /  </w:t>
            </w:r>
          </w:p>
        </w:tc>
      </w:tr>
      <w:tr w14:paraId="27B4A9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9" w:hRule="atLeast"/>
          <w:jc w:val="center"/>
        </w:trPr>
        <w:tc>
          <w:tcPr>
            <w:tcW w:w="959" w:type="dxa"/>
            <w:vAlign w:val="center"/>
          </w:tcPr>
          <w:p w14:paraId="0F76EBCC">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1.12.3</w:t>
            </w:r>
          </w:p>
        </w:tc>
        <w:tc>
          <w:tcPr>
            <w:tcW w:w="2613" w:type="dxa"/>
            <w:vAlign w:val="center"/>
          </w:tcPr>
          <w:p w14:paraId="03A8F8A1">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偏差</w:t>
            </w:r>
          </w:p>
        </w:tc>
        <w:tc>
          <w:tcPr>
            <w:tcW w:w="5774" w:type="dxa"/>
            <w:vAlign w:val="center"/>
          </w:tcPr>
          <w:p w14:paraId="6A59DF9E">
            <w:pPr>
              <w:spacing w:line="276" w:lineRule="auto"/>
              <w:rPr>
                <w:rFonts w:ascii="宋体" w:hAnsi="宋体" w:cs="宋体"/>
                <w:color w:val="auto"/>
                <w:szCs w:val="21"/>
                <w:highlight w:val="none"/>
              </w:rPr>
            </w:pPr>
            <w:r>
              <w:rPr>
                <w:rFonts w:hint="eastAsia" w:ascii="宋体" w:hAnsi="宋体" w:cs="宋体"/>
                <w:color w:val="auto"/>
                <w:szCs w:val="21"/>
                <w:highlight w:val="none"/>
              </w:rPr>
              <w:t>■不允许</w:t>
            </w:r>
          </w:p>
          <w:p w14:paraId="0EAB0ED7">
            <w:pPr>
              <w:pStyle w:val="8"/>
              <w:topLinePunct/>
              <w:spacing w:line="276" w:lineRule="auto"/>
              <w:rPr>
                <w:rFonts w:hAnsi="宋体" w:cs="宋体"/>
                <w:color w:val="auto"/>
                <w:sz w:val="21"/>
                <w:szCs w:val="21"/>
                <w:highlight w:val="none"/>
              </w:rPr>
            </w:pPr>
            <w:r>
              <w:rPr>
                <w:rFonts w:hint="eastAsia" w:hAnsi="宋体" w:cs="宋体"/>
                <w:color w:val="auto"/>
                <w:sz w:val="21"/>
                <w:szCs w:val="21"/>
                <w:highlight w:val="none"/>
              </w:rPr>
              <w:t>□允许，偏差范围：         偏差幅度：</w:t>
            </w:r>
          </w:p>
        </w:tc>
      </w:tr>
      <w:tr w14:paraId="78894A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1" w:hRule="atLeast"/>
          <w:jc w:val="center"/>
        </w:trPr>
        <w:tc>
          <w:tcPr>
            <w:tcW w:w="959" w:type="dxa"/>
            <w:vAlign w:val="center"/>
          </w:tcPr>
          <w:p w14:paraId="50607370">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2.1</w:t>
            </w:r>
          </w:p>
        </w:tc>
        <w:tc>
          <w:tcPr>
            <w:tcW w:w="2613" w:type="dxa"/>
            <w:vAlign w:val="center"/>
          </w:tcPr>
          <w:p w14:paraId="7B8997E2">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构成招标文件的其他资料</w:t>
            </w:r>
          </w:p>
        </w:tc>
        <w:tc>
          <w:tcPr>
            <w:tcW w:w="5774" w:type="dxa"/>
            <w:vAlign w:val="center"/>
          </w:tcPr>
          <w:p w14:paraId="62029166">
            <w:pPr>
              <w:snapToGrid w:val="0"/>
              <w:spacing w:line="276" w:lineRule="auto"/>
              <w:rPr>
                <w:rFonts w:ascii="宋体" w:hAnsi="宋体" w:cs="宋体"/>
                <w:color w:val="auto"/>
                <w:szCs w:val="21"/>
                <w:highlight w:val="none"/>
              </w:rPr>
            </w:pPr>
            <w:r>
              <w:rPr>
                <w:rFonts w:hint="eastAsia" w:ascii="宋体" w:hAnsi="宋体" w:cs="宋体"/>
                <w:color w:val="auto"/>
                <w:szCs w:val="21"/>
                <w:highlight w:val="none"/>
                <w:u w:val="single"/>
              </w:rPr>
              <w:t xml:space="preserve"> / </w:t>
            </w:r>
          </w:p>
        </w:tc>
      </w:tr>
      <w:tr w14:paraId="349D34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49" w:hRule="atLeast"/>
          <w:jc w:val="center"/>
        </w:trPr>
        <w:tc>
          <w:tcPr>
            <w:tcW w:w="959" w:type="dxa"/>
            <w:vAlign w:val="center"/>
          </w:tcPr>
          <w:p w14:paraId="48D30C6E">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2.2.1</w:t>
            </w:r>
          </w:p>
        </w:tc>
        <w:tc>
          <w:tcPr>
            <w:tcW w:w="2613" w:type="dxa"/>
            <w:vAlign w:val="center"/>
          </w:tcPr>
          <w:p w14:paraId="60179109">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投标人要求澄清招标文件</w:t>
            </w:r>
          </w:p>
        </w:tc>
        <w:tc>
          <w:tcPr>
            <w:tcW w:w="5774" w:type="dxa"/>
            <w:vAlign w:val="center"/>
          </w:tcPr>
          <w:p w14:paraId="7DE7967A">
            <w:pPr>
              <w:snapToGrid w:val="0"/>
              <w:spacing w:line="276" w:lineRule="auto"/>
              <w:rPr>
                <w:rFonts w:ascii="宋体" w:hAnsi="宋体"/>
                <w:color w:val="auto"/>
                <w:szCs w:val="21"/>
                <w:highlight w:val="none"/>
              </w:rPr>
            </w:pPr>
            <w:r>
              <w:rPr>
                <w:rFonts w:hint="eastAsia" w:ascii="宋体" w:hAnsi="宋体"/>
                <w:color w:val="auto"/>
                <w:szCs w:val="21"/>
                <w:highlight w:val="none"/>
              </w:rPr>
              <w:t>时间：提交投标文件截止时间18天前提出</w:t>
            </w:r>
          </w:p>
          <w:p w14:paraId="3D15A62E">
            <w:pPr>
              <w:snapToGrid w:val="0"/>
              <w:spacing w:line="276" w:lineRule="auto"/>
              <w:rPr>
                <w:rFonts w:ascii="宋体" w:hAnsi="宋体"/>
                <w:color w:val="auto"/>
                <w:szCs w:val="21"/>
                <w:highlight w:val="none"/>
              </w:rPr>
            </w:pPr>
            <w:r>
              <w:rPr>
                <w:rFonts w:hint="eastAsia" w:ascii="宋体" w:hAnsi="宋体"/>
                <w:color w:val="auto"/>
                <w:szCs w:val="21"/>
                <w:highlight w:val="none"/>
              </w:rPr>
              <w:t>形式：投标人疑问通过网上提交。</w:t>
            </w:r>
          </w:p>
          <w:p w14:paraId="002D491E">
            <w:pPr>
              <w:pStyle w:val="17"/>
              <w:snapToGrid w:val="0"/>
              <w:spacing w:after="0" w:line="276" w:lineRule="auto"/>
              <w:rPr>
                <w:rFonts w:ascii="宋体" w:hAnsi="宋体" w:cs="宋体"/>
                <w:color w:val="auto"/>
                <w:szCs w:val="21"/>
                <w:highlight w:val="none"/>
              </w:rPr>
            </w:pPr>
            <w:r>
              <w:rPr>
                <w:rFonts w:hint="eastAsia" w:ascii="宋体" w:hAnsi="宋体"/>
                <w:color w:val="auto"/>
                <w:szCs w:val="21"/>
                <w:highlight w:val="none"/>
              </w:rPr>
              <w:t>网上答疑的操作指南为：登陆广州公共资源交易中心新建设工程交易平台中“我是投标人”→“我的投标”→“招标答疑提问”通过项目编号或名称找到所需的项目→在上述的答疑时间内点击“答疑提问”→无记名或匿名提出问题以及查看所有的问题（提交问题时需插入投标人CA证书）。</w:t>
            </w:r>
          </w:p>
        </w:tc>
      </w:tr>
      <w:tr w14:paraId="25FBC7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94" w:hRule="atLeast"/>
          <w:jc w:val="center"/>
        </w:trPr>
        <w:tc>
          <w:tcPr>
            <w:tcW w:w="959" w:type="dxa"/>
            <w:vAlign w:val="center"/>
          </w:tcPr>
          <w:p w14:paraId="37AB3F7D">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2.2.2</w:t>
            </w:r>
          </w:p>
        </w:tc>
        <w:tc>
          <w:tcPr>
            <w:tcW w:w="2613" w:type="dxa"/>
            <w:vAlign w:val="center"/>
          </w:tcPr>
          <w:p w14:paraId="29523A92">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招标文件澄清发出的形式</w:t>
            </w:r>
          </w:p>
        </w:tc>
        <w:tc>
          <w:tcPr>
            <w:tcW w:w="5774" w:type="dxa"/>
            <w:vAlign w:val="center"/>
          </w:tcPr>
          <w:p w14:paraId="5F64E091">
            <w:pPr>
              <w:pStyle w:val="17"/>
              <w:snapToGrid w:val="0"/>
              <w:spacing w:after="0" w:line="276" w:lineRule="auto"/>
              <w:ind w:firstLine="0"/>
              <w:rPr>
                <w:rFonts w:ascii="宋体" w:hAnsi="宋体" w:cs="宋体"/>
                <w:color w:val="auto"/>
                <w:szCs w:val="21"/>
                <w:highlight w:val="none"/>
                <w:u w:val="single"/>
              </w:rPr>
            </w:pPr>
            <w:r>
              <w:rPr>
                <w:rFonts w:hint="eastAsia" w:ascii="宋体" w:hAnsi="宋体" w:cs="宋体"/>
                <w:color w:val="auto"/>
                <w:szCs w:val="21"/>
                <w:highlight w:val="none"/>
                <w:u w:val="single"/>
              </w:rPr>
              <w:t>招标人应在投标截止时间15日前解答投标人对招标文件提出的疑问，在广州交易集团有限公司（广州公共资源交易中心）网站项目答疑专区发布。</w:t>
            </w:r>
          </w:p>
        </w:tc>
      </w:tr>
      <w:tr w14:paraId="2D9C1C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3" w:hRule="atLeast"/>
          <w:jc w:val="center"/>
        </w:trPr>
        <w:tc>
          <w:tcPr>
            <w:tcW w:w="959" w:type="dxa"/>
            <w:vMerge w:val="restart"/>
            <w:vAlign w:val="center"/>
          </w:tcPr>
          <w:p w14:paraId="178E8C1E">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2.2.3</w:t>
            </w:r>
          </w:p>
        </w:tc>
        <w:tc>
          <w:tcPr>
            <w:tcW w:w="2613" w:type="dxa"/>
            <w:vMerge w:val="restart"/>
            <w:vAlign w:val="center"/>
          </w:tcPr>
          <w:p w14:paraId="20AC4CC8">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投标人确认收到招标文件澄清</w:t>
            </w:r>
          </w:p>
        </w:tc>
        <w:tc>
          <w:tcPr>
            <w:tcW w:w="5774" w:type="dxa"/>
            <w:vAlign w:val="center"/>
          </w:tcPr>
          <w:p w14:paraId="0DF104D1">
            <w:pPr>
              <w:spacing w:line="276" w:lineRule="auto"/>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u w:val="single"/>
              </w:rPr>
              <w:t>从招标文件澄清及答疑文件发布之日起即视为投标人已确认收到。</w:t>
            </w:r>
          </w:p>
        </w:tc>
      </w:tr>
      <w:tr w14:paraId="3B899A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959" w:type="dxa"/>
            <w:vMerge w:val="continue"/>
            <w:vAlign w:val="center"/>
          </w:tcPr>
          <w:p w14:paraId="7949EC6D">
            <w:pPr>
              <w:keepNext/>
              <w:keepLines/>
              <w:snapToGrid w:val="0"/>
              <w:spacing w:line="276" w:lineRule="auto"/>
              <w:jc w:val="center"/>
              <w:outlineLvl w:val="2"/>
              <w:rPr>
                <w:rFonts w:ascii="宋体" w:hAnsi="宋体" w:cs="宋体"/>
                <w:color w:val="auto"/>
                <w:szCs w:val="21"/>
                <w:highlight w:val="none"/>
              </w:rPr>
            </w:pPr>
          </w:p>
        </w:tc>
        <w:tc>
          <w:tcPr>
            <w:tcW w:w="2613" w:type="dxa"/>
            <w:vMerge w:val="continue"/>
            <w:vAlign w:val="center"/>
          </w:tcPr>
          <w:p w14:paraId="74211BC2">
            <w:pPr>
              <w:keepNext/>
              <w:keepLines/>
              <w:snapToGrid w:val="0"/>
              <w:spacing w:line="276" w:lineRule="auto"/>
              <w:jc w:val="center"/>
              <w:outlineLvl w:val="2"/>
              <w:rPr>
                <w:rFonts w:ascii="宋体" w:hAnsi="宋体" w:cs="宋体"/>
                <w:color w:val="auto"/>
                <w:szCs w:val="21"/>
                <w:highlight w:val="none"/>
              </w:rPr>
            </w:pPr>
          </w:p>
        </w:tc>
        <w:tc>
          <w:tcPr>
            <w:tcW w:w="5774" w:type="dxa"/>
            <w:vAlign w:val="center"/>
          </w:tcPr>
          <w:p w14:paraId="10F80D29">
            <w:pPr>
              <w:spacing w:line="276" w:lineRule="auto"/>
              <w:rPr>
                <w:rFonts w:ascii="宋体" w:hAnsi="宋体" w:cs="宋体"/>
                <w:color w:val="auto"/>
                <w:szCs w:val="21"/>
                <w:highlight w:val="none"/>
              </w:rPr>
            </w:pPr>
            <w:r>
              <w:rPr>
                <w:rFonts w:hint="eastAsia" w:ascii="宋体" w:hAnsi="宋体" w:cs="宋体"/>
                <w:color w:val="auto"/>
                <w:szCs w:val="21"/>
                <w:highlight w:val="none"/>
              </w:rPr>
              <w:t>形式：</w:t>
            </w:r>
            <w:r>
              <w:rPr>
                <w:rFonts w:hint="eastAsia" w:ascii="宋体" w:hAnsi="宋体" w:cs="宋体"/>
                <w:color w:val="auto"/>
                <w:szCs w:val="21"/>
                <w:highlight w:val="none"/>
                <w:u w:val="single"/>
              </w:rPr>
              <w:t>招标文件澄清（招标答疑纪要）一经在广州交易集团有限公司（广州公共资源交易中心）网站发布，视作已发放给所有投标人，无需确认。</w:t>
            </w:r>
          </w:p>
        </w:tc>
      </w:tr>
      <w:tr w14:paraId="03C97C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0" w:hRule="atLeast"/>
          <w:jc w:val="center"/>
        </w:trPr>
        <w:tc>
          <w:tcPr>
            <w:tcW w:w="959" w:type="dxa"/>
            <w:vAlign w:val="center"/>
          </w:tcPr>
          <w:p w14:paraId="471C249E">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2.3.1</w:t>
            </w:r>
          </w:p>
        </w:tc>
        <w:tc>
          <w:tcPr>
            <w:tcW w:w="2613" w:type="dxa"/>
            <w:vAlign w:val="center"/>
          </w:tcPr>
          <w:p w14:paraId="72AF4992">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招标文件修改发出的形式</w:t>
            </w:r>
          </w:p>
        </w:tc>
        <w:tc>
          <w:tcPr>
            <w:tcW w:w="5774" w:type="dxa"/>
            <w:vAlign w:val="center"/>
          </w:tcPr>
          <w:p w14:paraId="2CF33352">
            <w:pPr>
              <w:snapToGrid w:val="0"/>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以补充公告或项目答疑澄清的方式在广州交易集团有限公司（广州公共资源交易中心）网站发布</w:t>
            </w:r>
          </w:p>
        </w:tc>
      </w:tr>
      <w:tr w14:paraId="4D04B4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0" w:hRule="atLeast"/>
          <w:jc w:val="center"/>
        </w:trPr>
        <w:tc>
          <w:tcPr>
            <w:tcW w:w="959" w:type="dxa"/>
            <w:vMerge w:val="restart"/>
            <w:vAlign w:val="center"/>
          </w:tcPr>
          <w:p w14:paraId="797C8149">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2.3.2</w:t>
            </w:r>
          </w:p>
        </w:tc>
        <w:tc>
          <w:tcPr>
            <w:tcW w:w="2613" w:type="dxa"/>
            <w:vMerge w:val="restart"/>
            <w:vAlign w:val="center"/>
          </w:tcPr>
          <w:p w14:paraId="4B4D44D3">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投标人确认收到招标文件修改</w:t>
            </w:r>
          </w:p>
        </w:tc>
        <w:tc>
          <w:tcPr>
            <w:tcW w:w="5774" w:type="dxa"/>
            <w:vAlign w:val="center"/>
          </w:tcPr>
          <w:p w14:paraId="51F509D6">
            <w:pPr>
              <w:spacing w:line="276" w:lineRule="auto"/>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u w:val="single"/>
              </w:rPr>
              <w:t>从招标文件澄清及答疑文件发布之日起即视为投标人已确认收到。</w:t>
            </w:r>
          </w:p>
        </w:tc>
      </w:tr>
      <w:tr w14:paraId="67B79D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25" w:hRule="atLeast"/>
          <w:jc w:val="center"/>
        </w:trPr>
        <w:tc>
          <w:tcPr>
            <w:tcW w:w="959" w:type="dxa"/>
            <w:vMerge w:val="continue"/>
            <w:vAlign w:val="center"/>
          </w:tcPr>
          <w:p w14:paraId="7528E510">
            <w:pPr>
              <w:keepNext/>
              <w:keepLines/>
              <w:snapToGrid w:val="0"/>
              <w:spacing w:line="276" w:lineRule="auto"/>
              <w:jc w:val="center"/>
              <w:outlineLvl w:val="2"/>
              <w:rPr>
                <w:rFonts w:ascii="宋体" w:hAnsi="宋体" w:cs="宋体"/>
                <w:color w:val="auto"/>
                <w:szCs w:val="21"/>
                <w:highlight w:val="none"/>
              </w:rPr>
            </w:pPr>
          </w:p>
        </w:tc>
        <w:tc>
          <w:tcPr>
            <w:tcW w:w="2613" w:type="dxa"/>
            <w:vMerge w:val="continue"/>
            <w:vAlign w:val="center"/>
          </w:tcPr>
          <w:p w14:paraId="6ACDD909">
            <w:pPr>
              <w:keepNext/>
              <w:keepLines/>
              <w:snapToGrid w:val="0"/>
              <w:spacing w:line="276" w:lineRule="auto"/>
              <w:jc w:val="center"/>
              <w:outlineLvl w:val="2"/>
              <w:rPr>
                <w:rFonts w:ascii="宋体" w:hAnsi="宋体" w:cs="宋体"/>
                <w:color w:val="auto"/>
                <w:szCs w:val="21"/>
                <w:highlight w:val="none"/>
              </w:rPr>
            </w:pPr>
          </w:p>
        </w:tc>
        <w:tc>
          <w:tcPr>
            <w:tcW w:w="5774" w:type="dxa"/>
            <w:vAlign w:val="center"/>
          </w:tcPr>
          <w:p w14:paraId="441A4B8E">
            <w:pPr>
              <w:spacing w:line="276" w:lineRule="auto"/>
              <w:rPr>
                <w:rFonts w:ascii="宋体" w:hAnsi="宋体" w:cs="宋体"/>
                <w:color w:val="auto"/>
                <w:szCs w:val="21"/>
                <w:highlight w:val="none"/>
              </w:rPr>
            </w:pPr>
            <w:r>
              <w:rPr>
                <w:rFonts w:hint="eastAsia" w:ascii="宋体" w:hAnsi="宋体" w:cs="宋体"/>
                <w:color w:val="auto"/>
                <w:szCs w:val="21"/>
                <w:highlight w:val="none"/>
              </w:rPr>
              <w:t>形式：</w:t>
            </w:r>
            <w:r>
              <w:rPr>
                <w:rFonts w:hint="eastAsia" w:ascii="宋体" w:hAnsi="宋体" w:cs="宋体"/>
                <w:color w:val="auto"/>
                <w:szCs w:val="21"/>
                <w:highlight w:val="none"/>
                <w:u w:val="single"/>
              </w:rPr>
              <w:t>招标文件修改一经在广州交易集团有限公司（广州公共资源交易中心）网站发布，视作已发放给所有投标人，无需确认。潜在投标人应自行关注招标公告公布的网站公告，投标人自行下载，招标人不再一一通知。投标人因自身贻误行为导致投标失败的，责任自负。</w:t>
            </w:r>
          </w:p>
        </w:tc>
      </w:tr>
      <w:tr w14:paraId="13232A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jc w:val="center"/>
        </w:trPr>
        <w:tc>
          <w:tcPr>
            <w:tcW w:w="959" w:type="dxa"/>
            <w:vAlign w:val="center"/>
          </w:tcPr>
          <w:p w14:paraId="1CEF5F2B">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3.1.1</w:t>
            </w:r>
          </w:p>
        </w:tc>
        <w:tc>
          <w:tcPr>
            <w:tcW w:w="2613" w:type="dxa"/>
            <w:vAlign w:val="center"/>
          </w:tcPr>
          <w:p w14:paraId="0A16F8A7">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构成投标文件的其他资料</w:t>
            </w:r>
          </w:p>
        </w:tc>
        <w:tc>
          <w:tcPr>
            <w:tcW w:w="5774" w:type="dxa"/>
            <w:vAlign w:val="center"/>
          </w:tcPr>
          <w:p w14:paraId="54CF8675">
            <w:pPr>
              <w:snapToGrid w:val="0"/>
              <w:spacing w:line="276" w:lineRule="auto"/>
              <w:rPr>
                <w:rFonts w:ascii="宋体" w:hAnsi="宋体" w:cs="宋体"/>
                <w:color w:val="auto"/>
                <w:szCs w:val="21"/>
                <w:highlight w:val="none"/>
              </w:rPr>
            </w:pPr>
            <w:r>
              <w:rPr>
                <w:rFonts w:hint="eastAsia" w:ascii="宋体" w:hAnsi="宋体" w:cs="宋体"/>
                <w:color w:val="auto"/>
                <w:szCs w:val="21"/>
                <w:highlight w:val="none"/>
                <w:u w:val="single"/>
              </w:rPr>
              <w:t>满足本项目评审要求的其他资料。</w:t>
            </w:r>
          </w:p>
        </w:tc>
      </w:tr>
      <w:tr w14:paraId="6436E9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959" w:type="dxa"/>
            <w:vAlign w:val="center"/>
          </w:tcPr>
          <w:p w14:paraId="5144F8BA">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3.2.1</w:t>
            </w:r>
          </w:p>
        </w:tc>
        <w:tc>
          <w:tcPr>
            <w:tcW w:w="2613" w:type="dxa"/>
            <w:vAlign w:val="center"/>
          </w:tcPr>
          <w:p w14:paraId="750F89A8">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增值税税金的计算方法</w:t>
            </w:r>
          </w:p>
        </w:tc>
        <w:tc>
          <w:tcPr>
            <w:tcW w:w="5774" w:type="dxa"/>
            <w:vAlign w:val="center"/>
          </w:tcPr>
          <w:p w14:paraId="4F9F9A6F">
            <w:pPr>
              <w:snapToGrid w:val="0"/>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按国家税务机关的规定执行。</w:t>
            </w:r>
          </w:p>
        </w:tc>
      </w:tr>
      <w:tr w14:paraId="4CC57A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959" w:type="dxa"/>
            <w:vAlign w:val="center"/>
          </w:tcPr>
          <w:p w14:paraId="509F8756">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3.2.3</w:t>
            </w:r>
          </w:p>
        </w:tc>
        <w:tc>
          <w:tcPr>
            <w:tcW w:w="2613" w:type="dxa"/>
            <w:vAlign w:val="center"/>
          </w:tcPr>
          <w:p w14:paraId="1FD05F08">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报价方式</w:t>
            </w:r>
          </w:p>
        </w:tc>
        <w:tc>
          <w:tcPr>
            <w:tcW w:w="5774" w:type="dxa"/>
            <w:vAlign w:val="center"/>
          </w:tcPr>
          <w:p w14:paraId="15B7E5F9">
            <w:pPr>
              <w:snapToGrid w:val="0"/>
              <w:spacing w:line="276" w:lineRule="auto"/>
              <w:rPr>
                <w:rFonts w:ascii="宋体" w:hAnsi="宋体" w:cs="宋体"/>
                <w:color w:val="auto"/>
                <w:szCs w:val="21"/>
                <w:highlight w:val="none"/>
              </w:rPr>
            </w:pPr>
            <w:r>
              <w:rPr>
                <w:rFonts w:hint="eastAsia" w:ascii="宋体" w:hAnsi="宋体" w:cs="宋体"/>
                <w:color w:val="auto"/>
                <w:szCs w:val="21"/>
                <w:highlight w:val="none"/>
                <w:u w:val="single"/>
              </w:rPr>
              <w:t>自行报价（以“元”为单位，精确到小数位后2位）。</w:t>
            </w:r>
          </w:p>
        </w:tc>
      </w:tr>
      <w:tr w14:paraId="73F0D0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34" w:hRule="atLeast"/>
          <w:jc w:val="center"/>
        </w:trPr>
        <w:tc>
          <w:tcPr>
            <w:tcW w:w="959" w:type="dxa"/>
            <w:vAlign w:val="center"/>
          </w:tcPr>
          <w:p w14:paraId="26D3948E">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3.2.4</w:t>
            </w:r>
          </w:p>
        </w:tc>
        <w:tc>
          <w:tcPr>
            <w:tcW w:w="2613" w:type="dxa"/>
            <w:vAlign w:val="center"/>
          </w:tcPr>
          <w:p w14:paraId="5C7363B4">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最高投标限价</w:t>
            </w:r>
          </w:p>
        </w:tc>
        <w:tc>
          <w:tcPr>
            <w:tcW w:w="5774" w:type="dxa"/>
            <w:vAlign w:val="center"/>
          </w:tcPr>
          <w:p w14:paraId="3151E55E">
            <w:pPr>
              <w:tabs>
                <w:tab w:val="left" w:pos="7513"/>
              </w:tabs>
              <w:spacing w:line="276" w:lineRule="auto"/>
              <w:rPr>
                <w:rFonts w:ascii="宋体" w:hAnsi="宋体" w:cs="宋体"/>
                <w:color w:val="auto"/>
                <w:sz w:val="21"/>
                <w:szCs w:val="21"/>
                <w:highlight w:val="none"/>
              </w:rPr>
            </w:pPr>
            <w:r>
              <w:rPr>
                <w:rFonts w:hint="eastAsia" w:ascii="宋体" w:hAnsi="宋体" w:cs="宋体"/>
                <w:color w:val="auto"/>
                <w:sz w:val="21"/>
                <w:szCs w:val="21"/>
                <w:highlight w:val="none"/>
              </w:rPr>
              <w:t>□无</w:t>
            </w:r>
          </w:p>
          <w:p w14:paraId="56AE23BB">
            <w:pPr>
              <w:tabs>
                <w:tab w:val="left" w:pos="7513"/>
              </w:tabs>
              <w:spacing w:line="276" w:lineRule="auto"/>
              <w:rPr>
                <w:rFonts w:ascii="宋体" w:hAnsi="宋体"/>
                <w:color w:val="auto"/>
                <w:sz w:val="21"/>
                <w:szCs w:val="21"/>
                <w:highlight w:val="none"/>
                <w:u w:val="single"/>
              </w:rPr>
            </w:pPr>
            <w:r>
              <w:rPr>
                <w:rFonts w:hint="eastAsia" w:ascii="宋体" w:hAnsi="宋体" w:cs="宋体"/>
                <w:color w:val="auto"/>
                <w:sz w:val="21"/>
                <w:szCs w:val="21"/>
                <w:highlight w:val="none"/>
              </w:rPr>
              <w:t>■有，最高投标限价</w:t>
            </w:r>
            <w:bookmarkStart w:id="31" w:name="OLE_LINK1"/>
            <w:r>
              <w:rPr>
                <w:rFonts w:hint="eastAsia" w:ascii="宋体" w:hAnsi="宋体" w:cs="宋体"/>
                <w:color w:val="auto"/>
                <w:sz w:val="21"/>
                <w:szCs w:val="21"/>
                <w:highlight w:val="none"/>
              </w:rPr>
              <w:t>（总价）</w:t>
            </w:r>
            <w:bookmarkEnd w:id="31"/>
            <w:r>
              <w:rPr>
                <w:rFonts w:hint="eastAsia" w:ascii="宋体" w:hAnsi="宋体" w:cs="宋体"/>
                <w:color w:val="auto"/>
                <w:sz w:val="21"/>
                <w:szCs w:val="21"/>
                <w:highlight w:val="none"/>
              </w:rPr>
              <w:t>：</w:t>
            </w:r>
            <w:r>
              <w:rPr>
                <w:rFonts w:hint="eastAsia" w:ascii="宋体" w:hAnsi="宋体"/>
                <w:bCs/>
                <w:color w:val="auto"/>
                <w:sz w:val="21"/>
                <w:szCs w:val="21"/>
                <w:highlight w:val="none"/>
                <w:u w:val="single"/>
                <w:lang w:val="en-US" w:eastAsia="zh-CN"/>
              </w:rPr>
              <w:t>1800000.00</w:t>
            </w:r>
            <w:r>
              <w:rPr>
                <w:rFonts w:hint="eastAsia" w:ascii="宋体" w:hAnsi="宋体"/>
                <w:bCs/>
                <w:color w:val="auto"/>
                <w:sz w:val="21"/>
                <w:szCs w:val="21"/>
                <w:highlight w:val="none"/>
                <w:u w:val="single"/>
              </w:rPr>
              <w:t>元</w:t>
            </w:r>
            <w:r>
              <w:rPr>
                <w:rFonts w:hint="eastAsia" w:ascii="宋体" w:hAnsi="宋体"/>
                <w:color w:val="auto"/>
                <w:sz w:val="21"/>
                <w:szCs w:val="21"/>
                <w:highlight w:val="none"/>
                <w:u w:val="single"/>
              </w:rPr>
              <w:t>。</w:t>
            </w:r>
          </w:p>
          <w:p w14:paraId="2DA62AD4">
            <w:pPr>
              <w:tabs>
                <w:tab w:val="left" w:pos="7513"/>
              </w:tabs>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注：投标人在总价以内（含本数）自行填报投标价及投标下浮率，超出最高投标限价的报价做废标处理。</w:t>
            </w:r>
          </w:p>
          <w:p w14:paraId="1668175C">
            <w:pPr>
              <w:tabs>
                <w:tab w:val="left" w:pos="7513"/>
              </w:tabs>
              <w:spacing w:line="276" w:lineRule="auto"/>
              <w:rPr>
                <w:rFonts w:ascii="宋体" w:hAnsi="宋体" w:cs="宋体"/>
                <w:color w:val="auto"/>
                <w:szCs w:val="21"/>
                <w:highlight w:val="none"/>
                <w:u w:val="single"/>
              </w:rPr>
            </w:pPr>
            <w:r>
              <w:rPr>
                <w:rFonts w:hint="eastAsia" w:ascii="宋体" w:hAnsi="宋体" w:cs="宋体"/>
                <w:color w:val="auto"/>
                <w:sz w:val="21"/>
                <w:szCs w:val="21"/>
                <w:highlight w:val="none"/>
                <w:u w:val="single"/>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w:t>
            </w:r>
            <w:r>
              <w:rPr>
                <w:rFonts w:hint="eastAsia" w:ascii="宋体" w:hAnsi="宋体" w:cs="宋体"/>
                <w:color w:val="auto"/>
                <w:szCs w:val="21"/>
                <w:highlight w:val="none"/>
                <w:u w:val="single"/>
              </w:rPr>
              <w:t>评标委员会认定该投标人以低于成本报价竞标，应当否决其投标。</w:t>
            </w:r>
          </w:p>
        </w:tc>
      </w:tr>
      <w:tr w14:paraId="74675A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50" w:hRule="atLeast"/>
          <w:jc w:val="center"/>
        </w:trPr>
        <w:tc>
          <w:tcPr>
            <w:tcW w:w="959" w:type="dxa"/>
            <w:vAlign w:val="center"/>
          </w:tcPr>
          <w:p w14:paraId="4B928B40">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3.2.5</w:t>
            </w:r>
          </w:p>
        </w:tc>
        <w:tc>
          <w:tcPr>
            <w:tcW w:w="2613" w:type="dxa"/>
            <w:vAlign w:val="center"/>
          </w:tcPr>
          <w:p w14:paraId="310032B6">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投标报价的其他要求</w:t>
            </w:r>
          </w:p>
        </w:tc>
        <w:tc>
          <w:tcPr>
            <w:tcW w:w="5774" w:type="dxa"/>
            <w:vAlign w:val="center"/>
          </w:tcPr>
          <w:p w14:paraId="662614DC">
            <w:pPr>
              <w:tabs>
                <w:tab w:val="left" w:pos="7513"/>
              </w:tabs>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（1）投标报价是投标人在监测服务期限内完成本项目招标范围内的所有监测工作所需的费用。投标人应按招标文件中投标函等表格填写。</w:t>
            </w:r>
          </w:p>
          <w:p w14:paraId="21167BF7">
            <w:pPr>
              <w:tabs>
                <w:tab w:val="left" w:pos="7513"/>
              </w:tabs>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本监测服务为包工期、包质量、包安全、包文明、包服务和工作成果、包结算的形式承包本技术服务项目及完成资料整理和备案，质量符合国家和行业现行规定验收标准，确保监测项目及数量能满足建设行政主管部门的施工质量的验收和备案要求。包括但不限于监测布设的点数、监测频率、服务周期等必须满足实际施工要求。</w:t>
            </w:r>
          </w:p>
          <w:p w14:paraId="4D2CC117">
            <w:pPr>
              <w:tabs>
                <w:tab w:val="left" w:pos="7513"/>
              </w:tabs>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（3）如因承包方原因导致监测方案不符合相关主管部门要求，必须重新按要求调整，由此产生的费用承包人自行承担；</w:t>
            </w:r>
          </w:p>
          <w:p w14:paraId="48343308">
            <w:pPr>
              <w:tabs>
                <w:tab w:val="left" w:pos="7513"/>
              </w:tabs>
              <w:spacing w:line="276" w:lineRule="auto"/>
              <w:rPr>
                <w:rFonts w:ascii="宋体" w:hAnsi="宋体" w:cs="宋体"/>
                <w:color w:val="auto"/>
                <w:szCs w:val="21"/>
                <w:highlight w:val="none"/>
                <w:u w:val="single"/>
              </w:rPr>
            </w:pPr>
            <w:r>
              <w:rPr>
                <w:rFonts w:hint="eastAsia" w:ascii="宋体" w:hAnsi="宋体" w:eastAsia="宋体" w:cs="宋体"/>
                <w:color w:val="auto"/>
                <w:szCs w:val="21"/>
                <w:highlight w:val="none"/>
                <w:u w:val="single"/>
              </w:rPr>
              <w:t>（4）若因项目实际需求，导致监测工作量超出委托人监测布点要求的内容及数量时，乙方仍按委托单位要求完成全部监测任务，因上述原因导致增加监测费用包含在中标价内，监测单位应在中标价中综合考虑相关风险，发包人不另外支付任何费用。若因项目实际需求，导致监测内容或监测工作量少于委托人监测布点要求的内容及数量时，乙方仍按委托单位要求完成全部监测任务，监测费用按实际监测工程量结合《关于印发《广东省房屋建筑和市政工程质量安全检测收费指导价(第一批)》和《广东省既有房屋建筑安全性鉴定收费指导价》的通知》（粤建检协[2015]8号）、《关于印发《广州市建设工程基坑监测、变形点监测收费项目及标准指导性意见》的通知》(穗建检协字(2013)12号)、 《工程勘察设计收费管理规定》（计价格[2002]10号）的收费依据，再乘以（1-监测费下浮率）进行结算。若结算价超出本项目中标价，则按中标价结算。</w:t>
            </w:r>
          </w:p>
        </w:tc>
      </w:tr>
      <w:tr w14:paraId="5D4C96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959" w:type="dxa"/>
            <w:vAlign w:val="center"/>
          </w:tcPr>
          <w:p w14:paraId="0A56136F">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3.3.1</w:t>
            </w:r>
          </w:p>
        </w:tc>
        <w:tc>
          <w:tcPr>
            <w:tcW w:w="2613" w:type="dxa"/>
            <w:vAlign w:val="center"/>
          </w:tcPr>
          <w:p w14:paraId="14CF0A4F">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5774" w:type="dxa"/>
            <w:vAlign w:val="center"/>
          </w:tcPr>
          <w:p w14:paraId="7A38E4F4">
            <w:pPr>
              <w:snapToGrid w:val="0"/>
              <w:spacing w:line="276" w:lineRule="auto"/>
              <w:rPr>
                <w:rFonts w:ascii="宋体" w:hAnsi="宋体" w:cs="宋体"/>
                <w:color w:val="auto"/>
                <w:szCs w:val="21"/>
                <w:highlight w:val="none"/>
              </w:rPr>
            </w:pPr>
            <w:r>
              <w:rPr>
                <w:rFonts w:hint="eastAsia" w:ascii="宋体" w:hAnsi="宋体" w:cs="宋体"/>
                <w:color w:val="auto"/>
                <w:szCs w:val="21"/>
                <w:highlight w:val="none"/>
                <w:u w:val="single"/>
              </w:rPr>
              <w:t>90</w:t>
            </w:r>
            <w:r>
              <w:rPr>
                <w:rFonts w:hint="eastAsia" w:ascii="宋体" w:hAnsi="宋体" w:cs="宋体"/>
                <w:color w:val="auto"/>
                <w:szCs w:val="21"/>
                <w:highlight w:val="none"/>
              </w:rPr>
              <w:t>日历天（从投标截止之日算起）。</w:t>
            </w:r>
          </w:p>
        </w:tc>
      </w:tr>
      <w:tr w14:paraId="639EF3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21" w:hRule="atLeast"/>
          <w:jc w:val="center"/>
        </w:trPr>
        <w:tc>
          <w:tcPr>
            <w:tcW w:w="959" w:type="dxa"/>
            <w:vAlign w:val="center"/>
          </w:tcPr>
          <w:p w14:paraId="6BF42460">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3.4.1</w:t>
            </w:r>
          </w:p>
        </w:tc>
        <w:tc>
          <w:tcPr>
            <w:tcW w:w="2613" w:type="dxa"/>
            <w:vAlign w:val="center"/>
          </w:tcPr>
          <w:p w14:paraId="187C028E">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投标保证金</w:t>
            </w:r>
          </w:p>
        </w:tc>
        <w:tc>
          <w:tcPr>
            <w:tcW w:w="5774" w:type="dxa"/>
            <w:vAlign w:val="center"/>
          </w:tcPr>
          <w:p w14:paraId="47952041">
            <w:pPr>
              <w:pStyle w:val="8"/>
              <w:topLinePunct/>
              <w:spacing w:line="276" w:lineRule="auto"/>
              <w:rPr>
                <w:rFonts w:hAnsi="宋体" w:cs="宋体"/>
                <w:color w:val="auto"/>
                <w:sz w:val="21"/>
                <w:szCs w:val="21"/>
                <w:highlight w:val="none"/>
              </w:rPr>
            </w:pPr>
            <w:r>
              <w:rPr>
                <w:rFonts w:hint="eastAsia" w:hAnsi="宋体" w:cs="宋体"/>
                <w:color w:val="auto"/>
                <w:sz w:val="21"/>
                <w:szCs w:val="21"/>
                <w:highlight w:val="none"/>
              </w:rPr>
              <w:t>是否要求投标人递交投标保证金：</w:t>
            </w:r>
          </w:p>
          <w:p w14:paraId="7FF0109B">
            <w:pPr>
              <w:pStyle w:val="8"/>
              <w:topLinePunct/>
              <w:spacing w:line="276" w:lineRule="auto"/>
              <w:rPr>
                <w:rFonts w:hAnsi="宋体" w:cs="宋体"/>
                <w:color w:val="auto"/>
                <w:sz w:val="21"/>
                <w:szCs w:val="21"/>
                <w:highlight w:val="none"/>
              </w:rPr>
            </w:pPr>
            <w:r>
              <w:rPr>
                <w:rFonts w:hint="eastAsia" w:hAnsi="宋体" w:cs="宋体"/>
                <w:color w:val="auto"/>
                <w:sz w:val="21"/>
                <w:szCs w:val="21"/>
                <w:highlight w:val="none"/>
              </w:rPr>
              <w:sym w:font="Wingdings 2" w:char="00A3"/>
            </w:r>
            <w:r>
              <w:rPr>
                <w:rFonts w:hint="eastAsia" w:hAnsi="宋体" w:cs="宋体"/>
                <w:color w:val="auto"/>
                <w:sz w:val="21"/>
                <w:szCs w:val="21"/>
                <w:highlight w:val="none"/>
              </w:rPr>
              <w:t>要求</w:t>
            </w:r>
          </w:p>
          <w:p w14:paraId="0DBAC8B5">
            <w:pPr>
              <w:pStyle w:val="8"/>
              <w:topLinePunct/>
              <w:snapToGrid w:val="0"/>
              <w:spacing w:line="276" w:lineRule="auto"/>
              <w:rPr>
                <w:rFonts w:hAnsi="宋体" w:cs="宋体"/>
                <w:color w:val="auto"/>
                <w:sz w:val="21"/>
                <w:szCs w:val="21"/>
                <w:highlight w:val="none"/>
              </w:rPr>
            </w:pPr>
            <w:r>
              <w:rPr>
                <w:rFonts w:hint="eastAsia" w:hAnsi="宋体" w:cs="宋体"/>
                <w:b/>
                <w:color w:val="auto"/>
                <w:sz w:val="21"/>
                <w:szCs w:val="21"/>
                <w:highlight w:val="none"/>
              </w:rPr>
              <w:t>■</w:t>
            </w:r>
            <w:r>
              <w:rPr>
                <w:rFonts w:hint="eastAsia" w:hAnsi="宋体" w:cs="宋体"/>
                <w:color w:val="auto"/>
                <w:sz w:val="21"/>
                <w:szCs w:val="21"/>
                <w:highlight w:val="none"/>
              </w:rPr>
              <w:t>不要求</w:t>
            </w:r>
          </w:p>
          <w:p w14:paraId="7D865053">
            <w:pPr>
              <w:pStyle w:val="8"/>
              <w:topLinePunct/>
              <w:snapToGrid w:val="0"/>
              <w:spacing w:line="276" w:lineRule="auto"/>
              <w:rPr>
                <w:rFonts w:hAnsi="宋体" w:cs="宋体"/>
                <w:color w:val="auto"/>
                <w:sz w:val="21"/>
                <w:szCs w:val="21"/>
                <w:highlight w:val="none"/>
              </w:rPr>
            </w:pPr>
            <w:r>
              <w:rPr>
                <w:rFonts w:hint="eastAsia" w:hAnsi="宋体" w:cs="宋体"/>
                <w:color w:val="auto"/>
                <w:sz w:val="21"/>
                <w:szCs w:val="21"/>
                <w:highlight w:val="none"/>
              </w:rPr>
              <w:t>1.本项目免收投标保证金，具体规定如下：提供《关于投标保证金的承诺》（详见投标文件格式三）。</w:t>
            </w:r>
          </w:p>
          <w:p w14:paraId="0428A855">
            <w:pPr>
              <w:pStyle w:val="8"/>
              <w:topLinePunct/>
              <w:snapToGrid w:val="0"/>
              <w:spacing w:line="276" w:lineRule="auto"/>
              <w:rPr>
                <w:rFonts w:hAnsi="宋体" w:cs="宋体"/>
                <w:color w:val="auto"/>
                <w:sz w:val="21"/>
                <w:szCs w:val="21"/>
                <w:highlight w:val="none"/>
              </w:rPr>
            </w:pPr>
            <w:r>
              <w:rPr>
                <w:rFonts w:hint="eastAsia" w:hAnsi="宋体" w:cs="宋体"/>
                <w:color w:val="auto"/>
                <w:sz w:val="21"/>
                <w:szCs w:val="21"/>
                <w:highlight w:val="none"/>
              </w:rPr>
              <w:t>2.对于投标人已提供《关于投标保证金的承诺》，若投标人存在3.4.4条款所列情形，该投标人应在发现存在3.4.4条款所列情形之日起5个工作日内补交人民币</w:t>
            </w:r>
            <w:r>
              <w:rPr>
                <w:rFonts w:hint="eastAsia" w:hAnsi="宋体" w:cs="宋体"/>
                <w:color w:val="auto"/>
                <w:sz w:val="21"/>
                <w:szCs w:val="21"/>
                <w:highlight w:val="none"/>
                <w:lang w:val="en-US" w:eastAsia="zh-CN"/>
              </w:rPr>
              <w:t>3.5</w:t>
            </w:r>
            <w:r>
              <w:rPr>
                <w:rFonts w:hint="eastAsia" w:hAnsi="宋体" w:cs="宋体"/>
                <w:color w:val="auto"/>
                <w:sz w:val="21"/>
                <w:szCs w:val="21"/>
                <w:highlight w:val="none"/>
              </w:rPr>
              <w:t>万元投标保证金；若未按要求补交投标保证金的将暂停其参与招标人后续工程投标，直至完成补交手续为止。</w:t>
            </w:r>
          </w:p>
        </w:tc>
      </w:tr>
      <w:tr w14:paraId="3776D2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21" w:hRule="atLeast"/>
          <w:jc w:val="center"/>
        </w:trPr>
        <w:tc>
          <w:tcPr>
            <w:tcW w:w="959" w:type="dxa"/>
            <w:vAlign w:val="center"/>
          </w:tcPr>
          <w:p w14:paraId="3F563FD9">
            <w:pPr>
              <w:snapToGrid w:val="0"/>
              <w:spacing w:line="276" w:lineRule="auto"/>
              <w:jc w:val="center"/>
              <w:rPr>
                <w:rFonts w:ascii="宋体" w:hAnsi="宋体" w:cs="宋体"/>
                <w:color w:val="auto"/>
                <w:szCs w:val="21"/>
                <w:highlight w:val="none"/>
              </w:rPr>
            </w:pPr>
            <w:r>
              <w:rPr>
                <w:rFonts w:ascii="宋体" w:hAnsi="宋体"/>
                <w:color w:val="auto"/>
                <w:szCs w:val="21"/>
                <w:highlight w:val="none"/>
              </w:rPr>
              <w:t>3.4.4</w:t>
            </w:r>
          </w:p>
        </w:tc>
        <w:tc>
          <w:tcPr>
            <w:tcW w:w="2613" w:type="dxa"/>
            <w:vAlign w:val="center"/>
          </w:tcPr>
          <w:p w14:paraId="5AC95337">
            <w:pPr>
              <w:snapToGrid w:val="0"/>
              <w:spacing w:line="276" w:lineRule="auto"/>
              <w:jc w:val="center"/>
              <w:rPr>
                <w:rFonts w:ascii="宋体" w:hAnsi="宋体" w:cs="宋体"/>
                <w:color w:val="auto"/>
                <w:szCs w:val="21"/>
                <w:highlight w:val="none"/>
              </w:rPr>
            </w:pPr>
            <w:r>
              <w:rPr>
                <w:rFonts w:ascii="宋体" w:hAnsi="宋体"/>
                <w:color w:val="auto"/>
                <w:szCs w:val="21"/>
                <w:highlight w:val="none"/>
              </w:rPr>
              <w:t>其他可以不予退还投标保证金的情形</w:t>
            </w:r>
          </w:p>
        </w:tc>
        <w:tc>
          <w:tcPr>
            <w:tcW w:w="5774" w:type="dxa"/>
            <w:vAlign w:val="center"/>
          </w:tcPr>
          <w:p w14:paraId="32989B36">
            <w:pPr>
              <w:spacing w:line="276" w:lineRule="auto"/>
              <w:rPr>
                <w:rFonts w:ascii="宋体" w:hAnsi="宋体" w:cs="宋体"/>
                <w:color w:val="auto"/>
                <w:szCs w:val="21"/>
                <w:highlight w:val="none"/>
              </w:rPr>
            </w:pPr>
            <w:r>
              <w:rPr>
                <w:rFonts w:hint="eastAsia" w:ascii="宋体" w:hAnsi="宋体" w:cs="宋体"/>
                <w:color w:val="auto"/>
                <w:szCs w:val="21"/>
                <w:highlight w:val="none"/>
              </w:rPr>
              <w:t>（1）若在中标通知书发放后15个日历天内，中标人未提交履约担保且未征得招标人同意延期缴交的，招标人有权取消其中标资格并没收其投标保证金，并由其他中标候选人顺次序替补。</w:t>
            </w:r>
          </w:p>
          <w:p w14:paraId="52789F89">
            <w:pPr>
              <w:spacing w:line="276" w:lineRule="auto"/>
              <w:rPr>
                <w:rFonts w:ascii="宋体" w:hAnsi="宋体" w:cs="宋体"/>
                <w:color w:val="auto"/>
                <w:szCs w:val="21"/>
                <w:highlight w:val="none"/>
              </w:rPr>
            </w:pPr>
            <w:r>
              <w:rPr>
                <w:rFonts w:hint="eastAsia" w:ascii="宋体" w:hAnsi="宋体" w:cs="宋体"/>
                <w:color w:val="auto"/>
                <w:szCs w:val="21"/>
                <w:highlight w:val="none"/>
              </w:rPr>
              <w:t>（2）中标通知书自广州公共资源交易中心交易平台发出之日，视作中标人确认收到。</w:t>
            </w:r>
          </w:p>
          <w:p w14:paraId="61D124C4">
            <w:pPr>
              <w:spacing w:line="276" w:lineRule="auto"/>
              <w:rPr>
                <w:rFonts w:ascii="宋体" w:hAnsi="宋体" w:cs="宋体"/>
                <w:color w:val="auto"/>
                <w:szCs w:val="21"/>
                <w:highlight w:val="none"/>
              </w:rPr>
            </w:pPr>
            <w:r>
              <w:rPr>
                <w:rFonts w:hint="eastAsia" w:ascii="宋体" w:hAnsi="宋体" w:cs="宋体"/>
                <w:color w:val="auto"/>
                <w:szCs w:val="21"/>
                <w:highlight w:val="none"/>
              </w:rPr>
              <w:t>（3）投标人采用不正当的手段，骗取中标，经查实的，招标人有权取消其中标资格，并由其他中标候选人顺次序替补。</w:t>
            </w:r>
          </w:p>
          <w:p w14:paraId="1335356F">
            <w:pPr>
              <w:pStyle w:val="8"/>
              <w:topLinePunct/>
              <w:spacing w:line="276" w:lineRule="auto"/>
              <w:rPr>
                <w:rFonts w:hAnsi="宋体" w:cs="宋体"/>
                <w:color w:val="auto"/>
                <w:sz w:val="21"/>
                <w:szCs w:val="21"/>
                <w:highlight w:val="none"/>
              </w:rPr>
            </w:pPr>
            <w:r>
              <w:rPr>
                <w:rFonts w:hint="eastAsia" w:hAnsi="宋体" w:cs="宋体"/>
                <w:color w:val="auto"/>
                <w:sz w:val="21"/>
                <w:szCs w:val="21"/>
                <w:highlight w:val="none"/>
              </w:rPr>
              <w:t>（4）中标人在发放中标通知书后</w:t>
            </w:r>
            <w:r>
              <w:rPr>
                <w:rFonts w:hint="eastAsia" w:hAnsi="宋体" w:cs="宋体"/>
                <w:color w:val="auto"/>
                <w:sz w:val="21"/>
                <w:szCs w:val="21"/>
                <w:highlight w:val="none"/>
                <w:u w:val="single"/>
              </w:rPr>
              <w:t>30</w:t>
            </w:r>
            <w:r>
              <w:rPr>
                <w:rFonts w:hint="eastAsia" w:hAnsi="宋体" w:cs="宋体"/>
                <w:color w:val="auto"/>
                <w:sz w:val="21"/>
                <w:szCs w:val="21"/>
                <w:highlight w:val="none"/>
              </w:rPr>
              <w:t>个日历天内，无正当理由不与招标人订立合同，在签订合同时向招标人提出附加条件的，招标人有权取消其中标资格并没收其补交的投标保证金，并由其他中标候选人顺次序替补。</w:t>
            </w:r>
          </w:p>
        </w:tc>
      </w:tr>
      <w:tr w14:paraId="37A407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959" w:type="dxa"/>
            <w:vAlign w:val="center"/>
          </w:tcPr>
          <w:p w14:paraId="42EF7223">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3.5</w:t>
            </w:r>
          </w:p>
        </w:tc>
        <w:tc>
          <w:tcPr>
            <w:tcW w:w="2613" w:type="dxa"/>
            <w:vAlign w:val="center"/>
          </w:tcPr>
          <w:p w14:paraId="576BA2BF">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资格审查资料的特殊要求</w:t>
            </w:r>
          </w:p>
        </w:tc>
        <w:tc>
          <w:tcPr>
            <w:tcW w:w="5774" w:type="dxa"/>
            <w:vAlign w:val="center"/>
          </w:tcPr>
          <w:p w14:paraId="40CADAA7">
            <w:pPr>
              <w:pStyle w:val="8"/>
              <w:topLinePunct/>
              <w:spacing w:line="276" w:lineRule="auto"/>
              <w:rPr>
                <w:rFonts w:hAnsi="宋体" w:cs="宋体"/>
                <w:color w:val="auto"/>
                <w:sz w:val="21"/>
                <w:szCs w:val="21"/>
                <w:highlight w:val="none"/>
              </w:rPr>
            </w:pPr>
            <w:r>
              <w:rPr>
                <w:rFonts w:hint="eastAsia" w:hAnsi="宋体" w:cs="宋体"/>
                <w:color w:val="auto"/>
                <w:sz w:val="21"/>
                <w:szCs w:val="21"/>
                <w:highlight w:val="none"/>
              </w:rPr>
              <w:t>■无</w:t>
            </w:r>
          </w:p>
          <w:p w14:paraId="3EC38569">
            <w:pPr>
              <w:pStyle w:val="8"/>
              <w:topLinePunct/>
              <w:spacing w:line="276" w:lineRule="auto"/>
              <w:rPr>
                <w:rFonts w:hAnsi="宋体" w:cs="宋体"/>
                <w:color w:val="auto"/>
                <w:sz w:val="21"/>
                <w:szCs w:val="21"/>
                <w:highlight w:val="none"/>
              </w:rPr>
            </w:pPr>
            <w:r>
              <w:rPr>
                <w:rFonts w:hint="eastAsia" w:hAnsi="宋体" w:cs="宋体"/>
                <w:color w:val="auto"/>
                <w:sz w:val="21"/>
                <w:szCs w:val="21"/>
                <w:highlight w:val="none"/>
              </w:rPr>
              <w:sym w:font="Wingdings 2" w:char="00A3"/>
            </w:r>
            <w:r>
              <w:rPr>
                <w:rFonts w:hint="eastAsia" w:hAnsi="宋体" w:cs="宋体"/>
                <w:color w:val="auto"/>
                <w:sz w:val="21"/>
                <w:szCs w:val="21"/>
                <w:highlight w:val="none"/>
              </w:rPr>
              <w:t>有，具体要求：</w:t>
            </w:r>
            <w:r>
              <w:rPr>
                <w:rFonts w:hint="eastAsia" w:hAnsi="宋体"/>
                <w:color w:val="auto"/>
                <w:spacing w:val="-1"/>
                <w:sz w:val="21"/>
                <w:szCs w:val="21"/>
                <w:highlight w:val="none"/>
              </w:rPr>
              <w:t>/</w:t>
            </w:r>
          </w:p>
        </w:tc>
      </w:tr>
      <w:tr w14:paraId="124206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959" w:type="dxa"/>
            <w:vAlign w:val="center"/>
          </w:tcPr>
          <w:p w14:paraId="1F7742FC">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3.5.2</w:t>
            </w:r>
          </w:p>
        </w:tc>
        <w:tc>
          <w:tcPr>
            <w:tcW w:w="2613" w:type="dxa"/>
            <w:vAlign w:val="center"/>
          </w:tcPr>
          <w:p w14:paraId="3B01513D">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近年财务状况的年份要求</w:t>
            </w:r>
          </w:p>
        </w:tc>
        <w:tc>
          <w:tcPr>
            <w:tcW w:w="5774" w:type="dxa"/>
            <w:vAlign w:val="center"/>
          </w:tcPr>
          <w:p w14:paraId="489588DF">
            <w:pPr>
              <w:snapToGrid w:val="0"/>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 xml:space="preserve">/ </w:t>
            </w:r>
          </w:p>
        </w:tc>
      </w:tr>
      <w:tr w14:paraId="43EEB4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959" w:type="dxa"/>
            <w:vAlign w:val="center"/>
          </w:tcPr>
          <w:p w14:paraId="0B580428">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3.5.3</w:t>
            </w:r>
          </w:p>
        </w:tc>
        <w:tc>
          <w:tcPr>
            <w:tcW w:w="2613" w:type="dxa"/>
            <w:vAlign w:val="center"/>
          </w:tcPr>
          <w:p w14:paraId="2313FD8E">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近年完成的类似项目情况的时间要求</w:t>
            </w:r>
          </w:p>
        </w:tc>
        <w:tc>
          <w:tcPr>
            <w:tcW w:w="5774" w:type="dxa"/>
            <w:vAlign w:val="center"/>
          </w:tcPr>
          <w:p w14:paraId="13878560">
            <w:pPr>
              <w:snapToGrid w:val="0"/>
              <w:spacing w:line="276" w:lineRule="auto"/>
              <w:rPr>
                <w:rFonts w:ascii="宋体" w:hAnsi="宋体" w:cs="宋体"/>
                <w:color w:val="auto"/>
                <w:szCs w:val="21"/>
                <w:highlight w:val="none"/>
                <w:u w:val="single"/>
              </w:rPr>
            </w:pPr>
            <w:r>
              <w:rPr>
                <w:rFonts w:hint="eastAsia" w:ascii="宋体" w:hAnsi="宋体" w:cs="宋体"/>
                <w:color w:val="auto"/>
                <w:szCs w:val="21"/>
                <w:highlight w:val="none"/>
              </w:rPr>
              <w:t xml:space="preserve">/ </w:t>
            </w:r>
          </w:p>
        </w:tc>
      </w:tr>
      <w:tr w14:paraId="14C5F2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8" w:hRule="atLeast"/>
          <w:jc w:val="center"/>
        </w:trPr>
        <w:tc>
          <w:tcPr>
            <w:tcW w:w="959" w:type="dxa"/>
            <w:vAlign w:val="center"/>
          </w:tcPr>
          <w:p w14:paraId="0BFD956E">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3.5.5</w:t>
            </w:r>
          </w:p>
        </w:tc>
        <w:tc>
          <w:tcPr>
            <w:tcW w:w="2613" w:type="dxa"/>
            <w:vAlign w:val="center"/>
          </w:tcPr>
          <w:p w14:paraId="1486F6BA">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近年发生的诉讼及仲裁情况的时间要求</w:t>
            </w:r>
          </w:p>
        </w:tc>
        <w:tc>
          <w:tcPr>
            <w:tcW w:w="5774" w:type="dxa"/>
            <w:vAlign w:val="center"/>
          </w:tcPr>
          <w:p w14:paraId="3C6D0EA0">
            <w:pPr>
              <w:snapToGrid w:val="0"/>
              <w:spacing w:line="276" w:lineRule="auto"/>
              <w:rPr>
                <w:rFonts w:ascii="宋体" w:hAnsi="宋体" w:cs="宋体"/>
                <w:color w:val="auto"/>
                <w:szCs w:val="21"/>
                <w:highlight w:val="none"/>
              </w:rPr>
            </w:pPr>
            <w:r>
              <w:rPr>
                <w:rFonts w:hint="eastAsia" w:ascii="宋体" w:hAnsi="宋体" w:cs="宋体"/>
                <w:color w:val="auto"/>
                <w:szCs w:val="21"/>
                <w:highlight w:val="none"/>
                <w:u w:val="single"/>
              </w:rPr>
              <w:t>/</w:t>
            </w:r>
          </w:p>
        </w:tc>
      </w:tr>
      <w:tr w14:paraId="2B54BF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4" w:hRule="atLeast"/>
          <w:jc w:val="center"/>
        </w:trPr>
        <w:tc>
          <w:tcPr>
            <w:tcW w:w="959" w:type="dxa"/>
            <w:vAlign w:val="center"/>
          </w:tcPr>
          <w:p w14:paraId="20E8EB8D">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3.6.1</w:t>
            </w:r>
          </w:p>
        </w:tc>
        <w:tc>
          <w:tcPr>
            <w:tcW w:w="2613" w:type="dxa"/>
            <w:vAlign w:val="center"/>
          </w:tcPr>
          <w:p w14:paraId="2BC6A04C">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是否允许递交备选投标方案</w:t>
            </w:r>
          </w:p>
        </w:tc>
        <w:tc>
          <w:tcPr>
            <w:tcW w:w="5774" w:type="dxa"/>
            <w:vAlign w:val="center"/>
          </w:tcPr>
          <w:p w14:paraId="12531449">
            <w:pPr>
              <w:pStyle w:val="8"/>
              <w:topLinePunct/>
              <w:spacing w:line="276" w:lineRule="auto"/>
              <w:rPr>
                <w:rFonts w:hAnsi="宋体" w:cs="宋体"/>
                <w:color w:val="auto"/>
                <w:sz w:val="21"/>
                <w:szCs w:val="21"/>
                <w:highlight w:val="none"/>
              </w:rPr>
            </w:pPr>
            <w:r>
              <w:rPr>
                <w:rFonts w:hint="eastAsia" w:hAnsi="宋体" w:cs="宋体"/>
                <w:color w:val="auto"/>
                <w:sz w:val="21"/>
                <w:szCs w:val="21"/>
                <w:highlight w:val="none"/>
              </w:rPr>
              <w:t>■不允许</w:t>
            </w:r>
          </w:p>
          <w:p w14:paraId="4A00998B">
            <w:pPr>
              <w:spacing w:line="276" w:lineRule="auto"/>
              <w:rPr>
                <w:rFonts w:ascii="宋体" w:hAnsi="宋体" w:cs="宋体"/>
                <w:color w:val="auto"/>
                <w:szCs w:val="21"/>
                <w:highlight w:val="none"/>
              </w:rPr>
            </w:pPr>
            <w:r>
              <w:rPr>
                <w:rFonts w:hint="eastAsia" w:ascii="宋体" w:hAnsi="宋体" w:cs="宋体"/>
                <w:color w:val="auto"/>
                <w:szCs w:val="21"/>
                <w:highlight w:val="none"/>
              </w:rPr>
              <w:t>□允许</w:t>
            </w:r>
          </w:p>
        </w:tc>
      </w:tr>
      <w:tr w14:paraId="393C26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93" w:hRule="atLeast"/>
          <w:jc w:val="center"/>
        </w:trPr>
        <w:tc>
          <w:tcPr>
            <w:tcW w:w="959" w:type="dxa"/>
            <w:vAlign w:val="center"/>
          </w:tcPr>
          <w:p w14:paraId="4DC0EB4D">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3.7.3</w:t>
            </w:r>
          </w:p>
        </w:tc>
        <w:tc>
          <w:tcPr>
            <w:tcW w:w="2613" w:type="dxa"/>
            <w:vAlign w:val="center"/>
          </w:tcPr>
          <w:p w14:paraId="04AE6864">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投标文件所附证书证件要求</w:t>
            </w:r>
          </w:p>
        </w:tc>
        <w:tc>
          <w:tcPr>
            <w:tcW w:w="5774" w:type="dxa"/>
            <w:vAlign w:val="center"/>
          </w:tcPr>
          <w:p w14:paraId="44D8D64E">
            <w:pPr>
              <w:pStyle w:val="8"/>
              <w:topLinePunct/>
              <w:spacing w:line="276" w:lineRule="auto"/>
              <w:rPr>
                <w:rFonts w:hAnsi="宋体" w:cs="宋体"/>
                <w:color w:val="auto"/>
                <w:sz w:val="21"/>
                <w:szCs w:val="21"/>
                <w:highlight w:val="none"/>
              </w:rPr>
            </w:pPr>
            <w:r>
              <w:rPr>
                <w:rFonts w:hint="eastAsia" w:hAnsi="宋体" w:cs="宋体"/>
                <w:color w:val="auto"/>
                <w:sz w:val="21"/>
                <w:szCs w:val="21"/>
                <w:highlight w:val="none"/>
              </w:rPr>
              <w:t>证书证件需为原件清晰扫描件，并采用单位数字证书，按照招标文件要求在相应位置加盖电子印章。</w:t>
            </w:r>
          </w:p>
        </w:tc>
      </w:tr>
      <w:tr w14:paraId="7B02BD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4" w:hRule="atLeast"/>
          <w:jc w:val="center"/>
        </w:trPr>
        <w:tc>
          <w:tcPr>
            <w:tcW w:w="959" w:type="dxa"/>
            <w:vAlign w:val="center"/>
          </w:tcPr>
          <w:p w14:paraId="2CA62107">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3.7.3</w:t>
            </w:r>
          </w:p>
        </w:tc>
        <w:tc>
          <w:tcPr>
            <w:tcW w:w="2613" w:type="dxa"/>
            <w:vAlign w:val="center"/>
          </w:tcPr>
          <w:p w14:paraId="1922649D">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投标文件签字或盖章要求</w:t>
            </w:r>
          </w:p>
        </w:tc>
        <w:tc>
          <w:tcPr>
            <w:tcW w:w="5774" w:type="dxa"/>
            <w:vAlign w:val="center"/>
          </w:tcPr>
          <w:p w14:paraId="41DDA855">
            <w:pPr>
              <w:pStyle w:val="8"/>
              <w:topLinePunct/>
              <w:snapToGrid w:val="0"/>
              <w:spacing w:line="276" w:lineRule="auto"/>
              <w:rPr>
                <w:rFonts w:hAnsi="宋体" w:cs="宋体"/>
                <w:color w:val="auto"/>
                <w:sz w:val="21"/>
                <w:szCs w:val="21"/>
                <w:highlight w:val="none"/>
                <w:u w:val="single"/>
              </w:rPr>
            </w:pPr>
            <w:r>
              <w:rPr>
                <w:rFonts w:hint="eastAsia" w:hAnsi="宋体" w:cs="宋体"/>
                <w:color w:val="auto"/>
                <w:sz w:val="21"/>
                <w:szCs w:val="21"/>
                <w:highlight w:val="none"/>
                <w:u w:val="single"/>
              </w:rPr>
              <w:t>取消在招标文件中采用个人数字证书和加盖个人电子印章要求，投标文件中需个人签字或盖章的，应手签后扫描上传。投标文件按招标文件要求加盖单位电子印章。具体操作详见广州交易集团有限公司（广州公共资源交易中心）网站发布的最新版操作指引。</w:t>
            </w:r>
          </w:p>
          <w:p w14:paraId="4753D91E">
            <w:pPr>
              <w:pStyle w:val="8"/>
              <w:topLinePunct/>
              <w:snapToGrid w:val="0"/>
              <w:spacing w:line="276" w:lineRule="auto"/>
              <w:rPr>
                <w:rFonts w:hAnsi="宋体" w:cs="宋体"/>
                <w:color w:val="auto"/>
                <w:szCs w:val="21"/>
                <w:highlight w:val="none"/>
                <w:u w:val="single"/>
              </w:rPr>
            </w:pPr>
            <w:r>
              <w:rPr>
                <w:rFonts w:hAnsi="宋体" w:cs="宋体"/>
                <w:color w:val="auto"/>
                <w:sz w:val="21"/>
                <w:szCs w:val="21"/>
                <w:highlight w:val="none"/>
                <w:u w:val="single"/>
              </w:rPr>
              <w:t>联合体投标时，除“联合体协议书”需由联合体各方分别按要求进行签字或盖章外，其他资料若需要签字或盖章的均可由联合体</w:t>
            </w:r>
            <w:r>
              <w:rPr>
                <w:rFonts w:hint="eastAsia" w:hAnsi="宋体" w:cs="宋体"/>
                <w:color w:val="auto"/>
                <w:sz w:val="21"/>
                <w:szCs w:val="21"/>
                <w:highlight w:val="none"/>
                <w:u w:val="single"/>
              </w:rPr>
              <w:t>牵头方</w:t>
            </w:r>
            <w:r>
              <w:rPr>
                <w:rFonts w:hAnsi="宋体" w:cs="宋体"/>
                <w:color w:val="auto"/>
                <w:sz w:val="21"/>
                <w:szCs w:val="21"/>
                <w:highlight w:val="none"/>
                <w:u w:val="single"/>
              </w:rPr>
              <w:t>签字或盖章即可；投标资料封面及其他内容及落款中的“</w:t>
            </w:r>
            <w:r>
              <w:rPr>
                <w:rFonts w:hint="eastAsia" w:hAnsi="宋体" w:cs="宋体"/>
                <w:color w:val="auto"/>
                <w:sz w:val="21"/>
                <w:szCs w:val="21"/>
                <w:highlight w:val="none"/>
                <w:u w:val="single"/>
              </w:rPr>
              <w:t>投标单位</w:t>
            </w:r>
            <w:r>
              <w:rPr>
                <w:rFonts w:hAnsi="宋体" w:cs="宋体"/>
                <w:color w:val="auto"/>
                <w:sz w:val="21"/>
                <w:szCs w:val="21"/>
                <w:highlight w:val="none"/>
                <w:u w:val="single"/>
              </w:rPr>
              <w:t>”应填写联合体各方的单位全称【格式示例为：（主）单位全称（成）单位全称】，由联合体</w:t>
            </w:r>
            <w:r>
              <w:rPr>
                <w:rFonts w:hint="eastAsia" w:hAnsi="宋体" w:cs="宋体"/>
                <w:color w:val="auto"/>
                <w:sz w:val="21"/>
                <w:szCs w:val="21"/>
                <w:highlight w:val="none"/>
                <w:u w:val="single"/>
              </w:rPr>
              <w:t>牵头方</w:t>
            </w:r>
            <w:r>
              <w:rPr>
                <w:rFonts w:hAnsi="宋体" w:cs="宋体"/>
                <w:color w:val="auto"/>
                <w:sz w:val="21"/>
                <w:szCs w:val="21"/>
                <w:highlight w:val="none"/>
                <w:u w:val="single"/>
              </w:rPr>
              <w:t>按要求签字或盖章即可。电子</w:t>
            </w:r>
            <w:r>
              <w:rPr>
                <w:rFonts w:hint="eastAsia" w:hAnsi="宋体" w:cs="宋体"/>
                <w:color w:val="auto"/>
                <w:sz w:val="21"/>
                <w:szCs w:val="21"/>
                <w:highlight w:val="none"/>
                <w:u w:val="single"/>
              </w:rPr>
              <w:t>印</w:t>
            </w:r>
            <w:r>
              <w:rPr>
                <w:rFonts w:hAnsi="宋体" w:cs="宋体"/>
                <w:color w:val="auto"/>
                <w:sz w:val="21"/>
                <w:szCs w:val="21"/>
                <w:highlight w:val="none"/>
                <w:u w:val="single"/>
              </w:rPr>
              <w:t>章由</w:t>
            </w:r>
            <w:r>
              <w:rPr>
                <w:rFonts w:hint="eastAsia" w:hAnsi="宋体" w:cs="宋体"/>
                <w:color w:val="auto"/>
                <w:sz w:val="21"/>
                <w:szCs w:val="21"/>
                <w:highlight w:val="none"/>
                <w:u w:val="single"/>
              </w:rPr>
              <w:t>牵头方</w:t>
            </w:r>
            <w:r>
              <w:rPr>
                <w:rFonts w:hAnsi="宋体" w:cs="宋体"/>
                <w:color w:val="auto"/>
                <w:sz w:val="21"/>
                <w:szCs w:val="21"/>
                <w:highlight w:val="none"/>
                <w:u w:val="single"/>
              </w:rPr>
              <w:t>进行签章即可。</w:t>
            </w:r>
          </w:p>
        </w:tc>
      </w:tr>
      <w:tr w14:paraId="0B628C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4" w:hRule="atLeast"/>
          <w:jc w:val="center"/>
        </w:trPr>
        <w:tc>
          <w:tcPr>
            <w:tcW w:w="959" w:type="dxa"/>
            <w:vAlign w:val="center"/>
          </w:tcPr>
          <w:p w14:paraId="7EA1587A">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4.1.1</w:t>
            </w:r>
          </w:p>
        </w:tc>
        <w:tc>
          <w:tcPr>
            <w:tcW w:w="2613" w:type="dxa"/>
            <w:vAlign w:val="center"/>
          </w:tcPr>
          <w:p w14:paraId="797A6F45">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投标文件加密要求</w:t>
            </w:r>
          </w:p>
        </w:tc>
        <w:tc>
          <w:tcPr>
            <w:tcW w:w="5774" w:type="dxa"/>
            <w:vAlign w:val="center"/>
          </w:tcPr>
          <w:p w14:paraId="63838AC5">
            <w:pPr>
              <w:pStyle w:val="8"/>
              <w:topLinePunct/>
              <w:snapToGrid w:val="0"/>
              <w:spacing w:line="276" w:lineRule="auto"/>
              <w:rPr>
                <w:rFonts w:hAnsi="宋体" w:cs="宋体"/>
                <w:color w:val="auto"/>
                <w:sz w:val="21"/>
                <w:szCs w:val="21"/>
                <w:highlight w:val="none"/>
                <w:u w:val="single"/>
              </w:rPr>
            </w:pPr>
            <w:r>
              <w:rPr>
                <w:rFonts w:hint="eastAsia" w:hAnsi="宋体" w:cs="宋体"/>
                <w:color w:val="auto"/>
                <w:sz w:val="21"/>
                <w:szCs w:val="21"/>
                <w:highlight w:val="none"/>
              </w:rPr>
              <w:t>网上递交的电子投标文件须进行加密。具体操作详见广州交易集团有限公司（广州公共资源交易中心）网站发布的最新版操作指引。</w:t>
            </w:r>
          </w:p>
        </w:tc>
      </w:tr>
      <w:tr w14:paraId="452C51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69" w:hRule="atLeast"/>
          <w:jc w:val="center"/>
        </w:trPr>
        <w:tc>
          <w:tcPr>
            <w:tcW w:w="959" w:type="dxa"/>
            <w:vAlign w:val="center"/>
          </w:tcPr>
          <w:p w14:paraId="7294D59D">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4.1.2</w:t>
            </w:r>
          </w:p>
        </w:tc>
        <w:tc>
          <w:tcPr>
            <w:tcW w:w="2613" w:type="dxa"/>
            <w:vAlign w:val="center"/>
          </w:tcPr>
          <w:p w14:paraId="468E1DC7">
            <w:pPr>
              <w:snapToGrid w:val="0"/>
              <w:spacing w:line="276" w:lineRule="auto"/>
              <w:jc w:val="center"/>
              <w:rPr>
                <w:rFonts w:ascii="宋体" w:hAnsi="宋体" w:cs="宋体"/>
                <w:color w:val="auto"/>
                <w:szCs w:val="21"/>
                <w:highlight w:val="none"/>
                <w:shd w:val="clear" w:color="FFFFFF" w:fill="D9D9D9"/>
              </w:rPr>
            </w:pPr>
            <w:r>
              <w:rPr>
                <w:rFonts w:hint="eastAsia" w:ascii="宋体" w:hAnsi="宋体" w:cs="宋体"/>
                <w:color w:val="auto"/>
                <w:szCs w:val="21"/>
                <w:highlight w:val="none"/>
              </w:rPr>
              <w:t>封套上应载明的信息</w:t>
            </w:r>
          </w:p>
        </w:tc>
        <w:tc>
          <w:tcPr>
            <w:tcW w:w="5774" w:type="dxa"/>
            <w:vAlign w:val="center"/>
          </w:tcPr>
          <w:p w14:paraId="63182F03">
            <w:pPr>
              <w:pStyle w:val="8"/>
              <w:topLinePunct/>
              <w:spacing w:line="276" w:lineRule="auto"/>
              <w:rPr>
                <w:rFonts w:hAnsi="宋体" w:cs="宋体"/>
                <w:color w:val="auto"/>
                <w:sz w:val="21"/>
                <w:szCs w:val="21"/>
                <w:highlight w:val="none"/>
              </w:rPr>
            </w:pPr>
            <w:r>
              <w:rPr>
                <w:rFonts w:hint="eastAsia" w:hAnsi="宋体" w:cs="宋体"/>
                <w:color w:val="auto"/>
                <w:sz w:val="21"/>
                <w:szCs w:val="21"/>
                <w:highlight w:val="none"/>
              </w:rPr>
              <w:t>对递交的备用投标文件电子光盘要求封装。</w:t>
            </w:r>
          </w:p>
          <w:p w14:paraId="0E328696">
            <w:pPr>
              <w:pStyle w:val="8"/>
              <w:topLinePunct/>
              <w:spacing w:line="276" w:lineRule="auto"/>
              <w:rPr>
                <w:rFonts w:hAnsi="宋体" w:cs="宋体"/>
                <w:color w:val="auto"/>
                <w:sz w:val="21"/>
                <w:szCs w:val="21"/>
                <w:highlight w:val="none"/>
              </w:rPr>
            </w:pPr>
            <w:r>
              <w:rPr>
                <w:rFonts w:hint="eastAsia" w:hAnsi="宋体" w:cs="宋体"/>
                <w:color w:val="auto"/>
                <w:sz w:val="21"/>
                <w:szCs w:val="21"/>
                <w:highlight w:val="none"/>
              </w:rPr>
              <w:t>招标人名称：广州市番禺区基本建设投资管理中心</w:t>
            </w:r>
          </w:p>
          <w:p w14:paraId="5FCCFB36">
            <w:pPr>
              <w:pStyle w:val="8"/>
              <w:topLinePunct/>
              <w:spacing w:line="276" w:lineRule="auto"/>
              <w:rPr>
                <w:rFonts w:hAnsi="宋体" w:cs="宋体"/>
                <w:color w:val="auto"/>
                <w:sz w:val="21"/>
                <w:szCs w:val="21"/>
                <w:highlight w:val="none"/>
              </w:rPr>
            </w:pPr>
            <w:r>
              <w:rPr>
                <w:rFonts w:hint="eastAsia" w:hAnsi="宋体" w:cs="宋体"/>
                <w:color w:val="auto"/>
                <w:sz w:val="21"/>
                <w:szCs w:val="21"/>
                <w:highlight w:val="none"/>
              </w:rPr>
              <w:t>招标人地址：广州市番禺区清河东路319号西副楼六楼</w:t>
            </w:r>
          </w:p>
          <w:p w14:paraId="6232665C">
            <w:pPr>
              <w:pStyle w:val="8"/>
              <w:topLinePunct/>
              <w:spacing w:line="276" w:lineRule="auto"/>
              <w:rPr>
                <w:rFonts w:hAnsi="宋体" w:cs="宋体"/>
                <w:color w:val="auto"/>
                <w:sz w:val="21"/>
                <w:szCs w:val="21"/>
                <w:highlight w:val="none"/>
              </w:rPr>
            </w:pPr>
            <w:r>
              <w:rPr>
                <w:rFonts w:hint="eastAsia" w:hAnsi="宋体" w:cs="宋体"/>
                <w:color w:val="auto"/>
                <w:sz w:val="21"/>
                <w:szCs w:val="21"/>
                <w:highlight w:val="none"/>
                <w:lang w:eastAsia="zh-CN"/>
              </w:rPr>
              <w:t>化龙镇化龙南路北半幅（城际化龙站至化龙大道段）工程地铁保护第三方监测</w:t>
            </w:r>
            <w:r>
              <w:rPr>
                <w:rFonts w:hint="eastAsia" w:hAnsi="宋体" w:cs="宋体"/>
                <w:color w:val="auto"/>
                <w:sz w:val="21"/>
                <w:szCs w:val="21"/>
                <w:highlight w:val="none"/>
              </w:rPr>
              <w:t>投标文件</w:t>
            </w:r>
          </w:p>
          <w:p w14:paraId="54DC4AF7">
            <w:pPr>
              <w:pStyle w:val="8"/>
              <w:topLinePunct/>
              <w:spacing w:line="276" w:lineRule="auto"/>
              <w:rPr>
                <w:rFonts w:hAnsi="宋体" w:cs="宋体"/>
                <w:color w:val="auto"/>
                <w:sz w:val="21"/>
                <w:szCs w:val="21"/>
                <w:highlight w:val="none"/>
              </w:rPr>
            </w:pPr>
            <w:r>
              <w:rPr>
                <w:rFonts w:hint="eastAsia" w:hAnsi="宋体" w:cs="宋体"/>
                <w:color w:val="auto"/>
                <w:sz w:val="21"/>
                <w:szCs w:val="21"/>
                <w:highlight w:val="none"/>
              </w:rPr>
              <w:t>招标项目编号：</w:t>
            </w:r>
          </w:p>
          <w:p w14:paraId="4062F11A">
            <w:pPr>
              <w:pStyle w:val="8"/>
              <w:topLinePunct/>
              <w:snapToGrid w:val="0"/>
              <w:spacing w:line="276" w:lineRule="auto"/>
              <w:rPr>
                <w:rFonts w:hAnsi="宋体" w:cs="宋体"/>
                <w:color w:val="auto"/>
                <w:sz w:val="21"/>
                <w:szCs w:val="21"/>
                <w:highlight w:val="none"/>
              </w:rPr>
            </w:pPr>
            <w:r>
              <w:rPr>
                <w:rFonts w:hint="eastAsia" w:hAnsi="宋体" w:cs="宋体"/>
                <w:color w:val="auto"/>
                <w:sz w:val="21"/>
                <w:szCs w:val="21"/>
                <w:highlight w:val="none"/>
              </w:rPr>
              <w:t>在2025年  月  日   时前不得开启</w:t>
            </w:r>
          </w:p>
        </w:tc>
      </w:tr>
      <w:tr w14:paraId="4F3850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9" w:hRule="atLeast"/>
          <w:jc w:val="center"/>
        </w:trPr>
        <w:tc>
          <w:tcPr>
            <w:tcW w:w="959" w:type="dxa"/>
            <w:vAlign w:val="center"/>
          </w:tcPr>
          <w:p w14:paraId="2B8F115D">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4.2.1</w:t>
            </w:r>
          </w:p>
        </w:tc>
        <w:tc>
          <w:tcPr>
            <w:tcW w:w="2613" w:type="dxa"/>
            <w:vAlign w:val="center"/>
          </w:tcPr>
          <w:p w14:paraId="334994B8">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投标截止时间</w:t>
            </w:r>
          </w:p>
        </w:tc>
        <w:tc>
          <w:tcPr>
            <w:tcW w:w="5774" w:type="dxa"/>
            <w:vAlign w:val="center"/>
          </w:tcPr>
          <w:p w14:paraId="44F0993F">
            <w:pPr>
              <w:snapToGrid w:val="0"/>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2025年  月  日  时  分（北京时间）</w:t>
            </w:r>
          </w:p>
          <w:p w14:paraId="2BA562BE">
            <w:pPr>
              <w:snapToGrid w:val="0"/>
              <w:spacing w:line="276" w:lineRule="auto"/>
              <w:rPr>
                <w:rFonts w:ascii="宋体" w:hAnsi="宋体" w:cs="宋体"/>
                <w:color w:val="auto"/>
                <w:szCs w:val="21"/>
                <w:highlight w:val="none"/>
              </w:rPr>
            </w:pPr>
            <w:r>
              <w:rPr>
                <w:rFonts w:hint="eastAsia" w:ascii="宋体" w:hAnsi="宋体" w:cs="宋体"/>
                <w:color w:val="auto"/>
                <w:szCs w:val="21"/>
                <w:highlight w:val="none"/>
                <w:u w:val="single"/>
              </w:rPr>
              <w:t>（详见广州交易集团有限公司（广州公共资源交易中心）网站信息）</w:t>
            </w:r>
          </w:p>
        </w:tc>
      </w:tr>
      <w:tr w14:paraId="13E16D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6" w:hRule="atLeast"/>
          <w:jc w:val="center"/>
        </w:trPr>
        <w:tc>
          <w:tcPr>
            <w:tcW w:w="959" w:type="dxa"/>
            <w:vAlign w:val="center"/>
          </w:tcPr>
          <w:p w14:paraId="3CEE248D">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4.2.2</w:t>
            </w:r>
          </w:p>
        </w:tc>
        <w:tc>
          <w:tcPr>
            <w:tcW w:w="2613" w:type="dxa"/>
            <w:vAlign w:val="center"/>
          </w:tcPr>
          <w:p w14:paraId="49518FB4">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递交电子投标文件交易平台</w:t>
            </w:r>
          </w:p>
        </w:tc>
        <w:tc>
          <w:tcPr>
            <w:tcW w:w="5774" w:type="dxa"/>
            <w:vAlign w:val="center"/>
          </w:tcPr>
          <w:p w14:paraId="002DDDDC">
            <w:pPr>
              <w:snapToGrid w:val="0"/>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1.递交方式：网上递交投标文件</w:t>
            </w:r>
          </w:p>
          <w:p w14:paraId="5D88D7DC">
            <w:pPr>
              <w:snapToGrid w:val="0"/>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2.递交投标文件的起始时间：（详见广州交易集团有限公司（广州公共资源交易中心）网站信息）。</w:t>
            </w:r>
          </w:p>
          <w:p w14:paraId="77922FF3">
            <w:pPr>
              <w:snapToGrid w:val="0"/>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截止时间：（详见广州交易集团有限公司（广州公共资源交易中心）网站信息）</w:t>
            </w:r>
          </w:p>
          <w:p w14:paraId="6755FC56">
            <w:pPr>
              <w:snapToGrid w:val="0"/>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3.地点：广州交易集团有限公司（广州公共资源交易中心）网站。</w:t>
            </w:r>
          </w:p>
          <w:p w14:paraId="456729C8">
            <w:pPr>
              <w:snapToGrid w:val="0"/>
              <w:spacing w:line="276" w:lineRule="auto"/>
              <w:rPr>
                <w:rFonts w:ascii="宋体" w:hAnsi="宋体" w:cs="宋体"/>
                <w:color w:val="auto"/>
                <w:szCs w:val="21"/>
                <w:highlight w:val="none"/>
              </w:rPr>
            </w:pPr>
            <w:r>
              <w:rPr>
                <w:rFonts w:hint="eastAsia" w:ascii="宋体" w:hAnsi="宋体" w:cs="宋体"/>
                <w:color w:val="auto"/>
                <w:szCs w:val="21"/>
                <w:highlight w:val="none"/>
                <w:u w:val="single"/>
              </w:rPr>
              <w:t>4.上述时间及地点是否有改变，请密切留意招标答疑中的相关信息。也可登录广州交易集团有限公司（广州公共资源交易中心）网站首页，点击“服务指南”专栏中的“交易活动安排”，输入项目编号或项目名称查询最新信息。</w:t>
            </w:r>
          </w:p>
        </w:tc>
      </w:tr>
      <w:tr w14:paraId="72BD86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4" w:hRule="atLeast"/>
          <w:jc w:val="center"/>
        </w:trPr>
        <w:tc>
          <w:tcPr>
            <w:tcW w:w="959" w:type="dxa"/>
            <w:vAlign w:val="center"/>
          </w:tcPr>
          <w:p w14:paraId="08FCD985">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4.2.3</w:t>
            </w:r>
          </w:p>
        </w:tc>
        <w:tc>
          <w:tcPr>
            <w:tcW w:w="2613" w:type="dxa"/>
            <w:vAlign w:val="center"/>
          </w:tcPr>
          <w:p w14:paraId="3CAB20CD">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投标文件是否退还</w:t>
            </w:r>
          </w:p>
        </w:tc>
        <w:tc>
          <w:tcPr>
            <w:tcW w:w="5774" w:type="dxa"/>
            <w:vAlign w:val="center"/>
          </w:tcPr>
          <w:p w14:paraId="6B7D21A5">
            <w:pPr>
              <w:pStyle w:val="8"/>
              <w:topLinePunct/>
              <w:spacing w:line="276" w:lineRule="auto"/>
              <w:rPr>
                <w:rFonts w:hAnsi="宋体" w:cs="宋体"/>
                <w:color w:val="auto"/>
                <w:sz w:val="21"/>
                <w:szCs w:val="21"/>
                <w:highlight w:val="none"/>
              </w:rPr>
            </w:pPr>
            <w:r>
              <w:rPr>
                <w:rFonts w:hint="eastAsia" w:hAnsi="宋体" w:cs="宋体"/>
                <w:color w:val="auto"/>
                <w:sz w:val="21"/>
                <w:szCs w:val="21"/>
                <w:highlight w:val="none"/>
              </w:rPr>
              <w:t>■否</w:t>
            </w:r>
          </w:p>
          <w:p w14:paraId="3704BE02">
            <w:pPr>
              <w:pStyle w:val="8"/>
              <w:topLinePunct/>
              <w:spacing w:line="276" w:lineRule="auto"/>
              <w:rPr>
                <w:rFonts w:hAnsi="宋体" w:cs="宋体"/>
                <w:color w:val="auto"/>
                <w:sz w:val="21"/>
                <w:szCs w:val="21"/>
                <w:highlight w:val="none"/>
              </w:rPr>
            </w:pPr>
            <w:r>
              <w:rPr>
                <w:rFonts w:hint="eastAsia" w:hAnsi="宋体" w:cs="宋体"/>
                <w:color w:val="auto"/>
                <w:sz w:val="21"/>
                <w:szCs w:val="21"/>
                <w:highlight w:val="none"/>
              </w:rPr>
              <w:t>□是，退还时间：</w:t>
            </w:r>
          </w:p>
        </w:tc>
      </w:tr>
      <w:tr w14:paraId="4AFA60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16" w:hRule="atLeast"/>
          <w:jc w:val="center"/>
        </w:trPr>
        <w:tc>
          <w:tcPr>
            <w:tcW w:w="959" w:type="dxa"/>
            <w:vAlign w:val="center"/>
          </w:tcPr>
          <w:p w14:paraId="7A9182B6">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2613" w:type="dxa"/>
            <w:vAlign w:val="center"/>
          </w:tcPr>
          <w:p w14:paraId="3535723B">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开标时间和地点</w:t>
            </w:r>
          </w:p>
        </w:tc>
        <w:tc>
          <w:tcPr>
            <w:tcW w:w="5774" w:type="dxa"/>
            <w:vAlign w:val="center"/>
          </w:tcPr>
          <w:p w14:paraId="3F6479AC">
            <w:pPr>
              <w:snapToGrid w:val="0"/>
              <w:spacing w:line="276" w:lineRule="auto"/>
              <w:jc w:val="left"/>
              <w:rPr>
                <w:rFonts w:ascii="宋体" w:hAnsi="宋体" w:cs="宋体"/>
                <w:color w:val="auto"/>
                <w:szCs w:val="21"/>
                <w:highlight w:val="none"/>
              </w:rPr>
            </w:pPr>
            <w:r>
              <w:rPr>
                <w:rFonts w:hint="eastAsia" w:ascii="宋体" w:hAnsi="宋体" w:cs="宋体"/>
                <w:color w:val="auto"/>
                <w:szCs w:val="21"/>
                <w:highlight w:val="none"/>
              </w:rPr>
              <w:t>招标人在本章第 4.2.1 项规定的投标截止时间（开标时间），通过电子招标投标交易平台公开开标；开标地点在广州公共资源交易中心，详见广州公共资源交易中心公布本项目的日程安排，投标人可登录广州公共资源交易中心网站首页，点击“交易业务-建设工程”专栏中的“项目查询（日程安排、答疑纪要）”，输入项目编号或项目名称查询最新信息。</w:t>
            </w:r>
          </w:p>
          <w:p w14:paraId="130EBD2B">
            <w:pPr>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开标时，投标人代表有权出席开标会，也可以自主决定不参加开标会。</w:t>
            </w:r>
          </w:p>
        </w:tc>
      </w:tr>
      <w:tr w14:paraId="7F81B1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32" w:hRule="atLeast"/>
          <w:jc w:val="center"/>
        </w:trPr>
        <w:tc>
          <w:tcPr>
            <w:tcW w:w="959" w:type="dxa"/>
            <w:vAlign w:val="center"/>
          </w:tcPr>
          <w:p w14:paraId="0380328E">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5.2</w:t>
            </w:r>
          </w:p>
        </w:tc>
        <w:tc>
          <w:tcPr>
            <w:tcW w:w="2613" w:type="dxa"/>
            <w:vAlign w:val="center"/>
          </w:tcPr>
          <w:p w14:paraId="64D0CB72">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开标程序</w:t>
            </w:r>
          </w:p>
        </w:tc>
        <w:tc>
          <w:tcPr>
            <w:tcW w:w="5774" w:type="dxa"/>
            <w:vAlign w:val="center"/>
          </w:tcPr>
          <w:p w14:paraId="059512BD">
            <w:pPr>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电子招投标项目开标按下列程序进行：</w:t>
            </w:r>
          </w:p>
          <w:p w14:paraId="346A2FF8">
            <w:pPr>
              <w:snapToGrid w:val="0"/>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5.2.1主持人按下列程序进行开标：</w:t>
            </w:r>
          </w:p>
          <w:p w14:paraId="3AB80192">
            <w:pPr>
              <w:snapToGrid w:val="0"/>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（1）宣布开标纪律；</w:t>
            </w:r>
          </w:p>
          <w:p w14:paraId="05047544">
            <w:pPr>
              <w:snapToGrid w:val="0"/>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（2）公布在投标截止时间前递交投标文件的投标人名称；</w:t>
            </w:r>
          </w:p>
          <w:p w14:paraId="617B916F">
            <w:pPr>
              <w:snapToGrid w:val="0"/>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（3）宣布开标人、唱标人、记录人、监标人等有关人员姓名；</w:t>
            </w:r>
          </w:p>
          <w:p w14:paraId="4F77D09C">
            <w:pPr>
              <w:snapToGrid w:val="0"/>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（4）投标人通过电子招标投标交易平台对已递交的电子投标文件进行解密，公布招标项目名称、投标人名称、投标总报价、服务期限及其他内容，并记录在案；</w:t>
            </w:r>
          </w:p>
          <w:p w14:paraId="553DD05C">
            <w:pPr>
              <w:snapToGrid w:val="0"/>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（5）投标人代表、招标人代表、监标人、记录人等有关人员在开标记录上签字确认；若有关人员不签字的，不影响开标程序；</w:t>
            </w:r>
          </w:p>
          <w:p w14:paraId="3B0F6285">
            <w:pPr>
              <w:snapToGrid w:val="0"/>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（6）开标结束。</w:t>
            </w:r>
          </w:p>
          <w:p w14:paraId="3EAD6569">
            <w:pPr>
              <w:snapToGrid w:val="0"/>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5.2.2投标截止时间前未完成投标文件传输的或因投标人之外的原因造成投标文件未解密的或未在投标截止时间后半小时解密的，视为投标人其撤回投标文件。因投标人原因造成投标文件未解密的，或因投标人之外原因解密失败且未递交电子光盘或递交的电子光盘不能读取的，视为撤销其投标文件。</w:t>
            </w:r>
          </w:p>
          <w:p w14:paraId="7933F4EF">
            <w:pPr>
              <w:snapToGrid w:val="0"/>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5.2.3开标时，两个（含两个）以上的投标人加密打包投标文件电脑机器特征码一致的，不参与下一程序，并由评标委员会否决其投标。</w:t>
            </w:r>
          </w:p>
        </w:tc>
      </w:tr>
      <w:tr w14:paraId="77EE75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959" w:type="dxa"/>
            <w:vAlign w:val="center"/>
          </w:tcPr>
          <w:p w14:paraId="3D76DD97">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6.1.1</w:t>
            </w:r>
          </w:p>
        </w:tc>
        <w:tc>
          <w:tcPr>
            <w:tcW w:w="2613" w:type="dxa"/>
            <w:vAlign w:val="center"/>
          </w:tcPr>
          <w:p w14:paraId="04228A4A">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评标委员会的组建</w:t>
            </w:r>
          </w:p>
        </w:tc>
        <w:tc>
          <w:tcPr>
            <w:tcW w:w="5774" w:type="dxa"/>
            <w:vAlign w:val="center"/>
          </w:tcPr>
          <w:p w14:paraId="6EBADDE4">
            <w:pPr>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评标委员会由招标人依法组建。</w:t>
            </w:r>
          </w:p>
        </w:tc>
      </w:tr>
      <w:tr w14:paraId="16C827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85" w:hRule="atLeast"/>
          <w:jc w:val="center"/>
        </w:trPr>
        <w:tc>
          <w:tcPr>
            <w:tcW w:w="959" w:type="dxa"/>
            <w:vAlign w:val="center"/>
          </w:tcPr>
          <w:p w14:paraId="2DD9BF2F">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6.3.2</w:t>
            </w:r>
          </w:p>
        </w:tc>
        <w:tc>
          <w:tcPr>
            <w:tcW w:w="2613" w:type="dxa"/>
            <w:vAlign w:val="center"/>
          </w:tcPr>
          <w:p w14:paraId="3C759172">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评标委员会推荐中标候选人的人数</w:t>
            </w:r>
          </w:p>
        </w:tc>
        <w:tc>
          <w:tcPr>
            <w:tcW w:w="5774" w:type="dxa"/>
            <w:vAlign w:val="center"/>
          </w:tcPr>
          <w:p w14:paraId="50366BDD">
            <w:pPr>
              <w:snapToGrid w:val="0"/>
              <w:spacing w:line="276" w:lineRule="auto"/>
              <w:rPr>
                <w:rFonts w:ascii="宋体" w:hAnsi="宋体" w:cs="宋体"/>
                <w:color w:val="auto"/>
                <w:szCs w:val="21"/>
                <w:highlight w:val="none"/>
              </w:rPr>
            </w:pPr>
            <w:r>
              <w:rPr>
                <w:rFonts w:hint="eastAsia" w:ascii="宋体" w:hAnsi="宋体" w:cs="宋体"/>
                <w:color w:val="auto"/>
                <w:szCs w:val="21"/>
                <w:highlight w:val="none"/>
              </w:rPr>
              <w:t>推荐中标候选人：</w:t>
            </w:r>
            <w:r>
              <w:rPr>
                <w:rFonts w:hint="eastAsia" w:ascii="宋体" w:hAnsi="宋体" w:cs="宋体"/>
                <w:color w:val="auto"/>
                <w:szCs w:val="21"/>
                <w:highlight w:val="none"/>
                <w:u w:val="single"/>
              </w:rPr>
              <w:t>3人</w:t>
            </w:r>
          </w:p>
        </w:tc>
      </w:tr>
      <w:tr w14:paraId="1D10CA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85" w:hRule="atLeast"/>
          <w:jc w:val="center"/>
        </w:trPr>
        <w:tc>
          <w:tcPr>
            <w:tcW w:w="959" w:type="dxa"/>
            <w:vAlign w:val="center"/>
          </w:tcPr>
          <w:p w14:paraId="64E23143">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7.1</w:t>
            </w:r>
          </w:p>
        </w:tc>
        <w:tc>
          <w:tcPr>
            <w:tcW w:w="2613" w:type="dxa"/>
            <w:vAlign w:val="center"/>
          </w:tcPr>
          <w:p w14:paraId="72A11252">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中标候选人公示媒介及期限</w:t>
            </w:r>
          </w:p>
        </w:tc>
        <w:tc>
          <w:tcPr>
            <w:tcW w:w="5774" w:type="dxa"/>
            <w:vAlign w:val="center"/>
          </w:tcPr>
          <w:p w14:paraId="2DBD6D70">
            <w:pPr>
              <w:spacing w:line="276" w:lineRule="auto"/>
              <w:rPr>
                <w:rFonts w:ascii="宋体" w:hAnsi="宋体" w:cs="宋体"/>
                <w:color w:val="auto"/>
                <w:szCs w:val="21"/>
                <w:highlight w:val="none"/>
              </w:rPr>
            </w:pPr>
            <w:r>
              <w:rPr>
                <w:rFonts w:hint="eastAsia" w:ascii="宋体" w:hAnsi="宋体" w:cs="宋体"/>
                <w:color w:val="auto"/>
                <w:szCs w:val="21"/>
                <w:highlight w:val="none"/>
              </w:rPr>
              <w:t>公示媒介：</w:t>
            </w:r>
            <w:r>
              <w:rPr>
                <w:rFonts w:hint="eastAsia" w:ascii="宋体" w:hAnsi="宋体" w:cs="宋体"/>
                <w:color w:val="auto"/>
                <w:szCs w:val="21"/>
                <w:highlight w:val="none"/>
                <w:u w:val="single"/>
              </w:rPr>
              <w:t>广州交易集团有限公司（广州公共资源交易中心）网站、广东省招标投标监管网、中国招标投标公共服务平台</w:t>
            </w:r>
          </w:p>
          <w:p w14:paraId="7CFB2CB3">
            <w:pPr>
              <w:snapToGrid w:val="0"/>
              <w:spacing w:line="276" w:lineRule="auto"/>
              <w:ind w:right="106"/>
              <w:rPr>
                <w:rFonts w:ascii="宋体" w:hAnsi="宋体" w:cs="宋体"/>
                <w:color w:val="auto"/>
                <w:szCs w:val="21"/>
                <w:highlight w:val="none"/>
              </w:rPr>
            </w:pPr>
            <w:r>
              <w:rPr>
                <w:rFonts w:hint="eastAsia" w:ascii="宋体" w:hAnsi="宋体" w:cs="宋体"/>
                <w:color w:val="auto"/>
                <w:szCs w:val="21"/>
                <w:highlight w:val="none"/>
              </w:rPr>
              <w:t>公示期限：</w:t>
            </w:r>
            <w:r>
              <w:rPr>
                <w:rFonts w:hint="eastAsia" w:ascii="宋体" w:hAnsi="宋体" w:cs="宋体"/>
                <w:color w:val="auto"/>
                <w:szCs w:val="21"/>
                <w:highlight w:val="none"/>
                <w:u w:val="single"/>
              </w:rPr>
              <w:t>3</w:t>
            </w:r>
            <w:r>
              <w:rPr>
                <w:rFonts w:hint="eastAsia" w:ascii="宋体" w:hAnsi="宋体" w:cs="宋体"/>
                <w:color w:val="auto"/>
                <w:szCs w:val="21"/>
                <w:highlight w:val="none"/>
              </w:rPr>
              <w:t>日</w:t>
            </w:r>
          </w:p>
        </w:tc>
      </w:tr>
      <w:tr w14:paraId="13FF88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4" w:hRule="atLeast"/>
          <w:jc w:val="center"/>
        </w:trPr>
        <w:tc>
          <w:tcPr>
            <w:tcW w:w="959" w:type="dxa"/>
            <w:vAlign w:val="center"/>
          </w:tcPr>
          <w:p w14:paraId="00A16571">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7.4</w:t>
            </w:r>
          </w:p>
        </w:tc>
        <w:tc>
          <w:tcPr>
            <w:tcW w:w="2613" w:type="dxa"/>
            <w:vAlign w:val="center"/>
          </w:tcPr>
          <w:p w14:paraId="3EB84F56">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是否授权评标委员会确定中标人</w:t>
            </w:r>
          </w:p>
        </w:tc>
        <w:tc>
          <w:tcPr>
            <w:tcW w:w="5774" w:type="dxa"/>
            <w:vAlign w:val="center"/>
          </w:tcPr>
          <w:p w14:paraId="77AFE835">
            <w:pPr>
              <w:spacing w:line="276" w:lineRule="auto"/>
              <w:rPr>
                <w:rFonts w:ascii="宋体" w:hAnsi="宋体" w:cs="宋体"/>
                <w:color w:val="auto"/>
                <w:szCs w:val="21"/>
                <w:highlight w:val="none"/>
              </w:rPr>
            </w:pPr>
            <w:r>
              <w:rPr>
                <w:rFonts w:hint="eastAsia" w:ascii="宋体" w:hAnsi="宋体" w:cs="宋体"/>
                <w:color w:val="auto"/>
                <w:szCs w:val="21"/>
                <w:highlight w:val="none"/>
              </w:rPr>
              <w:t>□是</w:t>
            </w:r>
          </w:p>
          <w:p w14:paraId="245FE763">
            <w:pPr>
              <w:spacing w:line="276" w:lineRule="auto"/>
              <w:rPr>
                <w:rFonts w:ascii="宋体" w:hAnsi="宋体" w:cs="宋体"/>
                <w:color w:val="auto"/>
                <w:szCs w:val="21"/>
                <w:highlight w:val="none"/>
              </w:rPr>
            </w:pPr>
            <w:r>
              <w:rPr>
                <w:rFonts w:hint="eastAsia" w:ascii="宋体" w:hAnsi="宋体" w:cs="宋体"/>
                <w:color w:val="auto"/>
                <w:szCs w:val="21"/>
                <w:highlight w:val="none"/>
              </w:rPr>
              <w:t>■否</w:t>
            </w:r>
          </w:p>
        </w:tc>
      </w:tr>
      <w:tr w14:paraId="3D0B6F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959" w:type="dxa"/>
            <w:vAlign w:val="center"/>
          </w:tcPr>
          <w:p w14:paraId="7610DFBE">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7.6.1</w:t>
            </w:r>
          </w:p>
        </w:tc>
        <w:tc>
          <w:tcPr>
            <w:tcW w:w="2613" w:type="dxa"/>
            <w:vAlign w:val="center"/>
          </w:tcPr>
          <w:p w14:paraId="7B6A8E48">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履约担保</w:t>
            </w:r>
          </w:p>
        </w:tc>
        <w:tc>
          <w:tcPr>
            <w:tcW w:w="5774" w:type="dxa"/>
            <w:vAlign w:val="center"/>
          </w:tcPr>
          <w:p w14:paraId="2C806652">
            <w:pPr>
              <w:pStyle w:val="8"/>
              <w:topLinePunct/>
              <w:spacing w:line="276" w:lineRule="auto"/>
              <w:rPr>
                <w:rFonts w:hAnsi="宋体" w:cs="宋体"/>
                <w:bCs/>
                <w:color w:val="auto"/>
                <w:sz w:val="21"/>
                <w:szCs w:val="21"/>
                <w:highlight w:val="none"/>
              </w:rPr>
            </w:pPr>
            <w:r>
              <w:rPr>
                <w:rFonts w:hint="eastAsia" w:hAnsi="宋体" w:cs="宋体"/>
                <w:bCs/>
                <w:color w:val="auto"/>
                <w:sz w:val="21"/>
                <w:szCs w:val="21"/>
                <w:highlight w:val="none"/>
              </w:rPr>
              <w:t>是否要求中标人提交履约担保。</w:t>
            </w:r>
          </w:p>
          <w:p w14:paraId="17C07985">
            <w:pPr>
              <w:pStyle w:val="8"/>
              <w:topLinePunct/>
              <w:spacing w:line="276" w:lineRule="auto"/>
              <w:rPr>
                <w:rFonts w:hAnsi="宋体" w:cs="宋体"/>
                <w:bCs/>
                <w:color w:val="auto"/>
                <w:sz w:val="21"/>
                <w:szCs w:val="21"/>
                <w:highlight w:val="none"/>
              </w:rPr>
            </w:pPr>
            <w:r>
              <w:rPr>
                <w:rFonts w:hint="eastAsia" w:hAnsi="宋体" w:cs="宋体"/>
                <w:bCs/>
                <w:color w:val="auto"/>
                <w:sz w:val="21"/>
                <w:szCs w:val="21"/>
                <w:highlight w:val="none"/>
              </w:rPr>
              <w:t>□否</w:t>
            </w:r>
          </w:p>
          <w:p w14:paraId="4B524992">
            <w:pPr>
              <w:pStyle w:val="8"/>
              <w:topLinePunct/>
              <w:spacing w:line="276" w:lineRule="auto"/>
              <w:rPr>
                <w:rFonts w:hAnsi="宋体" w:cs="宋体"/>
                <w:bCs/>
                <w:color w:val="auto"/>
                <w:sz w:val="21"/>
                <w:szCs w:val="21"/>
                <w:highlight w:val="none"/>
              </w:rPr>
            </w:pPr>
            <w:r>
              <w:rPr>
                <w:rFonts w:hint="eastAsia" w:hAnsi="宋体" w:cs="宋体"/>
                <w:bCs/>
                <w:color w:val="auto"/>
                <w:sz w:val="21"/>
                <w:szCs w:val="21"/>
                <w:highlight w:val="none"/>
              </w:rPr>
              <w:t>√要求</w:t>
            </w:r>
          </w:p>
          <w:p w14:paraId="3C00547C">
            <w:pPr>
              <w:pStyle w:val="8"/>
              <w:topLinePunct/>
              <w:spacing w:line="276" w:lineRule="auto"/>
              <w:rPr>
                <w:rFonts w:hAnsi="宋体" w:cs="宋体"/>
                <w:bCs/>
                <w:color w:val="auto"/>
                <w:sz w:val="21"/>
                <w:szCs w:val="21"/>
                <w:highlight w:val="none"/>
              </w:rPr>
            </w:pPr>
            <w:r>
              <w:rPr>
                <w:rFonts w:hint="eastAsia" w:hAnsi="宋体" w:cs="宋体"/>
                <w:bCs/>
                <w:color w:val="auto"/>
                <w:sz w:val="21"/>
                <w:szCs w:val="21"/>
                <w:highlight w:val="none"/>
              </w:rPr>
              <w:t>中标人提供的履约担保为中标价的</w:t>
            </w:r>
            <w:r>
              <w:rPr>
                <w:rFonts w:hint="eastAsia" w:hAnsi="宋体" w:cs="宋体"/>
                <w:bCs/>
                <w:color w:val="auto"/>
                <w:sz w:val="21"/>
                <w:szCs w:val="21"/>
                <w:highlight w:val="none"/>
                <w:lang w:val="en-US" w:eastAsia="zh-CN"/>
              </w:rPr>
              <w:t>5</w:t>
            </w:r>
            <w:r>
              <w:rPr>
                <w:rFonts w:hint="eastAsia" w:hAnsi="宋体" w:cs="宋体"/>
                <w:bCs/>
                <w:color w:val="auto"/>
                <w:sz w:val="21"/>
                <w:szCs w:val="21"/>
                <w:highlight w:val="none"/>
              </w:rPr>
              <w:t>% ，中标通知书发放后15个日历天内,中标人须向招标人提交履约担保，履约担保可采用现金或支票或汇票等有效方式提交，若中标人以银行转账或银行保函方式提供的，可按以下方式提交：</w:t>
            </w:r>
          </w:p>
          <w:p w14:paraId="67C72BA9">
            <w:pPr>
              <w:pStyle w:val="8"/>
              <w:topLinePunct/>
              <w:spacing w:line="276" w:lineRule="auto"/>
              <w:rPr>
                <w:rFonts w:hAnsi="宋体" w:cs="宋体"/>
                <w:bCs/>
                <w:color w:val="auto"/>
                <w:sz w:val="21"/>
                <w:szCs w:val="21"/>
                <w:highlight w:val="none"/>
              </w:rPr>
            </w:pPr>
            <w:r>
              <w:rPr>
                <w:rFonts w:hint="eastAsia" w:hAnsi="宋体" w:cs="宋体"/>
                <w:bCs/>
                <w:color w:val="auto"/>
                <w:sz w:val="21"/>
                <w:szCs w:val="21"/>
                <w:highlight w:val="none"/>
              </w:rPr>
              <w:t>方式一：从中标人开户银行帐户中转帐或汇款到招标人以下三个银行帐户﹙收款单位：广州市番禺区基本建设投资管理中心，银行帐号一：3602070119200076312，开户银行：工商银行广州番禺平康支行；银行帐号二：44001531416059000078，开户银行：中国建设银行番禺东区支行；银行帐号三：391160100100059844，开户银行：兴业银行番禺支行﹚中的任一个帐户内。</w:t>
            </w:r>
          </w:p>
          <w:p w14:paraId="391A9A81">
            <w:pPr>
              <w:pStyle w:val="8"/>
              <w:topLinePunct/>
              <w:spacing w:line="276" w:lineRule="auto"/>
              <w:rPr>
                <w:rFonts w:hAnsi="宋体" w:cs="宋体"/>
                <w:bCs/>
                <w:color w:val="auto"/>
                <w:sz w:val="21"/>
                <w:szCs w:val="21"/>
                <w:highlight w:val="none"/>
              </w:rPr>
            </w:pPr>
            <w:r>
              <w:rPr>
                <w:rFonts w:hint="eastAsia" w:hAnsi="宋体" w:cs="宋体"/>
                <w:bCs/>
                <w:color w:val="auto"/>
                <w:sz w:val="21"/>
                <w:szCs w:val="21"/>
                <w:highlight w:val="none"/>
              </w:rPr>
              <w:t>方式二：中标人按本合同附件中的格式1向发包人提供保证额为中标价款的10%的履约保证金银行保函，该银行保函应由在中国注册的银行开具。</w:t>
            </w:r>
          </w:p>
          <w:p w14:paraId="3285B463">
            <w:pPr>
              <w:pStyle w:val="8"/>
              <w:topLinePunct/>
              <w:spacing w:line="276" w:lineRule="auto"/>
              <w:rPr>
                <w:rFonts w:hAnsi="宋体" w:cs="宋体"/>
                <w:color w:val="auto"/>
                <w:sz w:val="21"/>
                <w:szCs w:val="21"/>
                <w:highlight w:val="none"/>
              </w:rPr>
            </w:pPr>
            <w:r>
              <w:rPr>
                <w:rFonts w:hint="eastAsia" w:hAnsi="宋体" w:cs="宋体"/>
                <w:bCs/>
                <w:color w:val="auto"/>
                <w:sz w:val="21"/>
                <w:szCs w:val="21"/>
                <w:highlight w:val="none"/>
              </w:rPr>
              <w:t>若在中标通知书发放后15个日历天内，中标人未提交履约担保且未征得招标人同意延期缴交的，招标人有权取消其中标资格并没收补交的投标保证金，并由其他中标候选人顺次序替补。</w:t>
            </w:r>
          </w:p>
        </w:tc>
      </w:tr>
      <w:tr w14:paraId="4B570B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68" w:hRule="atLeast"/>
          <w:jc w:val="center"/>
        </w:trPr>
        <w:tc>
          <w:tcPr>
            <w:tcW w:w="959" w:type="dxa"/>
            <w:vAlign w:val="center"/>
          </w:tcPr>
          <w:p w14:paraId="0F3AD76E">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9</w:t>
            </w:r>
          </w:p>
        </w:tc>
        <w:tc>
          <w:tcPr>
            <w:tcW w:w="2613" w:type="dxa"/>
            <w:vAlign w:val="center"/>
          </w:tcPr>
          <w:p w14:paraId="709D2A9F">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是否采用电子招标投标</w:t>
            </w:r>
          </w:p>
        </w:tc>
        <w:tc>
          <w:tcPr>
            <w:tcW w:w="5774" w:type="dxa"/>
            <w:vAlign w:val="center"/>
          </w:tcPr>
          <w:p w14:paraId="7988865E">
            <w:pPr>
              <w:spacing w:line="276" w:lineRule="auto"/>
              <w:rPr>
                <w:rFonts w:ascii="宋体" w:hAnsi="宋体" w:cs="宋体"/>
                <w:color w:val="auto"/>
                <w:szCs w:val="21"/>
                <w:highlight w:val="none"/>
              </w:rPr>
            </w:pPr>
            <w:r>
              <w:rPr>
                <w:rFonts w:hint="eastAsia" w:ascii="宋体" w:hAnsi="宋体" w:cs="宋体"/>
                <w:color w:val="auto"/>
                <w:szCs w:val="21"/>
                <w:highlight w:val="none"/>
              </w:rPr>
              <w:t>□否</w:t>
            </w:r>
          </w:p>
          <w:p w14:paraId="70EE6C17">
            <w:pPr>
              <w:spacing w:line="276" w:lineRule="auto"/>
              <w:ind w:left="2099" w:leftChars="3" w:hanging="2093" w:hangingChars="997"/>
              <w:rPr>
                <w:rFonts w:ascii="宋体" w:hAnsi="宋体" w:cs="宋体"/>
                <w:color w:val="auto"/>
                <w:szCs w:val="21"/>
                <w:highlight w:val="none"/>
              </w:rPr>
            </w:pPr>
            <w:r>
              <w:rPr>
                <w:rFonts w:hint="eastAsia" w:ascii="宋体" w:hAnsi="宋体" w:cs="宋体"/>
                <w:color w:val="auto"/>
                <w:szCs w:val="21"/>
                <w:highlight w:val="none"/>
              </w:rPr>
              <w:t>■是，具体要求：</w:t>
            </w:r>
          </w:p>
          <w:p w14:paraId="32FA3946">
            <w:pPr>
              <w:spacing w:line="276" w:lineRule="auto"/>
              <w:ind w:left="187" w:leftChars="89"/>
              <w:rPr>
                <w:rFonts w:ascii="宋体" w:hAnsi="宋体" w:cs="宋体"/>
                <w:color w:val="auto"/>
                <w:szCs w:val="21"/>
                <w:highlight w:val="none"/>
                <w:u w:val="single"/>
              </w:rPr>
            </w:pPr>
            <w:r>
              <w:rPr>
                <w:rFonts w:hint="eastAsia" w:ascii="宋体" w:hAnsi="宋体" w:cs="宋体"/>
                <w:color w:val="auto"/>
                <w:szCs w:val="21"/>
                <w:highlight w:val="none"/>
                <w:u w:val="single"/>
              </w:rPr>
              <w:t>1.具体操作详见广州交易集团有限公司（广州公共资源交易中心）网站发布的最新版操作指引。</w:t>
            </w:r>
          </w:p>
          <w:p w14:paraId="013157E3">
            <w:pPr>
              <w:spacing w:line="276" w:lineRule="auto"/>
              <w:ind w:firstLine="210" w:firstLineChars="100"/>
              <w:rPr>
                <w:rFonts w:ascii="宋体" w:hAnsi="宋体" w:cs="宋体"/>
                <w:color w:val="auto"/>
                <w:szCs w:val="21"/>
                <w:highlight w:val="none"/>
                <w:u w:val="single"/>
              </w:rPr>
            </w:pPr>
            <w:r>
              <w:rPr>
                <w:rFonts w:hint="eastAsia" w:ascii="宋体" w:hAnsi="宋体" w:cs="宋体"/>
                <w:color w:val="auto"/>
                <w:szCs w:val="21"/>
                <w:highlight w:val="none"/>
                <w:u w:val="single"/>
              </w:rPr>
              <w:t>2.提交投标文件光盘备用</w:t>
            </w:r>
          </w:p>
          <w:p w14:paraId="3392FB66">
            <w:pPr>
              <w:spacing w:line="276" w:lineRule="auto"/>
              <w:ind w:firstLine="210" w:firstLineChars="100"/>
              <w:rPr>
                <w:rFonts w:ascii="宋体" w:hAnsi="宋体" w:cs="宋体"/>
                <w:color w:val="auto"/>
                <w:szCs w:val="21"/>
                <w:highlight w:val="none"/>
                <w:u w:val="single"/>
              </w:rPr>
            </w:pPr>
            <w:r>
              <w:rPr>
                <w:rFonts w:hint="eastAsia" w:ascii="宋体" w:hAnsi="宋体" w:cs="宋体"/>
                <w:color w:val="auto"/>
                <w:szCs w:val="21"/>
                <w:highlight w:val="none"/>
                <w:u w:val="single"/>
              </w:rPr>
              <w:t>投标人可按广州交易集团有限公司（广州公共资源交易中心）网站发布的最新版操作指引的操作方法制作的非加密的电子投标文件刻入光盘（1份），</w:t>
            </w:r>
            <w:r>
              <w:rPr>
                <w:rFonts w:hint="eastAsia" w:ascii="宋体" w:hAnsi="宋体" w:cs="宋体"/>
                <w:color w:val="auto"/>
                <w:szCs w:val="21"/>
                <w:highlight w:val="none"/>
              </w:rPr>
              <w:t>在开标现场（投标截止时间前）</w:t>
            </w:r>
            <w:r>
              <w:rPr>
                <w:rFonts w:hint="eastAsia" w:ascii="宋体" w:hAnsi="宋体" w:cs="宋体"/>
                <w:color w:val="auto"/>
                <w:szCs w:val="21"/>
                <w:highlight w:val="none"/>
                <w:u w:val="single"/>
              </w:rPr>
              <w:t>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读取现场提交的光盘。</w:t>
            </w:r>
          </w:p>
          <w:p w14:paraId="576AFC4C">
            <w:pPr>
              <w:spacing w:line="276" w:lineRule="auto"/>
              <w:ind w:firstLine="210" w:firstLineChars="100"/>
              <w:rPr>
                <w:rFonts w:ascii="宋体" w:hAnsi="宋体" w:cs="宋体"/>
                <w:color w:val="auto"/>
                <w:szCs w:val="21"/>
                <w:highlight w:val="none"/>
                <w:u w:val="single"/>
              </w:rPr>
            </w:pPr>
            <w:r>
              <w:rPr>
                <w:rFonts w:hint="eastAsia" w:ascii="宋体" w:hAnsi="宋体" w:cs="宋体"/>
                <w:color w:val="auto"/>
                <w:szCs w:val="21"/>
                <w:highlight w:val="none"/>
                <w:u w:val="single"/>
              </w:rPr>
              <w:t>3.补救方案</w:t>
            </w:r>
          </w:p>
          <w:p w14:paraId="62A51408">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（1）投标文件解密失败的补救方案：</w:t>
            </w:r>
          </w:p>
          <w:p w14:paraId="0C313E58">
            <w:pPr>
              <w:spacing w:line="276" w:lineRule="auto"/>
              <w:ind w:firstLine="315" w:firstLineChars="150"/>
              <w:rPr>
                <w:rFonts w:ascii="宋体" w:hAnsi="宋体" w:cs="宋体"/>
                <w:color w:val="auto"/>
                <w:szCs w:val="21"/>
                <w:highlight w:val="none"/>
                <w:u w:val="single"/>
              </w:rPr>
            </w:pPr>
            <w:r>
              <w:rPr>
                <w:rFonts w:hint="eastAsia" w:ascii="宋体" w:hAnsi="宋体" w:cs="宋体"/>
                <w:color w:val="auto"/>
                <w:szCs w:val="21"/>
                <w:highlight w:val="none"/>
                <w:u w:val="single"/>
              </w:rPr>
              <w:t>在规定时间内，因投标人之外原因（指网络瘫痪、服务器损坏、交易系统故障短期无法恢复等因素）导致的电子投标文件解密失败，在开标现场读取光盘内容，继续开标程序。评标委员会对其投标文件的评审以光盘内容为准。因投标人之外原因解密失败且未递交电子光盘或递交的电子光盘不能读取的，视为撤回投标文件。</w:t>
            </w:r>
          </w:p>
          <w:p w14:paraId="1A170C9E">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（2）评标时突发情况的补救方案</w:t>
            </w:r>
          </w:p>
          <w:p w14:paraId="749CFDE7">
            <w:pPr>
              <w:spacing w:line="276" w:lineRule="auto"/>
              <w:ind w:firstLine="315" w:firstLineChars="150"/>
              <w:rPr>
                <w:rFonts w:ascii="宋体" w:hAnsi="宋体" w:cs="宋体"/>
                <w:color w:val="auto"/>
                <w:szCs w:val="21"/>
                <w:highlight w:val="none"/>
                <w:u w:val="single"/>
              </w:rPr>
            </w:pPr>
            <w:r>
              <w:rPr>
                <w:rFonts w:hint="eastAsia" w:ascii="宋体" w:hAnsi="宋体" w:cs="宋体"/>
                <w:color w:val="auto"/>
                <w:szCs w:val="21"/>
                <w:highlight w:val="none"/>
                <w:u w:val="single"/>
              </w:rPr>
              <w:t>若遇不可抗力发生（如：网络瘫痪、服务器损坏、交易系统故障短期无法恢复等因素），由评标委员会开启递交的全部投标文件光盘，并按光盘内容进行评审。</w:t>
            </w:r>
          </w:p>
          <w:p w14:paraId="30A6EAED">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（3）除发生上述情况外，开标评标均以投标人通过交易平台网上递交的电子投标文件为准。</w:t>
            </w:r>
          </w:p>
        </w:tc>
      </w:tr>
      <w:tr w14:paraId="787234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959" w:type="dxa"/>
            <w:vAlign w:val="center"/>
          </w:tcPr>
          <w:p w14:paraId="7158A25E">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10</w:t>
            </w:r>
          </w:p>
        </w:tc>
        <w:tc>
          <w:tcPr>
            <w:tcW w:w="2613" w:type="dxa"/>
            <w:vAlign w:val="center"/>
          </w:tcPr>
          <w:p w14:paraId="226E71BE">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需要补充的其他内容</w:t>
            </w:r>
          </w:p>
        </w:tc>
        <w:tc>
          <w:tcPr>
            <w:tcW w:w="5774" w:type="dxa"/>
            <w:vAlign w:val="center"/>
          </w:tcPr>
          <w:p w14:paraId="29128896">
            <w:pPr>
              <w:keepNext/>
              <w:keepLines/>
              <w:snapToGrid w:val="0"/>
              <w:spacing w:line="276" w:lineRule="auto"/>
              <w:outlineLvl w:val="0"/>
              <w:rPr>
                <w:rFonts w:ascii="宋体" w:hAnsi="宋体" w:cs="宋体"/>
                <w:color w:val="auto"/>
                <w:szCs w:val="21"/>
                <w:highlight w:val="none"/>
              </w:rPr>
            </w:pPr>
          </w:p>
        </w:tc>
      </w:tr>
      <w:tr w14:paraId="517D69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73" w:hRule="atLeast"/>
          <w:jc w:val="center"/>
        </w:trPr>
        <w:tc>
          <w:tcPr>
            <w:tcW w:w="959" w:type="dxa"/>
            <w:vAlign w:val="center"/>
          </w:tcPr>
          <w:p w14:paraId="2005274D">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10.1</w:t>
            </w:r>
          </w:p>
        </w:tc>
        <w:tc>
          <w:tcPr>
            <w:tcW w:w="2613" w:type="dxa"/>
            <w:vAlign w:val="center"/>
          </w:tcPr>
          <w:p w14:paraId="14203A46">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特别提示</w:t>
            </w:r>
          </w:p>
        </w:tc>
        <w:tc>
          <w:tcPr>
            <w:tcW w:w="5774" w:type="dxa"/>
            <w:vAlign w:val="center"/>
          </w:tcPr>
          <w:p w14:paraId="57F66803">
            <w:pPr>
              <w:widowControl/>
              <w:shd w:val="clear" w:color="auto" w:fill="FFFFFF"/>
              <w:spacing w:line="276" w:lineRule="auto"/>
              <w:jc w:val="left"/>
              <w:rPr>
                <w:rFonts w:ascii="宋体" w:hAnsi="宋体"/>
                <w:color w:val="auto"/>
                <w:szCs w:val="21"/>
                <w:highlight w:val="none"/>
              </w:rPr>
            </w:pPr>
            <w:r>
              <w:rPr>
                <w:rFonts w:hint="eastAsia" w:ascii="宋体" w:hAnsi="宋体"/>
                <w:color w:val="auto"/>
                <w:szCs w:val="21"/>
                <w:highlight w:val="none"/>
              </w:rPr>
              <w:t>投标人在本项目招标人的工程项目中存在下列行为的，将被拒绝一年内参与我单位后续工程投标。（注：拒绝投标时限由招标人视严重程度确定，最低三个月起，自招标人发出通知之日起计）：</w:t>
            </w:r>
          </w:p>
          <w:p w14:paraId="7CB36ECB">
            <w:pPr>
              <w:widowControl/>
              <w:shd w:val="clear" w:color="auto" w:fill="FFFFFF"/>
              <w:spacing w:line="276" w:lineRule="auto"/>
              <w:jc w:val="left"/>
              <w:rPr>
                <w:rFonts w:ascii="宋体" w:hAnsi="宋体"/>
                <w:color w:val="auto"/>
                <w:szCs w:val="21"/>
                <w:highlight w:val="none"/>
              </w:rPr>
            </w:pPr>
            <w:r>
              <w:rPr>
                <w:rFonts w:hint="eastAsia" w:ascii="宋体" w:hAnsi="宋体"/>
                <w:color w:val="auto"/>
                <w:szCs w:val="21"/>
                <w:highlight w:val="none"/>
              </w:rPr>
              <w:t>1.将中标工程转包或者违法分包的；</w:t>
            </w:r>
          </w:p>
          <w:p w14:paraId="67F35D38">
            <w:pPr>
              <w:widowControl/>
              <w:shd w:val="clear" w:color="auto" w:fill="FFFFFF"/>
              <w:spacing w:line="276" w:lineRule="auto"/>
              <w:jc w:val="left"/>
              <w:rPr>
                <w:rFonts w:ascii="宋体" w:hAnsi="宋体"/>
                <w:color w:val="auto"/>
                <w:szCs w:val="21"/>
                <w:highlight w:val="none"/>
              </w:rPr>
            </w:pPr>
            <w:r>
              <w:rPr>
                <w:rFonts w:hint="eastAsia" w:ascii="宋体" w:hAnsi="宋体"/>
                <w:color w:val="auto"/>
                <w:szCs w:val="21"/>
                <w:highlight w:val="none"/>
              </w:rPr>
              <w:t>2.在中标工程中不执行质量、安全生产相关规定的，造成质量或安全事故的；</w:t>
            </w:r>
          </w:p>
          <w:p w14:paraId="6FAB97F4">
            <w:pPr>
              <w:widowControl/>
              <w:shd w:val="clear" w:color="auto" w:fill="FFFFFF"/>
              <w:spacing w:line="276" w:lineRule="auto"/>
              <w:jc w:val="left"/>
              <w:rPr>
                <w:rFonts w:ascii="宋体" w:hAnsi="宋体"/>
                <w:color w:val="auto"/>
                <w:szCs w:val="21"/>
                <w:highlight w:val="none"/>
              </w:rPr>
            </w:pPr>
            <w:r>
              <w:rPr>
                <w:rFonts w:hint="eastAsia" w:ascii="宋体" w:hAnsi="宋体"/>
                <w:color w:val="auto"/>
                <w:szCs w:val="21"/>
                <w:highlight w:val="none"/>
              </w:rPr>
              <w:t>3.存在围标或串标情形的；</w:t>
            </w:r>
          </w:p>
          <w:p w14:paraId="38835C7E">
            <w:pPr>
              <w:spacing w:line="276" w:lineRule="auto"/>
              <w:rPr>
                <w:rFonts w:ascii="宋体" w:hAnsi="宋体" w:cs="宋体"/>
                <w:color w:val="auto"/>
                <w:szCs w:val="21"/>
                <w:highlight w:val="none"/>
              </w:rPr>
            </w:pPr>
            <w:r>
              <w:rPr>
                <w:rFonts w:hint="eastAsia" w:ascii="宋体" w:hAnsi="宋体"/>
                <w:color w:val="auto"/>
                <w:szCs w:val="21"/>
                <w:highlight w:val="none"/>
              </w:rPr>
              <w:t>4.存在弄虚作假骗取中标情形的；</w:t>
            </w:r>
          </w:p>
        </w:tc>
      </w:tr>
      <w:tr w14:paraId="747226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21" w:hRule="atLeast"/>
          <w:jc w:val="center"/>
        </w:trPr>
        <w:tc>
          <w:tcPr>
            <w:tcW w:w="959" w:type="dxa"/>
            <w:vAlign w:val="center"/>
          </w:tcPr>
          <w:p w14:paraId="44BEB68B">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10.2</w:t>
            </w:r>
          </w:p>
        </w:tc>
        <w:tc>
          <w:tcPr>
            <w:tcW w:w="2613" w:type="dxa"/>
            <w:vAlign w:val="center"/>
          </w:tcPr>
          <w:p w14:paraId="57252B2E">
            <w:pPr>
              <w:widowControl/>
              <w:shd w:val="clear" w:color="auto" w:fill="FFFFFF"/>
              <w:adjustRightIn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招标失败情形</w:t>
            </w:r>
          </w:p>
        </w:tc>
        <w:tc>
          <w:tcPr>
            <w:tcW w:w="5774" w:type="dxa"/>
            <w:vAlign w:val="center"/>
          </w:tcPr>
          <w:p w14:paraId="60798A5E">
            <w:pPr>
              <w:pStyle w:val="7"/>
              <w:spacing w:line="276" w:lineRule="auto"/>
              <w:rPr>
                <w:rFonts w:ascii="宋体" w:hAnsi="宋体" w:cs="宋体"/>
                <w:strike/>
                <w:color w:val="auto"/>
                <w:szCs w:val="21"/>
                <w:highlight w:val="none"/>
              </w:rPr>
            </w:pPr>
            <w:r>
              <w:rPr>
                <w:rFonts w:hint="eastAsia" w:ascii="宋体" w:hAnsi="宋体"/>
                <w:color w:val="auto"/>
                <w:szCs w:val="21"/>
                <w:highlight w:val="none"/>
              </w:rPr>
              <w:t>本项目采用资格后审方式，满足资格审查合格条件或通过初步评审的投标申请人不足3名时为招标失败。招标人分析招标失败原因，修正招标方案，报有关管理部门核准后，重新组织招标。</w:t>
            </w:r>
          </w:p>
        </w:tc>
      </w:tr>
      <w:tr w14:paraId="30EB9D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69" w:hRule="atLeast"/>
          <w:jc w:val="center"/>
        </w:trPr>
        <w:tc>
          <w:tcPr>
            <w:tcW w:w="959" w:type="dxa"/>
            <w:vAlign w:val="center"/>
          </w:tcPr>
          <w:p w14:paraId="4D6FDFB5">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10.3</w:t>
            </w:r>
          </w:p>
        </w:tc>
        <w:tc>
          <w:tcPr>
            <w:tcW w:w="2613" w:type="dxa"/>
            <w:vAlign w:val="center"/>
          </w:tcPr>
          <w:p w14:paraId="1B6ACBE3">
            <w:pPr>
              <w:widowControl/>
              <w:shd w:val="clear" w:color="auto" w:fill="FFFFFF"/>
              <w:adjustRightIn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需要补充的其他内容</w:t>
            </w:r>
          </w:p>
        </w:tc>
        <w:tc>
          <w:tcPr>
            <w:tcW w:w="5774" w:type="dxa"/>
            <w:vAlign w:val="center"/>
          </w:tcPr>
          <w:p w14:paraId="48DF6613">
            <w:pPr>
              <w:pStyle w:val="7"/>
              <w:spacing w:line="276" w:lineRule="auto"/>
              <w:rPr>
                <w:rFonts w:hint="eastAsia" w:ascii="宋体" w:hAnsi="宋体" w:eastAsia="宋体"/>
                <w:color w:val="auto"/>
                <w:szCs w:val="21"/>
                <w:highlight w:val="none"/>
              </w:rPr>
            </w:pPr>
            <w:r>
              <w:rPr>
                <w:rFonts w:hint="eastAsia" w:ascii="宋体" w:hAnsi="宋体"/>
                <w:color w:val="auto"/>
                <w:szCs w:val="21"/>
                <w:highlight w:val="none"/>
              </w:rPr>
              <w:t>1.</w:t>
            </w:r>
            <w:r>
              <w:rPr>
                <w:rFonts w:hint="eastAsia"/>
                <w:color w:val="auto"/>
                <w:highlight w:val="none"/>
              </w:rPr>
              <w:t xml:space="preserve"> </w:t>
            </w:r>
            <w:r>
              <w:rPr>
                <w:rFonts w:hint="eastAsia" w:ascii="宋体" w:hAnsi="宋体"/>
                <w:color w:val="auto"/>
                <w:szCs w:val="21"/>
                <w:highlight w:val="none"/>
              </w:rPr>
              <w:t>在产生中标候选人后，招标人将中标候选人的投标文件商务部分的电子版（报价清单、方案等涉及商业秘密的内容除外）在广州</w:t>
            </w:r>
            <w:r>
              <w:rPr>
                <w:rFonts w:hint="eastAsia" w:ascii="宋体" w:hAnsi="宋体" w:eastAsia="宋体"/>
                <w:color w:val="auto"/>
                <w:szCs w:val="21"/>
                <w:highlight w:val="none"/>
              </w:rPr>
              <w:t>公共资源交易中心网站公开。</w:t>
            </w:r>
          </w:p>
          <w:p w14:paraId="632B62E7">
            <w:pPr>
              <w:pStyle w:val="7"/>
              <w:spacing w:line="276" w:lineRule="auto"/>
              <w:rPr>
                <w:rFonts w:hint="eastAsia" w:ascii="宋体" w:hAnsi="宋体" w:eastAsia="宋体"/>
                <w:color w:val="auto"/>
                <w:szCs w:val="21"/>
                <w:highlight w:val="none"/>
              </w:rPr>
            </w:pPr>
            <w:r>
              <w:rPr>
                <w:rFonts w:hint="eastAsia" w:ascii="宋体" w:hAnsi="宋体" w:eastAsia="宋体"/>
                <w:color w:val="auto"/>
                <w:szCs w:val="21"/>
                <w:highlight w:val="none"/>
              </w:rPr>
              <w:t>2.中标人代缴广州公共资源交易中心交易服务费，其费用包含在中标人报价中，由广州公共资源交易中心向中标人开具增值税发票。</w:t>
            </w:r>
          </w:p>
          <w:p w14:paraId="2F5DABA7">
            <w:pPr>
              <w:pStyle w:val="7"/>
              <w:spacing w:line="276" w:lineRule="auto"/>
              <w:rPr>
                <w:rFonts w:hint="eastAsia" w:ascii="宋体" w:hAnsi="宋体" w:eastAsia="宋体"/>
                <w:color w:val="auto"/>
                <w:szCs w:val="21"/>
                <w:highlight w:val="none"/>
              </w:rPr>
            </w:pPr>
            <w:r>
              <w:rPr>
                <w:rFonts w:hint="eastAsia" w:ascii="宋体" w:hAnsi="宋体" w:eastAsia="宋体"/>
                <w:color w:val="auto"/>
                <w:szCs w:val="21"/>
                <w:highlight w:val="none"/>
              </w:rPr>
              <w:t>3.中标单位的法定代表人或授权委托代理人和项目负责人必须在中标公示期满之日起5个工作日内，持个人身份证原件、单位公章印鉴、营业执照、资质证书、各专业人员个人身份证原件和资格证、职称证、毕业证（仅限于没有职称证的人员提供）、上岗证以及在中标单位购买的近1个月的社保证明原件到番禺区基建中心进行身份核查。经核查，确认与投标文件一致的，方可签订监测合同。若身份核查发现与投标文件不一致的，中标无效。逾期不办理的，视为自动放弃中标资格，由第二中标单位顺次递补。</w:t>
            </w:r>
          </w:p>
          <w:p w14:paraId="3B55C486">
            <w:pPr>
              <w:pStyle w:val="7"/>
              <w:spacing w:line="276" w:lineRule="auto"/>
              <w:rPr>
                <w:rFonts w:ascii="宋体" w:hAnsi="宋体"/>
                <w:color w:val="auto"/>
                <w:szCs w:val="21"/>
                <w:highlight w:val="none"/>
              </w:rPr>
            </w:pP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发放中标通知书后3个工作日内投标人需到招标人处，在招标人、招标代理、投标人三方共同见证下，将在广州公共资源交易中心网站下载的投标文件打印，并三方签名确认，投标人加盖公章，然后再复印4套，合共5套投标文件提供给招标人，相关费用由投标人支付。</w:t>
            </w:r>
          </w:p>
        </w:tc>
      </w:tr>
    </w:tbl>
    <w:p w14:paraId="5C7A91BA">
      <w:pPr>
        <w:keepNext/>
        <w:keepLines/>
        <w:spacing w:line="360" w:lineRule="auto"/>
        <w:jc w:val="center"/>
        <w:outlineLvl w:val="1"/>
        <w:rPr>
          <w:rFonts w:ascii="宋体" w:hAnsi="宋体" w:cs="宋体"/>
          <w:b/>
          <w:bCs/>
          <w:color w:val="auto"/>
          <w:kern w:val="44"/>
          <w:sz w:val="36"/>
          <w:szCs w:val="36"/>
          <w:highlight w:val="none"/>
        </w:rPr>
      </w:pPr>
      <w:r>
        <w:rPr>
          <w:rFonts w:hint="eastAsia" w:ascii="宋体" w:hAnsi="宋体" w:cs="宋体"/>
          <w:b/>
          <w:bCs/>
          <w:color w:val="auto"/>
          <w:kern w:val="44"/>
          <w:sz w:val="44"/>
          <w:szCs w:val="44"/>
          <w:highlight w:val="none"/>
        </w:rPr>
        <w:br w:type="page"/>
      </w:r>
      <w:bookmarkStart w:id="32" w:name="_Toc191"/>
      <w:bookmarkStart w:id="33" w:name="_Toc532367872"/>
      <w:bookmarkStart w:id="34" w:name="_Toc7730"/>
      <w:bookmarkStart w:id="35" w:name="_Toc21141"/>
      <w:bookmarkStart w:id="36" w:name="_Toc12986"/>
      <w:r>
        <w:rPr>
          <w:rFonts w:hint="eastAsia" w:ascii="宋体" w:hAnsi="宋体" w:cs="宋体"/>
          <w:b/>
          <w:bCs/>
          <w:color w:val="auto"/>
          <w:kern w:val="44"/>
          <w:sz w:val="36"/>
          <w:szCs w:val="36"/>
          <w:highlight w:val="none"/>
        </w:rPr>
        <w:t>投标人须知</w:t>
      </w:r>
      <w:bookmarkEnd w:id="32"/>
      <w:bookmarkEnd w:id="33"/>
      <w:bookmarkEnd w:id="34"/>
      <w:bookmarkEnd w:id="35"/>
      <w:bookmarkEnd w:id="36"/>
    </w:p>
    <w:p w14:paraId="23DF643B">
      <w:pPr>
        <w:keepNext/>
        <w:keepLines/>
        <w:spacing w:line="360" w:lineRule="auto"/>
        <w:jc w:val="left"/>
        <w:outlineLvl w:val="1"/>
        <w:rPr>
          <w:rFonts w:ascii="宋体" w:hAnsi="宋体" w:cs="宋体"/>
          <w:b/>
          <w:bCs/>
          <w:color w:val="auto"/>
          <w:sz w:val="32"/>
          <w:szCs w:val="32"/>
          <w:highlight w:val="none"/>
        </w:rPr>
      </w:pPr>
      <w:bookmarkStart w:id="37" w:name="_Toc8300"/>
      <w:bookmarkStart w:id="38" w:name="_Toc32719"/>
      <w:bookmarkStart w:id="39" w:name="_Toc21041"/>
      <w:bookmarkStart w:id="40" w:name="_Toc29394"/>
      <w:bookmarkStart w:id="41" w:name="_Toc532367873"/>
      <w:bookmarkStart w:id="42" w:name="_Toc7950"/>
      <w:bookmarkStart w:id="43" w:name="_Toc377719900"/>
      <w:bookmarkStart w:id="44" w:name="_Toc6964"/>
      <w:bookmarkStart w:id="45" w:name="_Toc30141"/>
      <w:bookmarkStart w:id="46" w:name="_Toc27896"/>
      <w:bookmarkStart w:id="47" w:name="_Toc9352"/>
      <w:bookmarkStart w:id="48" w:name="_Toc31905"/>
      <w:bookmarkStart w:id="49" w:name="_Toc13865"/>
      <w:r>
        <w:rPr>
          <w:rFonts w:hint="eastAsia" w:ascii="宋体" w:hAnsi="宋体" w:cs="宋体"/>
          <w:b/>
          <w:bCs/>
          <w:color w:val="auto"/>
          <w:sz w:val="32"/>
          <w:szCs w:val="32"/>
          <w:highlight w:val="none"/>
        </w:rPr>
        <w:t>1.总则</w:t>
      </w:r>
      <w:bookmarkEnd w:id="37"/>
      <w:bookmarkEnd w:id="38"/>
      <w:bookmarkEnd w:id="39"/>
      <w:bookmarkEnd w:id="40"/>
      <w:bookmarkEnd w:id="41"/>
      <w:bookmarkEnd w:id="42"/>
      <w:bookmarkEnd w:id="43"/>
      <w:bookmarkEnd w:id="44"/>
      <w:bookmarkEnd w:id="45"/>
      <w:bookmarkEnd w:id="46"/>
      <w:bookmarkEnd w:id="47"/>
      <w:bookmarkEnd w:id="48"/>
      <w:bookmarkEnd w:id="49"/>
    </w:p>
    <w:p w14:paraId="60E81E8D">
      <w:pPr>
        <w:keepNext/>
        <w:keepLines/>
        <w:spacing w:line="360" w:lineRule="auto"/>
        <w:outlineLvl w:val="2"/>
        <w:rPr>
          <w:rFonts w:ascii="宋体" w:hAnsi="宋体" w:cs="宋体"/>
          <w:b/>
          <w:bCs/>
          <w:color w:val="auto"/>
          <w:sz w:val="28"/>
          <w:szCs w:val="28"/>
          <w:highlight w:val="none"/>
        </w:rPr>
      </w:pPr>
      <w:r>
        <w:rPr>
          <w:rFonts w:hint="eastAsia" w:ascii="宋体" w:hAnsi="宋体" w:cs="宋体"/>
          <w:b/>
          <w:bCs/>
          <w:color w:val="auto"/>
          <w:sz w:val="28"/>
          <w:szCs w:val="28"/>
          <w:highlight w:val="none"/>
        </w:rPr>
        <w:t>1.1 招标项目概况</w:t>
      </w:r>
    </w:p>
    <w:p w14:paraId="36AAA8CB">
      <w:pPr>
        <w:kinsoku w:val="0"/>
        <w:overflowPunct w:val="0"/>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1.1.1根据《中华人民共和国招标投标法》、《中华人民共和国招标投标法实施条例》等有关法律、法规和规章的规定，本招标项目已具备招标条件，现对检测、监测服务进行招标。</w:t>
      </w:r>
    </w:p>
    <w:p w14:paraId="4541C38D">
      <w:pPr>
        <w:kinsoku w:val="0"/>
        <w:overflowPunct w:val="0"/>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1.1.2招标人：见投标人须知前附表。</w:t>
      </w:r>
    </w:p>
    <w:p w14:paraId="407A5ACC">
      <w:pPr>
        <w:kinsoku w:val="0"/>
        <w:overflowPunct w:val="0"/>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1.1.3招标代理机构：见投标人须知前附表。</w:t>
      </w:r>
    </w:p>
    <w:p w14:paraId="3245A7E0">
      <w:pPr>
        <w:kinsoku w:val="0"/>
        <w:overflowPunct w:val="0"/>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1.1.4招标项目名称：见投标人须知前附表。</w:t>
      </w:r>
    </w:p>
    <w:p w14:paraId="657B97FF">
      <w:pPr>
        <w:kinsoku w:val="0"/>
        <w:overflowPunct w:val="0"/>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1.1.5项目建设地点：见投标人须知前附表。</w:t>
      </w:r>
    </w:p>
    <w:p w14:paraId="47189CDF">
      <w:pPr>
        <w:kinsoku w:val="0"/>
        <w:overflowPunct w:val="0"/>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1.1.6项目建设规模：见投标人须知前附表。</w:t>
      </w:r>
    </w:p>
    <w:p w14:paraId="057D1C83">
      <w:pPr>
        <w:kinsoku w:val="0"/>
        <w:overflowPunct w:val="0"/>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1.1.7工程项目施工预计开工日期和建设周期：见投标人须知前附表。</w:t>
      </w:r>
    </w:p>
    <w:p w14:paraId="678E2002">
      <w:pPr>
        <w:spacing w:line="360" w:lineRule="auto"/>
        <w:ind w:firstLine="484" w:firstLineChars="202"/>
        <w:jc w:val="left"/>
        <w:rPr>
          <w:rFonts w:ascii="宋体" w:hAnsi="宋体" w:cs="宋体"/>
          <w:color w:val="auto"/>
          <w:sz w:val="28"/>
          <w:szCs w:val="28"/>
          <w:highlight w:val="none"/>
        </w:rPr>
      </w:pPr>
      <w:r>
        <w:rPr>
          <w:rFonts w:hint="eastAsia" w:ascii="宋体" w:hAnsi="宋体" w:cs="宋体"/>
          <w:color w:val="auto"/>
          <w:sz w:val="24"/>
          <w:szCs w:val="24"/>
          <w:highlight w:val="none"/>
        </w:rPr>
        <w:t>1.1.8建筑安装工程费/工程概算：见投标人须知前附表。</w:t>
      </w:r>
    </w:p>
    <w:p w14:paraId="0E56F3A8">
      <w:pPr>
        <w:kinsoku w:val="0"/>
        <w:overflowPunct w:val="0"/>
        <w:spacing w:line="360" w:lineRule="auto"/>
        <w:outlineLvl w:val="2"/>
        <w:rPr>
          <w:rFonts w:ascii="宋体" w:hAnsi="宋体" w:cs="宋体"/>
          <w:b/>
          <w:bCs/>
          <w:color w:val="auto"/>
          <w:sz w:val="28"/>
          <w:szCs w:val="32"/>
          <w:highlight w:val="none"/>
        </w:rPr>
      </w:pPr>
      <w:r>
        <w:rPr>
          <w:rFonts w:hint="eastAsia" w:ascii="宋体" w:hAnsi="宋体" w:cs="宋体"/>
          <w:b/>
          <w:bCs/>
          <w:color w:val="auto"/>
          <w:sz w:val="28"/>
          <w:szCs w:val="32"/>
          <w:highlight w:val="none"/>
        </w:rPr>
        <w:t>1.2 招标项目的资金来源和落实情况</w:t>
      </w:r>
    </w:p>
    <w:p w14:paraId="30321786">
      <w:pPr>
        <w:kinsoku w:val="0"/>
        <w:overflowPunct w:val="0"/>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1.2.1资金来源及比例：见投标人须知前附表。</w:t>
      </w:r>
    </w:p>
    <w:p w14:paraId="699FAA97">
      <w:pPr>
        <w:kinsoku w:val="0"/>
        <w:overflowPunct w:val="0"/>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1.2.2资金落实情况：见投标人须知前附表。</w:t>
      </w:r>
    </w:p>
    <w:p w14:paraId="1C35F990">
      <w:pPr>
        <w:kinsoku w:val="0"/>
        <w:overflowPunct w:val="0"/>
        <w:spacing w:line="360" w:lineRule="auto"/>
        <w:outlineLvl w:val="2"/>
        <w:rPr>
          <w:rFonts w:ascii="宋体" w:hAnsi="宋体" w:cs="宋体"/>
          <w:b/>
          <w:bCs/>
          <w:color w:val="auto"/>
          <w:sz w:val="28"/>
          <w:szCs w:val="32"/>
          <w:highlight w:val="none"/>
        </w:rPr>
      </w:pPr>
      <w:r>
        <w:rPr>
          <w:rFonts w:hint="eastAsia" w:ascii="宋体" w:hAnsi="宋体" w:cs="宋体"/>
          <w:b/>
          <w:bCs/>
          <w:color w:val="auto"/>
          <w:sz w:val="28"/>
          <w:szCs w:val="32"/>
          <w:highlight w:val="none"/>
        </w:rPr>
        <w:t>1.3 招标内容、服务期限和质量标准</w:t>
      </w:r>
    </w:p>
    <w:p w14:paraId="26A28C54">
      <w:pPr>
        <w:kinsoku w:val="0"/>
        <w:overflowPunct w:val="0"/>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1.3.1招标范围及内容：见投标人须知前附表。</w:t>
      </w:r>
    </w:p>
    <w:p w14:paraId="599D4D3A">
      <w:pPr>
        <w:kinsoku w:val="0"/>
        <w:overflowPunct w:val="0"/>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1.3.2服务期限：见投标人须知前附表。</w:t>
      </w:r>
    </w:p>
    <w:p w14:paraId="7EF0253F">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1.3.3质量标准：见投标人须知前附表。</w:t>
      </w:r>
    </w:p>
    <w:p w14:paraId="776EF024">
      <w:pPr>
        <w:kinsoku w:val="0"/>
        <w:overflowPunct w:val="0"/>
        <w:spacing w:line="360" w:lineRule="auto"/>
        <w:outlineLvl w:val="2"/>
        <w:rPr>
          <w:rFonts w:ascii="宋体" w:hAnsi="宋体" w:cs="宋体"/>
          <w:b/>
          <w:bCs/>
          <w:color w:val="auto"/>
          <w:sz w:val="28"/>
          <w:szCs w:val="32"/>
          <w:highlight w:val="none"/>
        </w:rPr>
      </w:pPr>
      <w:r>
        <w:rPr>
          <w:rFonts w:hint="eastAsia" w:ascii="宋体" w:hAnsi="宋体" w:cs="宋体"/>
          <w:b/>
          <w:bCs/>
          <w:color w:val="auto"/>
          <w:sz w:val="28"/>
          <w:szCs w:val="32"/>
          <w:highlight w:val="none"/>
        </w:rPr>
        <w:t>1.4 投标人资格要求</w:t>
      </w:r>
    </w:p>
    <w:p w14:paraId="73F46D3C">
      <w:pPr>
        <w:kinsoku w:val="0"/>
        <w:overflowPunct w:val="0"/>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1.4.1投标人应具备承担本招标项目资质条件、能力和信誉：</w:t>
      </w:r>
    </w:p>
    <w:p w14:paraId="74BE5856">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（1）资质要求：见投标人须知前附表；</w:t>
      </w:r>
    </w:p>
    <w:p w14:paraId="0E8ADE58">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（2）财务要求：见投标人须知前附表；</w:t>
      </w:r>
    </w:p>
    <w:p w14:paraId="437F2D8E">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（3）业绩要求：见投标人须知前附表；</w:t>
      </w:r>
    </w:p>
    <w:p w14:paraId="4C06C38E">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（4）信誉要求：见投标人须知前附表；</w:t>
      </w:r>
    </w:p>
    <w:p w14:paraId="1379C416">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（5）项目负责人的资格要求：具体要求见投标人须知前附表；</w:t>
      </w:r>
    </w:p>
    <w:p w14:paraId="5F82E3D9">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（6）其他主要人员要求：见投标人须知前附表。</w:t>
      </w:r>
    </w:p>
    <w:p w14:paraId="29901BB1">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（7）试验检测及监测仪器设备要求：见投标人须知前附表。</w:t>
      </w:r>
    </w:p>
    <w:p w14:paraId="4945CAE7">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（8）其他要求：见投标人须知前附表。</w:t>
      </w:r>
    </w:p>
    <w:p w14:paraId="7BDED705">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1.4.2投标人须知前附表规定接受联合体投标的，联合体除应符合本章第1.4.1项和投标人须知前附表的要求外，还应遵守以下规定：</w:t>
      </w:r>
    </w:p>
    <w:p w14:paraId="4DD927C6">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（1）联合体各方应按招标文件提供的格式签订联合体协议书，明确联合体牵头方和各方权利义务，并承诺就中标项目向招标人承担连带责任；</w:t>
      </w:r>
    </w:p>
    <w:p w14:paraId="5DEF6FBE">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（2）联合体各方不得再以自己名义单独或参加其他联合体在本招标项目中投标，否则各相关投标均无效。</w:t>
      </w:r>
    </w:p>
    <w:p w14:paraId="42B226E4">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1.4.3投标人不得存在下列情形之一：</w:t>
      </w:r>
    </w:p>
    <w:p w14:paraId="7F245E36">
      <w:pPr>
        <w:pStyle w:val="17"/>
        <w:spacing w:after="0" w:line="360" w:lineRule="auto"/>
        <w:rPr>
          <w:rFonts w:ascii="宋体" w:hAnsi="宋体" w:cs="宋体"/>
          <w:color w:val="auto"/>
          <w:sz w:val="24"/>
          <w:highlight w:val="none"/>
        </w:rPr>
      </w:pPr>
      <w:r>
        <w:rPr>
          <w:rFonts w:hint="eastAsia" w:ascii="宋体" w:hAnsi="宋体" w:cs="宋体"/>
          <w:color w:val="auto"/>
          <w:sz w:val="24"/>
          <w:highlight w:val="none"/>
        </w:rPr>
        <w:t>（1）为招标人不具有独立法人资格的附属机构（单位）；</w:t>
      </w:r>
    </w:p>
    <w:p w14:paraId="50246E4D">
      <w:pPr>
        <w:pStyle w:val="17"/>
        <w:spacing w:after="0" w:line="360" w:lineRule="auto"/>
        <w:rPr>
          <w:rFonts w:ascii="宋体" w:hAnsi="宋体" w:cs="宋体"/>
          <w:color w:val="auto"/>
          <w:sz w:val="24"/>
          <w:highlight w:val="none"/>
        </w:rPr>
      </w:pPr>
      <w:r>
        <w:rPr>
          <w:rFonts w:hint="eastAsia" w:ascii="宋体" w:hAnsi="宋体" w:cs="宋体"/>
          <w:color w:val="auto"/>
          <w:sz w:val="24"/>
          <w:highlight w:val="none"/>
        </w:rPr>
        <w:t>（2）与招标人存在利害关系且可能影响招标公正性；</w:t>
      </w:r>
    </w:p>
    <w:p w14:paraId="39723828">
      <w:pPr>
        <w:pStyle w:val="17"/>
        <w:spacing w:after="0" w:line="360" w:lineRule="auto"/>
        <w:rPr>
          <w:rFonts w:ascii="宋体" w:hAnsi="宋体" w:cs="宋体"/>
          <w:color w:val="auto"/>
          <w:sz w:val="24"/>
          <w:highlight w:val="none"/>
        </w:rPr>
      </w:pPr>
      <w:r>
        <w:rPr>
          <w:rFonts w:hint="eastAsia" w:ascii="宋体" w:hAnsi="宋体" w:cs="宋体"/>
          <w:color w:val="auto"/>
          <w:sz w:val="24"/>
          <w:highlight w:val="none"/>
        </w:rPr>
        <w:t>（3）与本招标项目的其他投标人为同一个单位负责人；</w:t>
      </w:r>
    </w:p>
    <w:p w14:paraId="5EEE486B">
      <w:pPr>
        <w:pStyle w:val="17"/>
        <w:spacing w:after="0" w:line="360" w:lineRule="auto"/>
        <w:rPr>
          <w:rFonts w:ascii="宋体" w:hAnsi="宋体" w:cs="宋体"/>
          <w:color w:val="auto"/>
          <w:sz w:val="24"/>
          <w:highlight w:val="none"/>
        </w:rPr>
      </w:pPr>
      <w:r>
        <w:rPr>
          <w:rFonts w:hint="eastAsia" w:ascii="宋体" w:hAnsi="宋体" w:cs="宋体"/>
          <w:color w:val="auto"/>
          <w:sz w:val="24"/>
          <w:highlight w:val="none"/>
        </w:rPr>
        <w:t>（4）与本招标项目的其他投标人存在控股、管理关系；</w:t>
      </w:r>
    </w:p>
    <w:p w14:paraId="58FF281D">
      <w:pPr>
        <w:pStyle w:val="17"/>
        <w:spacing w:after="0" w:line="360" w:lineRule="auto"/>
        <w:rPr>
          <w:rFonts w:ascii="宋体" w:hAnsi="宋体" w:cs="宋体"/>
          <w:color w:val="auto"/>
          <w:sz w:val="24"/>
          <w:highlight w:val="none"/>
        </w:rPr>
      </w:pPr>
      <w:r>
        <w:rPr>
          <w:rFonts w:hint="eastAsia" w:ascii="宋体" w:hAnsi="宋体" w:cs="宋体"/>
          <w:color w:val="auto"/>
          <w:sz w:val="24"/>
          <w:highlight w:val="none"/>
        </w:rPr>
        <w:t>（5）为本招标项目的代建人；</w:t>
      </w:r>
    </w:p>
    <w:p w14:paraId="1FA5C2AD">
      <w:pPr>
        <w:pStyle w:val="17"/>
        <w:spacing w:after="0" w:line="360" w:lineRule="auto"/>
        <w:rPr>
          <w:rFonts w:ascii="宋体" w:hAnsi="宋体" w:cs="宋体"/>
          <w:color w:val="auto"/>
          <w:sz w:val="24"/>
          <w:highlight w:val="none"/>
        </w:rPr>
      </w:pPr>
      <w:r>
        <w:rPr>
          <w:rFonts w:hint="eastAsia" w:ascii="宋体" w:hAnsi="宋体" w:cs="宋体"/>
          <w:color w:val="auto"/>
          <w:sz w:val="24"/>
          <w:highlight w:val="none"/>
        </w:rPr>
        <w:t>（6）为本招标项目的招标代理机构；</w:t>
      </w:r>
    </w:p>
    <w:p w14:paraId="35841EC8">
      <w:pPr>
        <w:pStyle w:val="17"/>
        <w:spacing w:after="0" w:line="360" w:lineRule="auto"/>
        <w:rPr>
          <w:rFonts w:ascii="宋体" w:hAnsi="宋体" w:cs="宋体"/>
          <w:color w:val="auto"/>
          <w:sz w:val="24"/>
          <w:highlight w:val="none"/>
        </w:rPr>
      </w:pPr>
      <w:r>
        <w:rPr>
          <w:rFonts w:hint="eastAsia" w:ascii="宋体" w:hAnsi="宋体" w:cs="宋体"/>
          <w:color w:val="auto"/>
          <w:sz w:val="24"/>
          <w:highlight w:val="none"/>
        </w:rPr>
        <w:t>（7）与本招标项目的代建人或招标代理机构同为一个法定代表人；</w:t>
      </w:r>
    </w:p>
    <w:p w14:paraId="679C0203">
      <w:pPr>
        <w:pStyle w:val="17"/>
        <w:spacing w:after="0" w:line="360" w:lineRule="auto"/>
        <w:rPr>
          <w:rFonts w:ascii="宋体" w:hAnsi="宋体" w:cs="宋体"/>
          <w:color w:val="auto"/>
          <w:sz w:val="24"/>
          <w:highlight w:val="none"/>
        </w:rPr>
      </w:pPr>
      <w:r>
        <w:rPr>
          <w:rFonts w:hint="eastAsia" w:ascii="宋体" w:hAnsi="宋体" w:cs="宋体"/>
          <w:color w:val="auto"/>
          <w:sz w:val="24"/>
          <w:highlight w:val="none"/>
        </w:rPr>
        <w:t>（8）与本招标项目的代建人或招标代理机构存在控股或参股关系；</w:t>
      </w:r>
    </w:p>
    <w:p w14:paraId="51B651F1">
      <w:pPr>
        <w:pStyle w:val="17"/>
        <w:spacing w:after="0" w:line="360" w:lineRule="auto"/>
        <w:rPr>
          <w:rFonts w:ascii="宋体" w:hAnsi="宋体" w:cs="宋体"/>
          <w:color w:val="auto"/>
          <w:sz w:val="24"/>
          <w:highlight w:val="none"/>
        </w:rPr>
      </w:pPr>
      <w:r>
        <w:rPr>
          <w:rFonts w:hint="eastAsia" w:ascii="宋体" w:hAnsi="宋体" w:cs="宋体"/>
          <w:color w:val="auto"/>
          <w:sz w:val="24"/>
          <w:highlight w:val="none"/>
        </w:rPr>
        <w:t>（9）与本招标项目的施工承包人以及建筑材料、建筑构配件和设备供应商有隶属关系或者其他利害关系；</w:t>
      </w:r>
    </w:p>
    <w:p w14:paraId="67DB58DC">
      <w:pPr>
        <w:pStyle w:val="17"/>
        <w:spacing w:after="0" w:line="360" w:lineRule="auto"/>
        <w:rPr>
          <w:rFonts w:ascii="宋体" w:hAnsi="宋体" w:cs="宋体"/>
          <w:color w:val="auto"/>
          <w:sz w:val="24"/>
          <w:highlight w:val="none"/>
        </w:rPr>
      </w:pPr>
      <w:r>
        <w:rPr>
          <w:rFonts w:hint="eastAsia" w:ascii="宋体" w:hAnsi="宋体" w:cs="宋体"/>
          <w:color w:val="auto"/>
          <w:sz w:val="24"/>
          <w:highlight w:val="none"/>
        </w:rPr>
        <w:t>（10）被依法暂停或者取消投标资格；</w:t>
      </w:r>
    </w:p>
    <w:p w14:paraId="6D892906">
      <w:pPr>
        <w:pStyle w:val="17"/>
        <w:spacing w:after="0" w:line="360" w:lineRule="auto"/>
        <w:rPr>
          <w:rFonts w:ascii="宋体" w:hAnsi="宋体" w:cs="宋体"/>
          <w:color w:val="auto"/>
          <w:sz w:val="24"/>
          <w:highlight w:val="none"/>
        </w:rPr>
      </w:pPr>
      <w:r>
        <w:rPr>
          <w:rFonts w:hint="eastAsia" w:ascii="宋体" w:hAnsi="宋体" w:cs="宋体"/>
          <w:color w:val="auto"/>
          <w:sz w:val="24"/>
          <w:highlight w:val="none"/>
        </w:rPr>
        <w:t>（11）被责令停产停业、暂扣或者吊销许可证、暂扣或者吊销执照；</w:t>
      </w:r>
    </w:p>
    <w:p w14:paraId="2D237EC2">
      <w:pPr>
        <w:pStyle w:val="17"/>
        <w:spacing w:after="0" w:line="360" w:lineRule="auto"/>
        <w:rPr>
          <w:rFonts w:ascii="宋体" w:hAnsi="宋体" w:cs="宋体"/>
          <w:color w:val="auto"/>
          <w:sz w:val="24"/>
          <w:highlight w:val="none"/>
        </w:rPr>
      </w:pPr>
      <w:r>
        <w:rPr>
          <w:rFonts w:hint="eastAsia" w:ascii="宋体" w:hAnsi="宋体" w:cs="宋体"/>
          <w:color w:val="auto"/>
          <w:sz w:val="24"/>
          <w:highlight w:val="none"/>
        </w:rPr>
        <w:t>（12）进入清算程序，或被宣告破产，或其他丧失履约能力的情形；</w:t>
      </w:r>
    </w:p>
    <w:p w14:paraId="013DDDCE">
      <w:pPr>
        <w:pStyle w:val="17"/>
        <w:spacing w:after="0" w:line="360" w:lineRule="auto"/>
        <w:rPr>
          <w:rFonts w:ascii="宋体" w:hAnsi="宋体" w:cs="宋体"/>
          <w:color w:val="auto"/>
          <w:sz w:val="24"/>
          <w:highlight w:val="none"/>
        </w:rPr>
      </w:pPr>
      <w:r>
        <w:rPr>
          <w:rFonts w:hint="eastAsia" w:ascii="宋体" w:hAnsi="宋体" w:cs="宋体"/>
          <w:color w:val="auto"/>
          <w:sz w:val="24"/>
          <w:highlight w:val="none"/>
        </w:rPr>
        <w:t>（13）在最近两年内发生重大检测质量问题（以相关行业主管部门的行政处罚决定或司法机关出具的有关法律文书为准）；</w:t>
      </w:r>
    </w:p>
    <w:p w14:paraId="0BC42BCE">
      <w:pPr>
        <w:pStyle w:val="17"/>
        <w:spacing w:after="0" w:line="360" w:lineRule="auto"/>
        <w:rPr>
          <w:rFonts w:ascii="宋体" w:hAnsi="宋体" w:cs="宋体"/>
          <w:color w:val="auto"/>
          <w:sz w:val="24"/>
          <w:highlight w:val="none"/>
        </w:rPr>
      </w:pPr>
      <w:r>
        <w:rPr>
          <w:rFonts w:hint="eastAsia" w:ascii="宋体" w:hAnsi="宋体" w:cs="宋体"/>
          <w:color w:val="auto"/>
          <w:sz w:val="24"/>
          <w:highlight w:val="none"/>
        </w:rPr>
        <w:t>（14）法律法规或投标人须知前附表规定的其他情形。</w:t>
      </w:r>
    </w:p>
    <w:p w14:paraId="36CBF903">
      <w:pPr>
        <w:kinsoku w:val="0"/>
        <w:overflowPunct w:val="0"/>
        <w:spacing w:line="360" w:lineRule="auto"/>
        <w:outlineLvl w:val="2"/>
        <w:rPr>
          <w:rFonts w:ascii="宋体" w:hAnsi="宋体" w:cs="宋体"/>
          <w:b/>
          <w:bCs/>
          <w:color w:val="auto"/>
          <w:sz w:val="28"/>
          <w:szCs w:val="32"/>
          <w:highlight w:val="none"/>
        </w:rPr>
      </w:pPr>
      <w:r>
        <w:rPr>
          <w:rFonts w:hint="eastAsia" w:ascii="宋体" w:hAnsi="宋体" w:cs="宋体"/>
          <w:b/>
          <w:bCs/>
          <w:color w:val="auto"/>
          <w:sz w:val="28"/>
          <w:szCs w:val="32"/>
          <w:highlight w:val="none"/>
        </w:rPr>
        <w:t>1.5 费用承担</w:t>
      </w:r>
    </w:p>
    <w:p w14:paraId="456C090E">
      <w:pPr>
        <w:pStyle w:val="9"/>
        <w:kinsoku w:val="0"/>
        <w:overflowPunct w:val="0"/>
        <w:spacing w:after="0"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投标人准备和参加投标活动发生的费用自理。</w:t>
      </w:r>
    </w:p>
    <w:p w14:paraId="3C70C8A6">
      <w:pPr>
        <w:kinsoku w:val="0"/>
        <w:overflowPunct w:val="0"/>
        <w:spacing w:line="360" w:lineRule="auto"/>
        <w:outlineLvl w:val="2"/>
        <w:rPr>
          <w:rFonts w:ascii="宋体" w:hAnsi="宋体" w:cs="宋体"/>
          <w:b/>
          <w:bCs/>
          <w:color w:val="auto"/>
          <w:sz w:val="28"/>
          <w:szCs w:val="32"/>
          <w:highlight w:val="none"/>
        </w:rPr>
      </w:pPr>
      <w:r>
        <w:rPr>
          <w:rFonts w:hint="eastAsia" w:ascii="宋体" w:hAnsi="宋体" w:cs="宋体"/>
          <w:b/>
          <w:bCs/>
          <w:color w:val="auto"/>
          <w:sz w:val="28"/>
          <w:szCs w:val="32"/>
          <w:highlight w:val="none"/>
        </w:rPr>
        <w:t>1.6 保密</w:t>
      </w:r>
    </w:p>
    <w:p w14:paraId="5F373D0A">
      <w:pPr>
        <w:pStyle w:val="9"/>
        <w:kinsoku w:val="0"/>
        <w:overflowPunct w:val="0"/>
        <w:spacing w:after="0"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参与招标投标活动的各方应对招标文件和投标文件中的商业和技术等秘密保密，否则应承担相应的法律责任。</w:t>
      </w:r>
    </w:p>
    <w:p w14:paraId="1A442CF1">
      <w:pPr>
        <w:kinsoku w:val="0"/>
        <w:overflowPunct w:val="0"/>
        <w:spacing w:line="360" w:lineRule="auto"/>
        <w:outlineLvl w:val="2"/>
        <w:rPr>
          <w:rFonts w:ascii="宋体" w:hAnsi="宋体" w:cs="宋体"/>
          <w:b/>
          <w:bCs/>
          <w:color w:val="auto"/>
          <w:sz w:val="28"/>
          <w:szCs w:val="32"/>
          <w:highlight w:val="none"/>
        </w:rPr>
      </w:pPr>
      <w:bookmarkStart w:id="50" w:name="bookmark27"/>
      <w:bookmarkEnd w:id="50"/>
      <w:r>
        <w:rPr>
          <w:rFonts w:hint="eastAsia" w:ascii="宋体" w:hAnsi="宋体" w:cs="宋体"/>
          <w:b/>
          <w:bCs/>
          <w:color w:val="auto"/>
          <w:sz w:val="28"/>
          <w:szCs w:val="32"/>
          <w:highlight w:val="none"/>
        </w:rPr>
        <w:t>1.7 语言文字</w:t>
      </w:r>
    </w:p>
    <w:p w14:paraId="15F3F4E3">
      <w:pPr>
        <w:pStyle w:val="9"/>
        <w:kinsoku w:val="0"/>
        <w:overflowPunct w:val="0"/>
        <w:spacing w:after="0"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招标投标文件使用的语言文字为中文。专用术语使用外文的，应附有中文注释。</w:t>
      </w:r>
    </w:p>
    <w:p w14:paraId="2318AA66">
      <w:pPr>
        <w:kinsoku w:val="0"/>
        <w:overflowPunct w:val="0"/>
        <w:spacing w:line="360" w:lineRule="auto"/>
        <w:outlineLvl w:val="2"/>
        <w:rPr>
          <w:rFonts w:ascii="宋体" w:hAnsi="宋体" w:cs="宋体"/>
          <w:b/>
          <w:bCs/>
          <w:color w:val="auto"/>
          <w:sz w:val="28"/>
          <w:szCs w:val="32"/>
          <w:highlight w:val="none"/>
        </w:rPr>
      </w:pPr>
      <w:bookmarkStart w:id="51" w:name="bookmark28"/>
      <w:bookmarkEnd w:id="51"/>
      <w:r>
        <w:rPr>
          <w:rFonts w:hint="eastAsia" w:ascii="宋体" w:hAnsi="宋体" w:cs="宋体"/>
          <w:b/>
          <w:bCs/>
          <w:color w:val="auto"/>
          <w:sz w:val="28"/>
          <w:szCs w:val="32"/>
          <w:highlight w:val="none"/>
        </w:rPr>
        <w:t>1.8 计量单位</w:t>
      </w:r>
    </w:p>
    <w:p w14:paraId="2580BD65">
      <w:pPr>
        <w:pStyle w:val="9"/>
        <w:kinsoku w:val="0"/>
        <w:overflowPunct w:val="0"/>
        <w:spacing w:after="0" w:line="360" w:lineRule="auto"/>
        <w:ind w:firstLine="476" w:firstLineChars="200"/>
        <w:rPr>
          <w:rFonts w:ascii="宋体" w:hAnsi="宋体" w:cs="宋体"/>
          <w:color w:val="auto"/>
          <w:sz w:val="24"/>
          <w:highlight w:val="none"/>
        </w:rPr>
      </w:pPr>
      <w:r>
        <w:rPr>
          <w:rFonts w:hint="eastAsia" w:ascii="宋体" w:hAnsi="宋体" w:cs="宋体"/>
          <w:color w:val="auto"/>
          <w:spacing w:val="-1"/>
          <w:sz w:val="24"/>
          <w:highlight w:val="none"/>
        </w:rPr>
        <w:t>所有计量均采用中华人民共和国法定计量单位。</w:t>
      </w:r>
    </w:p>
    <w:p w14:paraId="35833352">
      <w:pPr>
        <w:kinsoku w:val="0"/>
        <w:overflowPunct w:val="0"/>
        <w:spacing w:line="360" w:lineRule="auto"/>
        <w:outlineLvl w:val="2"/>
        <w:rPr>
          <w:rFonts w:ascii="宋体" w:hAnsi="宋体" w:cs="宋体"/>
          <w:b/>
          <w:bCs/>
          <w:color w:val="auto"/>
          <w:sz w:val="28"/>
          <w:szCs w:val="32"/>
          <w:highlight w:val="none"/>
        </w:rPr>
      </w:pPr>
      <w:bookmarkStart w:id="52" w:name="bookmark29"/>
      <w:bookmarkEnd w:id="52"/>
      <w:r>
        <w:rPr>
          <w:rFonts w:hint="eastAsia" w:ascii="宋体" w:hAnsi="宋体" w:cs="宋体"/>
          <w:b/>
          <w:bCs/>
          <w:color w:val="auto"/>
          <w:sz w:val="28"/>
          <w:szCs w:val="32"/>
          <w:highlight w:val="none"/>
        </w:rPr>
        <w:t>1.9 踏勘现场</w:t>
      </w:r>
    </w:p>
    <w:p w14:paraId="583DAE37">
      <w:pPr>
        <w:pStyle w:val="9"/>
        <w:kinsoku w:val="0"/>
        <w:overflowPunct w:val="0"/>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1.9.1投标人须知前附表规定组织踏勘现场的，招标人按投标人须知前附表规定的时间、地点组织投标人踏勘项目现场。部分投标人未按时参加踏勘现场的，不影响踏勘现场的正常进行。</w:t>
      </w:r>
    </w:p>
    <w:p w14:paraId="0A5B10F7">
      <w:pPr>
        <w:pStyle w:val="9"/>
        <w:kinsoku w:val="0"/>
        <w:overflowPunct w:val="0"/>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1.9.2投标人踏勘现场发生的费用自理。</w:t>
      </w:r>
    </w:p>
    <w:p w14:paraId="0144AB0E">
      <w:pPr>
        <w:pStyle w:val="9"/>
        <w:kinsoku w:val="0"/>
        <w:overflowPunct w:val="0"/>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1.9.3除招标人的原因外，投标人自行负责在踏勘现场中所发生的人员伤亡和财产损失。</w:t>
      </w:r>
    </w:p>
    <w:p w14:paraId="727886FE">
      <w:pPr>
        <w:pStyle w:val="9"/>
        <w:kinsoku w:val="0"/>
        <w:overflowPunct w:val="0"/>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1.9.4招标人在踏勘现场中介绍的工程场地和相关的周边环境情况，供投标人在编制投标文件时参考，招标人不对投标人据此作出的判断和决策负责。</w:t>
      </w:r>
    </w:p>
    <w:p w14:paraId="26B54C2F">
      <w:pPr>
        <w:kinsoku w:val="0"/>
        <w:overflowPunct w:val="0"/>
        <w:spacing w:line="360" w:lineRule="auto"/>
        <w:outlineLvl w:val="2"/>
        <w:rPr>
          <w:rFonts w:ascii="宋体" w:hAnsi="宋体" w:cs="宋体"/>
          <w:b/>
          <w:bCs/>
          <w:color w:val="auto"/>
          <w:sz w:val="28"/>
          <w:szCs w:val="32"/>
          <w:highlight w:val="none"/>
        </w:rPr>
      </w:pPr>
      <w:bookmarkStart w:id="53" w:name="bookmark30"/>
      <w:bookmarkEnd w:id="53"/>
      <w:r>
        <w:rPr>
          <w:rFonts w:hint="eastAsia" w:ascii="宋体" w:hAnsi="宋体" w:cs="宋体"/>
          <w:b/>
          <w:bCs/>
          <w:color w:val="auto"/>
          <w:sz w:val="28"/>
          <w:szCs w:val="32"/>
          <w:highlight w:val="none"/>
        </w:rPr>
        <w:t>1.10 投标预备会</w:t>
      </w:r>
    </w:p>
    <w:p w14:paraId="51E47403">
      <w:pPr>
        <w:kinsoku w:val="0"/>
        <w:overflowPunct w:val="0"/>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1.10.1投标人须知前附表规定召开投标预备会的，招标人按投标人须知前附表规定的时间和地点召开投标预备会，澄清投标人提出的问题。</w:t>
      </w:r>
    </w:p>
    <w:p w14:paraId="462F43BE">
      <w:pPr>
        <w:kinsoku w:val="0"/>
        <w:overflowPunct w:val="0"/>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1.10.2投标人应按投标人须知前附表规定的时间和形式将提出的问题送达招标人，以便招标人在会议期间澄清。</w:t>
      </w:r>
    </w:p>
    <w:p w14:paraId="45115D8E">
      <w:pPr>
        <w:kinsoku w:val="0"/>
        <w:overflowPunct w:val="0"/>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1.10.3投标预备会后，招标人将对投标人所提问题的澄清，以投标人须知前附表规定的形式通知所有潜在投标人。该澄清内容为招标文件的组成部分。</w:t>
      </w:r>
      <w:bookmarkStart w:id="54" w:name="bookmark31"/>
      <w:bookmarkEnd w:id="54"/>
    </w:p>
    <w:p w14:paraId="687F12C6">
      <w:pPr>
        <w:kinsoku w:val="0"/>
        <w:overflowPunct w:val="0"/>
        <w:spacing w:line="360" w:lineRule="auto"/>
        <w:outlineLvl w:val="2"/>
        <w:rPr>
          <w:rFonts w:ascii="宋体" w:hAnsi="宋体" w:cs="宋体"/>
          <w:b/>
          <w:bCs/>
          <w:color w:val="auto"/>
          <w:sz w:val="28"/>
          <w:szCs w:val="32"/>
          <w:highlight w:val="none"/>
        </w:rPr>
      </w:pPr>
      <w:r>
        <w:rPr>
          <w:rFonts w:hint="eastAsia" w:ascii="宋体" w:hAnsi="宋体" w:cs="宋体"/>
          <w:b/>
          <w:bCs/>
          <w:color w:val="auto"/>
          <w:sz w:val="28"/>
          <w:szCs w:val="32"/>
          <w:highlight w:val="none"/>
        </w:rPr>
        <w:t>1.11 分包</w:t>
      </w:r>
    </w:p>
    <w:p w14:paraId="67AF976F">
      <w:pPr>
        <w:pStyle w:val="9"/>
        <w:kinsoku w:val="0"/>
        <w:overflowPunct w:val="0"/>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1.11.1</w:t>
      </w:r>
      <w:r>
        <w:rPr>
          <w:rFonts w:hint="eastAsia" w:ascii="宋体" w:hAnsi="宋体"/>
          <w:color w:val="auto"/>
          <w:sz w:val="24"/>
          <w:szCs w:val="24"/>
          <w:highlight w:val="none"/>
          <w:lang w:eastAsia="zh-CN"/>
        </w:rPr>
        <w:t>本项目不允许分包</w:t>
      </w:r>
      <w:r>
        <w:rPr>
          <w:rFonts w:hint="eastAsia" w:ascii="宋体" w:hAnsi="宋体" w:cs="宋体"/>
          <w:color w:val="auto"/>
          <w:sz w:val="24"/>
          <w:highlight w:val="none"/>
        </w:rPr>
        <w:t>。</w:t>
      </w:r>
    </w:p>
    <w:p w14:paraId="374E4FDE">
      <w:pPr>
        <w:kinsoku w:val="0"/>
        <w:overflowPunct w:val="0"/>
        <w:spacing w:line="360" w:lineRule="auto"/>
        <w:outlineLvl w:val="2"/>
        <w:rPr>
          <w:rFonts w:ascii="宋体" w:hAnsi="宋体" w:cs="宋体"/>
          <w:b/>
          <w:bCs/>
          <w:color w:val="auto"/>
          <w:sz w:val="28"/>
          <w:szCs w:val="32"/>
          <w:highlight w:val="none"/>
        </w:rPr>
      </w:pPr>
      <w:bookmarkStart w:id="55" w:name="bookmark32"/>
      <w:bookmarkEnd w:id="55"/>
      <w:r>
        <w:rPr>
          <w:rFonts w:hint="eastAsia" w:ascii="宋体" w:hAnsi="宋体" w:cs="宋体"/>
          <w:b/>
          <w:bCs/>
          <w:color w:val="auto"/>
          <w:sz w:val="28"/>
          <w:szCs w:val="32"/>
          <w:highlight w:val="none"/>
        </w:rPr>
        <w:t>1.12 响应和偏差</w:t>
      </w:r>
    </w:p>
    <w:p w14:paraId="0F8654D4">
      <w:pPr>
        <w:kinsoku w:val="0"/>
        <w:overflowPunct w:val="0"/>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1.12.1投标文件应当对招标文件的实质性要求和条件作出满足性或更有利于招标人的响应，否则，投标人的投标将被否决。实质性要求和条件见投标人须知前附表。</w:t>
      </w:r>
    </w:p>
    <w:p w14:paraId="36C78FB1">
      <w:pPr>
        <w:kinsoku w:val="0"/>
        <w:overflowPunct w:val="0"/>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1.12.2投标人应根据招标文件的要求提供技术方案等内容以对招标文件作出响应。</w:t>
      </w:r>
    </w:p>
    <w:p w14:paraId="19F8E9E0">
      <w:pPr>
        <w:kinsoku w:val="0"/>
        <w:overflowPunct w:val="0"/>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1.12.3投标人须知前附表允许投标文件偏离招标文件某些要求，偏差应当符合招标文件规定的偏差范围和幅度。</w:t>
      </w:r>
      <w:bookmarkStart w:id="56" w:name="_Toc532367874"/>
      <w:bookmarkStart w:id="57" w:name="_Toc4330"/>
      <w:bookmarkStart w:id="58" w:name="_Toc31365"/>
      <w:bookmarkStart w:id="59" w:name="_Toc8160"/>
      <w:bookmarkStart w:id="60" w:name="_Toc8885"/>
      <w:bookmarkStart w:id="61" w:name="_Toc377719901"/>
      <w:bookmarkStart w:id="62" w:name="_Toc3119"/>
      <w:bookmarkStart w:id="63" w:name="_Toc22910"/>
    </w:p>
    <w:p w14:paraId="176714BD">
      <w:pPr>
        <w:keepNext/>
        <w:keepLines/>
        <w:spacing w:line="360" w:lineRule="auto"/>
        <w:outlineLvl w:val="1"/>
        <w:rPr>
          <w:rFonts w:ascii="宋体" w:hAnsi="宋体" w:cs="宋体"/>
          <w:b/>
          <w:bCs/>
          <w:color w:val="auto"/>
          <w:sz w:val="32"/>
          <w:szCs w:val="32"/>
          <w:highlight w:val="none"/>
        </w:rPr>
      </w:pPr>
      <w:bookmarkStart w:id="64" w:name="_Toc31503"/>
      <w:bookmarkStart w:id="65" w:name="_Toc32443"/>
      <w:bookmarkStart w:id="66" w:name="_Toc13966"/>
      <w:bookmarkStart w:id="67" w:name="_Toc24924"/>
      <w:bookmarkStart w:id="68" w:name="_Toc16602"/>
      <w:r>
        <w:rPr>
          <w:rFonts w:hint="eastAsia" w:ascii="宋体" w:hAnsi="宋体" w:cs="宋体"/>
          <w:b/>
          <w:bCs/>
          <w:color w:val="auto"/>
          <w:sz w:val="32"/>
          <w:szCs w:val="32"/>
          <w:highlight w:val="none"/>
        </w:rPr>
        <w:t>2.招标文件</w:t>
      </w:r>
      <w:bookmarkEnd w:id="56"/>
      <w:bookmarkEnd w:id="57"/>
      <w:bookmarkEnd w:id="58"/>
      <w:bookmarkEnd w:id="59"/>
      <w:bookmarkEnd w:id="60"/>
      <w:bookmarkEnd w:id="61"/>
      <w:bookmarkEnd w:id="62"/>
      <w:bookmarkEnd w:id="63"/>
      <w:bookmarkEnd w:id="64"/>
      <w:bookmarkEnd w:id="65"/>
      <w:bookmarkEnd w:id="66"/>
      <w:bookmarkEnd w:id="67"/>
      <w:bookmarkEnd w:id="68"/>
    </w:p>
    <w:p w14:paraId="162428ED">
      <w:pPr>
        <w:keepNext/>
        <w:keepLines/>
        <w:spacing w:line="360" w:lineRule="auto"/>
        <w:outlineLvl w:val="2"/>
        <w:rPr>
          <w:rFonts w:ascii="宋体" w:hAnsi="宋体" w:cs="宋体"/>
          <w:b/>
          <w:bCs/>
          <w:color w:val="auto"/>
          <w:sz w:val="28"/>
          <w:szCs w:val="32"/>
          <w:highlight w:val="none"/>
        </w:rPr>
      </w:pPr>
      <w:r>
        <w:rPr>
          <w:rFonts w:hint="eastAsia" w:ascii="宋体" w:hAnsi="宋体" w:cs="宋体"/>
          <w:b/>
          <w:bCs/>
          <w:color w:val="auto"/>
          <w:sz w:val="28"/>
          <w:szCs w:val="32"/>
          <w:highlight w:val="none"/>
        </w:rPr>
        <w:t>2.1  招标文件的组成</w:t>
      </w:r>
    </w:p>
    <w:p w14:paraId="4C4ADEF8">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本招标文件包括：</w:t>
      </w:r>
    </w:p>
    <w:p w14:paraId="207A8F05">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（1）招标公告（或投标邀请书）；</w:t>
      </w:r>
    </w:p>
    <w:p w14:paraId="6111F439">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（2）投标人须知；</w:t>
      </w:r>
    </w:p>
    <w:p w14:paraId="5060834E">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（3）评标办法；</w:t>
      </w:r>
    </w:p>
    <w:p w14:paraId="7D05E295">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（4）合同条款及格式</w:t>
      </w:r>
      <w:r>
        <w:rPr>
          <w:rFonts w:hint="eastAsia" w:ascii="宋体" w:hAnsi="宋体" w:cs="宋体"/>
          <w:color w:val="auto"/>
          <w:sz w:val="24"/>
          <w:szCs w:val="24"/>
          <w:highlight w:val="none"/>
          <w:u w:val="single"/>
        </w:rPr>
        <w:t>（另册）</w:t>
      </w:r>
      <w:r>
        <w:rPr>
          <w:rFonts w:hint="eastAsia" w:ascii="宋体" w:hAnsi="宋体" w:cs="宋体"/>
          <w:color w:val="auto"/>
          <w:sz w:val="24"/>
          <w:szCs w:val="24"/>
          <w:highlight w:val="none"/>
        </w:rPr>
        <w:t>；</w:t>
      </w:r>
    </w:p>
    <w:p w14:paraId="6764F137">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（5）招标人要求</w:t>
      </w:r>
    </w:p>
    <w:p w14:paraId="027BB683">
      <w:pPr>
        <w:spacing w:line="360" w:lineRule="auto"/>
        <w:ind w:firstLine="484" w:firstLineChars="202"/>
        <w:jc w:val="left"/>
        <w:rPr>
          <w:rFonts w:ascii="宋体" w:hAnsi="宋体" w:cs="宋体"/>
          <w:strike/>
          <w:color w:val="auto"/>
          <w:sz w:val="24"/>
          <w:szCs w:val="24"/>
          <w:highlight w:val="none"/>
        </w:rPr>
      </w:pPr>
      <w:r>
        <w:rPr>
          <w:rFonts w:hint="eastAsia" w:ascii="宋体" w:hAnsi="宋体" w:cs="宋体"/>
          <w:strike/>
          <w:color w:val="auto"/>
          <w:sz w:val="24"/>
          <w:szCs w:val="24"/>
          <w:highlight w:val="none"/>
        </w:rPr>
        <w:t>（6）工程量清单</w:t>
      </w:r>
      <w:r>
        <w:rPr>
          <w:rFonts w:hint="eastAsia" w:ascii="宋体" w:hAnsi="宋体" w:cs="宋体"/>
          <w:strike/>
          <w:color w:val="auto"/>
          <w:sz w:val="24"/>
          <w:szCs w:val="24"/>
          <w:highlight w:val="none"/>
          <w:u w:val="single"/>
        </w:rPr>
        <w:t>（另册）</w:t>
      </w:r>
      <w:r>
        <w:rPr>
          <w:rFonts w:hint="eastAsia" w:ascii="宋体" w:hAnsi="宋体" w:cs="宋体"/>
          <w:strike/>
          <w:color w:val="auto"/>
          <w:sz w:val="24"/>
          <w:szCs w:val="24"/>
          <w:highlight w:val="none"/>
        </w:rPr>
        <w:t>；</w:t>
      </w:r>
    </w:p>
    <w:p w14:paraId="42504D80">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（7）投标文件格式；</w:t>
      </w:r>
    </w:p>
    <w:p w14:paraId="717F2296">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（8）投标人须知前附表规定的其他资料。</w:t>
      </w:r>
    </w:p>
    <w:p w14:paraId="1309872D">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根据本章第1.10款、第2.2款和第2.3款对招标文件所作的澄清、修改，构成招标文件的组成部分。</w:t>
      </w:r>
    </w:p>
    <w:p w14:paraId="2BF220E3">
      <w:pPr>
        <w:keepNext/>
        <w:keepLines/>
        <w:spacing w:line="360" w:lineRule="auto"/>
        <w:outlineLvl w:val="2"/>
        <w:rPr>
          <w:rFonts w:ascii="宋体" w:hAnsi="宋体" w:cs="宋体"/>
          <w:b/>
          <w:bCs/>
          <w:color w:val="auto"/>
          <w:sz w:val="28"/>
          <w:szCs w:val="32"/>
          <w:highlight w:val="none"/>
        </w:rPr>
      </w:pPr>
      <w:bookmarkStart w:id="69" w:name="_Toc377719902"/>
      <w:r>
        <w:rPr>
          <w:rFonts w:hint="eastAsia" w:ascii="宋体" w:hAnsi="宋体" w:cs="宋体"/>
          <w:b/>
          <w:bCs/>
          <w:color w:val="auto"/>
          <w:sz w:val="28"/>
          <w:szCs w:val="32"/>
          <w:highlight w:val="none"/>
        </w:rPr>
        <w:t>2.2.招标文件的澄清</w:t>
      </w:r>
    </w:p>
    <w:p w14:paraId="48FC7F50">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1B18BB7B">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2.2.2招标文件的澄清以投标人须知前附表规定的形式发给所有潜在投标人，但不指明澄清问题的来源。澄清发出的时间距本章第4.2.1项规定的投标截止时间不足15日的，并且澄清内容可能影响投标文件编制的，将相应延长投标截止时间。</w:t>
      </w:r>
    </w:p>
    <w:p w14:paraId="03EDEE48">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2.2.3 投标人在收到澄清后，应按投标人须知前附表规定的时间和形式通知招标人，确认已收到该澄清。</w:t>
      </w:r>
    </w:p>
    <w:p w14:paraId="78B6F1C5">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2.2.4除非招标人认为确有必要答复，否则，招标人有权拒绝回复投标人在本章第2.2.1项规定的时间后的任何澄清要求。</w:t>
      </w:r>
    </w:p>
    <w:p w14:paraId="7BE7CEC9">
      <w:pPr>
        <w:kinsoku w:val="0"/>
        <w:overflowPunct w:val="0"/>
        <w:spacing w:line="360" w:lineRule="auto"/>
        <w:outlineLvl w:val="2"/>
        <w:rPr>
          <w:rFonts w:ascii="宋体" w:hAnsi="宋体" w:cs="宋体"/>
          <w:b/>
          <w:bCs/>
          <w:color w:val="auto"/>
          <w:sz w:val="28"/>
          <w:szCs w:val="32"/>
          <w:highlight w:val="none"/>
        </w:rPr>
      </w:pPr>
      <w:r>
        <w:rPr>
          <w:rFonts w:hint="eastAsia" w:ascii="宋体" w:hAnsi="宋体" w:cs="宋体"/>
          <w:b/>
          <w:bCs/>
          <w:color w:val="auto"/>
          <w:sz w:val="28"/>
          <w:szCs w:val="32"/>
          <w:highlight w:val="none"/>
        </w:rPr>
        <w:t>2.3 招标文件的修改</w:t>
      </w:r>
    </w:p>
    <w:p w14:paraId="3C55C529">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2.3.1招标人以投标人须知前附表规定的形式修改招标文件，并通知所有潜在投标人。修改招标文件的时间距本章第4.2.1项规定的投标截止时间不足15日的，并且修改内容可能影响投标文件编制的，将相应延长投标截止时间。</w:t>
      </w:r>
    </w:p>
    <w:p w14:paraId="32EC2CE8">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2.3.2投标人收到修改内容后，应按投标人须知前附表规定的时间和形式通知招标人，确认已收到该修改。</w:t>
      </w:r>
    </w:p>
    <w:p w14:paraId="01B95BC7">
      <w:pPr>
        <w:kinsoku w:val="0"/>
        <w:overflowPunct w:val="0"/>
        <w:spacing w:line="360" w:lineRule="auto"/>
        <w:outlineLvl w:val="2"/>
        <w:rPr>
          <w:rFonts w:ascii="宋体" w:hAnsi="宋体" w:cs="宋体"/>
          <w:b/>
          <w:bCs/>
          <w:color w:val="auto"/>
          <w:sz w:val="28"/>
          <w:szCs w:val="32"/>
          <w:highlight w:val="none"/>
        </w:rPr>
      </w:pPr>
      <w:bookmarkStart w:id="70" w:name="bookmark37"/>
      <w:bookmarkEnd w:id="70"/>
      <w:r>
        <w:rPr>
          <w:rFonts w:hint="eastAsia" w:ascii="宋体" w:hAnsi="宋体" w:cs="宋体"/>
          <w:b/>
          <w:bCs/>
          <w:color w:val="auto"/>
          <w:sz w:val="28"/>
          <w:szCs w:val="32"/>
          <w:highlight w:val="none"/>
        </w:rPr>
        <w:t>2.4 招标文件的异议</w:t>
      </w:r>
    </w:p>
    <w:p w14:paraId="1B584619">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投标人或者其他利害关系人对招标文件有异议的，应当在投标截止时间10日前以书面形式提出。招标人将在收到异议之日起3日内作出答复；作出答复前，将暂停招标投标活动。</w:t>
      </w:r>
    </w:p>
    <w:p w14:paraId="01E0965F">
      <w:pPr>
        <w:keepNext/>
        <w:keepLines/>
        <w:spacing w:line="360" w:lineRule="auto"/>
        <w:jc w:val="left"/>
        <w:outlineLvl w:val="1"/>
        <w:rPr>
          <w:rFonts w:ascii="宋体" w:hAnsi="宋体" w:cs="宋体"/>
          <w:b/>
          <w:bCs/>
          <w:color w:val="auto"/>
          <w:sz w:val="32"/>
          <w:szCs w:val="32"/>
          <w:highlight w:val="none"/>
        </w:rPr>
      </w:pPr>
      <w:bookmarkStart w:id="71" w:name="_Toc1157"/>
      <w:bookmarkStart w:id="72" w:name="_Toc6920"/>
      <w:bookmarkStart w:id="73" w:name="_Toc29001"/>
      <w:bookmarkStart w:id="74" w:name="_Toc30380"/>
      <w:bookmarkStart w:id="75" w:name="_Toc14848"/>
      <w:bookmarkStart w:id="76" w:name="_Toc3526"/>
      <w:bookmarkStart w:id="77" w:name="_Toc14013"/>
      <w:bookmarkStart w:id="78" w:name="_Toc15723"/>
      <w:bookmarkStart w:id="79" w:name="_Toc25907"/>
      <w:bookmarkStart w:id="80" w:name="_Toc25005"/>
      <w:bookmarkStart w:id="81" w:name="_Toc532367875"/>
      <w:bookmarkStart w:id="82" w:name="_Toc23329"/>
      <w:r>
        <w:rPr>
          <w:rFonts w:hint="eastAsia" w:ascii="宋体" w:hAnsi="宋体" w:cs="宋体"/>
          <w:b/>
          <w:bCs/>
          <w:color w:val="auto"/>
          <w:sz w:val="32"/>
          <w:szCs w:val="32"/>
          <w:highlight w:val="none"/>
        </w:rPr>
        <w:t>3.投标文件</w:t>
      </w:r>
      <w:bookmarkEnd w:id="69"/>
      <w:bookmarkEnd w:id="71"/>
      <w:bookmarkEnd w:id="72"/>
      <w:bookmarkEnd w:id="73"/>
      <w:bookmarkEnd w:id="74"/>
      <w:bookmarkEnd w:id="75"/>
      <w:bookmarkEnd w:id="76"/>
      <w:bookmarkEnd w:id="77"/>
      <w:bookmarkEnd w:id="78"/>
      <w:bookmarkEnd w:id="79"/>
      <w:bookmarkEnd w:id="80"/>
      <w:bookmarkEnd w:id="81"/>
      <w:bookmarkEnd w:id="82"/>
    </w:p>
    <w:p w14:paraId="56335D69">
      <w:pPr>
        <w:keepNext/>
        <w:keepLines/>
        <w:spacing w:line="360" w:lineRule="auto"/>
        <w:outlineLvl w:val="2"/>
        <w:rPr>
          <w:rFonts w:ascii="宋体" w:hAnsi="宋体" w:cs="宋体"/>
          <w:b/>
          <w:bCs/>
          <w:color w:val="auto"/>
          <w:sz w:val="28"/>
          <w:szCs w:val="32"/>
          <w:highlight w:val="none"/>
        </w:rPr>
      </w:pPr>
      <w:r>
        <w:rPr>
          <w:rFonts w:hint="eastAsia" w:ascii="宋体" w:hAnsi="宋体" w:cs="宋体"/>
          <w:b/>
          <w:bCs/>
          <w:color w:val="auto"/>
          <w:sz w:val="28"/>
          <w:szCs w:val="32"/>
          <w:highlight w:val="none"/>
        </w:rPr>
        <w:t>3.1  组成投标文件的文件</w:t>
      </w:r>
    </w:p>
    <w:p w14:paraId="686DDDF2">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3.1.1投标文件应包括下列内容：</w:t>
      </w:r>
    </w:p>
    <w:p w14:paraId="040AFBFA">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（1）投标函及投标函附录</w:t>
      </w:r>
      <w:r>
        <w:rPr>
          <w:rFonts w:hint="eastAsia" w:ascii="宋体" w:hAnsi="宋体" w:cs="宋体"/>
          <w:color w:val="auto"/>
          <w:sz w:val="24"/>
          <w:szCs w:val="24"/>
          <w:highlight w:val="none"/>
        </w:rPr>
        <w:tab/>
      </w:r>
    </w:p>
    <w:p w14:paraId="67E499FD">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（2）法定代表人证明书及授权委托书</w:t>
      </w:r>
      <w:r>
        <w:rPr>
          <w:rFonts w:hint="eastAsia" w:ascii="宋体" w:hAnsi="宋体" w:cs="宋体"/>
          <w:color w:val="auto"/>
          <w:sz w:val="24"/>
          <w:szCs w:val="24"/>
          <w:highlight w:val="none"/>
        </w:rPr>
        <w:tab/>
      </w:r>
    </w:p>
    <w:p w14:paraId="1FE46C6F">
      <w:pPr>
        <w:spacing w:line="360" w:lineRule="auto"/>
        <w:ind w:firstLine="484" w:firstLineChars="202"/>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（3）关于投标保证金的承诺；</w:t>
      </w:r>
    </w:p>
    <w:p w14:paraId="4767B052">
      <w:pPr>
        <w:spacing w:line="360" w:lineRule="auto"/>
        <w:ind w:firstLine="484" w:firstLineChars="202"/>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（4）联合体协议书（如有）</w:t>
      </w:r>
      <w:r>
        <w:rPr>
          <w:rFonts w:hint="eastAsia" w:ascii="宋体" w:hAnsi="宋体" w:cs="宋体"/>
          <w:color w:val="auto"/>
          <w:sz w:val="24"/>
          <w:szCs w:val="24"/>
          <w:highlight w:val="none"/>
          <w:u w:val="single"/>
        </w:rPr>
        <w:tab/>
      </w:r>
    </w:p>
    <w:p w14:paraId="560B6598">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（5）资格审查资料</w:t>
      </w:r>
      <w:r>
        <w:rPr>
          <w:rFonts w:hint="eastAsia" w:ascii="宋体" w:hAnsi="宋体" w:cs="宋体"/>
          <w:color w:val="auto"/>
          <w:sz w:val="24"/>
          <w:szCs w:val="24"/>
          <w:highlight w:val="none"/>
        </w:rPr>
        <w:tab/>
      </w:r>
    </w:p>
    <w:p w14:paraId="4BE9BA2E">
      <w:pPr>
        <w:spacing w:line="360" w:lineRule="auto"/>
        <w:ind w:firstLine="484" w:firstLineChars="202"/>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（6）类似项目业绩表</w:t>
      </w:r>
      <w:r>
        <w:rPr>
          <w:rFonts w:hint="eastAsia" w:ascii="宋体" w:hAnsi="宋体" w:cs="宋体"/>
          <w:color w:val="auto"/>
          <w:sz w:val="24"/>
          <w:szCs w:val="24"/>
          <w:highlight w:val="none"/>
          <w:u w:val="single"/>
        </w:rPr>
        <w:tab/>
      </w:r>
    </w:p>
    <w:p w14:paraId="330DE1AE">
      <w:pPr>
        <w:spacing w:line="360" w:lineRule="auto"/>
        <w:ind w:firstLine="484" w:firstLineChars="202"/>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（7）拟投入本项目的人员一览表</w:t>
      </w:r>
    </w:p>
    <w:p w14:paraId="73849FF6">
      <w:pPr>
        <w:spacing w:line="360" w:lineRule="auto"/>
        <w:ind w:firstLine="484" w:firstLineChars="202"/>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（8）拟投入本项目的人员简历表</w:t>
      </w:r>
    </w:p>
    <w:p w14:paraId="35C9928D">
      <w:pPr>
        <w:spacing w:line="360" w:lineRule="auto"/>
        <w:ind w:firstLine="484" w:firstLineChars="202"/>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（9）拟投入本项目的主要仪器设备一览表</w:t>
      </w:r>
    </w:p>
    <w:p w14:paraId="2E130CB9">
      <w:pPr>
        <w:spacing w:line="360" w:lineRule="auto"/>
        <w:ind w:firstLine="484" w:firstLineChars="202"/>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）监测方案；</w:t>
      </w:r>
    </w:p>
    <w:p w14:paraId="76680744">
      <w:pPr>
        <w:spacing w:line="360" w:lineRule="auto"/>
        <w:ind w:firstLine="484" w:firstLineChars="202"/>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rPr>
        <w:t>）监测合同响应承诺书；</w:t>
      </w:r>
    </w:p>
    <w:p w14:paraId="24DEFC7F">
      <w:pPr>
        <w:spacing w:line="360" w:lineRule="auto"/>
        <w:ind w:firstLine="484" w:firstLineChars="202"/>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12</w:t>
      </w:r>
      <w:r>
        <w:rPr>
          <w:rFonts w:hint="eastAsia" w:ascii="宋体" w:hAnsi="宋体" w:eastAsia="宋体" w:cs="宋体"/>
          <w:color w:val="auto"/>
          <w:sz w:val="24"/>
          <w:szCs w:val="24"/>
          <w:highlight w:val="none"/>
          <w:u w:val="single"/>
        </w:rPr>
        <w:t>）承诺书：</w:t>
      </w:r>
    </w:p>
    <w:p w14:paraId="3E5AEF2F">
      <w:pPr>
        <w:spacing w:line="360" w:lineRule="auto"/>
        <w:ind w:firstLine="484" w:firstLineChars="202"/>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（10）投标人认为应该提供的其他资料</w:t>
      </w:r>
    </w:p>
    <w:p w14:paraId="2A9F4863">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投标人在评标过程中作出的符合法律法规和招标文件规定的澄清确认，构成投标文件的组成部分。</w:t>
      </w:r>
    </w:p>
    <w:p w14:paraId="4F548027">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3.1.2投标人须</w:t>
      </w:r>
      <w:bookmarkStart w:id="244" w:name="_GoBack"/>
      <w:bookmarkEnd w:id="244"/>
      <w:r>
        <w:rPr>
          <w:rFonts w:hint="eastAsia" w:ascii="宋体" w:hAnsi="宋体" w:cs="宋体"/>
          <w:color w:val="auto"/>
          <w:sz w:val="24"/>
          <w:szCs w:val="24"/>
          <w:highlight w:val="none"/>
        </w:rPr>
        <w:t>知前附表规定不接受联合体投标的，或投标人没有组成联合体的，投标文件不包括本章第3.1.1（3）所指的联合体协议书。</w:t>
      </w:r>
    </w:p>
    <w:p w14:paraId="4F792DE5">
      <w:pPr>
        <w:keepNext/>
        <w:keepLines/>
        <w:spacing w:line="360" w:lineRule="auto"/>
        <w:outlineLvl w:val="2"/>
        <w:rPr>
          <w:rFonts w:ascii="宋体" w:hAnsi="宋体" w:cs="宋体"/>
          <w:b/>
          <w:bCs/>
          <w:color w:val="auto"/>
          <w:sz w:val="28"/>
          <w:szCs w:val="32"/>
          <w:highlight w:val="none"/>
        </w:rPr>
      </w:pPr>
      <w:r>
        <w:rPr>
          <w:rFonts w:hint="eastAsia" w:ascii="宋体" w:hAnsi="宋体" w:cs="宋体"/>
          <w:b/>
          <w:bCs/>
          <w:color w:val="auto"/>
          <w:sz w:val="28"/>
          <w:szCs w:val="32"/>
          <w:highlight w:val="none"/>
        </w:rPr>
        <w:t>3.2  投标价格</w:t>
      </w:r>
    </w:p>
    <w:p w14:paraId="16558F57">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3.2.1投标报价应包括国家规定的增值税税金，除投标人须知前附表另有规定外，增值税税金按一般计税方法计算。投标人应按第七章“投标文件格式”的要求在投标函中进行报价。</w:t>
      </w:r>
    </w:p>
    <w:p w14:paraId="3C5C35CD">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3.2.2投标人应充分了解该项目的总体情况以及影响投标报价的其他要素。</w:t>
      </w:r>
    </w:p>
    <w:p w14:paraId="2FD0C14D">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3.2.3本项目的报价方式见投标人须知前附表。投标人在投标截止时间前修改投标函中的投标报价总额。此修改须符合本章第4.3款的有关要求。</w:t>
      </w:r>
    </w:p>
    <w:p w14:paraId="306AAB93">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3.2.4招标人设有最高投标限价的，投标人的投标报价不得超过最高投标限价，最高投标限价在投标人须知前附表中载明。</w:t>
      </w:r>
    </w:p>
    <w:p w14:paraId="2497A4E2">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3.2.5投标报价的其他要求见投标人须知前附表。</w:t>
      </w:r>
    </w:p>
    <w:p w14:paraId="2D611E01">
      <w:pPr>
        <w:keepNext/>
        <w:keepLines/>
        <w:spacing w:line="360" w:lineRule="auto"/>
        <w:outlineLvl w:val="2"/>
        <w:rPr>
          <w:rFonts w:ascii="宋体" w:hAnsi="宋体" w:cs="宋体"/>
          <w:b/>
          <w:bCs/>
          <w:color w:val="auto"/>
          <w:sz w:val="28"/>
          <w:szCs w:val="32"/>
          <w:highlight w:val="none"/>
        </w:rPr>
      </w:pPr>
      <w:r>
        <w:rPr>
          <w:rFonts w:hint="eastAsia" w:ascii="宋体" w:hAnsi="宋体" w:cs="宋体"/>
          <w:b/>
          <w:bCs/>
          <w:color w:val="auto"/>
          <w:sz w:val="28"/>
          <w:szCs w:val="32"/>
          <w:highlight w:val="none"/>
        </w:rPr>
        <w:t>3.3 投标有效期</w:t>
      </w:r>
    </w:p>
    <w:p w14:paraId="30CFC126">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3.3.1除投标人须知前附表另有规定外，投标有效期为90天。</w:t>
      </w:r>
    </w:p>
    <w:p w14:paraId="66C3C5EF">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3.3.2在投标有效期内，投标人撤销投标文件的，应承担招标文件和法律规定的责任。</w:t>
      </w:r>
    </w:p>
    <w:p w14:paraId="312DC776">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3.3.3 出现特殊情况需要延长投标有效期的，招标人以书面形式通知所有投标人延长投标有效期。投标人应予以书面答复，同意延长的，</w:t>
      </w:r>
      <w:r>
        <w:rPr>
          <w:rFonts w:hint="eastAsia" w:ascii="宋体" w:hAnsi="宋体" w:cs="宋体"/>
          <w:strike/>
          <w:color w:val="auto"/>
          <w:sz w:val="24"/>
          <w:szCs w:val="24"/>
          <w:highlight w:val="none"/>
        </w:rPr>
        <w:t>应相应延长其投标保证金的有效期，但</w:t>
      </w:r>
      <w:r>
        <w:rPr>
          <w:rFonts w:hint="eastAsia" w:ascii="宋体" w:hAnsi="宋体" w:cs="宋体"/>
          <w:color w:val="auto"/>
          <w:sz w:val="24"/>
          <w:szCs w:val="24"/>
          <w:highlight w:val="none"/>
        </w:rPr>
        <w:t>不得要求或被允许修改其投标文件；投标人拒绝延长的，其投标失效</w:t>
      </w:r>
      <w:r>
        <w:rPr>
          <w:rFonts w:hint="eastAsia" w:ascii="宋体" w:hAnsi="宋体" w:cs="宋体"/>
          <w:strike/>
          <w:color w:val="auto"/>
          <w:sz w:val="24"/>
          <w:szCs w:val="24"/>
          <w:highlight w:val="none"/>
        </w:rPr>
        <w:t>，但投标人有权收回其投标保证金及以现金或者支票形式递交的投标保证金的银行同期存款利息</w:t>
      </w:r>
      <w:r>
        <w:rPr>
          <w:rFonts w:hint="eastAsia" w:ascii="宋体" w:hAnsi="宋体" w:cs="宋体"/>
          <w:color w:val="auto"/>
          <w:sz w:val="24"/>
          <w:szCs w:val="24"/>
          <w:highlight w:val="none"/>
        </w:rPr>
        <w:t>。</w:t>
      </w:r>
    </w:p>
    <w:p w14:paraId="4F68A0FE">
      <w:pPr>
        <w:keepNext/>
        <w:keepLines/>
        <w:spacing w:line="360" w:lineRule="auto"/>
        <w:outlineLvl w:val="2"/>
        <w:rPr>
          <w:rFonts w:ascii="宋体" w:hAnsi="宋体" w:cs="宋体"/>
          <w:b/>
          <w:bCs/>
          <w:color w:val="auto"/>
          <w:sz w:val="28"/>
          <w:szCs w:val="32"/>
          <w:highlight w:val="none"/>
        </w:rPr>
      </w:pPr>
      <w:r>
        <w:rPr>
          <w:rFonts w:hint="eastAsia" w:ascii="宋体" w:hAnsi="宋体" w:cs="宋体"/>
          <w:b/>
          <w:bCs/>
          <w:color w:val="auto"/>
          <w:sz w:val="28"/>
          <w:szCs w:val="32"/>
          <w:highlight w:val="none"/>
        </w:rPr>
        <w:t>3.4  投标保证金</w:t>
      </w:r>
    </w:p>
    <w:p w14:paraId="3559E2B2">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3.4.1</w:t>
      </w:r>
      <w:r>
        <w:rPr>
          <w:rFonts w:hint="eastAsia" w:ascii="宋体" w:hAnsi="宋体" w:cs="宋体"/>
          <w:color w:val="auto"/>
          <w:sz w:val="24"/>
          <w:szCs w:val="24"/>
          <w:highlight w:val="none"/>
          <w:u w:val="single"/>
        </w:rPr>
        <w:t>本项目免收投标保证金，投标人提供《关于投标保证金的承诺》（详见投标文件格式）。</w:t>
      </w:r>
    </w:p>
    <w:p w14:paraId="59DA8EA5">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3.4.2对于投标人已提供《关于投标保证金的承诺》，若投标人存在3.4.4条款所列情形，该投标人应在发现存在3.4.4条款所列情形之日起5个工作日内按投标人须知前附表第3.4.1项所述金额补交投标保证金。若未按要求补交投标保证金的将暂停其参与招标人后续工程投标，直至完成补交手续为止。</w:t>
      </w:r>
    </w:p>
    <w:p w14:paraId="0D02AF82">
      <w:pPr>
        <w:spacing w:line="360" w:lineRule="auto"/>
        <w:ind w:firstLine="480" w:firstLineChars="200"/>
        <w:rPr>
          <w:rFonts w:ascii="宋体" w:hAnsi="宋体" w:cs="宋体"/>
          <w:strike/>
          <w:color w:val="auto"/>
          <w:sz w:val="24"/>
          <w:szCs w:val="24"/>
          <w:highlight w:val="none"/>
        </w:rPr>
      </w:pPr>
      <w:r>
        <w:rPr>
          <w:rFonts w:hint="eastAsia" w:ascii="宋体" w:hAnsi="宋体" w:cs="宋体"/>
          <w:strike/>
          <w:color w:val="auto"/>
          <w:sz w:val="24"/>
          <w:szCs w:val="24"/>
          <w:highlight w:val="none"/>
        </w:rPr>
        <w:t>3.4.3开标时投标人没有按招标文件要求提交符合免予提供投标保证金相关证明材料，且未提交投标保证金的投标人，视为未按要求提供投标保证金。</w:t>
      </w:r>
    </w:p>
    <w:p w14:paraId="6D34CCC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3.4.4如有下列情况之一的，招标人可以不予退还投标保证金（是否退还投标保证金由招标人在招标文件中规定）：</w:t>
      </w:r>
    </w:p>
    <w:p w14:paraId="4A0CCAE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3.4.4.1因投标人原因造成投标文件未解密的；</w:t>
      </w:r>
    </w:p>
    <w:p w14:paraId="465F73B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3.4.4.2投标人在投标有效期内撤销投标文件；</w:t>
      </w:r>
    </w:p>
    <w:p w14:paraId="3D50A7A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3.4.4.3中标人未能在规定期限内按要求提交履约担保；</w:t>
      </w:r>
    </w:p>
    <w:p w14:paraId="08DD8CE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3.4.4.4中标人未能在规定期限内签署合同协议。</w:t>
      </w:r>
    </w:p>
    <w:p w14:paraId="19B15CB1">
      <w:pPr>
        <w:keepNext/>
        <w:keepLines/>
        <w:spacing w:line="360" w:lineRule="auto"/>
        <w:jc w:val="left"/>
        <w:outlineLvl w:val="2"/>
        <w:rPr>
          <w:rFonts w:ascii="宋体" w:hAnsi="宋体" w:cs="宋体"/>
          <w:b/>
          <w:bCs/>
          <w:color w:val="auto"/>
          <w:sz w:val="28"/>
          <w:szCs w:val="32"/>
          <w:highlight w:val="none"/>
        </w:rPr>
      </w:pPr>
      <w:r>
        <w:rPr>
          <w:rFonts w:hint="eastAsia" w:ascii="宋体" w:hAnsi="宋体" w:cs="宋体"/>
          <w:b/>
          <w:bCs/>
          <w:color w:val="auto"/>
          <w:sz w:val="28"/>
          <w:szCs w:val="32"/>
          <w:highlight w:val="none"/>
        </w:rPr>
        <w:t xml:space="preserve">3.5  </w:t>
      </w:r>
      <w:bookmarkStart w:id="83" w:name="_Toc511383850"/>
      <w:r>
        <w:rPr>
          <w:rFonts w:hint="eastAsia" w:ascii="宋体" w:hAnsi="宋体" w:cs="宋体"/>
          <w:b/>
          <w:bCs/>
          <w:color w:val="auto"/>
          <w:sz w:val="28"/>
          <w:szCs w:val="32"/>
          <w:highlight w:val="none"/>
        </w:rPr>
        <w:t>资格审查资料（适用于未进行资格预审的）</w:t>
      </w:r>
      <w:bookmarkEnd w:id="83"/>
    </w:p>
    <w:p w14:paraId="0FF752FB">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除投标人须知前附表另有规定外，投标人应按下列规定提供资格审查资料，以证明其满足本章第1.4款规定的资质</w:t>
      </w:r>
      <w:r>
        <w:rPr>
          <w:rFonts w:hint="eastAsia" w:ascii="宋体" w:hAnsi="宋体" w:cs="宋体"/>
          <w:strike/>
          <w:color w:val="auto"/>
          <w:sz w:val="24"/>
          <w:szCs w:val="24"/>
          <w:highlight w:val="none"/>
        </w:rPr>
        <w:t>、财务、业绩、信誉等</w:t>
      </w:r>
      <w:r>
        <w:rPr>
          <w:rFonts w:hint="eastAsia" w:ascii="宋体" w:hAnsi="宋体" w:cs="宋体"/>
          <w:color w:val="auto"/>
          <w:sz w:val="24"/>
          <w:szCs w:val="24"/>
          <w:highlight w:val="none"/>
        </w:rPr>
        <w:t>要求。</w:t>
      </w:r>
    </w:p>
    <w:p w14:paraId="03339F90">
      <w:pPr>
        <w:spacing w:line="360" w:lineRule="auto"/>
        <w:ind w:firstLine="484" w:firstLineChars="202"/>
        <w:jc w:val="left"/>
        <w:rPr>
          <w:rFonts w:ascii="宋体" w:hAnsi="宋体" w:cs="宋体"/>
          <w:color w:val="auto"/>
          <w:sz w:val="24"/>
          <w:szCs w:val="24"/>
          <w:highlight w:val="none"/>
          <w:u w:val="single"/>
          <w:lang w:bidi="ar"/>
        </w:rPr>
      </w:pPr>
      <w:r>
        <w:rPr>
          <w:rFonts w:hint="eastAsia" w:ascii="宋体" w:hAnsi="宋体" w:cs="宋体"/>
          <w:color w:val="auto"/>
          <w:sz w:val="24"/>
          <w:szCs w:val="24"/>
          <w:highlight w:val="none"/>
          <w:u w:val="single"/>
          <w:lang w:bidi="ar"/>
        </w:rPr>
        <w:t>3.5.1“投标人基本情况表”应附投标人营业执照或事业单位法人证书、建设行政主管部门颁发的质量技术监督部门颁发的CMA计量认证合格证书、建设行政主管部门颁发的工程勘察资质证书的</w:t>
      </w:r>
      <w:bookmarkStart w:id="84" w:name="_Hlk66956957"/>
      <w:r>
        <w:rPr>
          <w:rFonts w:hint="eastAsia" w:ascii="宋体" w:hAnsi="宋体" w:cs="宋体"/>
          <w:color w:val="auto"/>
          <w:sz w:val="24"/>
          <w:szCs w:val="24"/>
          <w:highlight w:val="none"/>
          <w:u w:val="single"/>
          <w:lang w:bidi="ar"/>
        </w:rPr>
        <w:t>原件清晰扫描件。</w:t>
      </w:r>
      <w:bookmarkEnd w:id="84"/>
    </w:p>
    <w:p w14:paraId="763F2EDE">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3.5.2其他满足本章第1.4.1项规定的要求的相关资料。</w:t>
      </w:r>
    </w:p>
    <w:p w14:paraId="687CA24F">
      <w:pPr>
        <w:keepNext/>
        <w:keepLines/>
        <w:spacing w:line="360" w:lineRule="auto"/>
        <w:jc w:val="left"/>
        <w:outlineLvl w:val="2"/>
        <w:rPr>
          <w:rFonts w:ascii="宋体" w:hAnsi="宋体" w:cs="宋体"/>
          <w:b/>
          <w:bCs/>
          <w:color w:val="auto"/>
          <w:sz w:val="28"/>
          <w:szCs w:val="32"/>
          <w:highlight w:val="none"/>
        </w:rPr>
      </w:pPr>
      <w:r>
        <w:rPr>
          <w:rFonts w:hint="eastAsia" w:ascii="宋体" w:hAnsi="宋体" w:cs="宋体"/>
          <w:color w:val="auto"/>
          <w:sz w:val="24"/>
          <w:szCs w:val="24"/>
          <w:highlight w:val="none"/>
          <w:u w:val="single"/>
          <w:lang w:bidi="ar"/>
        </w:rPr>
        <w:t xml:space="preserve"> </w:t>
      </w:r>
      <w:r>
        <w:rPr>
          <w:rFonts w:hint="eastAsia" w:ascii="宋体" w:hAnsi="宋体" w:cs="宋体"/>
          <w:b/>
          <w:bCs/>
          <w:color w:val="auto"/>
          <w:sz w:val="28"/>
          <w:szCs w:val="32"/>
          <w:highlight w:val="none"/>
        </w:rPr>
        <w:t>3.6 备选投标方案</w:t>
      </w:r>
    </w:p>
    <w:p w14:paraId="35FAB38E">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3.6.1除投标人须知前附表规定允许外，投标人不得递交备选投标方案，否则其投标将被否决。</w:t>
      </w:r>
    </w:p>
    <w:p w14:paraId="3988D558">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7460EE40">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3.6.3投标人提供两个或两个以上投标报价，或者在投标文件中提供一个报价，但同时提供两个或两个以上服务方案的，视为提供备选方案。</w:t>
      </w:r>
    </w:p>
    <w:p w14:paraId="34E9D73A">
      <w:pPr>
        <w:keepNext/>
        <w:keepLines/>
        <w:spacing w:line="360" w:lineRule="auto"/>
        <w:jc w:val="left"/>
        <w:outlineLvl w:val="2"/>
        <w:rPr>
          <w:rFonts w:ascii="宋体" w:hAnsi="宋体" w:cs="宋体"/>
          <w:b/>
          <w:bCs/>
          <w:color w:val="auto"/>
          <w:sz w:val="28"/>
          <w:szCs w:val="32"/>
          <w:highlight w:val="none"/>
        </w:rPr>
      </w:pPr>
      <w:bookmarkStart w:id="85" w:name="bookmark46"/>
      <w:bookmarkEnd w:id="85"/>
      <w:r>
        <w:rPr>
          <w:rFonts w:hint="eastAsia" w:ascii="宋体" w:hAnsi="宋体" w:cs="宋体"/>
          <w:b/>
          <w:bCs/>
          <w:color w:val="auto"/>
          <w:sz w:val="28"/>
          <w:szCs w:val="32"/>
          <w:highlight w:val="none"/>
        </w:rPr>
        <w:t>3.7 投标文件的编制</w:t>
      </w:r>
    </w:p>
    <w:p w14:paraId="65BB8EE0">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3.7.1投标文件应按第七章“投标文件格式”进行编写，如有必要，可以增加附页，作为投标文件的组成部分。</w:t>
      </w:r>
    </w:p>
    <w:p w14:paraId="51195153">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3.7.2投标文件应当对招标文件有关服务期限、投标有效期、招标人要求、招标范围等实质性内容作出响应。</w:t>
      </w:r>
    </w:p>
    <w:p w14:paraId="0BB6D62C">
      <w:pPr>
        <w:spacing w:line="360" w:lineRule="auto"/>
        <w:ind w:firstLine="484" w:firstLineChars="202"/>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3.7.3</w:t>
      </w:r>
      <w:r>
        <w:rPr>
          <w:rFonts w:hint="eastAsia" w:ascii="宋体" w:hAnsi="宋体" w:cs="宋体"/>
          <w:color w:val="auto"/>
          <w:sz w:val="24"/>
          <w:szCs w:val="24"/>
          <w:highlight w:val="none"/>
          <w:u w:val="single"/>
        </w:rPr>
        <w:t>投标文件全部采用电子文档，投标文件所附证书证件均为原件扫描件，并采用单位数字证书（联合体投标的，由联合体主办方采用其单位数字证书），按招标文件要求在相应位置加盖电子印章。投标文件中需个人签字或盖章的，应加盖个人电子印章或在线下完成后扫描上传。按照交易平台关于全流程电子化项目的相关指南进行操作。相关操作详见广州公共资源交易中心网站最新发布的《房屋建筑和市政基础设施工程全流程电子化项目专章》。签字或盖章的具体要求见投标人须知前附表。</w:t>
      </w:r>
    </w:p>
    <w:p w14:paraId="2DF96D27">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u w:val="single"/>
        </w:rPr>
        <w:t>联合体投标时，除“联合体协议书”需由联合体各方分别按要求进行签字或盖章外，其他资料若需要签字或盖章的均可由联合体主办方签字或盖章即可；投标资料封面及其他内容及落款中的“投标人”、“投标单位”、“声明企业”应填写联合体各方的单位全称【格式示例为：（主）单位全称（成）单位全称】，由联合体主办方按要求签字或盖章即可。电子签章由主办方进行签章即可。</w:t>
      </w:r>
    </w:p>
    <w:p w14:paraId="511CE6CC">
      <w:pPr>
        <w:keepNext/>
        <w:keepLines/>
        <w:spacing w:line="360" w:lineRule="auto"/>
        <w:jc w:val="left"/>
        <w:outlineLvl w:val="1"/>
        <w:rPr>
          <w:rFonts w:ascii="宋体" w:hAnsi="宋体" w:cs="宋体"/>
          <w:b/>
          <w:bCs/>
          <w:color w:val="auto"/>
          <w:sz w:val="32"/>
          <w:szCs w:val="32"/>
          <w:highlight w:val="none"/>
        </w:rPr>
      </w:pPr>
      <w:bookmarkStart w:id="86" w:name="_Toc23220"/>
      <w:bookmarkStart w:id="87" w:name="_Toc32552"/>
      <w:bookmarkStart w:id="88" w:name="_Toc3554"/>
      <w:bookmarkStart w:id="89" w:name="_Toc31557"/>
      <w:bookmarkStart w:id="90" w:name="_Toc532367876"/>
      <w:bookmarkStart w:id="91" w:name="_Toc24378"/>
      <w:bookmarkStart w:id="92" w:name="_Toc25065"/>
      <w:bookmarkStart w:id="93" w:name="_Toc3516"/>
      <w:bookmarkStart w:id="94" w:name="_Toc21930"/>
      <w:bookmarkStart w:id="95" w:name="_Toc9342"/>
      <w:bookmarkStart w:id="96" w:name="_Toc29593"/>
      <w:bookmarkStart w:id="97" w:name="_Toc377719903"/>
      <w:bookmarkStart w:id="98" w:name="_Toc23284"/>
      <w:r>
        <w:rPr>
          <w:rFonts w:hint="eastAsia" w:ascii="宋体" w:hAnsi="宋体" w:cs="宋体"/>
          <w:b/>
          <w:bCs/>
          <w:color w:val="auto"/>
          <w:sz w:val="32"/>
          <w:szCs w:val="32"/>
          <w:highlight w:val="none"/>
        </w:rPr>
        <w:t>4.投标</w:t>
      </w:r>
      <w:bookmarkEnd w:id="86"/>
      <w:bookmarkEnd w:id="87"/>
      <w:bookmarkEnd w:id="88"/>
      <w:bookmarkEnd w:id="89"/>
      <w:bookmarkEnd w:id="90"/>
      <w:bookmarkEnd w:id="91"/>
      <w:bookmarkEnd w:id="92"/>
      <w:bookmarkEnd w:id="93"/>
      <w:bookmarkEnd w:id="94"/>
      <w:bookmarkEnd w:id="95"/>
      <w:bookmarkEnd w:id="96"/>
      <w:bookmarkEnd w:id="97"/>
      <w:bookmarkEnd w:id="98"/>
    </w:p>
    <w:p w14:paraId="70471FA0">
      <w:pPr>
        <w:keepNext/>
        <w:keepLines/>
        <w:spacing w:line="360" w:lineRule="auto"/>
        <w:outlineLvl w:val="2"/>
        <w:rPr>
          <w:rFonts w:ascii="宋体" w:hAnsi="宋体" w:cs="宋体"/>
          <w:b/>
          <w:bCs/>
          <w:color w:val="auto"/>
          <w:sz w:val="28"/>
          <w:szCs w:val="32"/>
          <w:highlight w:val="none"/>
        </w:rPr>
      </w:pPr>
      <w:r>
        <w:rPr>
          <w:rFonts w:hint="eastAsia" w:ascii="宋体" w:hAnsi="宋体" w:cs="宋体"/>
          <w:b/>
          <w:bCs/>
          <w:color w:val="auto"/>
          <w:sz w:val="28"/>
          <w:szCs w:val="32"/>
          <w:highlight w:val="none"/>
        </w:rPr>
        <w:t>4.1  投标文件的密封和标记</w:t>
      </w:r>
    </w:p>
    <w:p w14:paraId="0719591B">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4.1.1 投标人应当按照招标文件和电子招标投标交易平台的要求加密投标文件，具体要求见投标人须知前附表。</w:t>
      </w:r>
    </w:p>
    <w:p w14:paraId="7C328409">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4.1.2 投标文件封套上应写明的内容见投标人须知前附表。</w:t>
      </w:r>
    </w:p>
    <w:p w14:paraId="271D3074">
      <w:pPr>
        <w:spacing w:line="360" w:lineRule="auto"/>
        <w:ind w:firstLine="484" w:firstLineChars="202"/>
        <w:jc w:val="left"/>
        <w:rPr>
          <w:rFonts w:ascii="宋体" w:hAnsi="宋体" w:cs="宋体"/>
          <w:strike/>
          <w:color w:val="auto"/>
          <w:sz w:val="24"/>
          <w:szCs w:val="24"/>
          <w:highlight w:val="none"/>
        </w:rPr>
      </w:pPr>
      <w:r>
        <w:rPr>
          <w:rFonts w:hint="eastAsia" w:ascii="宋体" w:hAnsi="宋体" w:cs="宋体"/>
          <w:strike/>
          <w:color w:val="auto"/>
          <w:sz w:val="24"/>
          <w:szCs w:val="24"/>
          <w:highlight w:val="none"/>
        </w:rPr>
        <w:t>4.1.3 未按本章第 4.1.1 项要求密封的投标文件，招标人将予以拒收。</w:t>
      </w:r>
    </w:p>
    <w:p w14:paraId="59D4B905">
      <w:pPr>
        <w:keepNext/>
        <w:keepLines/>
        <w:spacing w:line="360" w:lineRule="auto"/>
        <w:outlineLvl w:val="2"/>
        <w:rPr>
          <w:rFonts w:ascii="宋体" w:hAnsi="宋体" w:cs="宋体"/>
          <w:b/>
          <w:bCs/>
          <w:color w:val="auto"/>
          <w:sz w:val="28"/>
          <w:szCs w:val="32"/>
          <w:highlight w:val="none"/>
        </w:rPr>
      </w:pPr>
      <w:r>
        <w:rPr>
          <w:rFonts w:hint="eastAsia" w:ascii="宋体" w:hAnsi="宋体" w:cs="宋体"/>
          <w:b/>
          <w:bCs/>
          <w:color w:val="auto"/>
          <w:sz w:val="28"/>
          <w:szCs w:val="32"/>
          <w:highlight w:val="none"/>
        </w:rPr>
        <w:t>4.2  投标文件的递交</w:t>
      </w:r>
    </w:p>
    <w:p w14:paraId="5C93AD35">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4.2.1 投标人应在投标人须知前附表规定的投标截止时间前递交投标文件。</w:t>
      </w:r>
    </w:p>
    <w:p w14:paraId="180A3089">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4.2.2 投标人通过下载招标文件的电子招标投标交易平台递交电子投标文件。</w:t>
      </w:r>
    </w:p>
    <w:p w14:paraId="5240310A">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4.2.3 除投标人须知前附表另有规定外，投标人所递交的投标文件不予退还。</w:t>
      </w:r>
    </w:p>
    <w:p w14:paraId="4E901EAA">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4.2.4 投标人完成电子投标文件上传后，电子招标投标交易平台即时向投标人发出递交回执通知。递交时间以递交回执通知载明的传输完成时间为准。</w:t>
      </w:r>
    </w:p>
    <w:p w14:paraId="03A190CA">
      <w:pPr>
        <w:spacing w:line="360" w:lineRule="auto"/>
        <w:ind w:firstLine="484" w:firstLineChars="202"/>
        <w:jc w:val="left"/>
        <w:rPr>
          <w:rFonts w:ascii="宋体" w:hAnsi="宋体" w:cs="宋体"/>
          <w:color w:val="auto"/>
          <w:sz w:val="28"/>
          <w:szCs w:val="28"/>
          <w:highlight w:val="none"/>
        </w:rPr>
      </w:pPr>
      <w:r>
        <w:rPr>
          <w:rFonts w:hint="eastAsia" w:ascii="宋体" w:hAnsi="宋体" w:cs="宋体"/>
          <w:color w:val="auto"/>
          <w:sz w:val="24"/>
          <w:szCs w:val="24"/>
          <w:highlight w:val="none"/>
        </w:rPr>
        <w:t>4.2.5 逾期送达的投标文件，电子招标投标交易平台将予以拒收。</w:t>
      </w:r>
    </w:p>
    <w:p w14:paraId="49ACCC78">
      <w:pPr>
        <w:keepNext/>
        <w:keepLines/>
        <w:spacing w:line="360" w:lineRule="auto"/>
        <w:outlineLvl w:val="2"/>
        <w:rPr>
          <w:rFonts w:ascii="宋体" w:hAnsi="宋体" w:cs="宋体"/>
          <w:b/>
          <w:bCs/>
          <w:color w:val="auto"/>
          <w:sz w:val="28"/>
          <w:szCs w:val="32"/>
          <w:highlight w:val="none"/>
        </w:rPr>
      </w:pPr>
      <w:r>
        <w:rPr>
          <w:rFonts w:hint="eastAsia" w:ascii="宋体" w:hAnsi="宋体" w:cs="宋体"/>
          <w:b/>
          <w:bCs/>
          <w:color w:val="auto"/>
          <w:sz w:val="28"/>
          <w:szCs w:val="32"/>
          <w:highlight w:val="none"/>
        </w:rPr>
        <w:t>4.3  投标文件的修改与撤回</w:t>
      </w:r>
    </w:p>
    <w:p w14:paraId="28D789F8">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4.3.1 在本章第 4.2.1 项规定的投标截止时间前，投标人可以修改或撤回已递交的投标文件，但应以书面形式通知招标人。</w:t>
      </w:r>
    </w:p>
    <w:p w14:paraId="30293103">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4.3.2 投标人修改或撤回已递交投标文件的通知，应按照本章第 3.7.3项的要求加盖电子印章。电子招标投标交易平台收到通知后，即时向投标人发出确认回执通知。</w:t>
      </w:r>
    </w:p>
    <w:p w14:paraId="4C8CAF1F">
      <w:pPr>
        <w:spacing w:line="360" w:lineRule="auto"/>
        <w:ind w:firstLine="484" w:firstLineChars="202"/>
        <w:jc w:val="left"/>
        <w:rPr>
          <w:rFonts w:ascii="宋体" w:hAnsi="宋体" w:cs="宋体"/>
          <w:color w:val="auto"/>
          <w:sz w:val="28"/>
          <w:szCs w:val="28"/>
          <w:highlight w:val="none"/>
        </w:rPr>
      </w:pPr>
      <w:r>
        <w:rPr>
          <w:rFonts w:hint="eastAsia" w:ascii="宋体" w:hAnsi="宋体" w:cs="宋体"/>
          <w:color w:val="auto"/>
          <w:sz w:val="24"/>
          <w:szCs w:val="24"/>
          <w:highlight w:val="none"/>
        </w:rPr>
        <w:t>4.3.3 修改的内容为投标文件的组成部分。修改的投标文件应按照本章第 3 条、第 4 条的规定进行编制、密封、标记和递交，并标明“修改”字样。</w:t>
      </w:r>
    </w:p>
    <w:p w14:paraId="6AF4F8E8">
      <w:pPr>
        <w:keepNext/>
        <w:keepLines/>
        <w:spacing w:line="360" w:lineRule="auto"/>
        <w:outlineLvl w:val="1"/>
        <w:rPr>
          <w:rFonts w:ascii="宋体" w:hAnsi="宋体" w:cs="宋体"/>
          <w:b/>
          <w:bCs/>
          <w:color w:val="auto"/>
          <w:sz w:val="32"/>
          <w:szCs w:val="32"/>
          <w:highlight w:val="none"/>
        </w:rPr>
      </w:pPr>
      <w:bookmarkStart w:id="99" w:name="_Toc25545"/>
      <w:bookmarkStart w:id="100" w:name="_Toc31567"/>
      <w:bookmarkStart w:id="101" w:name="_Toc377719904"/>
      <w:bookmarkStart w:id="102" w:name="_Toc6570"/>
      <w:bookmarkStart w:id="103" w:name="_Toc111"/>
      <w:bookmarkStart w:id="104" w:name="_Toc17418"/>
      <w:bookmarkStart w:id="105" w:name="_Toc532367877"/>
      <w:bookmarkStart w:id="106" w:name="_Toc11066"/>
      <w:bookmarkStart w:id="107" w:name="_Toc19088"/>
      <w:bookmarkStart w:id="108" w:name="_Toc1684"/>
      <w:bookmarkStart w:id="109" w:name="_Toc5302"/>
      <w:bookmarkStart w:id="110" w:name="_Toc17138"/>
      <w:bookmarkStart w:id="111" w:name="_Toc10549"/>
      <w:r>
        <w:rPr>
          <w:rFonts w:hint="eastAsia" w:ascii="宋体" w:hAnsi="宋体" w:cs="宋体"/>
          <w:b/>
          <w:bCs/>
          <w:color w:val="auto"/>
          <w:sz w:val="32"/>
          <w:szCs w:val="32"/>
          <w:highlight w:val="none"/>
        </w:rPr>
        <w:t>5.开标</w:t>
      </w:r>
      <w:bookmarkEnd w:id="99"/>
      <w:bookmarkEnd w:id="100"/>
      <w:bookmarkEnd w:id="101"/>
      <w:bookmarkEnd w:id="102"/>
      <w:bookmarkEnd w:id="103"/>
      <w:bookmarkEnd w:id="104"/>
      <w:bookmarkEnd w:id="105"/>
      <w:bookmarkEnd w:id="106"/>
      <w:bookmarkEnd w:id="107"/>
      <w:bookmarkEnd w:id="108"/>
      <w:bookmarkEnd w:id="109"/>
      <w:bookmarkEnd w:id="110"/>
      <w:bookmarkEnd w:id="111"/>
    </w:p>
    <w:p w14:paraId="53E704B5">
      <w:pPr>
        <w:keepNext/>
        <w:keepLines/>
        <w:spacing w:line="360" w:lineRule="auto"/>
        <w:outlineLvl w:val="2"/>
        <w:rPr>
          <w:rFonts w:ascii="宋体" w:hAnsi="宋体" w:cs="宋体"/>
          <w:b/>
          <w:bCs/>
          <w:color w:val="auto"/>
          <w:sz w:val="28"/>
          <w:szCs w:val="32"/>
          <w:highlight w:val="none"/>
        </w:rPr>
      </w:pPr>
      <w:r>
        <w:rPr>
          <w:rFonts w:hint="eastAsia" w:ascii="宋体" w:hAnsi="宋体" w:cs="宋体"/>
          <w:b/>
          <w:bCs/>
          <w:color w:val="auto"/>
          <w:sz w:val="28"/>
          <w:szCs w:val="32"/>
          <w:highlight w:val="none"/>
        </w:rPr>
        <w:t>5.1 开标时间和地点</w:t>
      </w:r>
    </w:p>
    <w:p w14:paraId="5D193EC1">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招标人在本章第 4.2.1 项规定的投标截止时间（开标时间）,通过电子招标投标交易平台公开开标，所有投标人的法定代表人或其委托代理人应当准时参加。</w:t>
      </w:r>
    </w:p>
    <w:p w14:paraId="3710891F">
      <w:pPr>
        <w:keepNext/>
        <w:keepLines/>
        <w:spacing w:line="360" w:lineRule="auto"/>
        <w:outlineLvl w:val="2"/>
        <w:rPr>
          <w:rFonts w:ascii="宋体" w:hAnsi="宋体" w:cs="宋体"/>
          <w:b/>
          <w:bCs/>
          <w:color w:val="auto"/>
          <w:sz w:val="28"/>
          <w:szCs w:val="32"/>
          <w:highlight w:val="none"/>
        </w:rPr>
      </w:pPr>
      <w:r>
        <w:rPr>
          <w:rFonts w:hint="eastAsia" w:ascii="宋体" w:hAnsi="宋体" w:cs="宋体"/>
          <w:b/>
          <w:bCs/>
          <w:color w:val="auto"/>
          <w:sz w:val="28"/>
          <w:szCs w:val="32"/>
          <w:highlight w:val="none"/>
        </w:rPr>
        <w:t>5.2 开标程序</w:t>
      </w:r>
    </w:p>
    <w:p w14:paraId="11E2D8B9">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5.2.1主持人按下列程序进行开标：</w:t>
      </w:r>
    </w:p>
    <w:p w14:paraId="099CB3A9">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（1）宣布开标纪律；</w:t>
      </w:r>
    </w:p>
    <w:p w14:paraId="74E356AD">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（2）公布在投标截止时间前递交投标文件的投标人名称；</w:t>
      </w:r>
    </w:p>
    <w:p w14:paraId="7403E629">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（3）宣布开标人、唱标人、记录人、监标人等有关人员姓名；</w:t>
      </w:r>
    </w:p>
    <w:p w14:paraId="6C028345">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（4）投标人通过电子招标投标交易平台对已递交的电子投标文件进行解密，公布招标项目名称、投标人名称、投标总报价、服务期限及其他内容，并记录在案；</w:t>
      </w:r>
    </w:p>
    <w:p w14:paraId="67E97C1F">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（5）投标人代表、招标人代表、监标人、记录人等有关人员使用本人的电子印章在开标记录上签字确认；若有关人员不签字的，不影响开标程序；</w:t>
      </w:r>
    </w:p>
    <w:p w14:paraId="32A7F210">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（6）开标结束。</w:t>
      </w:r>
    </w:p>
    <w:p w14:paraId="36800B2B">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5.2.2投标截止时间前未完成投标文件传输的或因投标人之外的原因造成投标文件未解密的，视为投标人撤回投标文件。因投标人原因造成投标文件未解密的，视为撤销其投标文件。</w:t>
      </w:r>
    </w:p>
    <w:p w14:paraId="6CB8727C">
      <w:pPr>
        <w:spacing w:line="360" w:lineRule="auto"/>
        <w:ind w:firstLine="484" w:firstLineChars="202"/>
        <w:jc w:val="left"/>
        <w:rPr>
          <w:rFonts w:ascii="宋体" w:hAnsi="宋体" w:cs="宋体"/>
          <w:color w:val="auto"/>
          <w:sz w:val="28"/>
          <w:szCs w:val="28"/>
          <w:highlight w:val="none"/>
        </w:rPr>
      </w:pPr>
      <w:r>
        <w:rPr>
          <w:rFonts w:hint="eastAsia" w:ascii="宋体" w:hAnsi="宋体" w:cs="宋体"/>
          <w:color w:val="auto"/>
          <w:sz w:val="24"/>
          <w:szCs w:val="24"/>
          <w:highlight w:val="none"/>
        </w:rPr>
        <w:t>5.2.3开标时，两个（含两个）以上的投标人加密打包投标文件电脑机器特征码一致的，不参与下一程序，并由评标委员会否决其投标。</w:t>
      </w:r>
    </w:p>
    <w:p w14:paraId="0FD0C929">
      <w:pPr>
        <w:keepNext/>
        <w:keepLines/>
        <w:spacing w:line="360" w:lineRule="auto"/>
        <w:outlineLvl w:val="2"/>
        <w:rPr>
          <w:rFonts w:ascii="宋体" w:hAnsi="宋体" w:cs="宋体"/>
          <w:b/>
          <w:bCs/>
          <w:color w:val="auto"/>
          <w:sz w:val="28"/>
          <w:szCs w:val="32"/>
          <w:highlight w:val="none"/>
        </w:rPr>
      </w:pPr>
      <w:r>
        <w:rPr>
          <w:rFonts w:hint="eastAsia" w:ascii="宋体" w:hAnsi="宋体" w:cs="宋体"/>
          <w:b/>
          <w:bCs/>
          <w:color w:val="auto"/>
          <w:sz w:val="28"/>
          <w:szCs w:val="32"/>
          <w:highlight w:val="none"/>
        </w:rPr>
        <w:t>5.3 开标异议</w:t>
      </w:r>
    </w:p>
    <w:p w14:paraId="5E4AABDD">
      <w:pPr>
        <w:spacing w:line="360" w:lineRule="auto"/>
        <w:ind w:firstLine="484" w:firstLineChars="202"/>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5.3.1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3099CBEF">
      <w:pPr>
        <w:spacing w:line="360" w:lineRule="auto"/>
        <w:ind w:firstLine="484" w:firstLineChars="202"/>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5.3.2参加现场开标的投标人对开标结果有异议的，应当在开标现场提出，该投标人代表须同时出示本人身份证原件，招标人当场作出答复，并制作记录。</w:t>
      </w:r>
    </w:p>
    <w:p w14:paraId="49B4203B">
      <w:pPr>
        <w:spacing w:line="360" w:lineRule="auto"/>
        <w:ind w:firstLine="484" w:firstLineChars="202"/>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5.3.3参加在线开标的投标人对开标结果有异议的，应当使用单位数字证书登录交易平台后通过交易平台提出。招标人授权招标代理机构工作人员使用招标代理机构数字证书登录交易平台答复异议，异议答复是招标人真实意思表示。未答复的，开标程序不得结束，投标人若无异议，点击“我没有异议了”按钮即可。</w:t>
      </w:r>
    </w:p>
    <w:p w14:paraId="01D95888">
      <w:pPr>
        <w:spacing w:line="360" w:lineRule="auto"/>
        <w:ind w:firstLine="484" w:firstLineChars="202"/>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5.3.4投标人未参加开标或在规定的时间内未提出异议的，视为对开标无异议。</w:t>
      </w:r>
    </w:p>
    <w:p w14:paraId="5D61BC35">
      <w:pPr>
        <w:keepNext/>
        <w:keepLines/>
        <w:spacing w:line="360" w:lineRule="auto"/>
        <w:jc w:val="left"/>
        <w:outlineLvl w:val="1"/>
        <w:rPr>
          <w:rFonts w:ascii="宋体" w:hAnsi="宋体" w:cs="宋体"/>
          <w:b/>
          <w:bCs/>
          <w:color w:val="auto"/>
          <w:sz w:val="32"/>
          <w:szCs w:val="32"/>
          <w:highlight w:val="none"/>
        </w:rPr>
      </w:pPr>
      <w:bookmarkStart w:id="112" w:name="_Toc27507"/>
      <w:bookmarkStart w:id="113" w:name="_Toc532367878"/>
      <w:bookmarkStart w:id="114" w:name="_Toc5463"/>
      <w:bookmarkStart w:id="115" w:name="_Toc24608"/>
      <w:bookmarkStart w:id="116" w:name="_Toc17328"/>
      <w:bookmarkStart w:id="117" w:name="_Toc11500"/>
      <w:r>
        <w:rPr>
          <w:rFonts w:hint="eastAsia" w:ascii="宋体" w:hAnsi="宋体" w:cs="宋体"/>
          <w:b/>
          <w:bCs/>
          <w:color w:val="auto"/>
          <w:sz w:val="32"/>
          <w:szCs w:val="32"/>
          <w:highlight w:val="none"/>
        </w:rPr>
        <w:t>6.评标</w:t>
      </w:r>
      <w:bookmarkEnd w:id="112"/>
      <w:bookmarkEnd w:id="113"/>
      <w:bookmarkEnd w:id="114"/>
      <w:bookmarkEnd w:id="115"/>
      <w:bookmarkEnd w:id="116"/>
      <w:bookmarkEnd w:id="117"/>
    </w:p>
    <w:p w14:paraId="4C848984">
      <w:pPr>
        <w:keepNext/>
        <w:keepLines/>
        <w:spacing w:line="360" w:lineRule="auto"/>
        <w:jc w:val="left"/>
        <w:outlineLvl w:val="2"/>
        <w:rPr>
          <w:rFonts w:ascii="宋体" w:hAnsi="宋体" w:cs="宋体"/>
          <w:b/>
          <w:bCs/>
          <w:color w:val="auto"/>
          <w:sz w:val="28"/>
          <w:szCs w:val="32"/>
          <w:highlight w:val="none"/>
        </w:rPr>
      </w:pPr>
      <w:r>
        <w:rPr>
          <w:rFonts w:hint="eastAsia" w:ascii="宋体" w:hAnsi="宋体" w:cs="宋体"/>
          <w:b/>
          <w:bCs/>
          <w:color w:val="auto"/>
          <w:sz w:val="28"/>
          <w:szCs w:val="32"/>
          <w:highlight w:val="none"/>
        </w:rPr>
        <w:t>6.1 评标委员会</w:t>
      </w:r>
    </w:p>
    <w:p w14:paraId="6D4935ED">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76CFF4E2">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6.1.2 评标委员会成员有下列情形之一的，应当回避：</w:t>
      </w:r>
    </w:p>
    <w:p w14:paraId="71496EA6">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（1）投标人或投标人主要负责人的近亲属；</w:t>
      </w:r>
    </w:p>
    <w:p w14:paraId="2FC5D826">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（2）项目主管部门或者行政监督部门的人员；</w:t>
      </w:r>
    </w:p>
    <w:p w14:paraId="7B9B138D">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（3）与投标人有经济利益关系，可能影响对投标公正评审的；</w:t>
      </w:r>
    </w:p>
    <w:p w14:paraId="6712B5C4">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（4）曾因在招标、评标以及其他与招标投标有关活动中从事违法行为而受过行政处罚或刑事处罚的；</w:t>
      </w:r>
    </w:p>
    <w:p w14:paraId="6B154613">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（5）与投标人有其他利害关系。</w:t>
      </w:r>
    </w:p>
    <w:p w14:paraId="2D2E0B8C">
      <w:pPr>
        <w:spacing w:line="360" w:lineRule="auto"/>
        <w:ind w:firstLine="484" w:firstLineChars="202"/>
        <w:jc w:val="left"/>
        <w:rPr>
          <w:rFonts w:ascii="宋体" w:hAnsi="宋体" w:cs="宋体"/>
          <w:color w:val="auto"/>
          <w:sz w:val="28"/>
          <w:szCs w:val="28"/>
          <w:highlight w:val="none"/>
        </w:rPr>
      </w:pPr>
      <w:r>
        <w:rPr>
          <w:rFonts w:hint="eastAsia" w:ascii="宋体" w:hAnsi="宋体" w:cs="宋体"/>
          <w:color w:val="auto"/>
          <w:sz w:val="24"/>
          <w:szCs w:val="24"/>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20CB086D">
      <w:pPr>
        <w:keepNext/>
        <w:keepLines/>
        <w:spacing w:line="360" w:lineRule="auto"/>
        <w:jc w:val="left"/>
        <w:outlineLvl w:val="2"/>
        <w:rPr>
          <w:rFonts w:ascii="宋体" w:hAnsi="宋体" w:cs="宋体"/>
          <w:b/>
          <w:bCs/>
          <w:color w:val="auto"/>
          <w:sz w:val="28"/>
          <w:szCs w:val="32"/>
          <w:highlight w:val="none"/>
        </w:rPr>
      </w:pPr>
      <w:r>
        <w:rPr>
          <w:rFonts w:hint="eastAsia" w:ascii="宋体" w:hAnsi="宋体" w:cs="宋体"/>
          <w:b/>
          <w:bCs/>
          <w:color w:val="auto"/>
          <w:sz w:val="28"/>
          <w:szCs w:val="32"/>
          <w:highlight w:val="none"/>
        </w:rPr>
        <w:t>6.2 评标原则</w:t>
      </w:r>
    </w:p>
    <w:p w14:paraId="618FC795">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评标活动遵循公平、公正、科学和择优的原则。</w:t>
      </w:r>
    </w:p>
    <w:p w14:paraId="00B8AC7F">
      <w:pPr>
        <w:keepNext/>
        <w:keepLines/>
        <w:spacing w:line="360" w:lineRule="auto"/>
        <w:jc w:val="left"/>
        <w:outlineLvl w:val="2"/>
        <w:rPr>
          <w:rFonts w:ascii="宋体" w:hAnsi="宋体" w:cs="宋体"/>
          <w:b/>
          <w:bCs/>
          <w:color w:val="auto"/>
          <w:sz w:val="28"/>
          <w:szCs w:val="32"/>
          <w:highlight w:val="none"/>
        </w:rPr>
      </w:pPr>
      <w:r>
        <w:rPr>
          <w:rFonts w:hint="eastAsia" w:ascii="宋体" w:hAnsi="宋体" w:cs="宋体"/>
          <w:b/>
          <w:bCs/>
          <w:color w:val="auto"/>
          <w:sz w:val="28"/>
          <w:szCs w:val="32"/>
          <w:highlight w:val="none"/>
        </w:rPr>
        <w:t>6.3 评标</w:t>
      </w:r>
    </w:p>
    <w:p w14:paraId="114D3A1F">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6.3.1 评标委员会按照第三章“评标办法”规定的方法、评审因素、标准和程序对投标文件进行评审。第三章“评标办法”没有规定的方法、评审因素和标准，不作为评标依据。</w:t>
      </w:r>
    </w:p>
    <w:p w14:paraId="119611E8">
      <w:pPr>
        <w:spacing w:line="360" w:lineRule="auto"/>
        <w:ind w:firstLine="484" w:firstLineChars="202"/>
        <w:jc w:val="left"/>
        <w:rPr>
          <w:rFonts w:ascii="宋体" w:hAnsi="宋体" w:cs="宋体"/>
          <w:color w:val="auto"/>
          <w:sz w:val="28"/>
          <w:szCs w:val="28"/>
          <w:highlight w:val="none"/>
        </w:rPr>
      </w:pPr>
      <w:r>
        <w:rPr>
          <w:rFonts w:hint="eastAsia" w:ascii="宋体" w:hAnsi="宋体" w:cs="宋体"/>
          <w:color w:val="auto"/>
          <w:sz w:val="24"/>
          <w:szCs w:val="24"/>
          <w:highlight w:val="none"/>
        </w:rPr>
        <w:t>6.3.2 评标完成后，评标委员会应当向招标人提交书面评标报告和中标候选人名单。评标委员会推荐中标候选人的人数见投标人须知前附表。</w:t>
      </w:r>
    </w:p>
    <w:p w14:paraId="0147705C">
      <w:pPr>
        <w:keepNext/>
        <w:keepLines/>
        <w:spacing w:line="360" w:lineRule="auto"/>
        <w:outlineLvl w:val="1"/>
        <w:rPr>
          <w:rFonts w:ascii="宋体" w:hAnsi="宋体" w:cs="宋体"/>
          <w:b/>
          <w:bCs/>
          <w:color w:val="auto"/>
          <w:sz w:val="32"/>
          <w:szCs w:val="32"/>
          <w:highlight w:val="none"/>
        </w:rPr>
      </w:pPr>
      <w:bookmarkStart w:id="118" w:name="_Toc23147"/>
      <w:bookmarkStart w:id="119" w:name="_Toc15742"/>
      <w:bookmarkStart w:id="120" w:name="_Toc17606"/>
      <w:bookmarkStart w:id="121" w:name="_Toc24971"/>
      <w:bookmarkStart w:id="122" w:name="_Toc27928"/>
      <w:bookmarkStart w:id="123" w:name="_Toc377719905"/>
      <w:bookmarkStart w:id="124" w:name="_Toc31080"/>
      <w:bookmarkStart w:id="125" w:name="_Toc9775"/>
      <w:bookmarkStart w:id="126" w:name="_Toc21343"/>
      <w:bookmarkStart w:id="127" w:name="_Toc532367879"/>
      <w:bookmarkStart w:id="128" w:name="_Toc22463"/>
      <w:bookmarkStart w:id="129" w:name="_Toc11665"/>
      <w:bookmarkStart w:id="130" w:name="_Toc18237"/>
      <w:r>
        <w:rPr>
          <w:rFonts w:hint="eastAsia" w:ascii="宋体" w:hAnsi="宋体" w:cs="宋体"/>
          <w:b/>
          <w:bCs/>
          <w:color w:val="auto"/>
          <w:sz w:val="32"/>
          <w:szCs w:val="32"/>
          <w:highlight w:val="none"/>
        </w:rPr>
        <w:t>7.合同</w:t>
      </w:r>
      <w:bookmarkEnd w:id="118"/>
      <w:bookmarkEnd w:id="119"/>
      <w:bookmarkEnd w:id="120"/>
      <w:bookmarkEnd w:id="121"/>
      <w:bookmarkEnd w:id="122"/>
      <w:bookmarkEnd w:id="123"/>
      <w:bookmarkEnd w:id="124"/>
      <w:r>
        <w:rPr>
          <w:rFonts w:hint="eastAsia" w:ascii="宋体" w:hAnsi="宋体" w:cs="宋体"/>
          <w:b/>
          <w:bCs/>
          <w:color w:val="auto"/>
          <w:sz w:val="32"/>
          <w:szCs w:val="32"/>
          <w:highlight w:val="none"/>
        </w:rPr>
        <w:t>授予</w:t>
      </w:r>
      <w:bookmarkEnd w:id="125"/>
      <w:bookmarkEnd w:id="126"/>
      <w:bookmarkEnd w:id="127"/>
      <w:bookmarkEnd w:id="128"/>
      <w:bookmarkEnd w:id="129"/>
      <w:bookmarkEnd w:id="130"/>
    </w:p>
    <w:p w14:paraId="79F41410">
      <w:pPr>
        <w:spacing w:line="360" w:lineRule="auto"/>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7.1 中标候选人公示</w:t>
      </w:r>
    </w:p>
    <w:p w14:paraId="52CADBC7">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招标人在收到评标报告之日起 3 日内，按照投标人须知前附表规定的公示媒介和期限公示中标候选人，公示期不得少于 3 天</w:t>
      </w:r>
      <w:r>
        <w:rPr>
          <w:rFonts w:hint="eastAsia" w:ascii="宋体" w:hAnsi="宋体" w:cs="宋体"/>
          <w:color w:val="auto"/>
          <w:sz w:val="24"/>
          <w:szCs w:val="24"/>
          <w:highlight w:val="none"/>
          <w:u w:val="single"/>
        </w:rPr>
        <w:t>，公示期限最后一天为工作日</w:t>
      </w:r>
      <w:r>
        <w:rPr>
          <w:rFonts w:hint="eastAsia" w:ascii="宋体" w:hAnsi="宋体" w:cs="宋体"/>
          <w:color w:val="auto"/>
          <w:sz w:val="24"/>
          <w:szCs w:val="24"/>
          <w:highlight w:val="none"/>
        </w:rPr>
        <w:t>。</w:t>
      </w:r>
    </w:p>
    <w:p w14:paraId="4886DF76">
      <w:pPr>
        <w:spacing w:line="360" w:lineRule="auto"/>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7.2 评标结果异议</w:t>
      </w:r>
    </w:p>
    <w:p w14:paraId="765A2226">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投标人或者其他利害关系人对评标结果有异议的，应当在中标候选人公示期间提出。招标人将在收到异议之日起 3 日内作出答复；作出答复前，将暂停招标投标活动。</w:t>
      </w:r>
    </w:p>
    <w:p w14:paraId="6E888F7B">
      <w:pPr>
        <w:spacing w:line="360" w:lineRule="auto"/>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7.3 中标候选人履约能力审查</w:t>
      </w:r>
    </w:p>
    <w:p w14:paraId="28EEB7D9">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6EAB41B2">
      <w:pPr>
        <w:spacing w:line="360" w:lineRule="auto"/>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7.4 定标</w:t>
      </w:r>
    </w:p>
    <w:p w14:paraId="1F964E49">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按照投标人须知前附表的规定，招标人或招标人授权的评标委员会依法确定中标人。</w:t>
      </w:r>
    </w:p>
    <w:p w14:paraId="5983554A">
      <w:pPr>
        <w:spacing w:line="360" w:lineRule="auto"/>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7.5 中标通知</w:t>
      </w:r>
    </w:p>
    <w:p w14:paraId="5C9E6075">
      <w:pPr>
        <w:spacing w:line="360" w:lineRule="auto"/>
        <w:ind w:firstLine="484" w:firstLineChars="202"/>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在本章第 3.3 款规定的投标有效期内，</w:t>
      </w:r>
      <w:r>
        <w:rPr>
          <w:rFonts w:hint="eastAsia" w:ascii="宋体" w:hAnsi="宋体" w:cs="宋体"/>
          <w:color w:val="auto"/>
          <w:sz w:val="24"/>
          <w:szCs w:val="24"/>
          <w:highlight w:val="none"/>
          <w:u w:val="single"/>
        </w:rPr>
        <w:t>中标通知书及中标信息在广州公共资源交易中心交易平台发布，视为招标人已向中标人发出中标通知书，以及将中标结果通知未中标的投标人。</w:t>
      </w:r>
    </w:p>
    <w:p w14:paraId="4D8D6350">
      <w:pPr>
        <w:spacing w:line="360" w:lineRule="auto"/>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7.6 履约保证金</w:t>
      </w:r>
    </w:p>
    <w:p w14:paraId="0DD403D8">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在签订合同前，中标人应按“投标人须知前附表”规定的担保形式和招标文件第四章“合同条款及格式”规定的或者事先经过招标人书面认可的履约担保格式向招标人提交履约保证金。除投标人须知前附表另有规定外，履约保证金为中标合同金额的</w:t>
      </w:r>
      <w:r>
        <w:rPr>
          <w:rFonts w:hint="eastAsia" w:ascii="宋体" w:hAnsi="宋体" w:cs="宋体"/>
          <w:color w:val="auto"/>
          <w:sz w:val="24"/>
          <w:szCs w:val="24"/>
          <w:highlight w:val="none"/>
          <w:u w:val="single"/>
        </w:rPr>
        <w:t>10%</w:t>
      </w:r>
      <w:r>
        <w:rPr>
          <w:rFonts w:hint="eastAsia" w:ascii="宋体" w:hAnsi="宋体" w:cs="宋体"/>
          <w:color w:val="auto"/>
          <w:sz w:val="24"/>
          <w:szCs w:val="24"/>
          <w:highlight w:val="none"/>
        </w:rPr>
        <w:t>。</w:t>
      </w:r>
    </w:p>
    <w:p w14:paraId="0E69DFB8">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7.6.2 中标人不能按本章第7.6.1项要求提交履约保证金的，视为放弃中标，其补交的投标保证金不予退还，给招标人造成的损失超过投标保证金数额的，中标人还应当对超过部分予以赔偿。</w:t>
      </w:r>
    </w:p>
    <w:p w14:paraId="79A7AB5C">
      <w:pPr>
        <w:spacing w:line="360" w:lineRule="auto"/>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7.7 签订合同</w:t>
      </w:r>
    </w:p>
    <w:p w14:paraId="3D25EF9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7.7.1招标人和中标人应当在中标通知书发出之日起</w:t>
      </w:r>
      <w:r>
        <w:rPr>
          <w:rFonts w:hint="eastAsia" w:ascii="宋体" w:hAnsi="宋体" w:cs="宋体"/>
          <w:color w:val="auto"/>
          <w:sz w:val="24"/>
          <w:szCs w:val="24"/>
          <w:highlight w:val="none"/>
          <w:u w:val="single"/>
        </w:rPr>
        <w:t>30个</w:t>
      </w:r>
      <w:r>
        <w:rPr>
          <w:rFonts w:hint="eastAsia" w:ascii="宋体" w:hAnsi="宋体" w:cs="宋体"/>
          <w:color w:val="auto"/>
          <w:sz w:val="24"/>
          <w:szCs w:val="24"/>
          <w:highlight w:val="none"/>
        </w:rPr>
        <w:t>日历天内，根据招标文件和中标人的投标文件订立书面合同。中标人无正当理由拒签合同，在签订合同时向招标人提出附加条件，或者不按照招标文件要求提交履约保证金的，招标人有权取消其中标资格，其</w:t>
      </w:r>
      <w:r>
        <w:rPr>
          <w:rFonts w:hint="eastAsia" w:ascii="宋体" w:hAnsi="宋体" w:cs="宋体"/>
          <w:color w:val="auto"/>
          <w:sz w:val="24"/>
          <w:szCs w:val="24"/>
          <w:highlight w:val="none"/>
          <w:u w:val="single"/>
        </w:rPr>
        <w:t>补交的</w:t>
      </w:r>
      <w:r>
        <w:rPr>
          <w:rFonts w:hint="eastAsia" w:ascii="宋体" w:hAnsi="宋体" w:cs="宋体"/>
          <w:color w:val="auto"/>
          <w:sz w:val="24"/>
          <w:szCs w:val="24"/>
          <w:highlight w:val="none"/>
        </w:rPr>
        <w:t>投标保证金不予退还；给招标人造成的损失超过投标保证金数额的，中标人还应当对超过部分予以赔偿。对依法必须招标项目的中标人，由有关行政监督部门责令改正。</w:t>
      </w:r>
    </w:p>
    <w:p w14:paraId="5A0A30D9">
      <w:pPr>
        <w:pStyle w:val="9"/>
        <w:kinsoku w:val="0"/>
        <w:overflowPunct w:val="0"/>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7.7.2发出中标通知书后，招标人无正当理由拒签合同，或者在签订合同时向中标人提出附加条件的，招标人向中标人退还投标保证金；给中标人造成损失的，还应当赔偿损失。</w:t>
      </w:r>
    </w:p>
    <w:p w14:paraId="4F1007A3">
      <w:pPr>
        <w:pStyle w:val="9"/>
        <w:kinsoku w:val="0"/>
        <w:overflowPunct w:val="0"/>
        <w:spacing w:after="0" w:line="360" w:lineRule="auto"/>
        <w:ind w:firstLine="480" w:firstLineChars="200"/>
        <w:rPr>
          <w:rFonts w:ascii="宋体" w:hAnsi="宋体"/>
          <w:color w:val="auto"/>
          <w:sz w:val="24"/>
          <w:highlight w:val="none"/>
        </w:rPr>
      </w:pPr>
      <w:r>
        <w:rPr>
          <w:rFonts w:ascii="宋体" w:hAnsi="宋体"/>
          <w:color w:val="auto"/>
          <w:sz w:val="24"/>
          <w:highlight w:val="none"/>
        </w:rPr>
        <w:t>7.7.3</w:t>
      </w:r>
      <w:r>
        <w:rPr>
          <w:rFonts w:hint="eastAsia" w:ascii="宋体" w:hAnsi="宋体"/>
          <w:color w:val="auto"/>
          <w:sz w:val="24"/>
          <w:highlight w:val="none"/>
        </w:rPr>
        <w:t>联合体中标的，联合体各方应当共同与招标人签订合同，就中标项目向招标人承担连带责任</w:t>
      </w:r>
    </w:p>
    <w:p w14:paraId="0D73E15E">
      <w:pPr>
        <w:pStyle w:val="9"/>
        <w:kinsoku w:val="0"/>
        <w:overflowPunct w:val="0"/>
        <w:spacing w:after="0" w:line="360" w:lineRule="auto"/>
        <w:ind w:firstLine="480" w:firstLineChars="200"/>
        <w:rPr>
          <w:rFonts w:ascii="宋体" w:hAnsi="宋体"/>
          <w:color w:val="auto"/>
          <w:sz w:val="24"/>
          <w:highlight w:val="none"/>
        </w:rPr>
      </w:pPr>
      <w:r>
        <w:rPr>
          <w:rFonts w:ascii="宋体" w:hAnsi="宋体"/>
          <w:color w:val="auto"/>
          <w:sz w:val="24"/>
          <w:highlight w:val="none"/>
        </w:rPr>
        <w:t>7.7.3中标人应当在中标通知书发出之日起30日内，通过电子招标投标交易平台完成在线签订合同。</w:t>
      </w:r>
    </w:p>
    <w:p w14:paraId="28783ACF">
      <w:pPr>
        <w:keepNext/>
        <w:keepLines/>
        <w:spacing w:line="360" w:lineRule="auto"/>
        <w:jc w:val="left"/>
        <w:outlineLvl w:val="1"/>
        <w:rPr>
          <w:rFonts w:ascii="宋体" w:hAnsi="宋体" w:cs="宋体"/>
          <w:b/>
          <w:bCs/>
          <w:color w:val="auto"/>
          <w:sz w:val="32"/>
          <w:szCs w:val="32"/>
          <w:highlight w:val="none"/>
        </w:rPr>
      </w:pPr>
      <w:bookmarkStart w:id="131" w:name="_Toc29502"/>
      <w:bookmarkStart w:id="132" w:name="_Toc25746"/>
      <w:bookmarkStart w:id="133" w:name="_Toc532367880"/>
      <w:bookmarkStart w:id="134" w:name="_Toc15512"/>
      <w:bookmarkStart w:id="135" w:name="_Toc19621"/>
      <w:bookmarkStart w:id="136" w:name="_Toc15378"/>
      <w:r>
        <w:rPr>
          <w:rFonts w:hint="eastAsia" w:ascii="宋体" w:hAnsi="宋体" w:cs="宋体"/>
          <w:b/>
          <w:bCs/>
          <w:color w:val="auto"/>
          <w:sz w:val="32"/>
          <w:szCs w:val="32"/>
          <w:highlight w:val="none"/>
        </w:rPr>
        <w:t>8.纪律和监督</w:t>
      </w:r>
      <w:bookmarkEnd w:id="131"/>
      <w:bookmarkEnd w:id="132"/>
      <w:bookmarkEnd w:id="133"/>
      <w:bookmarkEnd w:id="134"/>
      <w:bookmarkEnd w:id="135"/>
      <w:bookmarkEnd w:id="136"/>
    </w:p>
    <w:p w14:paraId="43173F98">
      <w:pPr>
        <w:spacing w:line="360" w:lineRule="auto"/>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8.1 对招标人的纪律要求</w:t>
      </w:r>
    </w:p>
    <w:p w14:paraId="7B1497EA">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招标人不得泄露招标投标活动中应当保密的情况和资料，不得与投标人串通损害国家利益、社会公共利益或者他人合法权益。</w:t>
      </w:r>
    </w:p>
    <w:p w14:paraId="5F2B68E8">
      <w:pPr>
        <w:spacing w:line="360" w:lineRule="auto"/>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8.2 对投标人的纪律要求</w:t>
      </w:r>
    </w:p>
    <w:p w14:paraId="6737A98A">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7DBE291">
      <w:pPr>
        <w:spacing w:line="360" w:lineRule="auto"/>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8.3 对评标委员会成员的纪律要求</w:t>
      </w:r>
    </w:p>
    <w:p w14:paraId="3B77CE98">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37C35E8A">
      <w:pPr>
        <w:spacing w:line="360" w:lineRule="auto"/>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8.4 对与评标活动有关的工作人员的纪律要求</w:t>
      </w:r>
    </w:p>
    <w:p w14:paraId="048E19F8">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221F2A56">
      <w:pPr>
        <w:spacing w:line="360" w:lineRule="auto"/>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8.5 投诉</w:t>
      </w:r>
    </w:p>
    <w:p w14:paraId="6D30CE20">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8.5.1 投标人或者其他利害关系人认为招标投标活动不符合法律、行政法规规定的，可以自知道或者应当知道之日起 10 日内向有关行政监督部门投诉。投诉应当有明确的请求和必要的证明材料。</w:t>
      </w:r>
    </w:p>
    <w:p w14:paraId="2C84CA48">
      <w:pPr>
        <w:spacing w:line="360" w:lineRule="auto"/>
        <w:ind w:firstLine="484" w:firstLineChars="202"/>
        <w:jc w:val="left"/>
        <w:rPr>
          <w:rFonts w:ascii="宋体" w:hAnsi="宋体" w:cs="宋体"/>
          <w:color w:val="auto"/>
          <w:sz w:val="28"/>
          <w:szCs w:val="28"/>
          <w:highlight w:val="none"/>
        </w:rPr>
      </w:pPr>
      <w:r>
        <w:rPr>
          <w:rFonts w:hint="eastAsia" w:ascii="宋体" w:hAnsi="宋体" w:cs="宋体"/>
          <w:color w:val="auto"/>
          <w:sz w:val="24"/>
          <w:szCs w:val="24"/>
          <w:highlight w:val="none"/>
        </w:rPr>
        <w:t>8.5.2 投标人或者其他利害关系人对招标文件、开标和评标结果提出投诉的，应当按照投标人须知第 2.4 款、第 5.3 款和第 7.2 款的规定先向招标人提出异议。异议答复期间不计算在第 8.5.1项规定的期限内。</w:t>
      </w:r>
    </w:p>
    <w:p w14:paraId="0F3FA046">
      <w:pPr>
        <w:keepNext/>
        <w:keepLines/>
        <w:spacing w:line="360" w:lineRule="auto"/>
        <w:jc w:val="left"/>
        <w:outlineLvl w:val="1"/>
        <w:rPr>
          <w:rFonts w:ascii="宋体" w:hAnsi="宋体" w:cs="宋体"/>
          <w:b/>
          <w:bCs/>
          <w:color w:val="auto"/>
          <w:sz w:val="32"/>
          <w:szCs w:val="32"/>
          <w:highlight w:val="none"/>
        </w:rPr>
      </w:pPr>
      <w:bookmarkStart w:id="137" w:name="_Toc3441"/>
      <w:bookmarkStart w:id="138" w:name="_Toc31993"/>
      <w:r>
        <w:rPr>
          <w:rFonts w:hint="eastAsia" w:ascii="宋体" w:hAnsi="宋体" w:cs="宋体"/>
          <w:b/>
          <w:bCs/>
          <w:color w:val="auto"/>
          <w:sz w:val="32"/>
          <w:szCs w:val="32"/>
          <w:highlight w:val="none"/>
        </w:rPr>
        <w:t>9.是否采用电子招标投标</w:t>
      </w:r>
      <w:bookmarkEnd w:id="137"/>
      <w:bookmarkEnd w:id="138"/>
    </w:p>
    <w:p w14:paraId="53D629EC">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本招标项目是否采用电子招标投标方式，见投标人须知前附表。</w:t>
      </w:r>
    </w:p>
    <w:p w14:paraId="6927DD5B">
      <w:pPr>
        <w:keepNext/>
        <w:keepLines/>
        <w:spacing w:line="360" w:lineRule="auto"/>
        <w:jc w:val="left"/>
        <w:outlineLvl w:val="1"/>
        <w:rPr>
          <w:rFonts w:ascii="宋体" w:hAnsi="宋体" w:cs="宋体"/>
          <w:b/>
          <w:bCs/>
          <w:color w:val="auto"/>
          <w:sz w:val="32"/>
          <w:szCs w:val="32"/>
          <w:highlight w:val="none"/>
        </w:rPr>
      </w:pPr>
      <w:bookmarkStart w:id="139" w:name="_Toc4862"/>
      <w:bookmarkStart w:id="140" w:name="_Toc5234"/>
      <w:r>
        <w:rPr>
          <w:rFonts w:hint="eastAsia" w:ascii="宋体" w:hAnsi="宋体" w:cs="宋体"/>
          <w:b/>
          <w:bCs/>
          <w:color w:val="auto"/>
          <w:sz w:val="32"/>
          <w:szCs w:val="32"/>
          <w:highlight w:val="none"/>
        </w:rPr>
        <w:t>10.需要补充的其他内容</w:t>
      </w:r>
      <w:bookmarkEnd w:id="139"/>
      <w:bookmarkEnd w:id="140"/>
    </w:p>
    <w:p w14:paraId="3FE624AA">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需要补充的其他内容：见投标人须知前附表。</w:t>
      </w:r>
    </w:p>
    <w:p w14:paraId="3B39D986">
      <w:pPr>
        <w:keepNext/>
        <w:keepLines/>
        <w:spacing w:line="360" w:lineRule="auto"/>
        <w:rPr>
          <w:rFonts w:ascii="宋体" w:hAnsi="宋体" w:cs="宋体"/>
          <w:b/>
          <w:bCs/>
          <w:color w:val="auto"/>
          <w:kern w:val="44"/>
          <w:sz w:val="32"/>
          <w:szCs w:val="32"/>
          <w:highlight w:val="none"/>
        </w:rPr>
        <w:sectPr>
          <w:pgSz w:w="11905" w:h="16838"/>
          <w:pgMar w:top="1418" w:right="1701" w:bottom="1418" w:left="1701" w:header="851" w:footer="794" w:gutter="0"/>
          <w:cols w:space="720" w:num="1"/>
          <w:docGrid w:type="lines" w:linePitch="312" w:charSpace="0"/>
        </w:sectPr>
      </w:pPr>
    </w:p>
    <w:p w14:paraId="3B3FAFEA">
      <w:pPr>
        <w:pStyle w:val="3"/>
        <w:keepNext w:val="0"/>
        <w:keepLines w:val="0"/>
        <w:spacing w:line="360" w:lineRule="auto"/>
        <w:jc w:val="center"/>
        <w:rPr>
          <w:rFonts w:ascii="宋体" w:hAnsi="宋体" w:eastAsia="宋体" w:cs="宋体"/>
          <w:color w:val="auto"/>
          <w:highlight w:val="none"/>
        </w:rPr>
      </w:pPr>
      <w:bookmarkStart w:id="141" w:name="_Toc25981"/>
      <w:bookmarkStart w:id="142" w:name="_Toc5360"/>
      <w:bookmarkStart w:id="143" w:name="_Toc30148"/>
      <w:bookmarkStart w:id="144" w:name="_Toc31115"/>
      <w:bookmarkStart w:id="145" w:name="_Toc19559"/>
      <w:bookmarkStart w:id="146" w:name="_Toc532367882"/>
      <w:bookmarkStart w:id="147" w:name="_Toc24355"/>
      <w:bookmarkStart w:id="148" w:name="_Toc2287"/>
      <w:bookmarkStart w:id="149" w:name="_Toc525063255"/>
      <w:bookmarkStart w:id="150" w:name="_Toc10395"/>
      <w:r>
        <w:rPr>
          <w:rFonts w:hint="eastAsia" w:ascii="宋体" w:hAnsi="宋体" w:eastAsia="宋体" w:cs="宋体"/>
          <w:color w:val="auto"/>
          <w:highlight w:val="none"/>
        </w:rPr>
        <w:t>第三章  评标办法（综合评分法）</w:t>
      </w:r>
      <w:bookmarkEnd w:id="141"/>
    </w:p>
    <w:p w14:paraId="43524628">
      <w:pPr>
        <w:rPr>
          <w:color w:val="auto"/>
          <w:highlight w:val="none"/>
        </w:rPr>
      </w:pPr>
    </w:p>
    <w:p w14:paraId="665A4E74">
      <w:pPr>
        <w:pStyle w:val="4"/>
        <w:keepNext w:val="0"/>
        <w:keepLines w:val="0"/>
        <w:spacing w:before="0" w:after="0" w:line="360" w:lineRule="auto"/>
        <w:jc w:val="center"/>
        <w:rPr>
          <w:rFonts w:ascii="宋体" w:hAnsi="宋体" w:eastAsia="宋体" w:cs="宋体"/>
          <w:color w:val="auto"/>
          <w:sz w:val="36"/>
          <w:szCs w:val="36"/>
          <w:highlight w:val="none"/>
        </w:rPr>
      </w:pPr>
      <w:bookmarkStart w:id="151" w:name="_Toc26053"/>
      <w:r>
        <w:rPr>
          <w:rFonts w:hint="eastAsia" w:ascii="宋体" w:hAnsi="宋体" w:eastAsia="宋体" w:cs="宋体"/>
          <w:color w:val="auto"/>
          <w:sz w:val="36"/>
          <w:szCs w:val="36"/>
          <w:highlight w:val="none"/>
        </w:rPr>
        <w:t>评标办法前附表</w:t>
      </w:r>
      <w:bookmarkEnd w:id="142"/>
      <w:bookmarkEnd w:id="143"/>
      <w:bookmarkEnd w:id="144"/>
      <w:bookmarkEnd w:id="145"/>
      <w:bookmarkEnd w:id="146"/>
      <w:bookmarkEnd w:id="147"/>
      <w:bookmarkEnd w:id="148"/>
      <w:bookmarkEnd w:id="149"/>
      <w:bookmarkEnd w:id="150"/>
      <w:bookmarkEnd w:id="151"/>
    </w:p>
    <w:tbl>
      <w:tblPr>
        <w:tblStyle w:val="19"/>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41"/>
        <w:gridCol w:w="870"/>
        <w:gridCol w:w="1406"/>
        <w:gridCol w:w="5702"/>
      </w:tblGrid>
      <w:tr w14:paraId="4A9A00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923" w:type="pct"/>
            <w:gridSpan w:val="2"/>
            <w:tcBorders>
              <w:top w:val="single" w:color="auto" w:sz="4" w:space="0"/>
              <w:bottom w:val="single" w:color="auto" w:sz="4" w:space="0"/>
              <w:right w:val="single" w:color="auto" w:sz="4" w:space="0"/>
            </w:tcBorders>
            <w:vAlign w:val="center"/>
          </w:tcPr>
          <w:p w14:paraId="10D8D2F7">
            <w:pPr>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806" w:type="pct"/>
            <w:tcBorders>
              <w:top w:val="single" w:color="auto" w:sz="4" w:space="0"/>
              <w:left w:val="single" w:color="auto" w:sz="4" w:space="0"/>
              <w:bottom w:val="single" w:color="auto" w:sz="4" w:space="0"/>
              <w:right w:val="single" w:color="auto" w:sz="4" w:space="0"/>
            </w:tcBorders>
            <w:vAlign w:val="center"/>
          </w:tcPr>
          <w:p w14:paraId="476978E0">
            <w:pPr>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评审因素</w:t>
            </w:r>
          </w:p>
        </w:tc>
        <w:tc>
          <w:tcPr>
            <w:tcW w:w="3269" w:type="pct"/>
            <w:tcBorders>
              <w:top w:val="single" w:color="auto" w:sz="4" w:space="0"/>
              <w:left w:val="single" w:color="auto" w:sz="4" w:space="0"/>
              <w:bottom w:val="single" w:color="auto" w:sz="4" w:space="0"/>
              <w:right w:val="single" w:color="auto" w:sz="4" w:space="0"/>
            </w:tcBorders>
            <w:vAlign w:val="center"/>
          </w:tcPr>
          <w:p w14:paraId="54B0D0B7">
            <w:pPr>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评审标准</w:t>
            </w:r>
          </w:p>
        </w:tc>
      </w:tr>
      <w:tr w14:paraId="3E6624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07" w:hRule="atLeast"/>
        </w:trPr>
        <w:tc>
          <w:tcPr>
            <w:tcW w:w="424" w:type="pct"/>
            <w:tcBorders>
              <w:top w:val="single" w:color="auto" w:sz="4" w:space="0"/>
              <w:left w:val="single" w:color="auto" w:sz="4" w:space="0"/>
              <w:bottom w:val="single" w:color="auto" w:sz="4" w:space="0"/>
              <w:right w:val="single" w:color="auto" w:sz="4" w:space="0"/>
            </w:tcBorders>
            <w:vAlign w:val="center"/>
          </w:tcPr>
          <w:p w14:paraId="61C66022">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98" w:type="pct"/>
            <w:tcBorders>
              <w:top w:val="single" w:color="auto" w:sz="4" w:space="0"/>
              <w:left w:val="single" w:color="auto" w:sz="4" w:space="0"/>
              <w:bottom w:val="single" w:color="auto" w:sz="4" w:space="0"/>
              <w:right w:val="single" w:color="auto" w:sz="4" w:space="0"/>
            </w:tcBorders>
            <w:vAlign w:val="center"/>
          </w:tcPr>
          <w:p w14:paraId="51BBA225">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评标方法</w:t>
            </w:r>
          </w:p>
        </w:tc>
        <w:tc>
          <w:tcPr>
            <w:tcW w:w="806" w:type="pct"/>
            <w:tcBorders>
              <w:top w:val="single" w:color="auto" w:sz="4" w:space="0"/>
              <w:left w:val="single" w:color="auto" w:sz="4" w:space="0"/>
              <w:bottom w:val="single" w:color="auto" w:sz="4" w:space="0"/>
              <w:right w:val="single" w:color="auto" w:sz="4" w:space="0"/>
            </w:tcBorders>
            <w:vAlign w:val="center"/>
          </w:tcPr>
          <w:p w14:paraId="62739DFD">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中标候选人排序方法</w:t>
            </w:r>
          </w:p>
        </w:tc>
        <w:tc>
          <w:tcPr>
            <w:tcW w:w="3269" w:type="pct"/>
            <w:tcBorders>
              <w:top w:val="single" w:color="auto" w:sz="4" w:space="0"/>
              <w:left w:val="single" w:color="auto" w:sz="4" w:space="0"/>
              <w:bottom w:val="single" w:color="auto" w:sz="4" w:space="0"/>
              <w:right w:val="single" w:color="auto" w:sz="4" w:space="0"/>
            </w:tcBorders>
            <w:vAlign w:val="center"/>
          </w:tcPr>
          <w:p w14:paraId="65912C60">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投标人综合得分由高到低排序前3名作为第一、第二、第三中标候选人，但投标报价低于其成本的除外。投标人总得分相等时，以投标报价低的优先；投标报价也相等的，以监测技术</w:t>
            </w:r>
            <w:r>
              <w:rPr>
                <w:rFonts w:hint="eastAsia" w:ascii="宋体" w:hAnsi="宋体" w:cs="宋体"/>
                <w:color w:val="auto"/>
                <w:szCs w:val="21"/>
                <w:highlight w:val="none"/>
                <w:lang w:eastAsia="zh-CN"/>
              </w:rPr>
              <w:t>服务</w:t>
            </w:r>
            <w:r>
              <w:rPr>
                <w:rFonts w:hint="eastAsia" w:ascii="宋体" w:hAnsi="宋体" w:eastAsia="宋体" w:cs="宋体"/>
                <w:color w:val="auto"/>
                <w:szCs w:val="21"/>
                <w:highlight w:val="none"/>
              </w:rPr>
              <w:t>方案得分高的优先；如果监测技术</w:t>
            </w:r>
            <w:r>
              <w:rPr>
                <w:rFonts w:hint="eastAsia" w:ascii="宋体" w:hAnsi="宋体" w:cs="宋体"/>
                <w:color w:val="auto"/>
                <w:szCs w:val="21"/>
                <w:highlight w:val="none"/>
                <w:lang w:eastAsia="zh-CN"/>
              </w:rPr>
              <w:t>服务</w:t>
            </w:r>
            <w:r>
              <w:rPr>
                <w:rFonts w:hint="eastAsia" w:ascii="宋体" w:hAnsi="宋体" w:eastAsia="宋体" w:cs="宋体"/>
                <w:color w:val="auto"/>
                <w:szCs w:val="21"/>
                <w:highlight w:val="none"/>
              </w:rPr>
              <w:t>方案得分也相等，由评标委员会采用记名投票方式对其排序，记名投票的形式及排序依据（须书面列举排序依据）由评标委员会研定。</w:t>
            </w:r>
          </w:p>
        </w:tc>
      </w:tr>
      <w:tr w14:paraId="384149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4" w:hRule="atLeast"/>
        </w:trPr>
        <w:tc>
          <w:tcPr>
            <w:tcW w:w="424" w:type="pct"/>
            <w:vMerge w:val="restart"/>
            <w:tcBorders>
              <w:top w:val="single" w:color="auto" w:sz="4" w:space="0"/>
              <w:right w:val="single" w:color="auto" w:sz="4" w:space="0"/>
            </w:tcBorders>
            <w:vAlign w:val="center"/>
          </w:tcPr>
          <w:p w14:paraId="16FA98DE">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w:t>
            </w:r>
          </w:p>
        </w:tc>
        <w:tc>
          <w:tcPr>
            <w:tcW w:w="498" w:type="pct"/>
            <w:vMerge w:val="restart"/>
            <w:tcBorders>
              <w:top w:val="single" w:color="auto" w:sz="4" w:space="0"/>
              <w:right w:val="single" w:color="auto" w:sz="4" w:space="0"/>
            </w:tcBorders>
            <w:vAlign w:val="center"/>
          </w:tcPr>
          <w:p w14:paraId="3B32551F">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形式评审标准</w:t>
            </w:r>
          </w:p>
        </w:tc>
        <w:tc>
          <w:tcPr>
            <w:tcW w:w="806" w:type="pct"/>
            <w:tcBorders>
              <w:top w:val="single" w:color="auto" w:sz="4" w:space="0"/>
              <w:left w:val="single" w:color="auto" w:sz="4" w:space="0"/>
              <w:bottom w:val="single" w:color="auto" w:sz="4" w:space="0"/>
              <w:right w:val="single" w:color="auto" w:sz="4" w:space="0"/>
            </w:tcBorders>
            <w:vAlign w:val="center"/>
          </w:tcPr>
          <w:p w14:paraId="58E1A171">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p>
        </w:tc>
        <w:tc>
          <w:tcPr>
            <w:tcW w:w="3269" w:type="pct"/>
            <w:tcBorders>
              <w:top w:val="single" w:color="auto" w:sz="4" w:space="0"/>
              <w:left w:val="single" w:color="auto" w:sz="4" w:space="0"/>
              <w:bottom w:val="single" w:color="auto" w:sz="4" w:space="0"/>
              <w:right w:val="single" w:color="auto" w:sz="4" w:space="0"/>
            </w:tcBorders>
            <w:vAlign w:val="center"/>
          </w:tcPr>
          <w:p w14:paraId="12214A8B">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与营业执照（或事业单位法人证书）、资质证书一致。</w:t>
            </w:r>
          </w:p>
        </w:tc>
      </w:tr>
      <w:tr w14:paraId="426150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06" w:hRule="atLeast"/>
        </w:trPr>
        <w:tc>
          <w:tcPr>
            <w:tcW w:w="424" w:type="pct"/>
            <w:vMerge w:val="continue"/>
            <w:tcBorders>
              <w:right w:val="single" w:color="auto" w:sz="4" w:space="0"/>
            </w:tcBorders>
            <w:vAlign w:val="center"/>
          </w:tcPr>
          <w:p w14:paraId="1F29107A">
            <w:pPr>
              <w:keepNext/>
              <w:keepLines/>
              <w:spacing w:line="276" w:lineRule="auto"/>
              <w:outlineLvl w:val="2"/>
              <w:rPr>
                <w:rFonts w:hint="eastAsia" w:ascii="宋体" w:hAnsi="宋体" w:eastAsia="宋体" w:cs="宋体"/>
                <w:color w:val="auto"/>
                <w:szCs w:val="21"/>
                <w:highlight w:val="none"/>
              </w:rPr>
            </w:pPr>
          </w:p>
        </w:tc>
        <w:tc>
          <w:tcPr>
            <w:tcW w:w="498" w:type="pct"/>
            <w:vMerge w:val="continue"/>
            <w:tcBorders>
              <w:right w:val="single" w:color="auto" w:sz="4" w:space="0"/>
            </w:tcBorders>
            <w:vAlign w:val="center"/>
          </w:tcPr>
          <w:p w14:paraId="3FC86590">
            <w:pPr>
              <w:keepNext/>
              <w:keepLines/>
              <w:spacing w:line="276" w:lineRule="auto"/>
              <w:outlineLvl w:val="2"/>
              <w:rPr>
                <w:rFonts w:hint="eastAsia" w:ascii="宋体" w:hAnsi="宋体" w:eastAsia="宋体" w:cs="宋体"/>
                <w:color w:val="auto"/>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2DD4B2BF">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投标函及附录签字盖章</w:t>
            </w:r>
          </w:p>
        </w:tc>
        <w:tc>
          <w:tcPr>
            <w:tcW w:w="3269" w:type="pct"/>
            <w:tcBorders>
              <w:top w:val="single" w:color="auto" w:sz="4" w:space="0"/>
              <w:left w:val="single" w:color="auto" w:sz="4" w:space="0"/>
              <w:bottom w:val="single" w:color="auto" w:sz="4" w:space="0"/>
              <w:right w:val="single" w:color="auto" w:sz="4" w:space="0"/>
            </w:tcBorders>
            <w:vAlign w:val="center"/>
          </w:tcPr>
          <w:p w14:paraId="228101C3">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投标函及附录格式及签字盖章符合招标文件要求，由法定代表人签字的，应附法定代表人证明书，由代理人签字的，应附法定代表人证明书及授权委托书。</w:t>
            </w:r>
          </w:p>
        </w:tc>
      </w:tr>
      <w:tr w14:paraId="221E2B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2" w:hRule="atLeast"/>
        </w:trPr>
        <w:tc>
          <w:tcPr>
            <w:tcW w:w="424" w:type="pct"/>
            <w:vMerge w:val="continue"/>
            <w:tcBorders>
              <w:right w:val="single" w:color="auto" w:sz="4" w:space="0"/>
            </w:tcBorders>
            <w:vAlign w:val="center"/>
          </w:tcPr>
          <w:p w14:paraId="62DDE10A">
            <w:pPr>
              <w:keepNext/>
              <w:keepLines/>
              <w:spacing w:line="276" w:lineRule="auto"/>
              <w:outlineLvl w:val="2"/>
              <w:rPr>
                <w:rFonts w:hint="eastAsia" w:ascii="宋体" w:hAnsi="宋体" w:eastAsia="宋体" w:cs="宋体"/>
                <w:color w:val="auto"/>
                <w:szCs w:val="21"/>
                <w:highlight w:val="none"/>
              </w:rPr>
            </w:pPr>
          </w:p>
        </w:tc>
        <w:tc>
          <w:tcPr>
            <w:tcW w:w="498" w:type="pct"/>
            <w:vMerge w:val="continue"/>
            <w:tcBorders>
              <w:right w:val="single" w:color="auto" w:sz="4" w:space="0"/>
            </w:tcBorders>
            <w:vAlign w:val="center"/>
          </w:tcPr>
          <w:p w14:paraId="614AC421">
            <w:pPr>
              <w:keepNext/>
              <w:keepLines/>
              <w:spacing w:line="276" w:lineRule="auto"/>
              <w:outlineLvl w:val="2"/>
              <w:rPr>
                <w:rFonts w:hint="eastAsia" w:ascii="宋体" w:hAnsi="宋体" w:eastAsia="宋体" w:cs="宋体"/>
                <w:color w:val="auto"/>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1A3C5105">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投标文件格式</w:t>
            </w:r>
          </w:p>
        </w:tc>
        <w:tc>
          <w:tcPr>
            <w:tcW w:w="3269" w:type="pct"/>
            <w:tcBorders>
              <w:top w:val="single" w:color="auto" w:sz="4" w:space="0"/>
              <w:left w:val="single" w:color="auto" w:sz="4" w:space="0"/>
              <w:bottom w:val="single" w:color="auto" w:sz="4" w:space="0"/>
              <w:right w:val="single" w:color="auto" w:sz="4" w:space="0"/>
            </w:tcBorders>
            <w:vAlign w:val="center"/>
          </w:tcPr>
          <w:p w14:paraId="47D0EDB4">
            <w:pPr>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符合第六章“投标文件格式”的规定。</w:t>
            </w:r>
          </w:p>
        </w:tc>
      </w:tr>
      <w:tr w14:paraId="4D4193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2" w:hRule="atLeast"/>
        </w:trPr>
        <w:tc>
          <w:tcPr>
            <w:tcW w:w="424" w:type="pct"/>
            <w:vMerge w:val="continue"/>
            <w:tcBorders>
              <w:right w:val="single" w:color="auto" w:sz="4" w:space="0"/>
            </w:tcBorders>
            <w:vAlign w:val="center"/>
          </w:tcPr>
          <w:p w14:paraId="792A1F93">
            <w:pPr>
              <w:keepNext/>
              <w:keepLines/>
              <w:spacing w:line="276" w:lineRule="auto"/>
              <w:outlineLvl w:val="2"/>
              <w:rPr>
                <w:rFonts w:hint="eastAsia" w:ascii="宋体" w:hAnsi="宋体" w:eastAsia="宋体" w:cs="宋体"/>
                <w:color w:val="auto"/>
                <w:szCs w:val="21"/>
                <w:highlight w:val="none"/>
              </w:rPr>
            </w:pPr>
          </w:p>
        </w:tc>
        <w:tc>
          <w:tcPr>
            <w:tcW w:w="498" w:type="pct"/>
            <w:vMerge w:val="continue"/>
            <w:tcBorders>
              <w:right w:val="single" w:color="auto" w:sz="4" w:space="0"/>
            </w:tcBorders>
            <w:vAlign w:val="center"/>
          </w:tcPr>
          <w:p w14:paraId="30705ABD">
            <w:pPr>
              <w:keepNext/>
              <w:keepLines/>
              <w:spacing w:line="276" w:lineRule="auto"/>
              <w:outlineLvl w:val="2"/>
              <w:rPr>
                <w:rFonts w:hint="eastAsia" w:ascii="宋体" w:hAnsi="宋体" w:eastAsia="宋体" w:cs="宋体"/>
                <w:color w:val="auto"/>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15552DA7">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联合体投标人</w:t>
            </w:r>
          </w:p>
        </w:tc>
        <w:tc>
          <w:tcPr>
            <w:tcW w:w="3269" w:type="pct"/>
            <w:tcBorders>
              <w:top w:val="single" w:color="auto" w:sz="4" w:space="0"/>
              <w:left w:val="single" w:color="auto" w:sz="4" w:space="0"/>
              <w:bottom w:val="single" w:color="auto" w:sz="4" w:space="0"/>
              <w:right w:val="single" w:color="auto" w:sz="4" w:space="0"/>
            </w:tcBorders>
            <w:vAlign w:val="center"/>
          </w:tcPr>
          <w:p w14:paraId="332C16F9">
            <w:pPr>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 1.4.2 项规定</w:t>
            </w:r>
          </w:p>
        </w:tc>
      </w:tr>
      <w:tr w14:paraId="3DCFE6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2" w:hRule="atLeast"/>
        </w:trPr>
        <w:tc>
          <w:tcPr>
            <w:tcW w:w="424" w:type="pct"/>
            <w:vMerge w:val="continue"/>
            <w:tcBorders>
              <w:right w:val="single" w:color="auto" w:sz="4" w:space="0"/>
            </w:tcBorders>
            <w:vAlign w:val="center"/>
          </w:tcPr>
          <w:p w14:paraId="45CB2D83">
            <w:pPr>
              <w:spacing w:line="276" w:lineRule="auto"/>
              <w:rPr>
                <w:rFonts w:hint="eastAsia" w:ascii="宋体" w:hAnsi="宋体" w:eastAsia="宋体" w:cs="宋体"/>
                <w:color w:val="auto"/>
                <w:szCs w:val="21"/>
                <w:highlight w:val="none"/>
              </w:rPr>
            </w:pPr>
          </w:p>
        </w:tc>
        <w:tc>
          <w:tcPr>
            <w:tcW w:w="498" w:type="pct"/>
            <w:vMerge w:val="continue"/>
            <w:tcBorders>
              <w:right w:val="single" w:color="auto" w:sz="4" w:space="0"/>
            </w:tcBorders>
            <w:vAlign w:val="center"/>
          </w:tcPr>
          <w:p w14:paraId="7BFD0366">
            <w:pPr>
              <w:spacing w:line="276" w:lineRule="auto"/>
              <w:rPr>
                <w:rFonts w:hint="eastAsia" w:ascii="宋体" w:hAnsi="宋体" w:eastAsia="宋体" w:cs="宋体"/>
                <w:color w:val="auto"/>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7A8A0780">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备选投标方案</w:t>
            </w:r>
          </w:p>
        </w:tc>
        <w:tc>
          <w:tcPr>
            <w:tcW w:w="3269" w:type="pct"/>
            <w:tcBorders>
              <w:top w:val="single" w:color="auto" w:sz="4" w:space="0"/>
              <w:left w:val="single" w:color="auto" w:sz="4" w:space="0"/>
              <w:bottom w:val="single" w:color="auto" w:sz="4" w:space="0"/>
              <w:right w:val="single" w:color="auto" w:sz="4" w:space="0"/>
            </w:tcBorders>
            <w:vAlign w:val="center"/>
          </w:tcPr>
          <w:p w14:paraId="065A1689">
            <w:pPr>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不允许。</w:t>
            </w:r>
          </w:p>
        </w:tc>
      </w:tr>
      <w:tr w14:paraId="26D678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2" w:hRule="atLeast"/>
        </w:trPr>
        <w:tc>
          <w:tcPr>
            <w:tcW w:w="424" w:type="pct"/>
            <w:vMerge w:val="continue"/>
            <w:tcBorders>
              <w:bottom w:val="single" w:color="auto" w:sz="4" w:space="0"/>
              <w:right w:val="single" w:color="auto" w:sz="4" w:space="0"/>
            </w:tcBorders>
            <w:vAlign w:val="center"/>
          </w:tcPr>
          <w:p w14:paraId="3481F1D1">
            <w:pPr>
              <w:keepNext/>
              <w:keepLines/>
              <w:spacing w:line="276" w:lineRule="auto"/>
              <w:outlineLvl w:val="2"/>
              <w:rPr>
                <w:rFonts w:hint="eastAsia" w:ascii="宋体" w:hAnsi="宋体" w:eastAsia="宋体" w:cs="宋体"/>
                <w:color w:val="auto"/>
                <w:szCs w:val="21"/>
                <w:highlight w:val="none"/>
              </w:rPr>
            </w:pPr>
          </w:p>
        </w:tc>
        <w:tc>
          <w:tcPr>
            <w:tcW w:w="498" w:type="pct"/>
            <w:vMerge w:val="continue"/>
            <w:tcBorders>
              <w:right w:val="single" w:color="auto" w:sz="4" w:space="0"/>
            </w:tcBorders>
            <w:vAlign w:val="center"/>
          </w:tcPr>
          <w:p w14:paraId="3BE3A3E9">
            <w:pPr>
              <w:keepNext/>
              <w:keepLines/>
              <w:spacing w:line="276" w:lineRule="auto"/>
              <w:outlineLvl w:val="2"/>
              <w:rPr>
                <w:rFonts w:hint="eastAsia" w:ascii="宋体" w:hAnsi="宋体" w:eastAsia="宋体" w:cs="宋体"/>
                <w:color w:val="auto"/>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39899ECB">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投标人机器码</w:t>
            </w:r>
          </w:p>
        </w:tc>
        <w:tc>
          <w:tcPr>
            <w:tcW w:w="3269" w:type="pct"/>
            <w:tcBorders>
              <w:top w:val="single" w:color="auto" w:sz="4" w:space="0"/>
              <w:left w:val="single" w:color="auto" w:sz="4" w:space="0"/>
              <w:bottom w:val="single" w:color="auto" w:sz="4" w:space="0"/>
              <w:right w:val="single" w:color="auto" w:sz="4" w:space="0"/>
            </w:tcBorders>
          </w:tcPr>
          <w:p w14:paraId="23770E8C">
            <w:pPr>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投</w:t>
            </w:r>
            <w:r>
              <w:rPr>
                <w:rFonts w:hint="eastAsia" w:ascii="宋体" w:hAnsi="宋体" w:eastAsia="宋体" w:cs="宋体"/>
                <w:color w:val="auto"/>
                <w:spacing w:val="5"/>
                <w:szCs w:val="21"/>
                <w:highlight w:val="none"/>
              </w:rPr>
              <w:t>标人与其他投标人加密打包投标文件电脑机器特征码一致</w:t>
            </w:r>
            <w:r>
              <w:rPr>
                <w:rFonts w:hint="eastAsia" w:ascii="宋体" w:hAnsi="宋体" w:eastAsia="宋体" w:cs="宋体"/>
                <w:color w:val="auto"/>
                <w:spacing w:val="-1"/>
                <w:szCs w:val="21"/>
                <w:highlight w:val="none"/>
              </w:rPr>
              <w:t>的（以广州公共资源交</w:t>
            </w:r>
            <w:r>
              <w:rPr>
                <w:rFonts w:hint="eastAsia" w:ascii="宋体" w:hAnsi="宋体" w:eastAsia="宋体" w:cs="宋体"/>
                <w:color w:val="auto"/>
                <w:szCs w:val="21"/>
                <w:highlight w:val="none"/>
              </w:rPr>
              <w:t>易中心评标系统的检索信息为准</w:t>
            </w:r>
            <w:r>
              <w:rPr>
                <w:rFonts w:hint="eastAsia" w:ascii="宋体" w:hAnsi="宋体" w:eastAsia="宋体" w:cs="宋体"/>
                <w:color w:val="auto"/>
                <w:spacing w:val="-1"/>
                <w:szCs w:val="21"/>
                <w:highlight w:val="none"/>
              </w:rPr>
              <w:t>）</w:t>
            </w:r>
            <w:r>
              <w:rPr>
                <w:rFonts w:hint="eastAsia" w:ascii="宋体" w:hAnsi="宋体" w:eastAsia="宋体" w:cs="宋体"/>
                <w:color w:val="auto"/>
                <w:szCs w:val="21"/>
                <w:highlight w:val="none"/>
              </w:rPr>
              <w:t>将被否</w:t>
            </w:r>
            <w:r>
              <w:rPr>
                <w:rFonts w:hint="eastAsia" w:ascii="宋体" w:hAnsi="宋体" w:eastAsia="宋体" w:cs="宋体"/>
                <w:color w:val="auto"/>
                <w:spacing w:val="-12"/>
                <w:szCs w:val="21"/>
                <w:highlight w:val="none"/>
              </w:rPr>
              <w:t>决</w:t>
            </w:r>
            <w:r>
              <w:rPr>
                <w:rFonts w:hint="eastAsia" w:ascii="宋体" w:hAnsi="宋体" w:eastAsia="宋体" w:cs="宋体"/>
                <w:color w:val="auto"/>
                <w:spacing w:val="-10"/>
                <w:szCs w:val="21"/>
                <w:highlight w:val="none"/>
              </w:rPr>
              <w:t>。</w:t>
            </w:r>
          </w:p>
        </w:tc>
      </w:tr>
      <w:tr w14:paraId="090213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4" w:hRule="atLeast"/>
        </w:trPr>
        <w:tc>
          <w:tcPr>
            <w:tcW w:w="424" w:type="pct"/>
            <w:vMerge w:val="restart"/>
            <w:tcBorders>
              <w:top w:val="single" w:color="auto" w:sz="4" w:space="0"/>
              <w:bottom w:val="single" w:color="auto" w:sz="4" w:space="0"/>
              <w:right w:val="single" w:color="auto" w:sz="4" w:space="0"/>
            </w:tcBorders>
            <w:vAlign w:val="center"/>
          </w:tcPr>
          <w:p w14:paraId="0C1A7F03">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w:t>
            </w:r>
          </w:p>
        </w:tc>
        <w:tc>
          <w:tcPr>
            <w:tcW w:w="498" w:type="pct"/>
            <w:vMerge w:val="restart"/>
            <w:tcBorders>
              <w:top w:val="single" w:color="auto" w:sz="4" w:space="0"/>
              <w:left w:val="single" w:color="auto" w:sz="4" w:space="0"/>
              <w:bottom w:val="single" w:color="auto" w:sz="4" w:space="0"/>
              <w:right w:val="single" w:color="auto" w:sz="4" w:space="0"/>
            </w:tcBorders>
            <w:vAlign w:val="center"/>
          </w:tcPr>
          <w:p w14:paraId="6E7CB5E0">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资格评审标准</w:t>
            </w:r>
          </w:p>
        </w:tc>
        <w:tc>
          <w:tcPr>
            <w:tcW w:w="806" w:type="pct"/>
            <w:tcBorders>
              <w:top w:val="single" w:color="auto" w:sz="4" w:space="0"/>
              <w:left w:val="single" w:color="auto" w:sz="4" w:space="0"/>
              <w:bottom w:val="single" w:color="auto" w:sz="4" w:space="0"/>
              <w:right w:val="single" w:color="auto" w:sz="4" w:space="0"/>
            </w:tcBorders>
            <w:vAlign w:val="center"/>
          </w:tcPr>
          <w:p w14:paraId="56119B3B">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营业执照</w:t>
            </w:r>
            <w:r>
              <w:rPr>
                <w:rFonts w:hint="eastAsia" w:ascii="宋体" w:hAnsi="宋体" w:eastAsia="宋体" w:cs="宋体"/>
                <w:color w:val="auto"/>
                <w:szCs w:val="21"/>
                <w:highlight w:val="none"/>
                <w:u w:val="single"/>
              </w:rPr>
              <w:t>（或事业单位法人证书）</w:t>
            </w:r>
          </w:p>
        </w:tc>
        <w:tc>
          <w:tcPr>
            <w:tcW w:w="3269" w:type="pct"/>
            <w:tcBorders>
              <w:top w:val="single" w:color="auto" w:sz="4" w:space="0"/>
              <w:left w:val="single" w:color="auto" w:sz="4" w:space="0"/>
              <w:bottom w:val="single" w:color="auto" w:sz="4" w:space="0"/>
              <w:right w:val="single" w:color="auto" w:sz="4" w:space="0"/>
            </w:tcBorders>
            <w:vAlign w:val="center"/>
          </w:tcPr>
          <w:p w14:paraId="0BEEE7AC">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符合第二章“投标人须知”第1.4.1项规定。</w:t>
            </w:r>
          </w:p>
        </w:tc>
      </w:tr>
      <w:tr w14:paraId="045DA3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2" w:hRule="atLeast"/>
        </w:trPr>
        <w:tc>
          <w:tcPr>
            <w:tcW w:w="424" w:type="pct"/>
            <w:vMerge w:val="continue"/>
            <w:tcBorders>
              <w:top w:val="single" w:color="auto" w:sz="4" w:space="0"/>
              <w:bottom w:val="single" w:color="auto" w:sz="4" w:space="0"/>
              <w:right w:val="single" w:color="auto" w:sz="4" w:space="0"/>
            </w:tcBorders>
            <w:vAlign w:val="center"/>
          </w:tcPr>
          <w:p w14:paraId="203BAAB8">
            <w:pPr>
              <w:keepNext/>
              <w:keepLines/>
              <w:spacing w:line="276" w:lineRule="auto"/>
              <w:outlineLvl w:val="2"/>
              <w:rPr>
                <w:rFonts w:hint="eastAsia" w:ascii="宋体" w:hAnsi="宋体" w:eastAsia="宋体" w:cs="宋体"/>
                <w:color w:val="auto"/>
                <w:szCs w:val="21"/>
                <w:highlight w:val="none"/>
              </w:rPr>
            </w:pPr>
          </w:p>
        </w:tc>
        <w:tc>
          <w:tcPr>
            <w:tcW w:w="498" w:type="pct"/>
            <w:vMerge w:val="continue"/>
            <w:tcBorders>
              <w:top w:val="single" w:color="auto" w:sz="4" w:space="0"/>
              <w:left w:val="single" w:color="auto" w:sz="4" w:space="0"/>
              <w:bottom w:val="single" w:color="auto" w:sz="4" w:space="0"/>
              <w:right w:val="single" w:color="auto" w:sz="4" w:space="0"/>
            </w:tcBorders>
            <w:vAlign w:val="center"/>
          </w:tcPr>
          <w:p w14:paraId="53F3342A">
            <w:pPr>
              <w:keepNext/>
              <w:keepLines/>
              <w:spacing w:line="276" w:lineRule="auto"/>
              <w:outlineLvl w:val="2"/>
              <w:rPr>
                <w:rFonts w:hint="eastAsia" w:ascii="宋体" w:hAnsi="宋体" w:eastAsia="宋体" w:cs="宋体"/>
                <w:color w:val="auto"/>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012389DB">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资质要求</w:t>
            </w:r>
          </w:p>
        </w:tc>
        <w:tc>
          <w:tcPr>
            <w:tcW w:w="3269" w:type="pct"/>
            <w:tcBorders>
              <w:top w:val="single" w:color="auto" w:sz="4" w:space="0"/>
              <w:left w:val="single" w:color="auto" w:sz="4" w:space="0"/>
              <w:bottom w:val="single" w:color="auto" w:sz="4" w:space="0"/>
              <w:right w:val="single" w:color="auto" w:sz="4" w:space="0"/>
            </w:tcBorders>
            <w:vAlign w:val="center"/>
          </w:tcPr>
          <w:p w14:paraId="1E768015">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符合第二章“投标人须知”第1.4.1项规定。</w:t>
            </w:r>
          </w:p>
        </w:tc>
      </w:tr>
      <w:tr w14:paraId="77CB80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2" w:hRule="atLeast"/>
        </w:trPr>
        <w:tc>
          <w:tcPr>
            <w:tcW w:w="424" w:type="pct"/>
            <w:vMerge w:val="continue"/>
            <w:tcBorders>
              <w:top w:val="single" w:color="auto" w:sz="4" w:space="0"/>
              <w:bottom w:val="single" w:color="auto" w:sz="4" w:space="0"/>
              <w:right w:val="single" w:color="auto" w:sz="4" w:space="0"/>
            </w:tcBorders>
            <w:vAlign w:val="center"/>
          </w:tcPr>
          <w:p w14:paraId="7875D36A">
            <w:pPr>
              <w:keepNext/>
              <w:keepLines/>
              <w:spacing w:line="276" w:lineRule="auto"/>
              <w:outlineLvl w:val="2"/>
              <w:rPr>
                <w:rFonts w:hint="eastAsia" w:ascii="宋体" w:hAnsi="宋体" w:eastAsia="宋体" w:cs="宋体"/>
                <w:color w:val="auto"/>
                <w:szCs w:val="21"/>
                <w:highlight w:val="none"/>
              </w:rPr>
            </w:pPr>
          </w:p>
        </w:tc>
        <w:tc>
          <w:tcPr>
            <w:tcW w:w="498" w:type="pct"/>
            <w:vMerge w:val="continue"/>
            <w:tcBorders>
              <w:top w:val="single" w:color="auto" w:sz="4" w:space="0"/>
              <w:left w:val="single" w:color="auto" w:sz="4" w:space="0"/>
              <w:bottom w:val="single" w:color="auto" w:sz="4" w:space="0"/>
              <w:right w:val="single" w:color="auto" w:sz="4" w:space="0"/>
            </w:tcBorders>
            <w:vAlign w:val="center"/>
          </w:tcPr>
          <w:p w14:paraId="0E33608E">
            <w:pPr>
              <w:keepNext/>
              <w:keepLines/>
              <w:spacing w:line="276" w:lineRule="auto"/>
              <w:outlineLvl w:val="2"/>
              <w:rPr>
                <w:rFonts w:hint="eastAsia" w:ascii="宋体" w:hAnsi="宋体" w:eastAsia="宋体" w:cs="宋体"/>
                <w:color w:val="auto"/>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2E9D184E">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w:t>
            </w:r>
          </w:p>
        </w:tc>
        <w:tc>
          <w:tcPr>
            <w:tcW w:w="3269" w:type="pct"/>
            <w:tcBorders>
              <w:top w:val="single" w:color="auto" w:sz="4" w:space="0"/>
              <w:left w:val="single" w:color="auto" w:sz="4" w:space="0"/>
              <w:bottom w:val="single" w:color="auto" w:sz="4" w:space="0"/>
              <w:right w:val="single" w:color="auto" w:sz="4" w:space="0"/>
            </w:tcBorders>
            <w:vAlign w:val="center"/>
          </w:tcPr>
          <w:p w14:paraId="6B620BEC">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符合第二章“投标人须知”第1.4.1项规定。</w:t>
            </w:r>
          </w:p>
        </w:tc>
      </w:tr>
      <w:tr w14:paraId="579B79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7" w:hRule="atLeast"/>
        </w:trPr>
        <w:tc>
          <w:tcPr>
            <w:tcW w:w="424" w:type="pct"/>
            <w:vMerge w:val="continue"/>
            <w:tcBorders>
              <w:top w:val="single" w:color="auto" w:sz="4" w:space="0"/>
              <w:bottom w:val="single" w:color="auto" w:sz="4" w:space="0"/>
              <w:right w:val="single" w:color="auto" w:sz="4" w:space="0"/>
            </w:tcBorders>
            <w:vAlign w:val="center"/>
          </w:tcPr>
          <w:p w14:paraId="1DC2EB5B">
            <w:pPr>
              <w:keepNext/>
              <w:keepLines/>
              <w:spacing w:line="276" w:lineRule="auto"/>
              <w:outlineLvl w:val="2"/>
              <w:rPr>
                <w:rFonts w:hint="eastAsia" w:ascii="宋体" w:hAnsi="宋体" w:eastAsia="宋体" w:cs="宋体"/>
                <w:color w:val="auto"/>
                <w:szCs w:val="21"/>
                <w:highlight w:val="none"/>
              </w:rPr>
            </w:pPr>
          </w:p>
        </w:tc>
        <w:tc>
          <w:tcPr>
            <w:tcW w:w="498" w:type="pct"/>
            <w:vMerge w:val="continue"/>
            <w:tcBorders>
              <w:top w:val="single" w:color="auto" w:sz="4" w:space="0"/>
              <w:left w:val="single" w:color="auto" w:sz="4" w:space="0"/>
              <w:bottom w:val="single" w:color="auto" w:sz="4" w:space="0"/>
              <w:right w:val="single" w:color="auto" w:sz="4" w:space="0"/>
            </w:tcBorders>
            <w:vAlign w:val="center"/>
          </w:tcPr>
          <w:p w14:paraId="0E968129">
            <w:pPr>
              <w:keepNext/>
              <w:keepLines/>
              <w:spacing w:line="276" w:lineRule="auto"/>
              <w:outlineLvl w:val="2"/>
              <w:rPr>
                <w:rFonts w:hint="eastAsia" w:ascii="宋体" w:hAnsi="宋体" w:eastAsia="宋体" w:cs="宋体"/>
                <w:color w:val="auto"/>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0ACF362F">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其他要求</w:t>
            </w:r>
          </w:p>
        </w:tc>
        <w:tc>
          <w:tcPr>
            <w:tcW w:w="3269" w:type="pct"/>
            <w:tcBorders>
              <w:top w:val="single" w:color="auto" w:sz="4" w:space="0"/>
              <w:left w:val="single" w:color="auto" w:sz="4" w:space="0"/>
              <w:bottom w:val="single" w:color="auto" w:sz="4" w:space="0"/>
              <w:right w:val="single" w:color="auto" w:sz="4" w:space="0"/>
            </w:tcBorders>
            <w:vAlign w:val="center"/>
          </w:tcPr>
          <w:p w14:paraId="452B1B1B">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符合第二章“投标人须知”第1.4.1项规定。</w:t>
            </w:r>
          </w:p>
        </w:tc>
      </w:tr>
      <w:tr w14:paraId="6F1E9E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424" w:type="pct"/>
            <w:vMerge w:val="continue"/>
            <w:tcBorders>
              <w:top w:val="single" w:color="auto" w:sz="4" w:space="0"/>
              <w:bottom w:val="single" w:color="auto" w:sz="4" w:space="0"/>
              <w:right w:val="single" w:color="auto" w:sz="4" w:space="0"/>
            </w:tcBorders>
            <w:vAlign w:val="center"/>
          </w:tcPr>
          <w:p w14:paraId="027CF508">
            <w:pPr>
              <w:keepNext/>
              <w:keepLines/>
              <w:spacing w:line="276" w:lineRule="auto"/>
              <w:outlineLvl w:val="2"/>
              <w:rPr>
                <w:rFonts w:hint="eastAsia" w:ascii="宋体" w:hAnsi="宋体" w:eastAsia="宋体" w:cs="宋体"/>
                <w:color w:val="auto"/>
                <w:szCs w:val="21"/>
                <w:highlight w:val="none"/>
              </w:rPr>
            </w:pPr>
          </w:p>
        </w:tc>
        <w:tc>
          <w:tcPr>
            <w:tcW w:w="498" w:type="pct"/>
            <w:vMerge w:val="continue"/>
            <w:tcBorders>
              <w:top w:val="single" w:color="auto" w:sz="4" w:space="0"/>
              <w:left w:val="single" w:color="auto" w:sz="4" w:space="0"/>
              <w:bottom w:val="single" w:color="auto" w:sz="4" w:space="0"/>
              <w:right w:val="single" w:color="auto" w:sz="4" w:space="0"/>
            </w:tcBorders>
            <w:vAlign w:val="center"/>
          </w:tcPr>
          <w:p w14:paraId="41A2C678">
            <w:pPr>
              <w:keepNext/>
              <w:keepLines/>
              <w:spacing w:line="276" w:lineRule="auto"/>
              <w:outlineLvl w:val="2"/>
              <w:rPr>
                <w:rFonts w:hint="eastAsia" w:ascii="宋体" w:hAnsi="宋体" w:eastAsia="宋体" w:cs="宋体"/>
                <w:color w:val="auto"/>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6B3BA4B6">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联合体投标人</w:t>
            </w:r>
          </w:p>
        </w:tc>
        <w:tc>
          <w:tcPr>
            <w:tcW w:w="3269" w:type="pct"/>
            <w:tcBorders>
              <w:top w:val="single" w:color="auto" w:sz="4" w:space="0"/>
              <w:left w:val="single" w:color="auto" w:sz="4" w:space="0"/>
              <w:bottom w:val="single" w:color="auto" w:sz="4" w:space="0"/>
              <w:right w:val="single" w:color="auto" w:sz="4" w:space="0"/>
            </w:tcBorders>
            <w:vAlign w:val="center"/>
          </w:tcPr>
          <w:p w14:paraId="696E3E4E">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符合第二章“投标人须知”第1.4.2项规定。</w:t>
            </w:r>
          </w:p>
        </w:tc>
      </w:tr>
      <w:tr w14:paraId="22DEC6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2" w:hRule="atLeast"/>
        </w:trPr>
        <w:tc>
          <w:tcPr>
            <w:tcW w:w="424" w:type="pct"/>
            <w:vMerge w:val="continue"/>
            <w:tcBorders>
              <w:top w:val="single" w:color="auto" w:sz="4" w:space="0"/>
              <w:bottom w:val="single" w:color="auto" w:sz="4" w:space="0"/>
              <w:right w:val="single" w:color="auto" w:sz="4" w:space="0"/>
            </w:tcBorders>
            <w:vAlign w:val="center"/>
          </w:tcPr>
          <w:p w14:paraId="7A0D8733">
            <w:pPr>
              <w:keepNext/>
              <w:keepLines/>
              <w:spacing w:line="276" w:lineRule="auto"/>
              <w:outlineLvl w:val="2"/>
              <w:rPr>
                <w:rFonts w:hint="eastAsia" w:ascii="宋体" w:hAnsi="宋体" w:eastAsia="宋体" w:cs="宋体"/>
                <w:color w:val="auto"/>
                <w:szCs w:val="21"/>
                <w:highlight w:val="none"/>
              </w:rPr>
            </w:pPr>
          </w:p>
        </w:tc>
        <w:tc>
          <w:tcPr>
            <w:tcW w:w="498" w:type="pct"/>
            <w:vMerge w:val="continue"/>
            <w:tcBorders>
              <w:top w:val="single" w:color="auto" w:sz="4" w:space="0"/>
              <w:left w:val="single" w:color="auto" w:sz="4" w:space="0"/>
              <w:bottom w:val="single" w:color="auto" w:sz="4" w:space="0"/>
              <w:right w:val="single" w:color="auto" w:sz="4" w:space="0"/>
            </w:tcBorders>
            <w:vAlign w:val="center"/>
          </w:tcPr>
          <w:p w14:paraId="0938A40C">
            <w:pPr>
              <w:keepNext/>
              <w:keepLines/>
              <w:spacing w:line="276" w:lineRule="auto"/>
              <w:outlineLvl w:val="2"/>
              <w:rPr>
                <w:rFonts w:hint="eastAsia" w:ascii="宋体" w:hAnsi="宋体" w:eastAsia="宋体" w:cs="宋体"/>
                <w:color w:val="auto"/>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18E70E35">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不存在禁止投标的情形</w:t>
            </w:r>
          </w:p>
        </w:tc>
        <w:tc>
          <w:tcPr>
            <w:tcW w:w="3269" w:type="pct"/>
            <w:tcBorders>
              <w:top w:val="single" w:color="auto" w:sz="4" w:space="0"/>
              <w:left w:val="single" w:color="auto" w:sz="4" w:space="0"/>
              <w:bottom w:val="single" w:color="auto" w:sz="4" w:space="0"/>
              <w:right w:val="single" w:color="auto" w:sz="4" w:space="0"/>
            </w:tcBorders>
            <w:vAlign w:val="center"/>
          </w:tcPr>
          <w:p w14:paraId="4FE58468">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不存在第二章“投标人须知”第 1.4.3 项规定的任何一种情形（以《投标申请人声明》为准）</w:t>
            </w:r>
          </w:p>
        </w:tc>
      </w:tr>
      <w:tr w14:paraId="6E2978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7" w:hRule="atLeast"/>
        </w:trPr>
        <w:tc>
          <w:tcPr>
            <w:tcW w:w="424" w:type="pct"/>
            <w:vMerge w:val="restart"/>
            <w:tcBorders>
              <w:top w:val="single" w:color="auto" w:sz="4" w:space="0"/>
              <w:right w:val="single" w:color="auto" w:sz="4" w:space="0"/>
            </w:tcBorders>
            <w:vAlign w:val="center"/>
          </w:tcPr>
          <w:p w14:paraId="6798B2DF">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w:t>
            </w:r>
          </w:p>
        </w:tc>
        <w:tc>
          <w:tcPr>
            <w:tcW w:w="498" w:type="pct"/>
            <w:vMerge w:val="restart"/>
            <w:tcBorders>
              <w:top w:val="single" w:color="auto" w:sz="4" w:space="0"/>
              <w:left w:val="single" w:color="auto" w:sz="4" w:space="0"/>
              <w:right w:val="single" w:color="auto" w:sz="4" w:space="0"/>
            </w:tcBorders>
            <w:vAlign w:val="center"/>
          </w:tcPr>
          <w:p w14:paraId="2FC66F41">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响应性评审标准</w:t>
            </w:r>
          </w:p>
        </w:tc>
        <w:tc>
          <w:tcPr>
            <w:tcW w:w="806" w:type="pct"/>
            <w:tcBorders>
              <w:top w:val="single" w:color="auto" w:sz="4" w:space="0"/>
              <w:left w:val="single" w:color="auto" w:sz="4" w:space="0"/>
              <w:right w:val="single" w:color="auto" w:sz="4" w:space="0"/>
            </w:tcBorders>
            <w:vAlign w:val="center"/>
          </w:tcPr>
          <w:p w14:paraId="690832A8">
            <w:pPr>
              <w:spacing w:line="276" w:lineRule="auto"/>
              <w:jc w:val="center"/>
              <w:rPr>
                <w:rFonts w:hint="eastAsia" w:ascii="宋体" w:hAnsi="宋体" w:eastAsia="宋体" w:cs="宋体"/>
                <w:strike/>
                <w:color w:val="auto"/>
                <w:szCs w:val="21"/>
                <w:highlight w:val="none"/>
              </w:rPr>
            </w:pPr>
            <w:r>
              <w:rPr>
                <w:rFonts w:hint="eastAsia" w:ascii="宋体" w:hAnsi="宋体" w:eastAsia="宋体" w:cs="宋体"/>
                <w:color w:val="auto"/>
                <w:szCs w:val="21"/>
                <w:highlight w:val="none"/>
              </w:rPr>
              <w:t>投标总报价</w:t>
            </w:r>
          </w:p>
        </w:tc>
        <w:tc>
          <w:tcPr>
            <w:tcW w:w="3269" w:type="pct"/>
            <w:tcBorders>
              <w:top w:val="single" w:color="auto" w:sz="4" w:space="0"/>
              <w:left w:val="single" w:color="auto" w:sz="4" w:space="0"/>
            </w:tcBorders>
            <w:vAlign w:val="center"/>
          </w:tcPr>
          <w:p w14:paraId="59398B83">
            <w:pPr>
              <w:spacing w:line="276" w:lineRule="auto"/>
              <w:rPr>
                <w:rFonts w:hint="eastAsia" w:ascii="宋体" w:hAnsi="宋体" w:eastAsia="宋体" w:cs="宋体"/>
                <w:strike/>
                <w:color w:val="auto"/>
                <w:szCs w:val="21"/>
                <w:highlight w:val="none"/>
              </w:rPr>
            </w:pPr>
            <w:r>
              <w:rPr>
                <w:rFonts w:hint="eastAsia" w:ascii="宋体" w:hAnsi="宋体" w:eastAsia="宋体" w:cs="宋体"/>
                <w:color w:val="auto"/>
                <w:szCs w:val="21"/>
                <w:highlight w:val="none"/>
              </w:rPr>
              <w:t>符合第二章“投标人须知”第3.2款规定进行投标报价；</w:t>
            </w:r>
          </w:p>
        </w:tc>
      </w:tr>
      <w:tr w14:paraId="08E891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4" w:hRule="atLeast"/>
        </w:trPr>
        <w:tc>
          <w:tcPr>
            <w:tcW w:w="424" w:type="pct"/>
            <w:vMerge w:val="continue"/>
            <w:tcBorders>
              <w:right w:val="single" w:color="auto" w:sz="4" w:space="0"/>
            </w:tcBorders>
            <w:vAlign w:val="center"/>
          </w:tcPr>
          <w:p w14:paraId="59B5E98C">
            <w:pPr>
              <w:keepNext/>
              <w:keepLines/>
              <w:spacing w:line="276" w:lineRule="auto"/>
              <w:jc w:val="center"/>
              <w:outlineLvl w:val="2"/>
              <w:rPr>
                <w:rFonts w:hint="eastAsia" w:ascii="宋体" w:hAnsi="宋体" w:eastAsia="宋体" w:cs="宋体"/>
                <w:color w:val="auto"/>
                <w:szCs w:val="21"/>
                <w:highlight w:val="none"/>
              </w:rPr>
            </w:pPr>
          </w:p>
        </w:tc>
        <w:tc>
          <w:tcPr>
            <w:tcW w:w="498" w:type="pct"/>
            <w:vMerge w:val="continue"/>
            <w:tcBorders>
              <w:left w:val="single" w:color="auto" w:sz="4" w:space="0"/>
              <w:right w:val="single" w:color="auto" w:sz="4" w:space="0"/>
            </w:tcBorders>
            <w:vAlign w:val="center"/>
          </w:tcPr>
          <w:p w14:paraId="13A5FFA1">
            <w:pPr>
              <w:keepNext/>
              <w:keepLines/>
              <w:spacing w:line="276" w:lineRule="auto"/>
              <w:jc w:val="center"/>
              <w:outlineLvl w:val="2"/>
              <w:rPr>
                <w:rFonts w:hint="eastAsia" w:ascii="宋体" w:hAnsi="宋体" w:eastAsia="宋体" w:cs="宋体"/>
                <w:color w:val="auto"/>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0368DDDC">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投标内容</w:t>
            </w:r>
          </w:p>
        </w:tc>
        <w:tc>
          <w:tcPr>
            <w:tcW w:w="3269" w:type="pct"/>
            <w:tcBorders>
              <w:top w:val="single" w:color="auto" w:sz="4" w:space="0"/>
              <w:left w:val="single" w:color="auto" w:sz="4" w:space="0"/>
              <w:bottom w:val="single" w:color="auto" w:sz="4" w:space="0"/>
            </w:tcBorders>
            <w:vAlign w:val="center"/>
          </w:tcPr>
          <w:p w14:paraId="2F42C3FE">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 1.3.1项规定；</w:t>
            </w:r>
            <w:r>
              <w:rPr>
                <w:rFonts w:hint="eastAsia" w:ascii="宋体" w:hAnsi="宋体" w:eastAsia="宋体" w:cs="宋体"/>
                <w:color w:val="auto"/>
                <w:szCs w:val="21"/>
                <w:highlight w:val="none"/>
                <w:u w:val="single"/>
              </w:rPr>
              <w:t>投标文件按规定的格式填写，内容齐全或关键字迹清晰、容易辩认；</w:t>
            </w:r>
          </w:p>
        </w:tc>
      </w:tr>
      <w:tr w14:paraId="693F4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3" w:hRule="atLeast"/>
        </w:trPr>
        <w:tc>
          <w:tcPr>
            <w:tcW w:w="424" w:type="pct"/>
            <w:vMerge w:val="continue"/>
            <w:tcBorders>
              <w:right w:val="single" w:color="auto" w:sz="4" w:space="0"/>
            </w:tcBorders>
            <w:vAlign w:val="center"/>
          </w:tcPr>
          <w:p w14:paraId="0E24B37C">
            <w:pPr>
              <w:spacing w:line="276" w:lineRule="auto"/>
              <w:jc w:val="center"/>
              <w:rPr>
                <w:rFonts w:hint="eastAsia" w:ascii="宋体" w:hAnsi="宋体" w:eastAsia="宋体" w:cs="宋体"/>
                <w:color w:val="auto"/>
                <w:szCs w:val="21"/>
                <w:highlight w:val="none"/>
              </w:rPr>
            </w:pPr>
          </w:p>
        </w:tc>
        <w:tc>
          <w:tcPr>
            <w:tcW w:w="498" w:type="pct"/>
            <w:vMerge w:val="continue"/>
            <w:tcBorders>
              <w:left w:val="single" w:color="auto" w:sz="4" w:space="0"/>
              <w:right w:val="single" w:color="auto" w:sz="4" w:space="0"/>
            </w:tcBorders>
            <w:vAlign w:val="center"/>
          </w:tcPr>
          <w:p w14:paraId="13BF0C78">
            <w:pPr>
              <w:spacing w:line="276" w:lineRule="auto"/>
              <w:jc w:val="center"/>
              <w:rPr>
                <w:rFonts w:hint="eastAsia" w:ascii="宋体" w:hAnsi="宋体" w:eastAsia="宋体" w:cs="宋体"/>
                <w:color w:val="auto"/>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517E1435">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服务期限</w:t>
            </w:r>
          </w:p>
        </w:tc>
        <w:tc>
          <w:tcPr>
            <w:tcW w:w="3269" w:type="pct"/>
            <w:tcBorders>
              <w:top w:val="single" w:color="auto" w:sz="4" w:space="0"/>
              <w:left w:val="single" w:color="auto" w:sz="4" w:space="0"/>
              <w:bottom w:val="single" w:color="auto" w:sz="4" w:space="0"/>
            </w:tcBorders>
            <w:vAlign w:val="center"/>
          </w:tcPr>
          <w:p w14:paraId="077D2A5D">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符合第二章“投标人须知前附表”第1.3.2项规定</w:t>
            </w:r>
          </w:p>
        </w:tc>
      </w:tr>
      <w:tr w14:paraId="0B136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trPr>
        <w:tc>
          <w:tcPr>
            <w:tcW w:w="424" w:type="pct"/>
            <w:vMerge w:val="continue"/>
            <w:tcBorders>
              <w:right w:val="single" w:color="auto" w:sz="4" w:space="0"/>
            </w:tcBorders>
            <w:vAlign w:val="center"/>
          </w:tcPr>
          <w:p w14:paraId="32647142">
            <w:pPr>
              <w:keepNext/>
              <w:keepLines/>
              <w:spacing w:line="276" w:lineRule="auto"/>
              <w:jc w:val="center"/>
              <w:outlineLvl w:val="2"/>
              <w:rPr>
                <w:rFonts w:hint="eastAsia" w:ascii="宋体" w:hAnsi="宋体" w:eastAsia="宋体" w:cs="宋体"/>
                <w:color w:val="auto"/>
                <w:szCs w:val="21"/>
                <w:highlight w:val="none"/>
              </w:rPr>
            </w:pPr>
          </w:p>
        </w:tc>
        <w:tc>
          <w:tcPr>
            <w:tcW w:w="498" w:type="pct"/>
            <w:vMerge w:val="continue"/>
            <w:tcBorders>
              <w:left w:val="single" w:color="auto" w:sz="4" w:space="0"/>
              <w:right w:val="single" w:color="auto" w:sz="4" w:space="0"/>
            </w:tcBorders>
            <w:vAlign w:val="center"/>
          </w:tcPr>
          <w:p w14:paraId="67B391E0">
            <w:pPr>
              <w:keepNext/>
              <w:keepLines/>
              <w:spacing w:line="276" w:lineRule="auto"/>
              <w:jc w:val="center"/>
              <w:outlineLvl w:val="2"/>
              <w:rPr>
                <w:rFonts w:hint="eastAsia" w:ascii="宋体" w:hAnsi="宋体" w:eastAsia="宋体" w:cs="宋体"/>
                <w:color w:val="auto"/>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32E6FD59">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3269" w:type="pct"/>
            <w:tcBorders>
              <w:top w:val="single" w:color="auto" w:sz="4" w:space="0"/>
              <w:left w:val="single" w:color="auto" w:sz="4" w:space="0"/>
              <w:bottom w:val="single" w:color="auto" w:sz="4" w:space="0"/>
            </w:tcBorders>
            <w:vAlign w:val="center"/>
          </w:tcPr>
          <w:p w14:paraId="75B9782F">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符合第二章“投标人须知前附表”第 1.3.3 项规定</w:t>
            </w:r>
          </w:p>
        </w:tc>
      </w:tr>
      <w:tr w14:paraId="190089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8" w:hRule="atLeast"/>
        </w:trPr>
        <w:tc>
          <w:tcPr>
            <w:tcW w:w="424" w:type="pct"/>
            <w:vMerge w:val="continue"/>
            <w:tcBorders>
              <w:right w:val="single" w:color="auto" w:sz="4" w:space="0"/>
            </w:tcBorders>
            <w:vAlign w:val="center"/>
          </w:tcPr>
          <w:p w14:paraId="10FB291C">
            <w:pPr>
              <w:keepNext/>
              <w:keepLines/>
              <w:spacing w:line="276" w:lineRule="auto"/>
              <w:outlineLvl w:val="2"/>
              <w:rPr>
                <w:rFonts w:hint="eastAsia" w:ascii="宋体" w:hAnsi="宋体" w:eastAsia="宋体" w:cs="宋体"/>
                <w:color w:val="auto"/>
                <w:szCs w:val="21"/>
                <w:highlight w:val="none"/>
              </w:rPr>
            </w:pPr>
          </w:p>
        </w:tc>
        <w:tc>
          <w:tcPr>
            <w:tcW w:w="498" w:type="pct"/>
            <w:vMerge w:val="continue"/>
            <w:tcBorders>
              <w:left w:val="single" w:color="auto" w:sz="4" w:space="0"/>
              <w:right w:val="single" w:color="auto" w:sz="4" w:space="0"/>
            </w:tcBorders>
            <w:vAlign w:val="center"/>
          </w:tcPr>
          <w:p w14:paraId="13AD089B">
            <w:pPr>
              <w:keepNext/>
              <w:keepLines/>
              <w:spacing w:line="276" w:lineRule="auto"/>
              <w:outlineLvl w:val="2"/>
              <w:rPr>
                <w:rFonts w:hint="eastAsia" w:ascii="宋体" w:hAnsi="宋体" w:eastAsia="宋体" w:cs="宋体"/>
                <w:color w:val="auto"/>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34D04A61">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3269" w:type="pct"/>
            <w:tcBorders>
              <w:top w:val="single" w:color="auto" w:sz="4" w:space="0"/>
              <w:left w:val="single" w:color="auto" w:sz="4" w:space="0"/>
              <w:bottom w:val="single" w:color="auto" w:sz="4" w:space="0"/>
            </w:tcBorders>
            <w:vAlign w:val="center"/>
          </w:tcPr>
          <w:p w14:paraId="2503DD87">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符合第二章“投标人须知前附表”第 3.3.1 项规定</w:t>
            </w:r>
          </w:p>
        </w:tc>
      </w:tr>
      <w:tr w14:paraId="68E482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9" w:hRule="atLeast"/>
        </w:trPr>
        <w:tc>
          <w:tcPr>
            <w:tcW w:w="424" w:type="pct"/>
            <w:vMerge w:val="continue"/>
            <w:tcBorders>
              <w:right w:val="single" w:color="auto" w:sz="4" w:space="0"/>
            </w:tcBorders>
            <w:vAlign w:val="center"/>
          </w:tcPr>
          <w:p w14:paraId="66172174">
            <w:pPr>
              <w:keepNext/>
              <w:keepLines/>
              <w:spacing w:line="276" w:lineRule="auto"/>
              <w:outlineLvl w:val="2"/>
              <w:rPr>
                <w:rFonts w:hint="eastAsia" w:ascii="宋体" w:hAnsi="宋体" w:eastAsia="宋体" w:cs="宋体"/>
                <w:color w:val="auto"/>
                <w:szCs w:val="21"/>
                <w:highlight w:val="none"/>
              </w:rPr>
            </w:pPr>
          </w:p>
        </w:tc>
        <w:tc>
          <w:tcPr>
            <w:tcW w:w="498" w:type="pct"/>
            <w:vMerge w:val="continue"/>
            <w:tcBorders>
              <w:left w:val="single" w:color="auto" w:sz="4" w:space="0"/>
              <w:right w:val="single" w:color="auto" w:sz="4" w:space="0"/>
            </w:tcBorders>
            <w:vAlign w:val="center"/>
          </w:tcPr>
          <w:p w14:paraId="692B3D40">
            <w:pPr>
              <w:keepNext/>
              <w:keepLines/>
              <w:spacing w:line="276" w:lineRule="auto"/>
              <w:outlineLvl w:val="2"/>
              <w:rPr>
                <w:rFonts w:hint="eastAsia" w:ascii="宋体" w:hAnsi="宋体" w:eastAsia="宋体" w:cs="宋体"/>
                <w:color w:val="auto"/>
                <w:szCs w:val="21"/>
                <w:highlight w:val="none"/>
              </w:rPr>
            </w:pPr>
          </w:p>
        </w:tc>
        <w:tc>
          <w:tcPr>
            <w:tcW w:w="806" w:type="pct"/>
            <w:tcBorders>
              <w:top w:val="single" w:color="auto" w:sz="4" w:space="0"/>
              <w:left w:val="single" w:color="auto" w:sz="4" w:space="0"/>
              <w:bottom w:val="single" w:color="auto" w:sz="4" w:space="0"/>
              <w:right w:val="single" w:color="auto" w:sz="4" w:space="0"/>
            </w:tcBorders>
          </w:tcPr>
          <w:p w14:paraId="00F79B03">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投标保证金</w:t>
            </w:r>
          </w:p>
        </w:tc>
        <w:tc>
          <w:tcPr>
            <w:tcW w:w="3269" w:type="pct"/>
            <w:tcBorders>
              <w:top w:val="single" w:color="auto" w:sz="4" w:space="0"/>
              <w:left w:val="single" w:color="auto" w:sz="4" w:space="0"/>
              <w:bottom w:val="single" w:color="auto" w:sz="4" w:space="0"/>
            </w:tcBorders>
          </w:tcPr>
          <w:p w14:paraId="6A81B423">
            <w:pPr>
              <w:spacing w:line="276" w:lineRule="auto"/>
              <w:rPr>
                <w:rFonts w:hint="eastAsia" w:ascii="宋体" w:hAnsi="宋体" w:eastAsia="宋体" w:cs="宋体"/>
                <w:color w:val="auto"/>
                <w:szCs w:val="21"/>
                <w:highlight w:val="none"/>
              </w:rPr>
            </w:pPr>
            <w:r>
              <w:rPr>
                <w:rFonts w:hint="eastAsia" w:ascii="宋体" w:hAnsi="宋体" w:eastAsia="宋体" w:cs="宋体"/>
                <w:color w:val="auto"/>
                <w:highlight w:val="none"/>
                <w:u w:val="single"/>
              </w:rPr>
              <w:t>按规定的格式及内容要求签署《关于投标保证金的承诺》</w:t>
            </w:r>
          </w:p>
        </w:tc>
      </w:tr>
      <w:tr w14:paraId="17181D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2" w:hRule="atLeast"/>
        </w:trPr>
        <w:tc>
          <w:tcPr>
            <w:tcW w:w="424" w:type="pct"/>
            <w:vMerge w:val="continue"/>
            <w:tcBorders>
              <w:bottom w:val="single" w:color="auto" w:sz="4" w:space="0"/>
              <w:right w:val="single" w:color="auto" w:sz="4" w:space="0"/>
            </w:tcBorders>
            <w:vAlign w:val="center"/>
          </w:tcPr>
          <w:p w14:paraId="4F9501B8">
            <w:pPr>
              <w:keepNext/>
              <w:keepLines/>
              <w:spacing w:line="276" w:lineRule="auto"/>
              <w:outlineLvl w:val="2"/>
              <w:rPr>
                <w:rFonts w:hint="eastAsia" w:ascii="宋体" w:hAnsi="宋体" w:eastAsia="宋体" w:cs="宋体"/>
                <w:color w:val="auto"/>
                <w:szCs w:val="21"/>
                <w:highlight w:val="none"/>
              </w:rPr>
            </w:pPr>
          </w:p>
        </w:tc>
        <w:tc>
          <w:tcPr>
            <w:tcW w:w="498" w:type="pct"/>
            <w:vMerge w:val="continue"/>
            <w:tcBorders>
              <w:left w:val="single" w:color="auto" w:sz="4" w:space="0"/>
              <w:bottom w:val="single" w:color="auto" w:sz="4" w:space="0"/>
              <w:right w:val="single" w:color="auto" w:sz="4" w:space="0"/>
            </w:tcBorders>
            <w:vAlign w:val="center"/>
          </w:tcPr>
          <w:p w14:paraId="059E0CC2">
            <w:pPr>
              <w:keepNext/>
              <w:keepLines/>
              <w:spacing w:line="276" w:lineRule="auto"/>
              <w:outlineLvl w:val="2"/>
              <w:rPr>
                <w:rFonts w:hint="eastAsia" w:ascii="宋体" w:hAnsi="宋体" w:eastAsia="宋体" w:cs="宋体"/>
                <w:color w:val="auto"/>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0B1FEA95">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串通投标情形</w:t>
            </w:r>
          </w:p>
        </w:tc>
        <w:tc>
          <w:tcPr>
            <w:tcW w:w="3269" w:type="pct"/>
            <w:tcBorders>
              <w:top w:val="single" w:color="auto" w:sz="4" w:space="0"/>
              <w:left w:val="single" w:color="auto" w:sz="4" w:space="0"/>
              <w:bottom w:val="single" w:color="auto" w:sz="4" w:space="0"/>
            </w:tcBorders>
            <w:vAlign w:val="center"/>
          </w:tcPr>
          <w:p w14:paraId="465EDEB5">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投标人之间不存在《广东省实施&lt;中华人民共和国招标投标法&gt;办法》第十六条所禁止的情形的；</w:t>
            </w:r>
          </w:p>
        </w:tc>
      </w:tr>
      <w:tr w14:paraId="35FCA5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923" w:type="pct"/>
            <w:gridSpan w:val="2"/>
            <w:tcBorders>
              <w:top w:val="single" w:color="auto" w:sz="4" w:space="0"/>
              <w:bottom w:val="single" w:color="auto" w:sz="4" w:space="0"/>
              <w:right w:val="single" w:color="auto" w:sz="4" w:space="0"/>
            </w:tcBorders>
            <w:vAlign w:val="center"/>
          </w:tcPr>
          <w:p w14:paraId="14226FE8">
            <w:pPr>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806" w:type="pct"/>
            <w:tcBorders>
              <w:top w:val="single" w:color="auto" w:sz="4" w:space="0"/>
              <w:left w:val="single" w:color="auto" w:sz="4" w:space="0"/>
              <w:bottom w:val="single" w:color="auto" w:sz="4" w:space="0"/>
              <w:right w:val="single" w:color="auto" w:sz="4" w:space="0"/>
            </w:tcBorders>
            <w:vAlign w:val="center"/>
          </w:tcPr>
          <w:p w14:paraId="20A26180">
            <w:pPr>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3269" w:type="pct"/>
            <w:tcBorders>
              <w:top w:val="single" w:color="auto" w:sz="4" w:space="0"/>
              <w:left w:val="single" w:color="auto" w:sz="4" w:space="0"/>
              <w:bottom w:val="single" w:color="auto" w:sz="4" w:space="0"/>
              <w:right w:val="single" w:color="auto" w:sz="4" w:space="0"/>
            </w:tcBorders>
            <w:vAlign w:val="center"/>
          </w:tcPr>
          <w:p w14:paraId="3C1B6D0D">
            <w:pPr>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编列内容</w:t>
            </w:r>
          </w:p>
        </w:tc>
      </w:tr>
      <w:tr w14:paraId="32E723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trPr>
        <w:tc>
          <w:tcPr>
            <w:tcW w:w="923" w:type="pct"/>
            <w:gridSpan w:val="2"/>
            <w:tcBorders>
              <w:bottom w:val="single" w:color="auto" w:sz="4" w:space="0"/>
              <w:right w:val="single" w:color="auto" w:sz="4" w:space="0"/>
            </w:tcBorders>
            <w:vAlign w:val="center"/>
          </w:tcPr>
          <w:p w14:paraId="76948197">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w:t>
            </w:r>
          </w:p>
        </w:tc>
        <w:tc>
          <w:tcPr>
            <w:tcW w:w="806" w:type="pct"/>
            <w:tcBorders>
              <w:top w:val="single" w:color="auto" w:sz="4" w:space="0"/>
              <w:left w:val="single" w:color="auto" w:sz="4" w:space="0"/>
              <w:bottom w:val="single" w:color="auto" w:sz="4" w:space="0"/>
              <w:right w:val="single" w:color="auto" w:sz="4" w:space="0"/>
            </w:tcBorders>
            <w:vAlign w:val="center"/>
          </w:tcPr>
          <w:p w14:paraId="142C1A83">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分值构成</w:t>
            </w:r>
          </w:p>
          <w:p w14:paraId="682CF6C8">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(总分100分)</w:t>
            </w:r>
          </w:p>
        </w:tc>
        <w:tc>
          <w:tcPr>
            <w:tcW w:w="3269" w:type="pct"/>
            <w:tcBorders>
              <w:top w:val="single" w:color="auto" w:sz="4" w:space="0"/>
              <w:left w:val="single" w:color="auto" w:sz="4" w:space="0"/>
              <w:bottom w:val="single" w:color="auto" w:sz="4" w:space="0"/>
              <w:right w:val="single" w:color="auto" w:sz="4" w:space="0"/>
            </w:tcBorders>
            <w:vAlign w:val="center"/>
          </w:tcPr>
          <w:p w14:paraId="7E6FAFD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A资信业绩部分：</w:t>
            </w:r>
            <w:r>
              <w:rPr>
                <w:rFonts w:hint="eastAsia" w:ascii="宋体" w:hAnsi="宋体" w:cs="宋体"/>
                <w:color w:val="auto"/>
                <w:szCs w:val="21"/>
                <w:highlight w:val="none"/>
                <w:lang w:val="en-US" w:eastAsia="zh-CN"/>
              </w:rPr>
              <w:t>60</w:t>
            </w:r>
            <w:r>
              <w:rPr>
                <w:rFonts w:hint="eastAsia" w:ascii="宋体" w:hAnsi="宋体" w:eastAsia="宋体" w:cs="宋体"/>
                <w:color w:val="auto"/>
                <w:szCs w:val="21"/>
                <w:highlight w:val="none"/>
              </w:rPr>
              <w:t>分</w:t>
            </w:r>
          </w:p>
          <w:p w14:paraId="22431DE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B监测技术方案：</w:t>
            </w: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rPr>
              <w:t>分</w:t>
            </w:r>
          </w:p>
          <w:p w14:paraId="3817086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C投标报价：</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0分</w:t>
            </w:r>
          </w:p>
          <w:p w14:paraId="67ACDDA7">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投标人总得分=A+B+C，A、B、C得分为各评委的评分汇总后去掉一个最高分和一个最低分后计取的算术平均分。分数出现小数点时，保留小数点后二位，第三位小数四舍五入）；</w:t>
            </w:r>
          </w:p>
        </w:tc>
      </w:tr>
      <w:tr w14:paraId="2FFA7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43" w:hRule="atLeast"/>
        </w:trPr>
        <w:tc>
          <w:tcPr>
            <w:tcW w:w="923" w:type="pct"/>
            <w:gridSpan w:val="2"/>
            <w:tcBorders>
              <w:top w:val="single" w:color="auto" w:sz="4" w:space="0"/>
              <w:bottom w:val="single" w:color="auto" w:sz="4" w:space="0"/>
              <w:right w:val="single" w:color="auto" w:sz="4" w:space="0"/>
            </w:tcBorders>
            <w:vAlign w:val="center"/>
          </w:tcPr>
          <w:p w14:paraId="4FBB0F68">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w:t>
            </w:r>
          </w:p>
        </w:tc>
        <w:tc>
          <w:tcPr>
            <w:tcW w:w="806" w:type="pct"/>
            <w:tcBorders>
              <w:top w:val="single" w:color="auto" w:sz="4" w:space="0"/>
              <w:left w:val="single" w:color="auto" w:sz="4" w:space="0"/>
              <w:bottom w:val="single" w:color="auto" w:sz="4" w:space="0"/>
              <w:right w:val="single" w:color="auto" w:sz="4" w:space="0"/>
            </w:tcBorders>
            <w:vAlign w:val="center"/>
          </w:tcPr>
          <w:p w14:paraId="7604679B">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评标基准价计算方法</w:t>
            </w:r>
          </w:p>
        </w:tc>
        <w:tc>
          <w:tcPr>
            <w:tcW w:w="3269" w:type="pct"/>
            <w:tcBorders>
              <w:top w:val="single" w:color="auto" w:sz="4" w:space="0"/>
              <w:left w:val="single" w:color="auto" w:sz="4" w:space="0"/>
              <w:bottom w:val="single" w:color="auto" w:sz="4" w:space="0"/>
              <w:right w:val="single" w:color="auto" w:sz="4" w:space="0"/>
            </w:tcBorders>
            <w:vAlign w:val="center"/>
          </w:tcPr>
          <w:p w14:paraId="394E0CF5">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当通过初步评审的有效投标人大于或等于5名且投标报价为有效投标价时，去掉一个最高价和一个最低价，取余下有效投标价的算术平均值的作为评标基准价。当通过初步评审的有效投标人小于5名时，取所有入围的有效投标价的算术平均值的作为评标基准价。</w:t>
            </w:r>
          </w:p>
        </w:tc>
      </w:tr>
      <w:tr w14:paraId="2C72F3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3" w:type="pct"/>
            <w:gridSpan w:val="2"/>
            <w:tcBorders>
              <w:top w:val="single" w:color="auto" w:sz="4" w:space="0"/>
              <w:bottom w:val="single" w:color="auto" w:sz="4" w:space="0"/>
              <w:right w:val="single" w:color="auto" w:sz="4" w:space="0"/>
            </w:tcBorders>
            <w:vAlign w:val="center"/>
          </w:tcPr>
          <w:p w14:paraId="3EB1FDCA">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w:t>
            </w:r>
          </w:p>
        </w:tc>
        <w:tc>
          <w:tcPr>
            <w:tcW w:w="806" w:type="pct"/>
            <w:tcBorders>
              <w:top w:val="single" w:color="auto" w:sz="4" w:space="0"/>
              <w:left w:val="single" w:color="auto" w:sz="4" w:space="0"/>
              <w:bottom w:val="single" w:color="auto" w:sz="4" w:space="0"/>
              <w:right w:val="single" w:color="auto" w:sz="4" w:space="0"/>
            </w:tcBorders>
            <w:vAlign w:val="center"/>
          </w:tcPr>
          <w:p w14:paraId="73C27F08">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投标报价的偏差率计算公式</w:t>
            </w:r>
          </w:p>
        </w:tc>
        <w:tc>
          <w:tcPr>
            <w:tcW w:w="3269" w:type="pct"/>
            <w:tcBorders>
              <w:top w:val="single" w:color="auto" w:sz="4" w:space="0"/>
              <w:left w:val="single" w:color="auto" w:sz="4" w:space="0"/>
              <w:bottom w:val="single" w:color="auto" w:sz="4" w:space="0"/>
              <w:right w:val="single" w:color="auto" w:sz="4" w:space="0"/>
            </w:tcBorders>
            <w:vAlign w:val="center"/>
          </w:tcPr>
          <w:p w14:paraId="6EE2F6A0">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偏差率=∣投标总报价—评标基准价∣/评标基准价*100%（偏差率出现小数点时，保留小数点后二位，第三位小数四舍五入）</w:t>
            </w:r>
          </w:p>
        </w:tc>
      </w:tr>
    </w:tbl>
    <w:p w14:paraId="48BED0D5">
      <w:pPr>
        <w:pStyle w:val="21"/>
        <w:rPr>
          <w:color w:val="auto"/>
          <w:highlight w:val="none"/>
        </w:rPr>
      </w:pPr>
      <w:bookmarkStart w:id="152" w:name="_Toc16761"/>
      <w:bookmarkStart w:id="153" w:name="_Toc6317"/>
      <w:bookmarkStart w:id="154" w:name="_Toc25831"/>
      <w:bookmarkStart w:id="155" w:name="_Toc26875"/>
      <w:bookmarkStart w:id="156" w:name="_Toc27844"/>
      <w:bookmarkStart w:id="157" w:name="_Toc525063256"/>
      <w:bookmarkStart w:id="158" w:name="_Toc12458"/>
      <w:bookmarkStart w:id="159" w:name="_Toc28853"/>
      <w:bookmarkStart w:id="160" w:name="_Toc532367883"/>
    </w:p>
    <w:p w14:paraId="16153DF6">
      <w:pPr>
        <w:pStyle w:val="21"/>
        <w:rPr>
          <w:color w:val="auto"/>
          <w:highlight w:val="none"/>
        </w:rPr>
      </w:pP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1257"/>
        <w:gridCol w:w="1899"/>
        <w:gridCol w:w="29"/>
        <w:gridCol w:w="4841"/>
      </w:tblGrid>
      <w:tr w14:paraId="77F0D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1" w:type="pct"/>
            <w:gridSpan w:val="2"/>
            <w:tcBorders>
              <w:top w:val="single" w:color="auto" w:sz="4" w:space="0"/>
              <w:left w:val="single" w:color="auto" w:sz="4" w:space="0"/>
              <w:bottom w:val="single" w:color="auto" w:sz="4" w:space="0"/>
              <w:right w:val="single" w:color="auto" w:sz="4" w:space="0"/>
            </w:tcBorders>
            <w:noWrap w:val="0"/>
            <w:vAlign w:val="center"/>
          </w:tcPr>
          <w:p w14:paraId="4EC7B174">
            <w:pPr>
              <w:jc w:val="center"/>
              <w:rPr>
                <w:b/>
                <w:color w:val="auto"/>
                <w:szCs w:val="21"/>
              </w:rPr>
            </w:pPr>
            <w:r>
              <w:rPr>
                <w:rFonts w:hint="eastAsia" w:hAnsi="宋体"/>
                <w:b/>
                <w:color w:val="auto"/>
                <w:szCs w:val="21"/>
              </w:rPr>
              <w:t>条款号</w:t>
            </w:r>
          </w:p>
        </w:tc>
        <w:tc>
          <w:tcPr>
            <w:tcW w:w="1121"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B7082FC">
            <w:pPr>
              <w:jc w:val="center"/>
              <w:rPr>
                <w:b/>
                <w:color w:val="auto"/>
                <w:szCs w:val="21"/>
              </w:rPr>
            </w:pPr>
            <w:r>
              <w:rPr>
                <w:rFonts w:hint="eastAsia" w:hAnsi="宋体"/>
                <w:b/>
                <w:color w:val="auto"/>
                <w:szCs w:val="21"/>
              </w:rPr>
              <w:t>评审因素</w:t>
            </w:r>
          </w:p>
        </w:tc>
        <w:tc>
          <w:tcPr>
            <w:tcW w:w="2797"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D6FD82F">
            <w:pPr>
              <w:jc w:val="center"/>
              <w:rPr>
                <w:b/>
                <w:color w:val="auto"/>
                <w:szCs w:val="21"/>
              </w:rPr>
            </w:pPr>
            <w:r>
              <w:rPr>
                <w:rFonts w:hint="eastAsia" w:hAnsi="宋体"/>
                <w:b/>
                <w:color w:val="auto"/>
                <w:szCs w:val="21"/>
              </w:rPr>
              <w:t>评审标准</w:t>
            </w:r>
          </w:p>
        </w:tc>
      </w:tr>
      <w:tr w14:paraId="34388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351" w:type="pct"/>
            <w:vMerge w:val="restart"/>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1ACD49E1">
            <w:pPr>
              <w:spacing w:line="340" w:lineRule="exact"/>
              <w:jc w:val="center"/>
              <w:rPr>
                <w:rFonts w:ascii="宋体" w:hAnsi="宋体"/>
                <w:color w:val="auto"/>
                <w:szCs w:val="21"/>
              </w:rPr>
            </w:pPr>
            <w:r>
              <w:rPr>
                <w:rFonts w:hint="eastAsia" w:ascii="宋体" w:hAnsi="宋体"/>
                <w:color w:val="auto"/>
                <w:szCs w:val="21"/>
              </w:rPr>
              <w:t>2.2.4</w:t>
            </w:r>
          </w:p>
          <w:p w14:paraId="24663083">
            <w:pPr>
              <w:spacing w:line="340" w:lineRule="exact"/>
              <w:jc w:val="center"/>
              <w:rPr>
                <w:rFonts w:hint="eastAsia" w:ascii="宋体" w:hAnsi="宋体" w:eastAsia="宋体"/>
                <w:color w:val="auto"/>
                <w:szCs w:val="21"/>
              </w:rPr>
            </w:pPr>
            <w:r>
              <w:rPr>
                <w:rFonts w:hint="eastAsia" w:ascii="宋体" w:hAnsi="宋体"/>
                <w:color w:val="auto"/>
                <w:szCs w:val="21"/>
              </w:rPr>
              <w:t>（1）</w:t>
            </w:r>
          </w:p>
        </w:tc>
        <w:tc>
          <w:tcPr>
            <w:tcW w:w="729" w:type="pct"/>
            <w:vMerge w:val="restart"/>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7CD97F9B">
            <w:pPr>
              <w:spacing w:line="340" w:lineRule="exact"/>
              <w:jc w:val="center"/>
              <w:rPr>
                <w:rFonts w:ascii="宋体" w:hAnsi="宋体"/>
                <w:color w:val="auto"/>
                <w:szCs w:val="21"/>
              </w:rPr>
            </w:pPr>
            <w:r>
              <w:rPr>
                <w:rFonts w:hint="eastAsia"/>
                <w:color w:val="auto"/>
              </w:rPr>
              <w:t>资信业绩部分</w:t>
            </w:r>
          </w:p>
          <w:p w14:paraId="7ED216B0">
            <w:pPr>
              <w:tabs>
                <w:tab w:val="left" w:pos="720"/>
              </w:tabs>
              <w:snapToGrid w:val="0"/>
              <w:jc w:val="center"/>
              <w:rPr>
                <w:rFonts w:ascii="宋体" w:hAnsi="宋体"/>
                <w:color w:val="auto"/>
                <w:szCs w:val="21"/>
              </w:rPr>
            </w:pPr>
            <w:r>
              <w:rPr>
                <w:rFonts w:hint="eastAsia" w:ascii="宋体" w:hAnsi="宋体" w:eastAsia="宋体"/>
                <w:color w:val="auto"/>
                <w:szCs w:val="21"/>
              </w:rPr>
              <w:t>（60分）</w:t>
            </w:r>
          </w:p>
        </w:tc>
        <w:tc>
          <w:tcPr>
            <w:tcW w:w="1121"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393F3D9">
            <w:pPr>
              <w:tabs>
                <w:tab w:val="left" w:pos="720"/>
              </w:tabs>
              <w:snapToGrid w:val="0"/>
              <w:jc w:val="center"/>
              <w:rPr>
                <w:rFonts w:hint="eastAsia" w:ascii="宋体" w:hAnsi="宋体" w:eastAsia="宋体" w:cs="宋体"/>
                <w:color w:val="auto"/>
                <w:szCs w:val="21"/>
              </w:rPr>
            </w:pPr>
            <w:r>
              <w:rPr>
                <w:rFonts w:hint="eastAsia" w:ascii="宋体" w:hAnsi="宋体" w:eastAsia="宋体" w:cs="宋体"/>
                <w:color w:val="auto"/>
                <w:szCs w:val="21"/>
              </w:rPr>
              <w:t>类似业绩</w:t>
            </w:r>
          </w:p>
          <w:p w14:paraId="7DAD2770">
            <w:pPr>
              <w:tabs>
                <w:tab w:val="left" w:pos="720"/>
              </w:tabs>
              <w:snapToGrid w:val="0"/>
              <w:jc w:val="center"/>
              <w:rPr>
                <w:rFonts w:ascii="宋体" w:hAnsi="宋体" w:eastAsia="宋体"/>
                <w:color w:val="auto"/>
                <w:szCs w:val="21"/>
              </w:rPr>
            </w:pPr>
            <w:r>
              <w:rPr>
                <w:rFonts w:hint="eastAsia" w:ascii="宋体" w:hAnsi="宋体" w:eastAsia="宋体" w:cs="宋体"/>
                <w:color w:val="auto"/>
                <w:szCs w:val="21"/>
              </w:rPr>
              <w:t>（10分）</w:t>
            </w:r>
          </w:p>
        </w:tc>
        <w:tc>
          <w:tcPr>
            <w:tcW w:w="2797" w:type="pct"/>
            <w:tcBorders>
              <w:top w:val="single" w:color="auto" w:sz="4" w:space="0"/>
              <w:left w:val="single" w:color="auto" w:sz="4" w:space="0"/>
              <w:bottom w:val="single" w:color="auto" w:sz="4" w:space="0"/>
              <w:right w:val="single" w:color="auto" w:sz="4" w:space="0"/>
            </w:tcBorders>
            <w:noWrap w:val="0"/>
            <w:vAlign w:val="center"/>
          </w:tcPr>
          <w:p w14:paraId="6C35FCD3">
            <w:pPr>
              <w:rPr>
                <w:rFonts w:hint="eastAsia" w:ascii="宋体" w:hAnsi="宋体" w:eastAsia="宋体" w:cs="宋体"/>
                <w:color w:val="auto"/>
                <w:szCs w:val="21"/>
              </w:rPr>
            </w:pPr>
            <w:r>
              <w:rPr>
                <w:rFonts w:hint="eastAsia" w:ascii="宋体" w:hAnsi="宋体" w:eastAsia="宋体" w:cs="宋体"/>
                <w:color w:val="auto"/>
                <w:szCs w:val="21"/>
              </w:rPr>
              <w:t>投标人201</w:t>
            </w:r>
            <w:r>
              <w:rPr>
                <w:rFonts w:hint="eastAsia" w:ascii="宋体" w:hAnsi="宋体" w:cs="宋体"/>
                <w:color w:val="auto"/>
                <w:szCs w:val="21"/>
                <w:lang w:val="en-US" w:eastAsia="zh-CN"/>
              </w:rPr>
              <w:t>9</w:t>
            </w:r>
            <w:r>
              <w:rPr>
                <w:rFonts w:hint="eastAsia" w:ascii="宋体" w:hAnsi="宋体" w:eastAsia="宋体" w:cs="宋体"/>
                <w:color w:val="auto"/>
                <w:szCs w:val="21"/>
              </w:rPr>
              <w:t>年1月1日至今完成过合同金额不少于</w:t>
            </w:r>
            <w:r>
              <w:rPr>
                <w:rFonts w:hint="eastAsia" w:ascii="宋体" w:hAnsi="宋体" w:eastAsia="宋体" w:cs="宋体"/>
                <w:color w:val="auto"/>
                <w:szCs w:val="21"/>
                <w:lang w:val="en-US" w:eastAsia="zh-CN"/>
              </w:rPr>
              <w:t>12</w:t>
            </w:r>
            <w:r>
              <w:rPr>
                <w:rFonts w:hint="eastAsia" w:ascii="宋体" w:hAnsi="宋体" w:eastAsia="宋体" w:cs="宋体"/>
                <w:color w:val="auto"/>
                <w:szCs w:val="21"/>
              </w:rPr>
              <w:t>0万元的监测项目业绩，每项得2分，本项最多得10分。</w:t>
            </w:r>
          </w:p>
          <w:p w14:paraId="13146C6E">
            <w:pPr>
              <w:tabs>
                <w:tab w:val="left" w:pos="720"/>
              </w:tabs>
              <w:snapToGrid w:val="0"/>
              <w:rPr>
                <w:rFonts w:hint="eastAsia" w:ascii="宋体" w:hAnsi="宋体" w:eastAsia="宋体" w:cs="宋体"/>
                <w:color w:val="auto"/>
                <w:sz w:val="21"/>
                <w:szCs w:val="21"/>
                <w:lang w:eastAsia="zh-CN"/>
              </w:rPr>
            </w:pPr>
            <w:r>
              <w:rPr>
                <w:rFonts w:hint="eastAsia" w:ascii="宋体" w:hAnsi="宋体" w:eastAsia="宋体" w:cs="宋体"/>
                <w:color w:val="auto"/>
                <w:szCs w:val="21"/>
              </w:rPr>
              <w:t>注：</w:t>
            </w:r>
            <w:r>
              <w:rPr>
                <w:rFonts w:hint="eastAsia" w:ascii="宋体" w:hAnsi="宋体" w:cs="宋体"/>
                <w:color w:val="auto"/>
                <w:szCs w:val="21"/>
                <w:lang w:val="en-US" w:eastAsia="zh-CN"/>
              </w:rPr>
              <w:t>1、注：</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类似工程指包含本项目监测内容一项或多项的铁路或城际轨道交通或城市轨道交通工程监测业绩</w:t>
            </w:r>
            <w:r>
              <w:rPr>
                <w:rFonts w:hint="eastAsia" w:ascii="宋体" w:hAnsi="宋体" w:eastAsia="宋体" w:cs="宋体"/>
                <w:color w:val="auto"/>
                <w:sz w:val="21"/>
                <w:szCs w:val="21"/>
                <w:lang w:eastAsia="zh-CN"/>
              </w:rPr>
              <w:t>。</w:t>
            </w:r>
          </w:p>
          <w:p w14:paraId="02B0F7C8">
            <w:pPr>
              <w:tabs>
                <w:tab w:val="left" w:pos="720"/>
              </w:tabs>
              <w:snapToGrid w:val="0"/>
              <w:rPr>
                <w:rFonts w:ascii="宋体" w:hAnsi="宋体" w:eastAsia="宋体"/>
                <w:color w:val="auto"/>
                <w:szCs w:val="21"/>
              </w:rPr>
            </w:pPr>
            <w:r>
              <w:rPr>
                <w:rFonts w:hint="eastAsia" w:ascii="宋体" w:hAnsi="宋体" w:eastAsia="宋体" w:cs="宋体"/>
                <w:color w:val="auto"/>
                <w:szCs w:val="21"/>
                <w:lang w:val="en-US" w:eastAsia="zh-CN"/>
              </w:rPr>
              <w:t>2、</w:t>
            </w:r>
            <w:r>
              <w:rPr>
                <w:rFonts w:hint="eastAsia" w:ascii="宋体" w:hAnsi="宋体" w:eastAsia="宋体" w:cs="宋体"/>
                <w:color w:val="auto"/>
                <w:szCs w:val="21"/>
              </w:rPr>
              <w:t>需同时提供监测合同、监测报告等证明文件。业绩金额以合同金额为准，完成时间以监测报告为准。</w:t>
            </w:r>
          </w:p>
        </w:tc>
      </w:tr>
      <w:tr w14:paraId="2994A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jc w:val="center"/>
        </w:trPr>
        <w:tc>
          <w:tcPr>
            <w:tcW w:w="351"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339BD32C">
            <w:pPr>
              <w:spacing w:line="340" w:lineRule="exact"/>
              <w:jc w:val="center"/>
              <w:rPr>
                <w:rFonts w:ascii="宋体" w:hAnsi="宋体"/>
                <w:color w:val="auto"/>
                <w:szCs w:val="21"/>
              </w:rPr>
            </w:pPr>
          </w:p>
        </w:tc>
        <w:tc>
          <w:tcPr>
            <w:tcW w:w="729"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169CD3D5">
            <w:pPr>
              <w:tabs>
                <w:tab w:val="left" w:pos="720"/>
              </w:tabs>
              <w:snapToGrid w:val="0"/>
              <w:rPr>
                <w:rFonts w:ascii="宋体" w:hAnsi="宋体"/>
                <w:color w:val="auto"/>
                <w:szCs w:val="21"/>
              </w:rPr>
            </w:pPr>
          </w:p>
        </w:tc>
        <w:tc>
          <w:tcPr>
            <w:tcW w:w="1121"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5601EB0">
            <w:pPr>
              <w:tabs>
                <w:tab w:val="left" w:pos="720"/>
              </w:tabs>
              <w:snapToGrid w:val="0"/>
              <w:jc w:val="center"/>
              <w:rPr>
                <w:rFonts w:hint="eastAsia" w:ascii="宋体" w:hAnsi="宋体" w:eastAsia="宋体"/>
                <w:color w:val="auto"/>
                <w:szCs w:val="21"/>
              </w:rPr>
            </w:pPr>
            <w:r>
              <w:rPr>
                <w:rFonts w:hint="eastAsia" w:ascii="宋体" w:hAnsi="宋体" w:eastAsia="宋体"/>
                <w:color w:val="auto"/>
                <w:szCs w:val="21"/>
              </w:rPr>
              <w:t>项目奖项</w:t>
            </w:r>
          </w:p>
          <w:p w14:paraId="44E61A64">
            <w:pPr>
              <w:tabs>
                <w:tab w:val="left" w:pos="720"/>
              </w:tabs>
              <w:snapToGrid w:val="0"/>
              <w:jc w:val="center"/>
              <w:rPr>
                <w:rFonts w:ascii="宋体" w:hAnsi="宋体" w:eastAsia="宋体"/>
                <w:color w:val="auto"/>
                <w:szCs w:val="21"/>
              </w:rPr>
            </w:pPr>
            <w:r>
              <w:rPr>
                <w:rFonts w:hint="eastAsia" w:ascii="宋体" w:hAnsi="宋体" w:eastAsia="宋体"/>
                <w:color w:val="auto"/>
                <w:szCs w:val="21"/>
              </w:rPr>
              <w:t>（10分）</w:t>
            </w:r>
          </w:p>
        </w:tc>
        <w:tc>
          <w:tcPr>
            <w:tcW w:w="2797" w:type="pct"/>
            <w:tcBorders>
              <w:top w:val="single" w:color="auto" w:sz="4" w:space="0"/>
              <w:left w:val="single" w:color="auto" w:sz="4" w:space="0"/>
              <w:bottom w:val="single" w:color="auto" w:sz="4" w:space="0"/>
              <w:right w:val="single" w:color="auto" w:sz="4" w:space="0"/>
            </w:tcBorders>
            <w:noWrap w:val="0"/>
            <w:vAlign w:val="center"/>
          </w:tcPr>
          <w:p w14:paraId="0B92B2FA">
            <w:pPr>
              <w:tabs>
                <w:tab w:val="left" w:pos="720"/>
              </w:tabs>
              <w:snapToGrid w:val="0"/>
              <w:rPr>
                <w:rFonts w:hint="eastAsia" w:ascii="宋体" w:hAnsi="宋体" w:eastAsia="宋体"/>
                <w:color w:val="auto"/>
                <w:szCs w:val="21"/>
              </w:rPr>
            </w:pPr>
            <w:r>
              <w:rPr>
                <w:rFonts w:hint="eastAsia" w:ascii="宋体" w:hAnsi="宋体" w:eastAsia="宋体"/>
                <w:color w:val="auto"/>
                <w:szCs w:val="21"/>
              </w:rPr>
              <w:t>投标人</w:t>
            </w:r>
            <w:r>
              <w:rPr>
                <w:rFonts w:hint="eastAsia" w:ascii="宋体" w:hAnsi="宋体"/>
                <w:color w:val="auto"/>
                <w:szCs w:val="21"/>
              </w:rPr>
              <w:t>（若为联合体，以</w:t>
            </w:r>
            <w:r>
              <w:rPr>
                <w:rFonts w:hint="eastAsia" w:ascii="宋体" w:hAnsi="宋体" w:eastAsia="宋体"/>
                <w:color w:val="auto"/>
                <w:szCs w:val="21"/>
              </w:rPr>
              <w:t>主办</w:t>
            </w:r>
            <w:r>
              <w:rPr>
                <w:rFonts w:hint="eastAsia" w:ascii="宋体" w:hAnsi="宋体"/>
                <w:color w:val="auto"/>
                <w:szCs w:val="21"/>
              </w:rPr>
              <w:t>方提供的为准）</w:t>
            </w:r>
            <w:r>
              <w:rPr>
                <w:rFonts w:hint="eastAsia" w:ascii="宋体" w:hAnsi="宋体" w:eastAsia="宋体"/>
                <w:color w:val="auto"/>
                <w:szCs w:val="21"/>
              </w:rPr>
              <w:t>201</w:t>
            </w:r>
            <w:r>
              <w:rPr>
                <w:rFonts w:hint="eastAsia" w:ascii="宋体" w:hAnsi="宋体"/>
                <w:color w:val="auto"/>
                <w:szCs w:val="21"/>
                <w:lang w:val="en-US" w:eastAsia="zh-CN"/>
              </w:rPr>
              <w:t>9</w:t>
            </w:r>
            <w:r>
              <w:rPr>
                <w:rFonts w:hint="eastAsia" w:ascii="宋体" w:hAnsi="宋体" w:eastAsia="宋体"/>
                <w:color w:val="auto"/>
                <w:szCs w:val="21"/>
              </w:rPr>
              <w:t>年1月1日至今承担的监测（或测绘）项目，获得行业协会（学会）颁发的全国优秀（监测或测绘或地理信息产业）工程奖项的，每项得1.5分，省级优秀（监测或测绘或地理信息产业）工程奖项的，每项得1分，市级优秀（监测或测绘或地理信息产业）工程奖项的，每项得0.5分；本项最高得10分。</w:t>
            </w:r>
          </w:p>
          <w:p w14:paraId="73120FD1">
            <w:pPr>
              <w:tabs>
                <w:tab w:val="left" w:pos="720"/>
              </w:tabs>
              <w:snapToGrid w:val="0"/>
              <w:rPr>
                <w:rFonts w:ascii="宋体" w:hAnsi="宋体" w:eastAsia="宋体"/>
                <w:color w:val="auto"/>
                <w:szCs w:val="21"/>
              </w:rPr>
            </w:pPr>
            <w:r>
              <w:rPr>
                <w:rFonts w:hint="eastAsia" w:ascii="宋体" w:hAnsi="宋体" w:eastAsia="宋体"/>
                <w:color w:val="auto"/>
                <w:szCs w:val="21"/>
              </w:rPr>
              <w:t>注：需提供</w:t>
            </w:r>
            <w:r>
              <w:rPr>
                <w:rFonts w:hint="eastAsia" w:ascii="宋体" w:hAnsi="宋体" w:eastAsia="宋体" w:cs="宋体"/>
                <w:color w:val="auto"/>
                <w:szCs w:val="21"/>
              </w:rPr>
              <w:t>监测合同、监测报告、奖项</w:t>
            </w:r>
            <w:r>
              <w:rPr>
                <w:rFonts w:hint="eastAsia" w:ascii="宋体" w:hAnsi="宋体" w:eastAsia="宋体"/>
                <w:color w:val="auto"/>
                <w:szCs w:val="21"/>
              </w:rPr>
              <w:t>证明材料扫描件，时间以奖项颁发时间为准，不提供不得分。</w:t>
            </w:r>
          </w:p>
        </w:tc>
      </w:tr>
      <w:tr w14:paraId="2F1D3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jc w:val="center"/>
        </w:trPr>
        <w:tc>
          <w:tcPr>
            <w:tcW w:w="351"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1B820CB2">
            <w:pPr>
              <w:spacing w:line="340" w:lineRule="exact"/>
              <w:jc w:val="center"/>
              <w:rPr>
                <w:rFonts w:ascii="宋体" w:hAnsi="宋体"/>
                <w:color w:val="auto"/>
                <w:szCs w:val="21"/>
              </w:rPr>
            </w:pPr>
          </w:p>
        </w:tc>
        <w:tc>
          <w:tcPr>
            <w:tcW w:w="729"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0BB02501">
            <w:pPr>
              <w:tabs>
                <w:tab w:val="left" w:pos="720"/>
              </w:tabs>
              <w:snapToGrid w:val="0"/>
              <w:rPr>
                <w:rFonts w:ascii="宋体" w:hAnsi="宋体"/>
                <w:color w:val="auto"/>
                <w:szCs w:val="21"/>
              </w:rPr>
            </w:pPr>
          </w:p>
        </w:tc>
        <w:tc>
          <w:tcPr>
            <w:tcW w:w="1121" w:type="pct"/>
            <w:gridSpan w:val="2"/>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6EB84CBE">
            <w:pPr>
              <w:tabs>
                <w:tab w:val="left" w:pos="720"/>
              </w:tabs>
              <w:snapToGrid w:val="0"/>
              <w:jc w:val="center"/>
              <w:rPr>
                <w:rFonts w:hint="eastAsia" w:ascii="宋体" w:hAnsi="宋体" w:eastAsia="宋体" w:cs="宋体"/>
                <w:color w:val="auto"/>
                <w:szCs w:val="21"/>
              </w:rPr>
            </w:pPr>
            <w:r>
              <w:rPr>
                <w:rFonts w:hint="eastAsia" w:ascii="宋体" w:hAnsi="宋体" w:eastAsia="宋体" w:cs="宋体"/>
                <w:color w:val="auto"/>
                <w:szCs w:val="21"/>
              </w:rPr>
              <w:t>科研能力</w:t>
            </w:r>
          </w:p>
          <w:p w14:paraId="45DB6001">
            <w:pPr>
              <w:tabs>
                <w:tab w:val="left" w:pos="720"/>
              </w:tabs>
              <w:snapToGrid w:val="0"/>
              <w:jc w:val="center"/>
              <w:rPr>
                <w:rFonts w:ascii="宋体" w:hAnsi="宋体" w:eastAsia="宋体"/>
                <w:color w:val="auto"/>
                <w:szCs w:val="21"/>
              </w:rPr>
            </w:pPr>
            <w:r>
              <w:rPr>
                <w:rFonts w:hint="eastAsia" w:ascii="宋体" w:hAnsi="宋体" w:eastAsia="宋体"/>
                <w:color w:val="auto"/>
                <w:szCs w:val="21"/>
              </w:rPr>
              <w:t>（4分）</w:t>
            </w:r>
          </w:p>
        </w:tc>
        <w:tc>
          <w:tcPr>
            <w:tcW w:w="2797" w:type="pct"/>
            <w:tcBorders>
              <w:top w:val="single" w:color="auto" w:sz="4" w:space="0"/>
              <w:left w:val="single" w:color="auto" w:sz="4" w:space="0"/>
              <w:right w:val="single" w:color="auto" w:sz="4" w:space="0"/>
            </w:tcBorders>
            <w:noWrap w:val="0"/>
            <w:vAlign w:val="center"/>
          </w:tcPr>
          <w:p w14:paraId="46A451E7">
            <w:pPr>
              <w:tabs>
                <w:tab w:val="left" w:pos="720"/>
              </w:tabs>
              <w:snapToGrid w:val="0"/>
              <w:rPr>
                <w:rFonts w:ascii="宋体" w:hAnsi="宋体" w:cs="宋体"/>
                <w:color w:val="auto"/>
                <w:szCs w:val="21"/>
              </w:rPr>
            </w:pPr>
            <w:r>
              <w:rPr>
                <w:rFonts w:hint="eastAsia" w:ascii="宋体" w:hAnsi="宋体" w:cs="宋体"/>
                <w:color w:val="auto"/>
                <w:szCs w:val="21"/>
              </w:rPr>
              <w:t>投标人</w:t>
            </w:r>
            <w:r>
              <w:rPr>
                <w:rFonts w:hint="eastAsia" w:ascii="宋体" w:hAnsi="宋体"/>
                <w:color w:val="auto"/>
                <w:szCs w:val="21"/>
              </w:rPr>
              <w:t>（若为联合体，以主办方提供的为准）</w:t>
            </w:r>
            <w:r>
              <w:rPr>
                <w:rFonts w:hint="eastAsia" w:ascii="宋体" w:hAnsi="宋体" w:cs="宋体"/>
                <w:color w:val="auto"/>
                <w:szCs w:val="21"/>
              </w:rPr>
              <w:t>201</w:t>
            </w:r>
            <w:r>
              <w:rPr>
                <w:rFonts w:hint="eastAsia" w:ascii="宋体" w:hAnsi="宋体" w:cs="宋体"/>
                <w:color w:val="auto"/>
                <w:szCs w:val="21"/>
                <w:lang w:val="en-US" w:eastAsia="zh-CN"/>
              </w:rPr>
              <w:t>9</w:t>
            </w:r>
            <w:r>
              <w:rPr>
                <w:rFonts w:hint="eastAsia" w:ascii="宋体" w:hAnsi="宋体" w:cs="宋体"/>
                <w:color w:val="auto"/>
                <w:szCs w:val="21"/>
              </w:rPr>
              <w:t>年1月1日至今获得过省级或以上相关行业协会颁发的勘察与岩土工程类科学技术奖，每项得1分；获得过市级相关行业协会颁发的勘察与岩土工程类科学技术奖，每项得0.5分；最多得</w:t>
            </w:r>
            <w:r>
              <w:rPr>
                <w:rFonts w:ascii="宋体" w:hAnsi="宋体" w:cs="宋体"/>
                <w:color w:val="auto"/>
                <w:szCs w:val="21"/>
              </w:rPr>
              <w:t>4</w:t>
            </w:r>
            <w:r>
              <w:rPr>
                <w:rFonts w:hint="eastAsia" w:ascii="宋体" w:hAnsi="宋体" w:cs="宋体"/>
                <w:color w:val="auto"/>
                <w:szCs w:val="21"/>
              </w:rPr>
              <w:t>分。</w:t>
            </w:r>
          </w:p>
          <w:p w14:paraId="05115FC0">
            <w:pPr>
              <w:tabs>
                <w:tab w:val="left" w:pos="720"/>
              </w:tabs>
              <w:snapToGrid w:val="0"/>
              <w:ind w:firstLine="220"/>
              <w:rPr>
                <w:rFonts w:ascii="宋体" w:hAnsi="宋体" w:eastAsia="宋体"/>
                <w:color w:val="auto"/>
                <w:szCs w:val="21"/>
              </w:rPr>
            </w:pPr>
            <w:r>
              <w:rPr>
                <w:rFonts w:hint="eastAsia" w:ascii="宋体" w:hAnsi="宋体" w:cs="宋体"/>
                <w:color w:val="auto"/>
                <w:szCs w:val="21"/>
              </w:rPr>
              <w:t>注：获奖需提供获奖证书扫描件，不提供不得分。时间以获奖证书时间为准。</w:t>
            </w:r>
          </w:p>
        </w:tc>
      </w:tr>
      <w:tr w14:paraId="6BA9E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351"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5295447F">
            <w:pPr>
              <w:spacing w:line="340" w:lineRule="exact"/>
              <w:jc w:val="center"/>
              <w:rPr>
                <w:rFonts w:ascii="宋体" w:hAnsi="宋体"/>
                <w:color w:val="auto"/>
                <w:szCs w:val="21"/>
              </w:rPr>
            </w:pPr>
          </w:p>
        </w:tc>
        <w:tc>
          <w:tcPr>
            <w:tcW w:w="729"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441E5E80">
            <w:pPr>
              <w:spacing w:line="340" w:lineRule="exact"/>
              <w:jc w:val="center"/>
              <w:rPr>
                <w:rFonts w:ascii="宋体" w:hAnsi="宋体"/>
                <w:color w:val="auto"/>
                <w:szCs w:val="21"/>
              </w:rPr>
            </w:pPr>
          </w:p>
        </w:tc>
        <w:tc>
          <w:tcPr>
            <w:tcW w:w="1121" w:type="pct"/>
            <w:gridSpan w:val="2"/>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6C588FFB">
            <w:pPr>
              <w:pStyle w:val="27"/>
              <w:rPr>
                <w:rFonts w:hint="eastAsia" w:ascii="宋体" w:hAnsi="宋体" w:eastAsia="宋体"/>
                <w:color w:val="auto"/>
                <w:kern w:val="2"/>
                <w:sz w:val="21"/>
                <w:szCs w:val="21"/>
                <w:lang w:eastAsia="zh-CN"/>
              </w:rPr>
            </w:pPr>
            <w:r>
              <w:rPr>
                <w:rFonts w:hint="eastAsia" w:ascii="宋体" w:hAnsi="宋体" w:eastAsia="宋体"/>
                <w:color w:val="auto"/>
                <w:kern w:val="2"/>
                <w:sz w:val="21"/>
                <w:szCs w:val="21"/>
                <w:lang w:eastAsia="zh-CN"/>
              </w:rPr>
              <w:t>管理体系</w:t>
            </w:r>
          </w:p>
          <w:p w14:paraId="5E688166">
            <w:pPr>
              <w:pStyle w:val="27"/>
              <w:rPr>
                <w:rFonts w:hint="eastAsia" w:ascii="宋体" w:hAnsi="宋体" w:eastAsia="宋体"/>
                <w:color w:val="auto"/>
                <w:szCs w:val="21"/>
              </w:rPr>
            </w:pPr>
            <w:r>
              <w:rPr>
                <w:rFonts w:hint="eastAsia" w:ascii="宋体" w:hAnsi="宋体" w:eastAsia="宋体"/>
                <w:color w:val="auto"/>
                <w:szCs w:val="21"/>
              </w:rPr>
              <w:t>（</w:t>
            </w:r>
            <w:r>
              <w:rPr>
                <w:rFonts w:hint="eastAsia" w:ascii="宋体" w:hAnsi="宋体" w:eastAsia="宋体"/>
                <w:color w:val="auto"/>
                <w:szCs w:val="21"/>
                <w:lang w:val="en-US" w:eastAsia="zh-CN"/>
              </w:rPr>
              <w:t>8</w:t>
            </w:r>
            <w:r>
              <w:rPr>
                <w:rFonts w:hint="eastAsia" w:ascii="宋体" w:hAnsi="宋体" w:eastAsia="宋体"/>
                <w:color w:val="auto"/>
                <w:szCs w:val="21"/>
              </w:rPr>
              <w:t>分）</w:t>
            </w:r>
          </w:p>
        </w:tc>
        <w:tc>
          <w:tcPr>
            <w:tcW w:w="2797" w:type="pct"/>
            <w:tcBorders>
              <w:top w:val="single" w:color="auto" w:sz="4" w:space="0"/>
              <w:left w:val="single" w:color="auto" w:sz="4" w:space="0"/>
              <w:right w:val="single" w:color="auto" w:sz="4" w:space="0"/>
            </w:tcBorders>
            <w:noWrap w:val="0"/>
            <w:vAlign w:val="top"/>
          </w:tcPr>
          <w:p w14:paraId="080F27FB">
            <w:pPr>
              <w:snapToGrid w:val="0"/>
              <w:spacing w:before="156" w:beforeLines="50" w:line="288" w:lineRule="auto"/>
              <w:rPr>
                <w:rFonts w:ascii="宋体" w:hAnsi="宋体" w:cs="宋体"/>
                <w:color w:val="auto"/>
                <w:szCs w:val="21"/>
              </w:rPr>
            </w:pPr>
            <w:r>
              <w:rPr>
                <w:rFonts w:hint="eastAsia" w:ascii="宋体" w:hAnsi="宋体" w:cs="宋体"/>
                <w:color w:val="auto"/>
                <w:szCs w:val="21"/>
              </w:rPr>
              <w:t>投标人</w:t>
            </w:r>
            <w:r>
              <w:rPr>
                <w:rFonts w:hint="eastAsia" w:ascii="宋体" w:hAnsi="宋体"/>
                <w:color w:val="auto"/>
                <w:szCs w:val="21"/>
              </w:rPr>
              <w:t>（若为联合体，以主办方提供的为准）</w:t>
            </w:r>
            <w:r>
              <w:rPr>
                <w:rFonts w:hint="eastAsia" w:ascii="宋体" w:hAnsi="宋体" w:cs="宋体"/>
                <w:color w:val="auto"/>
                <w:szCs w:val="21"/>
              </w:rPr>
              <w:t>同时具有有效期内的质量管理体系认证证书、环境管理体系认证证书、职业健康安全管理体系认证证书的得</w:t>
            </w:r>
            <w:r>
              <w:rPr>
                <w:rFonts w:hint="eastAsia" w:ascii="宋体" w:hAnsi="宋体" w:cs="宋体"/>
                <w:color w:val="auto"/>
                <w:szCs w:val="21"/>
                <w:lang w:val="en-US" w:eastAsia="zh-CN"/>
              </w:rPr>
              <w:t>8</w:t>
            </w:r>
            <w:r>
              <w:rPr>
                <w:rFonts w:hint="eastAsia" w:ascii="宋体" w:hAnsi="宋体" w:cs="宋体"/>
                <w:color w:val="auto"/>
                <w:szCs w:val="21"/>
              </w:rPr>
              <w:t>分，具有其中</w:t>
            </w:r>
            <w:r>
              <w:rPr>
                <w:rFonts w:hint="eastAsia" w:ascii="宋体" w:hAnsi="宋体" w:eastAsia="宋体" w:cs="宋体"/>
                <w:color w:val="auto"/>
                <w:szCs w:val="21"/>
              </w:rPr>
              <w:t>2</w:t>
            </w:r>
            <w:r>
              <w:rPr>
                <w:rFonts w:hint="eastAsia" w:ascii="宋体" w:hAnsi="宋体" w:cs="宋体"/>
                <w:color w:val="auto"/>
                <w:szCs w:val="21"/>
              </w:rPr>
              <w:t>项的得</w:t>
            </w:r>
            <w:r>
              <w:rPr>
                <w:rFonts w:hint="eastAsia" w:ascii="宋体" w:hAnsi="宋体" w:cs="宋体"/>
                <w:color w:val="auto"/>
                <w:szCs w:val="21"/>
                <w:lang w:val="en-US" w:eastAsia="zh-CN"/>
              </w:rPr>
              <w:t>6</w:t>
            </w:r>
            <w:r>
              <w:rPr>
                <w:rFonts w:hint="eastAsia" w:ascii="宋体" w:hAnsi="宋体" w:cs="宋体"/>
                <w:color w:val="auto"/>
                <w:szCs w:val="21"/>
              </w:rPr>
              <w:t>分，具有其中1项的得</w:t>
            </w:r>
            <w:r>
              <w:rPr>
                <w:rFonts w:ascii="宋体" w:hAnsi="宋体" w:cs="宋体"/>
                <w:color w:val="auto"/>
                <w:szCs w:val="21"/>
              </w:rPr>
              <w:t>2</w:t>
            </w:r>
            <w:r>
              <w:rPr>
                <w:rFonts w:hint="eastAsia" w:ascii="宋体" w:hAnsi="宋体" w:cs="宋体"/>
                <w:color w:val="auto"/>
                <w:szCs w:val="21"/>
              </w:rPr>
              <w:t>分，没有不得分；最多得</w:t>
            </w:r>
            <w:r>
              <w:rPr>
                <w:rFonts w:hint="eastAsia" w:ascii="宋体" w:hAnsi="宋体" w:cs="宋体"/>
                <w:color w:val="auto"/>
                <w:szCs w:val="21"/>
                <w:lang w:val="en-US" w:eastAsia="zh-CN"/>
              </w:rPr>
              <w:t>8</w:t>
            </w:r>
            <w:r>
              <w:rPr>
                <w:rFonts w:hint="eastAsia" w:ascii="宋体" w:hAnsi="宋体" w:cs="宋体"/>
                <w:color w:val="auto"/>
                <w:szCs w:val="21"/>
              </w:rPr>
              <w:t>分。</w:t>
            </w:r>
          </w:p>
          <w:p w14:paraId="6D6DDD8F">
            <w:pPr>
              <w:rPr>
                <w:rFonts w:hint="eastAsia" w:ascii="宋体" w:hAnsi="宋体" w:eastAsia="宋体"/>
                <w:color w:val="auto"/>
                <w:szCs w:val="21"/>
              </w:rPr>
            </w:pPr>
            <w:r>
              <w:rPr>
                <w:rFonts w:hint="eastAsia" w:ascii="宋体" w:hAnsi="宋体" w:cs="宋体"/>
                <w:color w:val="auto"/>
                <w:szCs w:val="21"/>
              </w:rPr>
              <w:t>注：提供管理体系认证证书扫描件，未按要求提供或不符合以上要求的不得分。</w:t>
            </w:r>
          </w:p>
        </w:tc>
      </w:tr>
      <w:tr w14:paraId="6FFFA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351"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5BBE986E">
            <w:pPr>
              <w:spacing w:line="340" w:lineRule="exact"/>
              <w:jc w:val="center"/>
              <w:rPr>
                <w:rFonts w:ascii="宋体" w:hAnsi="宋体"/>
                <w:color w:val="auto"/>
                <w:szCs w:val="21"/>
              </w:rPr>
            </w:pPr>
          </w:p>
        </w:tc>
        <w:tc>
          <w:tcPr>
            <w:tcW w:w="729"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57BF0F34">
            <w:pPr>
              <w:spacing w:line="340" w:lineRule="exact"/>
              <w:jc w:val="center"/>
              <w:rPr>
                <w:rFonts w:ascii="宋体" w:hAnsi="宋体"/>
                <w:color w:val="auto"/>
                <w:szCs w:val="21"/>
              </w:rPr>
            </w:pPr>
          </w:p>
        </w:tc>
        <w:tc>
          <w:tcPr>
            <w:tcW w:w="1121"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159AE02">
            <w:pPr>
              <w:pStyle w:val="27"/>
              <w:rPr>
                <w:rFonts w:ascii="宋体" w:hAnsi="宋体" w:eastAsia="宋体"/>
                <w:color w:val="auto"/>
                <w:kern w:val="2"/>
                <w:sz w:val="21"/>
                <w:szCs w:val="21"/>
                <w:lang w:eastAsia="zh-CN"/>
              </w:rPr>
            </w:pPr>
            <w:r>
              <w:rPr>
                <w:rFonts w:hint="eastAsia" w:ascii="宋体" w:hAnsi="宋体" w:eastAsia="宋体"/>
                <w:color w:val="auto"/>
                <w:kern w:val="2"/>
                <w:sz w:val="21"/>
                <w:szCs w:val="21"/>
                <w:lang w:eastAsia="zh-CN"/>
              </w:rPr>
              <w:t>创新能力</w:t>
            </w:r>
          </w:p>
          <w:p w14:paraId="0CC903B5">
            <w:pPr>
              <w:pStyle w:val="27"/>
              <w:rPr>
                <w:rFonts w:hint="eastAsia" w:ascii="宋体" w:hAnsi="宋体" w:eastAsia="宋体"/>
                <w:color w:val="auto"/>
                <w:kern w:val="2"/>
                <w:sz w:val="21"/>
                <w:szCs w:val="21"/>
                <w:lang w:eastAsia="zh-CN"/>
              </w:rPr>
            </w:pPr>
            <w:r>
              <w:rPr>
                <w:rFonts w:hint="eastAsia" w:ascii="宋体" w:hAnsi="宋体" w:eastAsia="宋体"/>
                <w:color w:val="auto"/>
                <w:szCs w:val="21"/>
              </w:rPr>
              <w:t>（</w:t>
            </w:r>
            <w:r>
              <w:rPr>
                <w:rFonts w:hint="eastAsia" w:ascii="宋体" w:hAnsi="宋体" w:eastAsia="宋体"/>
                <w:color w:val="auto"/>
                <w:szCs w:val="21"/>
                <w:lang w:val="en-US" w:eastAsia="zh-CN"/>
              </w:rPr>
              <w:t>5</w:t>
            </w:r>
            <w:r>
              <w:rPr>
                <w:rFonts w:hint="eastAsia" w:ascii="宋体" w:hAnsi="宋体" w:eastAsia="宋体"/>
                <w:color w:val="auto"/>
                <w:szCs w:val="21"/>
              </w:rPr>
              <w:t>分）</w:t>
            </w:r>
          </w:p>
        </w:tc>
        <w:tc>
          <w:tcPr>
            <w:tcW w:w="2797" w:type="pct"/>
            <w:tcBorders>
              <w:top w:val="single" w:color="auto" w:sz="4" w:space="0"/>
              <w:left w:val="single" w:color="auto" w:sz="4" w:space="0"/>
              <w:bottom w:val="single" w:color="auto" w:sz="4" w:space="0"/>
              <w:right w:val="single" w:color="auto" w:sz="4" w:space="0"/>
            </w:tcBorders>
            <w:noWrap w:val="0"/>
            <w:vAlign w:val="center"/>
          </w:tcPr>
          <w:p w14:paraId="756879ED">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Cs w:val="21"/>
              </w:rPr>
              <w:t>投标人</w:t>
            </w:r>
            <w:r>
              <w:rPr>
                <w:rFonts w:hint="eastAsia" w:ascii="宋体" w:hAnsi="宋体"/>
                <w:color w:val="auto"/>
                <w:szCs w:val="21"/>
              </w:rPr>
              <w:t>（若为联合体，以主办方提供的为准）</w:t>
            </w:r>
            <w:r>
              <w:rPr>
                <w:rFonts w:hint="eastAsia" w:ascii="宋体" w:hAnsi="宋体" w:eastAsia="宋体" w:cs="宋体"/>
                <w:color w:val="auto"/>
                <w:szCs w:val="21"/>
              </w:rPr>
              <w:t>201</w:t>
            </w:r>
            <w:r>
              <w:rPr>
                <w:rFonts w:hint="eastAsia" w:ascii="宋体" w:hAnsi="宋体" w:cs="宋体"/>
                <w:color w:val="auto"/>
                <w:szCs w:val="21"/>
                <w:lang w:val="en-US" w:eastAsia="zh-CN"/>
              </w:rPr>
              <w:t>9</w:t>
            </w:r>
            <w:r>
              <w:rPr>
                <w:rFonts w:hint="eastAsia" w:ascii="宋体" w:hAnsi="宋体" w:eastAsia="宋体" w:cs="宋体"/>
                <w:color w:val="auto"/>
                <w:szCs w:val="21"/>
              </w:rPr>
              <w:t>年1月1日至今</w:t>
            </w:r>
            <w:r>
              <w:rPr>
                <w:rFonts w:hint="eastAsia" w:ascii="宋体" w:hAnsi="宋体" w:eastAsia="宋体" w:cs="宋体"/>
                <w:color w:val="auto"/>
                <w:sz w:val="21"/>
                <w:szCs w:val="21"/>
                <w:highlight w:val="none"/>
              </w:rPr>
              <w:t>投标人获得与监测类的发明专利或监测类实用新型</w:t>
            </w:r>
            <w:r>
              <w:rPr>
                <w:rFonts w:hint="eastAsia" w:ascii="宋体" w:hAnsi="宋体" w:eastAsia="宋体" w:cs="宋体"/>
                <w:color w:val="auto"/>
                <w:sz w:val="21"/>
                <w:szCs w:val="21"/>
                <w:highlight w:val="none"/>
                <w:lang w:val="en-US" w:eastAsia="zh-CN"/>
              </w:rPr>
              <w:t>证书</w:t>
            </w:r>
            <w:r>
              <w:rPr>
                <w:rFonts w:hint="eastAsia" w:ascii="宋体" w:hAnsi="宋体" w:eastAsia="宋体" w:cs="宋体"/>
                <w:color w:val="auto"/>
                <w:sz w:val="21"/>
                <w:szCs w:val="21"/>
                <w:highlight w:val="none"/>
              </w:rPr>
              <w:t>的且为投标人所有的，每项得1分，最多得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67B5BCF1">
            <w:pPr>
              <w:spacing w:before="120"/>
              <w:rPr>
                <w:rFonts w:hint="eastAsia" w:ascii="宋体" w:hAnsi="宋体" w:eastAsia="宋体" w:cs="宋体"/>
                <w:color w:val="auto"/>
                <w:szCs w:val="21"/>
              </w:rPr>
            </w:pPr>
            <w:r>
              <w:rPr>
                <w:rFonts w:hint="eastAsia" w:ascii="宋体" w:hAnsi="宋体" w:eastAsia="宋体" w:cs="宋体"/>
                <w:color w:val="auto"/>
                <w:szCs w:val="21"/>
              </w:rPr>
              <w:t>注：须提供相关证书的扫描件，未按要求提供或不符合以上要求的不得分。</w:t>
            </w:r>
          </w:p>
        </w:tc>
      </w:tr>
      <w:tr w14:paraId="1A5F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351"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4C228064">
            <w:pPr>
              <w:spacing w:line="340" w:lineRule="exact"/>
              <w:jc w:val="center"/>
              <w:rPr>
                <w:rFonts w:ascii="宋体" w:hAnsi="宋体"/>
                <w:color w:val="auto"/>
                <w:szCs w:val="21"/>
              </w:rPr>
            </w:pPr>
          </w:p>
        </w:tc>
        <w:tc>
          <w:tcPr>
            <w:tcW w:w="729"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1144760E">
            <w:pPr>
              <w:spacing w:line="340" w:lineRule="exact"/>
              <w:jc w:val="center"/>
              <w:rPr>
                <w:rFonts w:ascii="宋体" w:hAnsi="宋体"/>
                <w:color w:val="auto"/>
                <w:szCs w:val="21"/>
              </w:rPr>
            </w:pPr>
          </w:p>
        </w:tc>
        <w:tc>
          <w:tcPr>
            <w:tcW w:w="1121" w:type="pct"/>
            <w:gridSpan w:val="2"/>
            <w:vMerge w:val="restart"/>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741FF4AC">
            <w:pPr>
              <w:snapToGrid w:val="0"/>
              <w:jc w:val="center"/>
              <w:rPr>
                <w:rFonts w:hint="eastAsia" w:ascii="宋体" w:hAnsi="宋体" w:eastAsia="宋体" w:cs="宋体"/>
                <w:color w:val="auto"/>
                <w:szCs w:val="21"/>
              </w:rPr>
            </w:pPr>
            <w:r>
              <w:rPr>
                <w:rFonts w:hint="eastAsia" w:ascii="宋体" w:hAnsi="宋体" w:eastAsia="宋体" w:cs="宋体"/>
                <w:color w:val="auto"/>
                <w:szCs w:val="21"/>
              </w:rPr>
              <w:t>主要监测人员</w:t>
            </w:r>
          </w:p>
          <w:p w14:paraId="252394A2">
            <w:pPr>
              <w:snapToGrid w:val="0"/>
              <w:jc w:val="center"/>
              <w:rPr>
                <w:rFonts w:hint="eastAsia" w:ascii="宋体" w:hAnsi="宋体" w:eastAsia="宋体" w:cs="宋体"/>
                <w:color w:val="auto"/>
                <w:szCs w:val="21"/>
              </w:rPr>
            </w:pPr>
            <w:r>
              <w:rPr>
                <w:rFonts w:hint="eastAsia" w:ascii="宋体" w:hAnsi="宋体" w:eastAsia="宋体" w:cs="宋体"/>
                <w:color w:val="auto"/>
                <w:szCs w:val="21"/>
              </w:rPr>
              <w:t>技术水平</w:t>
            </w:r>
          </w:p>
          <w:p w14:paraId="781B20F7">
            <w:pPr>
              <w:snapToGrid w:val="0"/>
              <w:jc w:val="center"/>
              <w:rPr>
                <w:rFonts w:ascii="宋体" w:hAnsi="宋体" w:eastAsia="宋体"/>
                <w:color w:val="auto"/>
                <w:szCs w:val="21"/>
              </w:rPr>
            </w:pPr>
            <w:r>
              <w:rPr>
                <w:rFonts w:hint="eastAsia" w:ascii="宋体" w:hAnsi="宋体" w:eastAsia="宋体" w:cs="宋体"/>
                <w:color w:val="auto"/>
                <w:szCs w:val="21"/>
              </w:rPr>
              <w:t>（2</w:t>
            </w:r>
            <w:r>
              <w:rPr>
                <w:rFonts w:hint="eastAsia" w:ascii="宋体" w:hAnsi="宋体" w:cs="宋体"/>
                <w:color w:val="auto"/>
                <w:szCs w:val="21"/>
                <w:lang w:val="en-US" w:eastAsia="zh-CN"/>
              </w:rPr>
              <w:t>3</w:t>
            </w:r>
            <w:r>
              <w:rPr>
                <w:rFonts w:hint="eastAsia" w:ascii="宋体" w:hAnsi="宋体" w:eastAsia="宋体" w:cs="宋体"/>
                <w:color w:val="auto"/>
                <w:szCs w:val="21"/>
              </w:rPr>
              <w:t>分）</w:t>
            </w:r>
          </w:p>
        </w:tc>
        <w:tc>
          <w:tcPr>
            <w:tcW w:w="2797" w:type="pct"/>
            <w:tcBorders>
              <w:top w:val="single" w:color="auto" w:sz="4" w:space="0"/>
              <w:left w:val="single" w:color="auto" w:sz="4" w:space="0"/>
              <w:bottom w:val="single" w:color="auto" w:sz="4" w:space="0"/>
              <w:right w:val="single" w:color="auto" w:sz="4" w:space="0"/>
            </w:tcBorders>
            <w:noWrap w:val="0"/>
            <w:vAlign w:val="center"/>
          </w:tcPr>
          <w:p w14:paraId="687FFC6C">
            <w:pPr>
              <w:rPr>
                <w:rFonts w:hint="eastAsia" w:ascii="宋体" w:hAnsi="宋体" w:eastAsia="宋体"/>
                <w:color w:val="auto"/>
                <w:szCs w:val="21"/>
              </w:rPr>
            </w:pPr>
            <w:r>
              <w:rPr>
                <w:rFonts w:hint="eastAsia" w:ascii="宋体" w:hAnsi="宋体" w:eastAsia="宋体"/>
                <w:color w:val="auto"/>
                <w:szCs w:val="21"/>
              </w:rPr>
              <w:t>项目负责人（</w:t>
            </w:r>
            <w:r>
              <w:rPr>
                <w:rFonts w:hint="eastAsia" w:ascii="宋体" w:hAnsi="宋体" w:eastAsia="宋体"/>
                <w:color w:val="auto"/>
                <w:szCs w:val="21"/>
                <w:lang w:val="en-US" w:eastAsia="zh-CN"/>
              </w:rPr>
              <w:t>7</w:t>
            </w:r>
            <w:r>
              <w:rPr>
                <w:rFonts w:hint="eastAsia" w:ascii="宋体" w:hAnsi="宋体" w:eastAsia="宋体"/>
                <w:color w:val="auto"/>
                <w:szCs w:val="21"/>
              </w:rPr>
              <w:t>分）：</w:t>
            </w:r>
          </w:p>
          <w:p w14:paraId="706FA233">
            <w:pPr>
              <w:rPr>
                <w:rFonts w:hint="eastAsia" w:ascii="宋体" w:hAnsi="宋体" w:eastAsia="宋体"/>
                <w:color w:val="auto"/>
                <w:szCs w:val="21"/>
              </w:rPr>
            </w:pPr>
            <w:r>
              <w:rPr>
                <w:rFonts w:hint="eastAsia" w:ascii="宋体" w:hAnsi="宋体" w:eastAsia="宋体"/>
                <w:color w:val="auto"/>
                <w:szCs w:val="21"/>
              </w:rPr>
              <w:t>①项目负责人具有岩土地质（或测绘）类正高级工程师（或教授级或研究员级）的得2分；具有岩土地质（或测绘）类高级工程师得1分；其余不得分。</w:t>
            </w:r>
          </w:p>
          <w:p w14:paraId="47376BE0">
            <w:pPr>
              <w:rPr>
                <w:rFonts w:hint="eastAsia" w:ascii="宋体" w:hAnsi="宋体" w:eastAsia="宋体"/>
                <w:color w:val="auto"/>
                <w:szCs w:val="21"/>
              </w:rPr>
            </w:pPr>
            <w:r>
              <w:rPr>
                <w:rFonts w:hint="eastAsia" w:ascii="宋体" w:hAnsi="宋体" w:eastAsia="宋体"/>
                <w:color w:val="auto"/>
                <w:szCs w:val="21"/>
              </w:rPr>
              <w:t>②项目负责人具备注册土木工程师（岩土）或注册测绘师</w:t>
            </w:r>
            <w:r>
              <w:rPr>
                <w:rFonts w:hint="eastAsia" w:ascii="宋体" w:hAnsi="宋体" w:eastAsia="宋体" w:cs="宋体"/>
                <w:color w:val="auto"/>
                <w:szCs w:val="21"/>
              </w:rPr>
              <w:t>（注册在本单位）</w:t>
            </w:r>
            <w:r>
              <w:rPr>
                <w:rFonts w:hint="eastAsia" w:ascii="宋体" w:hAnsi="宋体" w:eastAsia="宋体"/>
                <w:color w:val="auto"/>
                <w:szCs w:val="21"/>
              </w:rPr>
              <w:t>的加</w:t>
            </w:r>
            <w:r>
              <w:rPr>
                <w:rFonts w:hint="eastAsia" w:ascii="宋体" w:hAnsi="宋体" w:eastAsia="宋体"/>
                <w:color w:val="auto"/>
                <w:szCs w:val="21"/>
                <w:lang w:val="en-US" w:eastAsia="zh-CN"/>
              </w:rPr>
              <w:t>3</w:t>
            </w:r>
            <w:r>
              <w:rPr>
                <w:rFonts w:hint="eastAsia" w:ascii="宋体" w:hAnsi="宋体" w:eastAsia="宋体"/>
                <w:color w:val="auto"/>
                <w:szCs w:val="21"/>
              </w:rPr>
              <w:t>分。</w:t>
            </w:r>
          </w:p>
          <w:p w14:paraId="6209C6BA">
            <w:pPr>
              <w:rPr>
                <w:rFonts w:hint="eastAsia" w:ascii="宋体" w:hAnsi="宋体" w:eastAsia="宋体"/>
                <w:color w:val="auto"/>
                <w:szCs w:val="21"/>
              </w:rPr>
            </w:pPr>
            <w:r>
              <w:rPr>
                <w:rFonts w:hint="eastAsia" w:ascii="宋体" w:hAnsi="宋体" w:eastAsia="宋体"/>
                <w:color w:val="auto"/>
                <w:szCs w:val="21"/>
              </w:rPr>
              <w:t>③项目负责人持有建筑变形测量（或基坑监测）培训合格证加</w:t>
            </w:r>
            <w:r>
              <w:rPr>
                <w:rFonts w:hint="eastAsia" w:ascii="宋体" w:hAnsi="宋体" w:eastAsia="宋体"/>
                <w:color w:val="auto"/>
                <w:szCs w:val="21"/>
                <w:lang w:val="en-US" w:eastAsia="zh-CN"/>
              </w:rPr>
              <w:t>2</w:t>
            </w:r>
            <w:r>
              <w:rPr>
                <w:rFonts w:hint="eastAsia" w:ascii="宋体" w:hAnsi="宋体" w:eastAsia="宋体"/>
                <w:color w:val="auto"/>
                <w:szCs w:val="21"/>
              </w:rPr>
              <w:t>分。</w:t>
            </w:r>
          </w:p>
          <w:p w14:paraId="01EB8E57">
            <w:pPr>
              <w:rPr>
                <w:rFonts w:hint="eastAsia" w:ascii="宋体" w:hAnsi="宋体" w:eastAsia="宋体"/>
                <w:color w:val="auto"/>
                <w:szCs w:val="21"/>
              </w:rPr>
            </w:pPr>
            <w:r>
              <w:rPr>
                <w:rFonts w:hint="eastAsia" w:ascii="宋体" w:hAnsi="宋体" w:eastAsia="宋体"/>
                <w:color w:val="auto"/>
                <w:szCs w:val="21"/>
              </w:rPr>
              <w:t>本项最多得</w:t>
            </w:r>
            <w:r>
              <w:rPr>
                <w:rFonts w:hint="eastAsia" w:ascii="宋体" w:hAnsi="宋体" w:eastAsia="宋体"/>
                <w:color w:val="auto"/>
                <w:szCs w:val="21"/>
                <w:lang w:val="en-US" w:eastAsia="zh-CN"/>
              </w:rPr>
              <w:t>7</w:t>
            </w:r>
            <w:r>
              <w:rPr>
                <w:rFonts w:hint="eastAsia" w:ascii="宋体" w:hAnsi="宋体" w:eastAsia="宋体"/>
                <w:color w:val="auto"/>
                <w:szCs w:val="21"/>
              </w:rPr>
              <w:t>分。</w:t>
            </w:r>
          </w:p>
          <w:p w14:paraId="276E1CE6">
            <w:pPr>
              <w:rPr>
                <w:rFonts w:ascii="宋体" w:hAnsi="宋体" w:eastAsia="宋体"/>
                <w:color w:val="auto"/>
                <w:szCs w:val="21"/>
              </w:rPr>
            </w:pPr>
            <w:r>
              <w:rPr>
                <w:rFonts w:hint="eastAsia" w:ascii="宋体" w:hAnsi="宋体" w:eastAsia="宋体"/>
                <w:color w:val="auto"/>
                <w:szCs w:val="21"/>
              </w:rPr>
              <w:t>注：需提供身份证、职称证、注册证书</w:t>
            </w:r>
            <w:r>
              <w:rPr>
                <w:rFonts w:hint="eastAsia" w:ascii="宋体" w:hAnsi="宋体" w:eastAsia="宋体" w:cs="宋体"/>
                <w:color w:val="auto"/>
                <w:szCs w:val="21"/>
              </w:rPr>
              <w:t>（如有）</w:t>
            </w:r>
            <w:r>
              <w:rPr>
                <w:rFonts w:hint="eastAsia" w:ascii="宋体" w:hAnsi="宋体" w:eastAsia="宋体"/>
                <w:color w:val="auto"/>
                <w:szCs w:val="21"/>
              </w:rPr>
              <w:t>、</w:t>
            </w:r>
            <w:r>
              <w:rPr>
                <w:rFonts w:hint="eastAsia" w:ascii="宋体" w:hAnsi="宋体" w:eastAsia="宋体" w:cs="宋体"/>
                <w:color w:val="auto"/>
                <w:szCs w:val="21"/>
              </w:rPr>
              <w:t>培训证书（如有）、</w:t>
            </w:r>
            <w:r>
              <w:rPr>
                <w:rFonts w:hint="eastAsia" w:ascii="宋体" w:hAnsi="宋体" w:eastAsia="宋体"/>
                <w:color w:val="auto"/>
                <w:szCs w:val="21"/>
              </w:rPr>
              <w:t>社保证明材料扫描件。</w:t>
            </w:r>
          </w:p>
        </w:tc>
      </w:tr>
      <w:tr w14:paraId="5C23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351"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4641BD68">
            <w:pPr>
              <w:spacing w:line="340" w:lineRule="exact"/>
              <w:jc w:val="center"/>
              <w:rPr>
                <w:rFonts w:ascii="宋体" w:hAnsi="宋体"/>
                <w:color w:val="auto"/>
                <w:szCs w:val="21"/>
              </w:rPr>
            </w:pPr>
          </w:p>
        </w:tc>
        <w:tc>
          <w:tcPr>
            <w:tcW w:w="729"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48C89F10">
            <w:pPr>
              <w:spacing w:line="340" w:lineRule="exact"/>
              <w:jc w:val="center"/>
              <w:rPr>
                <w:rFonts w:ascii="宋体" w:hAnsi="宋体"/>
                <w:color w:val="auto"/>
                <w:szCs w:val="21"/>
              </w:rPr>
            </w:pPr>
          </w:p>
        </w:tc>
        <w:tc>
          <w:tcPr>
            <w:tcW w:w="1121" w:type="pct"/>
            <w:gridSpan w:val="2"/>
            <w:vMerge w:val="continue"/>
            <w:tcBorders>
              <w:left w:val="single" w:color="auto" w:sz="4" w:space="0"/>
              <w:right w:val="single" w:color="auto" w:sz="4" w:space="0"/>
            </w:tcBorders>
            <w:noWrap w:val="0"/>
            <w:tcMar>
              <w:top w:w="0" w:type="dxa"/>
              <w:left w:w="57" w:type="dxa"/>
              <w:bottom w:w="0" w:type="dxa"/>
              <w:right w:w="57" w:type="dxa"/>
            </w:tcMar>
            <w:vAlign w:val="center"/>
          </w:tcPr>
          <w:p w14:paraId="7C6FFF32">
            <w:pPr>
              <w:rPr>
                <w:rFonts w:ascii="宋体" w:hAnsi="宋体" w:eastAsia="宋体"/>
                <w:color w:val="auto"/>
                <w:szCs w:val="21"/>
              </w:rPr>
            </w:pPr>
          </w:p>
        </w:tc>
        <w:tc>
          <w:tcPr>
            <w:tcW w:w="2797" w:type="pct"/>
            <w:tcBorders>
              <w:top w:val="single" w:color="auto" w:sz="4" w:space="0"/>
              <w:left w:val="single" w:color="auto" w:sz="4" w:space="0"/>
              <w:bottom w:val="single" w:color="auto" w:sz="4" w:space="0"/>
              <w:right w:val="single" w:color="auto" w:sz="4" w:space="0"/>
            </w:tcBorders>
            <w:noWrap w:val="0"/>
            <w:vAlign w:val="center"/>
          </w:tcPr>
          <w:p w14:paraId="53ADC722">
            <w:pPr>
              <w:snapToGrid w:val="0"/>
              <w:spacing w:line="288" w:lineRule="auto"/>
              <w:rPr>
                <w:rFonts w:ascii="宋体" w:hAnsi="宋体" w:eastAsia="宋体" w:cs="宋体"/>
                <w:color w:val="auto"/>
                <w:szCs w:val="21"/>
              </w:rPr>
            </w:pPr>
            <w:r>
              <w:rPr>
                <w:rFonts w:hint="eastAsia" w:ascii="宋体" w:hAnsi="宋体" w:cs="宋体"/>
                <w:color w:val="auto"/>
                <w:szCs w:val="21"/>
              </w:rPr>
              <w:t>技术</w:t>
            </w:r>
            <w:r>
              <w:rPr>
                <w:rFonts w:hint="eastAsia" w:ascii="宋体" w:hAnsi="宋体" w:eastAsia="宋体" w:cs="宋体"/>
                <w:color w:val="auto"/>
                <w:szCs w:val="21"/>
              </w:rPr>
              <w:t>负责人（</w:t>
            </w:r>
            <w:r>
              <w:rPr>
                <w:rFonts w:hint="eastAsia" w:ascii="宋体" w:hAnsi="宋体" w:cs="宋体"/>
                <w:color w:val="auto"/>
                <w:szCs w:val="21"/>
                <w:lang w:val="en-US" w:eastAsia="zh-CN"/>
              </w:rPr>
              <w:t>6</w:t>
            </w:r>
            <w:r>
              <w:rPr>
                <w:rFonts w:hint="eastAsia" w:ascii="宋体" w:hAnsi="宋体" w:eastAsia="宋体" w:cs="宋体"/>
                <w:color w:val="auto"/>
                <w:szCs w:val="21"/>
              </w:rPr>
              <w:t>分）：</w:t>
            </w:r>
          </w:p>
          <w:p w14:paraId="09C4B7F0">
            <w:pPr>
              <w:spacing w:line="360" w:lineRule="exact"/>
              <w:rPr>
                <w:rFonts w:ascii="宋体" w:hAnsi="宋体" w:eastAsia="宋体" w:cs="宋体"/>
                <w:color w:val="auto"/>
                <w:szCs w:val="21"/>
              </w:rPr>
            </w:pPr>
            <w:r>
              <w:rPr>
                <w:rFonts w:hint="eastAsia" w:ascii="宋体" w:hAnsi="宋体" w:eastAsia="宋体" w:cs="宋体"/>
                <w:color w:val="auto"/>
                <w:szCs w:val="21"/>
              </w:rPr>
              <w:t>①技术负责人具有岩土地质（或测绘）类高级工程师得2分；具有岩土地质（或测绘）类工程师得1分；其余不得分。</w:t>
            </w:r>
          </w:p>
          <w:p w14:paraId="2BB650AA">
            <w:pPr>
              <w:spacing w:line="360" w:lineRule="exact"/>
              <w:rPr>
                <w:rFonts w:hint="eastAsia" w:ascii="宋体" w:hAnsi="宋体" w:eastAsia="宋体" w:cs="宋体"/>
                <w:color w:val="auto"/>
                <w:szCs w:val="21"/>
              </w:rPr>
            </w:pPr>
            <w:r>
              <w:rPr>
                <w:rFonts w:hint="eastAsia" w:ascii="宋体" w:hAnsi="宋体" w:eastAsia="宋体" w:cs="宋体"/>
                <w:color w:val="auto"/>
                <w:szCs w:val="21"/>
              </w:rPr>
              <w:t>②技术负责人具备注册土木工程师（岩土）或注册测绘师（注册在本单位）的加</w:t>
            </w:r>
            <w:r>
              <w:rPr>
                <w:rFonts w:hint="eastAsia" w:ascii="宋体" w:hAnsi="宋体" w:eastAsia="宋体" w:cs="宋体"/>
                <w:color w:val="auto"/>
                <w:szCs w:val="21"/>
                <w:lang w:val="en-US" w:eastAsia="zh-CN"/>
              </w:rPr>
              <w:t>3</w:t>
            </w:r>
            <w:r>
              <w:rPr>
                <w:rFonts w:hint="eastAsia" w:ascii="宋体" w:hAnsi="宋体" w:eastAsia="宋体" w:cs="宋体"/>
                <w:color w:val="auto"/>
                <w:szCs w:val="21"/>
              </w:rPr>
              <w:t>分。</w:t>
            </w:r>
          </w:p>
          <w:p w14:paraId="501EA385">
            <w:pPr>
              <w:rPr>
                <w:rFonts w:ascii="宋体" w:hAnsi="宋体" w:eastAsia="宋体"/>
                <w:color w:val="auto"/>
                <w:szCs w:val="21"/>
              </w:rPr>
            </w:pPr>
            <w:r>
              <w:rPr>
                <w:rFonts w:hint="eastAsia" w:ascii="宋体" w:hAnsi="宋体" w:eastAsia="宋体"/>
                <w:color w:val="auto"/>
                <w:szCs w:val="21"/>
              </w:rPr>
              <w:t>③</w:t>
            </w:r>
            <w:r>
              <w:rPr>
                <w:rFonts w:hint="eastAsia" w:ascii="宋体" w:hAnsi="宋体" w:eastAsia="宋体" w:cs="宋体"/>
                <w:color w:val="auto"/>
                <w:szCs w:val="21"/>
              </w:rPr>
              <w:t>技术负责人</w:t>
            </w:r>
            <w:r>
              <w:rPr>
                <w:rFonts w:hint="eastAsia" w:ascii="宋体" w:hAnsi="宋体" w:eastAsia="宋体"/>
                <w:color w:val="auto"/>
                <w:szCs w:val="21"/>
              </w:rPr>
              <w:t>持有建筑变形测量（或基坑监测）培训合格证加</w:t>
            </w:r>
            <w:r>
              <w:rPr>
                <w:rFonts w:hint="eastAsia" w:ascii="宋体" w:hAnsi="宋体"/>
                <w:color w:val="auto"/>
                <w:szCs w:val="21"/>
                <w:lang w:val="en-US" w:eastAsia="zh-CN"/>
              </w:rPr>
              <w:t>1</w:t>
            </w:r>
            <w:r>
              <w:rPr>
                <w:rFonts w:hint="eastAsia" w:ascii="宋体" w:hAnsi="宋体" w:eastAsia="宋体"/>
                <w:color w:val="auto"/>
                <w:szCs w:val="21"/>
              </w:rPr>
              <w:t>分。</w:t>
            </w:r>
          </w:p>
          <w:p w14:paraId="0A21A707">
            <w:pPr>
              <w:rPr>
                <w:rFonts w:ascii="宋体" w:hAnsi="宋体" w:eastAsia="宋体" w:cs="宋体"/>
                <w:color w:val="auto"/>
                <w:szCs w:val="21"/>
              </w:rPr>
            </w:pPr>
            <w:r>
              <w:rPr>
                <w:rFonts w:hint="eastAsia" w:ascii="宋体" w:hAnsi="宋体" w:eastAsia="宋体" w:cs="宋体"/>
                <w:color w:val="auto"/>
                <w:szCs w:val="21"/>
              </w:rPr>
              <w:t>本项最多得</w:t>
            </w:r>
            <w:r>
              <w:rPr>
                <w:rFonts w:hint="eastAsia" w:ascii="宋体" w:hAnsi="宋体" w:cs="宋体"/>
                <w:color w:val="auto"/>
                <w:szCs w:val="21"/>
                <w:lang w:val="en-US" w:eastAsia="zh-CN"/>
              </w:rPr>
              <w:t>6</w:t>
            </w:r>
            <w:r>
              <w:rPr>
                <w:rFonts w:hint="eastAsia" w:ascii="宋体" w:hAnsi="宋体" w:eastAsia="宋体" w:cs="宋体"/>
                <w:color w:val="auto"/>
                <w:szCs w:val="21"/>
              </w:rPr>
              <w:t>分。</w:t>
            </w:r>
          </w:p>
          <w:p w14:paraId="661B5918">
            <w:pPr>
              <w:tabs>
                <w:tab w:val="left" w:pos="720"/>
              </w:tabs>
              <w:snapToGrid w:val="0"/>
              <w:rPr>
                <w:rFonts w:ascii="宋体" w:hAnsi="宋体" w:eastAsia="宋体"/>
                <w:color w:val="auto"/>
                <w:szCs w:val="21"/>
              </w:rPr>
            </w:pPr>
            <w:r>
              <w:rPr>
                <w:rFonts w:hint="eastAsia" w:ascii="宋体" w:hAnsi="宋体" w:eastAsia="宋体" w:cs="宋体"/>
                <w:color w:val="auto"/>
                <w:szCs w:val="21"/>
              </w:rPr>
              <w:t>注：需提供身份证、职称证（如有）、注册证书（如有）、培训证书（如有）、社保证明材料扫描件。</w:t>
            </w:r>
          </w:p>
        </w:tc>
      </w:tr>
      <w:tr w14:paraId="37CCE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4" w:hRule="atLeast"/>
          <w:jc w:val="center"/>
        </w:trPr>
        <w:tc>
          <w:tcPr>
            <w:tcW w:w="351"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6334D496">
            <w:pPr>
              <w:spacing w:line="340" w:lineRule="exact"/>
              <w:jc w:val="center"/>
              <w:rPr>
                <w:rFonts w:ascii="宋体" w:hAnsi="宋体"/>
                <w:color w:val="auto"/>
                <w:szCs w:val="21"/>
              </w:rPr>
            </w:pPr>
          </w:p>
        </w:tc>
        <w:tc>
          <w:tcPr>
            <w:tcW w:w="729"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3FE3B6C5">
            <w:pPr>
              <w:spacing w:line="340" w:lineRule="exact"/>
              <w:jc w:val="center"/>
              <w:rPr>
                <w:rFonts w:ascii="宋体" w:hAnsi="宋体"/>
                <w:color w:val="auto"/>
                <w:szCs w:val="21"/>
              </w:rPr>
            </w:pPr>
          </w:p>
        </w:tc>
        <w:tc>
          <w:tcPr>
            <w:tcW w:w="1121" w:type="pct"/>
            <w:gridSpan w:val="2"/>
            <w:vMerge w:val="continue"/>
            <w:tcBorders>
              <w:left w:val="single" w:color="auto" w:sz="4" w:space="0"/>
              <w:right w:val="single" w:color="auto" w:sz="4" w:space="0"/>
            </w:tcBorders>
            <w:noWrap w:val="0"/>
            <w:tcMar>
              <w:top w:w="0" w:type="dxa"/>
              <w:left w:w="57" w:type="dxa"/>
              <w:bottom w:w="0" w:type="dxa"/>
              <w:right w:w="57" w:type="dxa"/>
            </w:tcMar>
            <w:vAlign w:val="center"/>
          </w:tcPr>
          <w:p w14:paraId="056643C8">
            <w:pPr>
              <w:rPr>
                <w:rFonts w:hint="eastAsia" w:ascii="宋体" w:hAnsi="宋体" w:eastAsia="宋体"/>
                <w:color w:val="auto"/>
                <w:szCs w:val="21"/>
              </w:rPr>
            </w:pPr>
          </w:p>
        </w:tc>
        <w:tc>
          <w:tcPr>
            <w:tcW w:w="2797" w:type="pct"/>
            <w:tcBorders>
              <w:top w:val="single" w:color="auto" w:sz="4" w:space="0"/>
              <w:left w:val="single" w:color="auto" w:sz="4" w:space="0"/>
              <w:right w:val="single" w:color="auto" w:sz="4" w:space="0"/>
            </w:tcBorders>
            <w:noWrap w:val="0"/>
            <w:vAlign w:val="center"/>
          </w:tcPr>
          <w:p w14:paraId="0047DD32">
            <w:pPr>
              <w:snapToGrid w:val="0"/>
              <w:spacing w:line="288" w:lineRule="auto"/>
              <w:rPr>
                <w:rFonts w:ascii="宋体" w:hAnsi="宋体" w:eastAsia="宋体" w:cs="宋体"/>
                <w:color w:val="auto"/>
                <w:szCs w:val="21"/>
              </w:rPr>
            </w:pPr>
            <w:r>
              <w:rPr>
                <w:rFonts w:hint="eastAsia" w:ascii="宋体" w:hAnsi="宋体" w:eastAsia="宋体" w:cs="宋体"/>
                <w:color w:val="auto"/>
                <w:szCs w:val="21"/>
              </w:rPr>
              <w:t>其他主要监测人员（不含项目负责人、技术负责人）（1</w:t>
            </w:r>
            <w:r>
              <w:rPr>
                <w:rFonts w:ascii="宋体" w:hAnsi="宋体" w:eastAsia="宋体" w:cs="宋体"/>
                <w:color w:val="auto"/>
                <w:szCs w:val="21"/>
              </w:rPr>
              <w:t>0</w:t>
            </w:r>
            <w:r>
              <w:rPr>
                <w:rFonts w:hint="eastAsia" w:ascii="宋体" w:hAnsi="宋体" w:eastAsia="宋体" w:cs="宋体"/>
                <w:color w:val="auto"/>
                <w:szCs w:val="21"/>
              </w:rPr>
              <w:t>分）：</w:t>
            </w:r>
          </w:p>
          <w:p w14:paraId="2DDEF448">
            <w:pPr>
              <w:rPr>
                <w:rFonts w:ascii="宋体" w:hAnsi="宋体" w:eastAsia="宋体" w:cs="宋体"/>
                <w:color w:val="auto"/>
                <w:szCs w:val="21"/>
              </w:rPr>
            </w:pPr>
            <w:r>
              <w:rPr>
                <w:rFonts w:hint="eastAsia" w:ascii="宋体" w:hAnsi="宋体" w:eastAsia="宋体" w:cs="宋体"/>
                <w:color w:val="auto"/>
                <w:szCs w:val="21"/>
              </w:rPr>
              <w:t>①拟配备本项目的其他主要监测人员具有工程类相关专业工程师或以上职称，每人得1分；最多得</w:t>
            </w:r>
            <w:r>
              <w:rPr>
                <w:rFonts w:ascii="宋体" w:hAnsi="宋体" w:eastAsia="宋体" w:cs="宋体"/>
                <w:color w:val="auto"/>
                <w:szCs w:val="21"/>
              </w:rPr>
              <w:t>7</w:t>
            </w:r>
            <w:r>
              <w:rPr>
                <w:rFonts w:hint="eastAsia" w:ascii="宋体" w:hAnsi="宋体" w:eastAsia="宋体" w:cs="宋体"/>
                <w:color w:val="auto"/>
                <w:szCs w:val="21"/>
              </w:rPr>
              <w:t>分。</w:t>
            </w:r>
          </w:p>
          <w:p w14:paraId="2A76F130">
            <w:pPr>
              <w:rPr>
                <w:rFonts w:ascii="宋体" w:hAnsi="宋体" w:eastAsia="宋体" w:cs="宋体"/>
                <w:color w:val="auto"/>
                <w:szCs w:val="21"/>
              </w:rPr>
            </w:pPr>
            <w:r>
              <w:rPr>
                <w:rFonts w:hint="eastAsia" w:ascii="宋体" w:hAnsi="宋体" w:eastAsia="宋体" w:cs="宋体"/>
                <w:color w:val="auto"/>
                <w:szCs w:val="21"/>
              </w:rPr>
              <w:t>②拟配备本项目的其他主要监测人员每有一名具有注册土木工程师（岩土）或注册测绘师（注册在本单位），且持有建筑变形测量（或基坑监测）培训合格证的，每人得1.5分；最多得3分。</w:t>
            </w:r>
          </w:p>
          <w:p w14:paraId="6CAA2557">
            <w:pPr>
              <w:rPr>
                <w:rFonts w:ascii="宋体" w:hAnsi="宋体" w:eastAsia="宋体" w:cs="宋体"/>
                <w:color w:val="auto"/>
                <w:szCs w:val="21"/>
              </w:rPr>
            </w:pPr>
            <w:r>
              <w:rPr>
                <w:rFonts w:hint="eastAsia" w:ascii="宋体" w:hAnsi="宋体" w:eastAsia="宋体" w:cs="宋体"/>
                <w:color w:val="auto"/>
                <w:szCs w:val="21"/>
              </w:rPr>
              <w:t>本项最多得1</w:t>
            </w:r>
            <w:r>
              <w:rPr>
                <w:rFonts w:ascii="宋体" w:hAnsi="宋体" w:eastAsia="宋体" w:cs="宋体"/>
                <w:color w:val="auto"/>
                <w:szCs w:val="21"/>
              </w:rPr>
              <w:t>0</w:t>
            </w:r>
            <w:r>
              <w:rPr>
                <w:rFonts w:hint="eastAsia" w:ascii="宋体" w:hAnsi="宋体" w:eastAsia="宋体" w:cs="宋体"/>
                <w:color w:val="auto"/>
                <w:szCs w:val="21"/>
              </w:rPr>
              <w:t>分。</w:t>
            </w:r>
          </w:p>
          <w:p w14:paraId="3421DFBD">
            <w:pPr>
              <w:rPr>
                <w:rFonts w:hint="eastAsia" w:ascii="宋体" w:hAnsi="宋体" w:eastAsia="宋体"/>
                <w:color w:val="auto"/>
                <w:szCs w:val="21"/>
              </w:rPr>
            </w:pPr>
            <w:r>
              <w:rPr>
                <w:rFonts w:hint="eastAsia" w:ascii="宋体" w:hAnsi="宋体" w:eastAsia="宋体" w:cs="宋体"/>
                <w:color w:val="auto"/>
                <w:szCs w:val="21"/>
              </w:rPr>
              <w:t>备注：需提供身份证、职称证（如有）、注册证书（如有）、培训证书（如有）、社保证明材料扫描件。</w:t>
            </w:r>
          </w:p>
        </w:tc>
      </w:tr>
      <w:tr w14:paraId="5FF2A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351" w:type="pct"/>
            <w:vMerge w:val="restart"/>
            <w:tcBorders>
              <w:left w:val="single" w:color="auto" w:sz="4" w:space="0"/>
              <w:right w:val="single" w:color="auto" w:sz="4" w:space="0"/>
            </w:tcBorders>
            <w:noWrap w:val="0"/>
            <w:tcMar>
              <w:top w:w="0" w:type="dxa"/>
              <w:left w:w="57" w:type="dxa"/>
              <w:bottom w:w="0" w:type="dxa"/>
              <w:right w:w="57" w:type="dxa"/>
            </w:tcMar>
            <w:vAlign w:val="center"/>
          </w:tcPr>
          <w:p w14:paraId="0A133785">
            <w:pPr>
              <w:spacing w:line="340" w:lineRule="exact"/>
              <w:jc w:val="center"/>
              <w:rPr>
                <w:rFonts w:ascii="宋体" w:hAnsi="宋体"/>
                <w:color w:val="auto"/>
                <w:szCs w:val="21"/>
              </w:rPr>
            </w:pPr>
            <w:r>
              <w:rPr>
                <w:rFonts w:hint="eastAsia" w:ascii="宋体" w:hAnsi="宋体"/>
                <w:color w:val="auto"/>
                <w:szCs w:val="21"/>
              </w:rPr>
              <w:t>2.2.4</w:t>
            </w:r>
          </w:p>
          <w:p w14:paraId="338ED99B">
            <w:pPr>
              <w:spacing w:line="340" w:lineRule="exact"/>
              <w:jc w:val="center"/>
              <w:rPr>
                <w:rFonts w:ascii="宋体" w:hAnsi="宋体" w:eastAsia="宋体"/>
                <w:color w:val="auto"/>
                <w:szCs w:val="21"/>
              </w:rPr>
            </w:pPr>
            <w:r>
              <w:rPr>
                <w:rFonts w:hint="eastAsia" w:ascii="宋体" w:hAnsi="宋体"/>
                <w:color w:val="auto"/>
                <w:szCs w:val="21"/>
              </w:rPr>
              <w:t>（2）</w:t>
            </w:r>
          </w:p>
        </w:tc>
        <w:tc>
          <w:tcPr>
            <w:tcW w:w="729" w:type="pct"/>
            <w:vMerge w:val="restart"/>
            <w:tcBorders>
              <w:left w:val="single" w:color="auto" w:sz="4" w:space="0"/>
              <w:right w:val="single" w:color="auto" w:sz="4" w:space="0"/>
            </w:tcBorders>
            <w:noWrap w:val="0"/>
            <w:tcMar>
              <w:top w:w="0" w:type="dxa"/>
              <w:left w:w="57" w:type="dxa"/>
              <w:bottom w:w="0" w:type="dxa"/>
              <w:right w:w="57" w:type="dxa"/>
            </w:tcMar>
            <w:vAlign w:val="center"/>
          </w:tcPr>
          <w:p w14:paraId="7ED7E9DD">
            <w:pPr>
              <w:spacing w:line="340" w:lineRule="exact"/>
              <w:jc w:val="center"/>
              <w:rPr>
                <w:rFonts w:hint="eastAsia" w:ascii="宋体" w:hAnsi="宋体" w:eastAsia="宋体"/>
                <w:color w:val="auto"/>
                <w:szCs w:val="21"/>
              </w:rPr>
            </w:pPr>
            <w:r>
              <w:rPr>
                <w:rFonts w:hint="eastAsia" w:ascii="宋体" w:hAnsi="宋体" w:eastAsia="宋体"/>
                <w:color w:val="auto"/>
                <w:szCs w:val="21"/>
              </w:rPr>
              <w:t>监测</w:t>
            </w:r>
            <w:r>
              <w:rPr>
                <w:rFonts w:hint="eastAsia" w:ascii="宋体" w:hAnsi="宋体"/>
                <w:color w:val="auto"/>
                <w:szCs w:val="21"/>
                <w:lang w:eastAsia="zh-CN"/>
              </w:rPr>
              <w:t>技术</w:t>
            </w:r>
            <w:r>
              <w:rPr>
                <w:rFonts w:hint="eastAsia" w:ascii="宋体" w:hAnsi="宋体" w:eastAsia="宋体"/>
                <w:color w:val="auto"/>
                <w:szCs w:val="21"/>
              </w:rPr>
              <w:t>方案</w:t>
            </w:r>
            <w:r>
              <w:rPr>
                <w:rFonts w:hint="eastAsia" w:ascii="宋体" w:hAnsi="宋体"/>
                <w:color w:val="auto"/>
                <w:szCs w:val="21"/>
              </w:rPr>
              <w:t>评分标准</w:t>
            </w:r>
          </w:p>
          <w:p w14:paraId="7D3B07EC">
            <w:pPr>
              <w:spacing w:line="340" w:lineRule="exact"/>
              <w:jc w:val="center"/>
              <w:rPr>
                <w:rFonts w:ascii="宋体" w:hAnsi="宋体"/>
                <w:color w:val="auto"/>
                <w:szCs w:val="21"/>
              </w:rPr>
            </w:pPr>
            <w:r>
              <w:rPr>
                <w:rFonts w:hint="eastAsia" w:ascii="宋体" w:hAnsi="宋体"/>
                <w:color w:val="auto"/>
                <w:szCs w:val="21"/>
              </w:rPr>
              <w:t>（</w:t>
            </w:r>
            <w:r>
              <w:rPr>
                <w:rFonts w:hint="eastAsia" w:ascii="宋体" w:hAnsi="宋体" w:eastAsia="宋体"/>
                <w:color w:val="auto"/>
                <w:szCs w:val="21"/>
              </w:rPr>
              <w:t>2</w:t>
            </w:r>
            <w:r>
              <w:rPr>
                <w:rFonts w:hint="eastAsia" w:ascii="宋体" w:hAnsi="宋体"/>
                <w:color w:val="auto"/>
                <w:szCs w:val="21"/>
              </w:rPr>
              <w:t>0分）</w:t>
            </w:r>
          </w:p>
        </w:tc>
        <w:tc>
          <w:tcPr>
            <w:tcW w:w="1121"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CAF3CBD">
            <w:pPr>
              <w:tabs>
                <w:tab w:val="left" w:pos="720"/>
              </w:tabs>
              <w:snapToGrid w:val="0"/>
              <w:jc w:val="center"/>
              <w:rPr>
                <w:rFonts w:ascii="宋体" w:hAnsi="宋体" w:eastAsia="宋体"/>
                <w:color w:val="auto"/>
                <w:szCs w:val="21"/>
              </w:rPr>
            </w:pPr>
            <w:r>
              <w:rPr>
                <w:rFonts w:hint="eastAsia" w:ascii="宋体" w:hAnsi="宋体" w:cs="宋体"/>
                <w:color w:val="auto"/>
                <w:sz w:val="22"/>
              </w:rPr>
              <w:t>拟投入仪器设备计划[10分]</w:t>
            </w:r>
          </w:p>
        </w:tc>
        <w:tc>
          <w:tcPr>
            <w:tcW w:w="2797" w:type="pct"/>
            <w:tcBorders>
              <w:top w:val="single" w:color="auto" w:sz="4" w:space="0"/>
              <w:left w:val="single" w:color="auto" w:sz="4" w:space="0"/>
              <w:bottom w:val="single" w:color="auto" w:sz="4" w:space="0"/>
              <w:right w:val="single" w:color="auto" w:sz="4" w:space="0"/>
            </w:tcBorders>
            <w:noWrap w:val="0"/>
            <w:vAlign w:val="center"/>
          </w:tcPr>
          <w:p w14:paraId="4BBCB591">
            <w:pPr>
              <w:snapToGrid w:val="0"/>
              <w:spacing w:line="288" w:lineRule="auto"/>
              <w:rPr>
                <w:rFonts w:ascii="宋体" w:hAnsi="宋体" w:cs="宋体"/>
                <w:color w:val="auto"/>
                <w:szCs w:val="21"/>
              </w:rPr>
            </w:pPr>
            <w:r>
              <w:rPr>
                <w:rFonts w:hint="eastAsia" w:ascii="宋体" w:hAnsi="宋体" w:cs="宋体"/>
                <w:color w:val="auto"/>
                <w:szCs w:val="21"/>
              </w:rPr>
              <w:t>【优】拟投入监测设备先进、配备合理，设备年检合格完全满足监测和服务期</w:t>
            </w:r>
            <w:r>
              <w:rPr>
                <w:rFonts w:hint="eastAsia" w:ascii="宋体" w:hAnsi="宋体" w:cs="宋体"/>
                <w:color w:val="auto"/>
                <w:szCs w:val="21"/>
                <w:highlight w:val="none"/>
              </w:rPr>
              <w:t>要求，得10分；</w:t>
            </w:r>
          </w:p>
          <w:p w14:paraId="100E0554">
            <w:pPr>
              <w:snapToGrid w:val="0"/>
              <w:spacing w:line="288" w:lineRule="auto"/>
              <w:rPr>
                <w:rFonts w:ascii="宋体" w:hAnsi="宋体" w:cs="宋体"/>
                <w:color w:val="auto"/>
                <w:szCs w:val="21"/>
              </w:rPr>
            </w:pPr>
            <w:r>
              <w:rPr>
                <w:rFonts w:hint="eastAsia" w:ascii="宋体" w:hAnsi="宋体" w:cs="宋体"/>
                <w:color w:val="auto"/>
                <w:szCs w:val="21"/>
              </w:rPr>
              <w:t>【良】拟投入监测设备先进、配备合理，设备年检合格能较好满足监测和服务期要求，得4-6分；</w:t>
            </w:r>
          </w:p>
          <w:p w14:paraId="7C32BBBD">
            <w:pPr>
              <w:snapToGrid w:val="0"/>
              <w:spacing w:line="288" w:lineRule="auto"/>
              <w:rPr>
                <w:rFonts w:ascii="宋体" w:hAnsi="宋体" w:cs="宋体"/>
                <w:color w:val="auto"/>
                <w:szCs w:val="21"/>
              </w:rPr>
            </w:pPr>
            <w:r>
              <w:rPr>
                <w:rFonts w:hint="eastAsia" w:ascii="宋体" w:hAnsi="宋体" w:cs="宋体"/>
                <w:color w:val="auto"/>
                <w:szCs w:val="21"/>
              </w:rPr>
              <w:t>【中】拟投入监测设备先进、配备基本合理，设备年检合格能基本满足监测和服务期要求，得1-3分；</w:t>
            </w:r>
          </w:p>
          <w:p w14:paraId="5F7335E3">
            <w:pPr>
              <w:snapToGrid w:val="0"/>
              <w:spacing w:line="288" w:lineRule="auto"/>
              <w:rPr>
                <w:rFonts w:ascii="宋体" w:hAnsi="宋体" w:cs="宋体"/>
                <w:color w:val="auto"/>
                <w:szCs w:val="21"/>
              </w:rPr>
            </w:pPr>
            <w:r>
              <w:rPr>
                <w:rFonts w:hint="eastAsia" w:ascii="宋体" w:hAnsi="宋体" w:cs="宋体"/>
                <w:color w:val="auto"/>
                <w:szCs w:val="21"/>
              </w:rPr>
              <w:t>【差】设备不能满足监测需要和服务期要求，不得分。</w:t>
            </w:r>
          </w:p>
          <w:p w14:paraId="42F24FB1">
            <w:pPr>
              <w:tabs>
                <w:tab w:val="left" w:pos="720"/>
              </w:tabs>
              <w:adjustRightInd w:val="0"/>
              <w:snapToGrid w:val="0"/>
              <w:ind w:left="-4" w:leftChars="-2"/>
              <w:textAlignment w:val="baseline"/>
              <w:rPr>
                <w:rFonts w:hint="eastAsia" w:ascii="宋体" w:hAnsi="宋体" w:cs="宋体"/>
                <w:color w:val="auto"/>
                <w:szCs w:val="21"/>
              </w:rPr>
            </w:pPr>
            <w:r>
              <w:rPr>
                <w:rFonts w:hint="eastAsia" w:ascii="宋体" w:hAnsi="宋体" w:cs="宋体"/>
                <w:color w:val="auto"/>
                <w:szCs w:val="21"/>
              </w:rPr>
              <w:t>注：设备若为自有的，须提交设备购置发票，若为租赁的，须提供租赁合同（租赁合同的租赁方必须为投标人）、仪器检定证书或其他证明材料的原件清晰扫描件。</w:t>
            </w:r>
          </w:p>
          <w:p w14:paraId="719A57F7">
            <w:pPr>
              <w:pStyle w:val="2"/>
              <w:ind w:left="0" w:leftChars="0" w:firstLine="0" w:firstLineChars="0"/>
              <w:rPr>
                <w:rFonts w:hint="default" w:eastAsia="宋体"/>
                <w:color w:val="auto"/>
                <w:lang w:val="en-US" w:eastAsia="zh-CN"/>
              </w:rPr>
            </w:pPr>
            <w:r>
              <w:rPr>
                <w:rFonts w:hint="eastAsia" w:ascii="宋体" w:hAnsi="宋体" w:cs="宋体"/>
                <w:color w:val="auto"/>
                <w:szCs w:val="21"/>
                <w:lang w:eastAsia="zh-CN"/>
              </w:rPr>
              <w:t>本项最多得</w:t>
            </w:r>
            <w:r>
              <w:rPr>
                <w:rFonts w:hint="eastAsia" w:ascii="宋体" w:hAnsi="宋体" w:cs="宋体"/>
                <w:color w:val="auto"/>
                <w:szCs w:val="21"/>
                <w:lang w:val="en-US" w:eastAsia="zh-CN"/>
              </w:rPr>
              <w:t>10分。</w:t>
            </w:r>
          </w:p>
        </w:tc>
      </w:tr>
      <w:tr w14:paraId="5338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7" w:hRule="atLeast"/>
          <w:jc w:val="center"/>
        </w:trPr>
        <w:tc>
          <w:tcPr>
            <w:tcW w:w="351"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5BA8F8A9">
            <w:pPr>
              <w:spacing w:line="340" w:lineRule="exact"/>
              <w:jc w:val="center"/>
              <w:rPr>
                <w:rFonts w:ascii="宋体" w:hAnsi="宋体"/>
                <w:color w:val="auto"/>
                <w:szCs w:val="21"/>
              </w:rPr>
            </w:pPr>
          </w:p>
        </w:tc>
        <w:tc>
          <w:tcPr>
            <w:tcW w:w="729"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7E3CD8AB">
            <w:pPr>
              <w:spacing w:line="340" w:lineRule="exact"/>
              <w:jc w:val="center"/>
              <w:rPr>
                <w:rFonts w:ascii="宋体" w:hAnsi="宋体"/>
                <w:color w:val="auto"/>
                <w:szCs w:val="21"/>
              </w:rPr>
            </w:pPr>
          </w:p>
        </w:tc>
        <w:tc>
          <w:tcPr>
            <w:tcW w:w="1121" w:type="pct"/>
            <w:gridSpan w:val="2"/>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3F62EB16">
            <w:pPr>
              <w:tabs>
                <w:tab w:val="left" w:pos="720"/>
              </w:tabs>
              <w:snapToGrid w:val="0"/>
              <w:jc w:val="center"/>
              <w:rPr>
                <w:rFonts w:ascii="宋体" w:hAnsi="宋体" w:eastAsia="宋体"/>
                <w:color w:val="auto"/>
                <w:szCs w:val="21"/>
              </w:rPr>
            </w:pPr>
            <w:r>
              <w:rPr>
                <w:rFonts w:hint="eastAsia" w:ascii="宋体" w:hAnsi="宋体" w:cs="宋体"/>
                <w:color w:val="auto"/>
                <w:sz w:val="22"/>
              </w:rPr>
              <w:t>监测方案[10分]</w:t>
            </w:r>
          </w:p>
        </w:tc>
        <w:tc>
          <w:tcPr>
            <w:tcW w:w="2797" w:type="pct"/>
            <w:tcBorders>
              <w:top w:val="single" w:color="auto" w:sz="4" w:space="0"/>
              <w:left w:val="single" w:color="auto" w:sz="4" w:space="0"/>
              <w:right w:val="single" w:color="auto" w:sz="4" w:space="0"/>
            </w:tcBorders>
            <w:noWrap w:val="0"/>
            <w:vAlign w:val="center"/>
          </w:tcPr>
          <w:p w14:paraId="19E58FDE">
            <w:pPr>
              <w:snapToGrid w:val="0"/>
              <w:spacing w:line="288" w:lineRule="auto"/>
              <w:rPr>
                <w:rFonts w:ascii="宋体" w:hAnsi="宋体" w:cs="宋体"/>
                <w:color w:val="auto"/>
                <w:szCs w:val="21"/>
              </w:rPr>
            </w:pPr>
            <w:r>
              <w:rPr>
                <w:rFonts w:hint="eastAsia" w:ascii="宋体" w:hAnsi="宋体" w:cs="宋体"/>
                <w:color w:val="auto"/>
                <w:szCs w:val="21"/>
              </w:rPr>
              <w:t>【优】：监测方案详细、具体，内容齐全，能满足本工程提出的所有项目；监测数据能实时上传政府的监管系统；有合理可行的保证通过相关验收、满足工程进度</w:t>
            </w:r>
            <w:r>
              <w:rPr>
                <w:rFonts w:hint="eastAsia" w:ascii="宋体" w:hAnsi="宋体" w:cs="宋体"/>
                <w:color w:val="auto"/>
                <w:szCs w:val="21"/>
                <w:lang w:eastAsia="zh-CN"/>
              </w:rPr>
              <w:t>、</w:t>
            </w:r>
            <w:r>
              <w:rPr>
                <w:rFonts w:hint="eastAsia" w:ascii="宋体" w:hAnsi="宋体" w:cs="宋体"/>
                <w:color w:val="auto"/>
                <w:szCs w:val="21"/>
                <w:lang w:val="en-US" w:eastAsia="zh-CN"/>
              </w:rPr>
              <w:t>质量和安全</w:t>
            </w:r>
            <w:r>
              <w:rPr>
                <w:rFonts w:hint="eastAsia" w:ascii="宋体" w:hAnsi="宋体" w:cs="宋体"/>
                <w:color w:val="auto"/>
                <w:szCs w:val="21"/>
              </w:rPr>
              <w:t>确保措施，得6-10分；</w:t>
            </w:r>
          </w:p>
          <w:p w14:paraId="7F0CD79A">
            <w:pPr>
              <w:snapToGrid w:val="0"/>
              <w:spacing w:line="288" w:lineRule="auto"/>
              <w:rPr>
                <w:rFonts w:ascii="宋体" w:hAnsi="宋体" w:cs="宋体"/>
                <w:color w:val="auto"/>
                <w:szCs w:val="21"/>
              </w:rPr>
            </w:pPr>
            <w:r>
              <w:rPr>
                <w:rFonts w:hint="eastAsia" w:ascii="宋体" w:hAnsi="宋体" w:cs="宋体"/>
                <w:color w:val="auto"/>
                <w:szCs w:val="21"/>
              </w:rPr>
              <w:t>【良】：监测方案较详细、较具体，内容较齐全；有比较可行的保证通过相关验收、满足工程进度</w:t>
            </w:r>
            <w:r>
              <w:rPr>
                <w:rFonts w:hint="eastAsia" w:ascii="宋体" w:hAnsi="宋体" w:cs="宋体"/>
                <w:color w:val="auto"/>
                <w:szCs w:val="21"/>
                <w:lang w:val="en-US" w:eastAsia="zh-CN"/>
              </w:rPr>
              <w:t>质量和安全</w:t>
            </w:r>
            <w:r>
              <w:rPr>
                <w:rFonts w:hint="eastAsia" w:ascii="宋体" w:hAnsi="宋体" w:cs="宋体"/>
                <w:color w:val="auto"/>
                <w:szCs w:val="21"/>
              </w:rPr>
              <w:t>确保措施，得4-5分；</w:t>
            </w:r>
          </w:p>
          <w:p w14:paraId="0A8088AF">
            <w:pPr>
              <w:snapToGrid w:val="0"/>
              <w:spacing w:line="288" w:lineRule="auto"/>
              <w:rPr>
                <w:rFonts w:ascii="宋体" w:hAnsi="宋体" w:cs="宋体"/>
                <w:color w:val="auto"/>
                <w:szCs w:val="21"/>
              </w:rPr>
            </w:pPr>
            <w:r>
              <w:rPr>
                <w:rFonts w:hint="eastAsia" w:ascii="宋体" w:hAnsi="宋体" w:cs="宋体"/>
                <w:color w:val="auto"/>
                <w:szCs w:val="21"/>
              </w:rPr>
              <w:t>【中】：监测方案基本内容满足要求，方法基本符合规范要求；有能通过相关验收、满足工程进度</w:t>
            </w:r>
            <w:r>
              <w:rPr>
                <w:rFonts w:hint="eastAsia" w:ascii="宋体" w:hAnsi="宋体" w:cs="宋体"/>
                <w:color w:val="auto"/>
                <w:szCs w:val="21"/>
                <w:lang w:val="en-US" w:eastAsia="zh-CN"/>
              </w:rPr>
              <w:t>质量和安全</w:t>
            </w:r>
            <w:r>
              <w:rPr>
                <w:rFonts w:hint="eastAsia" w:ascii="宋体" w:hAnsi="宋体" w:cs="宋体"/>
                <w:color w:val="auto"/>
                <w:szCs w:val="21"/>
              </w:rPr>
              <w:t>的确保措施，得1-3分；</w:t>
            </w:r>
          </w:p>
          <w:p w14:paraId="13D3C65B">
            <w:pPr>
              <w:tabs>
                <w:tab w:val="left" w:pos="720"/>
              </w:tabs>
              <w:adjustRightInd w:val="0"/>
              <w:snapToGrid w:val="0"/>
              <w:textAlignment w:val="baseline"/>
              <w:rPr>
                <w:rFonts w:hint="eastAsia" w:ascii="宋体" w:hAnsi="宋体" w:cs="宋体"/>
                <w:color w:val="auto"/>
                <w:szCs w:val="21"/>
              </w:rPr>
            </w:pPr>
            <w:r>
              <w:rPr>
                <w:rFonts w:hint="eastAsia" w:ascii="宋体" w:hAnsi="宋体" w:cs="宋体"/>
                <w:color w:val="auto"/>
                <w:szCs w:val="21"/>
              </w:rPr>
              <w:t>【差】：监测方法不能满足监测要求或未提供监测方案，不得分。</w:t>
            </w:r>
          </w:p>
          <w:p w14:paraId="106C5E80">
            <w:pPr>
              <w:pStyle w:val="2"/>
              <w:ind w:left="0" w:leftChars="0" w:firstLine="0" w:firstLineChars="0"/>
              <w:rPr>
                <w:rFonts w:hint="default" w:eastAsia="宋体"/>
                <w:color w:val="auto"/>
                <w:lang w:val="en-US" w:eastAsia="zh-CN"/>
              </w:rPr>
            </w:pPr>
            <w:r>
              <w:rPr>
                <w:rFonts w:hint="eastAsia" w:ascii="宋体" w:hAnsi="宋体" w:cs="宋体"/>
                <w:color w:val="auto"/>
                <w:szCs w:val="21"/>
                <w:lang w:eastAsia="zh-CN"/>
              </w:rPr>
              <w:t>本项最多得</w:t>
            </w:r>
            <w:r>
              <w:rPr>
                <w:rFonts w:hint="eastAsia" w:ascii="宋体" w:hAnsi="宋体" w:cs="宋体"/>
                <w:color w:val="auto"/>
                <w:szCs w:val="21"/>
                <w:lang w:val="en-US" w:eastAsia="zh-CN"/>
              </w:rPr>
              <w:t>10分。</w:t>
            </w:r>
          </w:p>
        </w:tc>
      </w:tr>
      <w:tr w14:paraId="5A45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351" w:type="pct"/>
            <w:tcBorders>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9BD4436">
            <w:pPr>
              <w:spacing w:line="408" w:lineRule="exact"/>
              <w:jc w:val="center"/>
              <w:rPr>
                <w:color w:val="auto"/>
              </w:rPr>
            </w:pPr>
            <w:r>
              <w:rPr>
                <w:color w:val="auto"/>
                <w:spacing w:val="-7"/>
              </w:rPr>
              <w:t>2.2.4</w:t>
            </w:r>
          </w:p>
          <w:p w14:paraId="534039CC">
            <w:pPr>
              <w:spacing w:line="442" w:lineRule="exact"/>
              <w:jc w:val="center"/>
              <w:rPr>
                <w:color w:val="auto"/>
              </w:rPr>
            </w:pPr>
            <w:r>
              <w:rPr>
                <w:rFonts w:ascii="Arial Unicode MS" w:hAnsi="Arial Unicode MS" w:cs="Arial Unicode MS"/>
                <w:color w:val="auto"/>
                <w:spacing w:val="-2"/>
              </w:rPr>
              <w:t>（</w:t>
            </w:r>
            <w:r>
              <w:rPr>
                <w:color w:val="auto"/>
                <w:spacing w:val="-7"/>
              </w:rPr>
              <w:t>3</w:t>
            </w:r>
            <w:r>
              <w:rPr>
                <w:rFonts w:ascii="Arial Unicode MS" w:hAnsi="Arial Unicode MS" w:cs="Arial Unicode MS"/>
                <w:color w:val="auto"/>
                <w:spacing w:val="-2"/>
              </w:rPr>
              <w:t>）</w:t>
            </w:r>
          </w:p>
        </w:tc>
        <w:tc>
          <w:tcPr>
            <w:tcW w:w="729" w:type="pct"/>
            <w:tcBorders>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9A48F97">
            <w:pPr>
              <w:spacing w:line="392" w:lineRule="exact"/>
              <w:ind w:left="142"/>
              <w:jc w:val="center"/>
              <w:rPr>
                <w:color w:val="auto"/>
              </w:rPr>
            </w:pPr>
            <w:r>
              <w:rPr>
                <w:rFonts w:ascii="宋体" w:hAnsi="宋体" w:cs="宋体"/>
                <w:color w:val="auto"/>
                <w:spacing w:val="-7"/>
              </w:rPr>
              <w:t>投标报价</w:t>
            </w:r>
          </w:p>
          <w:p w14:paraId="213C81A3">
            <w:pPr>
              <w:spacing w:line="442" w:lineRule="exact"/>
              <w:ind w:left="142"/>
              <w:jc w:val="center"/>
              <w:rPr>
                <w:rFonts w:hint="eastAsia" w:ascii="宋体" w:hAnsi="宋体" w:eastAsia="宋体" w:cs="宋体"/>
                <w:color w:val="auto"/>
                <w:spacing w:val="-7"/>
              </w:rPr>
            </w:pPr>
            <w:r>
              <w:rPr>
                <w:rFonts w:ascii="宋体" w:hAnsi="宋体" w:cs="宋体"/>
                <w:color w:val="auto"/>
                <w:spacing w:val="-7"/>
              </w:rPr>
              <w:t>评分标准</w:t>
            </w:r>
          </w:p>
          <w:p w14:paraId="035FAB3D">
            <w:pPr>
              <w:pStyle w:val="2"/>
              <w:ind w:firstLine="0"/>
              <w:jc w:val="center"/>
              <w:rPr>
                <w:rFonts w:hint="eastAsia" w:eastAsia="宋体"/>
                <w:color w:val="auto"/>
              </w:rPr>
            </w:pPr>
            <w:r>
              <w:rPr>
                <w:rFonts w:hint="eastAsia" w:eastAsia="宋体"/>
                <w:color w:val="auto"/>
              </w:rPr>
              <w:t>（20分）</w:t>
            </w:r>
          </w:p>
        </w:tc>
        <w:tc>
          <w:tcPr>
            <w:tcW w:w="3918" w:type="pct"/>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4747977">
            <w:pPr>
              <w:tabs>
                <w:tab w:val="left" w:pos="720"/>
              </w:tabs>
              <w:adjustRightInd w:val="0"/>
              <w:snapToGrid w:val="0"/>
              <w:ind w:left="-4" w:leftChars="-2"/>
              <w:textAlignment w:val="baseline"/>
              <w:rPr>
                <w:rFonts w:hint="eastAsia" w:ascii="宋体" w:hAnsi="宋体"/>
                <w:color w:val="auto"/>
                <w:szCs w:val="21"/>
              </w:rPr>
            </w:pPr>
            <w:r>
              <w:rPr>
                <w:rFonts w:hint="eastAsia" w:ascii="宋体" w:hAnsi="宋体"/>
                <w:color w:val="auto"/>
              </w:rPr>
              <w:t>报价得分以评标基准价作为计算各有效投标报价得分的基础，当有效投标报价等于评标基准价时得</w:t>
            </w:r>
            <w:r>
              <w:rPr>
                <w:rFonts w:hint="eastAsia" w:ascii="宋体" w:hAnsi="宋体" w:eastAsia="宋体"/>
                <w:color w:val="auto"/>
              </w:rPr>
              <w:t>20</w:t>
            </w:r>
            <w:r>
              <w:rPr>
                <w:rFonts w:hint="eastAsia" w:ascii="宋体" w:hAnsi="宋体"/>
                <w:color w:val="auto"/>
              </w:rPr>
              <w:t>分；有效投标报价与评标基准价相比，每上偏1%扣</w:t>
            </w:r>
            <w:r>
              <w:rPr>
                <w:rFonts w:hint="eastAsia" w:ascii="宋体" w:hAnsi="宋体"/>
                <w:color w:val="auto"/>
                <w:lang w:val="en-US" w:eastAsia="zh-CN"/>
              </w:rPr>
              <w:t>1.5</w:t>
            </w:r>
            <w:r>
              <w:rPr>
                <w:rFonts w:hint="eastAsia" w:ascii="宋体" w:hAnsi="宋体"/>
                <w:color w:val="auto"/>
              </w:rPr>
              <w:t>分，每下偏1%扣</w:t>
            </w:r>
            <w:r>
              <w:rPr>
                <w:rFonts w:hint="eastAsia" w:ascii="宋体" w:hAnsi="宋体"/>
                <w:color w:val="auto"/>
                <w:lang w:val="en-US" w:eastAsia="zh-CN"/>
              </w:rPr>
              <w:t>1</w:t>
            </w:r>
            <w:r>
              <w:rPr>
                <w:rFonts w:hint="eastAsia" w:ascii="宋体" w:hAnsi="宋体"/>
                <w:color w:val="auto"/>
              </w:rPr>
              <w:t>分，最多扣</w:t>
            </w:r>
            <w:r>
              <w:rPr>
                <w:rFonts w:hint="eastAsia" w:ascii="宋体" w:hAnsi="宋体" w:eastAsia="宋体"/>
                <w:color w:val="auto"/>
              </w:rPr>
              <w:t>20</w:t>
            </w:r>
            <w:r>
              <w:rPr>
                <w:rFonts w:hint="eastAsia" w:ascii="宋体" w:hAnsi="宋体"/>
                <w:color w:val="auto"/>
              </w:rPr>
              <w:t>分。（评分如出现小数点，则保留小数点后两位，第三位四舍五入）。</w:t>
            </w:r>
          </w:p>
        </w:tc>
      </w:tr>
      <w:tr w14:paraId="5353C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351" w:type="pct"/>
            <w:tcBorders>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208C540">
            <w:pPr>
              <w:spacing w:line="408" w:lineRule="exact"/>
              <w:jc w:val="center"/>
              <w:rPr>
                <w:color w:val="auto"/>
                <w:spacing w:val="-7"/>
              </w:rPr>
            </w:pPr>
            <w:r>
              <w:rPr>
                <w:color w:val="auto"/>
                <w:spacing w:val="-7"/>
              </w:rPr>
              <w:t>2.2.4</w:t>
            </w:r>
          </w:p>
          <w:p w14:paraId="00C33F89">
            <w:pPr>
              <w:spacing w:line="408" w:lineRule="exact"/>
              <w:jc w:val="center"/>
              <w:rPr>
                <w:rFonts w:hint="eastAsia" w:ascii="宋体" w:hAnsi="宋体" w:eastAsia="宋体"/>
                <w:color w:val="auto"/>
                <w:szCs w:val="21"/>
              </w:rPr>
            </w:pPr>
            <w:r>
              <w:rPr>
                <w:color w:val="auto"/>
                <w:spacing w:val="-7"/>
              </w:rPr>
              <w:t>（4）</w:t>
            </w:r>
          </w:p>
        </w:tc>
        <w:tc>
          <w:tcPr>
            <w:tcW w:w="729" w:type="pct"/>
            <w:tcBorders>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C7440F6">
            <w:pPr>
              <w:spacing w:line="388" w:lineRule="exact"/>
              <w:ind w:left="142"/>
              <w:jc w:val="center"/>
              <w:rPr>
                <w:color w:val="auto"/>
              </w:rPr>
            </w:pPr>
            <w:r>
              <w:rPr>
                <w:rFonts w:ascii="宋体" w:hAnsi="宋体" w:cs="宋体"/>
                <w:color w:val="auto"/>
                <w:spacing w:val="-7"/>
              </w:rPr>
              <w:t>其他因素</w:t>
            </w:r>
          </w:p>
          <w:p w14:paraId="73D11DBE">
            <w:pPr>
              <w:spacing w:line="340" w:lineRule="exact"/>
              <w:jc w:val="center"/>
              <w:rPr>
                <w:rFonts w:ascii="宋体" w:hAnsi="宋体" w:eastAsia="宋体"/>
                <w:color w:val="auto"/>
                <w:szCs w:val="21"/>
              </w:rPr>
            </w:pPr>
            <w:r>
              <w:rPr>
                <w:rFonts w:hint="eastAsia" w:ascii="宋体" w:hAnsi="宋体" w:cs="宋体"/>
                <w:color w:val="auto"/>
                <w:spacing w:val="-7"/>
              </w:rPr>
              <w:t xml:space="preserve"> </w:t>
            </w:r>
            <w:r>
              <w:rPr>
                <w:rFonts w:ascii="宋体" w:hAnsi="宋体" w:cs="宋体"/>
                <w:color w:val="auto"/>
                <w:spacing w:val="-7"/>
              </w:rPr>
              <w:t xml:space="preserve"> 评分标准</w:t>
            </w:r>
          </w:p>
        </w:tc>
        <w:tc>
          <w:tcPr>
            <w:tcW w:w="3918" w:type="pct"/>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E41CF98">
            <w:pPr>
              <w:tabs>
                <w:tab w:val="left" w:pos="720"/>
              </w:tabs>
              <w:adjustRightInd w:val="0"/>
              <w:snapToGrid w:val="0"/>
              <w:jc w:val="center"/>
              <w:textAlignment w:val="baseline"/>
              <w:rPr>
                <w:rFonts w:hint="eastAsia" w:ascii="宋体" w:hAnsi="宋体" w:eastAsia="宋体"/>
                <w:color w:val="auto"/>
                <w:szCs w:val="21"/>
              </w:rPr>
            </w:pPr>
            <w:r>
              <w:rPr>
                <w:rFonts w:hint="eastAsia" w:ascii="宋体" w:hAnsi="宋体" w:eastAsia="宋体"/>
                <w:color w:val="auto"/>
                <w:szCs w:val="21"/>
              </w:rPr>
              <w:t>/</w:t>
            </w:r>
          </w:p>
        </w:tc>
      </w:tr>
      <w:tr w14:paraId="6BD15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351" w:type="pct"/>
            <w:tcBorders>
              <w:left w:val="single" w:color="auto" w:sz="4" w:space="0"/>
              <w:right w:val="single" w:color="auto" w:sz="4" w:space="0"/>
            </w:tcBorders>
            <w:noWrap w:val="0"/>
            <w:tcMar>
              <w:top w:w="0" w:type="dxa"/>
              <w:left w:w="57" w:type="dxa"/>
              <w:bottom w:w="0" w:type="dxa"/>
              <w:right w:w="57" w:type="dxa"/>
            </w:tcMar>
            <w:vAlign w:val="center"/>
          </w:tcPr>
          <w:p w14:paraId="3B912207">
            <w:pPr>
              <w:spacing w:line="340" w:lineRule="exact"/>
              <w:jc w:val="center"/>
              <w:rPr>
                <w:rFonts w:hint="eastAsia" w:ascii="宋体" w:hAnsi="宋体"/>
                <w:color w:val="auto"/>
                <w:szCs w:val="21"/>
              </w:rPr>
            </w:pPr>
            <w:r>
              <w:rPr>
                <w:rFonts w:hint="eastAsia" w:ascii="宋体" w:hAnsi="宋体"/>
                <w:color w:val="auto"/>
                <w:szCs w:val="21"/>
              </w:rPr>
              <w:t>新增2.2.6</w:t>
            </w:r>
          </w:p>
        </w:tc>
        <w:tc>
          <w:tcPr>
            <w:tcW w:w="729" w:type="pct"/>
            <w:tcBorders>
              <w:left w:val="single" w:color="auto" w:sz="4" w:space="0"/>
              <w:right w:val="single" w:color="auto" w:sz="4" w:space="0"/>
            </w:tcBorders>
            <w:noWrap w:val="0"/>
            <w:tcMar>
              <w:top w:w="0" w:type="dxa"/>
              <w:left w:w="57" w:type="dxa"/>
              <w:bottom w:w="0" w:type="dxa"/>
              <w:right w:w="57" w:type="dxa"/>
            </w:tcMar>
            <w:vAlign w:val="center"/>
          </w:tcPr>
          <w:p w14:paraId="5A74C796">
            <w:pPr>
              <w:spacing w:line="340" w:lineRule="exact"/>
              <w:jc w:val="center"/>
              <w:rPr>
                <w:rFonts w:hint="eastAsia" w:ascii="宋体" w:hAnsi="宋体" w:eastAsia="宋体"/>
                <w:color w:val="auto"/>
              </w:rPr>
            </w:pPr>
            <w:r>
              <w:rPr>
                <w:rFonts w:hint="eastAsia" w:ascii="宋体" w:hAnsi="宋体" w:eastAsia="宋体"/>
                <w:color w:val="auto"/>
                <w:szCs w:val="21"/>
              </w:rPr>
              <w:t>综合得分</w:t>
            </w:r>
          </w:p>
        </w:tc>
        <w:tc>
          <w:tcPr>
            <w:tcW w:w="1100"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581B250">
            <w:pPr>
              <w:spacing w:line="340" w:lineRule="exact"/>
              <w:jc w:val="center"/>
              <w:rPr>
                <w:rFonts w:hint="eastAsia" w:ascii="宋体" w:hAnsi="宋体"/>
                <w:color w:val="auto"/>
              </w:rPr>
            </w:pPr>
            <w:r>
              <w:rPr>
                <w:rFonts w:hint="eastAsia" w:ascii="宋体" w:hAnsi="宋体" w:eastAsia="宋体"/>
                <w:color w:val="auto"/>
                <w:szCs w:val="21"/>
              </w:rPr>
              <w:t>投标人综合得分</w:t>
            </w:r>
          </w:p>
        </w:tc>
        <w:tc>
          <w:tcPr>
            <w:tcW w:w="2818" w:type="pct"/>
            <w:gridSpan w:val="2"/>
            <w:tcBorders>
              <w:top w:val="single" w:color="auto" w:sz="4" w:space="0"/>
              <w:left w:val="single" w:color="auto" w:sz="4" w:space="0"/>
              <w:bottom w:val="single" w:color="auto" w:sz="4" w:space="0"/>
              <w:right w:val="single" w:color="auto" w:sz="4" w:space="0"/>
            </w:tcBorders>
            <w:noWrap w:val="0"/>
            <w:vAlign w:val="center"/>
          </w:tcPr>
          <w:p w14:paraId="5680010C">
            <w:pPr>
              <w:tabs>
                <w:tab w:val="left" w:pos="720"/>
              </w:tabs>
              <w:adjustRightInd w:val="0"/>
              <w:snapToGrid w:val="0"/>
              <w:ind w:left="-4" w:leftChars="-2"/>
              <w:textAlignment w:val="baseline"/>
              <w:rPr>
                <w:rFonts w:hint="eastAsia" w:ascii="宋体" w:hAnsi="宋体" w:eastAsia="宋体"/>
                <w:color w:val="auto"/>
              </w:rPr>
            </w:pPr>
            <w:r>
              <w:rPr>
                <w:rFonts w:hint="eastAsia" w:ascii="宋体" w:hAnsi="宋体"/>
                <w:color w:val="auto"/>
                <w:szCs w:val="21"/>
              </w:rPr>
              <w:t>综合得分（满分</w:t>
            </w:r>
            <w:r>
              <w:rPr>
                <w:rFonts w:ascii="宋体" w:hAnsi="宋体"/>
                <w:color w:val="auto"/>
                <w:szCs w:val="21"/>
              </w:rPr>
              <w:t>100</w:t>
            </w:r>
            <w:r>
              <w:rPr>
                <w:rFonts w:hint="eastAsia" w:ascii="宋体" w:hAnsi="宋体"/>
                <w:color w:val="auto"/>
                <w:szCs w:val="21"/>
              </w:rPr>
              <w:t>分）= 资信业绩部分（A）+</w:t>
            </w:r>
            <w:r>
              <w:rPr>
                <w:rFonts w:hint="eastAsia" w:ascii="宋体" w:hAnsi="宋体" w:eastAsia="宋体"/>
                <w:color w:val="auto"/>
                <w:szCs w:val="21"/>
              </w:rPr>
              <w:t>监测服务方案</w:t>
            </w:r>
            <w:r>
              <w:rPr>
                <w:rFonts w:hint="eastAsia" w:ascii="宋体" w:hAnsi="宋体"/>
                <w:color w:val="auto"/>
                <w:szCs w:val="21"/>
              </w:rPr>
              <w:t>部分（B）+</w:t>
            </w:r>
            <w:r>
              <w:rPr>
                <w:rFonts w:hint="eastAsia" w:ascii="宋体" w:hAnsi="宋体" w:eastAsia="宋体"/>
                <w:color w:val="auto"/>
                <w:szCs w:val="21"/>
              </w:rPr>
              <w:t>报价得分</w:t>
            </w:r>
            <w:r>
              <w:rPr>
                <w:rFonts w:hint="eastAsia" w:ascii="宋体" w:hAnsi="宋体"/>
                <w:color w:val="auto"/>
                <w:szCs w:val="21"/>
              </w:rPr>
              <w:t>（</w:t>
            </w:r>
            <w:r>
              <w:rPr>
                <w:rFonts w:hint="eastAsia" w:ascii="宋体" w:hAnsi="宋体" w:eastAsia="宋体"/>
                <w:color w:val="auto"/>
                <w:szCs w:val="21"/>
              </w:rPr>
              <w:t>C</w:t>
            </w:r>
            <w:r>
              <w:rPr>
                <w:rFonts w:hint="eastAsia" w:ascii="宋体" w:hAnsi="宋体"/>
                <w:color w:val="auto"/>
                <w:szCs w:val="21"/>
              </w:rPr>
              <w:t>）</w:t>
            </w:r>
          </w:p>
        </w:tc>
      </w:tr>
    </w:tbl>
    <w:p w14:paraId="69EE66F0">
      <w:pPr>
        <w:spacing w:line="360" w:lineRule="auto"/>
        <w:rPr>
          <w:color w:val="auto"/>
          <w:highlight w:val="none"/>
        </w:rPr>
      </w:pPr>
    </w:p>
    <w:p w14:paraId="34A92990">
      <w:pPr>
        <w:snapToGrid w:val="0"/>
        <w:spacing w:line="276" w:lineRule="auto"/>
        <w:rPr>
          <w:rFonts w:hint="eastAsia" w:ascii="宋体" w:hAnsi="宋体" w:cs="宋体"/>
          <w:bCs/>
          <w:color w:val="auto"/>
          <w:szCs w:val="21"/>
          <w:highlight w:val="none"/>
        </w:rPr>
      </w:pPr>
      <w:bookmarkStart w:id="161" w:name="_Toc4534"/>
      <w:bookmarkStart w:id="162" w:name="_Toc20848"/>
      <w:bookmarkStart w:id="163" w:name="_Toc7506"/>
      <w:r>
        <w:rPr>
          <w:rFonts w:hint="eastAsia" w:ascii="宋体" w:hAnsi="宋体" w:cs="宋体"/>
          <w:bCs/>
          <w:color w:val="auto"/>
          <w:szCs w:val="21"/>
          <w:highlight w:val="none"/>
        </w:rPr>
        <w:t>备注：1、评分如出现小数点，则保留小数点后两位，第三位四舍五入。</w:t>
      </w:r>
    </w:p>
    <w:p w14:paraId="044CCB90">
      <w:pPr>
        <w:snapToGrid w:val="0"/>
        <w:spacing w:line="276" w:lineRule="auto"/>
        <w:ind w:firstLine="630" w:firstLineChars="300"/>
        <w:rPr>
          <w:rFonts w:hint="eastAsia" w:ascii="宋体" w:hAnsi="宋体" w:cs="宋体"/>
          <w:bCs/>
          <w:color w:val="auto"/>
          <w:szCs w:val="21"/>
          <w:highlight w:val="none"/>
        </w:rPr>
      </w:pPr>
      <w:r>
        <w:rPr>
          <w:rFonts w:hint="eastAsia" w:ascii="宋体" w:hAnsi="宋体" w:cs="宋体"/>
          <w:bCs/>
          <w:color w:val="auto"/>
          <w:szCs w:val="21"/>
          <w:highlight w:val="none"/>
        </w:rPr>
        <w:t>2、拟投入本项目人员不得兼任，</w:t>
      </w:r>
      <w:r>
        <w:rPr>
          <w:rFonts w:hint="eastAsia" w:ascii="宋体" w:hAnsi="宋体" w:eastAsia="宋体" w:cs="宋体"/>
          <w:color w:val="auto"/>
          <w:szCs w:val="21"/>
        </w:rPr>
        <w:t>社保证明</w:t>
      </w:r>
      <w:r>
        <w:rPr>
          <w:rFonts w:hint="eastAsia" w:ascii="宋体" w:hAnsi="宋体" w:cs="宋体"/>
          <w:color w:val="auto"/>
          <w:szCs w:val="21"/>
          <w:lang w:eastAsia="zh-CN"/>
        </w:rPr>
        <w:t>为</w:t>
      </w:r>
      <w:r>
        <w:rPr>
          <w:rFonts w:hint="eastAsia" w:ascii="宋体" w:hAnsi="宋体" w:cs="宋体"/>
          <w:bCs/>
          <w:color w:val="auto"/>
          <w:szCs w:val="21"/>
          <w:highlight w:val="none"/>
        </w:rPr>
        <w:t>招标公告发布之日起前一个月（202</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年</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月）在投标单位缴纳社保的证明材料扫描件。</w:t>
      </w:r>
    </w:p>
    <w:p w14:paraId="7F74C1B6">
      <w:pPr>
        <w:ind w:firstLine="420" w:firstLineChars="200"/>
        <w:rPr>
          <w:rFonts w:ascii="宋体" w:hAnsi="宋体" w:cs="宋体"/>
          <w:bCs/>
          <w:color w:val="auto"/>
          <w:szCs w:val="21"/>
          <w:highlight w:val="none"/>
        </w:rPr>
      </w:pPr>
    </w:p>
    <w:p w14:paraId="2C496162">
      <w:pPr>
        <w:widowControl/>
        <w:jc w:val="left"/>
        <w:rPr>
          <w:rFonts w:ascii="宋体" w:hAnsi="宋体" w:cs="宋体"/>
          <w:b/>
          <w:bCs/>
          <w:color w:val="auto"/>
          <w:kern w:val="0"/>
          <w:sz w:val="36"/>
          <w:szCs w:val="36"/>
          <w:highlight w:val="none"/>
        </w:rPr>
      </w:pPr>
      <w:r>
        <w:rPr>
          <w:rFonts w:ascii="宋体" w:hAnsi="宋体" w:cs="宋体"/>
          <w:color w:val="auto"/>
          <w:sz w:val="36"/>
          <w:szCs w:val="36"/>
          <w:highlight w:val="none"/>
        </w:rPr>
        <w:br w:type="page"/>
      </w:r>
    </w:p>
    <w:p w14:paraId="13B11A6F">
      <w:pPr>
        <w:pStyle w:val="4"/>
        <w:keepNext w:val="0"/>
        <w:keepLines w:val="0"/>
        <w:spacing w:before="0" w:after="0" w:line="360" w:lineRule="auto"/>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rPr>
        <w:t>评标方法</w:t>
      </w:r>
      <w:bookmarkEnd w:id="152"/>
      <w:bookmarkEnd w:id="153"/>
      <w:bookmarkEnd w:id="154"/>
      <w:bookmarkEnd w:id="155"/>
      <w:bookmarkEnd w:id="156"/>
      <w:bookmarkEnd w:id="157"/>
      <w:bookmarkEnd w:id="158"/>
      <w:bookmarkEnd w:id="159"/>
      <w:bookmarkEnd w:id="160"/>
      <w:bookmarkEnd w:id="161"/>
      <w:bookmarkEnd w:id="162"/>
      <w:bookmarkEnd w:id="163"/>
    </w:p>
    <w:p w14:paraId="42256A10">
      <w:pPr>
        <w:keepNext/>
        <w:keepLines/>
        <w:spacing w:line="360" w:lineRule="auto"/>
        <w:jc w:val="left"/>
        <w:outlineLvl w:val="1"/>
        <w:rPr>
          <w:rFonts w:ascii="宋体" w:hAnsi="宋体" w:cs="宋体"/>
          <w:b/>
          <w:bCs/>
          <w:color w:val="auto"/>
          <w:sz w:val="32"/>
          <w:szCs w:val="32"/>
          <w:highlight w:val="none"/>
        </w:rPr>
      </w:pPr>
      <w:bookmarkStart w:id="164" w:name="_Toc5223"/>
      <w:bookmarkStart w:id="165" w:name="_Toc11888"/>
      <w:r>
        <w:rPr>
          <w:rFonts w:hint="eastAsia" w:ascii="宋体" w:hAnsi="宋体" w:cs="宋体"/>
          <w:b/>
          <w:bCs/>
          <w:color w:val="auto"/>
          <w:sz w:val="32"/>
          <w:szCs w:val="32"/>
          <w:highlight w:val="none"/>
        </w:rPr>
        <w:t>1.评标方法</w:t>
      </w:r>
      <w:bookmarkEnd w:id="164"/>
      <w:bookmarkEnd w:id="165"/>
    </w:p>
    <w:p w14:paraId="456419FA">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本次评标采用综合评估法。评标委员会对满足招标文件实质性要求的投标文件，按照本章第 2.2 款规定的评分标准进行打分，并按得分由高到低顺序推荐中标候选人，或根据招标人授权直接确定中标人，但投标报价低于其成本的除外。总得分相等时，以投标报价低的优先；投标报价也相等的，按照评标办法前附表的规定确定中标候选人顺序。</w:t>
      </w:r>
    </w:p>
    <w:p w14:paraId="02A6B2A9">
      <w:pPr>
        <w:keepNext/>
        <w:keepLines/>
        <w:spacing w:line="360" w:lineRule="auto"/>
        <w:jc w:val="left"/>
        <w:outlineLvl w:val="1"/>
        <w:rPr>
          <w:rFonts w:ascii="宋体" w:hAnsi="宋体" w:cs="宋体"/>
          <w:b/>
          <w:bCs/>
          <w:color w:val="auto"/>
          <w:sz w:val="32"/>
          <w:szCs w:val="32"/>
          <w:highlight w:val="none"/>
        </w:rPr>
      </w:pPr>
      <w:bookmarkStart w:id="166" w:name="_Toc28918"/>
      <w:r>
        <w:rPr>
          <w:rFonts w:hint="eastAsia" w:ascii="宋体" w:hAnsi="宋体" w:cs="宋体"/>
          <w:b/>
          <w:bCs/>
          <w:color w:val="auto"/>
          <w:sz w:val="32"/>
          <w:szCs w:val="32"/>
          <w:highlight w:val="none"/>
        </w:rPr>
        <w:t>2.评审标准</w:t>
      </w:r>
      <w:bookmarkEnd w:id="166"/>
    </w:p>
    <w:p w14:paraId="34A7BD08">
      <w:pPr>
        <w:keepNext/>
        <w:keepLines/>
        <w:spacing w:line="360" w:lineRule="auto"/>
        <w:jc w:val="left"/>
        <w:outlineLvl w:val="2"/>
        <w:rPr>
          <w:rFonts w:ascii="宋体" w:hAnsi="宋体" w:cs="宋体"/>
          <w:b/>
          <w:bCs/>
          <w:color w:val="auto"/>
          <w:sz w:val="28"/>
          <w:szCs w:val="28"/>
          <w:highlight w:val="none"/>
        </w:rPr>
      </w:pPr>
      <w:r>
        <w:rPr>
          <w:rFonts w:hint="eastAsia" w:ascii="宋体" w:hAnsi="宋体" w:cs="宋体"/>
          <w:b/>
          <w:bCs/>
          <w:color w:val="auto"/>
          <w:sz w:val="28"/>
          <w:szCs w:val="28"/>
          <w:highlight w:val="none"/>
        </w:rPr>
        <w:t>2.1 初步评审标准</w:t>
      </w:r>
    </w:p>
    <w:p w14:paraId="68A984B9">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2.1.1 形式评审标准：见评标办法前附表。</w:t>
      </w:r>
    </w:p>
    <w:p w14:paraId="40C2B757">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2.1.2 资格评审标准：见评标办法前附表。</w:t>
      </w:r>
    </w:p>
    <w:p w14:paraId="6B9461FA">
      <w:pPr>
        <w:spacing w:line="360" w:lineRule="auto"/>
        <w:ind w:firstLine="484" w:firstLineChars="202"/>
        <w:jc w:val="left"/>
        <w:rPr>
          <w:rFonts w:ascii="宋体" w:hAnsi="宋体" w:cs="宋体"/>
          <w:color w:val="auto"/>
          <w:sz w:val="24"/>
          <w:szCs w:val="24"/>
          <w:highlight w:val="none"/>
        </w:rPr>
      </w:pPr>
      <w:bookmarkStart w:id="167" w:name="_Toc23335"/>
      <w:r>
        <w:rPr>
          <w:rFonts w:hint="eastAsia" w:ascii="宋体" w:hAnsi="宋体" w:cs="宋体"/>
          <w:color w:val="auto"/>
          <w:sz w:val="24"/>
          <w:szCs w:val="24"/>
          <w:highlight w:val="none"/>
        </w:rPr>
        <w:t xml:space="preserve">2.1.3 </w:t>
      </w:r>
      <w:bookmarkEnd w:id="167"/>
      <w:r>
        <w:rPr>
          <w:rFonts w:hint="eastAsia" w:ascii="宋体" w:hAnsi="宋体" w:cs="宋体"/>
          <w:color w:val="auto"/>
          <w:sz w:val="24"/>
          <w:szCs w:val="24"/>
          <w:highlight w:val="none"/>
        </w:rPr>
        <w:t>响应性评审标准：见评标办法前附表。</w:t>
      </w:r>
    </w:p>
    <w:p w14:paraId="768555C7">
      <w:pPr>
        <w:keepNext/>
        <w:keepLines/>
        <w:spacing w:line="360" w:lineRule="auto"/>
        <w:jc w:val="left"/>
        <w:outlineLvl w:val="2"/>
        <w:rPr>
          <w:rFonts w:ascii="宋体" w:hAnsi="宋体" w:cs="宋体"/>
          <w:b/>
          <w:bCs/>
          <w:color w:val="auto"/>
          <w:sz w:val="28"/>
          <w:szCs w:val="32"/>
          <w:highlight w:val="none"/>
        </w:rPr>
      </w:pPr>
      <w:r>
        <w:rPr>
          <w:rFonts w:hint="eastAsia" w:ascii="宋体" w:hAnsi="宋体" w:cs="宋体"/>
          <w:b/>
          <w:bCs/>
          <w:color w:val="auto"/>
          <w:sz w:val="28"/>
          <w:szCs w:val="32"/>
          <w:highlight w:val="none"/>
        </w:rPr>
        <w:t>2.2 分值构成与评分标准</w:t>
      </w:r>
    </w:p>
    <w:p w14:paraId="28CF851D">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2.2.1 分值构成</w:t>
      </w:r>
    </w:p>
    <w:p w14:paraId="61DC2BE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（1）资信业绩部分：见评标办法前附表；</w:t>
      </w:r>
    </w:p>
    <w:p w14:paraId="1D967BF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u w:val="single"/>
        </w:rPr>
        <w:t>监测技术方案</w:t>
      </w:r>
      <w:r>
        <w:rPr>
          <w:rFonts w:hint="eastAsia" w:ascii="宋体" w:hAnsi="宋体" w:cs="宋体"/>
          <w:color w:val="auto"/>
          <w:sz w:val="24"/>
          <w:szCs w:val="24"/>
          <w:highlight w:val="none"/>
        </w:rPr>
        <w:t>部分：见评标办法前附表；</w:t>
      </w:r>
    </w:p>
    <w:p w14:paraId="078CBCD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（3）投标报价：见评标办法前附表；</w:t>
      </w:r>
    </w:p>
    <w:p w14:paraId="2DD35C21">
      <w:pPr>
        <w:spacing w:line="360" w:lineRule="auto"/>
        <w:ind w:firstLine="484" w:firstLineChars="202"/>
        <w:jc w:val="left"/>
        <w:rPr>
          <w:rFonts w:ascii="宋体" w:hAnsi="宋体" w:cs="宋体"/>
          <w:strike/>
          <w:color w:val="auto"/>
          <w:sz w:val="24"/>
          <w:szCs w:val="24"/>
          <w:highlight w:val="none"/>
        </w:rPr>
      </w:pPr>
      <w:r>
        <w:rPr>
          <w:rFonts w:hint="eastAsia" w:ascii="宋体" w:hAnsi="宋体" w:cs="宋体"/>
          <w:strike/>
          <w:color w:val="auto"/>
          <w:sz w:val="24"/>
          <w:szCs w:val="24"/>
          <w:highlight w:val="none"/>
        </w:rPr>
        <w:t>（4）其他评分因素：见评标办法前附表。</w:t>
      </w:r>
    </w:p>
    <w:p w14:paraId="7B725D62">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2.2.2 评标基准价计算</w:t>
      </w:r>
    </w:p>
    <w:p w14:paraId="014F1CB7">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评标基准价计算方法：见评标办法前附表。</w:t>
      </w:r>
    </w:p>
    <w:p w14:paraId="64D92DC4">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2.2.3 投标报价的计算</w:t>
      </w:r>
    </w:p>
    <w:p w14:paraId="6DA4EAB1">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投标报价的计算公式：见评标办法前附表。</w:t>
      </w:r>
    </w:p>
    <w:p w14:paraId="24CFAEE9">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2.2.4 评分标准</w:t>
      </w:r>
    </w:p>
    <w:p w14:paraId="1CD20617">
      <w:pPr>
        <w:spacing w:line="360" w:lineRule="auto"/>
        <w:ind w:left="780"/>
        <w:rPr>
          <w:rFonts w:ascii="宋体" w:hAnsi="宋体" w:cs="宋体"/>
          <w:color w:val="auto"/>
          <w:sz w:val="24"/>
          <w:szCs w:val="24"/>
          <w:highlight w:val="none"/>
        </w:rPr>
      </w:pPr>
      <w:r>
        <w:rPr>
          <w:rFonts w:hint="eastAsia" w:ascii="宋体" w:hAnsi="宋体" w:cs="宋体"/>
          <w:color w:val="auto"/>
          <w:sz w:val="24"/>
          <w:szCs w:val="24"/>
          <w:highlight w:val="none"/>
        </w:rPr>
        <w:t>（1）资信业绩部分评分标准：见评标办法前附表；</w:t>
      </w:r>
    </w:p>
    <w:p w14:paraId="73169D4D">
      <w:pPr>
        <w:spacing w:line="360" w:lineRule="auto"/>
        <w:ind w:left="78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u w:val="single"/>
        </w:rPr>
        <w:t>监测技术</w:t>
      </w:r>
      <w:r>
        <w:rPr>
          <w:rFonts w:hint="eastAsia" w:ascii="宋体" w:hAnsi="宋体" w:cs="宋体"/>
          <w:color w:val="auto"/>
          <w:sz w:val="24"/>
          <w:szCs w:val="24"/>
          <w:highlight w:val="none"/>
        </w:rPr>
        <w:t>方案部分评分标准：见评标办法前附表；</w:t>
      </w:r>
    </w:p>
    <w:p w14:paraId="3AFD35DF">
      <w:pPr>
        <w:spacing w:line="360" w:lineRule="auto"/>
        <w:ind w:left="780"/>
        <w:rPr>
          <w:rFonts w:ascii="宋体" w:hAnsi="宋体" w:cs="宋体"/>
          <w:color w:val="auto"/>
          <w:sz w:val="24"/>
          <w:szCs w:val="24"/>
          <w:highlight w:val="none"/>
        </w:rPr>
      </w:pPr>
      <w:r>
        <w:rPr>
          <w:rFonts w:hint="eastAsia" w:ascii="宋体" w:hAnsi="宋体" w:cs="宋体"/>
          <w:color w:val="auto"/>
          <w:sz w:val="24"/>
          <w:szCs w:val="24"/>
          <w:highlight w:val="none"/>
        </w:rPr>
        <w:t>（3）投标报价评分标准：见评标办法前附表。</w:t>
      </w:r>
    </w:p>
    <w:p w14:paraId="64CE5467">
      <w:pPr>
        <w:spacing w:line="360" w:lineRule="auto"/>
        <w:ind w:left="780"/>
        <w:rPr>
          <w:rFonts w:ascii="宋体" w:hAnsi="宋体" w:cs="宋体"/>
          <w:strike/>
          <w:color w:val="auto"/>
          <w:sz w:val="24"/>
          <w:szCs w:val="24"/>
          <w:highlight w:val="none"/>
        </w:rPr>
      </w:pPr>
      <w:r>
        <w:rPr>
          <w:rFonts w:hint="eastAsia" w:ascii="宋体" w:hAnsi="宋体" w:cs="宋体"/>
          <w:strike/>
          <w:color w:val="auto"/>
          <w:sz w:val="24"/>
          <w:szCs w:val="24"/>
          <w:highlight w:val="none"/>
        </w:rPr>
        <w:t>（4）其他因素评分标准：见评标办法前附表。</w:t>
      </w:r>
    </w:p>
    <w:p w14:paraId="6D6382E4">
      <w:pPr>
        <w:keepNext/>
        <w:keepLines/>
        <w:spacing w:line="360" w:lineRule="auto"/>
        <w:jc w:val="left"/>
        <w:outlineLvl w:val="1"/>
        <w:rPr>
          <w:rFonts w:ascii="宋体" w:hAnsi="宋体" w:cs="宋体"/>
          <w:b/>
          <w:bCs/>
          <w:color w:val="auto"/>
          <w:sz w:val="32"/>
          <w:szCs w:val="32"/>
          <w:highlight w:val="none"/>
        </w:rPr>
      </w:pPr>
      <w:bookmarkStart w:id="168" w:name="_Toc12342"/>
      <w:r>
        <w:rPr>
          <w:rFonts w:hint="eastAsia" w:ascii="宋体" w:hAnsi="宋体" w:cs="宋体"/>
          <w:b/>
          <w:bCs/>
          <w:color w:val="auto"/>
          <w:sz w:val="32"/>
          <w:szCs w:val="32"/>
          <w:highlight w:val="none"/>
        </w:rPr>
        <w:t>3. 评标程序</w:t>
      </w:r>
      <w:bookmarkEnd w:id="168"/>
    </w:p>
    <w:p w14:paraId="7E3641E0">
      <w:pPr>
        <w:keepNext/>
        <w:keepLines/>
        <w:spacing w:line="360" w:lineRule="auto"/>
        <w:jc w:val="left"/>
        <w:outlineLvl w:val="2"/>
        <w:rPr>
          <w:rFonts w:ascii="宋体" w:hAnsi="宋体" w:cs="宋体"/>
          <w:b/>
          <w:bCs/>
          <w:color w:val="auto"/>
          <w:sz w:val="28"/>
          <w:szCs w:val="32"/>
          <w:highlight w:val="none"/>
        </w:rPr>
      </w:pPr>
      <w:r>
        <w:rPr>
          <w:rFonts w:hint="eastAsia" w:ascii="宋体" w:hAnsi="宋体" w:cs="宋体"/>
          <w:b/>
          <w:bCs/>
          <w:color w:val="auto"/>
          <w:sz w:val="28"/>
          <w:szCs w:val="32"/>
          <w:highlight w:val="none"/>
        </w:rPr>
        <w:t>3.1 初步评审</w:t>
      </w:r>
    </w:p>
    <w:p w14:paraId="36A24A1A">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3.1.1 评标委员会可以要求投标人提交第二章“投标人须知”规定的有关证明和证件的原件，以便核</w:t>
      </w:r>
      <w:bookmarkStart w:id="169" w:name="_Toc25401"/>
      <w:r>
        <w:rPr>
          <w:rFonts w:hint="eastAsia" w:ascii="宋体" w:hAnsi="宋体" w:cs="宋体"/>
          <w:color w:val="auto"/>
          <w:sz w:val="24"/>
          <w:szCs w:val="24"/>
          <w:highlight w:val="none"/>
        </w:rPr>
        <w:t>验。评标委员会</w:t>
      </w:r>
      <w:bookmarkEnd w:id="169"/>
      <w:r>
        <w:rPr>
          <w:rFonts w:hint="eastAsia" w:ascii="宋体" w:hAnsi="宋体" w:cs="宋体"/>
          <w:color w:val="auto"/>
          <w:sz w:val="24"/>
          <w:szCs w:val="24"/>
          <w:highlight w:val="none"/>
        </w:rPr>
        <w:t>依据本章第 2.1 款规定的标准对投标文件进行初步评审。有一项不符合评审标准的，评标委员会应当否决其投标。</w:t>
      </w:r>
    </w:p>
    <w:p w14:paraId="62B50E4A">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3.1.2 投标人有以下情形之一的，评标委员会应当否决其投标：</w:t>
      </w:r>
    </w:p>
    <w:p w14:paraId="4E2E81DF">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（1）投标文件没有对招标文件的实质性要求和条件作出响应，或者对招标文件的偏差超出招标文件规定的偏差范围或最高项数；</w:t>
      </w:r>
    </w:p>
    <w:p w14:paraId="7A51F935">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（2）有串通投标、弄虚作假、行贿等违法行为。</w:t>
      </w:r>
    </w:p>
    <w:p w14:paraId="121E3251">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3.1.3 投标报价有算术错误及其他错误的，评标委员会按以下原则要求投标人对投标报价进行修正，并要求投标人书面澄清确认。投标人拒不澄清确认的，评标委员会应当否决其投标：</w:t>
      </w:r>
    </w:p>
    <w:p w14:paraId="1F3C3C05">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（1）投标文件中的大写金额与小写金额不一致的，以大写金额为准；</w:t>
      </w:r>
    </w:p>
    <w:p w14:paraId="39840657">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（2）总价金额与单价金额不一致的，以单价金额为准，但单价金额小数点有明显错误的除外。</w:t>
      </w:r>
    </w:p>
    <w:p w14:paraId="7BED740F">
      <w:pPr>
        <w:keepNext/>
        <w:keepLines/>
        <w:spacing w:line="360" w:lineRule="auto"/>
        <w:jc w:val="left"/>
        <w:outlineLvl w:val="2"/>
        <w:rPr>
          <w:rFonts w:ascii="宋体" w:hAnsi="宋体" w:cs="宋体"/>
          <w:b/>
          <w:bCs/>
          <w:color w:val="auto"/>
          <w:sz w:val="28"/>
          <w:szCs w:val="28"/>
          <w:highlight w:val="none"/>
        </w:rPr>
      </w:pPr>
      <w:r>
        <w:rPr>
          <w:rFonts w:hint="eastAsia" w:ascii="宋体" w:hAnsi="宋体" w:cs="宋体"/>
          <w:b/>
          <w:bCs/>
          <w:color w:val="auto"/>
          <w:sz w:val="28"/>
          <w:szCs w:val="28"/>
          <w:highlight w:val="none"/>
        </w:rPr>
        <w:t>3.2 详细评审</w:t>
      </w:r>
    </w:p>
    <w:p w14:paraId="47627FD0">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3.2.1 评标委员会按本章第 2.2 款规定的量化因素和分值进行打分，并计算出综合评分得分。</w:t>
      </w:r>
    </w:p>
    <w:p w14:paraId="2BDFEE37">
      <w:pPr>
        <w:spacing w:line="360" w:lineRule="auto"/>
        <w:ind w:firstLine="487" w:firstLineChars="202"/>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（1）按本章第2.2.4（1）目规定的评审因素和分值对企业资信业绩计算出得分A；</w:t>
      </w:r>
    </w:p>
    <w:p w14:paraId="3CB2BE29">
      <w:pPr>
        <w:spacing w:line="360" w:lineRule="auto"/>
        <w:ind w:firstLine="487" w:firstLineChars="202"/>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（2）按本章第2.2.4（2）目规定的评审因素和分值对技术方案计算出得分B；</w:t>
      </w:r>
    </w:p>
    <w:p w14:paraId="667FE139">
      <w:pPr>
        <w:spacing w:line="360" w:lineRule="auto"/>
        <w:ind w:firstLine="487" w:firstLineChars="202"/>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（3）按本章第2.2.4（3）目规定的评审因素和分值对投标报价计算出得分C；</w:t>
      </w:r>
    </w:p>
    <w:p w14:paraId="0264530D">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3.2.2 评分分值计算保留小数点后两位，小数点后第三位“四舍五入”。</w:t>
      </w:r>
    </w:p>
    <w:p w14:paraId="00F2823D">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3.2.3 投标人得分=A+B+C。</w:t>
      </w:r>
    </w:p>
    <w:p w14:paraId="62F37048">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7196B0DE">
      <w:pPr>
        <w:keepNext/>
        <w:keepLines/>
        <w:spacing w:line="360" w:lineRule="auto"/>
        <w:jc w:val="left"/>
        <w:outlineLvl w:val="2"/>
        <w:rPr>
          <w:rFonts w:ascii="宋体" w:hAnsi="宋体" w:cs="宋体"/>
          <w:b/>
          <w:bCs/>
          <w:color w:val="auto"/>
          <w:sz w:val="28"/>
          <w:szCs w:val="32"/>
          <w:highlight w:val="none"/>
        </w:rPr>
      </w:pPr>
      <w:r>
        <w:rPr>
          <w:rFonts w:hint="eastAsia" w:ascii="宋体" w:hAnsi="宋体" w:cs="宋体"/>
          <w:b/>
          <w:bCs/>
          <w:color w:val="auto"/>
          <w:sz w:val="28"/>
          <w:szCs w:val="32"/>
          <w:highlight w:val="none"/>
        </w:rPr>
        <w:t>3.3 投标文件的澄清</w:t>
      </w:r>
    </w:p>
    <w:p w14:paraId="3B265348">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206B406A">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3.3.2 澄清、说明或补正不得超出投标文件的范围且不得改变投标文件的实质性内容，并构成投标文件的组成部分。</w:t>
      </w:r>
    </w:p>
    <w:p w14:paraId="5791A29F">
      <w:pPr>
        <w:spacing w:line="360" w:lineRule="auto"/>
        <w:ind w:firstLine="484" w:firstLineChars="202"/>
        <w:jc w:val="left"/>
        <w:rPr>
          <w:rFonts w:ascii="宋体" w:hAnsi="宋体" w:cs="宋体"/>
          <w:color w:val="auto"/>
          <w:sz w:val="28"/>
          <w:szCs w:val="28"/>
          <w:highlight w:val="none"/>
        </w:rPr>
      </w:pPr>
      <w:r>
        <w:rPr>
          <w:rFonts w:hint="eastAsia" w:ascii="宋体" w:hAnsi="宋体" w:cs="宋体"/>
          <w:color w:val="auto"/>
          <w:sz w:val="24"/>
          <w:szCs w:val="24"/>
          <w:highlight w:val="none"/>
        </w:rPr>
        <w:t>3.3.3 评标委员会对投标人提交的澄清、说明或补正有疑问的，可以要求投标人进一步澄清、说明或补正，直至满足评标委员会的要求。</w:t>
      </w:r>
    </w:p>
    <w:p w14:paraId="7DC97165">
      <w:pPr>
        <w:keepNext/>
        <w:keepLines/>
        <w:spacing w:line="360" w:lineRule="auto"/>
        <w:jc w:val="left"/>
        <w:outlineLvl w:val="2"/>
        <w:rPr>
          <w:rFonts w:ascii="宋体" w:hAnsi="宋体" w:cs="宋体"/>
          <w:b/>
          <w:bCs/>
          <w:color w:val="auto"/>
          <w:sz w:val="28"/>
          <w:szCs w:val="32"/>
          <w:highlight w:val="none"/>
        </w:rPr>
      </w:pPr>
      <w:r>
        <w:rPr>
          <w:rFonts w:hint="eastAsia" w:ascii="宋体" w:hAnsi="宋体" w:cs="宋体"/>
          <w:b/>
          <w:bCs/>
          <w:color w:val="auto"/>
          <w:sz w:val="28"/>
          <w:szCs w:val="32"/>
          <w:highlight w:val="none"/>
        </w:rPr>
        <w:t>3.4 评标结果</w:t>
      </w:r>
    </w:p>
    <w:p w14:paraId="7BF168C6">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3.4.1 除第二章“投标人须知”前附表授权直接确定中标人外，评标委员会按照得分由高到低的顺序推荐中标候选人，并标明排序。</w:t>
      </w:r>
    </w:p>
    <w:p w14:paraId="52CD0C77">
      <w:pPr>
        <w:spacing w:line="360" w:lineRule="auto"/>
        <w:ind w:firstLine="484" w:firstLineChars="202"/>
        <w:jc w:val="left"/>
        <w:rPr>
          <w:rFonts w:ascii="宋体" w:hAnsi="宋体" w:cs="宋体"/>
          <w:color w:val="auto"/>
          <w:sz w:val="24"/>
          <w:szCs w:val="24"/>
          <w:highlight w:val="none"/>
        </w:rPr>
      </w:pPr>
      <w:r>
        <w:rPr>
          <w:rFonts w:hint="eastAsia" w:ascii="宋体" w:hAnsi="宋体" w:cs="宋体"/>
          <w:color w:val="auto"/>
          <w:sz w:val="24"/>
          <w:szCs w:val="24"/>
          <w:highlight w:val="none"/>
        </w:rPr>
        <w:t>3.4.2 评标委员会完成评标后，应当向招标人提交书面评标报告和中标候选人名单。</w:t>
      </w:r>
    </w:p>
    <w:p w14:paraId="70B8A693">
      <w:pPr>
        <w:spacing w:line="360" w:lineRule="auto"/>
        <w:rPr>
          <w:rFonts w:ascii="宋体" w:hAnsi="宋体" w:cs="宋体"/>
          <w:color w:val="auto"/>
          <w:highlight w:val="none"/>
        </w:rPr>
      </w:pPr>
    </w:p>
    <w:p w14:paraId="6622F153">
      <w:pPr>
        <w:spacing w:line="360" w:lineRule="auto"/>
        <w:rPr>
          <w:rFonts w:ascii="宋体" w:hAnsi="宋体" w:cs="宋体"/>
          <w:color w:val="auto"/>
          <w:highlight w:val="none"/>
        </w:rPr>
      </w:pPr>
    </w:p>
    <w:p w14:paraId="0D207834">
      <w:pPr>
        <w:pStyle w:val="21"/>
        <w:rPr>
          <w:rFonts w:ascii="宋体" w:hAnsi="宋体" w:cs="宋体"/>
          <w:color w:val="auto"/>
          <w:highlight w:val="none"/>
        </w:rPr>
      </w:pPr>
    </w:p>
    <w:p w14:paraId="5B5661CF">
      <w:pPr>
        <w:pStyle w:val="21"/>
        <w:rPr>
          <w:rFonts w:ascii="宋体" w:hAnsi="宋体" w:cs="宋体"/>
          <w:color w:val="auto"/>
          <w:highlight w:val="none"/>
        </w:rPr>
      </w:pPr>
    </w:p>
    <w:p w14:paraId="5C331ADE">
      <w:pPr>
        <w:pStyle w:val="21"/>
        <w:rPr>
          <w:rFonts w:ascii="宋体" w:hAnsi="宋体" w:cs="宋体"/>
          <w:color w:val="auto"/>
          <w:highlight w:val="none"/>
        </w:rPr>
      </w:pPr>
    </w:p>
    <w:p w14:paraId="0922765C">
      <w:pPr>
        <w:pStyle w:val="21"/>
        <w:rPr>
          <w:rFonts w:ascii="宋体" w:hAnsi="宋体" w:cs="宋体"/>
          <w:color w:val="auto"/>
          <w:highlight w:val="none"/>
        </w:rPr>
      </w:pPr>
    </w:p>
    <w:p w14:paraId="70311FAC">
      <w:pPr>
        <w:pStyle w:val="21"/>
        <w:rPr>
          <w:rFonts w:ascii="宋体" w:hAnsi="宋体" w:cs="宋体"/>
          <w:color w:val="auto"/>
          <w:highlight w:val="none"/>
        </w:rPr>
      </w:pPr>
    </w:p>
    <w:p w14:paraId="3B966475">
      <w:pPr>
        <w:pStyle w:val="21"/>
        <w:rPr>
          <w:rFonts w:ascii="宋体" w:hAnsi="宋体" w:cs="宋体"/>
          <w:color w:val="auto"/>
          <w:highlight w:val="none"/>
        </w:rPr>
      </w:pPr>
    </w:p>
    <w:p w14:paraId="0449B564">
      <w:pPr>
        <w:pStyle w:val="21"/>
        <w:rPr>
          <w:rFonts w:ascii="宋体" w:hAnsi="宋体" w:cs="宋体"/>
          <w:color w:val="auto"/>
          <w:highlight w:val="none"/>
        </w:rPr>
      </w:pPr>
    </w:p>
    <w:p w14:paraId="7194C51A">
      <w:pPr>
        <w:pStyle w:val="21"/>
        <w:rPr>
          <w:rFonts w:ascii="宋体" w:hAnsi="宋体" w:cs="宋体"/>
          <w:color w:val="auto"/>
          <w:highlight w:val="none"/>
        </w:rPr>
      </w:pPr>
    </w:p>
    <w:p w14:paraId="6493B976">
      <w:pPr>
        <w:pStyle w:val="21"/>
        <w:rPr>
          <w:rFonts w:ascii="宋体" w:hAnsi="宋体" w:cs="宋体"/>
          <w:color w:val="auto"/>
          <w:highlight w:val="none"/>
        </w:rPr>
      </w:pPr>
    </w:p>
    <w:p w14:paraId="34ED00F1">
      <w:pPr>
        <w:pStyle w:val="21"/>
        <w:rPr>
          <w:rFonts w:ascii="宋体" w:hAnsi="宋体" w:cs="宋体"/>
          <w:color w:val="auto"/>
          <w:highlight w:val="none"/>
        </w:rPr>
      </w:pPr>
    </w:p>
    <w:p w14:paraId="32EB54AA">
      <w:pPr>
        <w:pStyle w:val="21"/>
        <w:rPr>
          <w:rFonts w:ascii="宋体" w:hAnsi="宋体" w:cs="宋体"/>
          <w:color w:val="auto"/>
          <w:highlight w:val="none"/>
        </w:rPr>
      </w:pPr>
    </w:p>
    <w:p w14:paraId="5C8C0A86">
      <w:pPr>
        <w:pStyle w:val="21"/>
        <w:rPr>
          <w:rFonts w:ascii="宋体" w:hAnsi="宋体" w:cs="宋体"/>
          <w:color w:val="auto"/>
          <w:highlight w:val="none"/>
        </w:rPr>
      </w:pPr>
    </w:p>
    <w:p w14:paraId="26F3DF8D">
      <w:pPr>
        <w:pStyle w:val="21"/>
        <w:rPr>
          <w:rFonts w:ascii="宋体" w:hAnsi="宋体" w:cs="宋体"/>
          <w:color w:val="auto"/>
          <w:highlight w:val="none"/>
        </w:rPr>
      </w:pPr>
    </w:p>
    <w:p w14:paraId="795FD261">
      <w:pPr>
        <w:pStyle w:val="21"/>
        <w:rPr>
          <w:rFonts w:ascii="宋体" w:hAnsi="宋体" w:cs="宋体"/>
          <w:color w:val="auto"/>
          <w:highlight w:val="none"/>
        </w:rPr>
      </w:pPr>
    </w:p>
    <w:p w14:paraId="45A0ACBA">
      <w:pPr>
        <w:pStyle w:val="21"/>
        <w:rPr>
          <w:rFonts w:ascii="宋体" w:hAnsi="宋体" w:cs="宋体"/>
          <w:color w:val="auto"/>
          <w:highlight w:val="none"/>
        </w:rPr>
      </w:pPr>
    </w:p>
    <w:p w14:paraId="7FD71F6F">
      <w:pPr>
        <w:keepNext/>
        <w:keepLines/>
        <w:adjustRightInd w:val="0"/>
        <w:snapToGrid w:val="0"/>
        <w:spacing w:before="312" w:beforeLines="100" w:after="312" w:afterLines="100" w:line="360" w:lineRule="auto"/>
        <w:ind w:firstLine="1767" w:firstLineChars="400"/>
        <w:textAlignment w:val="center"/>
        <w:outlineLvl w:val="0"/>
        <w:rPr>
          <w:rFonts w:ascii="宋体" w:hAnsi="宋体" w:cs="宋体"/>
          <w:color w:val="auto"/>
          <w:sz w:val="44"/>
          <w:szCs w:val="44"/>
          <w:highlight w:val="none"/>
        </w:rPr>
      </w:pPr>
      <w:bookmarkStart w:id="170" w:name="_Toc25775"/>
      <w:r>
        <w:rPr>
          <w:rFonts w:hint="eastAsia" w:ascii="宋体" w:hAnsi="宋体" w:cs="宋体"/>
          <w:b/>
          <w:bCs/>
          <w:color w:val="auto"/>
          <w:sz w:val="44"/>
          <w:szCs w:val="44"/>
          <w:highlight w:val="none"/>
        </w:rPr>
        <w:t>第四章  合同条款及格式</w:t>
      </w:r>
      <w:bookmarkEnd w:id="170"/>
    </w:p>
    <w:p w14:paraId="0B37C06E">
      <w:pPr>
        <w:keepNext/>
        <w:keepLines/>
        <w:tabs>
          <w:tab w:val="center" w:pos="0"/>
        </w:tabs>
        <w:adjustRightInd w:val="0"/>
        <w:snapToGrid w:val="0"/>
        <w:spacing w:before="312" w:beforeLines="100" w:after="312" w:afterLines="100" w:line="360" w:lineRule="auto"/>
        <w:jc w:val="center"/>
        <w:textAlignment w:val="center"/>
        <w:outlineLvl w:val="0"/>
        <w:rPr>
          <w:rFonts w:ascii="宋体" w:hAnsi="宋体" w:cs="宋体"/>
          <w:color w:val="auto"/>
          <w:sz w:val="44"/>
          <w:szCs w:val="44"/>
          <w:highlight w:val="none"/>
        </w:rPr>
      </w:pPr>
      <w:bookmarkStart w:id="171" w:name="_Toc7302"/>
      <w:r>
        <w:rPr>
          <w:rFonts w:hint="eastAsia" w:ascii="宋体" w:hAnsi="宋体" w:cs="宋体"/>
          <w:color w:val="auto"/>
          <w:sz w:val="32"/>
          <w:szCs w:val="32"/>
          <w:highlight w:val="none"/>
        </w:rPr>
        <w:t>（另册）</w:t>
      </w:r>
      <w:r>
        <w:rPr>
          <w:rFonts w:hint="eastAsia" w:ascii="宋体" w:hAnsi="宋体" w:cs="宋体"/>
          <w:color w:val="auto"/>
          <w:sz w:val="32"/>
          <w:szCs w:val="32"/>
          <w:highlight w:val="none"/>
        </w:rPr>
        <w:br w:type="page"/>
      </w:r>
      <w:r>
        <w:rPr>
          <w:rFonts w:hint="eastAsia" w:ascii="宋体" w:hAnsi="宋体" w:cs="宋体"/>
          <w:b/>
          <w:bCs/>
          <w:color w:val="auto"/>
          <w:sz w:val="44"/>
          <w:szCs w:val="44"/>
          <w:highlight w:val="none"/>
        </w:rPr>
        <w:t>第五章  招标人要求</w:t>
      </w:r>
      <w:bookmarkEnd w:id="171"/>
    </w:p>
    <w:p w14:paraId="31DC402D">
      <w:pPr>
        <w:adjustRightInd w:val="0"/>
        <w:snapToGrid w:val="0"/>
        <w:spacing w:line="360" w:lineRule="auto"/>
        <w:ind w:firstLine="643" w:firstLineChars="200"/>
        <w:jc w:val="center"/>
        <w:textAlignment w:val="baseline"/>
        <w:rPr>
          <w:rFonts w:ascii="宋体" w:hAnsi="宋体" w:cs="宋体"/>
          <w:color w:val="auto"/>
          <w:sz w:val="28"/>
          <w:szCs w:val="28"/>
          <w:highlight w:val="none"/>
        </w:rPr>
      </w:pPr>
      <w:r>
        <w:rPr>
          <w:rFonts w:hint="eastAsia" w:ascii="宋体" w:hAnsi="宋体" w:cs="宋体"/>
          <w:b/>
          <w:color w:val="auto"/>
          <w:sz w:val="32"/>
          <w:szCs w:val="32"/>
          <w:highlight w:val="none"/>
        </w:rPr>
        <w:t>（按国家、广东省、广州市相关规范执行）</w:t>
      </w:r>
    </w:p>
    <w:p w14:paraId="2F4C6EEF">
      <w:pPr>
        <w:keepNext/>
        <w:keepLines/>
        <w:numPr>
          <w:ilvl w:val="0"/>
          <w:numId w:val="2"/>
        </w:numPr>
        <w:tabs>
          <w:tab w:val="center" w:pos="0"/>
        </w:tabs>
        <w:adjustRightInd w:val="0"/>
        <w:snapToGrid w:val="0"/>
        <w:spacing w:before="312" w:beforeLines="100" w:after="312" w:afterLines="100" w:line="360" w:lineRule="auto"/>
        <w:jc w:val="center"/>
        <w:textAlignment w:val="center"/>
        <w:outlineLvl w:val="0"/>
        <w:rPr>
          <w:rFonts w:ascii="宋体" w:hAnsi="宋体" w:cs="宋体"/>
          <w:b/>
          <w:bCs/>
          <w:color w:val="auto"/>
          <w:sz w:val="44"/>
          <w:szCs w:val="44"/>
          <w:highlight w:val="none"/>
        </w:rPr>
      </w:pPr>
      <w:r>
        <w:rPr>
          <w:rFonts w:hint="eastAsia" w:ascii="宋体" w:hAnsi="宋体" w:cs="宋体"/>
          <w:b/>
          <w:bCs/>
          <w:color w:val="auto"/>
          <w:sz w:val="44"/>
          <w:szCs w:val="44"/>
          <w:highlight w:val="none"/>
        </w:rPr>
        <w:br w:type="page"/>
      </w:r>
      <w:r>
        <w:rPr>
          <w:rFonts w:hint="eastAsia" w:ascii="宋体" w:hAnsi="宋体" w:cs="宋体"/>
          <w:b/>
          <w:bCs/>
          <w:color w:val="auto"/>
          <w:sz w:val="44"/>
          <w:szCs w:val="44"/>
          <w:highlight w:val="none"/>
        </w:rPr>
        <w:t xml:space="preserve"> </w:t>
      </w:r>
      <w:bookmarkStart w:id="172" w:name="_Toc12654"/>
      <w:r>
        <w:rPr>
          <w:rFonts w:hint="eastAsia" w:ascii="宋体" w:hAnsi="宋体" w:cs="宋体"/>
          <w:b/>
          <w:bCs/>
          <w:color w:val="auto"/>
          <w:sz w:val="44"/>
          <w:szCs w:val="44"/>
          <w:highlight w:val="none"/>
        </w:rPr>
        <w:t>工程量清单</w:t>
      </w:r>
      <w:bookmarkEnd w:id="172"/>
    </w:p>
    <w:p w14:paraId="73FE596F">
      <w:pPr>
        <w:pStyle w:val="21"/>
        <w:jc w:val="center"/>
        <w:rPr>
          <w:color w:val="auto"/>
          <w:sz w:val="30"/>
          <w:szCs w:val="30"/>
          <w:highlight w:val="none"/>
        </w:rPr>
      </w:pPr>
    </w:p>
    <w:p w14:paraId="47C6B9E3">
      <w:pPr>
        <w:pStyle w:val="21"/>
        <w:jc w:val="center"/>
        <w:rPr>
          <w:color w:val="auto"/>
          <w:highlight w:val="none"/>
        </w:rPr>
      </w:pPr>
      <w:r>
        <w:rPr>
          <w:rFonts w:hint="eastAsia"/>
          <w:color w:val="auto"/>
          <w:sz w:val="30"/>
          <w:szCs w:val="30"/>
          <w:highlight w:val="none"/>
        </w:rPr>
        <w:t>本项目不需要提供工程量清单。</w:t>
      </w:r>
    </w:p>
    <w:p w14:paraId="21766AB7">
      <w:pPr>
        <w:spacing w:line="360" w:lineRule="auto"/>
        <w:rPr>
          <w:color w:val="auto"/>
          <w:highlight w:val="none"/>
        </w:rPr>
      </w:pPr>
      <w:bookmarkStart w:id="173" w:name="_Toc518374713"/>
      <w:bookmarkStart w:id="174" w:name="_Toc332631175"/>
    </w:p>
    <w:p w14:paraId="3AF2A7C3">
      <w:pPr>
        <w:widowControl/>
        <w:spacing w:line="360" w:lineRule="auto"/>
        <w:jc w:val="left"/>
        <w:rPr>
          <w:rFonts w:ascii="宋体" w:hAnsi="宋体" w:cs="宋体"/>
          <w:color w:val="auto"/>
          <w:szCs w:val="24"/>
          <w:highlight w:val="none"/>
        </w:rPr>
      </w:pPr>
      <w:r>
        <w:rPr>
          <w:rFonts w:hint="eastAsia"/>
          <w:color w:val="auto"/>
          <w:highlight w:val="none"/>
        </w:rPr>
        <w:br w:type="page"/>
      </w:r>
    </w:p>
    <w:p w14:paraId="508CF39D">
      <w:pPr>
        <w:pStyle w:val="3"/>
        <w:keepNext w:val="0"/>
        <w:keepLines w:val="0"/>
        <w:spacing w:line="360" w:lineRule="auto"/>
        <w:jc w:val="center"/>
        <w:rPr>
          <w:rFonts w:ascii="宋体" w:hAnsi="宋体" w:eastAsia="宋体" w:cs="宋体"/>
          <w:color w:val="auto"/>
          <w:kern w:val="2"/>
          <w:highlight w:val="none"/>
        </w:rPr>
      </w:pPr>
    </w:p>
    <w:p w14:paraId="7A559F2A">
      <w:pPr>
        <w:pStyle w:val="3"/>
        <w:keepNext w:val="0"/>
        <w:keepLines w:val="0"/>
        <w:spacing w:line="360" w:lineRule="auto"/>
        <w:jc w:val="center"/>
        <w:rPr>
          <w:rFonts w:ascii="宋体" w:hAnsi="宋体" w:eastAsia="宋体" w:cs="宋体"/>
          <w:color w:val="auto"/>
          <w:highlight w:val="none"/>
        </w:rPr>
      </w:pPr>
      <w:bookmarkStart w:id="175" w:name="_Toc18657"/>
      <w:r>
        <w:rPr>
          <w:rFonts w:hint="eastAsia" w:ascii="宋体" w:hAnsi="宋体" w:eastAsia="宋体" w:cs="宋体"/>
          <w:color w:val="auto"/>
          <w:kern w:val="2"/>
          <w:highlight w:val="none"/>
        </w:rPr>
        <w:t>第七章  投标文件格式</w:t>
      </w:r>
      <w:bookmarkEnd w:id="175"/>
    </w:p>
    <w:bookmarkEnd w:id="173"/>
    <w:bookmarkEnd w:id="174"/>
    <w:p w14:paraId="6D3F9A3C">
      <w:pPr>
        <w:spacing w:line="360" w:lineRule="auto"/>
        <w:jc w:val="center"/>
        <w:rPr>
          <w:rFonts w:ascii="宋体" w:hAnsi="宋体" w:cs="宋体"/>
          <w:b/>
          <w:color w:val="auto"/>
          <w:sz w:val="44"/>
          <w:szCs w:val="44"/>
          <w:highlight w:val="none"/>
        </w:rPr>
      </w:pPr>
    </w:p>
    <w:p w14:paraId="52329CAE">
      <w:pPr>
        <w:spacing w:line="360" w:lineRule="auto"/>
        <w:jc w:val="center"/>
        <w:rPr>
          <w:rFonts w:hint="eastAsia" w:ascii="宋体" w:hAnsi="宋体" w:eastAsia="宋体" w:cs="宋体"/>
          <w:b/>
          <w:color w:val="auto"/>
          <w:sz w:val="44"/>
          <w:szCs w:val="44"/>
          <w:highlight w:val="none"/>
          <w:lang w:eastAsia="zh-CN"/>
        </w:rPr>
      </w:pPr>
      <w:r>
        <w:rPr>
          <w:rFonts w:hint="eastAsia" w:ascii="宋体" w:hAnsi="宋体" w:cs="宋体"/>
          <w:b/>
          <w:color w:val="auto"/>
          <w:sz w:val="44"/>
          <w:szCs w:val="44"/>
          <w:highlight w:val="none"/>
          <w:lang w:eastAsia="zh-CN"/>
        </w:rPr>
        <w:t>化龙镇化龙南路北半幅（城际化龙站至化龙大道段）工程地铁保护第三方监测</w:t>
      </w:r>
    </w:p>
    <w:p w14:paraId="5695D2D0">
      <w:pPr>
        <w:spacing w:line="360" w:lineRule="auto"/>
        <w:rPr>
          <w:rFonts w:ascii="宋体" w:hAnsi="宋体" w:cs="宋体"/>
          <w:color w:val="auto"/>
          <w:sz w:val="20"/>
          <w:highlight w:val="none"/>
        </w:rPr>
      </w:pPr>
    </w:p>
    <w:p w14:paraId="054B896A">
      <w:pPr>
        <w:spacing w:line="360" w:lineRule="auto"/>
        <w:rPr>
          <w:rFonts w:ascii="宋体" w:hAnsi="宋体" w:cs="宋体"/>
          <w:color w:val="auto"/>
          <w:sz w:val="20"/>
          <w:highlight w:val="none"/>
        </w:rPr>
      </w:pPr>
    </w:p>
    <w:p w14:paraId="165B901E">
      <w:pPr>
        <w:spacing w:line="360" w:lineRule="auto"/>
        <w:rPr>
          <w:rFonts w:ascii="宋体" w:hAnsi="宋体" w:cs="宋体"/>
          <w:color w:val="auto"/>
          <w:sz w:val="20"/>
          <w:highlight w:val="none"/>
        </w:rPr>
      </w:pPr>
    </w:p>
    <w:p w14:paraId="5A509454">
      <w:pPr>
        <w:spacing w:line="360" w:lineRule="auto"/>
        <w:rPr>
          <w:rFonts w:ascii="宋体" w:hAnsi="宋体" w:cs="宋体"/>
          <w:color w:val="auto"/>
          <w:sz w:val="20"/>
          <w:highlight w:val="none"/>
        </w:rPr>
      </w:pPr>
    </w:p>
    <w:p w14:paraId="3E142709">
      <w:pPr>
        <w:spacing w:line="360" w:lineRule="auto"/>
        <w:rPr>
          <w:rFonts w:ascii="宋体" w:hAnsi="宋体" w:cs="宋体"/>
          <w:color w:val="auto"/>
          <w:sz w:val="20"/>
          <w:highlight w:val="none"/>
        </w:rPr>
      </w:pPr>
    </w:p>
    <w:p w14:paraId="37D41ADB">
      <w:pPr>
        <w:spacing w:line="360" w:lineRule="auto"/>
        <w:rPr>
          <w:rFonts w:ascii="宋体" w:hAnsi="宋体" w:cs="宋体"/>
          <w:color w:val="auto"/>
          <w:sz w:val="20"/>
          <w:highlight w:val="none"/>
        </w:rPr>
      </w:pPr>
    </w:p>
    <w:p w14:paraId="498DB3F3">
      <w:pPr>
        <w:spacing w:line="360" w:lineRule="auto"/>
        <w:jc w:val="center"/>
        <w:rPr>
          <w:rFonts w:ascii="宋体" w:hAnsi="宋体" w:cs="宋体"/>
          <w:color w:val="auto"/>
          <w:sz w:val="72"/>
          <w:szCs w:val="72"/>
          <w:highlight w:val="none"/>
        </w:rPr>
      </w:pPr>
      <w:r>
        <w:rPr>
          <w:rFonts w:hint="eastAsia" w:ascii="宋体" w:hAnsi="宋体" w:cs="宋体"/>
          <w:color w:val="auto"/>
          <w:sz w:val="72"/>
          <w:szCs w:val="72"/>
          <w:highlight w:val="none"/>
        </w:rPr>
        <w:t>投标文件</w:t>
      </w:r>
    </w:p>
    <w:p w14:paraId="0C87C883">
      <w:pPr>
        <w:spacing w:line="360" w:lineRule="auto"/>
        <w:rPr>
          <w:rFonts w:ascii="宋体" w:hAnsi="宋体" w:cs="宋体"/>
          <w:color w:val="auto"/>
          <w:sz w:val="28"/>
          <w:highlight w:val="none"/>
        </w:rPr>
      </w:pPr>
    </w:p>
    <w:p w14:paraId="6FD78DBE">
      <w:pPr>
        <w:spacing w:line="360" w:lineRule="auto"/>
        <w:rPr>
          <w:rFonts w:ascii="宋体" w:hAnsi="宋体" w:cs="宋体"/>
          <w:color w:val="auto"/>
          <w:sz w:val="28"/>
          <w:highlight w:val="none"/>
        </w:rPr>
      </w:pPr>
    </w:p>
    <w:p w14:paraId="629B9DD0">
      <w:pPr>
        <w:spacing w:line="360" w:lineRule="auto"/>
        <w:rPr>
          <w:rFonts w:ascii="宋体" w:hAnsi="宋体" w:cs="宋体"/>
          <w:color w:val="auto"/>
          <w:sz w:val="28"/>
          <w:highlight w:val="none"/>
        </w:rPr>
      </w:pPr>
    </w:p>
    <w:p w14:paraId="11F0C82D">
      <w:pPr>
        <w:spacing w:line="360" w:lineRule="auto"/>
        <w:rPr>
          <w:rFonts w:ascii="宋体" w:hAnsi="宋体" w:cs="宋体"/>
          <w:color w:val="auto"/>
          <w:sz w:val="28"/>
          <w:highlight w:val="none"/>
        </w:rPr>
      </w:pPr>
    </w:p>
    <w:p w14:paraId="3AB77F51">
      <w:pPr>
        <w:spacing w:line="360" w:lineRule="auto"/>
        <w:rPr>
          <w:rFonts w:ascii="宋体" w:hAnsi="宋体" w:cs="宋体"/>
          <w:color w:val="auto"/>
          <w:sz w:val="28"/>
          <w:highlight w:val="none"/>
        </w:rPr>
      </w:pPr>
    </w:p>
    <w:p w14:paraId="38650A31">
      <w:pPr>
        <w:spacing w:line="360" w:lineRule="auto"/>
        <w:rPr>
          <w:rFonts w:ascii="宋体" w:hAnsi="宋体" w:cs="宋体"/>
          <w:color w:val="auto"/>
          <w:sz w:val="28"/>
          <w:highlight w:val="none"/>
        </w:rPr>
      </w:pPr>
    </w:p>
    <w:p w14:paraId="3A00D9F7">
      <w:pPr>
        <w:spacing w:line="360" w:lineRule="auto"/>
        <w:ind w:firstLine="1120" w:firstLineChars="400"/>
        <w:rPr>
          <w:rFonts w:ascii="宋体" w:hAnsi="宋体" w:cs="宋体"/>
          <w:color w:val="auto"/>
          <w:sz w:val="28"/>
          <w:highlight w:val="none"/>
          <w:u w:val="single"/>
        </w:rPr>
      </w:pPr>
      <w:r>
        <w:rPr>
          <w:rFonts w:hint="eastAsia" w:ascii="宋体" w:hAnsi="宋体" w:cs="宋体"/>
          <w:color w:val="auto"/>
          <w:sz w:val="28"/>
          <w:highlight w:val="none"/>
        </w:rPr>
        <w:t>投标人：（盖章）</w:t>
      </w:r>
    </w:p>
    <w:p w14:paraId="38F2B0A2">
      <w:pPr>
        <w:spacing w:line="360" w:lineRule="auto"/>
        <w:ind w:firstLine="1120" w:firstLineChars="400"/>
        <w:jc w:val="left"/>
        <w:rPr>
          <w:rFonts w:ascii="宋体" w:hAnsi="宋体" w:cs="宋体"/>
          <w:color w:val="auto"/>
          <w:sz w:val="28"/>
          <w:highlight w:val="none"/>
        </w:rPr>
      </w:pPr>
      <w:r>
        <w:rPr>
          <w:rFonts w:hint="eastAsia" w:ascii="宋体" w:hAnsi="宋体" w:cs="宋体"/>
          <w:color w:val="auto"/>
          <w:sz w:val="28"/>
          <w:highlight w:val="none"/>
        </w:rPr>
        <w:t>法定代表人或其委托代理人：（签字或盖章）</w:t>
      </w:r>
    </w:p>
    <w:p w14:paraId="6231C8D7">
      <w:pPr>
        <w:spacing w:line="360" w:lineRule="auto"/>
        <w:jc w:val="center"/>
        <w:rPr>
          <w:rFonts w:ascii="宋体" w:hAnsi="宋体" w:cs="宋体"/>
          <w:color w:val="auto"/>
          <w:highlight w:val="none"/>
        </w:rPr>
      </w:pPr>
      <w:r>
        <w:rPr>
          <w:rFonts w:hint="eastAsia" w:ascii="宋体" w:hAnsi="宋体" w:cs="宋体"/>
          <w:color w:val="auto"/>
          <w:sz w:val="28"/>
          <w:highlight w:val="none"/>
        </w:rPr>
        <w:t>年  月  日</w:t>
      </w:r>
    </w:p>
    <w:p w14:paraId="57560D44">
      <w:pPr>
        <w:spacing w:line="360" w:lineRule="auto"/>
        <w:rPr>
          <w:rFonts w:ascii="宋体" w:hAnsi="宋体" w:cs="宋体"/>
          <w:color w:val="auto"/>
          <w:highlight w:val="none"/>
        </w:rPr>
      </w:pPr>
    </w:p>
    <w:p w14:paraId="326534E6">
      <w:pPr>
        <w:spacing w:line="360" w:lineRule="auto"/>
        <w:rPr>
          <w:rFonts w:ascii="宋体" w:hAnsi="宋体" w:cs="宋体"/>
          <w:color w:val="auto"/>
          <w:highlight w:val="none"/>
        </w:rPr>
      </w:pPr>
    </w:p>
    <w:p w14:paraId="12B9EDB1">
      <w:pP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目录</w:t>
      </w:r>
    </w:p>
    <w:p w14:paraId="39BAD048">
      <w:pPr>
        <w:spacing w:line="36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一、投标函及投标函附录</w:t>
      </w:r>
      <w:r>
        <w:rPr>
          <w:rFonts w:hint="eastAsia" w:ascii="宋体" w:hAnsi="宋体" w:cs="宋体"/>
          <w:color w:val="auto"/>
          <w:sz w:val="28"/>
          <w:szCs w:val="28"/>
          <w:highlight w:val="none"/>
        </w:rPr>
        <w:tab/>
      </w:r>
    </w:p>
    <w:p w14:paraId="2BEB57CB">
      <w:pPr>
        <w:spacing w:line="36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二、法定代表人证明书及授权委托书</w:t>
      </w:r>
      <w:r>
        <w:rPr>
          <w:rFonts w:hint="eastAsia" w:ascii="宋体" w:hAnsi="宋体" w:cs="宋体"/>
          <w:color w:val="auto"/>
          <w:sz w:val="28"/>
          <w:szCs w:val="28"/>
          <w:highlight w:val="none"/>
        </w:rPr>
        <w:tab/>
      </w:r>
    </w:p>
    <w:p w14:paraId="7DED59E0">
      <w:pPr>
        <w:spacing w:line="36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三、联合体协议书</w:t>
      </w:r>
      <w:r>
        <w:rPr>
          <w:rFonts w:hint="eastAsia" w:ascii="宋体" w:hAnsi="宋体" w:cs="宋体"/>
          <w:color w:val="auto"/>
          <w:sz w:val="28"/>
          <w:szCs w:val="28"/>
          <w:highlight w:val="none"/>
        </w:rPr>
        <w:tab/>
      </w:r>
      <w:r>
        <w:rPr>
          <w:rFonts w:hint="eastAsia" w:ascii="宋体" w:hAnsi="宋体" w:cs="宋体"/>
          <w:color w:val="auto"/>
          <w:sz w:val="28"/>
          <w:szCs w:val="28"/>
          <w:highlight w:val="none"/>
        </w:rPr>
        <w:t>（如有）</w:t>
      </w:r>
    </w:p>
    <w:p w14:paraId="404C0328">
      <w:pPr>
        <w:spacing w:line="36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四、关于投标保证金的承诺</w:t>
      </w:r>
    </w:p>
    <w:p w14:paraId="4857F7DC">
      <w:pPr>
        <w:spacing w:line="36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五、资格审查资料</w:t>
      </w:r>
      <w:r>
        <w:rPr>
          <w:rFonts w:hint="eastAsia" w:ascii="宋体" w:hAnsi="宋体" w:cs="宋体"/>
          <w:color w:val="auto"/>
          <w:sz w:val="28"/>
          <w:szCs w:val="28"/>
          <w:highlight w:val="none"/>
        </w:rPr>
        <w:tab/>
      </w:r>
    </w:p>
    <w:p w14:paraId="3D3529CD">
      <w:pPr>
        <w:spacing w:line="360" w:lineRule="auto"/>
        <w:jc w:val="left"/>
        <w:rPr>
          <w:rFonts w:hint="eastAsia" w:ascii="宋体" w:hAnsi="宋体" w:cs="宋体"/>
          <w:color w:val="auto"/>
          <w:sz w:val="28"/>
          <w:szCs w:val="28"/>
          <w:highlight w:val="none"/>
        </w:rPr>
      </w:pPr>
      <w:bookmarkStart w:id="176" w:name="_Toc20192"/>
      <w:bookmarkStart w:id="177" w:name="_Toc525063272"/>
      <w:bookmarkStart w:id="178" w:name="_Toc14300"/>
      <w:bookmarkStart w:id="179" w:name="_Toc15847"/>
      <w:bookmarkStart w:id="180" w:name="_Toc7672"/>
      <w:bookmarkStart w:id="181" w:name="_Toc759"/>
      <w:r>
        <w:rPr>
          <w:rFonts w:hint="eastAsia" w:ascii="宋体" w:hAnsi="宋体" w:cs="宋体"/>
          <w:color w:val="auto"/>
          <w:sz w:val="28"/>
          <w:szCs w:val="28"/>
          <w:highlight w:val="none"/>
        </w:rPr>
        <w:t>六、近年完成的类似监测项目情况表</w:t>
      </w:r>
    </w:p>
    <w:p w14:paraId="5E2DAF0E">
      <w:pPr>
        <w:spacing w:line="36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七、拟委任的主要监测人员汇总表</w:t>
      </w:r>
    </w:p>
    <w:p w14:paraId="2B0DF643">
      <w:pPr>
        <w:spacing w:line="36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八、拟投入本项目的人员简历表</w:t>
      </w:r>
    </w:p>
    <w:p w14:paraId="74D6EA22">
      <w:pPr>
        <w:spacing w:line="36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九、拟投入本项目的主要仪器设备一览表</w:t>
      </w:r>
    </w:p>
    <w:p w14:paraId="38BF3D99">
      <w:pPr>
        <w:spacing w:line="36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十、监测技术方案</w:t>
      </w:r>
      <w:r>
        <w:rPr>
          <w:rFonts w:hint="eastAsia" w:ascii="宋体" w:hAnsi="宋体" w:cs="宋体"/>
          <w:color w:val="auto"/>
          <w:sz w:val="28"/>
          <w:szCs w:val="28"/>
          <w:highlight w:val="none"/>
        </w:rPr>
        <w:tab/>
      </w:r>
    </w:p>
    <w:p w14:paraId="037FEEBC">
      <w:pPr>
        <w:spacing w:line="36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十一、投标人认为应该提供的其他资料</w:t>
      </w:r>
    </w:p>
    <w:p w14:paraId="5FAAD610">
      <w:pPr>
        <w:spacing w:line="360" w:lineRule="auto"/>
        <w:rPr>
          <w:rFonts w:ascii="宋体" w:hAnsi="宋体" w:cs="宋体"/>
          <w:color w:val="auto"/>
          <w:sz w:val="20"/>
          <w:highlight w:val="none"/>
        </w:rPr>
      </w:pPr>
    </w:p>
    <w:p w14:paraId="504169D8">
      <w:pPr>
        <w:keepNext/>
        <w:keepLines/>
        <w:spacing w:line="360" w:lineRule="auto"/>
        <w:jc w:val="center"/>
        <w:outlineLvl w:val="1"/>
        <w:rPr>
          <w:rFonts w:ascii="宋体" w:hAnsi="宋体" w:cs="宋体"/>
          <w:color w:val="auto"/>
          <w:sz w:val="32"/>
          <w:highlight w:val="none"/>
        </w:rPr>
      </w:pPr>
      <w:r>
        <w:rPr>
          <w:rFonts w:hint="eastAsia" w:ascii="宋体" w:hAnsi="宋体" w:cs="宋体"/>
          <w:color w:val="auto"/>
          <w:highlight w:val="none"/>
        </w:rPr>
        <w:br w:type="page"/>
      </w:r>
      <w:bookmarkStart w:id="182" w:name="_Toc7606"/>
      <w:r>
        <w:rPr>
          <w:rFonts w:hint="eastAsia" w:ascii="宋体" w:hAnsi="宋体" w:cs="宋体"/>
          <w:color w:val="auto"/>
          <w:sz w:val="32"/>
          <w:highlight w:val="none"/>
        </w:rPr>
        <w:t>一、</w:t>
      </w:r>
      <w:r>
        <w:rPr>
          <w:rFonts w:hint="eastAsia" w:ascii="宋体" w:hAnsi="宋体" w:cs="宋体"/>
          <w:b/>
          <w:bCs/>
          <w:color w:val="auto"/>
          <w:sz w:val="32"/>
          <w:szCs w:val="32"/>
          <w:highlight w:val="none"/>
        </w:rPr>
        <w:t>投标函及投标函附录</w:t>
      </w:r>
      <w:bookmarkEnd w:id="182"/>
    </w:p>
    <w:p w14:paraId="762BFBC0">
      <w:pPr>
        <w:spacing w:line="360" w:lineRule="auto"/>
        <w:jc w:val="center"/>
        <w:rPr>
          <w:rFonts w:ascii="宋体" w:hAnsi="宋体" w:cs="宋体"/>
          <w:color w:val="auto"/>
          <w:sz w:val="30"/>
          <w:szCs w:val="24"/>
          <w:highlight w:val="none"/>
        </w:rPr>
      </w:pPr>
      <w:r>
        <w:rPr>
          <w:rFonts w:hint="eastAsia" w:ascii="宋体" w:hAnsi="宋体" w:cs="宋体"/>
          <w:color w:val="auto"/>
          <w:sz w:val="30"/>
          <w:szCs w:val="24"/>
          <w:highlight w:val="none"/>
        </w:rPr>
        <w:t>（一）投标函</w:t>
      </w:r>
    </w:p>
    <w:p w14:paraId="466E8673">
      <w:pPr>
        <w:spacing w:line="360" w:lineRule="auto"/>
        <w:rPr>
          <w:rFonts w:ascii="宋体" w:hAnsi="宋体" w:cs="宋体"/>
          <w:color w:val="auto"/>
          <w:szCs w:val="24"/>
          <w:highlight w:val="none"/>
        </w:rPr>
      </w:pPr>
    </w:p>
    <w:bookmarkEnd w:id="176"/>
    <w:bookmarkEnd w:id="177"/>
    <w:bookmarkEnd w:id="178"/>
    <w:bookmarkEnd w:id="179"/>
    <w:bookmarkEnd w:id="180"/>
    <w:bookmarkEnd w:id="181"/>
    <w:p w14:paraId="534B834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致：</w:t>
      </w:r>
      <w:r>
        <w:rPr>
          <w:rFonts w:ascii="宋体" w:hAnsi="宋体"/>
          <w:color w:val="auto"/>
          <w:sz w:val="24"/>
          <w:szCs w:val="24"/>
          <w:highlight w:val="none"/>
        </w:rPr>
        <w:t xml:space="preserve">  </w:t>
      </w:r>
      <w:r>
        <w:rPr>
          <w:rFonts w:ascii="宋体" w:hAnsi="宋体"/>
          <w:color w:val="auto"/>
          <w:sz w:val="24"/>
          <w:szCs w:val="24"/>
          <w:highlight w:val="none"/>
          <w:u w:val="single"/>
        </w:rPr>
        <w:t xml:space="preserve">       </w:t>
      </w:r>
      <w:r>
        <w:rPr>
          <w:rFonts w:ascii="宋体" w:hAnsi="宋体"/>
          <w:b/>
          <w:bCs/>
          <w:color w:val="auto"/>
          <w:sz w:val="24"/>
          <w:szCs w:val="24"/>
          <w:highlight w:val="none"/>
          <w:u w:val="single"/>
        </w:rPr>
        <w:t xml:space="preserve"> </w:t>
      </w:r>
      <w:r>
        <w:rPr>
          <w:rFonts w:hint="eastAsia" w:ascii="宋体" w:hAnsi="宋体"/>
          <w:color w:val="auto"/>
          <w:sz w:val="24"/>
          <w:szCs w:val="24"/>
          <w:highlight w:val="none"/>
          <w:u w:val="single"/>
        </w:rPr>
        <w:t>（招标人）</w:t>
      </w:r>
      <w:r>
        <w:rPr>
          <w:rFonts w:ascii="宋体" w:hAnsi="宋体"/>
          <w:color w:val="auto"/>
          <w:sz w:val="24"/>
          <w:szCs w:val="24"/>
          <w:highlight w:val="none"/>
          <w:u w:val="single"/>
        </w:rPr>
        <w:t xml:space="preserve">          </w:t>
      </w:r>
    </w:p>
    <w:p w14:paraId="06C477E0">
      <w:pPr>
        <w:pStyle w:val="9"/>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1. </w:t>
      </w:r>
      <w:r>
        <w:rPr>
          <w:rFonts w:hint="eastAsia" w:ascii="宋体" w:hAnsi="宋体"/>
          <w:color w:val="auto"/>
          <w:sz w:val="24"/>
          <w:highlight w:val="none"/>
        </w:rPr>
        <w:t>在仔细分析研究了贵单位提供的</w:t>
      </w:r>
      <w:r>
        <w:rPr>
          <w:rFonts w:ascii="宋体" w:hAnsi="宋体"/>
          <w:color w:val="auto"/>
          <w:sz w:val="24"/>
          <w:highlight w:val="none"/>
          <w:u w:val="single"/>
        </w:rPr>
        <w:t xml:space="preserve">        </w:t>
      </w:r>
      <w:r>
        <w:rPr>
          <w:rFonts w:hint="eastAsia" w:ascii="宋体" w:hAnsi="宋体"/>
          <w:color w:val="auto"/>
          <w:sz w:val="24"/>
          <w:highlight w:val="none"/>
          <w:u w:val="single"/>
        </w:rPr>
        <w:t>（项目名称）</w:t>
      </w:r>
      <w:r>
        <w:rPr>
          <w:rFonts w:hint="eastAsia" w:ascii="宋体" w:hAnsi="宋体"/>
          <w:color w:val="auto"/>
          <w:sz w:val="24"/>
          <w:highlight w:val="none"/>
        </w:rPr>
        <w:t>招标文件后，我方愿意以总价为人民币（大写）</w:t>
      </w:r>
      <w:r>
        <w:rPr>
          <w:rFonts w:ascii="宋体" w:hAnsi="宋体"/>
          <w:color w:val="auto"/>
          <w:sz w:val="24"/>
          <w:highlight w:val="none"/>
          <w:u w:val="single"/>
        </w:rPr>
        <w:t xml:space="preserve">                      </w:t>
      </w:r>
      <w:r>
        <w:rPr>
          <w:rFonts w:hint="eastAsia" w:ascii="宋体" w:hAnsi="宋体"/>
          <w:color w:val="auto"/>
          <w:sz w:val="24"/>
          <w:highlight w:val="none"/>
        </w:rPr>
        <w:t>（小写</w:t>
      </w:r>
      <w:r>
        <w:rPr>
          <w:rFonts w:hint="eastAsia" w:ascii="宋体" w:hAnsi="宋体"/>
          <w:color w:val="auto"/>
          <w:sz w:val="24"/>
          <w:highlight w:val="none"/>
          <w:u w:val="single"/>
        </w:rPr>
        <w:t xml:space="preserve">      </w:t>
      </w:r>
      <w:r>
        <w:rPr>
          <w:rFonts w:hint="eastAsia" w:ascii="宋体" w:hAnsi="宋体"/>
          <w:color w:val="auto"/>
          <w:sz w:val="24"/>
          <w:highlight w:val="none"/>
        </w:rPr>
        <w:t>）作为</w:t>
      </w:r>
      <w:r>
        <w:rPr>
          <w:rFonts w:ascii="宋体" w:hAnsi="宋体"/>
          <w:color w:val="auto"/>
          <w:sz w:val="24"/>
          <w:highlight w:val="none"/>
          <w:u w:val="single"/>
        </w:rPr>
        <w:t xml:space="preserve">      </w:t>
      </w:r>
      <w:r>
        <w:rPr>
          <w:rFonts w:hint="eastAsia" w:ascii="宋体" w:hAnsi="宋体"/>
          <w:color w:val="auto"/>
          <w:sz w:val="24"/>
          <w:highlight w:val="none"/>
          <w:u w:val="single"/>
        </w:rPr>
        <w:t>项目名称</w:t>
      </w:r>
      <w:r>
        <w:rPr>
          <w:rFonts w:ascii="宋体" w:hAnsi="宋体"/>
          <w:color w:val="auto"/>
          <w:sz w:val="24"/>
          <w:highlight w:val="none"/>
          <w:u w:val="single"/>
        </w:rPr>
        <w:t xml:space="preserve">         </w:t>
      </w:r>
      <w:r>
        <w:rPr>
          <w:rFonts w:hint="eastAsia" w:ascii="宋体" w:hAnsi="宋体"/>
          <w:color w:val="auto"/>
          <w:sz w:val="24"/>
          <w:highlight w:val="none"/>
        </w:rPr>
        <w:t>服务费的总价，并遵照招标文件的有关规定要求，承担全部服务任务工作。</w:t>
      </w:r>
    </w:p>
    <w:p w14:paraId="1794217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我方确认的</w:t>
      </w:r>
      <w:r>
        <w:rPr>
          <w:rFonts w:hint="eastAsia" w:ascii="宋体" w:hAnsi="宋体"/>
          <w:b/>
          <w:bCs/>
          <w:color w:val="auto"/>
          <w:sz w:val="24"/>
          <w:szCs w:val="24"/>
          <w:highlight w:val="none"/>
        </w:rPr>
        <w:t>投标函</w:t>
      </w:r>
      <w:r>
        <w:rPr>
          <w:rFonts w:hint="eastAsia" w:ascii="宋体" w:hAnsi="宋体"/>
          <w:color w:val="auto"/>
          <w:sz w:val="24"/>
          <w:szCs w:val="24"/>
          <w:highlight w:val="none"/>
        </w:rPr>
        <w:t>是我单位投标文件的组成部分。</w:t>
      </w:r>
    </w:p>
    <w:p w14:paraId="3DEAA23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如果贵单位接受我方的投标，我方保证按合同规定的期限内开始本工程的检测监测工作并按投标书中规定的期限内完成合同规定的全部任务。</w:t>
      </w:r>
    </w:p>
    <w:p w14:paraId="6881CBE3">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我方同意在从规定的</w:t>
      </w:r>
      <w:r>
        <w:rPr>
          <w:rFonts w:hint="eastAsia" w:ascii="宋体" w:hAnsi="宋体"/>
          <w:b/>
          <w:bCs/>
          <w:color w:val="auto"/>
          <w:sz w:val="24"/>
          <w:szCs w:val="24"/>
          <w:highlight w:val="none"/>
        </w:rPr>
        <w:t>递交投标文件截止之日起</w:t>
      </w:r>
      <w:r>
        <w:rPr>
          <w:rFonts w:ascii="宋体" w:hAnsi="宋体"/>
          <w:b/>
          <w:bCs/>
          <w:color w:val="auto"/>
          <w:sz w:val="24"/>
          <w:szCs w:val="24"/>
          <w:highlight w:val="none"/>
        </w:rPr>
        <w:t>90</w:t>
      </w:r>
      <w:r>
        <w:rPr>
          <w:rFonts w:hint="eastAsia" w:ascii="宋体" w:hAnsi="宋体"/>
          <w:b/>
          <w:bCs/>
          <w:color w:val="auto"/>
          <w:sz w:val="24"/>
          <w:szCs w:val="24"/>
          <w:highlight w:val="none"/>
        </w:rPr>
        <w:t>天</w:t>
      </w:r>
      <w:r>
        <w:rPr>
          <w:rFonts w:hint="eastAsia" w:ascii="宋体" w:hAnsi="宋体"/>
          <w:color w:val="auto"/>
          <w:sz w:val="24"/>
          <w:szCs w:val="24"/>
          <w:highlight w:val="none"/>
        </w:rPr>
        <w:t>内遵守本投标文件。在此期限届满之前，本投标文件始终将对我们具有约束力并随时接受中标。</w:t>
      </w:r>
    </w:p>
    <w:p w14:paraId="748EA29B">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5.</w:t>
      </w:r>
      <w:r>
        <w:rPr>
          <w:rFonts w:hint="eastAsia" w:ascii="宋体" w:hAnsi="宋体"/>
          <w:color w:val="auto"/>
          <w:sz w:val="24"/>
          <w:szCs w:val="24"/>
          <w:highlight w:val="none"/>
        </w:rPr>
        <w:t>在合同协议制定和签署之前，本投标书连同贵单位的中标通知书、双方签认的补充、修正或澄清文件及其他文件和附件应成为约束贵、我双方的合同文件。</w:t>
      </w:r>
    </w:p>
    <w:p w14:paraId="4E04F1C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6.</w:t>
      </w:r>
      <w:r>
        <w:rPr>
          <w:rFonts w:hint="eastAsia" w:ascii="宋体" w:hAnsi="宋体"/>
          <w:color w:val="auto"/>
          <w:sz w:val="24"/>
          <w:szCs w:val="24"/>
          <w:highlight w:val="none"/>
        </w:rPr>
        <w:t>我们理解，贵单位不一定接受最低标价的投标文件或可能接受其他任何投标文件，同时也理解，贵单位不负担我们的任何投标费用。</w:t>
      </w:r>
    </w:p>
    <w:p w14:paraId="1183D98D">
      <w:pPr>
        <w:spacing w:line="360" w:lineRule="auto"/>
        <w:rPr>
          <w:rFonts w:ascii="宋体" w:hAnsi="宋体"/>
          <w:color w:val="auto"/>
          <w:highlight w:val="none"/>
        </w:rPr>
      </w:pPr>
    </w:p>
    <w:p w14:paraId="11806E24">
      <w:pPr>
        <w:spacing w:line="360" w:lineRule="auto"/>
        <w:ind w:firstLine="2520" w:firstLineChars="1200"/>
        <w:jc w:val="left"/>
        <w:rPr>
          <w:rFonts w:ascii="宋体" w:hAnsi="宋体"/>
          <w:color w:val="auto"/>
          <w:szCs w:val="21"/>
          <w:highlight w:val="none"/>
        </w:rPr>
      </w:pPr>
    </w:p>
    <w:p w14:paraId="4E9E5615">
      <w:pPr>
        <w:spacing w:line="360" w:lineRule="auto"/>
        <w:ind w:right="960" w:firstLine="4536" w:firstLineChars="1890"/>
        <w:jc w:val="left"/>
        <w:rPr>
          <w:rFonts w:ascii="Times New Roman" w:hAnsi="Times New Roman"/>
          <w:color w:val="auto"/>
          <w:sz w:val="24"/>
          <w:highlight w:val="none"/>
        </w:rPr>
      </w:pPr>
      <w:r>
        <w:rPr>
          <w:rFonts w:hint="eastAsia" w:ascii="Times New Roman" w:hAnsi="Times New Roman"/>
          <w:color w:val="auto"/>
          <w:sz w:val="24"/>
          <w:highlight w:val="none"/>
        </w:rPr>
        <w:t xml:space="preserve">投标人（盖章）： </w:t>
      </w:r>
    </w:p>
    <w:p w14:paraId="365DB518">
      <w:pPr>
        <w:spacing w:line="360" w:lineRule="auto"/>
        <w:ind w:firstLine="1984" w:firstLineChars="719"/>
        <w:jc w:val="left"/>
        <w:rPr>
          <w:rFonts w:ascii="Times New Roman" w:hAnsi="Times New Roman"/>
          <w:color w:val="auto"/>
          <w:sz w:val="24"/>
          <w:highlight w:val="none"/>
        </w:rPr>
      </w:pPr>
      <w:r>
        <w:rPr>
          <w:rFonts w:hint="eastAsia" w:ascii="Times New Roman" w:hAnsi="Times New Roman"/>
          <w:color w:val="auto"/>
          <w:spacing w:val="18"/>
          <w:sz w:val="24"/>
          <w:highlight w:val="none"/>
        </w:rPr>
        <w:t>法定</w:t>
      </w:r>
      <w:r>
        <w:rPr>
          <w:rFonts w:ascii="Times New Roman" w:hAnsi="Times New Roman"/>
          <w:color w:val="auto"/>
          <w:spacing w:val="18"/>
          <w:sz w:val="24"/>
          <w:highlight w:val="none"/>
        </w:rPr>
        <w:t>代表人(或被授权人)</w:t>
      </w:r>
      <w:r>
        <w:rPr>
          <w:rFonts w:hint="eastAsia" w:ascii="Times New Roman" w:hAnsi="Times New Roman"/>
          <w:color w:val="auto"/>
          <w:spacing w:val="18"/>
          <w:sz w:val="24"/>
          <w:highlight w:val="none"/>
        </w:rPr>
        <w:t>签字或盖章</w:t>
      </w:r>
      <w:r>
        <w:rPr>
          <w:rFonts w:hint="eastAsia" w:ascii="Times New Roman" w:hAnsi="Times New Roman"/>
          <w:color w:val="auto"/>
          <w:sz w:val="24"/>
          <w:highlight w:val="none"/>
        </w:rPr>
        <w:t>：</w:t>
      </w:r>
    </w:p>
    <w:p w14:paraId="3587340B">
      <w:pPr>
        <w:spacing w:line="360" w:lineRule="auto"/>
        <w:ind w:firstLine="5400" w:firstLineChars="2250"/>
        <w:jc w:val="right"/>
        <w:rPr>
          <w:rFonts w:ascii="宋体" w:hAnsi="宋体"/>
          <w:color w:val="auto"/>
          <w:szCs w:val="21"/>
          <w:highlight w:val="none"/>
        </w:rPr>
      </w:pPr>
      <w:r>
        <w:rPr>
          <w:rFonts w:hint="eastAsia" w:ascii="Times New Roman" w:hAnsi="Times New Roman"/>
          <w:color w:val="auto"/>
          <w:sz w:val="24"/>
          <w:highlight w:val="none"/>
        </w:rPr>
        <w:t>2025年  月  日</w:t>
      </w:r>
    </w:p>
    <w:p w14:paraId="4195D29B">
      <w:pPr>
        <w:spacing w:line="360" w:lineRule="auto"/>
        <w:jc w:val="left"/>
        <w:rPr>
          <w:rFonts w:ascii="宋体" w:hAnsi="宋体" w:cs="宋体"/>
          <w:color w:val="auto"/>
          <w:highlight w:val="none"/>
        </w:rPr>
      </w:pPr>
    </w:p>
    <w:p w14:paraId="4444E00A">
      <w:pPr>
        <w:spacing w:line="360" w:lineRule="auto"/>
        <w:jc w:val="center"/>
        <w:rPr>
          <w:rFonts w:ascii="宋体" w:hAnsi="宋体" w:cs="宋体"/>
          <w:color w:val="auto"/>
          <w:sz w:val="30"/>
          <w:szCs w:val="24"/>
          <w:highlight w:val="none"/>
        </w:rPr>
      </w:pPr>
      <w:r>
        <w:rPr>
          <w:rFonts w:ascii="宋体" w:hAnsi="宋体" w:cs="宋体"/>
          <w:color w:val="auto"/>
          <w:sz w:val="30"/>
          <w:szCs w:val="24"/>
          <w:highlight w:val="none"/>
        </w:rPr>
        <w:br w:type="page"/>
      </w:r>
      <w:r>
        <w:rPr>
          <w:rFonts w:hint="eastAsia" w:ascii="宋体" w:hAnsi="宋体" w:cs="宋体"/>
          <w:color w:val="auto"/>
          <w:sz w:val="30"/>
          <w:szCs w:val="24"/>
          <w:highlight w:val="none"/>
        </w:rPr>
        <w:t>（二）投标函附录</w:t>
      </w:r>
    </w:p>
    <w:p w14:paraId="414AEE5C">
      <w:pPr>
        <w:spacing w:line="360" w:lineRule="auto"/>
        <w:rPr>
          <w:rFonts w:ascii="宋体" w:hAnsi="宋体" w:cs="宋体"/>
          <w:color w:val="auto"/>
          <w:szCs w:val="24"/>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2161"/>
        <w:gridCol w:w="3641"/>
        <w:gridCol w:w="1117"/>
      </w:tblGrid>
      <w:tr w14:paraId="03F91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54" w:type="dxa"/>
            <w:tcBorders>
              <w:top w:val="single" w:color="auto" w:sz="4" w:space="0"/>
              <w:left w:val="single" w:color="auto" w:sz="4" w:space="0"/>
              <w:bottom w:val="single" w:color="auto" w:sz="4" w:space="0"/>
              <w:right w:val="single" w:color="auto" w:sz="4" w:space="0"/>
            </w:tcBorders>
            <w:noWrap w:val="0"/>
            <w:vAlign w:val="center"/>
          </w:tcPr>
          <w:p w14:paraId="25DC1078">
            <w:pPr>
              <w:jc w:val="center"/>
              <w:rPr>
                <w:b/>
                <w:color w:val="auto"/>
              </w:rPr>
            </w:pPr>
            <w:bookmarkStart w:id="183" w:name="_Toc17960"/>
            <w:bookmarkStart w:id="184" w:name="_Toc384308375"/>
            <w:bookmarkStart w:id="185" w:name="_Toc369531697"/>
            <w:bookmarkStart w:id="186" w:name="_Toc247514246"/>
            <w:bookmarkStart w:id="187" w:name="_Toc300835209"/>
            <w:bookmarkStart w:id="188" w:name="_Toc247527827"/>
            <w:bookmarkStart w:id="189" w:name="_Toc152042576"/>
            <w:bookmarkStart w:id="190" w:name="_Toc144974856"/>
            <w:bookmarkStart w:id="191" w:name="_Toc152045787"/>
            <w:bookmarkStart w:id="192" w:name="_Toc352691661"/>
            <w:bookmarkStart w:id="193" w:name="_Toc361508752"/>
            <w:r>
              <w:rPr>
                <w:rFonts w:hint="eastAsia"/>
                <w:b/>
                <w:color w:val="auto"/>
              </w:rPr>
              <w:t>序号</w:t>
            </w:r>
          </w:p>
        </w:tc>
        <w:tc>
          <w:tcPr>
            <w:tcW w:w="2161" w:type="dxa"/>
            <w:tcBorders>
              <w:top w:val="single" w:color="auto" w:sz="4" w:space="0"/>
              <w:left w:val="single" w:color="auto" w:sz="4" w:space="0"/>
              <w:bottom w:val="single" w:color="auto" w:sz="4" w:space="0"/>
              <w:right w:val="single" w:color="auto" w:sz="4" w:space="0"/>
            </w:tcBorders>
            <w:noWrap w:val="0"/>
            <w:vAlign w:val="center"/>
          </w:tcPr>
          <w:p w14:paraId="40E921DA">
            <w:pPr>
              <w:jc w:val="center"/>
              <w:rPr>
                <w:b/>
                <w:color w:val="auto"/>
              </w:rPr>
            </w:pPr>
            <w:r>
              <w:rPr>
                <w:rFonts w:hint="eastAsia"/>
                <w:b/>
                <w:color w:val="auto"/>
              </w:rPr>
              <w:t>条款名称</w:t>
            </w:r>
          </w:p>
        </w:tc>
        <w:tc>
          <w:tcPr>
            <w:tcW w:w="3641" w:type="dxa"/>
            <w:tcBorders>
              <w:top w:val="single" w:color="auto" w:sz="4" w:space="0"/>
              <w:left w:val="single" w:color="auto" w:sz="4" w:space="0"/>
              <w:bottom w:val="single" w:color="auto" w:sz="4" w:space="0"/>
              <w:right w:val="single" w:color="auto" w:sz="4" w:space="0"/>
            </w:tcBorders>
            <w:noWrap w:val="0"/>
            <w:vAlign w:val="center"/>
          </w:tcPr>
          <w:p w14:paraId="3B27B79D">
            <w:pPr>
              <w:jc w:val="center"/>
              <w:rPr>
                <w:b/>
                <w:color w:val="auto"/>
              </w:rPr>
            </w:pPr>
            <w:r>
              <w:rPr>
                <w:rFonts w:hint="eastAsia"/>
                <w:b/>
                <w:color w:val="auto"/>
              </w:rPr>
              <w:t>约定内容</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79F132E">
            <w:pPr>
              <w:jc w:val="center"/>
              <w:rPr>
                <w:b/>
                <w:color w:val="auto"/>
              </w:rPr>
            </w:pPr>
            <w:r>
              <w:rPr>
                <w:rFonts w:hint="eastAsia"/>
                <w:b/>
                <w:color w:val="auto"/>
              </w:rPr>
              <w:t>备注</w:t>
            </w:r>
          </w:p>
        </w:tc>
      </w:tr>
      <w:tr w14:paraId="3A5DC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354" w:type="dxa"/>
            <w:tcBorders>
              <w:top w:val="single" w:color="auto" w:sz="4" w:space="0"/>
              <w:left w:val="single" w:color="auto" w:sz="4" w:space="0"/>
              <w:bottom w:val="single" w:color="auto" w:sz="4" w:space="0"/>
              <w:right w:val="single" w:color="auto" w:sz="4" w:space="0"/>
            </w:tcBorders>
            <w:noWrap w:val="0"/>
            <w:vAlign w:val="center"/>
          </w:tcPr>
          <w:p w14:paraId="32C27A05">
            <w:pPr>
              <w:jc w:val="center"/>
              <w:rPr>
                <w:b/>
                <w:color w:val="auto"/>
              </w:rPr>
            </w:pPr>
            <w:r>
              <w:rPr>
                <w:rFonts w:hint="eastAsia"/>
                <w:b/>
                <w:color w:val="auto"/>
              </w:rPr>
              <w:t>1</w:t>
            </w:r>
          </w:p>
        </w:tc>
        <w:tc>
          <w:tcPr>
            <w:tcW w:w="2161" w:type="dxa"/>
            <w:tcBorders>
              <w:top w:val="single" w:color="auto" w:sz="4" w:space="0"/>
              <w:left w:val="single" w:color="auto" w:sz="4" w:space="0"/>
              <w:bottom w:val="single" w:color="auto" w:sz="4" w:space="0"/>
              <w:right w:val="single" w:color="auto" w:sz="4" w:space="0"/>
            </w:tcBorders>
            <w:noWrap w:val="0"/>
            <w:vAlign w:val="center"/>
          </w:tcPr>
          <w:p w14:paraId="71F81488">
            <w:pPr>
              <w:jc w:val="center"/>
              <w:rPr>
                <w:rFonts w:eastAsia="宋体"/>
                <w:b/>
                <w:color w:val="auto"/>
              </w:rPr>
            </w:pPr>
            <w:r>
              <w:rPr>
                <w:rFonts w:hint="eastAsia" w:eastAsia="宋体"/>
                <w:b/>
                <w:color w:val="auto"/>
              </w:rPr>
              <w:t>项目负责人</w:t>
            </w:r>
          </w:p>
        </w:tc>
        <w:tc>
          <w:tcPr>
            <w:tcW w:w="3641" w:type="dxa"/>
            <w:tcBorders>
              <w:top w:val="single" w:color="auto" w:sz="4" w:space="0"/>
              <w:left w:val="single" w:color="auto" w:sz="4" w:space="0"/>
              <w:bottom w:val="single" w:color="auto" w:sz="4" w:space="0"/>
              <w:right w:val="single" w:color="auto" w:sz="4" w:space="0"/>
            </w:tcBorders>
            <w:noWrap w:val="0"/>
            <w:vAlign w:val="center"/>
          </w:tcPr>
          <w:p w14:paraId="37780DDE">
            <w:pPr>
              <w:rPr>
                <w:rFonts w:hint="eastAsia"/>
                <w:b/>
                <w:color w:val="auto"/>
              </w:rPr>
            </w:pPr>
            <w:r>
              <w:rPr>
                <w:rFonts w:hint="eastAsia"/>
                <w:b/>
                <w:color w:val="auto"/>
              </w:rPr>
              <w:t>姓名：</w:t>
            </w:r>
            <w:r>
              <w:rPr>
                <w:b/>
                <w:color w:val="auto"/>
                <w:u w:val="single"/>
              </w:rPr>
              <w:t xml:space="preserve"> </w:t>
            </w:r>
            <w:r>
              <w:rPr>
                <w:rFonts w:hint="eastAsia"/>
                <w:b/>
                <w:color w:val="auto"/>
                <w:u w:val="single"/>
              </w:rPr>
              <w:t xml:space="preserve">                       </w:t>
            </w:r>
            <w:r>
              <w:rPr>
                <w:rFonts w:hint="eastAsia"/>
                <w:b/>
                <w:color w:val="auto"/>
              </w:rPr>
              <w:t xml:space="preserve">                     </w:t>
            </w:r>
          </w:p>
          <w:p w14:paraId="778D083E">
            <w:pPr>
              <w:rPr>
                <w:rFonts w:hint="eastAsia"/>
                <w:b/>
                <w:color w:val="auto"/>
              </w:rPr>
            </w:pPr>
            <w:r>
              <w:rPr>
                <w:rFonts w:hint="eastAsia"/>
                <w:b/>
                <w:color w:val="auto"/>
              </w:rPr>
              <w:t>技术职称：</w:t>
            </w:r>
            <w:r>
              <w:rPr>
                <w:rFonts w:hint="eastAsia"/>
                <w:b/>
                <w:color w:val="auto"/>
                <w:u w:val="single"/>
              </w:rPr>
              <w:t xml:space="preserve">                    </w:t>
            </w:r>
          </w:p>
          <w:p w14:paraId="229FF4C0">
            <w:pPr>
              <w:rPr>
                <w:rFonts w:eastAsia="宋体"/>
                <w:b/>
                <w:color w:val="auto"/>
                <w:u w:val="single"/>
              </w:rPr>
            </w:pPr>
            <w:r>
              <w:rPr>
                <w:rFonts w:hint="eastAsia" w:eastAsia="宋体"/>
                <w:b/>
                <w:color w:val="auto"/>
              </w:rPr>
              <w:t>证书编号</w:t>
            </w:r>
            <w:r>
              <w:rPr>
                <w:rFonts w:hint="eastAsia"/>
                <w:b/>
                <w:color w:val="auto"/>
              </w:rPr>
              <w:t>：</w:t>
            </w:r>
            <w:r>
              <w:rPr>
                <w:rFonts w:hint="eastAsia"/>
                <w:b/>
                <w:color w:val="auto"/>
                <w:u w:val="single"/>
              </w:rPr>
              <w:t xml:space="preserve">                    </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78E7C95E">
            <w:pPr>
              <w:jc w:val="center"/>
              <w:rPr>
                <w:b/>
                <w:color w:val="auto"/>
              </w:rPr>
            </w:pPr>
          </w:p>
        </w:tc>
      </w:tr>
      <w:tr w14:paraId="5B134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54" w:type="dxa"/>
            <w:tcBorders>
              <w:top w:val="single" w:color="auto" w:sz="4" w:space="0"/>
              <w:left w:val="single" w:color="auto" w:sz="4" w:space="0"/>
              <w:bottom w:val="single" w:color="auto" w:sz="4" w:space="0"/>
              <w:right w:val="single" w:color="auto" w:sz="4" w:space="0"/>
            </w:tcBorders>
            <w:noWrap w:val="0"/>
            <w:vAlign w:val="center"/>
          </w:tcPr>
          <w:p w14:paraId="5BD84E10">
            <w:pPr>
              <w:jc w:val="center"/>
              <w:rPr>
                <w:b/>
                <w:color w:val="auto"/>
              </w:rPr>
            </w:pPr>
            <w:r>
              <w:rPr>
                <w:rFonts w:hint="eastAsia"/>
                <w:b/>
                <w:color w:val="auto"/>
              </w:rPr>
              <w:t>2</w:t>
            </w:r>
          </w:p>
        </w:tc>
        <w:tc>
          <w:tcPr>
            <w:tcW w:w="2161" w:type="dxa"/>
            <w:tcBorders>
              <w:top w:val="single" w:color="auto" w:sz="4" w:space="0"/>
              <w:left w:val="single" w:color="auto" w:sz="4" w:space="0"/>
              <w:bottom w:val="single" w:color="auto" w:sz="4" w:space="0"/>
              <w:right w:val="single" w:color="auto" w:sz="4" w:space="0"/>
            </w:tcBorders>
            <w:noWrap w:val="0"/>
            <w:vAlign w:val="center"/>
          </w:tcPr>
          <w:p w14:paraId="6F348059">
            <w:pPr>
              <w:jc w:val="center"/>
              <w:rPr>
                <w:b/>
                <w:color w:val="auto"/>
              </w:rPr>
            </w:pPr>
            <w:r>
              <w:rPr>
                <w:rFonts w:hint="eastAsia"/>
                <w:b/>
                <w:color w:val="auto"/>
              </w:rPr>
              <w:t>服务期限</w:t>
            </w:r>
          </w:p>
        </w:tc>
        <w:tc>
          <w:tcPr>
            <w:tcW w:w="3641" w:type="dxa"/>
            <w:tcBorders>
              <w:top w:val="single" w:color="auto" w:sz="4" w:space="0"/>
              <w:left w:val="single" w:color="auto" w:sz="4" w:space="0"/>
              <w:bottom w:val="single" w:color="auto" w:sz="4" w:space="0"/>
              <w:right w:val="single" w:color="auto" w:sz="4" w:space="0"/>
            </w:tcBorders>
            <w:noWrap w:val="0"/>
            <w:vAlign w:val="center"/>
          </w:tcPr>
          <w:p w14:paraId="0293F396">
            <w:pPr>
              <w:jc w:val="center"/>
              <w:rPr>
                <w:b/>
                <w:color w:val="auto"/>
              </w:rPr>
            </w:pPr>
            <w:r>
              <w:rPr>
                <w:rFonts w:hint="eastAsia" w:eastAsia="宋体"/>
                <w:b/>
                <w:color w:val="auto"/>
              </w:rPr>
              <w:t>按招标文件要求</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3BD13DC">
            <w:pPr>
              <w:jc w:val="center"/>
              <w:rPr>
                <w:b/>
                <w:color w:val="auto"/>
              </w:rPr>
            </w:pPr>
          </w:p>
        </w:tc>
      </w:tr>
      <w:tr w14:paraId="69A25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54" w:type="dxa"/>
            <w:tcBorders>
              <w:top w:val="single" w:color="auto" w:sz="4" w:space="0"/>
              <w:left w:val="single" w:color="auto" w:sz="4" w:space="0"/>
              <w:bottom w:val="single" w:color="auto" w:sz="4" w:space="0"/>
              <w:right w:val="single" w:color="auto" w:sz="4" w:space="0"/>
            </w:tcBorders>
            <w:noWrap w:val="0"/>
            <w:vAlign w:val="center"/>
          </w:tcPr>
          <w:p w14:paraId="0649739C">
            <w:pPr>
              <w:jc w:val="center"/>
              <w:rPr>
                <w:b/>
                <w:color w:val="auto"/>
              </w:rPr>
            </w:pPr>
            <w:r>
              <w:rPr>
                <w:b/>
                <w:color w:val="auto"/>
              </w:rPr>
              <w:t>3</w:t>
            </w:r>
          </w:p>
        </w:tc>
        <w:tc>
          <w:tcPr>
            <w:tcW w:w="2161" w:type="dxa"/>
            <w:tcBorders>
              <w:top w:val="single" w:color="auto" w:sz="4" w:space="0"/>
              <w:left w:val="single" w:color="auto" w:sz="4" w:space="0"/>
              <w:bottom w:val="single" w:color="auto" w:sz="4" w:space="0"/>
              <w:right w:val="single" w:color="auto" w:sz="4" w:space="0"/>
            </w:tcBorders>
            <w:noWrap w:val="0"/>
            <w:vAlign w:val="center"/>
          </w:tcPr>
          <w:p w14:paraId="09AED742">
            <w:pPr>
              <w:jc w:val="center"/>
              <w:rPr>
                <w:b/>
                <w:color w:val="auto"/>
              </w:rPr>
            </w:pPr>
            <w:r>
              <w:rPr>
                <w:rFonts w:hint="eastAsia"/>
                <w:b/>
                <w:color w:val="auto"/>
              </w:rPr>
              <w:t>合同价款确定方式</w:t>
            </w:r>
          </w:p>
        </w:tc>
        <w:tc>
          <w:tcPr>
            <w:tcW w:w="3641" w:type="dxa"/>
            <w:tcBorders>
              <w:top w:val="single" w:color="auto" w:sz="4" w:space="0"/>
              <w:left w:val="single" w:color="auto" w:sz="4" w:space="0"/>
              <w:bottom w:val="single" w:color="auto" w:sz="4" w:space="0"/>
              <w:right w:val="single" w:color="auto" w:sz="4" w:space="0"/>
            </w:tcBorders>
            <w:noWrap w:val="0"/>
            <w:vAlign w:val="center"/>
          </w:tcPr>
          <w:p w14:paraId="299A0A4E">
            <w:pPr>
              <w:jc w:val="center"/>
              <w:rPr>
                <w:rFonts w:eastAsia="宋体"/>
                <w:b/>
                <w:color w:val="auto"/>
              </w:rPr>
            </w:pPr>
            <w:r>
              <w:rPr>
                <w:rFonts w:hint="eastAsia" w:eastAsia="宋体"/>
                <w:b/>
                <w:color w:val="auto"/>
              </w:rPr>
              <w:t>总价包干合同</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2D4192F0">
            <w:pPr>
              <w:jc w:val="center"/>
              <w:rPr>
                <w:b/>
                <w:color w:val="auto"/>
              </w:rPr>
            </w:pPr>
          </w:p>
        </w:tc>
      </w:tr>
      <w:tr w14:paraId="72B6F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54" w:type="dxa"/>
            <w:tcBorders>
              <w:top w:val="single" w:color="auto" w:sz="4" w:space="0"/>
              <w:left w:val="single" w:color="auto" w:sz="4" w:space="0"/>
              <w:bottom w:val="single" w:color="auto" w:sz="4" w:space="0"/>
              <w:right w:val="single" w:color="auto" w:sz="4" w:space="0"/>
            </w:tcBorders>
            <w:noWrap w:val="0"/>
            <w:vAlign w:val="center"/>
          </w:tcPr>
          <w:p w14:paraId="2C123703">
            <w:pPr>
              <w:jc w:val="center"/>
              <w:rPr>
                <w:rFonts w:hint="eastAsia"/>
                <w:b/>
                <w:color w:val="auto"/>
              </w:rPr>
            </w:pPr>
            <w:r>
              <w:rPr>
                <w:rFonts w:hint="eastAsia"/>
                <w:b/>
                <w:color w:val="auto"/>
              </w:rPr>
              <w:t>4</w:t>
            </w:r>
          </w:p>
        </w:tc>
        <w:tc>
          <w:tcPr>
            <w:tcW w:w="2161" w:type="dxa"/>
            <w:tcBorders>
              <w:top w:val="single" w:color="auto" w:sz="4" w:space="0"/>
              <w:left w:val="single" w:color="auto" w:sz="4" w:space="0"/>
              <w:bottom w:val="single" w:color="auto" w:sz="4" w:space="0"/>
              <w:right w:val="single" w:color="auto" w:sz="4" w:space="0"/>
            </w:tcBorders>
            <w:noWrap w:val="0"/>
            <w:vAlign w:val="center"/>
          </w:tcPr>
          <w:p w14:paraId="64536A3C">
            <w:pPr>
              <w:jc w:val="center"/>
              <w:rPr>
                <w:b/>
                <w:color w:val="auto"/>
              </w:rPr>
            </w:pPr>
            <w:r>
              <w:rPr>
                <w:rFonts w:hint="eastAsia" w:ascii="宋体" w:hAnsi="宋体" w:eastAsia="宋体" w:cs="宋体"/>
                <w:b/>
                <w:color w:val="auto"/>
              </w:rPr>
              <w:t>质量标准</w:t>
            </w:r>
          </w:p>
        </w:tc>
        <w:tc>
          <w:tcPr>
            <w:tcW w:w="3641" w:type="dxa"/>
            <w:tcBorders>
              <w:top w:val="single" w:color="auto" w:sz="4" w:space="0"/>
              <w:left w:val="single" w:color="auto" w:sz="4" w:space="0"/>
              <w:bottom w:val="single" w:color="auto" w:sz="4" w:space="0"/>
              <w:right w:val="single" w:color="auto" w:sz="4" w:space="0"/>
            </w:tcBorders>
            <w:noWrap w:val="0"/>
            <w:vAlign w:val="center"/>
          </w:tcPr>
          <w:p w14:paraId="51CE02FC">
            <w:pPr>
              <w:jc w:val="center"/>
              <w:rPr>
                <w:b/>
                <w:color w:val="auto"/>
              </w:rPr>
            </w:pPr>
            <w:r>
              <w:rPr>
                <w:rFonts w:hint="eastAsia" w:eastAsia="宋体"/>
                <w:b/>
                <w:color w:val="auto"/>
              </w:rPr>
              <w:t>按招标文件要求</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07E92A8B">
            <w:pPr>
              <w:jc w:val="center"/>
              <w:rPr>
                <w:b/>
                <w:color w:val="auto"/>
              </w:rPr>
            </w:pPr>
          </w:p>
        </w:tc>
      </w:tr>
      <w:tr w14:paraId="19291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54" w:type="dxa"/>
            <w:tcBorders>
              <w:top w:val="single" w:color="auto" w:sz="4" w:space="0"/>
              <w:left w:val="single" w:color="auto" w:sz="4" w:space="0"/>
              <w:bottom w:val="single" w:color="auto" w:sz="4" w:space="0"/>
              <w:right w:val="single" w:color="auto" w:sz="4" w:space="0"/>
            </w:tcBorders>
            <w:noWrap w:val="0"/>
            <w:vAlign w:val="center"/>
          </w:tcPr>
          <w:p w14:paraId="78846571">
            <w:pPr>
              <w:jc w:val="center"/>
              <w:rPr>
                <w:rFonts w:hint="eastAsia" w:eastAsia="宋体"/>
                <w:b/>
                <w:color w:val="auto"/>
              </w:rPr>
            </w:pPr>
            <w:r>
              <w:rPr>
                <w:rFonts w:hint="eastAsia" w:eastAsia="宋体"/>
                <w:b/>
                <w:color w:val="auto"/>
              </w:rPr>
              <w:t>5</w:t>
            </w:r>
          </w:p>
        </w:tc>
        <w:tc>
          <w:tcPr>
            <w:tcW w:w="2161" w:type="dxa"/>
            <w:tcBorders>
              <w:top w:val="single" w:color="auto" w:sz="4" w:space="0"/>
              <w:left w:val="single" w:color="auto" w:sz="4" w:space="0"/>
              <w:bottom w:val="single" w:color="auto" w:sz="4" w:space="0"/>
              <w:right w:val="single" w:color="auto" w:sz="4" w:space="0"/>
            </w:tcBorders>
            <w:noWrap w:val="0"/>
            <w:vAlign w:val="center"/>
          </w:tcPr>
          <w:p w14:paraId="6EC27847">
            <w:pPr>
              <w:jc w:val="center"/>
              <w:rPr>
                <w:rFonts w:hint="eastAsia" w:eastAsia="宋体"/>
                <w:b/>
                <w:color w:val="auto"/>
              </w:rPr>
            </w:pPr>
            <w:r>
              <w:rPr>
                <w:rFonts w:hint="eastAsia"/>
                <w:b/>
                <w:color w:val="auto"/>
              </w:rPr>
              <w:t>投标总报价</w:t>
            </w:r>
          </w:p>
          <w:p w14:paraId="26E62520">
            <w:pPr>
              <w:jc w:val="center"/>
              <w:rPr>
                <w:rFonts w:hint="eastAsia"/>
                <w:b/>
                <w:color w:val="auto"/>
              </w:rPr>
            </w:pPr>
            <w:r>
              <w:rPr>
                <w:rFonts w:hint="eastAsia" w:ascii="宋体" w:hAnsi="宋体" w:eastAsia="宋体" w:cs="宋体"/>
                <w:b/>
                <w:color w:val="auto"/>
              </w:rPr>
              <w:t>（</w:t>
            </w:r>
            <w:r>
              <w:rPr>
                <w:rFonts w:hint="eastAsia" w:eastAsia="宋体"/>
                <w:b/>
                <w:color w:val="auto"/>
              </w:rPr>
              <w:t>监测</w:t>
            </w:r>
            <w:r>
              <w:rPr>
                <w:rFonts w:hint="eastAsia" w:ascii="宋体" w:hAnsi="宋体" w:eastAsia="宋体" w:cs="宋体"/>
                <w:b/>
                <w:color w:val="auto"/>
              </w:rPr>
              <w:t>报价）</w:t>
            </w:r>
          </w:p>
        </w:tc>
        <w:tc>
          <w:tcPr>
            <w:tcW w:w="3641" w:type="dxa"/>
            <w:tcBorders>
              <w:top w:val="single" w:color="auto" w:sz="4" w:space="0"/>
              <w:left w:val="single" w:color="auto" w:sz="4" w:space="0"/>
              <w:bottom w:val="single" w:color="auto" w:sz="4" w:space="0"/>
              <w:right w:val="single" w:color="auto" w:sz="4" w:space="0"/>
            </w:tcBorders>
            <w:noWrap w:val="0"/>
            <w:vAlign w:val="center"/>
          </w:tcPr>
          <w:p w14:paraId="092A3934">
            <w:pPr>
              <w:rPr>
                <w:rFonts w:hint="eastAsia" w:eastAsia="宋体"/>
                <w:b/>
                <w:color w:val="auto"/>
              </w:rPr>
            </w:pPr>
            <w:r>
              <w:rPr>
                <w:rFonts w:hint="eastAsia" w:eastAsia="宋体"/>
                <w:b/>
                <w:color w:val="auto"/>
              </w:rPr>
              <w:t>监测</w:t>
            </w:r>
            <w:r>
              <w:rPr>
                <w:rFonts w:hint="eastAsia"/>
                <w:b/>
                <w:color w:val="auto"/>
              </w:rPr>
              <w:t>报价（       万元）;</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788D4449">
            <w:pPr>
              <w:jc w:val="center"/>
              <w:rPr>
                <w:b/>
                <w:color w:val="auto"/>
              </w:rPr>
            </w:pPr>
          </w:p>
        </w:tc>
      </w:tr>
      <w:tr w14:paraId="4213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54" w:type="dxa"/>
            <w:tcBorders>
              <w:top w:val="single" w:color="auto" w:sz="4" w:space="0"/>
              <w:left w:val="single" w:color="auto" w:sz="4" w:space="0"/>
              <w:bottom w:val="single" w:color="auto" w:sz="4" w:space="0"/>
              <w:right w:val="single" w:color="auto" w:sz="4" w:space="0"/>
            </w:tcBorders>
            <w:noWrap w:val="0"/>
            <w:vAlign w:val="center"/>
          </w:tcPr>
          <w:p w14:paraId="0A541E01">
            <w:pPr>
              <w:jc w:val="center"/>
              <w:rPr>
                <w:rFonts w:hint="eastAsia" w:eastAsia="宋体"/>
                <w:b/>
                <w:color w:val="auto"/>
              </w:rPr>
            </w:pPr>
            <w:r>
              <w:rPr>
                <w:rFonts w:hint="eastAsia" w:eastAsia="宋体"/>
                <w:b/>
                <w:color w:val="auto"/>
              </w:rPr>
              <w:t>6</w:t>
            </w:r>
          </w:p>
        </w:tc>
        <w:tc>
          <w:tcPr>
            <w:tcW w:w="2161" w:type="dxa"/>
            <w:tcBorders>
              <w:top w:val="single" w:color="auto" w:sz="4" w:space="0"/>
              <w:left w:val="single" w:color="auto" w:sz="4" w:space="0"/>
              <w:bottom w:val="single" w:color="auto" w:sz="4" w:space="0"/>
              <w:right w:val="single" w:color="auto" w:sz="4" w:space="0"/>
            </w:tcBorders>
            <w:noWrap w:val="0"/>
            <w:vAlign w:val="center"/>
          </w:tcPr>
          <w:p w14:paraId="12259A5B">
            <w:pPr>
              <w:jc w:val="center"/>
              <w:rPr>
                <w:rFonts w:hint="eastAsia"/>
                <w:b/>
                <w:color w:val="auto"/>
              </w:rPr>
            </w:pPr>
            <w:r>
              <w:rPr>
                <w:rFonts w:hint="eastAsia" w:eastAsia="宋体"/>
                <w:b/>
                <w:color w:val="auto"/>
              </w:rPr>
              <w:t>监测</w:t>
            </w:r>
            <w:r>
              <w:rPr>
                <w:rFonts w:hint="eastAsia"/>
                <w:b/>
                <w:color w:val="auto"/>
              </w:rPr>
              <w:t>费下浮率</w:t>
            </w:r>
          </w:p>
        </w:tc>
        <w:tc>
          <w:tcPr>
            <w:tcW w:w="3641" w:type="dxa"/>
            <w:tcBorders>
              <w:top w:val="single" w:color="auto" w:sz="4" w:space="0"/>
              <w:left w:val="single" w:color="auto" w:sz="4" w:space="0"/>
              <w:bottom w:val="single" w:color="auto" w:sz="4" w:space="0"/>
              <w:right w:val="single" w:color="auto" w:sz="4" w:space="0"/>
            </w:tcBorders>
            <w:noWrap w:val="0"/>
            <w:vAlign w:val="center"/>
          </w:tcPr>
          <w:p w14:paraId="49A79A05">
            <w:pPr>
              <w:rPr>
                <w:rFonts w:hint="eastAsia"/>
                <w:b/>
                <w:color w:val="auto"/>
              </w:rPr>
            </w:pPr>
            <w:r>
              <w:rPr>
                <w:rFonts w:hint="eastAsia" w:eastAsia="宋体"/>
                <w:b/>
                <w:color w:val="auto"/>
              </w:rPr>
              <w:t>监测</w:t>
            </w:r>
            <w:r>
              <w:rPr>
                <w:rFonts w:hint="eastAsia"/>
                <w:b/>
                <w:color w:val="auto"/>
              </w:rPr>
              <w:t xml:space="preserve">费下浮率：          </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235FBDAB">
            <w:pPr>
              <w:jc w:val="center"/>
              <w:rPr>
                <w:b/>
                <w:color w:val="auto"/>
              </w:rPr>
            </w:pPr>
          </w:p>
        </w:tc>
      </w:tr>
      <w:tr w14:paraId="5EACC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54" w:type="dxa"/>
            <w:tcBorders>
              <w:top w:val="single" w:color="auto" w:sz="4" w:space="0"/>
              <w:left w:val="single" w:color="auto" w:sz="4" w:space="0"/>
              <w:bottom w:val="single" w:color="auto" w:sz="4" w:space="0"/>
              <w:right w:val="single" w:color="auto" w:sz="4" w:space="0"/>
            </w:tcBorders>
            <w:noWrap w:val="0"/>
            <w:vAlign w:val="center"/>
          </w:tcPr>
          <w:p w14:paraId="1C0DF432">
            <w:pPr>
              <w:jc w:val="center"/>
              <w:rPr>
                <w:rFonts w:hint="eastAsia" w:eastAsia="宋体"/>
                <w:b/>
                <w:color w:val="auto"/>
              </w:rPr>
            </w:pPr>
            <w:r>
              <w:rPr>
                <w:rFonts w:hint="eastAsia" w:eastAsia="宋体"/>
                <w:b/>
                <w:color w:val="auto"/>
              </w:rPr>
              <w:t>7</w:t>
            </w:r>
          </w:p>
        </w:tc>
        <w:tc>
          <w:tcPr>
            <w:tcW w:w="2161" w:type="dxa"/>
            <w:tcBorders>
              <w:top w:val="single" w:color="auto" w:sz="4" w:space="0"/>
              <w:left w:val="single" w:color="auto" w:sz="4" w:space="0"/>
              <w:bottom w:val="single" w:color="auto" w:sz="4" w:space="0"/>
              <w:right w:val="single" w:color="auto" w:sz="4" w:space="0"/>
            </w:tcBorders>
            <w:noWrap w:val="0"/>
            <w:vAlign w:val="center"/>
          </w:tcPr>
          <w:p w14:paraId="3FEA8D97">
            <w:pPr>
              <w:jc w:val="center"/>
              <w:rPr>
                <w:rFonts w:hint="eastAsia"/>
                <w:b/>
                <w:color w:val="auto"/>
              </w:rPr>
            </w:pPr>
            <w:r>
              <w:rPr>
                <w:rFonts w:hint="eastAsia"/>
                <w:b/>
                <w:color w:val="auto"/>
              </w:rPr>
              <w:t>法 人 营 业</w:t>
            </w:r>
          </w:p>
          <w:p w14:paraId="4AD101BD">
            <w:pPr>
              <w:jc w:val="center"/>
              <w:rPr>
                <w:rFonts w:hint="eastAsia"/>
                <w:b/>
                <w:color w:val="auto"/>
              </w:rPr>
            </w:pPr>
            <w:r>
              <w:rPr>
                <w:rFonts w:hint="eastAsia"/>
                <w:b/>
                <w:color w:val="auto"/>
              </w:rPr>
              <w:t>执 照 证 号</w:t>
            </w:r>
          </w:p>
        </w:tc>
        <w:tc>
          <w:tcPr>
            <w:tcW w:w="3641" w:type="dxa"/>
            <w:tcBorders>
              <w:top w:val="single" w:color="auto" w:sz="4" w:space="0"/>
              <w:left w:val="single" w:color="auto" w:sz="4" w:space="0"/>
              <w:bottom w:val="single" w:color="auto" w:sz="4" w:space="0"/>
              <w:right w:val="single" w:color="auto" w:sz="4" w:space="0"/>
            </w:tcBorders>
            <w:noWrap w:val="0"/>
            <w:vAlign w:val="center"/>
          </w:tcPr>
          <w:p w14:paraId="272D9824">
            <w:pPr>
              <w:rPr>
                <w:rFonts w:hint="eastAsia"/>
                <w:b/>
                <w:color w:val="auto"/>
              </w:rPr>
            </w:pPr>
            <w:r>
              <w:rPr>
                <w:rFonts w:hint="eastAsia"/>
                <w:b/>
                <w:color w:val="auto"/>
              </w:rPr>
              <w:t>法 人 营 业</w:t>
            </w:r>
          </w:p>
          <w:p w14:paraId="0D2190B7">
            <w:pPr>
              <w:rPr>
                <w:rFonts w:hint="eastAsia"/>
                <w:b/>
                <w:color w:val="auto"/>
              </w:rPr>
            </w:pPr>
            <w:r>
              <w:rPr>
                <w:rFonts w:hint="eastAsia"/>
                <w:b/>
                <w:color w:val="auto"/>
              </w:rPr>
              <w:t>执 照 证 号：</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0DF13A78">
            <w:pPr>
              <w:jc w:val="center"/>
              <w:rPr>
                <w:b/>
                <w:color w:val="auto"/>
              </w:rPr>
            </w:pPr>
          </w:p>
        </w:tc>
      </w:tr>
      <w:tr w14:paraId="72948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54" w:type="dxa"/>
            <w:tcBorders>
              <w:top w:val="single" w:color="auto" w:sz="4" w:space="0"/>
              <w:left w:val="single" w:color="auto" w:sz="4" w:space="0"/>
              <w:bottom w:val="single" w:color="auto" w:sz="4" w:space="0"/>
              <w:right w:val="single" w:color="auto" w:sz="4" w:space="0"/>
            </w:tcBorders>
            <w:noWrap w:val="0"/>
            <w:vAlign w:val="center"/>
          </w:tcPr>
          <w:p w14:paraId="5320B438">
            <w:pPr>
              <w:jc w:val="center"/>
              <w:rPr>
                <w:rFonts w:hint="eastAsia" w:eastAsia="宋体"/>
                <w:b/>
                <w:color w:val="auto"/>
              </w:rPr>
            </w:pPr>
            <w:r>
              <w:rPr>
                <w:rFonts w:hint="eastAsia" w:eastAsia="宋体"/>
                <w:b/>
                <w:color w:val="auto"/>
              </w:rPr>
              <w:t>8</w:t>
            </w:r>
          </w:p>
        </w:tc>
        <w:tc>
          <w:tcPr>
            <w:tcW w:w="2161" w:type="dxa"/>
            <w:tcBorders>
              <w:top w:val="single" w:color="auto" w:sz="4" w:space="0"/>
              <w:left w:val="single" w:color="auto" w:sz="4" w:space="0"/>
              <w:bottom w:val="single" w:color="auto" w:sz="4" w:space="0"/>
              <w:right w:val="single" w:color="auto" w:sz="4" w:space="0"/>
            </w:tcBorders>
            <w:noWrap w:val="0"/>
            <w:vAlign w:val="center"/>
          </w:tcPr>
          <w:p w14:paraId="6CEC7D8D">
            <w:pPr>
              <w:jc w:val="center"/>
              <w:rPr>
                <w:rFonts w:hint="eastAsia"/>
                <w:b/>
                <w:color w:val="auto"/>
              </w:rPr>
            </w:pPr>
            <w:r>
              <w:rPr>
                <w:rFonts w:hint="eastAsia"/>
                <w:b/>
                <w:color w:val="auto"/>
              </w:rPr>
              <w:t>资 质 等 级</w:t>
            </w:r>
          </w:p>
          <w:p w14:paraId="7110A519">
            <w:pPr>
              <w:jc w:val="center"/>
              <w:rPr>
                <w:rFonts w:hint="eastAsia" w:ascii="宋体" w:cs="Arial"/>
                <w:bCs/>
                <w:color w:val="auto"/>
                <w:sz w:val="28"/>
                <w:szCs w:val="28"/>
              </w:rPr>
            </w:pPr>
            <w:r>
              <w:rPr>
                <w:rFonts w:hint="eastAsia"/>
                <w:b/>
                <w:color w:val="auto"/>
              </w:rPr>
              <w:t>及 证 书 号</w:t>
            </w:r>
          </w:p>
        </w:tc>
        <w:tc>
          <w:tcPr>
            <w:tcW w:w="3641" w:type="dxa"/>
            <w:tcBorders>
              <w:top w:val="single" w:color="auto" w:sz="4" w:space="0"/>
              <w:left w:val="single" w:color="auto" w:sz="4" w:space="0"/>
              <w:bottom w:val="single" w:color="auto" w:sz="4" w:space="0"/>
              <w:right w:val="single" w:color="auto" w:sz="4" w:space="0"/>
            </w:tcBorders>
            <w:noWrap w:val="0"/>
            <w:vAlign w:val="center"/>
          </w:tcPr>
          <w:p w14:paraId="3690D172">
            <w:pPr>
              <w:rPr>
                <w:rFonts w:hint="eastAsia"/>
                <w:b/>
                <w:color w:val="auto"/>
              </w:rPr>
            </w:pPr>
            <w:r>
              <w:rPr>
                <w:rFonts w:hint="eastAsia"/>
                <w:b/>
                <w:color w:val="auto"/>
              </w:rPr>
              <w:t>资质等级：</w:t>
            </w:r>
          </w:p>
          <w:p w14:paraId="7A61F948">
            <w:pPr>
              <w:rPr>
                <w:rFonts w:hint="eastAsia"/>
                <w:b/>
                <w:color w:val="auto"/>
              </w:rPr>
            </w:pPr>
            <w:r>
              <w:rPr>
                <w:rFonts w:hint="eastAsia"/>
                <w:b/>
                <w:color w:val="auto"/>
              </w:rPr>
              <w:t>资质证书号：</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E938557">
            <w:pPr>
              <w:jc w:val="center"/>
              <w:rPr>
                <w:b/>
                <w:color w:val="auto"/>
              </w:rPr>
            </w:pPr>
          </w:p>
        </w:tc>
      </w:tr>
      <w:tr w14:paraId="0A6BB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54" w:type="dxa"/>
            <w:tcBorders>
              <w:top w:val="single" w:color="auto" w:sz="4" w:space="0"/>
              <w:left w:val="single" w:color="auto" w:sz="4" w:space="0"/>
              <w:bottom w:val="single" w:color="auto" w:sz="4" w:space="0"/>
              <w:right w:val="single" w:color="auto" w:sz="4" w:space="0"/>
            </w:tcBorders>
            <w:noWrap w:val="0"/>
            <w:vAlign w:val="center"/>
          </w:tcPr>
          <w:p w14:paraId="482F34E6">
            <w:pPr>
              <w:jc w:val="center"/>
              <w:rPr>
                <w:rFonts w:eastAsia="宋体"/>
                <w:b/>
                <w:color w:val="auto"/>
              </w:rPr>
            </w:pPr>
            <w:r>
              <w:rPr>
                <w:rFonts w:hint="eastAsia" w:eastAsia="宋体"/>
                <w:b/>
                <w:color w:val="auto"/>
              </w:rPr>
              <w:t>9</w:t>
            </w:r>
          </w:p>
        </w:tc>
        <w:tc>
          <w:tcPr>
            <w:tcW w:w="2161" w:type="dxa"/>
            <w:tcBorders>
              <w:top w:val="single" w:color="auto" w:sz="4" w:space="0"/>
              <w:left w:val="single" w:color="auto" w:sz="4" w:space="0"/>
              <w:bottom w:val="single" w:color="auto" w:sz="4" w:space="0"/>
              <w:right w:val="single" w:color="auto" w:sz="4" w:space="0"/>
            </w:tcBorders>
            <w:noWrap w:val="0"/>
            <w:vAlign w:val="center"/>
          </w:tcPr>
          <w:p w14:paraId="4AA6BB4E">
            <w:pPr>
              <w:jc w:val="center"/>
              <w:rPr>
                <w:rFonts w:eastAsia="宋体"/>
                <w:b/>
                <w:color w:val="auto"/>
              </w:rPr>
            </w:pPr>
            <w:r>
              <w:rPr>
                <w:rFonts w:hint="eastAsia"/>
                <w:b/>
                <w:color w:val="auto"/>
              </w:rPr>
              <w:t>投标有效期</w:t>
            </w:r>
          </w:p>
        </w:tc>
        <w:tc>
          <w:tcPr>
            <w:tcW w:w="3641" w:type="dxa"/>
            <w:tcBorders>
              <w:top w:val="single" w:color="auto" w:sz="4" w:space="0"/>
              <w:left w:val="single" w:color="auto" w:sz="4" w:space="0"/>
              <w:bottom w:val="single" w:color="auto" w:sz="4" w:space="0"/>
              <w:right w:val="single" w:color="auto" w:sz="4" w:space="0"/>
            </w:tcBorders>
            <w:noWrap w:val="0"/>
            <w:vAlign w:val="center"/>
          </w:tcPr>
          <w:p w14:paraId="183B8136">
            <w:pPr>
              <w:rPr>
                <w:rFonts w:hint="eastAsia" w:eastAsia="宋体"/>
                <w:b/>
                <w:color w:val="auto"/>
              </w:rPr>
            </w:pPr>
            <w:r>
              <w:rPr>
                <w:rFonts w:hint="eastAsia" w:eastAsia="宋体"/>
                <w:b/>
                <w:color w:val="auto"/>
              </w:rPr>
              <w:t>90日历天</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7C5BA770">
            <w:pPr>
              <w:jc w:val="center"/>
              <w:rPr>
                <w:b/>
                <w:color w:val="auto"/>
              </w:rPr>
            </w:pPr>
          </w:p>
        </w:tc>
      </w:tr>
    </w:tbl>
    <w:p w14:paraId="3F27C3F2">
      <w:pPr>
        <w:spacing w:line="360" w:lineRule="auto"/>
        <w:ind w:firstLine="2520" w:firstLineChars="1200"/>
        <w:jc w:val="left"/>
        <w:rPr>
          <w:rFonts w:ascii="宋体" w:hAnsi="宋体"/>
          <w:color w:val="auto"/>
          <w:szCs w:val="21"/>
          <w:highlight w:val="none"/>
        </w:rPr>
      </w:pPr>
    </w:p>
    <w:p w14:paraId="76D85769">
      <w:pPr>
        <w:spacing w:line="360" w:lineRule="auto"/>
        <w:ind w:right="960" w:firstLine="4536" w:firstLineChars="1890"/>
        <w:jc w:val="left"/>
        <w:rPr>
          <w:rFonts w:ascii="Times New Roman" w:hAnsi="Times New Roman"/>
          <w:color w:val="auto"/>
          <w:sz w:val="24"/>
          <w:highlight w:val="none"/>
        </w:rPr>
      </w:pPr>
      <w:r>
        <w:rPr>
          <w:rFonts w:hint="eastAsia" w:ascii="Times New Roman" w:hAnsi="Times New Roman"/>
          <w:color w:val="auto"/>
          <w:sz w:val="24"/>
          <w:highlight w:val="none"/>
        </w:rPr>
        <w:t xml:space="preserve">投标人（盖章）： </w:t>
      </w:r>
    </w:p>
    <w:p w14:paraId="69311CA1">
      <w:pPr>
        <w:spacing w:line="360" w:lineRule="auto"/>
        <w:ind w:firstLine="1984" w:firstLineChars="719"/>
        <w:jc w:val="left"/>
        <w:rPr>
          <w:rFonts w:ascii="Times New Roman" w:hAnsi="Times New Roman"/>
          <w:color w:val="auto"/>
          <w:sz w:val="24"/>
          <w:highlight w:val="none"/>
        </w:rPr>
      </w:pPr>
      <w:r>
        <w:rPr>
          <w:rFonts w:hint="eastAsia" w:ascii="Times New Roman" w:hAnsi="Times New Roman"/>
          <w:color w:val="auto"/>
          <w:spacing w:val="18"/>
          <w:sz w:val="24"/>
          <w:highlight w:val="none"/>
        </w:rPr>
        <w:t>法定</w:t>
      </w:r>
      <w:r>
        <w:rPr>
          <w:rFonts w:ascii="Times New Roman" w:hAnsi="Times New Roman"/>
          <w:color w:val="auto"/>
          <w:spacing w:val="18"/>
          <w:sz w:val="24"/>
          <w:highlight w:val="none"/>
        </w:rPr>
        <w:t>代表人(或被授权人)</w:t>
      </w:r>
      <w:r>
        <w:rPr>
          <w:rFonts w:hint="eastAsia" w:ascii="Times New Roman" w:hAnsi="Times New Roman"/>
          <w:color w:val="auto"/>
          <w:spacing w:val="18"/>
          <w:sz w:val="24"/>
          <w:highlight w:val="none"/>
        </w:rPr>
        <w:t>签字或盖章</w:t>
      </w:r>
      <w:r>
        <w:rPr>
          <w:rFonts w:hint="eastAsia" w:ascii="Times New Roman" w:hAnsi="Times New Roman"/>
          <w:color w:val="auto"/>
          <w:sz w:val="24"/>
          <w:highlight w:val="none"/>
        </w:rPr>
        <w:t>：</w:t>
      </w:r>
    </w:p>
    <w:p w14:paraId="38C397C6">
      <w:pPr>
        <w:spacing w:line="360" w:lineRule="auto"/>
        <w:ind w:firstLine="5280" w:firstLineChars="2200"/>
        <w:rPr>
          <w:rFonts w:ascii="宋体" w:hAnsi="宋体"/>
          <w:color w:val="auto"/>
          <w:highlight w:val="none"/>
        </w:rPr>
      </w:pPr>
      <w:r>
        <w:rPr>
          <w:rFonts w:hint="eastAsia" w:ascii="Times New Roman" w:hAnsi="Times New Roman"/>
          <w:color w:val="auto"/>
          <w:sz w:val="24"/>
          <w:highlight w:val="none"/>
        </w:rPr>
        <w:t>2025年  月  日</w:t>
      </w:r>
    </w:p>
    <w:p w14:paraId="7E4715F9">
      <w:pPr>
        <w:spacing w:line="360" w:lineRule="auto"/>
        <w:rPr>
          <w:rFonts w:ascii="宋体" w:hAnsi="宋体" w:cs="宋体"/>
          <w:b/>
          <w:bCs/>
          <w:color w:val="auto"/>
          <w:sz w:val="32"/>
          <w:szCs w:val="32"/>
          <w:highlight w:val="none"/>
        </w:rPr>
      </w:pPr>
    </w:p>
    <w:p w14:paraId="1727F791">
      <w:pPr>
        <w:keepNext/>
        <w:keepLines/>
        <w:spacing w:line="360" w:lineRule="auto"/>
        <w:outlineLvl w:val="1"/>
        <w:rPr>
          <w:rFonts w:ascii="宋体" w:hAnsi="宋体" w:cs="宋体"/>
          <w:color w:val="auto"/>
          <w:sz w:val="32"/>
          <w:highlight w:val="none"/>
        </w:rPr>
      </w:pPr>
      <w:r>
        <w:rPr>
          <w:rFonts w:ascii="宋体" w:hAnsi="宋体" w:cs="宋体"/>
          <w:b/>
          <w:bCs/>
          <w:color w:val="auto"/>
          <w:sz w:val="32"/>
          <w:szCs w:val="32"/>
          <w:highlight w:val="none"/>
        </w:rPr>
        <w:br w:type="page"/>
      </w:r>
      <w:bookmarkStart w:id="194" w:name="_Toc13471"/>
      <w:r>
        <w:rPr>
          <w:rFonts w:hint="eastAsia" w:ascii="宋体" w:hAnsi="宋体" w:cs="宋体"/>
          <w:b/>
          <w:bCs/>
          <w:color w:val="auto"/>
          <w:sz w:val="32"/>
          <w:szCs w:val="32"/>
          <w:highlight w:val="none"/>
        </w:rPr>
        <w:t>二、法定代表人证明书及授权委托书</w:t>
      </w:r>
      <w:bookmarkEnd w:id="194"/>
    </w:p>
    <w:bookmarkEnd w:id="183"/>
    <w:bookmarkEnd w:id="184"/>
    <w:bookmarkEnd w:id="185"/>
    <w:bookmarkEnd w:id="186"/>
    <w:bookmarkEnd w:id="187"/>
    <w:bookmarkEnd w:id="188"/>
    <w:bookmarkEnd w:id="189"/>
    <w:bookmarkEnd w:id="190"/>
    <w:bookmarkEnd w:id="191"/>
    <w:bookmarkEnd w:id="192"/>
    <w:bookmarkEnd w:id="193"/>
    <w:p w14:paraId="7CC3727F">
      <w:pPr>
        <w:spacing w:before="156" w:beforeLines="50" w:line="360" w:lineRule="auto"/>
        <w:ind w:firstLine="482" w:firstLineChars="200"/>
        <w:jc w:val="center"/>
        <w:rPr>
          <w:rFonts w:ascii="宋体" w:hAnsi="宋体" w:cs="宋体"/>
          <w:b/>
          <w:color w:val="auto"/>
          <w:sz w:val="24"/>
          <w:szCs w:val="24"/>
          <w:highlight w:val="none"/>
        </w:rPr>
      </w:pPr>
      <w:bookmarkStart w:id="195" w:name="_Toc28597"/>
      <w:bookmarkStart w:id="196" w:name="_Toc532367891"/>
      <w:bookmarkStart w:id="197" w:name="_Toc787"/>
      <w:bookmarkStart w:id="198" w:name="_Toc3626"/>
      <w:bookmarkStart w:id="199" w:name="_Toc24490"/>
      <w:bookmarkStart w:id="200" w:name="_Toc525063283"/>
      <w:bookmarkStart w:id="201" w:name="_Toc9391"/>
      <w:r>
        <w:rPr>
          <w:rFonts w:hint="eastAsia" w:ascii="宋体" w:hAnsi="宋体" w:cs="宋体"/>
          <w:b/>
          <w:color w:val="auto"/>
          <w:sz w:val="24"/>
          <w:szCs w:val="24"/>
          <w:highlight w:val="none"/>
        </w:rPr>
        <w:t>法定代表人证明书</w:t>
      </w:r>
    </w:p>
    <w:p w14:paraId="5F9BF607">
      <w:pPr>
        <w:spacing w:line="360" w:lineRule="auto"/>
        <w:jc w:val="center"/>
        <w:rPr>
          <w:rFonts w:ascii="宋体" w:hAnsi="宋体"/>
          <w:color w:val="auto"/>
          <w:sz w:val="30"/>
          <w:szCs w:val="30"/>
          <w:highlight w:val="none"/>
        </w:rPr>
      </w:pPr>
      <w:r>
        <w:rPr>
          <w:color w:val="auto"/>
          <w:highlight w:val="none"/>
        </w:rPr>
        <mc:AlternateContent>
          <mc:Choice Requires="wpg">
            <w:drawing>
              <wp:inline distT="0" distB="0" distL="114300" distR="114300">
                <wp:extent cx="5800725" cy="2639060"/>
                <wp:effectExtent l="4445" t="4445" r="5080" b="23495"/>
                <wp:docPr id="5" name="组合 5"/>
                <wp:cNvGraphicFramePr/>
                <a:graphic xmlns:a="http://schemas.openxmlformats.org/drawingml/2006/main">
                  <a:graphicData uri="http://schemas.microsoft.com/office/word/2010/wordprocessingGroup">
                    <wpg:wgp>
                      <wpg:cNvGrpSpPr>
                        <a:grpSpLocks noRot="1"/>
                      </wpg:cNvGrpSpPr>
                      <wpg:grpSpPr>
                        <a:xfrm>
                          <a:off x="0" y="0"/>
                          <a:ext cx="5800725" cy="2639060"/>
                          <a:chOff x="0" y="0"/>
                          <a:chExt cx="7140" cy="3468"/>
                        </a:xfrm>
                        <a:effectLst/>
                      </wpg:grpSpPr>
                      <wps:wsp>
                        <wps:cNvPr id="6" name="图片 4"/>
                        <wps:cNvSpPr>
                          <a:spLocks noChangeAspect="1" noChangeArrowheads="1" noTextEdit="1"/>
                        </wps:cNvSpPr>
                        <wps:spPr bwMode="auto">
                          <a:xfrm>
                            <a:off x="0" y="0"/>
                            <a:ext cx="7140" cy="3468"/>
                          </a:xfrm>
                          <a:prstGeom prst="rect">
                            <a:avLst/>
                          </a:prstGeom>
                          <a:noFill/>
                          <a:ln>
                            <a:noFill/>
                          </a:ln>
                          <a:effectLst/>
                        </wps:spPr>
                        <wps:bodyPr rot="0" vert="horz" wrap="square" lIns="91440" tIns="45720" rIns="91440" bIns="45720" anchor="t" anchorCtr="0" upright="1">
                          <a:noAutofit/>
                        </wps:bodyPr>
                      </wps:wsp>
                      <wps:wsp>
                        <wps:cNvPr id="7" name="文本框 5"/>
                        <wps:cNvSpPr txBox="1">
                          <a:spLocks noChangeArrowheads="1"/>
                        </wps:cNvSpPr>
                        <wps:spPr bwMode="auto">
                          <a:xfrm>
                            <a:off x="0" y="0"/>
                            <a:ext cx="7140" cy="3468"/>
                          </a:xfrm>
                          <a:prstGeom prst="rect">
                            <a:avLst/>
                          </a:prstGeom>
                          <a:solidFill>
                            <a:srgbClr val="FFFFFF"/>
                          </a:solidFill>
                          <a:ln w="9525" cmpd="sng">
                            <a:solidFill>
                              <a:srgbClr val="000000"/>
                            </a:solidFill>
                            <a:miter lim="800000"/>
                          </a:ln>
                          <a:effectLst/>
                        </wps:spPr>
                        <wps:txbx>
                          <w:txbxContent>
                            <w:p w14:paraId="0B0810F7">
                              <w:pPr>
                                <w:spacing w:before="156" w:beforeLines="50"/>
                                <w:rPr>
                                  <w:sz w:val="24"/>
                                  <w:szCs w:val="24"/>
                                </w:rPr>
                              </w:pPr>
                              <w:r>
                                <w:rPr>
                                  <w:rFonts w:hint="eastAsia" w:cs="宋体"/>
                                  <w:sz w:val="28"/>
                                  <w:szCs w:val="28"/>
                                </w:rPr>
                                <w:t xml:space="preserve"> </w:t>
                              </w:r>
                              <w:r>
                                <w:rPr>
                                  <w:rFonts w:hint="eastAsia" w:cs="宋体"/>
                                  <w:sz w:val="24"/>
                                  <w:szCs w:val="24"/>
                                </w:rPr>
                                <w:t xml:space="preserve"> </w:t>
                              </w:r>
                              <w:r>
                                <w:rPr>
                                  <w:rFonts w:hint="eastAsia" w:cs="宋体"/>
                                  <w:sz w:val="24"/>
                                  <w:szCs w:val="24"/>
                                  <w:u w:val="single"/>
                                </w:rPr>
                                <w:t xml:space="preserve">      </w:t>
                              </w:r>
                              <w:r>
                                <w:rPr>
                                  <w:rFonts w:hint="eastAsia" w:cs="宋体"/>
                                  <w:sz w:val="24"/>
                                  <w:szCs w:val="24"/>
                                </w:rPr>
                                <w:t>现任我单位</w:t>
                              </w:r>
                              <w:r>
                                <w:rPr>
                                  <w:rFonts w:hint="eastAsia" w:cs="宋体"/>
                                  <w:sz w:val="24"/>
                                  <w:szCs w:val="24"/>
                                  <w:u w:val="single"/>
                                </w:rPr>
                                <w:t xml:space="preserve">     </w:t>
                              </w:r>
                              <w:r>
                                <w:rPr>
                                  <w:rFonts w:hint="eastAsia" w:cs="宋体"/>
                                  <w:sz w:val="24"/>
                                  <w:szCs w:val="24"/>
                                </w:rPr>
                                <w:t>职务，为法定代表人（负责人），</w:t>
                              </w:r>
                            </w:p>
                            <w:p w14:paraId="17A7D2B7">
                              <w:pPr>
                                <w:snapToGrid w:val="0"/>
                                <w:spacing w:line="480" w:lineRule="atLeast"/>
                                <w:rPr>
                                  <w:sz w:val="24"/>
                                  <w:szCs w:val="24"/>
                                </w:rPr>
                              </w:pPr>
                              <w:r>
                                <w:rPr>
                                  <w:rFonts w:hint="eastAsia" w:cs="宋体"/>
                                  <w:sz w:val="24"/>
                                  <w:szCs w:val="24"/>
                                </w:rPr>
                                <w:t>特此证明。</w:t>
                              </w:r>
                            </w:p>
                            <w:p w14:paraId="49A73C24">
                              <w:pPr>
                                <w:snapToGrid w:val="0"/>
                                <w:spacing w:line="480" w:lineRule="atLeast"/>
                                <w:rPr>
                                  <w:sz w:val="24"/>
                                  <w:szCs w:val="24"/>
                                  <w:u w:val="single"/>
                                </w:rPr>
                              </w:pPr>
                              <w:r>
                                <w:rPr>
                                  <w:rFonts w:hint="eastAsia" w:cs="宋体"/>
                                  <w:sz w:val="24"/>
                                  <w:szCs w:val="24"/>
                                </w:rPr>
                                <w:t>有效期限：</w:t>
                              </w:r>
                              <w:r>
                                <w:rPr>
                                  <w:sz w:val="24"/>
                                  <w:szCs w:val="24"/>
                                  <w:u w:val="single"/>
                                </w:rPr>
                                <w:t xml:space="preserve">                                </w:t>
                              </w:r>
                              <w:r>
                                <w:rPr>
                                  <w:sz w:val="24"/>
                                  <w:szCs w:val="24"/>
                                </w:rPr>
                                <w:t xml:space="preserve">  </w:t>
                              </w:r>
                            </w:p>
                            <w:p w14:paraId="7A3E89A7">
                              <w:pPr>
                                <w:snapToGrid w:val="0"/>
                                <w:spacing w:line="480" w:lineRule="atLeast"/>
                                <w:rPr>
                                  <w:sz w:val="24"/>
                                  <w:szCs w:val="24"/>
                                  <w:u w:val="single"/>
                                </w:rPr>
                              </w:pPr>
                              <w:r>
                                <w:rPr>
                                  <w:rFonts w:hint="eastAsia" w:cs="宋体"/>
                                  <w:sz w:val="24"/>
                                  <w:szCs w:val="24"/>
                                </w:rPr>
                                <w:t>附：法定代表人（负责人）性别：</w:t>
                              </w:r>
                              <w:r>
                                <w:rPr>
                                  <w:rFonts w:hint="eastAsia" w:cs="宋体"/>
                                  <w:sz w:val="24"/>
                                  <w:szCs w:val="24"/>
                                  <w:u w:val="single"/>
                                </w:rPr>
                                <w:t xml:space="preserve">  </w:t>
                              </w:r>
                              <w:r>
                                <w:rPr>
                                  <w:rFonts w:hint="eastAsia" w:cs="宋体"/>
                                  <w:sz w:val="24"/>
                                  <w:szCs w:val="24"/>
                                </w:rPr>
                                <w:t>年龄：</w:t>
                              </w:r>
                              <w:r>
                                <w:rPr>
                                  <w:rFonts w:hint="eastAsia" w:cs="宋体"/>
                                  <w:sz w:val="24"/>
                                  <w:szCs w:val="24"/>
                                  <w:u w:val="single"/>
                                </w:rPr>
                                <w:t xml:space="preserve">  </w:t>
                              </w:r>
                              <w:r>
                                <w:rPr>
                                  <w:rFonts w:hint="eastAsia" w:cs="宋体"/>
                                  <w:sz w:val="24"/>
                                  <w:szCs w:val="24"/>
                                </w:rPr>
                                <w:t>身份证号码：</w:t>
                              </w:r>
                              <w:r>
                                <w:rPr>
                                  <w:sz w:val="24"/>
                                  <w:szCs w:val="24"/>
                                  <w:u w:val="single"/>
                                </w:rPr>
                                <w:t xml:space="preserve">                  </w:t>
                              </w:r>
                            </w:p>
                            <w:p w14:paraId="2E3530FB">
                              <w:pPr>
                                <w:snapToGrid w:val="0"/>
                                <w:spacing w:line="480" w:lineRule="atLeast"/>
                                <w:ind w:firstLine="570"/>
                                <w:rPr>
                                  <w:sz w:val="24"/>
                                  <w:szCs w:val="24"/>
                                  <w:u w:val="single"/>
                                </w:rPr>
                              </w:pPr>
                              <w:r>
                                <w:rPr>
                                  <w:rFonts w:hint="eastAsia" w:cs="宋体"/>
                                  <w:sz w:val="24"/>
                                  <w:szCs w:val="24"/>
                                </w:rPr>
                                <w:t>注册号码：</w:t>
                              </w:r>
                              <w:r>
                                <w:rPr>
                                  <w:rFonts w:hint="eastAsia" w:cs="宋体"/>
                                  <w:sz w:val="24"/>
                                  <w:szCs w:val="24"/>
                                  <w:u w:val="single"/>
                                </w:rPr>
                                <w:t xml:space="preserve">          </w:t>
                              </w:r>
                              <w:r>
                                <w:rPr>
                                  <w:rFonts w:hint="eastAsia" w:cs="宋体"/>
                                  <w:sz w:val="24"/>
                                  <w:szCs w:val="24"/>
                                </w:rPr>
                                <w:t>企业类型：</w:t>
                              </w:r>
                              <w:r>
                                <w:rPr>
                                  <w:sz w:val="24"/>
                                  <w:szCs w:val="24"/>
                                  <w:u w:val="single"/>
                                </w:rPr>
                                <w:t xml:space="preserve">                             </w:t>
                              </w:r>
                            </w:p>
                            <w:p w14:paraId="10CFBED5">
                              <w:pPr>
                                <w:snapToGrid w:val="0"/>
                                <w:spacing w:line="480" w:lineRule="atLeast"/>
                                <w:ind w:firstLine="570"/>
                                <w:rPr>
                                  <w:sz w:val="24"/>
                                  <w:szCs w:val="24"/>
                                  <w:u w:val="single"/>
                                </w:rPr>
                              </w:pPr>
                              <w:r>
                                <w:rPr>
                                  <w:rFonts w:hint="eastAsia" w:cs="宋体"/>
                                  <w:sz w:val="24"/>
                                  <w:szCs w:val="24"/>
                                </w:rPr>
                                <w:t>经营范围：</w:t>
                              </w:r>
                              <w:r>
                                <w:rPr>
                                  <w:sz w:val="24"/>
                                  <w:szCs w:val="24"/>
                                  <w:u w:val="single"/>
                                </w:rPr>
                                <w:t xml:space="preserve">                                                           </w:t>
                              </w:r>
                            </w:p>
                            <w:p w14:paraId="0CD1BC3D">
                              <w:pPr>
                                <w:snapToGrid w:val="0"/>
                                <w:spacing w:line="480" w:lineRule="atLeast"/>
                                <w:ind w:firstLine="570"/>
                                <w:rPr>
                                  <w:sz w:val="24"/>
                                  <w:szCs w:val="24"/>
                                </w:rPr>
                              </w:pPr>
                              <w:r>
                                <w:rPr>
                                  <w:rFonts w:hint="eastAsia" w:cs="宋体"/>
                                  <w:sz w:val="24"/>
                                  <w:szCs w:val="24"/>
                                  <w:u w:val="single"/>
                                </w:rPr>
                                <w:t xml:space="preserve">                </w:t>
                              </w:r>
                              <w:r>
                                <w:rPr>
                                  <w:sz w:val="24"/>
                                  <w:szCs w:val="24"/>
                                </w:rPr>
                                <w:t xml:space="preserve">      </w:t>
                              </w:r>
                              <w:r>
                                <w:rPr>
                                  <w:rFonts w:hint="eastAsia" w:cs="宋体"/>
                                  <w:sz w:val="24"/>
                                  <w:szCs w:val="24"/>
                                </w:rPr>
                                <w:t>单位：   （盖章）</w:t>
                              </w:r>
                            </w:p>
                            <w:p w14:paraId="447CE4FA">
                              <w:pPr>
                                <w:snapToGrid w:val="0"/>
                                <w:spacing w:after="100" w:afterAutospacing="1" w:line="480" w:lineRule="atLeast"/>
                                <w:ind w:firstLine="4528" w:firstLineChars="1887"/>
                                <w:rPr>
                                  <w:sz w:val="24"/>
                                  <w:szCs w:val="24"/>
                                </w:rPr>
                              </w:pPr>
                              <w:r>
                                <w:rPr>
                                  <w:rFonts w:hint="eastAsia" w:cs="宋体"/>
                                  <w:sz w:val="24"/>
                                  <w:szCs w:val="24"/>
                                </w:rPr>
                                <w:t xml:space="preserve">     </w:t>
                              </w:r>
                              <w:r>
                                <w:rPr>
                                  <w:sz w:val="24"/>
                                  <w:szCs w:val="24"/>
                                </w:rPr>
                                <w:t xml:space="preserve">    </w:t>
                              </w:r>
                              <w:r>
                                <w:rPr>
                                  <w:rFonts w:hint="eastAsia" w:cs="宋体"/>
                                  <w:sz w:val="24"/>
                                  <w:szCs w:val="24"/>
                                </w:rPr>
                                <w:t>年 月  日</w:t>
                              </w:r>
                            </w:p>
                          </w:txbxContent>
                        </wps:txbx>
                        <wps:bodyPr rot="0" vert="horz" wrap="square" lIns="91440" tIns="45720" rIns="91440" bIns="45720" anchor="t" anchorCtr="0" upright="1">
                          <a:noAutofit/>
                        </wps:bodyPr>
                      </wps:wsp>
                    </wpg:wgp>
                  </a:graphicData>
                </a:graphic>
              </wp:inline>
            </w:drawing>
          </mc:Choice>
          <mc:Fallback>
            <w:pict>
              <v:group id="_x0000_s1026" o:spid="_x0000_s1026" o:spt="203" style="height:207.8pt;width:456.75pt;" coordsize="7140,3468" o:gfxdata="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">
                <o:lock v:ext="edit" rotation="t" aspectratio="f"/>
                <v:rect id="图片 4" o:spid="_x0000_s1026" o:spt="1" style="position:absolute;left:0;top:0;height:3468;width:7140;" filled="f" stroked="f" coordsize="21600,21600" o:gfxdata="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RsTm8AAAA&#10;2gAAAA8AAAAAAAAAAQAgAAAAIgAAAGRycy9kb3ducmV2LnhtbFBLAQIUABQAAAAIAIdO4kAzLwWe&#10;OwAAADkAAAAQAAAAAAAAAAEAIAAAAAsBAABkcnMvc2hhcGV4bWwueG1sUEsFBgAAAAAGAAYAWwEA&#10;ALUDAAAAAA==&#10;">
                  <v:fill on="f" focussize="0,0"/>
                  <v:stroke on="f"/>
                  <v:imagedata o:title=""/>
                  <o:lock v:ext="edit" text="t" aspectratio="t"/>
                </v:rect>
                <v:shape id="文本框 5" o:spid="_x0000_s1026" o:spt="202" type="#_x0000_t202" style="position:absolute;left:0;top:0;height:3468;width:7140;" fillcolor="#FFFFFF" filled="t" stroked="t" coordsize="21600,21600" o:gfxdata="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yT9W8AAAA&#10;2g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0B0810F7">
                        <w:pPr>
                          <w:spacing w:before="156" w:beforeLines="50"/>
                          <w:rPr>
                            <w:sz w:val="24"/>
                            <w:szCs w:val="24"/>
                          </w:rPr>
                        </w:pPr>
                        <w:r>
                          <w:rPr>
                            <w:rFonts w:hint="eastAsia" w:cs="宋体"/>
                            <w:sz w:val="28"/>
                            <w:szCs w:val="28"/>
                          </w:rPr>
                          <w:t xml:space="preserve"> </w:t>
                        </w:r>
                        <w:r>
                          <w:rPr>
                            <w:rFonts w:hint="eastAsia" w:cs="宋体"/>
                            <w:sz w:val="24"/>
                            <w:szCs w:val="24"/>
                          </w:rPr>
                          <w:t xml:space="preserve"> </w:t>
                        </w:r>
                        <w:r>
                          <w:rPr>
                            <w:rFonts w:hint="eastAsia" w:cs="宋体"/>
                            <w:sz w:val="24"/>
                            <w:szCs w:val="24"/>
                            <w:u w:val="single"/>
                          </w:rPr>
                          <w:t xml:space="preserve">      </w:t>
                        </w:r>
                        <w:r>
                          <w:rPr>
                            <w:rFonts w:hint="eastAsia" w:cs="宋体"/>
                            <w:sz w:val="24"/>
                            <w:szCs w:val="24"/>
                          </w:rPr>
                          <w:t>现任我单位</w:t>
                        </w:r>
                        <w:r>
                          <w:rPr>
                            <w:rFonts w:hint="eastAsia" w:cs="宋体"/>
                            <w:sz w:val="24"/>
                            <w:szCs w:val="24"/>
                            <w:u w:val="single"/>
                          </w:rPr>
                          <w:t xml:space="preserve">     </w:t>
                        </w:r>
                        <w:r>
                          <w:rPr>
                            <w:rFonts w:hint="eastAsia" w:cs="宋体"/>
                            <w:sz w:val="24"/>
                            <w:szCs w:val="24"/>
                          </w:rPr>
                          <w:t>职务，为法定代表人（负责人），</w:t>
                        </w:r>
                      </w:p>
                      <w:p w14:paraId="17A7D2B7">
                        <w:pPr>
                          <w:snapToGrid w:val="0"/>
                          <w:spacing w:line="480" w:lineRule="atLeast"/>
                          <w:rPr>
                            <w:sz w:val="24"/>
                            <w:szCs w:val="24"/>
                          </w:rPr>
                        </w:pPr>
                        <w:r>
                          <w:rPr>
                            <w:rFonts w:hint="eastAsia" w:cs="宋体"/>
                            <w:sz w:val="24"/>
                            <w:szCs w:val="24"/>
                          </w:rPr>
                          <w:t>特此证明。</w:t>
                        </w:r>
                      </w:p>
                      <w:p w14:paraId="49A73C24">
                        <w:pPr>
                          <w:snapToGrid w:val="0"/>
                          <w:spacing w:line="480" w:lineRule="atLeast"/>
                          <w:rPr>
                            <w:sz w:val="24"/>
                            <w:szCs w:val="24"/>
                            <w:u w:val="single"/>
                          </w:rPr>
                        </w:pPr>
                        <w:r>
                          <w:rPr>
                            <w:rFonts w:hint="eastAsia" w:cs="宋体"/>
                            <w:sz w:val="24"/>
                            <w:szCs w:val="24"/>
                          </w:rPr>
                          <w:t>有效期限：</w:t>
                        </w:r>
                        <w:r>
                          <w:rPr>
                            <w:sz w:val="24"/>
                            <w:szCs w:val="24"/>
                            <w:u w:val="single"/>
                          </w:rPr>
                          <w:t xml:space="preserve">                                </w:t>
                        </w:r>
                        <w:r>
                          <w:rPr>
                            <w:sz w:val="24"/>
                            <w:szCs w:val="24"/>
                          </w:rPr>
                          <w:t xml:space="preserve">  </w:t>
                        </w:r>
                      </w:p>
                      <w:p w14:paraId="7A3E89A7">
                        <w:pPr>
                          <w:snapToGrid w:val="0"/>
                          <w:spacing w:line="480" w:lineRule="atLeast"/>
                          <w:rPr>
                            <w:sz w:val="24"/>
                            <w:szCs w:val="24"/>
                            <w:u w:val="single"/>
                          </w:rPr>
                        </w:pPr>
                        <w:r>
                          <w:rPr>
                            <w:rFonts w:hint="eastAsia" w:cs="宋体"/>
                            <w:sz w:val="24"/>
                            <w:szCs w:val="24"/>
                          </w:rPr>
                          <w:t>附：法定代表人（负责人）性别：</w:t>
                        </w:r>
                        <w:r>
                          <w:rPr>
                            <w:rFonts w:hint="eastAsia" w:cs="宋体"/>
                            <w:sz w:val="24"/>
                            <w:szCs w:val="24"/>
                            <w:u w:val="single"/>
                          </w:rPr>
                          <w:t xml:space="preserve">  </w:t>
                        </w:r>
                        <w:r>
                          <w:rPr>
                            <w:rFonts w:hint="eastAsia" w:cs="宋体"/>
                            <w:sz w:val="24"/>
                            <w:szCs w:val="24"/>
                          </w:rPr>
                          <w:t>年龄：</w:t>
                        </w:r>
                        <w:r>
                          <w:rPr>
                            <w:rFonts w:hint="eastAsia" w:cs="宋体"/>
                            <w:sz w:val="24"/>
                            <w:szCs w:val="24"/>
                            <w:u w:val="single"/>
                          </w:rPr>
                          <w:t xml:space="preserve">  </w:t>
                        </w:r>
                        <w:r>
                          <w:rPr>
                            <w:rFonts w:hint="eastAsia" w:cs="宋体"/>
                            <w:sz w:val="24"/>
                            <w:szCs w:val="24"/>
                          </w:rPr>
                          <w:t>身份证号码：</w:t>
                        </w:r>
                        <w:r>
                          <w:rPr>
                            <w:sz w:val="24"/>
                            <w:szCs w:val="24"/>
                            <w:u w:val="single"/>
                          </w:rPr>
                          <w:t xml:space="preserve">                  </w:t>
                        </w:r>
                      </w:p>
                      <w:p w14:paraId="2E3530FB">
                        <w:pPr>
                          <w:snapToGrid w:val="0"/>
                          <w:spacing w:line="480" w:lineRule="atLeast"/>
                          <w:ind w:firstLine="570"/>
                          <w:rPr>
                            <w:sz w:val="24"/>
                            <w:szCs w:val="24"/>
                            <w:u w:val="single"/>
                          </w:rPr>
                        </w:pPr>
                        <w:r>
                          <w:rPr>
                            <w:rFonts w:hint="eastAsia" w:cs="宋体"/>
                            <w:sz w:val="24"/>
                            <w:szCs w:val="24"/>
                          </w:rPr>
                          <w:t>注册号码：</w:t>
                        </w:r>
                        <w:r>
                          <w:rPr>
                            <w:rFonts w:hint="eastAsia" w:cs="宋体"/>
                            <w:sz w:val="24"/>
                            <w:szCs w:val="24"/>
                            <w:u w:val="single"/>
                          </w:rPr>
                          <w:t xml:space="preserve">          </w:t>
                        </w:r>
                        <w:r>
                          <w:rPr>
                            <w:rFonts w:hint="eastAsia" w:cs="宋体"/>
                            <w:sz w:val="24"/>
                            <w:szCs w:val="24"/>
                          </w:rPr>
                          <w:t>企业类型：</w:t>
                        </w:r>
                        <w:r>
                          <w:rPr>
                            <w:sz w:val="24"/>
                            <w:szCs w:val="24"/>
                            <w:u w:val="single"/>
                          </w:rPr>
                          <w:t xml:space="preserve">                             </w:t>
                        </w:r>
                      </w:p>
                      <w:p w14:paraId="10CFBED5">
                        <w:pPr>
                          <w:snapToGrid w:val="0"/>
                          <w:spacing w:line="480" w:lineRule="atLeast"/>
                          <w:ind w:firstLine="570"/>
                          <w:rPr>
                            <w:sz w:val="24"/>
                            <w:szCs w:val="24"/>
                            <w:u w:val="single"/>
                          </w:rPr>
                        </w:pPr>
                        <w:r>
                          <w:rPr>
                            <w:rFonts w:hint="eastAsia" w:cs="宋体"/>
                            <w:sz w:val="24"/>
                            <w:szCs w:val="24"/>
                          </w:rPr>
                          <w:t>经营范围：</w:t>
                        </w:r>
                        <w:r>
                          <w:rPr>
                            <w:sz w:val="24"/>
                            <w:szCs w:val="24"/>
                            <w:u w:val="single"/>
                          </w:rPr>
                          <w:t xml:space="preserve">                                                           </w:t>
                        </w:r>
                      </w:p>
                      <w:p w14:paraId="0CD1BC3D">
                        <w:pPr>
                          <w:snapToGrid w:val="0"/>
                          <w:spacing w:line="480" w:lineRule="atLeast"/>
                          <w:ind w:firstLine="570"/>
                          <w:rPr>
                            <w:sz w:val="24"/>
                            <w:szCs w:val="24"/>
                          </w:rPr>
                        </w:pPr>
                        <w:r>
                          <w:rPr>
                            <w:rFonts w:hint="eastAsia" w:cs="宋体"/>
                            <w:sz w:val="24"/>
                            <w:szCs w:val="24"/>
                            <w:u w:val="single"/>
                          </w:rPr>
                          <w:t xml:space="preserve">                </w:t>
                        </w:r>
                        <w:r>
                          <w:rPr>
                            <w:sz w:val="24"/>
                            <w:szCs w:val="24"/>
                          </w:rPr>
                          <w:t xml:space="preserve">      </w:t>
                        </w:r>
                        <w:r>
                          <w:rPr>
                            <w:rFonts w:hint="eastAsia" w:cs="宋体"/>
                            <w:sz w:val="24"/>
                            <w:szCs w:val="24"/>
                          </w:rPr>
                          <w:t>单位：   （盖章）</w:t>
                        </w:r>
                      </w:p>
                      <w:p w14:paraId="447CE4FA">
                        <w:pPr>
                          <w:snapToGrid w:val="0"/>
                          <w:spacing w:after="100" w:afterAutospacing="1" w:line="480" w:lineRule="atLeast"/>
                          <w:ind w:firstLine="4528" w:firstLineChars="1887"/>
                          <w:rPr>
                            <w:sz w:val="24"/>
                            <w:szCs w:val="24"/>
                          </w:rPr>
                        </w:pPr>
                        <w:r>
                          <w:rPr>
                            <w:rFonts w:hint="eastAsia" w:cs="宋体"/>
                            <w:sz w:val="24"/>
                            <w:szCs w:val="24"/>
                          </w:rPr>
                          <w:t xml:space="preserve">     </w:t>
                        </w:r>
                        <w:r>
                          <w:rPr>
                            <w:sz w:val="24"/>
                            <w:szCs w:val="24"/>
                          </w:rPr>
                          <w:t xml:space="preserve">    </w:t>
                        </w:r>
                        <w:r>
                          <w:rPr>
                            <w:rFonts w:hint="eastAsia" w:cs="宋体"/>
                            <w:sz w:val="24"/>
                            <w:szCs w:val="24"/>
                          </w:rPr>
                          <w:t>年 月  日</w:t>
                        </w:r>
                      </w:p>
                    </w:txbxContent>
                  </v:textbox>
                </v:shape>
                <w10:wrap type="none"/>
                <w10:anchorlock/>
              </v:group>
            </w:pict>
          </mc:Fallback>
        </mc:AlternateContent>
      </w:r>
    </w:p>
    <w:p w14:paraId="0818D331">
      <w:pPr>
        <w:spacing w:line="360" w:lineRule="auto"/>
        <w:rPr>
          <w:rFonts w:ascii="宋体" w:hAnsi="宋体"/>
          <w:color w:val="auto"/>
          <w:sz w:val="24"/>
          <w:szCs w:val="24"/>
          <w:highlight w:val="none"/>
        </w:rPr>
      </w:pPr>
      <w:r>
        <w:rPr>
          <w:rFonts w:hint="eastAsia" w:ascii="宋体" w:hAnsi="宋体" w:cs="宋体"/>
          <w:color w:val="auto"/>
          <w:sz w:val="24"/>
          <w:szCs w:val="24"/>
          <w:highlight w:val="none"/>
        </w:rPr>
        <w:t>注：按提供的该表格格式填写，或使用工商管理部门的格式填写。</w:t>
      </w:r>
    </w:p>
    <w:p w14:paraId="04D738E9">
      <w:pPr>
        <w:spacing w:before="156" w:beforeLines="50" w:line="360" w:lineRule="auto"/>
        <w:ind w:firstLine="482" w:firstLineChars="200"/>
        <w:jc w:val="center"/>
        <w:rPr>
          <w:rFonts w:ascii="宋体" w:hAnsi="宋体" w:cs="宋体"/>
          <w:b/>
          <w:color w:val="auto"/>
          <w:sz w:val="24"/>
          <w:szCs w:val="24"/>
          <w:highlight w:val="none"/>
        </w:rPr>
      </w:pPr>
    </w:p>
    <w:p w14:paraId="6CDF4E13">
      <w:pPr>
        <w:spacing w:before="156" w:beforeLines="50" w:line="360" w:lineRule="auto"/>
        <w:ind w:firstLine="482" w:firstLineChars="200"/>
        <w:jc w:val="center"/>
        <w:rPr>
          <w:rFonts w:ascii="宋体" w:hAnsi="宋体" w:cs="宋体"/>
          <w:b/>
          <w:color w:val="auto"/>
          <w:sz w:val="24"/>
          <w:szCs w:val="24"/>
          <w:highlight w:val="none"/>
        </w:rPr>
      </w:pPr>
      <w:r>
        <w:rPr>
          <w:rFonts w:hint="eastAsia" w:ascii="宋体" w:hAnsi="宋体" w:cs="宋体"/>
          <w:b/>
          <w:color w:val="auto"/>
          <w:sz w:val="24"/>
          <w:szCs w:val="24"/>
          <w:highlight w:val="none"/>
        </w:rPr>
        <w:t>授权委托书</w:t>
      </w:r>
    </w:p>
    <w:p w14:paraId="55B20E05">
      <w:pPr>
        <w:widowControl/>
        <w:spacing w:line="360" w:lineRule="auto"/>
        <w:ind w:right="1542"/>
        <w:jc w:val="center"/>
        <w:rPr>
          <w:rFonts w:ascii="宋体" w:hAnsi="宋体" w:cs="宋体"/>
          <w:b/>
          <w:bCs/>
          <w:color w:val="auto"/>
          <w:kern w:val="0"/>
          <w:sz w:val="32"/>
          <w:szCs w:val="32"/>
          <w:highlight w:val="none"/>
        </w:rPr>
      </w:pPr>
      <w:r>
        <w:rPr>
          <w:color w:val="auto"/>
          <w:highlight w:val="none"/>
        </w:rPr>
        <mc:AlternateContent>
          <mc:Choice Requires="wps">
            <w:drawing>
              <wp:inline distT="0" distB="0" distL="114300" distR="114300">
                <wp:extent cx="5734685" cy="2946400"/>
                <wp:effectExtent l="4445" t="4445" r="13970" b="20955"/>
                <wp:docPr id="1" name="文本框 1"/>
                <wp:cNvGraphicFramePr/>
                <a:graphic xmlns:a="http://schemas.openxmlformats.org/drawingml/2006/main">
                  <a:graphicData uri="http://schemas.microsoft.com/office/word/2010/wordprocessingShape">
                    <wps:wsp>
                      <wps:cNvSpPr txBox="1">
                        <a:spLocks noRot="1" noChangeArrowheads="1"/>
                      </wps:cNvSpPr>
                      <wps:spPr bwMode="auto">
                        <a:xfrm>
                          <a:off x="0" y="0"/>
                          <a:ext cx="6129020" cy="2946400"/>
                        </a:xfrm>
                        <a:prstGeom prst="rect">
                          <a:avLst/>
                        </a:prstGeom>
                        <a:solidFill>
                          <a:srgbClr val="FFFFFF"/>
                        </a:solidFill>
                        <a:ln w="9525" cmpd="sng">
                          <a:solidFill>
                            <a:srgbClr val="000000"/>
                          </a:solidFill>
                          <a:miter lim="800000"/>
                        </a:ln>
                        <a:effectLst/>
                      </wps:spPr>
                      <wps:txbx>
                        <w:txbxContent>
                          <w:p w14:paraId="396322BF">
                            <w:pPr>
                              <w:spacing w:before="156" w:beforeLines="50"/>
                              <w:ind w:firstLine="480" w:firstLineChars="200"/>
                              <w:rPr>
                                <w:sz w:val="24"/>
                                <w:szCs w:val="24"/>
                              </w:rPr>
                            </w:pPr>
                            <w:r>
                              <w:rPr>
                                <w:rFonts w:hint="eastAsia" w:cs="宋体"/>
                                <w:sz w:val="24"/>
                                <w:szCs w:val="24"/>
                              </w:rPr>
                              <w:t>兹授权</w:t>
                            </w:r>
                            <w:r>
                              <w:rPr>
                                <w:rFonts w:hint="eastAsia" w:cs="宋体"/>
                                <w:sz w:val="24"/>
                                <w:szCs w:val="24"/>
                                <w:u w:val="single"/>
                              </w:rPr>
                              <w:t>　　　　　</w:t>
                            </w:r>
                            <w:r>
                              <w:rPr>
                                <w:rFonts w:hint="eastAsia" w:cs="宋体"/>
                                <w:sz w:val="24"/>
                                <w:szCs w:val="24"/>
                              </w:rPr>
                              <w:t>为我方委托代理人，其权限是：</w:t>
                            </w:r>
                            <w:r>
                              <w:rPr>
                                <w:sz w:val="24"/>
                                <w:szCs w:val="24"/>
                                <w:u w:val="single"/>
                              </w:rPr>
                              <w:t xml:space="preserve">                        </w:t>
                            </w:r>
                          </w:p>
                          <w:p w14:paraId="1353C012">
                            <w:pPr>
                              <w:snapToGrid w:val="0"/>
                              <w:spacing w:line="480" w:lineRule="atLeast"/>
                              <w:rPr>
                                <w:sz w:val="24"/>
                                <w:szCs w:val="24"/>
                                <w:u w:val="single"/>
                              </w:rPr>
                            </w:pPr>
                            <w:r>
                              <w:rPr>
                                <w:sz w:val="24"/>
                                <w:szCs w:val="24"/>
                                <w:u w:val="single"/>
                              </w:rPr>
                              <w:t xml:space="preserve">                                                                        </w:t>
                            </w:r>
                          </w:p>
                          <w:p w14:paraId="58D1E544">
                            <w:pPr>
                              <w:snapToGrid w:val="0"/>
                              <w:spacing w:line="480" w:lineRule="atLeast"/>
                              <w:rPr>
                                <w:sz w:val="24"/>
                                <w:szCs w:val="24"/>
                                <w:u w:val="single"/>
                              </w:rPr>
                            </w:pPr>
                            <w:r>
                              <w:rPr>
                                <w:rFonts w:hint="eastAsia" w:cs="宋体"/>
                                <w:sz w:val="24"/>
                                <w:szCs w:val="24"/>
                              </w:rPr>
                              <w:t>有效期限：</w:t>
                            </w:r>
                            <w:r>
                              <w:rPr>
                                <w:sz w:val="24"/>
                                <w:szCs w:val="24"/>
                                <w:u w:val="single"/>
                              </w:rPr>
                              <w:t xml:space="preserve">                                                              </w:t>
                            </w:r>
                          </w:p>
                          <w:p w14:paraId="11A7062B">
                            <w:pPr>
                              <w:snapToGrid w:val="0"/>
                              <w:spacing w:line="480" w:lineRule="atLeast"/>
                              <w:rPr>
                                <w:sz w:val="24"/>
                                <w:szCs w:val="24"/>
                              </w:rPr>
                            </w:pPr>
                            <w:r>
                              <w:rPr>
                                <w:rFonts w:hint="eastAsia" w:cs="宋体"/>
                                <w:sz w:val="24"/>
                                <w:szCs w:val="24"/>
                              </w:rPr>
                              <w:t>附：代理人性别：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14:paraId="07B961C6">
                            <w:pPr>
                              <w:snapToGrid w:val="0"/>
                              <w:spacing w:line="480" w:lineRule="atLeast"/>
                              <w:ind w:hanging="105"/>
                              <w:rPr>
                                <w:sz w:val="24"/>
                                <w:szCs w:val="24"/>
                                <w:u w:val="single"/>
                              </w:rPr>
                            </w:pPr>
                            <w:r>
                              <w:rPr>
                                <w:rFonts w:hint="eastAsia" w:cs="宋体"/>
                                <w:sz w:val="24"/>
                                <w:szCs w:val="24"/>
                              </w:rPr>
                              <w:t>　　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14:paraId="2BEC411C">
                            <w:pPr>
                              <w:snapToGrid w:val="0"/>
                              <w:spacing w:line="480" w:lineRule="atLeast"/>
                              <w:ind w:hanging="105"/>
                              <w:rPr>
                                <w:sz w:val="24"/>
                                <w:szCs w:val="24"/>
                                <w:u w:val="single"/>
                              </w:rPr>
                            </w:pPr>
                            <w:r>
                              <w:rPr>
                                <w:rFonts w:hint="eastAsia" w:cs="宋体"/>
                                <w:sz w:val="24"/>
                                <w:szCs w:val="24"/>
                              </w:rPr>
                              <w:t>　　经营范围：</w:t>
                            </w:r>
                            <w:r>
                              <w:rPr>
                                <w:sz w:val="24"/>
                                <w:szCs w:val="24"/>
                                <w:u w:val="single"/>
                              </w:rPr>
                              <w:t xml:space="preserve">                                                           </w:t>
                            </w:r>
                          </w:p>
                          <w:p w14:paraId="437ED633">
                            <w:pPr>
                              <w:snapToGrid w:val="0"/>
                              <w:spacing w:line="480" w:lineRule="atLeast"/>
                              <w:ind w:hanging="105"/>
                              <w:rPr>
                                <w:sz w:val="24"/>
                                <w:szCs w:val="24"/>
                              </w:rPr>
                            </w:pPr>
                            <w:r>
                              <w:rPr>
                                <w:rFonts w:hint="eastAsia" w:cs="宋体"/>
                                <w:sz w:val="24"/>
                                <w:szCs w:val="24"/>
                              </w:rPr>
                              <w:t>　　法定代表人（负责人）：</w:t>
                            </w:r>
                            <w:r>
                              <w:rPr>
                                <w:rFonts w:hint="eastAsia" w:cs="宋体"/>
                                <w:sz w:val="24"/>
                                <w:szCs w:val="24"/>
                                <w:u w:val="single"/>
                              </w:rPr>
                              <w:t>　　　</w:t>
                            </w:r>
                            <w:r>
                              <w:rPr>
                                <w:sz w:val="24"/>
                                <w:szCs w:val="24"/>
                                <w:u w:val="single"/>
                              </w:rPr>
                              <w:t xml:space="preserve">          </w:t>
                            </w:r>
                            <w:r>
                              <w:rPr>
                                <w:rFonts w:hint="eastAsia" w:cs="宋体"/>
                                <w:sz w:val="24"/>
                                <w:szCs w:val="24"/>
                              </w:rPr>
                              <w:t>（签名）</w:t>
                            </w:r>
                          </w:p>
                          <w:p w14:paraId="325AB8A0">
                            <w:pPr>
                              <w:snapToGrid w:val="0"/>
                              <w:spacing w:line="480" w:lineRule="atLeast"/>
                              <w:ind w:hanging="105"/>
                              <w:rPr>
                                <w:sz w:val="24"/>
                                <w:szCs w:val="24"/>
                              </w:rPr>
                            </w:pPr>
                            <w:r>
                              <w:rPr>
                                <w:rFonts w:hint="eastAsia" w:cs="宋体"/>
                                <w:sz w:val="24"/>
                                <w:szCs w:val="24"/>
                              </w:rPr>
                              <w:t>　　授权单位：（盖章）</w:t>
                            </w:r>
                            <w:r>
                              <w:rPr>
                                <w:sz w:val="24"/>
                                <w:szCs w:val="24"/>
                                <w:u w:val="single"/>
                              </w:rPr>
                              <w:t xml:space="preserve">                     </w:t>
                            </w:r>
                            <w:r>
                              <w:rPr>
                                <w:rFonts w:hint="eastAsia" w:cs="宋体"/>
                                <w:sz w:val="24"/>
                                <w:szCs w:val="24"/>
                              </w:rPr>
                              <w:t>　　　</w:t>
                            </w:r>
                          </w:p>
                          <w:p w14:paraId="314ACD1C">
                            <w:pPr>
                              <w:snapToGrid w:val="0"/>
                              <w:spacing w:line="480" w:lineRule="atLeast"/>
                              <w:ind w:firstLine="570"/>
                              <w:rPr>
                                <w:sz w:val="24"/>
                                <w:szCs w:val="24"/>
                              </w:rPr>
                            </w:pPr>
                            <w:r>
                              <w:rPr>
                                <w:rFonts w:hint="eastAsia" w:cs="宋体"/>
                                <w:sz w:val="24"/>
                                <w:szCs w:val="24"/>
                              </w:rPr>
                              <w:t>　　　　　　　　　　　　　　　　　　　　　</w:t>
                            </w:r>
                            <w:r>
                              <w:rPr>
                                <w:sz w:val="24"/>
                                <w:szCs w:val="24"/>
                              </w:rPr>
                              <w:t xml:space="preserve">      </w:t>
                            </w:r>
                            <w:r>
                              <w:rPr>
                                <w:rFonts w:hint="eastAsia" w:cs="宋体"/>
                                <w:sz w:val="24"/>
                                <w:szCs w:val="24"/>
                              </w:rPr>
                              <w:t>年　</w:t>
                            </w:r>
                            <w:r>
                              <w:rPr>
                                <w:sz w:val="24"/>
                                <w:szCs w:val="24"/>
                              </w:rPr>
                              <w:t xml:space="preserve"> </w:t>
                            </w:r>
                            <w:r>
                              <w:rPr>
                                <w:rFonts w:hint="eastAsia" w:cs="宋体"/>
                                <w:sz w:val="24"/>
                                <w:szCs w:val="24"/>
                              </w:rPr>
                              <w:t>月　</w:t>
                            </w:r>
                            <w:r>
                              <w:rPr>
                                <w:sz w:val="24"/>
                                <w:szCs w:val="24"/>
                              </w:rPr>
                              <w:t xml:space="preserve"> </w:t>
                            </w:r>
                            <w:r>
                              <w:rPr>
                                <w:rFonts w:hint="eastAsia" w:cs="宋体"/>
                                <w:sz w:val="24"/>
                                <w:szCs w:val="24"/>
                              </w:rPr>
                              <w:t>日</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232pt;width:451.55pt;" fillcolor="#FFFFFF" filled="t" stroked="t" coordsize="21600,21600" o:gfxdata="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dXPiX9YAAAAF&#10;AQAADwAAAAAAAAABACAAAAAiAAAAZHJzL2Rvd25yZXYueG1sUEsBAhQAFAAAAAgAh07iQGvjoIFX&#10;AgAAqwQAAA4AAAAAAAAAAQAgAAAAJQEAAGRycy9lMm9Eb2MueG1sUEsFBgAAAAAGAAYAWQEAAO4F&#10;AAAAAA==&#10;">
                <v:fill on="t" focussize="0,0"/>
                <v:stroke color="#000000" miterlimit="8" joinstyle="miter"/>
                <v:imagedata o:title=""/>
                <o:lock v:ext="edit" rotation="t" aspectratio="f"/>
                <v:textbox>
                  <w:txbxContent>
                    <w:p w14:paraId="396322BF">
                      <w:pPr>
                        <w:spacing w:before="156" w:beforeLines="50"/>
                        <w:ind w:firstLine="480" w:firstLineChars="200"/>
                        <w:rPr>
                          <w:sz w:val="24"/>
                          <w:szCs w:val="24"/>
                        </w:rPr>
                      </w:pPr>
                      <w:r>
                        <w:rPr>
                          <w:rFonts w:hint="eastAsia" w:cs="宋体"/>
                          <w:sz w:val="24"/>
                          <w:szCs w:val="24"/>
                        </w:rPr>
                        <w:t>兹授权</w:t>
                      </w:r>
                      <w:r>
                        <w:rPr>
                          <w:rFonts w:hint="eastAsia" w:cs="宋体"/>
                          <w:sz w:val="24"/>
                          <w:szCs w:val="24"/>
                          <w:u w:val="single"/>
                        </w:rPr>
                        <w:t>　　　　　</w:t>
                      </w:r>
                      <w:r>
                        <w:rPr>
                          <w:rFonts w:hint="eastAsia" w:cs="宋体"/>
                          <w:sz w:val="24"/>
                          <w:szCs w:val="24"/>
                        </w:rPr>
                        <w:t>为我方委托代理人，其权限是：</w:t>
                      </w:r>
                      <w:r>
                        <w:rPr>
                          <w:sz w:val="24"/>
                          <w:szCs w:val="24"/>
                          <w:u w:val="single"/>
                        </w:rPr>
                        <w:t xml:space="preserve">                        </w:t>
                      </w:r>
                    </w:p>
                    <w:p w14:paraId="1353C012">
                      <w:pPr>
                        <w:snapToGrid w:val="0"/>
                        <w:spacing w:line="480" w:lineRule="atLeast"/>
                        <w:rPr>
                          <w:sz w:val="24"/>
                          <w:szCs w:val="24"/>
                          <w:u w:val="single"/>
                        </w:rPr>
                      </w:pPr>
                      <w:r>
                        <w:rPr>
                          <w:sz w:val="24"/>
                          <w:szCs w:val="24"/>
                          <w:u w:val="single"/>
                        </w:rPr>
                        <w:t xml:space="preserve">                                                                        </w:t>
                      </w:r>
                    </w:p>
                    <w:p w14:paraId="58D1E544">
                      <w:pPr>
                        <w:snapToGrid w:val="0"/>
                        <w:spacing w:line="480" w:lineRule="atLeast"/>
                        <w:rPr>
                          <w:sz w:val="24"/>
                          <w:szCs w:val="24"/>
                          <w:u w:val="single"/>
                        </w:rPr>
                      </w:pPr>
                      <w:r>
                        <w:rPr>
                          <w:rFonts w:hint="eastAsia" w:cs="宋体"/>
                          <w:sz w:val="24"/>
                          <w:szCs w:val="24"/>
                        </w:rPr>
                        <w:t>有效期限：</w:t>
                      </w:r>
                      <w:r>
                        <w:rPr>
                          <w:sz w:val="24"/>
                          <w:szCs w:val="24"/>
                          <w:u w:val="single"/>
                        </w:rPr>
                        <w:t xml:space="preserve">                                                              </w:t>
                      </w:r>
                    </w:p>
                    <w:p w14:paraId="11A7062B">
                      <w:pPr>
                        <w:snapToGrid w:val="0"/>
                        <w:spacing w:line="480" w:lineRule="atLeast"/>
                        <w:rPr>
                          <w:sz w:val="24"/>
                          <w:szCs w:val="24"/>
                        </w:rPr>
                      </w:pPr>
                      <w:r>
                        <w:rPr>
                          <w:rFonts w:hint="eastAsia" w:cs="宋体"/>
                          <w:sz w:val="24"/>
                          <w:szCs w:val="24"/>
                        </w:rPr>
                        <w:t>附：代理人性别：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14:paraId="07B961C6">
                      <w:pPr>
                        <w:snapToGrid w:val="0"/>
                        <w:spacing w:line="480" w:lineRule="atLeast"/>
                        <w:ind w:hanging="105"/>
                        <w:rPr>
                          <w:sz w:val="24"/>
                          <w:szCs w:val="24"/>
                          <w:u w:val="single"/>
                        </w:rPr>
                      </w:pPr>
                      <w:r>
                        <w:rPr>
                          <w:rFonts w:hint="eastAsia" w:cs="宋体"/>
                          <w:sz w:val="24"/>
                          <w:szCs w:val="24"/>
                        </w:rPr>
                        <w:t>　　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14:paraId="2BEC411C">
                      <w:pPr>
                        <w:snapToGrid w:val="0"/>
                        <w:spacing w:line="480" w:lineRule="atLeast"/>
                        <w:ind w:hanging="105"/>
                        <w:rPr>
                          <w:sz w:val="24"/>
                          <w:szCs w:val="24"/>
                          <w:u w:val="single"/>
                        </w:rPr>
                      </w:pPr>
                      <w:r>
                        <w:rPr>
                          <w:rFonts w:hint="eastAsia" w:cs="宋体"/>
                          <w:sz w:val="24"/>
                          <w:szCs w:val="24"/>
                        </w:rPr>
                        <w:t>　　经营范围：</w:t>
                      </w:r>
                      <w:r>
                        <w:rPr>
                          <w:sz w:val="24"/>
                          <w:szCs w:val="24"/>
                          <w:u w:val="single"/>
                        </w:rPr>
                        <w:t xml:space="preserve">                                                           </w:t>
                      </w:r>
                    </w:p>
                    <w:p w14:paraId="437ED633">
                      <w:pPr>
                        <w:snapToGrid w:val="0"/>
                        <w:spacing w:line="480" w:lineRule="atLeast"/>
                        <w:ind w:hanging="105"/>
                        <w:rPr>
                          <w:sz w:val="24"/>
                          <w:szCs w:val="24"/>
                        </w:rPr>
                      </w:pPr>
                      <w:r>
                        <w:rPr>
                          <w:rFonts w:hint="eastAsia" w:cs="宋体"/>
                          <w:sz w:val="24"/>
                          <w:szCs w:val="24"/>
                        </w:rPr>
                        <w:t>　　法定代表人（负责人）：</w:t>
                      </w:r>
                      <w:r>
                        <w:rPr>
                          <w:rFonts w:hint="eastAsia" w:cs="宋体"/>
                          <w:sz w:val="24"/>
                          <w:szCs w:val="24"/>
                          <w:u w:val="single"/>
                        </w:rPr>
                        <w:t>　　　</w:t>
                      </w:r>
                      <w:r>
                        <w:rPr>
                          <w:sz w:val="24"/>
                          <w:szCs w:val="24"/>
                          <w:u w:val="single"/>
                        </w:rPr>
                        <w:t xml:space="preserve">          </w:t>
                      </w:r>
                      <w:r>
                        <w:rPr>
                          <w:rFonts w:hint="eastAsia" w:cs="宋体"/>
                          <w:sz w:val="24"/>
                          <w:szCs w:val="24"/>
                        </w:rPr>
                        <w:t>（签名）</w:t>
                      </w:r>
                    </w:p>
                    <w:p w14:paraId="325AB8A0">
                      <w:pPr>
                        <w:snapToGrid w:val="0"/>
                        <w:spacing w:line="480" w:lineRule="atLeast"/>
                        <w:ind w:hanging="105"/>
                        <w:rPr>
                          <w:sz w:val="24"/>
                          <w:szCs w:val="24"/>
                        </w:rPr>
                      </w:pPr>
                      <w:r>
                        <w:rPr>
                          <w:rFonts w:hint="eastAsia" w:cs="宋体"/>
                          <w:sz w:val="24"/>
                          <w:szCs w:val="24"/>
                        </w:rPr>
                        <w:t>　　授权单位：（盖章）</w:t>
                      </w:r>
                      <w:r>
                        <w:rPr>
                          <w:sz w:val="24"/>
                          <w:szCs w:val="24"/>
                          <w:u w:val="single"/>
                        </w:rPr>
                        <w:t xml:space="preserve">                     </w:t>
                      </w:r>
                      <w:r>
                        <w:rPr>
                          <w:rFonts w:hint="eastAsia" w:cs="宋体"/>
                          <w:sz w:val="24"/>
                          <w:szCs w:val="24"/>
                        </w:rPr>
                        <w:t>　　　</w:t>
                      </w:r>
                    </w:p>
                    <w:p w14:paraId="314ACD1C">
                      <w:pPr>
                        <w:snapToGrid w:val="0"/>
                        <w:spacing w:line="480" w:lineRule="atLeast"/>
                        <w:ind w:firstLine="570"/>
                        <w:rPr>
                          <w:sz w:val="24"/>
                          <w:szCs w:val="24"/>
                        </w:rPr>
                      </w:pPr>
                      <w:r>
                        <w:rPr>
                          <w:rFonts w:hint="eastAsia" w:cs="宋体"/>
                          <w:sz w:val="24"/>
                          <w:szCs w:val="24"/>
                        </w:rPr>
                        <w:t>　　　　　　　　　　　　　　　　　　　　　</w:t>
                      </w:r>
                      <w:r>
                        <w:rPr>
                          <w:sz w:val="24"/>
                          <w:szCs w:val="24"/>
                        </w:rPr>
                        <w:t xml:space="preserve">      </w:t>
                      </w:r>
                      <w:r>
                        <w:rPr>
                          <w:rFonts w:hint="eastAsia" w:cs="宋体"/>
                          <w:sz w:val="24"/>
                          <w:szCs w:val="24"/>
                        </w:rPr>
                        <w:t>年　</w:t>
                      </w:r>
                      <w:r>
                        <w:rPr>
                          <w:sz w:val="24"/>
                          <w:szCs w:val="24"/>
                        </w:rPr>
                        <w:t xml:space="preserve"> </w:t>
                      </w:r>
                      <w:r>
                        <w:rPr>
                          <w:rFonts w:hint="eastAsia" w:cs="宋体"/>
                          <w:sz w:val="24"/>
                          <w:szCs w:val="24"/>
                        </w:rPr>
                        <w:t>月　</w:t>
                      </w:r>
                      <w:r>
                        <w:rPr>
                          <w:sz w:val="24"/>
                          <w:szCs w:val="24"/>
                        </w:rPr>
                        <w:t xml:space="preserve"> </w:t>
                      </w:r>
                      <w:r>
                        <w:rPr>
                          <w:rFonts w:hint="eastAsia" w:cs="宋体"/>
                          <w:sz w:val="24"/>
                          <w:szCs w:val="24"/>
                        </w:rPr>
                        <w:t>日</w:t>
                      </w:r>
                    </w:p>
                  </w:txbxContent>
                </v:textbox>
                <w10:wrap type="none"/>
                <w10:anchorlock/>
              </v:shape>
            </w:pict>
          </mc:Fallback>
        </mc:AlternateContent>
      </w:r>
    </w:p>
    <w:p w14:paraId="43A07F08">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注：按提供的该表格格式填写，或使用工商管理部门的格式填写。</w:t>
      </w:r>
    </w:p>
    <w:bookmarkEnd w:id="195"/>
    <w:bookmarkEnd w:id="196"/>
    <w:bookmarkEnd w:id="197"/>
    <w:bookmarkEnd w:id="198"/>
    <w:bookmarkEnd w:id="199"/>
    <w:bookmarkEnd w:id="200"/>
    <w:bookmarkEnd w:id="201"/>
    <w:p w14:paraId="67576E69">
      <w:pPr>
        <w:spacing w:line="360" w:lineRule="auto"/>
        <w:rPr>
          <w:rFonts w:ascii="宋体" w:hAnsi="宋体" w:cs="宋体"/>
          <w:color w:val="auto"/>
          <w:highlight w:val="none"/>
        </w:rPr>
      </w:pPr>
      <w:bookmarkStart w:id="202" w:name="_Toc8221"/>
      <w:bookmarkStart w:id="203" w:name="_Toc525063284"/>
      <w:bookmarkStart w:id="204" w:name="_Toc25035"/>
      <w:bookmarkStart w:id="205" w:name="_Toc532367892"/>
      <w:bookmarkStart w:id="206" w:name="_Toc15147"/>
      <w:bookmarkStart w:id="207" w:name="_Toc29040"/>
      <w:bookmarkStart w:id="208" w:name="_Toc23444"/>
    </w:p>
    <w:p w14:paraId="5D6062F0">
      <w:pPr>
        <w:keepNext/>
        <w:keepLines/>
        <w:spacing w:line="360" w:lineRule="auto"/>
        <w:jc w:val="center"/>
        <w:outlineLvl w:val="1"/>
        <w:rPr>
          <w:rFonts w:ascii="宋体" w:hAnsi="宋体" w:cs="宋体"/>
          <w:color w:val="auto"/>
          <w:highlight w:val="none"/>
        </w:rPr>
      </w:pPr>
      <w:r>
        <w:rPr>
          <w:rFonts w:hint="eastAsia" w:ascii="宋体" w:hAnsi="宋体" w:cs="宋体"/>
          <w:color w:val="auto"/>
          <w:highlight w:val="none"/>
        </w:rPr>
        <w:br w:type="page"/>
      </w:r>
      <w:bookmarkStart w:id="209" w:name="_Toc15064"/>
      <w:r>
        <w:rPr>
          <w:rFonts w:hint="eastAsia" w:ascii="宋体" w:hAnsi="宋体" w:cs="宋体"/>
          <w:b/>
          <w:bCs/>
          <w:color w:val="auto"/>
          <w:sz w:val="32"/>
          <w:szCs w:val="32"/>
          <w:highlight w:val="none"/>
        </w:rPr>
        <w:t>三、关于投标保证金的承诺</w:t>
      </w:r>
      <w:bookmarkEnd w:id="209"/>
    </w:p>
    <w:p w14:paraId="77C71BFB">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本招标项目招标人及招标监管机构：</w:t>
      </w:r>
    </w:p>
    <w:p w14:paraId="5F9FCC2C">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本公司就参加</w:t>
      </w:r>
      <w:r>
        <w:rPr>
          <w:rFonts w:hint="eastAsia" w:ascii="宋体" w:hAnsi="宋体" w:cs="宋体"/>
          <w:color w:val="auto"/>
          <w:sz w:val="24"/>
          <w:szCs w:val="24"/>
          <w:highlight w:val="none"/>
          <w:u w:val="single"/>
        </w:rPr>
        <w:t xml:space="preserve">      （项目名称）     </w:t>
      </w:r>
      <w:r>
        <w:rPr>
          <w:rFonts w:hint="eastAsia" w:ascii="宋体" w:hAnsi="宋体" w:cs="宋体"/>
          <w:color w:val="auto"/>
          <w:sz w:val="24"/>
          <w:szCs w:val="24"/>
          <w:highlight w:val="none"/>
        </w:rPr>
        <w:t>项目的投标工作，作出郑重声明：</w:t>
      </w:r>
    </w:p>
    <w:p w14:paraId="728C6ADB">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本公司满足招标文件中免交投标保证金的相关要求，在投标时未提交投标保证金。我司理解在投标时免交投标保证金是为企业减负的举措，并未免除我司的投标义务，本公司</w:t>
      </w:r>
      <w:r>
        <w:rPr>
          <w:rFonts w:hint="eastAsia" w:ascii="宋体" w:hAnsi="宋体" w:cs="宋体"/>
          <w:color w:val="auto"/>
          <w:kern w:val="0"/>
          <w:sz w:val="24"/>
          <w:szCs w:val="24"/>
          <w:highlight w:val="none"/>
          <w:lang w:val="zh-CN"/>
        </w:rPr>
        <w:t>一旦发生符合招标文件规定的不予退还投标保证金情形的，将</w:t>
      </w:r>
      <w:r>
        <w:rPr>
          <w:rFonts w:hint="eastAsia" w:ascii="宋体" w:hAnsi="宋体" w:cs="宋体"/>
          <w:color w:val="auto"/>
          <w:sz w:val="24"/>
          <w:szCs w:val="24"/>
          <w:highlight w:val="none"/>
        </w:rPr>
        <w:t>按照招标人的要求，在规定的时间内向招标人足额补交投标保证金。</w:t>
      </w:r>
    </w:p>
    <w:p w14:paraId="6947DB2D">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本公司违反上述保证的，将被视为虚假承诺，按相关规定进行信用记录。本公司对失信行为产生的一切后果已知悉，并承担由此产生的相应责任。</w:t>
      </w:r>
    </w:p>
    <w:p w14:paraId="2FB986F9">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特此承诺。</w:t>
      </w:r>
    </w:p>
    <w:p w14:paraId="1CF3F623">
      <w:pPr>
        <w:spacing w:line="360" w:lineRule="auto"/>
        <w:ind w:firstLine="480" w:firstLineChars="200"/>
        <w:jc w:val="left"/>
        <w:rPr>
          <w:rFonts w:ascii="宋体" w:hAnsi="宋体" w:cs="宋体"/>
          <w:color w:val="auto"/>
          <w:sz w:val="24"/>
          <w:szCs w:val="24"/>
          <w:highlight w:val="none"/>
        </w:rPr>
      </w:pPr>
    </w:p>
    <w:p w14:paraId="56028FE3">
      <w:pPr>
        <w:spacing w:line="360" w:lineRule="auto"/>
        <w:ind w:firstLine="4320" w:firstLineChars="18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投标人：</w:t>
      </w:r>
      <w:r>
        <w:rPr>
          <w:rFonts w:hint="eastAsia" w:ascii="宋体" w:hAnsi="宋体" w:cs="宋体"/>
          <w:color w:val="auto"/>
          <w:sz w:val="24"/>
          <w:szCs w:val="24"/>
          <w:highlight w:val="none"/>
          <w:u w:val="single"/>
        </w:rPr>
        <w:t>　　（盖章）</w:t>
      </w:r>
    </w:p>
    <w:p w14:paraId="0CADDF82">
      <w:pPr>
        <w:spacing w:line="360" w:lineRule="auto"/>
        <w:rPr>
          <w:rFonts w:ascii="宋体" w:hAnsi="宋体"/>
          <w:color w:val="auto"/>
          <w:highlight w:val="none"/>
        </w:rPr>
      </w:pPr>
      <w:r>
        <w:rPr>
          <w:rFonts w:hint="eastAsia" w:ascii="宋体" w:hAnsi="宋体" w:cs="宋体"/>
          <w:color w:val="auto"/>
          <w:sz w:val="24"/>
          <w:szCs w:val="24"/>
          <w:highlight w:val="none"/>
        </w:rPr>
        <w:t xml:space="preserve">                                    日  期：</w:t>
      </w:r>
      <w:r>
        <w:rPr>
          <w:rFonts w:hint="eastAsia" w:ascii="宋体" w:hAnsi="宋体" w:cs="宋体"/>
          <w:color w:val="auto"/>
          <w:sz w:val="24"/>
          <w:szCs w:val="24"/>
          <w:highlight w:val="none"/>
          <w:u w:val="single"/>
        </w:rPr>
        <w:t xml:space="preserve">　        　   </w:t>
      </w:r>
    </w:p>
    <w:p w14:paraId="40BC4643">
      <w:pPr>
        <w:keepNext/>
        <w:keepLines/>
        <w:spacing w:line="360" w:lineRule="auto"/>
        <w:jc w:val="center"/>
        <w:outlineLvl w:val="1"/>
        <w:rPr>
          <w:rFonts w:ascii="宋体" w:hAnsi="宋体" w:cs="宋体"/>
          <w:color w:val="auto"/>
          <w:highlight w:val="none"/>
        </w:rPr>
      </w:pPr>
    </w:p>
    <w:p w14:paraId="650E51E9">
      <w:pPr>
        <w:keepNext/>
        <w:keepLines/>
        <w:spacing w:line="360" w:lineRule="auto"/>
        <w:jc w:val="center"/>
        <w:outlineLvl w:val="1"/>
        <w:rPr>
          <w:rFonts w:ascii="宋体" w:hAnsi="宋体" w:cs="宋体"/>
          <w:color w:val="auto"/>
          <w:sz w:val="32"/>
          <w:highlight w:val="none"/>
        </w:rPr>
      </w:pPr>
      <w:r>
        <w:rPr>
          <w:rFonts w:ascii="宋体" w:hAnsi="宋体" w:cs="宋体"/>
          <w:b/>
          <w:bCs/>
          <w:color w:val="auto"/>
          <w:sz w:val="32"/>
          <w:szCs w:val="32"/>
          <w:highlight w:val="none"/>
        </w:rPr>
        <w:br w:type="page"/>
      </w:r>
      <w:bookmarkStart w:id="210" w:name="_Toc26045"/>
      <w:r>
        <w:rPr>
          <w:rFonts w:hint="eastAsia" w:ascii="宋体" w:hAnsi="宋体" w:cs="宋体"/>
          <w:b/>
          <w:bCs/>
          <w:color w:val="auto"/>
          <w:sz w:val="32"/>
          <w:szCs w:val="32"/>
          <w:highlight w:val="none"/>
        </w:rPr>
        <w:t>四、联合体协议书（如有）</w:t>
      </w:r>
      <w:bookmarkEnd w:id="210"/>
    </w:p>
    <w:p w14:paraId="3C1A6E7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（可参考本项目招标公告附件格式）</w:t>
      </w:r>
      <w:r>
        <w:rPr>
          <w:rFonts w:hint="eastAsia" w:ascii="宋体" w:hAnsi="宋体" w:cs="宋体"/>
          <w:color w:val="auto"/>
          <w:sz w:val="24"/>
          <w:szCs w:val="24"/>
          <w:highlight w:val="none"/>
        </w:rPr>
        <w:br w:type="page"/>
      </w:r>
    </w:p>
    <w:p w14:paraId="790E6E3C">
      <w:pPr>
        <w:keepNext/>
        <w:keepLines/>
        <w:spacing w:line="360" w:lineRule="auto"/>
        <w:jc w:val="center"/>
        <w:outlineLvl w:val="1"/>
        <w:rPr>
          <w:rFonts w:ascii="宋体" w:hAnsi="宋体" w:cs="宋体"/>
          <w:b/>
          <w:bCs/>
          <w:color w:val="auto"/>
          <w:sz w:val="32"/>
          <w:szCs w:val="32"/>
          <w:highlight w:val="none"/>
        </w:rPr>
      </w:pPr>
      <w:bookmarkStart w:id="211" w:name="_Toc4362"/>
      <w:r>
        <w:rPr>
          <w:rFonts w:hint="eastAsia" w:ascii="宋体" w:hAnsi="宋体" w:cs="宋体"/>
          <w:b/>
          <w:bCs/>
          <w:color w:val="auto"/>
          <w:sz w:val="32"/>
          <w:szCs w:val="32"/>
          <w:highlight w:val="none"/>
        </w:rPr>
        <w:t>五、</w:t>
      </w:r>
      <w:bookmarkEnd w:id="202"/>
      <w:bookmarkEnd w:id="203"/>
      <w:bookmarkEnd w:id="204"/>
      <w:bookmarkEnd w:id="205"/>
      <w:bookmarkEnd w:id="206"/>
      <w:bookmarkEnd w:id="207"/>
      <w:bookmarkEnd w:id="208"/>
      <w:r>
        <w:rPr>
          <w:rFonts w:hint="eastAsia" w:ascii="宋体" w:hAnsi="宋体" w:cs="宋体"/>
          <w:b/>
          <w:bCs/>
          <w:color w:val="auto"/>
          <w:sz w:val="32"/>
          <w:szCs w:val="32"/>
          <w:highlight w:val="none"/>
        </w:rPr>
        <w:t>资格审查资料</w:t>
      </w:r>
      <w:bookmarkEnd w:id="211"/>
    </w:p>
    <w:p w14:paraId="6E258DD5">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（一）投标人基本情况表</w:t>
      </w:r>
    </w:p>
    <w:tbl>
      <w:tblPr>
        <w:tblStyle w:val="19"/>
        <w:tblW w:w="88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14:paraId="330531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3A0EE3CD">
            <w:pPr>
              <w:topLinePunct/>
              <w:spacing w:line="360" w:lineRule="auto"/>
              <w:jc w:val="center"/>
              <w:rPr>
                <w:rFonts w:ascii="宋体" w:hAnsi="宋体"/>
                <w:color w:val="auto"/>
                <w:highlight w:val="none"/>
              </w:rPr>
            </w:pPr>
            <w:r>
              <w:rPr>
                <w:rFonts w:hint="eastAsia" w:ascii="宋体" w:hAnsi="宋体"/>
                <w:color w:val="auto"/>
                <w:highlight w:val="none"/>
              </w:rPr>
              <w:t>投标人名称</w:t>
            </w:r>
          </w:p>
        </w:tc>
        <w:tc>
          <w:tcPr>
            <w:tcW w:w="6840" w:type="dxa"/>
            <w:gridSpan w:val="8"/>
            <w:tcBorders>
              <w:top w:val="single" w:color="auto" w:sz="4" w:space="0"/>
              <w:left w:val="single" w:color="auto" w:sz="4" w:space="0"/>
              <w:bottom w:val="single" w:color="auto" w:sz="4" w:space="0"/>
            </w:tcBorders>
            <w:vAlign w:val="center"/>
          </w:tcPr>
          <w:p w14:paraId="5AA5089A">
            <w:pPr>
              <w:topLinePunct/>
              <w:spacing w:line="360" w:lineRule="auto"/>
              <w:jc w:val="center"/>
              <w:rPr>
                <w:rFonts w:ascii="宋体" w:hAnsi="宋体"/>
                <w:color w:val="auto"/>
                <w:highlight w:val="none"/>
              </w:rPr>
            </w:pPr>
          </w:p>
        </w:tc>
      </w:tr>
      <w:tr w14:paraId="4B02B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69A6EBC5">
            <w:pPr>
              <w:topLinePunct/>
              <w:spacing w:line="360" w:lineRule="auto"/>
              <w:jc w:val="center"/>
              <w:rPr>
                <w:rFonts w:ascii="宋体" w:hAnsi="宋体"/>
                <w:color w:val="auto"/>
                <w:highlight w:val="none"/>
              </w:rPr>
            </w:pPr>
            <w:r>
              <w:rPr>
                <w:rFonts w:hint="eastAsia" w:ascii="宋体" w:hAnsi="宋体"/>
                <w:color w:val="auto"/>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1B7D8C73">
            <w:pPr>
              <w:topLinePunct/>
              <w:spacing w:line="360" w:lineRule="auto"/>
              <w:jc w:val="center"/>
              <w:rPr>
                <w:rFonts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03D5B05D">
            <w:pPr>
              <w:topLinePunct/>
              <w:spacing w:line="360" w:lineRule="auto"/>
              <w:jc w:val="center"/>
              <w:rPr>
                <w:rFonts w:ascii="宋体" w:hAnsi="宋体"/>
                <w:color w:val="auto"/>
                <w:highlight w:val="none"/>
              </w:rPr>
            </w:pPr>
            <w:r>
              <w:rPr>
                <w:rFonts w:hint="eastAsia" w:ascii="宋体" w:hAnsi="宋体"/>
                <w:color w:val="auto"/>
                <w:highlight w:val="none"/>
              </w:rPr>
              <w:t>邮政编码</w:t>
            </w:r>
          </w:p>
        </w:tc>
        <w:tc>
          <w:tcPr>
            <w:tcW w:w="2342" w:type="dxa"/>
            <w:gridSpan w:val="3"/>
            <w:tcBorders>
              <w:top w:val="single" w:color="auto" w:sz="4" w:space="0"/>
              <w:left w:val="single" w:color="auto" w:sz="4" w:space="0"/>
              <w:bottom w:val="single" w:color="auto" w:sz="4" w:space="0"/>
            </w:tcBorders>
            <w:vAlign w:val="center"/>
          </w:tcPr>
          <w:p w14:paraId="2A6AAFF7">
            <w:pPr>
              <w:topLinePunct/>
              <w:spacing w:line="360" w:lineRule="auto"/>
              <w:jc w:val="center"/>
              <w:rPr>
                <w:rFonts w:ascii="宋体" w:hAnsi="宋体"/>
                <w:color w:val="auto"/>
                <w:highlight w:val="none"/>
              </w:rPr>
            </w:pPr>
          </w:p>
        </w:tc>
      </w:tr>
      <w:tr w14:paraId="12D595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bottom w:val="single" w:color="auto" w:sz="4" w:space="0"/>
              <w:right w:val="single" w:color="auto" w:sz="4" w:space="0"/>
            </w:tcBorders>
            <w:vAlign w:val="center"/>
          </w:tcPr>
          <w:p w14:paraId="54B36BAC">
            <w:pPr>
              <w:topLinePunct/>
              <w:spacing w:line="360" w:lineRule="auto"/>
              <w:jc w:val="center"/>
              <w:rPr>
                <w:rFonts w:ascii="宋体" w:hAnsi="宋体"/>
                <w:color w:val="auto"/>
                <w:highlight w:val="none"/>
              </w:rPr>
            </w:pPr>
            <w:r>
              <w:rPr>
                <w:rFonts w:hint="eastAsia" w:ascii="宋体" w:hAnsi="宋体"/>
                <w:color w:val="auto"/>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3F913B57">
            <w:pPr>
              <w:topLinePunct/>
              <w:spacing w:line="360" w:lineRule="auto"/>
              <w:jc w:val="center"/>
              <w:rPr>
                <w:rFonts w:ascii="宋体" w:hAnsi="宋体"/>
                <w:color w:val="auto"/>
                <w:highlight w:val="none"/>
              </w:rPr>
            </w:pPr>
            <w:r>
              <w:rPr>
                <w:rFonts w:hint="eastAsia" w:ascii="宋体" w:hAnsi="宋体"/>
                <w:color w:val="auto"/>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57534EB1">
            <w:pPr>
              <w:topLinePunct/>
              <w:spacing w:line="360" w:lineRule="auto"/>
              <w:jc w:val="center"/>
              <w:rPr>
                <w:rFonts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21AD3D92">
            <w:pPr>
              <w:topLinePunct/>
              <w:spacing w:line="360" w:lineRule="auto"/>
              <w:jc w:val="center"/>
              <w:rPr>
                <w:rFonts w:ascii="宋体" w:hAnsi="宋体"/>
                <w:color w:val="auto"/>
                <w:highlight w:val="none"/>
              </w:rPr>
            </w:pPr>
            <w:r>
              <w:rPr>
                <w:rFonts w:hint="eastAsia" w:ascii="宋体" w:hAnsi="宋体"/>
                <w:color w:val="auto"/>
                <w:highlight w:val="none"/>
              </w:rPr>
              <w:t>电话</w:t>
            </w:r>
          </w:p>
        </w:tc>
        <w:tc>
          <w:tcPr>
            <w:tcW w:w="2342" w:type="dxa"/>
            <w:gridSpan w:val="3"/>
            <w:tcBorders>
              <w:top w:val="single" w:color="auto" w:sz="4" w:space="0"/>
              <w:left w:val="single" w:color="auto" w:sz="4" w:space="0"/>
              <w:bottom w:val="single" w:color="auto" w:sz="4" w:space="0"/>
            </w:tcBorders>
            <w:vAlign w:val="center"/>
          </w:tcPr>
          <w:p w14:paraId="6438BC63">
            <w:pPr>
              <w:topLinePunct/>
              <w:spacing w:line="360" w:lineRule="auto"/>
              <w:jc w:val="center"/>
              <w:rPr>
                <w:rFonts w:ascii="宋体" w:hAnsi="宋体"/>
                <w:color w:val="auto"/>
                <w:highlight w:val="none"/>
              </w:rPr>
            </w:pPr>
          </w:p>
        </w:tc>
      </w:tr>
      <w:tr w14:paraId="2D4A86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bottom w:val="single" w:color="auto" w:sz="4" w:space="0"/>
              <w:right w:val="single" w:color="auto" w:sz="4" w:space="0"/>
            </w:tcBorders>
            <w:vAlign w:val="center"/>
          </w:tcPr>
          <w:p w14:paraId="3AA36AFF">
            <w:pPr>
              <w:spacing w:line="360" w:lineRule="auto"/>
              <w:jc w:val="center"/>
              <w:rPr>
                <w:rFonts w:ascii="宋体" w:hAnsi="宋体"/>
                <w:color w:val="auto"/>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14:paraId="13363063">
            <w:pPr>
              <w:topLinePunct/>
              <w:spacing w:line="360" w:lineRule="auto"/>
              <w:jc w:val="center"/>
              <w:rPr>
                <w:rFonts w:ascii="宋体" w:hAnsi="宋体"/>
                <w:color w:val="auto"/>
                <w:highlight w:val="none"/>
              </w:rPr>
            </w:pPr>
            <w:r>
              <w:rPr>
                <w:rFonts w:hint="eastAsia" w:ascii="宋体" w:hAnsi="宋体"/>
                <w:color w:val="auto"/>
                <w:highlight w:val="none"/>
              </w:rPr>
              <w:t>传真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71FD2EA7">
            <w:pPr>
              <w:topLinePunct/>
              <w:spacing w:line="360" w:lineRule="auto"/>
              <w:jc w:val="center"/>
              <w:rPr>
                <w:rFonts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6068AD0C">
            <w:pPr>
              <w:topLinePunct/>
              <w:spacing w:line="360" w:lineRule="auto"/>
              <w:jc w:val="center"/>
              <w:rPr>
                <w:rFonts w:ascii="宋体" w:hAnsi="宋体"/>
                <w:color w:val="auto"/>
                <w:highlight w:val="none"/>
              </w:rPr>
            </w:pPr>
            <w:r>
              <w:rPr>
                <w:rFonts w:hint="eastAsia" w:ascii="宋体" w:hAnsi="宋体"/>
                <w:color w:val="auto"/>
                <w:highlight w:val="none"/>
              </w:rPr>
              <w:t>网址</w:t>
            </w:r>
          </w:p>
        </w:tc>
        <w:tc>
          <w:tcPr>
            <w:tcW w:w="2342" w:type="dxa"/>
            <w:gridSpan w:val="3"/>
            <w:tcBorders>
              <w:top w:val="single" w:color="auto" w:sz="4" w:space="0"/>
              <w:left w:val="single" w:color="auto" w:sz="4" w:space="0"/>
              <w:bottom w:val="single" w:color="auto" w:sz="4" w:space="0"/>
            </w:tcBorders>
            <w:vAlign w:val="center"/>
          </w:tcPr>
          <w:p w14:paraId="00DF9E5C">
            <w:pPr>
              <w:topLinePunct/>
              <w:spacing w:line="360" w:lineRule="auto"/>
              <w:jc w:val="center"/>
              <w:rPr>
                <w:rFonts w:ascii="宋体" w:hAnsi="宋体"/>
                <w:color w:val="auto"/>
                <w:highlight w:val="none"/>
              </w:rPr>
            </w:pPr>
          </w:p>
        </w:tc>
      </w:tr>
      <w:tr w14:paraId="0134DB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2C08365E">
            <w:pPr>
              <w:topLinePunct/>
              <w:spacing w:line="360" w:lineRule="auto"/>
              <w:jc w:val="center"/>
              <w:rPr>
                <w:rFonts w:ascii="宋体" w:hAnsi="宋体"/>
                <w:color w:val="auto"/>
                <w:highlight w:val="none"/>
              </w:rPr>
            </w:pPr>
            <w:r>
              <w:rPr>
                <w:rFonts w:hint="eastAsia" w:ascii="宋体" w:hAnsi="宋体"/>
                <w:color w:val="auto"/>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1DD7760F">
            <w:pPr>
              <w:topLinePunct/>
              <w:spacing w:line="360" w:lineRule="auto"/>
              <w:jc w:val="center"/>
              <w:rPr>
                <w:rFonts w:ascii="宋体" w:hAnsi="宋体"/>
                <w:color w:val="auto"/>
                <w:highlight w:val="none"/>
              </w:rPr>
            </w:pPr>
            <w:r>
              <w:rPr>
                <w:rFonts w:hint="eastAsia" w:ascii="宋体" w:hAnsi="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42AEFB8E">
            <w:pPr>
              <w:topLinePunct/>
              <w:spacing w:line="360" w:lineRule="auto"/>
              <w:jc w:val="center"/>
              <w:rPr>
                <w:rFonts w:ascii="宋体" w:hAnsi="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7DD05F2A">
            <w:pPr>
              <w:topLinePunct/>
              <w:spacing w:line="360" w:lineRule="auto"/>
              <w:jc w:val="center"/>
              <w:rPr>
                <w:rFonts w:ascii="宋体" w:hAnsi="宋体"/>
                <w:color w:val="auto"/>
                <w:highlight w:val="none"/>
              </w:rPr>
            </w:pPr>
            <w:r>
              <w:rPr>
                <w:rFonts w:hint="eastAsia" w:ascii="宋体" w:hAnsi="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5BDB980D">
            <w:pPr>
              <w:topLinePunct/>
              <w:spacing w:line="360" w:lineRule="auto"/>
              <w:jc w:val="center"/>
              <w:rPr>
                <w:rFonts w:ascii="宋体" w:hAnsi="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0CB3E40">
            <w:pPr>
              <w:topLinePunct/>
              <w:spacing w:line="360" w:lineRule="auto"/>
              <w:jc w:val="center"/>
              <w:rPr>
                <w:rFonts w:ascii="宋体" w:hAnsi="宋体"/>
                <w:color w:val="auto"/>
                <w:highlight w:val="none"/>
              </w:rPr>
            </w:pPr>
            <w:r>
              <w:rPr>
                <w:rFonts w:hint="eastAsia" w:ascii="宋体" w:hAnsi="宋体"/>
                <w:color w:val="auto"/>
                <w:highlight w:val="none"/>
              </w:rPr>
              <w:t>电话</w:t>
            </w:r>
          </w:p>
        </w:tc>
        <w:tc>
          <w:tcPr>
            <w:tcW w:w="1230" w:type="dxa"/>
            <w:tcBorders>
              <w:top w:val="single" w:color="auto" w:sz="4" w:space="0"/>
              <w:left w:val="single" w:color="auto" w:sz="4" w:space="0"/>
              <w:bottom w:val="single" w:color="auto" w:sz="4" w:space="0"/>
            </w:tcBorders>
            <w:vAlign w:val="center"/>
          </w:tcPr>
          <w:p w14:paraId="1A7177A6">
            <w:pPr>
              <w:topLinePunct/>
              <w:spacing w:line="360" w:lineRule="auto"/>
              <w:jc w:val="center"/>
              <w:rPr>
                <w:rFonts w:ascii="宋体" w:hAnsi="宋体"/>
                <w:color w:val="auto"/>
                <w:highlight w:val="none"/>
              </w:rPr>
            </w:pPr>
          </w:p>
        </w:tc>
      </w:tr>
      <w:tr w14:paraId="5D43F0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0289A0DD">
            <w:pPr>
              <w:topLinePunct/>
              <w:spacing w:line="360" w:lineRule="auto"/>
              <w:jc w:val="center"/>
              <w:rPr>
                <w:rFonts w:ascii="宋体" w:hAnsi="宋体"/>
                <w:color w:val="auto"/>
                <w:highlight w:val="none"/>
              </w:rPr>
            </w:pPr>
            <w:r>
              <w:rPr>
                <w:rFonts w:hint="eastAsia" w:ascii="宋体" w:hAnsi="宋体"/>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19852F40">
            <w:pPr>
              <w:topLinePunct/>
              <w:spacing w:line="360" w:lineRule="auto"/>
              <w:jc w:val="center"/>
              <w:rPr>
                <w:rFonts w:ascii="宋体" w:hAnsi="宋体"/>
                <w:color w:val="auto"/>
                <w:highlight w:val="none"/>
              </w:rPr>
            </w:pPr>
            <w:r>
              <w:rPr>
                <w:rFonts w:hint="eastAsia" w:ascii="宋体" w:hAnsi="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58BC61E1">
            <w:pPr>
              <w:topLinePunct/>
              <w:spacing w:line="360" w:lineRule="auto"/>
              <w:jc w:val="center"/>
              <w:rPr>
                <w:rFonts w:ascii="宋体" w:hAnsi="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515C71CC">
            <w:pPr>
              <w:topLinePunct/>
              <w:spacing w:line="360" w:lineRule="auto"/>
              <w:jc w:val="center"/>
              <w:rPr>
                <w:rFonts w:ascii="宋体" w:hAnsi="宋体"/>
                <w:color w:val="auto"/>
                <w:highlight w:val="none"/>
              </w:rPr>
            </w:pPr>
            <w:r>
              <w:rPr>
                <w:rFonts w:hint="eastAsia" w:ascii="宋体" w:hAnsi="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40D5CCAF">
            <w:pPr>
              <w:topLinePunct/>
              <w:spacing w:line="360" w:lineRule="auto"/>
              <w:jc w:val="center"/>
              <w:rPr>
                <w:rFonts w:ascii="宋体" w:hAnsi="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E1276FA">
            <w:pPr>
              <w:topLinePunct/>
              <w:spacing w:line="360" w:lineRule="auto"/>
              <w:jc w:val="center"/>
              <w:rPr>
                <w:rFonts w:ascii="宋体" w:hAnsi="宋体"/>
                <w:color w:val="auto"/>
                <w:highlight w:val="none"/>
              </w:rPr>
            </w:pPr>
            <w:r>
              <w:rPr>
                <w:rFonts w:hint="eastAsia" w:ascii="宋体" w:hAnsi="宋体"/>
                <w:color w:val="auto"/>
                <w:highlight w:val="none"/>
              </w:rPr>
              <w:t>电话</w:t>
            </w:r>
          </w:p>
        </w:tc>
        <w:tc>
          <w:tcPr>
            <w:tcW w:w="1230" w:type="dxa"/>
            <w:tcBorders>
              <w:top w:val="single" w:color="auto" w:sz="4" w:space="0"/>
              <w:left w:val="single" w:color="auto" w:sz="4" w:space="0"/>
              <w:bottom w:val="single" w:color="auto" w:sz="4" w:space="0"/>
            </w:tcBorders>
            <w:vAlign w:val="center"/>
          </w:tcPr>
          <w:p w14:paraId="651A6AD6">
            <w:pPr>
              <w:topLinePunct/>
              <w:spacing w:line="360" w:lineRule="auto"/>
              <w:jc w:val="center"/>
              <w:rPr>
                <w:rFonts w:ascii="宋体" w:hAnsi="宋体"/>
                <w:color w:val="auto"/>
                <w:highlight w:val="none"/>
              </w:rPr>
            </w:pPr>
          </w:p>
        </w:tc>
      </w:tr>
      <w:tr w14:paraId="52F445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51A52747">
            <w:pPr>
              <w:topLinePunct/>
              <w:spacing w:line="360" w:lineRule="auto"/>
              <w:jc w:val="center"/>
              <w:rPr>
                <w:rFonts w:ascii="宋体" w:hAnsi="宋体"/>
                <w:color w:val="auto"/>
                <w:highlight w:val="none"/>
              </w:rPr>
            </w:pPr>
            <w:r>
              <w:rPr>
                <w:rFonts w:hint="eastAsia" w:ascii="宋体" w:hAnsi="宋体"/>
                <w:color w:val="auto"/>
                <w:highlight w:val="none"/>
              </w:rPr>
              <w:t>企业资质证书</w:t>
            </w:r>
          </w:p>
        </w:tc>
        <w:tc>
          <w:tcPr>
            <w:tcW w:w="6840" w:type="dxa"/>
            <w:gridSpan w:val="8"/>
            <w:tcBorders>
              <w:top w:val="single" w:color="auto" w:sz="4" w:space="0"/>
              <w:left w:val="single" w:color="auto" w:sz="4" w:space="0"/>
              <w:bottom w:val="single" w:color="auto" w:sz="4" w:space="0"/>
            </w:tcBorders>
            <w:vAlign w:val="center"/>
          </w:tcPr>
          <w:p w14:paraId="632824C3">
            <w:pPr>
              <w:topLinePunct/>
              <w:spacing w:line="360" w:lineRule="auto"/>
              <w:ind w:firstLine="105" w:firstLineChars="50"/>
              <w:jc w:val="center"/>
              <w:rPr>
                <w:rFonts w:ascii="宋体" w:hAnsi="宋体"/>
                <w:color w:val="auto"/>
                <w:highlight w:val="none"/>
              </w:rPr>
            </w:pPr>
            <w:r>
              <w:rPr>
                <w:rFonts w:hint="eastAsia" w:ascii="宋体" w:hAnsi="宋体"/>
                <w:color w:val="auto"/>
                <w:highlight w:val="none"/>
              </w:rPr>
              <w:t>类型：等级：证书号：</w:t>
            </w:r>
          </w:p>
        </w:tc>
      </w:tr>
      <w:tr w14:paraId="1B03AC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77939F03">
            <w:pPr>
              <w:topLinePunct/>
              <w:spacing w:line="360" w:lineRule="auto"/>
              <w:jc w:val="center"/>
              <w:rPr>
                <w:rFonts w:ascii="宋体" w:hAnsi="宋体"/>
                <w:color w:val="auto"/>
                <w:highlight w:val="none"/>
              </w:rPr>
            </w:pPr>
            <w:r>
              <w:rPr>
                <w:rFonts w:hint="eastAsia" w:ascii="宋体" w:hAnsi="宋体"/>
                <w:color w:val="auto"/>
                <w:highlight w:val="none"/>
              </w:rPr>
              <w:t>质量管理体系证书（如有）</w:t>
            </w:r>
          </w:p>
        </w:tc>
        <w:tc>
          <w:tcPr>
            <w:tcW w:w="6840" w:type="dxa"/>
            <w:gridSpan w:val="8"/>
            <w:tcBorders>
              <w:top w:val="single" w:color="auto" w:sz="4" w:space="0"/>
              <w:left w:val="single" w:color="auto" w:sz="4" w:space="0"/>
              <w:bottom w:val="single" w:color="auto" w:sz="4" w:space="0"/>
            </w:tcBorders>
            <w:vAlign w:val="center"/>
          </w:tcPr>
          <w:p w14:paraId="1556CE76">
            <w:pPr>
              <w:topLinePunct/>
              <w:spacing w:line="360" w:lineRule="auto"/>
              <w:ind w:firstLine="105" w:firstLineChars="50"/>
              <w:jc w:val="center"/>
              <w:rPr>
                <w:rFonts w:ascii="宋体" w:hAnsi="宋体"/>
                <w:color w:val="auto"/>
                <w:highlight w:val="none"/>
              </w:rPr>
            </w:pPr>
            <w:r>
              <w:rPr>
                <w:rFonts w:hint="eastAsia" w:ascii="宋体" w:hAnsi="宋体"/>
                <w:color w:val="auto"/>
                <w:highlight w:val="none"/>
              </w:rPr>
              <w:t>类型：等级：证书号：</w:t>
            </w:r>
          </w:p>
        </w:tc>
      </w:tr>
      <w:tr w14:paraId="1F57D9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0338E8FA">
            <w:pPr>
              <w:topLinePunct/>
              <w:spacing w:line="360" w:lineRule="auto"/>
              <w:jc w:val="center"/>
              <w:rPr>
                <w:rFonts w:ascii="宋体" w:hAnsi="宋体"/>
                <w:color w:val="auto"/>
                <w:highlight w:val="none"/>
              </w:rPr>
            </w:pPr>
            <w:r>
              <w:rPr>
                <w:rFonts w:hint="eastAsia" w:ascii="宋体" w:hAnsi="宋体"/>
                <w:color w:val="auto"/>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7720045D">
            <w:pPr>
              <w:topLinePunct/>
              <w:spacing w:line="360" w:lineRule="auto"/>
              <w:jc w:val="center"/>
              <w:rPr>
                <w:rFonts w:ascii="宋体" w:hAnsi="宋体"/>
                <w:color w:val="auto"/>
                <w:highlight w:val="none"/>
              </w:rPr>
            </w:pPr>
          </w:p>
        </w:tc>
        <w:tc>
          <w:tcPr>
            <w:tcW w:w="3629" w:type="dxa"/>
            <w:gridSpan w:val="5"/>
            <w:tcBorders>
              <w:top w:val="single" w:color="auto" w:sz="4" w:space="0"/>
              <w:left w:val="single" w:color="auto" w:sz="4" w:space="0"/>
              <w:bottom w:val="single" w:color="auto" w:sz="4" w:space="0"/>
            </w:tcBorders>
            <w:vAlign w:val="center"/>
          </w:tcPr>
          <w:p w14:paraId="64EA9D79">
            <w:pPr>
              <w:topLinePunct/>
              <w:spacing w:line="360" w:lineRule="auto"/>
              <w:jc w:val="center"/>
              <w:rPr>
                <w:rFonts w:ascii="宋体" w:hAnsi="宋体"/>
                <w:color w:val="auto"/>
                <w:highlight w:val="none"/>
              </w:rPr>
            </w:pPr>
            <w:r>
              <w:rPr>
                <w:rFonts w:hint="eastAsia" w:ascii="宋体" w:hAnsi="宋体"/>
                <w:color w:val="auto"/>
                <w:highlight w:val="none"/>
              </w:rPr>
              <w:t>员工总人数：</w:t>
            </w:r>
          </w:p>
        </w:tc>
      </w:tr>
      <w:tr w14:paraId="71381E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4262BC39">
            <w:pPr>
              <w:topLinePunct/>
              <w:spacing w:line="360" w:lineRule="auto"/>
              <w:jc w:val="center"/>
              <w:rPr>
                <w:rFonts w:ascii="宋体" w:hAnsi="宋体"/>
                <w:color w:val="auto"/>
                <w:highlight w:val="none"/>
              </w:rPr>
            </w:pPr>
            <w:r>
              <w:rPr>
                <w:rFonts w:hint="eastAsia" w:ascii="宋体" w:hAnsi="宋体"/>
                <w:color w:val="auto"/>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44537B98">
            <w:pPr>
              <w:topLinePunct/>
              <w:spacing w:line="360" w:lineRule="auto"/>
              <w:jc w:val="center"/>
              <w:rPr>
                <w:rFonts w:ascii="宋体" w:hAnsi="宋体"/>
                <w:color w:val="auto"/>
                <w:highlight w:val="none"/>
              </w:rPr>
            </w:pPr>
          </w:p>
        </w:tc>
        <w:tc>
          <w:tcPr>
            <w:tcW w:w="414" w:type="dxa"/>
            <w:vMerge w:val="restart"/>
            <w:tcBorders>
              <w:top w:val="single" w:color="auto" w:sz="4" w:space="0"/>
              <w:left w:val="single" w:color="auto" w:sz="4" w:space="0"/>
              <w:right w:val="single" w:color="auto" w:sz="4" w:space="0"/>
            </w:tcBorders>
            <w:vAlign w:val="center"/>
          </w:tcPr>
          <w:p w14:paraId="11949FAF">
            <w:pPr>
              <w:topLinePunct/>
              <w:spacing w:line="360" w:lineRule="auto"/>
              <w:jc w:val="center"/>
              <w:rPr>
                <w:rFonts w:ascii="宋体" w:hAnsi="宋体"/>
                <w:color w:val="auto"/>
                <w:highlight w:val="none"/>
              </w:rPr>
            </w:pPr>
            <w:r>
              <w:rPr>
                <w:rFonts w:hint="eastAsia" w:ascii="宋体" w:hAnsi="宋体"/>
                <w:color w:val="auto"/>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68937CD6">
            <w:pPr>
              <w:topLinePunct/>
              <w:spacing w:line="360" w:lineRule="auto"/>
              <w:jc w:val="center"/>
              <w:rPr>
                <w:rFonts w:ascii="宋体" w:hAnsi="宋体"/>
                <w:color w:val="auto"/>
                <w:highlight w:val="none"/>
              </w:rPr>
            </w:pPr>
            <w:r>
              <w:rPr>
                <w:rFonts w:hint="eastAsia" w:ascii="宋体" w:hAnsi="宋体"/>
                <w:color w:val="auto"/>
                <w:highlight w:val="none"/>
              </w:rPr>
              <w:t>高级职称人员</w:t>
            </w:r>
          </w:p>
        </w:tc>
        <w:tc>
          <w:tcPr>
            <w:tcW w:w="1514" w:type="dxa"/>
            <w:gridSpan w:val="2"/>
            <w:tcBorders>
              <w:top w:val="single" w:color="auto" w:sz="4" w:space="0"/>
              <w:left w:val="single" w:color="auto" w:sz="4" w:space="0"/>
              <w:bottom w:val="single" w:color="auto" w:sz="4" w:space="0"/>
            </w:tcBorders>
            <w:vAlign w:val="center"/>
          </w:tcPr>
          <w:p w14:paraId="0EF964B2">
            <w:pPr>
              <w:topLinePunct/>
              <w:spacing w:line="360" w:lineRule="auto"/>
              <w:jc w:val="center"/>
              <w:rPr>
                <w:rFonts w:ascii="宋体" w:hAnsi="宋体"/>
                <w:color w:val="auto"/>
                <w:highlight w:val="none"/>
              </w:rPr>
            </w:pPr>
          </w:p>
        </w:tc>
      </w:tr>
      <w:tr w14:paraId="7D3E3A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3472D547">
            <w:pPr>
              <w:topLinePunct/>
              <w:spacing w:line="360" w:lineRule="auto"/>
              <w:jc w:val="center"/>
              <w:rPr>
                <w:rFonts w:ascii="宋体" w:hAnsi="宋体"/>
                <w:color w:val="auto"/>
                <w:highlight w:val="none"/>
              </w:rPr>
            </w:pPr>
            <w:r>
              <w:rPr>
                <w:rFonts w:hint="eastAsia" w:ascii="宋体" w:hAnsi="宋体"/>
                <w:color w:val="auto"/>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5C33900C">
            <w:pPr>
              <w:topLinePunct/>
              <w:spacing w:line="360" w:lineRule="auto"/>
              <w:jc w:val="center"/>
              <w:rPr>
                <w:rFonts w:ascii="宋体" w:hAnsi="宋体"/>
                <w:color w:val="auto"/>
                <w:highlight w:val="none"/>
              </w:rPr>
            </w:pPr>
          </w:p>
        </w:tc>
        <w:tc>
          <w:tcPr>
            <w:tcW w:w="414" w:type="dxa"/>
            <w:vMerge w:val="continue"/>
            <w:tcBorders>
              <w:left w:val="single" w:color="auto" w:sz="4" w:space="0"/>
              <w:right w:val="single" w:color="auto" w:sz="4" w:space="0"/>
            </w:tcBorders>
            <w:vAlign w:val="center"/>
          </w:tcPr>
          <w:p w14:paraId="3E3879DE">
            <w:pPr>
              <w:spacing w:line="360" w:lineRule="auto"/>
              <w:jc w:val="center"/>
              <w:rPr>
                <w:rFonts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7DF87F69">
            <w:pPr>
              <w:topLinePunct/>
              <w:spacing w:line="360" w:lineRule="auto"/>
              <w:jc w:val="center"/>
              <w:rPr>
                <w:rFonts w:ascii="宋体" w:hAnsi="宋体"/>
                <w:color w:val="auto"/>
                <w:highlight w:val="none"/>
              </w:rPr>
            </w:pPr>
            <w:r>
              <w:rPr>
                <w:rFonts w:hint="eastAsia" w:ascii="宋体" w:hAnsi="宋体"/>
                <w:color w:val="auto"/>
                <w:highlight w:val="none"/>
              </w:rPr>
              <w:t>中级职称人员</w:t>
            </w:r>
          </w:p>
        </w:tc>
        <w:tc>
          <w:tcPr>
            <w:tcW w:w="1514" w:type="dxa"/>
            <w:gridSpan w:val="2"/>
            <w:tcBorders>
              <w:top w:val="single" w:color="auto" w:sz="4" w:space="0"/>
              <w:left w:val="single" w:color="auto" w:sz="4" w:space="0"/>
              <w:bottom w:val="single" w:color="auto" w:sz="4" w:space="0"/>
            </w:tcBorders>
            <w:vAlign w:val="center"/>
          </w:tcPr>
          <w:p w14:paraId="0F59EF84">
            <w:pPr>
              <w:topLinePunct/>
              <w:spacing w:line="360" w:lineRule="auto"/>
              <w:jc w:val="center"/>
              <w:rPr>
                <w:rFonts w:ascii="宋体" w:hAnsi="宋体"/>
                <w:color w:val="auto"/>
                <w:highlight w:val="none"/>
              </w:rPr>
            </w:pPr>
          </w:p>
        </w:tc>
      </w:tr>
      <w:tr w14:paraId="1C7AB6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38E24B60">
            <w:pPr>
              <w:topLinePunct/>
              <w:spacing w:line="360" w:lineRule="auto"/>
              <w:jc w:val="center"/>
              <w:rPr>
                <w:rFonts w:ascii="宋体" w:hAnsi="宋体"/>
                <w:color w:val="auto"/>
                <w:highlight w:val="none"/>
              </w:rPr>
            </w:pPr>
            <w:r>
              <w:rPr>
                <w:rFonts w:hint="eastAsia" w:ascii="宋体" w:hAnsi="宋体"/>
                <w:color w:val="auto"/>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0B7E19D4">
            <w:pPr>
              <w:topLinePunct/>
              <w:spacing w:line="360" w:lineRule="auto"/>
              <w:jc w:val="center"/>
              <w:rPr>
                <w:rFonts w:ascii="宋体" w:hAnsi="宋体"/>
                <w:color w:val="auto"/>
                <w:highlight w:val="none"/>
              </w:rPr>
            </w:pPr>
          </w:p>
        </w:tc>
        <w:tc>
          <w:tcPr>
            <w:tcW w:w="414" w:type="dxa"/>
            <w:vMerge w:val="continue"/>
            <w:tcBorders>
              <w:left w:val="single" w:color="auto" w:sz="4" w:space="0"/>
              <w:right w:val="single" w:color="auto" w:sz="4" w:space="0"/>
            </w:tcBorders>
            <w:vAlign w:val="center"/>
          </w:tcPr>
          <w:p w14:paraId="6FB0721E">
            <w:pPr>
              <w:spacing w:line="360" w:lineRule="auto"/>
              <w:jc w:val="center"/>
              <w:rPr>
                <w:rFonts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0DCE3B1B">
            <w:pPr>
              <w:topLinePunct/>
              <w:spacing w:line="360" w:lineRule="auto"/>
              <w:jc w:val="center"/>
              <w:rPr>
                <w:rFonts w:ascii="宋体" w:hAnsi="宋体"/>
                <w:color w:val="auto"/>
                <w:highlight w:val="none"/>
              </w:rPr>
            </w:pPr>
            <w:r>
              <w:rPr>
                <w:rFonts w:hint="eastAsia" w:ascii="宋体" w:hAnsi="宋体"/>
                <w:color w:val="auto"/>
                <w:highlight w:val="none"/>
              </w:rPr>
              <w:t>技术人员数量</w:t>
            </w:r>
          </w:p>
        </w:tc>
        <w:tc>
          <w:tcPr>
            <w:tcW w:w="1514" w:type="dxa"/>
            <w:gridSpan w:val="2"/>
            <w:tcBorders>
              <w:top w:val="single" w:color="auto" w:sz="4" w:space="0"/>
              <w:left w:val="single" w:color="auto" w:sz="4" w:space="0"/>
              <w:bottom w:val="single" w:color="auto" w:sz="4" w:space="0"/>
            </w:tcBorders>
            <w:vAlign w:val="center"/>
          </w:tcPr>
          <w:p w14:paraId="5DFC5CAB">
            <w:pPr>
              <w:topLinePunct/>
              <w:spacing w:line="360" w:lineRule="auto"/>
              <w:jc w:val="center"/>
              <w:rPr>
                <w:rFonts w:ascii="宋体" w:hAnsi="宋体"/>
                <w:color w:val="auto"/>
                <w:highlight w:val="none"/>
              </w:rPr>
            </w:pPr>
          </w:p>
        </w:tc>
      </w:tr>
      <w:tr w14:paraId="41B1B8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53E18110">
            <w:pPr>
              <w:topLinePunct/>
              <w:spacing w:line="360" w:lineRule="auto"/>
              <w:jc w:val="center"/>
              <w:rPr>
                <w:rFonts w:ascii="宋体" w:hAnsi="宋体"/>
                <w:color w:val="auto"/>
                <w:highlight w:val="none"/>
              </w:rPr>
            </w:pPr>
            <w:r>
              <w:rPr>
                <w:rFonts w:hint="eastAsia" w:ascii="宋体" w:hAnsi="宋体"/>
                <w:color w:val="auto"/>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099C5886">
            <w:pPr>
              <w:topLinePunct/>
              <w:spacing w:line="360" w:lineRule="auto"/>
              <w:jc w:val="center"/>
              <w:rPr>
                <w:rFonts w:ascii="宋体" w:hAnsi="宋体"/>
                <w:color w:val="auto"/>
                <w:highlight w:val="none"/>
              </w:rPr>
            </w:pPr>
          </w:p>
        </w:tc>
        <w:tc>
          <w:tcPr>
            <w:tcW w:w="414" w:type="dxa"/>
            <w:vMerge w:val="continue"/>
            <w:tcBorders>
              <w:left w:val="single" w:color="auto" w:sz="4" w:space="0"/>
              <w:right w:val="single" w:color="auto" w:sz="4" w:space="0"/>
            </w:tcBorders>
            <w:vAlign w:val="center"/>
          </w:tcPr>
          <w:p w14:paraId="58386329">
            <w:pPr>
              <w:spacing w:line="360" w:lineRule="auto"/>
              <w:jc w:val="center"/>
              <w:rPr>
                <w:rFonts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3AD636AA">
            <w:pPr>
              <w:topLinePunct/>
              <w:spacing w:line="360" w:lineRule="auto"/>
              <w:jc w:val="center"/>
              <w:rPr>
                <w:rFonts w:ascii="宋体" w:hAnsi="宋体"/>
                <w:color w:val="auto"/>
                <w:highlight w:val="none"/>
              </w:rPr>
            </w:pPr>
            <w:r>
              <w:rPr>
                <w:rFonts w:hint="eastAsia" w:ascii="宋体" w:hAnsi="宋体"/>
                <w:color w:val="auto"/>
                <w:szCs w:val="21"/>
                <w:highlight w:val="none"/>
              </w:rPr>
              <w:t>各类注册人员</w:t>
            </w:r>
          </w:p>
        </w:tc>
        <w:tc>
          <w:tcPr>
            <w:tcW w:w="1514" w:type="dxa"/>
            <w:gridSpan w:val="2"/>
            <w:tcBorders>
              <w:top w:val="single" w:color="auto" w:sz="4" w:space="0"/>
              <w:left w:val="single" w:color="auto" w:sz="4" w:space="0"/>
              <w:bottom w:val="single" w:color="auto" w:sz="4" w:space="0"/>
            </w:tcBorders>
            <w:vAlign w:val="center"/>
          </w:tcPr>
          <w:p w14:paraId="75A3B43E">
            <w:pPr>
              <w:topLinePunct/>
              <w:spacing w:line="360" w:lineRule="auto"/>
              <w:jc w:val="center"/>
              <w:rPr>
                <w:rFonts w:ascii="宋体" w:hAnsi="宋体"/>
                <w:color w:val="auto"/>
                <w:highlight w:val="none"/>
              </w:rPr>
            </w:pPr>
          </w:p>
        </w:tc>
      </w:tr>
      <w:tr w14:paraId="7E830B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right w:val="single" w:color="auto" w:sz="4" w:space="0"/>
            </w:tcBorders>
            <w:vAlign w:val="center"/>
          </w:tcPr>
          <w:p w14:paraId="06076D29">
            <w:pPr>
              <w:topLinePunct/>
              <w:spacing w:line="360" w:lineRule="auto"/>
              <w:ind w:firstLine="210" w:firstLineChars="100"/>
              <w:jc w:val="center"/>
              <w:rPr>
                <w:rFonts w:ascii="宋体" w:hAnsi="宋体"/>
                <w:color w:val="auto"/>
                <w:highlight w:val="none"/>
              </w:rPr>
            </w:pPr>
            <w:r>
              <w:rPr>
                <w:rFonts w:hint="eastAsia" w:ascii="宋体" w:hAnsi="宋体"/>
                <w:color w:val="auto"/>
                <w:highlight w:val="none"/>
              </w:rPr>
              <w:t>经营范围</w:t>
            </w:r>
          </w:p>
        </w:tc>
        <w:tc>
          <w:tcPr>
            <w:tcW w:w="6840" w:type="dxa"/>
            <w:gridSpan w:val="8"/>
            <w:tcBorders>
              <w:top w:val="single" w:color="auto" w:sz="4" w:space="0"/>
              <w:left w:val="single" w:color="auto" w:sz="4" w:space="0"/>
            </w:tcBorders>
            <w:vAlign w:val="center"/>
          </w:tcPr>
          <w:p w14:paraId="413E27C2">
            <w:pPr>
              <w:topLinePunct/>
              <w:spacing w:line="360" w:lineRule="auto"/>
              <w:jc w:val="center"/>
              <w:rPr>
                <w:rFonts w:ascii="宋体" w:hAnsi="宋体"/>
                <w:color w:val="auto"/>
                <w:highlight w:val="none"/>
              </w:rPr>
            </w:pPr>
          </w:p>
        </w:tc>
      </w:tr>
      <w:tr w14:paraId="5D2CB0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right w:val="single" w:color="auto" w:sz="4" w:space="0"/>
            </w:tcBorders>
            <w:vAlign w:val="center"/>
          </w:tcPr>
          <w:p w14:paraId="46CE9AAB">
            <w:pPr>
              <w:topLinePunct/>
              <w:spacing w:line="360" w:lineRule="auto"/>
              <w:jc w:val="center"/>
              <w:rPr>
                <w:rFonts w:ascii="宋体" w:hAnsi="宋体"/>
                <w:color w:val="auto"/>
                <w:highlight w:val="none"/>
              </w:rPr>
            </w:pPr>
            <w:r>
              <w:rPr>
                <w:rFonts w:hint="eastAsia" w:ascii="宋体" w:hAnsi="宋体"/>
                <w:color w:val="auto"/>
                <w:szCs w:val="21"/>
                <w:highlight w:val="none"/>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tcBorders>
            <w:vAlign w:val="center"/>
          </w:tcPr>
          <w:p w14:paraId="219003AF">
            <w:pPr>
              <w:topLinePunct/>
              <w:spacing w:line="360" w:lineRule="auto"/>
              <w:jc w:val="center"/>
              <w:rPr>
                <w:rFonts w:ascii="宋体" w:hAnsi="宋体"/>
                <w:color w:val="auto"/>
                <w:highlight w:val="none"/>
              </w:rPr>
            </w:pPr>
          </w:p>
        </w:tc>
      </w:tr>
      <w:tr w14:paraId="67E3D1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bottom w:val="single" w:color="auto" w:sz="4" w:space="0"/>
              <w:right w:val="single" w:color="auto" w:sz="4" w:space="0"/>
            </w:tcBorders>
            <w:vAlign w:val="center"/>
          </w:tcPr>
          <w:p w14:paraId="2277893B">
            <w:pPr>
              <w:topLinePunct/>
              <w:spacing w:line="360" w:lineRule="auto"/>
              <w:jc w:val="center"/>
              <w:rPr>
                <w:rFonts w:ascii="宋体" w:hAnsi="宋体"/>
                <w:color w:val="auto"/>
                <w:highlight w:val="none"/>
              </w:rPr>
            </w:pPr>
            <w:r>
              <w:rPr>
                <w:rFonts w:hint="eastAsia" w:ascii="宋体" w:hAnsi="宋体"/>
                <w:color w:val="auto"/>
                <w:highlight w:val="none"/>
              </w:rPr>
              <w:t>备注</w:t>
            </w:r>
          </w:p>
        </w:tc>
        <w:tc>
          <w:tcPr>
            <w:tcW w:w="6840" w:type="dxa"/>
            <w:gridSpan w:val="8"/>
            <w:tcBorders>
              <w:top w:val="single" w:color="auto" w:sz="4" w:space="0"/>
              <w:left w:val="single" w:color="auto" w:sz="4" w:space="0"/>
              <w:bottom w:val="single" w:color="auto" w:sz="4" w:space="0"/>
            </w:tcBorders>
            <w:vAlign w:val="center"/>
          </w:tcPr>
          <w:p w14:paraId="3E35320E">
            <w:pPr>
              <w:topLinePunct/>
              <w:spacing w:line="360" w:lineRule="auto"/>
              <w:jc w:val="center"/>
              <w:rPr>
                <w:rFonts w:ascii="宋体" w:hAnsi="宋体"/>
                <w:color w:val="auto"/>
                <w:highlight w:val="none"/>
              </w:rPr>
            </w:pPr>
          </w:p>
        </w:tc>
      </w:tr>
    </w:tbl>
    <w:p w14:paraId="1B80929C">
      <w:pPr>
        <w:snapToGrid w:val="0"/>
        <w:spacing w:line="360" w:lineRule="auto"/>
        <w:rPr>
          <w:rFonts w:ascii="宋体" w:hAnsi="宋体"/>
          <w:color w:val="auto"/>
          <w:spacing w:val="-5"/>
          <w:szCs w:val="21"/>
          <w:highlight w:val="none"/>
        </w:rPr>
      </w:pPr>
      <w:r>
        <w:rPr>
          <w:rFonts w:hint="eastAsia" w:ascii="宋体" w:hAnsi="宋体"/>
          <w:color w:val="auto"/>
          <w:spacing w:val="-5"/>
          <w:szCs w:val="21"/>
          <w:highlight w:val="none"/>
        </w:rPr>
        <w:t>注：投标人应附投标人事业单位登记管理部门核发的事业单位法人证书或工商行政管理部门核发的企业法人营业执照、投标人资质证书、广州市住房和城乡建设局建立信用档案网页截图等材料的扫描件</w:t>
      </w:r>
    </w:p>
    <w:p w14:paraId="4A89269E">
      <w:pPr>
        <w:widowControl/>
        <w:spacing w:line="360" w:lineRule="auto"/>
        <w:jc w:val="center"/>
        <w:rPr>
          <w:rFonts w:ascii="宋体" w:hAnsi="宋体" w:cs="宋体"/>
          <w:b/>
          <w:bCs/>
          <w:color w:val="auto"/>
          <w:sz w:val="32"/>
          <w:szCs w:val="32"/>
          <w:highlight w:val="none"/>
        </w:rPr>
      </w:pPr>
      <w:r>
        <w:rPr>
          <w:rFonts w:ascii="宋体" w:hAnsi="宋体" w:cs="宋体"/>
          <w:b/>
          <w:bCs/>
          <w:color w:val="auto"/>
          <w:sz w:val="32"/>
          <w:szCs w:val="32"/>
          <w:highlight w:val="none"/>
        </w:rPr>
        <w:br w:type="page"/>
      </w:r>
      <w:r>
        <w:rPr>
          <w:rFonts w:hint="eastAsia" w:ascii="宋体" w:hAnsi="宋体" w:cs="宋体"/>
          <w:b/>
          <w:bCs/>
          <w:color w:val="auto"/>
          <w:kern w:val="0"/>
          <w:sz w:val="28"/>
          <w:szCs w:val="28"/>
          <w:highlight w:val="none"/>
        </w:rPr>
        <w:t>（二）投标人声明</w:t>
      </w:r>
    </w:p>
    <w:p w14:paraId="2A66F1E2">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（按照本项目招标公告附件）</w:t>
      </w:r>
    </w:p>
    <w:p w14:paraId="5D50E420">
      <w:pPr>
        <w:spacing w:line="360" w:lineRule="auto"/>
        <w:jc w:val="center"/>
        <w:rPr>
          <w:rFonts w:ascii="宋体" w:hAnsi="宋体" w:cs="宋体"/>
          <w:color w:val="auto"/>
          <w:sz w:val="28"/>
          <w:szCs w:val="28"/>
          <w:highlight w:val="none"/>
        </w:rPr>
      </w:pPr>
    </w:p>
    <w:p w14:paraId="69D091FA">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（三）投标承诺函</w:t>
      </w:r>
    </w:p>
    <w:p w14:paraId="412FB212">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（按照本项目招标公告附件）</w:t>
      </w:r>
    </w:p>
    <w:p w14:paraId="31FC8618">
      <w:pPr>
        <w:keepNext/>
        <w:keepLines/>
        <w:spacing w:line="360" w:lineRule="auto"/>
        <w:jc w:val="center"/>
        <w:outlineLvl w:val="1"/>
        <w:rPr>
          <w:rFonts w:ascii="宋体" w:hAnsi="宋体" w:cs="宋体"/>
          <w:color w:val="auto"/>
          <w:sz w:val="28"/>
          <w:szCs w:val="28"/>
          <w:highlight w:val="none"/>
        </w:rPr>
      </w:pPr>
    </w:p>
    <w:p w14:paraId="45942D3E">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（四）其他符合第二章“投标人须知”第1.4.1项规定的资料</w:t>
      </w:r>
    </w:p>
    <w:p w14:paraId="45CACED8">
      <w:pPr>
        <w:keepNext/>
        <w:keepLines/>
        <w:spacing w:line="360" w:lineRule="auto"/>
        <w:jc w:val="center"/>
        <w:outlineLvl w:val="1"/>
        <w:rPr>
          <w:rFonts w:hint="eastAsia" w:ascii="宋体" w:hAnsi="宋体" w:cs="宋体"/>
          <w:b/>
          <w:bCs/>
          <w:color w:val="auto"/>
          <w:sz w:val="32"/>
          <w:szCs w:val="32"/>
          <w:highlight w:val="none"/>
        </w:rPr>
      </w:pPr>
      <w:r>
        <w:rPr>
          <w:rFonts w:ascii="宋体" w:hAnsi="宋体" w:cs="宋体"/>
          <w:color w:val="auto"/>
          <w:sz w:val="28"/>
          <w:szCs w:val="28"/>
          <w:highlight w:val="none"/>
        </w:rPr>
        <w:br w:type="page"/>
      </w:r>
      <w:bookmarkStart w:id="212" w:name="_Toc7456"/>
      <w:r>
        <w:rPr>
          <w:rFonts w:hint="eastAsia" w:ascii="宋体" w:hAnsi="宋体" w:cs="宋体"/>
          <w:b/>
          <w:bCs/>
          <w:color w:val="auto"/>
          <w:sz w:val="32"/>
          <w:szCs w:val="32"/>
          <w:highlight w:val="none"/>
        </w:rPr>
        <w:t>六、</w:t>
      </w:r>
      <w:bookmarkEnd w:id="212"/>
      <w:r>
        <w:rPr>
          <w:rFonts w:hint="eastAsia" w:ascii="宋体" w:hAnsi="宋体" w:cs="宋体"/>
          <w:b/>
          <w:bCs/>
          <w:color w:val="auto"/>
          <w:sz w:val="32"/>
          <w:szCs w:val="32"/>
          <w:highlight w:val="none"/>
        </w:rPr>
        <w:t>近年完成的类似监测项目情况表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725CF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5BDFFE93">
            <w:pPr>
              <w:topLinePunct/>
              <w:spacing w:line="440" w:lineRule="exact"/>
              <w:jc w:val="center"/>
              <w:rPr>
                <w:color w:val="auto"/>
              </w:rPr>
            </w:pPr>
            <w:r>
              <w:rPr>
                <w:color w:val="auto"/>
              </w:rPr>
              <w:t>项目名称</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66535206">
            <w:pPr>
              <w:topLinePunct/>
              <w:spacing w:line="440" w:lineRule="exact"/>
              <w:rPr>
                <w:color w:val="auto"/>
              </w:rPr>
            </w:pPr>
          </w:p>
        </w:tc>
      </w:tr>
      <w:tr w14:paraId="72444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3D21DCE1">
            <w:pPr>
              <w:topLinePunct/>
              <w:spacing w:line="440" w:lineRule="exact"/>
              <w:jc w:val="center"/>
              <w:rPr>
                <w:color w:val="auto"/>
              </w:rPr>
            </w:pPr>
            <w:r>
              <w:rPr>
                <w:color w:val="auto"/>
              </w:rPr>
              <w:t>项目所在地</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70DEB110">
            <w:pPr>
              <w:topLinePunct/>
              <w:spacing w:line="440" w:lineRule="exact"/>
              <w:rPr>
                <w:color w:val="auto"/>
              </w:rPr>
            </w:pPr>
          </w:p>
        </w:tc>
      </w:tr>
      <w:tr w14:paraId="0DE54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0825C9D7">
            <w:pPr>
              <w:topLinePunct/>
              <w:spacing w:line="440" w:lineRule="exact"/>
              <w:jc w:val="center"/>
              <w:rPr>
                <w:color w:val="auto"/>
              </w:rPr>
            </w:pPr>
            <w:r>
              <w:rPr>
                <w:color w:val="auto"/>
              </w:rPr>
              <w:t>委托人名称</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62533477">
            <w:pPr>
              <w:topLinePunct/>
              <w:spacing w:line="440" w:lineRule="exact"/>
              <w:rPr>
                <w:color w:val="auto"/>
              </w:rPr>
            </w:pPr>
          </w:p>
        </w:tc>
      </w:tr>
      <w:tr w14:paraId="34E9B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06D632CA">
            <w:pPr>
              <w:topLinePunct/>
              <w:spacing w:line="440" w:lineRule="exact"/>
              <w:jc w:val="center"/>
              <w:rPr>
                <w:color w:val="auto"/>
              </w:rPr>
            </w:pPr>
            <w:r>
              <w:rPr>
                <w:color w:val="auto"/>
              </w:rPr>
              <w:t>委托人地址</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3922B70E">
            <w:pPr>
              <w:topLinePunct/>
              <w:spacing w:line="440" w:lineRule="exact"/>
              <w:rPr>
                <w:color w:val="auto"/>
              </w:rPr>
            </w:pPr>
          </w:p>
        </w:tc>
      </w:tr>
      <w:tr w14:paraId="60466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4EF62D9E">
            <w:pPr>
              <w:topLinePunct/>
              <w:spacing w:line="440" w:lineRule="exact"/>
              <w:jc w:val="center"/>
              <w:rPr>
                <w:color w:val="auto"/>
              </w:rPr>
            </w:pPr>
            <w:r>
              <w:rPr>
                <w:color w:val="auto"/>
              </w:rPr>
              <w:t>委托人电话</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71ADD664">
            <w:pPr>
              <w:topLinePunct/>
              <w:spacing w:line="440" w:lineRule="exact"/>
              <w:rPr>
                <w:color w:val="auto"/>
              </w:rPr>
            </w:pPr>
          </w:p>
        </w:tc>
      </w:tr>
      <w:tr w14:paraId="19B30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6B54F127">
            <w:pPr>
              <w:topLinePunct/>
              <w:spacing w:line="440" w:lineRule="exact"/>
              <w:jc w:val="center"/>
              <w:rPr>
                <w:color w:val="auto"/>
              </w:rPr>
            </w:pPr>
            <w:r>
              <w:rPr>
                <w:color w:val="auto"/>
              </w:rPr>
              <w:t>合同价格</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736947B1">
            <w:pPr>
              <w:topLinePunct/>
              <w:spacing w:line="440" w:lineRule="exact"/>
              <w:rPr>
                <w:color w:val="auto"/>
              </w:rPr>
            </w:pPr>
          </w:p>
        </w:tc>
      </w:tr>
      <w:tr w14:paraId="405F6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7AFE81ED">
            <w:pPr>
              <w:topLinePunct/>
              <w:spacing w:line="440" w:lineRule="exact"/>
              <w:jc w:val="center"/>
              <w:rPr>
                <w:color w:val="auto"/>
              </w:rPr>
            </w:pPr>
            <w:r>
              <w:rPr>
                <w:color w:val="auto"/>
              </w:rPr>
              <w:t>服务期限</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57BA7D97">
            <w:pPr>
              <w:topLinePunct/>
              <w:spacing w:line="440" w:lineRule="exact"/>
              <w:rPr>
                <w:color w:val="auto"/>
              </w:rPr>
            </w:pPr>
          </w:p>
        </w:tc>
      </w:tr>
      <w:tr w14:paraId="0F7E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3EB1A2E3">
            <w:pPr>
              <w:topLinePunct/>
              <w:spacing w:line="440" w:lineRule="exact"/>
              <w:jc w:val="center"/>
              <w:rPr>
                <w:color w:val="auto"/>
              </w:rPr>
            </w:pPr>
            <w:r>
              <w:rPr>
                <w:rFonts w:hint="eastAsia" w:eastAsia="宋体"/>
                <w:color w:val="auto"/>
              </w:rPr>
              <w:t>监测</w:t>
            </w:r>
            <w:r>
              <w:rPr>
                <w:color w:val="auto"/>
              </w:rPr>
              <w:t>内容</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10247CD8">
            <w:pPr>
              <w:topLinePunct/>
              <w:spacing w:line="440" w:lineRule="exact"/>
              <w:rPr>
                <w:color w:val="auto"/>
              </w:rPr>
            </w:pPr>
          </w:p>
        </w:tc>
      </w:tr>
      <w:tr w14:paraId="5A3C4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68031C5E">
            <w:pPr>
              <w:topLinePunct/>
              <w:spacing w:line="440" w:lineRule="exact"/>
              <w:jc w:val="center"/>
              <w:rPr>
                <w:rFonts w:hint="eastAsia" w:eastAsia="宋体"/>
                <w:color w:val="auto"/>
              </w:rPr>
            </w:pPr>
            <w:r>
              <w:rPr>
                <w:rFonts w:hint="eastAsia" w:eastAsia="宋体"/>
                <w:color w:val="auto"/>
              </w:rPr>
              <w:t>项目负责人</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1ECB25EC">
            <w:pPr>
              <w:topLinePunct/>
              <w:spacing w:line="440" w:lineRule="exact"/>
              <w:rPr>
                <w:color w:val="auto"/>
              </w:rPr>
            </w:pPr>
          </w:p>
        </w:tc>
      </w:tr>
      <w:tr w14:paraId="3FCAD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003B3636">
            <w:pPr>
              <w:topLinePunct/>
              <w:spacing w:line="440" w:lineRule="exact"/>
              <w:jc w:val="center"/>
              <w:rPr>
                <w:color w:val="auto"/>
              </w:rPr>
            </w:pPr>
            <w:r>
              <w:rPr>
                <w:color w:val="auto"/>
              </w:rPr>
              <w:t>项目描述</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6C5609DF">
            <w:pPr>
              <w:topLinePunct/>
              <w:spacing w:line="440" w:lineRule="exact"/>
              <w:rPr>
                <w:color w:val="auto"/>
              </w:rPr>
            </w:pPr>
          </w:p>
          <w:p w14:paraId="022EB3D3">
            <w:pPr>
              <w:topLinePunct/>
              <w:spacing w:line="440" w:lineRule="exact"/>
              <w:rPr>
                <w:color w:val="auto"/>
              </w:rPr>
            </w:pPr>
          </w:p>
          <w:p w14:paraId="126BEBA3">
            <w:pPr>
              <w:topLinePunct/>
              <w:spacing w:line="440" w:lineRule="exact"/>
              <w:rPr>
                <w:color w:val="auto"/>
              </w:rPr>
            </w:pPr>
          </w:p>
          <w:p w14:paraId="47A3249B">
            <w:pPr>
              <w:topLinePunct/>
              <w:spacing w:line="440" w:lineRule="exact"/>
              <w:rPr>
                <w:color w:val="auto"/>
              </w:rPr>
            </w:pPr>
          </w:p>
          <w:p w14:paraId="47CE0339">
            <w:pPr>
              <w:topLinePunct/>
              <w:spacing w:line="440" w:lineRule="exact"/>
              <w:rPr>
                <w:color w:val="auto"/>
              </w:rPr>
            </w:pPr>
          </w:p>
          <w:p w14:paraId="1FE26A72">
            <w:pPr>
              <w:topLinePunct/>
              <w:spacing w:line="440" w:lineRule="exact"/>
              <w:rPr>
                <w:color w:val="auto"/>
              </w:rPr>
            </w:pPr>
          </w:p>
          <w:p w14:paraId="3A3C57E4">
            <w:pPr>
              <w:topLinePunct/>
              <w:spacing w:line="440" w:lineRule="exact"/>
              <w:rPr>
                <w:color w:val="auto"/>
              </w:rPr>
            </w:pPr>
          </w:p>
        </w:tc>
      </w:tr>
      <w:tr w14:paraId="006E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5D80C9D2">
            <w:pPr>
              <w:topLinePunct/>
              <w:spacing w:line="440" w:lineRule="exact"/>
              <w:jc w:val="center"/>
              <w:rPr>
                <w:color w:val="auto"/>
              </w:rPr>
            </w:pPr>
            <w:r>
              <w:rPr>
                <w:color w:val="auto"/>
              </w:rPr>
              <w:t>备注</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552A326D">
            <w:pPr>
              <w:topLinePunct/>
              <w:spacing w:line="440" w:lineRule="exact"/>
              <w:rPr>
                <w:color w:val="auto"/>
              </w:rPr>
            </w:pPr>
          </w:p>
        </w:tc>
      </w:tr>
    </w:tbl>
    <w:p w14:paraId="1B3F1D9B">
      <w:pPr>
        <w:spacing w:line="360" w:lineRule="auto"/>
        <w:jc w:val="center"/>
        <w:rPr>
          <w:rFonts w:ascii="宋体" w:hAnsi="宋体" w:cs="宋体"/>
          <w:color w:val="auto"/>
          <w:sz w:val="28"/>
          <w:szCs w:val="28"/>
          <w:highlight w:val="none"/>
        </w:rPr>
      </w:pPr>
    </w:p>
    <w:p w14:paraId="2EAA4E68">
      <w:pPr>
        <w:pStyle w:val="5"/>
        <w:keepNext w:val="0"/>
        <w:keepLines w:val="0"/>
        <w:ind w:firstLine="137"/>
        <w:jc w:val="center"/>
        <w:rPr>
          <w:rFonts w:hint="eastAsia" w:ascii="宋体" w:hAnsi="宋体" w:cs="宋体"/>
          <w:b w:val="0"/>
          <w:bCs w:val="0"/>
          <w:color w:val="auto"/>
          <w:highlight w:val="none"/>
        </w:rPr>
      </w:pPr>
      <w:r>
        <w:rPr>
          <w:rFonts w:hint="eastAsia" w:ascii="宋体" w:hAnsi="宋体" w:cs="宋体"/>
          <w:b w:val="0"/>
          <w:bCs w:val="0"/>
          <w:color w:val="auto"/>
          <w:highlight w:val="none"/>
        </w:rPr>
        <w:br w:type="page"/>
      </w:r>
      <w:bookmarkStart w:id="213" w:name="_Toc22808"/>
      <w:r>
        <w:rPr>
          <w:rFonts w:hint="eastAsia" w:ascii="宋体" w:hAnsi="宋体" w:eastAsia="宋体" w:cs="宋体"/>
          <w:b/>
          <w:bCs/>
          <w:color w:val="auto"/>
          <w:kern w:val="2"/>
          <w:sz w:val="32"/>
          <w:szCs w:val="32"/>
          <w:highlight w:val="none"/>
          <w:lang w:val="en-US" w:eastAsia="zh-CN" w:bidi="ar-SA"/>
        </w:rPr>
        <w:t>七、</w:t>
      </w:r>
      <w:bookmarkEnd w:id="213"/>
      <w:r>
        <w:rPr>
          <w:rFonts w:hint="eastAsia" w:ascii="宋体" w:hAnsi="宋体" w:eastAsia="宋体" w:cs="宋体"/>
          <w:b/>
          <w:bCs/>
          <w:color w:val="auto"/>
          <w:kern w:val="2"/>
          <w:sz w:val="32"/>
          <w:szCs w:val="32"/>
          <w:highlight w:val="none"/>
          <w:lang w:val="en-US" w:eastAsia="zh-CN" w:bidi="ar-SA"/>
        </w:rPr>
        <w:t>拟委任的主要监测人员汇总表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1276"/>
        <w:gridCol w:w="1205"/>
        <w:gridCol w:w="1654"/>
        <w:gridCol w:w="2670"/>
      </w:tblGrid>
      <w:tr w14:paraId="454A1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818" w:type="dxa"/>
            <w:noWrap w:val="0"/>
            <w:vAlign w:val="center"/>
          </w:tcPr>
          <w:p w14:paraId="6BF26DFD">
            <w:pPr>
              <w:spacing w:line="440" w:lineRule="exact"/>
              <w:jc w:val="center"/>
              <w:rPr>
                <w:color w:val="auto"/>
              </w:rPr>
            </w:pPr>
            <w:r>
              <w:rPr>
                <w:color w:val="auto"/>
              </w:rPr>
              <w:t>序号</w:t>
            </w:r>
          </w:p>
        </w:tc>
        <w:tc>
          <w:tcPr>
            <w:tcW w:w="1276" w:type="dxa"/>
            <w:noWrap w:val="0"/>
            <w:vAlign w:val="center"/>
          </w:tcPr>
          <w:p w14:paraId="3AFBC415">
            <w:pPr>
              <w:spacing w:line="440" w:lineRule="exact"/>
              <w:jc w:val="center"/>
              <w:rPr>
                <w:color w:val="auto"/>
              </w:rPr>
            </w:pPr>
            <w:r>
              <w:rPr>
                <w:color w:val="auto"/>
              </w:rPr>
              <w:t>姓名</w:t>
            </w:r>
          </w:p>
        </w:tc>
        <w:tc>
          <w:tcPr>
            <w:tcW w:w="1205" w:type="dxa"/>
            <w:noWrap w:val="0"/>
            <w:vAlign w:val="center"/>
          </w:tcPr>
          <w:p w14:paraId="2BFB2827">
            <w:pPr>
              <w:spacing w:line="440" w:lineRule="exact"/>
              <w:jc w:val="center"/>
              <w:rPr>
                <w:color w:val="auto"/>
              </w:rPr>
            </w:pPr>
            <w:r>
              <w:rPr>
                <w:rFonts w:hint="eastAsia"/>
                <w:color w:val="auto"/>
              </w:rPr>
              <w:t>岗位</w:t>
            </w:r>
          </w:p>
        </w:tc>
        <w:tc>
          <w:tcPr>
            <w:tcW w:w="1654" w:type="dxa"/>
            <w:noWrap w:val="0"/>
            <w:vAlign w:val="center"/>
          </w:tcPr>
          <w:p w14:paraId="4CE5F93A">
            <w:pPr>
              <w:spacing w:line="440" w:lineRule="exact"/>
              <w:jc w:val="center"/>
              <w:rPr>
                <w:color w:val="auto"/>
              </w:rPr>
            </w:pPr>
            <w:r>
              <w:rPr>
                <w:rFonts w:hint="eastAsia"/>
                <w:color w:val="auto"/>
              </w:rPr>
              <w:t>职称</w:t>
            </w:r>
          </w:p>
        </w:tc>
        <w:tc>
          <w:tcPr>
            <w:tcW w:w="2670" w:type="dxa"/>
            <w:noWrap w:val="0"/>
            <w:vAlign w:val="center"/>
          </w:tcPr>
          <w:p w14:paraId="75DE26AF">
            <w:pPr>
              <w:spacing w:line="440" w:lineRule="exact"/>
              <w:jc w:val="center"/>
              <w:rPr>
                <w:color w:val="auto"/>
              </w:rPr>
            </w:pPr>
            <w:r>
              <w:rPr>
                <w:rFonts w:hint="eastAsia"/>
                <w:color w:val="auto"/>
              </w:rPr>
              <w:t>职称证书或资格证书编号</w:t>
            </w:r>
          </w:p>
        </w:tc>
      </w:tr>
      <w:tr w14:paraId="7B33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0"/>
            <w:vAlign w:val="center"/>
          </w:tcPr>
          <w:p w14:paraId="68C0577F">
            <w:pPr>
              <w:spacing w:line="440" w:lineRule="exact"/>
              <w:jc w:val="center"/>
              <w:rPr>
                <w:color w:val="auto"/>
              </w:rPr>
            </w:pPr>
            <w:r>
              <w:rPr>
                <w:rFonts w:hint="eastAsia"/>
                <w:color w:val="auto"/>
              </w:rPr>
              <w:t>1</w:t>
            </w:r>
          </w:p>
        </w:tc>
        <w:tc>
          <w:tcPr>
            <w:tcW w:w="1276" w:type="dxa"/>
            <w:noWrap w:val="0"/>
            <w:vAlign w:val="center"/>
          </w:tcPr>
          <w:p w14:paraId="39ACA3FE">
            <w:pPr>
              <w:spacing w:line="440" w:lineRule="exact"/>
              <w:jc w:val="center"/>
              <w:rPr>
                <w:color w:val="auto"/>
              </w:rPr>
            </w:pPr>
          </w:p>
        </w:tc>
        <w:tc>
          <w:tcPr>
            <w:tcW w:w="1205" w:type="dxa"/>
            <w:noWrap w:val="0"/>
            <w:vAlign w:val="center"/>
          </w:tcPr>
          <w:p w14:paraId="46FCD188">
            <w:pPr>
              <w:spacing w:line="440" w:lineRule="exact"/>
              <w:jc w:val="center"/>
              <w:rPr>
                <w:color w:val="auto"/>
              </w:rPr>
            </w:pPr>
          </w:p>
        </w:tc>
        <w:tc>
          <w:tcPr>
            <w:tcW w:w="1654" w:type="dxa"/>
            <w:noWrap w:val="0"/>
            <w:vAlign w:val="center"/>
          </w:tcPr>
          <w:p w14:paraId="53325EEA">
            <w:pPr>
              <w:spacing w:line="440" w:lineRule="exact"/>
              <w:jc w:val="center"/>
              <w:rPr>
                <w:color w:val="auto"/>
              </w:rPr>
            </w:pPr>
          </w:p>
        </w:tc>
        <w:tc>
          <w:tcPr>
            <w:tcW w:w="2670" w:type="dxa"/>
            <w:noWrap w:val="0"/>
            <w:vAlign w:val="center"/>
          </w:tcPr>
          <w:p w14:paraId="491470C8">
            <w:pPr>
              <w:spacing w:line="440" w:lineRule="exact"/>
              <w:jc w:val="center"/>
              <w:rPr>
                <w:color w:val="auto"/>
              </w:rPr>
            </w:pPr>
          </w:p>
        </w:tc>
      </w:tr>
      <w:tr w14:paraId="49A7B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0"/>
            <w:vAlign w:val="top"/>
          </w:tcPr>
          <w:p w14:paraId="70AEE8F2">
            <w:pPr>
              <w:spacing w:line="440" w:lineRule="exact"/>
              <w:jc w:val="center"/>
              <w:rPr>
                <w:color w:val="auto"/>
              </w:rPr>
            </w:pPr>
            <w:r>
              <w:rPr>
                <w:rFonts w:hint="eastAsia"/>
                <w:color w:val="auto"/>
              </w:rPr>
              <w:t>2</w:t>
            </w:r>
          </w:p>
        </w:tc>
        <w:tc>
          <w:tcPr>
            <w:tcW w:w="1276" w:type="dxa"/>
            <w:noWrap w:val="0"/>
            <w:vAlign w:val="top"/>
          </w:tcPr>
          <w:p w14:paraId="6AC4625A">
            <w:pPr>
              <w:spacing w:line="440" w:lineRule="exact"/>
              <w:jc w:val="center"/>
              <w:rPr>
                <w:color w:val="auto"/>
              </w:rPr>
            </w:pPr>
          </w:p>
        </w:tc>
        <w:tc>
          <w:tcPr>
            <w:tcW w:w="1205" w:type="dxa"/>
            <w:noWrap w:val="0"/>
            <w:vAlign w:val="top"/>
          </w:tcPr>
          <w:p w14:paraId="0DE2A9B0">
            <w:pPr>
              <w:spacing w:line="440" w:lineRule="exact"/>
              <w:jc w:val="center"/>
              <w:rPr>
                <w:color w:val="auto"/>
              </w:rPr>
            </w:pPr>
          </w:p>
        </w:tc>
        <w:tc>
          <w:tcPr>
            <w:tcW w:w="1654" w:type="dxa"/>
            <w:noWrap w:val="0"/>
            <w:vAlign w:val="top"/>
          </w:tcPr>
          <w:p w14:paraId="4EA50044">
            <w:pPr>
              <w:spacing w:line="440" w:lineRule="exact"/>
              <w:jc w:val="center"/>
              <w:rPr>
                <w:color w:val="auto"/>
              </w:rPr>
            </w:pPr>
          </w:p>
        </w:tc>
        <w:tc>
          <w:tcPr>
            <w:tcW w:w="2670" w:type="dxa"/>
            <w:noWrap w:val="0"/>
            <w:vAlign w:val="top"/>
          </w:tcPr>
          <w:p w14:paraId="63DE767C">
            <w:pPr>
              <w:spacing w:line="440" w:lineRule="exact"/>
              <w:jc w:val="center"/>
              <w:rPr>
                <w:color w:val="auto"/>
              </w:rPr>
            </w:pPr>
          </w:p>
        </w:tc>
      </w:tr>
      <w:tr w14:paraId="4FE1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0"/>
            <w:vAlign w:val="top"/>
          </w:tcPr>
          <w:p w14:paraId="4EBFFB89">
            <w:pPr>
              <w:spacing w:line="440" w:lineRule="exact"/>
              <w:jc w:val="center"/>
              <w:rPr>
                <w:color w:val="auto"/>
              </w:rPr>
            </w:pPr>
            <w:r>
              <w:rPr>
                <w:rFonts w:hint="eastAsia"/>
                <w:color w:val="auto"/>
              </w:rPr>
              <w:t>3</w:t>
            </w:r>
          </w:p>
        </w:tc>
        <w:tc>
          <w:tcPr>
            <w:tcW w:w="1276" w:type="dxa"/>
            <w:noWrap w:val="0"/>
            <w:vAlign w:val="top"/>
          </w:tcPr>
          <w:p w14:paraId="6167F034">
            <w:pPr>
              <w:spacing w:line="440" w:lineRule="exact"/>
              <w:jc w:val="center"/>
              <w:rPr>
                <w:color w:val="auto"/>
              </w:rPr>
            </w:pPr>
          </w:p>
        </w:tc>
        <w:tc>
          <w:tcPr>
            <w:tcW w:w="1205" w:type="dxa"/>
            <w:noWrap w:val="0"/>
            <w:vAlign w:val="top"/>
          </w:tcPr>
          <w:p w14:paraId="693A18C1">
            <w:pPr>
              <w:spacing w:line="440" w:lineRule="exact"/>
              <w:jc w:val="center"/>
              <w:rPr>
                <w:color w:val="auto"/>
              </w:rPr>
            </w:pPr>
          </w:p>
        </w:tc>
        <w:tc>
          <w:tcPr>
            <w:tcW w:w="1654" w:type="dxa"/>
            <w:noWrap w:val="0"/>
            <w:vAlign w:val="top"/>
          </w:tcPr>
          <w:p w14:paraId="635332A8">
            <w:pPr>
              <w:spacing w:line="440" w:lineRule="exact"/>
              <w:jc w:val="center"/>
              <w:rPr>
                <w:color w:val="auto"/>
              </w:rPr>
            </w:pPr>
          </w:p>
        </w:tc>
        <w:tc>
          <w:tcPr>
            <w:tcW w:w="2670" w:type="dxa"/>
            <w:noWrap w:val="0"/>
            <w:vAlign w:val="top"/>
          </w:tcPr>
          <w:p w14:paraId="62AF70D3">
            <w:pPr>
              <w:spacing w:line="440" w:lineRule="exact"/>
              <w:jc w:val="center"/>
              <w:rPr>
                <w:color w:val="auto"/>
              </w:rPr>
            </w:pPr>
          </w:p>
        </w:tc>
      </w:tr>
      <w:tr w14:paraId="71E78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0"/>
            <w:vAlign w:val="top"/>
          </w:tcPr>
          <w:p w14:paraId="39B73C08">
            <w:pPr>
              <w:spacing w:line="440" w:lineRule="exact"/>
              <w:jc w:val="center"/>
              <w:rPr>
                <w:color w:val="auto"/>
              </w:rPr>
            </w:pPr>
            <w:r>
              <w:rPr>
                <w:rFonts w:hint="eastAsia"/>
                <w:color w:val="auto"/>
              </w:rPr>
              <w:t>4</w:t>
            </w:r>
          </w:p>
        </w:tc>
        <w:tc>
          <w:tcPr>
            <w:tcW w:w="1276" w:type="dxa"/>
            <w:noWrap w:val="0"/>
            <w:vAlign w:val="top"/>
          </w:tcPr>
          <w:p w14:paraId="27B5F7B0">
            <w:pPr>
              <w:spacing w:line="440" w:lineRule="exact"/>
              <w:jc w:val="center"/>
              <w:rPr>
                <w:color w:val="auto"/>
              </w:rPr>
            </w:pPr>
          </w:p>
        </w:tc>
        <w:tc>
          <w:tcPr>
            <w:tcW w:w="1205" w:type="dxa"/>
            <w:noWrap w:val="0"/>
            <w:vAlign w:val="top"/>
          </w:tcPr>
          <w:p w14:paraId="7F4355E2">
            <w:pPr>
              <w:spacing w:line="440" w:lineRule="exact"/>
              <w:jc w:val="center"/>
              <w:rPr>
                <w:color w:val="auto"/>
              </w:rPr>
            </w:pPr>
          </w:p>
        </w:tc>
        <w:tc>
          <w:tcPr>
            <w:tcW w:w="1654" w:type="dxa"/>
            <w:noWrap w:val="0"/>
            <w:vAlign w:val="top"/>
          </w:tcPr>
          <w:p w14:paraId="0F864508">
            <w:pPr>
              <w:spacing w:line="440" w:lineRule="exact"/>
              <w:jc w:val="center"/>
              <w:rPr>
                <w:color w:val="auto"/>
              </w:rPr>
            </w:pPr>
          </w:p>
        </w:tc>
        <w:tc>
          <w:tcPr>
            <w:tcW w:w="2670" w:type="dxa"/>
            <w:noWrap w:val="0"/>
            <w:vAlign w:val="top"/>
          </w:tcPr>
          <w:p w14:paraId="6F73C87D">
            <w:pPr>
              <w:spacing w:line="440" w:lineRule="exact"/>
              <w:jc w:val="center"/>
              <w:rPr>
                <w:color w:val="auto"/>
              </w:rPr>
            </w:pPr>
          </w:p>
        </w:tc>
      </w:tr>
      <w:tr w14:paraId="12B2A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0"/>
            <w:vAlign w:val="top"/>
          </w:tcPr>
          <w:p w14:paraId="2EBB3F30">
            <w:pPr>
              <w:spacing w:line="440" w:lineRule="exact"/>
              <w:jc w:val="center"/>
              <w:rPr>
                <w:color w:val="auto"/>
              </w:rPr>
            </w:pPr>
            <w:r>
              <w:rPr>
                <w:color w:val="auto"/>
              </w:rPr>
              <w:t>…</w:t>
            </w:r>
            <w:r>
              <w:rPr>
                <w:rFonts w:hint="eastAsia"/>
                <w:color w:val="auto"/>
              </w:rPr>
              <w:t>.</w:t>
            </w:r>
          </w:p>
        </w:tc>
        <w:tc>
          <w:tcPr>
            <w:tcW w:w="1276" w:type="dxa"/>
            <w:noWrap w:val="0"/>
            <w:vAlign w:val="top"/>
          </w:tcPr>
          <w:p w14:paraId="26A8E0CB">
            <w:pPr>
              <w:spacing w:line="440" w:lineRule="exact"/>
              <w:jc w:val="center"/>
              <w:rPr>
                <w:color w:val="auto"/>
              </w:rPr>
            </w:pPr>
          </w:p>
        </w:tc>
        <w:tc>
          <w:tcPr>
            <w:tcW w:w="1205" w:type="dxa"/>
            <w:noWrap w:val="0"/>
            <w:vAlign w:val="top"/>
          </w:tcPr>
          <w:p w14:paraId="111F5579">
            <w:pPr>
              <w:spacing w:line="440" w:lineRule="exact"/>
              <w:jc w:val="center"/>
              <w:rPr>
                <w:color w:val="auto"/>
              </w:rPr>
            </w:pPr>
          </w:p>
        </w:tc>
        <w:tc>
          <w:tcPr>
            <w:tcW w:w="1654" w:type="dxa"/>
            <w:noWrap w:val="0"/>
            <w:vAlign w:val="top"/>
          </w:tcPr>
          <w:p w14:paraId="11723296">
            <w:pPr>
              <w:spacing w:line="440" w:lineRule="exact"/>
              <w:jc w:val="center"/>
              <w:rPr>
                <w:color w:val="auto"/>
              </w:rPr>
            </w:pPr>
          </w:p>
        </w:tc>
        <w:tc>
          <w:tcPr>
            <w:tcW w:w="2670" w:type="dxa"/>
            <w:noWrap w:val="0"/>
            <w:vAlign w:val="top"/>
          </w:tcPr>
          <w:p w14:paraId="58103EFF">
            <w:pPr>
              <w:spacing w:line="440" w:lineRule="exact"/>
              <w:jc w:val="center"/>
              <w:rPr>
                <w:color w:val="auto"/>
              </w:rPr>
            </w:pPr>
          </w:p>
        </w:tc>
      </w:tr>
      <w:tr w14:paraId="29DAB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0"/>
            <w:vAlign w:val="top"/>
          </w:tcPr>
          <w:p w14:paraId="04B56B71">
            <w:pPr>
              <w:spacing w:line="440" w:lineRule="exact"/>
              <w:jc w:val="center"/>
              <w:rPr>
                <w:color w:val="auto"/>
              </w:rPr>
            </w:pPr>
          </w:p>
        </w:tc>
        <w:tc>
          <w:tcPr>
            <w:tcW w:w="1276" w:type="dxa"/>
            <w:noWrap w:val="0"/>
            <w:vAlign w:val="top"/>
          </w:tcPr>
          <w:p w14:paraId="5E9D6F68">
            <w:pPr>
              <w:spacing w:line="440" w:lineRule="exact"/>
              <w:jc w:val="center"/>
              <w:rPr>
                <w:color w:val="auto"/>
              </w:rPr>
            </w:pPr>
          </w:p>
        </w:tc>
        <w:tc>
          <w:tcPr>
            <w:tcW w:w="1205" w:type="dxa"/>
            <w:noWrap w:val="0"/>
            <w:vAlign w:val="top"/>
          </w:tcPr>
          <w:p w14:paraId="53CCEB2A">
            <w:pPr>
              <w:spacing w:line="440" w:lineRule="exact"/>
              <w:jc w:val="center"/>
              <w:rPr>
                <w:color w:val="auto"/>
              </w:rPr>
            </w:pPr>
          </w:p>
        </w:tc>
        <w:tc>
          <w:tcPr>
            <w:tcW w:w="1654" w:type="dxa"/>
            <w:noWrap w:val="0"/>
            <w:vAlign w:val="top"/>
          </w:tcPr>
          <w:p w14:paraId="36A5D762">
            <w:pPr>
              <w:spacing w:line="440" w:lineRule="exact"/>
              <w:jc w:val="center"/>
              <w:rPr>
                <w:color w:val="auto"/>
              </w:rPr>
            </w:pPr>
          </w:p>
        </w:tc>
        <w:tc>
          <w:tcPr>
            <w:tcW w:w="2670" w:type="dxa"/>
            <w:noWrap w:val="0"/>
            <w:vAlign w:val="top"/>
          </w:tcPr>
          <w:p w14:paraId="1C60A227">
            <w:pPr>
              <w:spacing w:line="440" w:lineRule="exact"/>
              <w:jc w:val="center"/>
              <w:rPr>
                <w:color w:val="auto"/>
              </w:rPr>
            </w:pPr>
          </w:p>
        </w:tc>
      </w:tr>
      <w:tr w14:paraId="1E0BC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0"/>
            <w:vAlign w:val="top"/>
          </w:tcPr>
          <w:p w14:paraId="2D99FE4D">
            <w:pPr>
              <w:spacing w:line="440" w:lineRule="exact"/>
              <w:jc w:val="center"/>
              <w:rPr>
                <w:color w:val="auto"/>
              </w:rPr>
            </w:pPr>
          </w:p>
        </w:tc>
        <w:tc>
          <w:tcPr>
            <w:tcW w:w="1276" w:type="dxa"/>
            <w:noWrap w:val="0"/>
            <w:vAlign w:val="top"/>
          </w:tcPr>
          <w:p w14:paraId="447F804C">
            <w:pPr>
              <w:spacing w:line="440" w:lineRule="exact"/>
              <w:jc w:val="center"/>
              <w:rPr>
                <w:color w:val="auto"/>
              </w:rPr>
            </w:pPr>
          </w:p>
        </w:tc>
        <w:tc>
          <w:tcPr>
            <w:tcW w:w="1205" w:type="dxa"/>
            <w:noWrap w:val="0"/>
            <w:vAlign w:val="top"/>
          </w:tcPr>
          <w:p w14:paraId="4CA801B0">
            <w:pPr>
              <w:spacing w:line="440" w:lineRule="exact"/>
              <w:jc w:val="center"/>
              <w:rPr>
                <w:color w:val="auto"/>
              </w:rPr>
            </w:pPr>
          </w:p>
        </w:tc>
        <w:tc>
          <w:tcPr>
            <w:tcW w:w="1654" w:type="dxa"/>
            <w:noWrap w:val="0"/>
            <w:vAlign w:val="top"/>
          </w:tcPr>
          <w:p w14:paraId="1BBC4DB7">
            <w:pPr>
              <w:spacing w:line="440" w:lineRule="exact"/>
              <w:jc w:val="center"/>
              <w:rPr>
                <w:color w:val="auto"/>
              </w:rPr>
            </w:pPr>
          </w:p>
        </w:tc>
        <w:tc>
          <w:tcPr>
            <w:tcW w:w="2670" w:type="dxa"/>
            <w:noWrap w:val="0"/>
            <w:vAlign w:val="top"/>
          </w:tcPr>
          <w:p w14:paraId="1FA38F9A">
            <w:pPr>
              <w:spacing w:line="440" w:lineRule="exact"/>
              <w:jc w:val="center"/>
              <w:rPr>
                <w:color w:val="auto"/>
              </w:rPr>
            </w:pPr>
          </w:p>
        </w:tc>
      </w:tr>
      <w:tr w14:paraId="3B6DB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0"/>
            <w:vAlign w:val="top"/>
          </w:tcPr>
          <w:p w14:paraId="30336C3E">
            <w:pPr>
              <w:spacing w:line="440" w:lineRule="exact"/>
              <w:jc w:val="center"/>
              <w:rPr>
                <w:color w:val="auto"/>
              </w:rPr>
            </w:pPr>
          </w:p>
        </w:tc>
        <w:tc>
          <w:tcPr>
            <w:tcW w:w="1276" w:type="dxa"/>
            <w:noWrap w:val="0"/>
            <w:vAlign w:val="top"/>
          </w:tcPr>
          <w:p w14:paraId="61B172E3">
            <w:pPr>
              <w:spacing w:line="440" w:lineRule="exact"/>
              <w:jc w:val="center"/>
              <w:rPr>
                <w:color w:val="auto"/>
              </w:rPr>
            </w:pPr>
          </w:p>
        </w:tc>
        <w:tc>
          <w:tcPr>
            <w:tcW w:w="1205" w:type="dxa"/>
            <w:noWrap w:val="0"/>
            <w:vAlign w:val="top"/>
          </w:tcPr>
          <w:p w14:paraId="4E3900D9">
            <w:pPr>
              <w:spacing w:line="440" w:lineRule="exact"/>
              <w:jc w:val="center"/>
              <w:rPr>
                <w:color w:val="auto"/>
              </w:rPr>
            </w:pPr>
          </w:p>
        </w:tc>
        <w:tc>
          <w:tcPr>
            <w:tcW w:w="1654" w:type="dxa"/>
            <w:noWrap w:val="0"/>
            <w:vAlign w:val="top"/>
          </w:tcPr>
          <w:p w14:paraId="3AC5664A">
            <w:pPr>
              <w:spacing w:line="440" w:lineRule="exact"/>
              <w:jc w:val="center"/>
              <w:rPr>
                <w:color w:val="auto"/>
              </w:rPr>
            </w:pPr>
          </w:p>
        </w:tc>
        <w:tc>
          <w:tcPr>
            <w:tcW w:w="2670" w:type="dxa"/>
            <w:noWrap w:val="0"/>
            <w:vAlign w:val="top"/>
          </w:tcPr>
          <w:p w14:paraId="2AC46B75">
            <w:pPr>
              <w:spacing w:line="440" w:lineRule="exact"/>
              <w:jc w:val="center"/>
              <w:rPr>
                <w:color w:val="auto"/>
              </w:rPr>
            </w:pPr>
          </w:p>
        </w:tc>
      </w:tr>
      <w:tr w14:paraId="7CBCF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0"/>
            <w:vAlign w:val="top"/>
          </w:tcPr>
          <w:p w14:paraId="1FDBEFFE">
            <w:pPr>
              <w:spacing w:line="440" w:lineRule="exact"/>
              <w:jc w:val="center"/>
              <w:rPr>
                <w:color w:val="auto"/>
              </w:rPr>
            </w:pPr>
          </w:p>
        </w:tc>
        <w:tc>
          <w:tcPr>
            <w:tcW w:w="1276" w:type="dxa"/>
            <w:noWrap w:val="0"/>
            <w:vAlign w:val="top"/>
          </w:tcPr>
          <w:p w14:paraId="69A9DB06">
            <w:pPr>
              <w:spacing w:line="440" w:lineRule="exact"/>
              <w:jc w:val="center"/>
              <w:rPr>
                <w:color w:val="auto"/>
              </w:rPr>
            </w:pPr>
          </w:p>
        </w:tc>
        <w:tc>
          <w:tcPr>
            <w:tcW w:w="1205" w:type="dxa"/>
            <w:noWrap w:val="0"/>
            <w:vAlign w:val="top"/>
          </w:tcPr>
          <w:p w14:paraId="3FE11B16">
            <w:pPr>
              <w:spacing w:line="440" w:lineRule="exact"/>
              <w:jc w:val="center"/>
              <w:rPr>
                <w:color w:val="auto"/>
              </w:rPr>
            </w:pPr>
          </w:p>
        </w:tc>
        <w:tc>
          <w:tcPr>
            <w:tcW w:w="1654" w:type="dxa"/>
            <w:noWrap w:val="0"/>
            <w:vAlign w:val="top"/>
          </w:tcPr>
          <w:p w14:paraId="4653242A">
            <w:pPr>
              <w:spacing w:line="440" w:lineRule="exact"/>
              <w:jc w:val="center"/>
              <w:rPr>
                <w:color w:val="auto"/>
              </w:rPr>
            </w:pPr>
          </w:p>
        </w:tc>
        <w:tc>
          <w:tcPr>
            <w:tcW w:w="2670" w:type="dxa"/>
            <w:noWrap w:val="0"/>
            <w:vAlign w:val="top"/>
          </w:tcPr>
          <w:p w14:paraId="11190464">
            <w:pPr>
              <w:spacing w:line="440" w:lineRule="exact"/>
              <w:jc w:val="center"/>
              <w:rPr>
                <w:color w:val="auto"/>
              </w:rPr>
            </w:pPr>
          </w:p>
        </w:tc>
      </w:tr>
      <w:tr w14:paraId="5E0B8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0"/>
            <w:vAlign w:val="top"/>
          </w:tcPr>
          <w:p w14:paraId="7D26837A">
            <w:pPr>
              <w:spacing w:line="440" w:lineRule="exact"/>
              <w:jc w:val="center"/>
              <w:rPr>
                <w:color w:val="auto"/>
              </w:rPr>
            </w:pPr>
          </w:p>
        </w:tc>
        <w:tc>
          <w:tcPr>
            <w:tcW w:w="1276" w:type="dxa"/>
            <w:noWrap w:val="0"/>
            <w:vAlign w:val="top"/>
          </w:tcPr>
          <w:p w14:paraId="4966D7A0">
            <w:pPr>
              <w:spacing w:line="440" w:lineRule="exact"/>
              <w:jc w:val="center"/>
              <w:rPr>
                <w:color w:val="auto"/>
              </w:rPr>
            </w:pPr>
          </w:p>
        </w:tc>
        <w:tc>
          <w:tcPr>
            <w:tcW w:w="1205" w:type="dxa"/>
            <w:noWrap w:val="0"/>
            <w:vAlign w:val="top"/>
          </w:tcPr>
          <w:p w14:paraId="6F511C2C">
            <w:pPr>
              <w:spacing w:line="440" w:lineRule="exact"/>
              <w:jc w:val="center"/>
              <w:rPr>
                <w:color w:val="auto"/>
              </w:rPr>
            </w:pPr>
          </w:p>
        </w:tc>
        <w:tc>
          <w:tcPr>
            <w:tcW w:w="1654" w:type="dxa"/>
            <w:noWrap w:val="0"/>
            <w:vAlign w:val="top"/>
          </w:tcPr>
          <w:p w14:paraId="2DDD29DE">
            <w:pPr>
              <w:spacing w:line="440" w:lineRule="exact"/>
              <w:jc w:val="center"/>
              <w:rPr>
                <w:color w:val="auto"/>
              </w:rPr>
            </w:pPr>
          </w:p>
        </w:tc>
        <w:tc>
          <w:tcPr>
            <w:tcW w:w="2670" w:type="dxa"/>
            <w:noWrap w:val="0"/>
            <w:vAlign w:val="top"/>
          </w:tcPr>
          <w:p w14:paraId="2C053B43">
            <w:pPr>
              <w:spacing w:line="440" w:lineRule="exact"/>
              <w:jc w:val="center"/>
              <w:rPr>
                <w:color w:val="auto"/>
              </w:rPr>
            </w:pPr>
          </w:p>
        </w:tc>
      </w:tr>
      <w:tr w14:paraId="19370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0"/>
            <w:vAlign w:val="top"/>
          </w:tcPr>
          <w:p w14:paraId="774CDD12">
            <w:pPr>
              <w:spacing w:line="440" w:lineRule="exact"/>
              <w:jc w:val="center"/>
              <w:rPr>
                <w:color w:val="auto"/>
              </w:rPr>
            </w:pPr>
          </w:p>
        </w:tc>
        <w:tc>
          <w:tcPr>
            <w:tcW w:w="1276" w:type="dxa"/>
            <w:noWrap w:val="0"/>
            <w:vAlign w:val="top"/>
          </w:tcPr>
          <w:p w14:paraId="18DF77F8">
            <w:pPr>
              <w:spacing w:line="440" w:lineRule="exact"/>
              <w:jc w:val="center"/>
              <w:rPr>
                <w:color w:val="auto"/>
              </w:rPr>
            </w:pPr>
          </w:p>
        </w:tc>
        <w:tc>
          <w:tcPr>
            <w:tcW w:w="1205" w:type="dxa"/>
            <w:noWrap w:val="0"/>
            <w:vAlign w:val="top"/>
          </w:tcPr>
          <w:p w14:paraId="50878389">
            <w:pPr>
              <w:spacing w:line="440" w:lineRule="exact"/>
              <w:jc w:val="center"/>
              <w:rPr>
                <w:color w:val="auto"/>
              </w:rPr>
            </w:pPr>
          </w:p>
        </w:tc>
        <w:tc>
          <w:tcPr>
            <w:tcW w:w="1654" w:type="dxa"/>
            <w:noWrap w:val="0"/>
            <w:vAlign w:val="top"/>
          </w:tcPr>
          <w:p w14:paraId="4AB81CED">
            <w:pPr>
              <w:spacing w:line="440" w:lineRule="exact"/>
              <w:jc w:val="center"/>
              <w:rPr>
                <w:color w:val="auto"/>
              </w:rPr>
            </w:pPr>
          </w:p>
        </w:tc>
        <w:tc>
          <w:tcPr>
            <w:tcW w:w="2670" w:type="dxa"/>
            <w:noWrap w:val="0"/>
            <w:vAlign w:val="top"/>
          </w:tcPr>
          <w:p w14:paraId="2B8F7C20">
            <w:pPr>
              <w:spacing w:line="440" w:lineRule="exact"/>
              <w:jc w:val="center"/>
              <w:rPr>
                <w:color w:val="auto"/>
              </w:rPr>
            </w:pPr>
          </w:p>
        </w:tc>
      </w:tr>
      <w:tr w14:paraId="247E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0"/>
            <w:vAlign w:val="top"/>
          </w:tcPr>
          <w:p w14:paraId="6C23E26E">
            <w:pPr>
              <w:spacing w:line="440" w:lineRule="exact"/>
              <w:jc w:val="center"/>
              <w:rPr>
                <w:color w:val="auto"/>
              </w:rPr>
            </w:pPr>
          </w:p>
        </w:tc>
        <w:tc>
          <w:tcPr>
            <w:tcW w:w="1276" w:type="dxa"/>
            <w:noWrap w:val="0"/>
            <w:vAlign w:val="top"/>
          </w:tcPr>
          <w:p w14:paraId="73E04B24">
            <w:pPr>
              <w:spacing w:line="440" w:lineRule="exact"/>
              <w:jc w:val="center"/>
              <w:rPr>
                <w:color w:val="auto"/>
              </w:rPr>
            </w:pPr>
          </w:p>
        </w:tc>
        <w:tc>
          <w:tcPr>
            <w:tcW w:w="1205" w:type="dxa"/>
            <w:noWrap w:val="0"/>
            <w:vAlign w:val="top"/>
          </w:tcPr>
          <w:p w14:paraId="11466C40">
            <w:pPr>
              <w:spacing w:line="440" w:lineRule="exact"/>
              <w:jc w:val="center"/>
              <w:rPr>
                <w:color w:val="auto"/>
              </w:rPr>
            </w:pPr>
          </w:p>
        </w:tc>
        <w:tc>
          <w:tcPr>
            <w:tcW w:w="1654" w:type="dxa"/>
            <w:noWrap w:val="0"/>
            <w:vAlign w:val="top"/>
          </w:tcPr>
          <w:p w14:paraId="66C5C43F">
            <w:pPr>
              <w:spacing w:line="440" w:lineRule="exact"/>
              <w:jc w:val="center"/>
              <w:rPr>
                <w:color w:val="auto"/>
              </w:rPr>
            </w:pPr>
          </w:p>
        </w:tc>
        <w:tc>
          <w:tcPr>
            <w:tcW w:w="2670" w:type="dxa"/>
            <w:noWrap w:val="0"/>
            <w:vAlign w:val="top"/>
          </w:tcPr>
          <w:p w14:paraId="0D2D7B1E">
            <w:pPr>
              <w:spacing w:line="440" w:lineRule="exact"/>
              <w:jc w:val="center"/>
              <w:rPr>
                <w:color w:val="auto"/>
              </w:rPr>
            </w:pPr>
          </w:p>
        </w:tc>
      </w:tr>
      <w:tr w14:paraId="1AC60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0"/>
            <w:vAlign w:val="top"/>
          </w:tcPr>
          <w:p w14:paraId="14A73EB9">
            <w:pPr>
              <w:spacing w:line="440" w:lineRule="exact"/>
              <w:jc w:val="center"/>
              <w:rPr>
                <w:color w:val="auto"/>
              </w:rPr>
            </w:pPr>
          </w:p>
        </w:tc>
        <w:tc>
          <w:tcPr>
            <w:tcW w:w="1276" w:type="dxa"/>
            <w:noWrap w:val="0"/>
            <w:vAlign w:val="top"/>
          </w:tcPr>
          <w:p w14:paraId="6F539C7E">
            <w:pPr>
              <w:spacing w:line="440" w:lineRule="exact"/>
              <w:jc w:val="center"/>
              <w:rPr>
                <w:color w:val="auto"/>
              </w:rPr>
            </w:pPr>
          </w:p>
        </w:tc>
        <w:tc>
          <w:tcPr>
            <w:tcW w:w="1205" w:type="dxa"/>
            <w:noWrap w:val="0"/>
            <w:vAlign w:val="top"/>
          </w:tcPr>
          <w:p w14:paraId="6549B4E0">
            <w:pPr>
              <w:spacing w:line="440" w:lineRule="exact"/>
              <w:jc w:val="center"/>
              <w:rPr>
                <w:color w:val="auto"/>
              </w:rPr>
            </w:pPr>
          </w:p>
        </w:tc>
        <w:tc>
          <w:tcPr>
            <w:tcW w:w="1654" w:type="dxa"/>
            <w:noWrap w:val="0"/>
            <w:vAlign w:val="top"/>
          </w:tcPr>
          <w:p w14:paraId="61B0C9BF">
            <w:pPr>
              <w:spacing w:line="440" w:lineRule="exact"/>
              <w:jc w:val="center"/>
              <w:rPr>
                <w:color w:val="auto"/>
              </w:rPr>
            </w:pPr>
          </w:p>
        </w:tc>
        <w:tc>
          <w:tcPr>
            <w:tcW w:w="2670" w:type="dxa"/>
            <w:noWrap w:val="0"/>
            <w:vAlign w:val="top"/>
          </w:tcPr>
          <w:p w14:paraId="3BD0F054">
            <w:pPr>
              <w:spacing w:line="440" w:lineRule="exact"/>
              <w:jc w:val="center"/>
              <w:rPr>
                <w:color w:val="auto"/>
              </w:rPr>
            </w:pPr>
          </w:p>
        </w:tc>
      </w:tr>
      <w:tr w14:paraId="2C59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noWrap w:val="0"/>
            <w:vAlign w:val="top"/>
          </w:tcPr>
          <w:p w14:paraId="7EA6845F">
            <w:pPr>
              <w:spacing w:line="440" w:lineRule="exact"/>
              <w:jc w:val="center"/>
              <w:rPr>
                <w:color w:val="auto"/>
              </w:rPr>
            </w:pPr>
          </w:p>
        </w:tc>
        <w:tc>
          <w:tcPr>
            <w:tcW w:w="1276" w:type="dxa"/>
            <w:noWrap w:val="0"/>
            <w:vAlign w:val="top"/>
          </w:tcPr>
          <w:p w14:paraId="32F4D770">
            <w:pPr>
              <w:spacing w:line="440" w:lineRule="exact"/>
              <w:jc w:val="center"/>
              <w:rPr>
                <w:color w:val="auto"/>
              </w:rPr>
            </w:pPr>
          </w:p>
        </w:tc>
        <w:tc>
          <w:tcPr>
            <w:tcW w:w="1205" w:type="dxa"/>
            <w:noWrap w:val="0"/>
            <w:vAlign w:val="top"/>
          </w:tcPr>
          <w:p w14:paraId="378EFFE8">
            <w:pPr>
              <w:spacing w:line="440" w:lineRule="exact"/>
              <w:jc w:val="center"/>
              <w:rPr>
                <w:color w:val="auto"/>
              </w:rPr>
            </w:pPr>
          </w:p>
        </w:tc>
        <w:tc>
          <w:tcPr>
            <w:tcW w:w="1654" w:type="dxa"/>
            <w:noWrap w:val="0"/>
            <w:vAlign w:val="top"/>
          </w:tcPr>
          <w:p w14:paraId="531518B8">
            <w:pPr>
              <w:spacing w:line="440" w:lineRule="exact"/>
              <w:jc w:val="center"/>
              <w:rPr>
                <w:color w:val="auto"/>
              </w:rPr>
            </w:pPr>
          </w:p>
        </w:tc>
        <w:tc>
          <w:tcPr>
            <w:tcW w:w="2670" w:type="dxa"/>
            <w:noWrap w:val="0"/>
            <w:vAlign w:val="top"/>
          </w:tcPr>
          <w:p w14:paraId="41F91AE2">
            <w:pPr>
              <w:spacing w:line="440" w:lineRule="exact"/>
              <w:jc w:val="center"/>
              <w:rPr>
                <w:color w:val="auto"/>
              </w:rPr>
            </w:pPr>
          </w:p>
        </w:tc>
      </w:tr>
      <w:tr w14:paraId="6A996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3" w:type="dxa"/>
            <w:gridSpan w:val="5"/>
            <w:noWrap w:val="0"/>
            <w:vAlign w:val="top"/>
          </w:tcPr>
          <w:p w14:paraId="676FF65F">
            <w:pPr>
              <w:spacing w:line="440" w:lineRule="exact"/>
              <w:rPr>
                <w:rFonts w:hint="eastAsia"/>
                <w:color w:val="auto"/>
              </w:rPr>
            </w:pPr>
            <w:r>
              <w:rPr>
                <w:rFonts w:hint="eastAsia"/>
                <w:color w:val="auto"/>
              </w:rPr>
              <w:t>备注：</w:t>
            </w:r>
          </w:p>
          <w:p w14:paraId="09B3E9B8">
            <w:pPr>
              <w:spacing w:line="440" w:lineRule="exact"/>
              <w:rPr>
                <w:rFonts w:hint="eastAsia" w:eastAsia="宋体"/>
                <w:color w:val="auto"/>
              </w:rPr>
            </w:pPr>
            <w:r>
              <w:rPr>
                <w:rFonts w:hint="eastAsia" w:eastAsia="宋体"/>
                <w:color w:val="auto"/>
              </w:rPr>
              <w:t>1</w:t>
            </w:r>
            <w:r>
              <w:rPr>
                <w:rFonts w:hint="eastAsia" w:ascii="宋体" w:hAnsi="宋体" w:eastAsia="宋体" w:cs="宋体"/>
                <w:color w:val="auto"/>
              </w:rPr>
              <w:t>、投标人应根据本表备注中的</w:t>
            </w:r>
            <w:r>
              <w:rPr>
                <w:color w:val="auto"/>
              </w:rPr>
              <w:t>“</w:t>
            </w:r>
            <w:r>
              <w:rPr>
                <w:rFonts w:hint="eastAsia" w:ascii="宋体" w:hAnsi="宋体" w:eastAsia="宋体" w:cs="宋体"/>
                <w:color w:val="auto"/>
              </w:rPr>
              <w:t>岗位</w:t>
            </w:r>
            <w:r>
              <w:rPr>
                <w:color w:val="auto"/>
              </w:rPr>
              <w:t>”</w:t>
            </w:r>
            <w:r>
              <w:rPr>
                <w:rFonts w:hint="eastAsia" w:ascii="宋体" w:hAnsi="宋体" w:eastAsia="宋体" w:cs="宋体"/>
                <w:color w:val="auto"/>
              </w:rPr>
              <w:t>要求，填写本表</w:t>
            </w:r>
            <w:r>
              <w:rPr>
                <w:color w:val="auto"/>
              </w:rPr>
              <w:t>“</w:t>
            </w:r>
            <w:r>
              <w:rPr>
                <w:rFonts w:hint="eastAsia" w:ascii="宋体" w:hAnsi="宋体" w:eastAsia="宋体" w:cs="宋体"/>
                <w:color w:val="auto"/>
              </w:rPr>
              <w:t>岗位</w:t>
            </w:r>
            <w:r>
              <w:rPr>
                <w:color w:val="auto"/>
              </w:rPr>
              <w:t>”</w:t>
            </w:r>
            <w:r>
              <w:rPr>
                <w:rFonts w:hint="eastAsia" w:ascii="宋体" w:hAnsi="宋体" w:eastAsia="宋体" w:cs="宋体"/>
                <w:color w:val="auto"/>
              </w:rPr>
              <w:t>栏和相关人员</w:t>
            </w:r>
            <w:r>
              <w:rPr>
                <w:color w:val="auto"/>
              </w:rPr>
              <w:t>“</w:t>
            </w:r>
            <w:r>
              <w:rPr>
                <w:rFonts w:hint="eastAsia" w:ascii="宋体" w:hAnsi="宋体" w:eastAsia="宋体" w:cs="宋体"/>
                <w:color w:val="auto"/>
              </w:rPr>
              <w:t>姓名</w:t>
            </w:r>
            <w:r>
              <w:rPr>
                <w:color w:val="auto"/>
              </w:rPr>
              <w:t>”</w:t>
            </w:r>
            <w:r>
              <w:rPr>
                <w:rFonts w:hint="eastAsia" w:ascii="宋体" w:hAnsi="宋体" w:eastAsia="宋体" w:cs="宋体"/>
                <w:color w:val="auto"/>
              </w:rPr>
              <w:t>、</w:t>
            </w:r>
            <w:r>
              <w:rPr>
                <w:color w:val="auto"/>
              </w:rPr>
              <w:t>“</w:t>
            </w:r>
            <w:r>
              <w:rPr>
                <w:rFonts w:hint="eastAsia" w:ascii="宋体" w:hAnsi="宋体" w:eastAsia="宋体" w:cs="宋体"/>
                <w:color w:val="auto"/>
              </w:rPr>
              <w:t>职称</w:t>
            </w:r>
            <w:r>
              <w:rPr>
                <w:color w:val="auto"/>
              </w:rPr>
              <w:t>”</w:t>
            </w:r>
            <w:r>
              <w:rPr>
                <w:rFonts w:hint="eastAsia" w:ascii="宋体" w:hAnsi="宋体" w:eastAsia="宋体" w:cs="宋体"/>
                <w:color w:val="auto"/>
              </w:rPr>
              <w:t>和</w:t>
            </w:r>
            <w:r>
              <w:rPr>
                <w:color w:val="auto"/>
              </w:rPr>
              <w:t>“</w:t>
            </w:r>
            <w:r>
              <w:rPr>
                <w:rFonts w:hint="eastAsia" w:ascii="宋体" w:hAnsi="宋体" w:eastAsia="宋体" w:cs="宋体"/>
                <w:color w:val="auto"/>
              </w:rPr>
              <w:t>职称证书编号</w:t>
            </w:r>
            <w:r>
              <w:rPr>
                <w:color w:val="auto"/>
              </w:rPr>
              <w:t>”</w:t>
            </w:r>
            <w:r>
              <w:rPr>
                <w:rFonts w:hint="eastAsia" w:ascii="宋体" w:hAnsi="宋体" w:eastAsia="宋体" w:cs="宋体"/>
                <w:color w:val="auto"/>
              </w:rPr>
              <w:t>栏。</w:t>
            </w:r>
            <w:r>
              <w:rPr>
                <w:color w:val="auto"/>
              </w:rPr>
              <w:t>“</w:t>
            </w:r>
            <w:r>
              <w:rPr>
                <w:rFonts w:hint="eastAsia" w:ascii="宋体" w:hAnsi="宋体" w:eastAsia="宋体" w:cs="宋体"/>
                <w:color w:val="auto"/>
              </w:rPr>
              <w:t>职称</w:t>
            </w:r>
            <w:r>
              <w:rPr>
                <w:color w:val="auto"/>
              </w:rPr>
              <w:t>”</w:t>
            </w:r>
            <w:r>
              <w:rPr>
                <w:rFonts w:hint="eastAsia" w:ascii="宋体" w:hAnsi="宋体" w:eastAsia="宋体" w:cs="宋体"/>
                <w:color w:val="auto"/>
              </w:rPr>
              <w:t>栏填</w:t>
            </w:r>
            <w:r>
              <w:rPr>
                <w:color w:val="auto"/>
              </w:rPr>
              <w:t>“</w:t>
            </w:r>
            <w:r>
              <w:rPr>
                <w:rFonts w:hint="eastAsia" w:ascii="宋体" w:hAnsi="宋体" w:eastAsia="宋体" w:cs="宋体"/>
                <w:color w:val="auto"/>
              </w:rPr>
              <w:t>高级</w:t>
            </w:r>
            <w:r>
              <w:rPr>
                <w:color w:val="auto"/>
              </w:rPr>
              <w:t>”</w:t>
            </w:r>
            <w:r>
              <w:rPr>
                <w:rFonts w:hint="eastAsia" w:ascii="宋体" w:hAnsi="宋体" w:eastAsia="宋体" w:cs="宋体"/>
                <w:color w:val="auto"/>
              </w:rPr>
              <w:t>、</w:t>
            </w:r>
            <w:r>
              <w:rPr>
                <w:color w:val="auto"/>
              </w:rPr>
              <w:t>“</w:t>
            </w:r>
            <w:r>
              <w:rPr>
                <w:rFonts w:hint="eastAsia" w:ascii="宋体" w:hAnsi="宋体" w:eastAsia="宋体" w:cs="宋体"/>
                <w:color w:val="auto"/>
              </w:rPr>
              <w:t>中级</w:t>
            </w:r>
            <w:r>
              <w:rPr>
                <w:color w:val="auto"/>
              </w:rPr>
              <w:t>”</w:t>
            </w:r>
            <w:r>
              <w:rPr>
                <w:rFonts w:hint="eastAsia" w:ascii="宋体" w:hAnsi="宋体" w:eastAsia="宋体" w:cs="宋体"/>
                <w:color w:val="auto"/>
              </w:rPr>
              <w:t>、</w:t>
            </w:r>
            <w:r>
              <w:rPr>
                <w:color w:val="auto"/>
              </w:rPr>
              <w:t>“</w:t>
            </w:r>
            <w:r>
              <w:rPr>
                <w:rFonts w:hint="eastAsia" w:ascii="宋体" w:hAnsi="宋体" w:eastAsia="宋体" w:cs="宋体"/>
                <w:color w:val="auto"/>
              </w:rPr>
              <w:t>初级</w:t>
            </w:r>
            <w:r>
              <w:rPr>
                <w:color w:val="auto"/>
              </w:rPr>
              <w:t>”</w:t>
            </w:r>
            <w:r>
              <w:rPr>
                <w:rFonts w:hint="eastAsia" w:ascii="宋体" w:hAnsi="宋体" w:eastAsia="宋体" w:cs="宋体"/>
                <w:color w:val="auto"/>
              </w:rPr>
              <w:t>或</w:t>
            </w:r>
            <w:r>
              <w:rPr>
                <w:color w:val="auto"/>
              </w:rPr>
              <w:t>“</w:t>
            </w:r>
            <w:r>
              <w:rPr>
                <w:rFonts w:hint="eastAsia" w:ascii="宋体" w:hAnsi="宋体" w:eastAsia="宋体" w:cs="宋体"/>
                <w:color w:val="auto"/>
              </w:rPr>
              <w:t>无</w:t>
            </w:r>
            <w:r>
              <w:rPr>
                <w:color w:val="auto"/>
              </w:rPr>
              <w:t>”</w:t>
            </w:r>
            <w:r>
              <w:rPr>
                <w:rFonts w:hint="eastAsia" w:ascii="宋体" w:hAnsi="宋体" w:eastAsia="宋体" w:cs="宋体"/>
                <w:color w:val="auto"/>
              </w:rPr>
              <w:t>；无职称证书或资格证书的，</w:t>
            </w:r>
            <w:r>
              <w:rPr>
                <w:color w:val="auto"/>
              </w:rPr>
              <w:t>“</w:t>
            </w:r>
            <w:r>
              <w:rPr>
                <w:rFonts w:hint="eastAsia" w:ascii="宋体" w:hAnsi="宋体" w:eastAsia="宋体" w:cs="宋体"/>
                <w:color w:val="auto"/>
              </w:rPr>
              <w:t>职称证书或资格证书编号</w:t>
            </w:r>
            <w:r>
              <w:rPr>
                <w:color w:val="auto"/>
              </w:rPr>
              <w:t>”</w:t>
            </w:r>
            <w:r>
              <w:rPr>
                <w:rFonts w:hint="eastAsia" w:ascii="宋体" w:hAnsi="宋体" w:eastAsia="宋体" w:cs="宋体"/>
                <w:color w:val="auto"/>
              </w:rPr>
              <w:t>栏填</w:t>
            </w:r>
            <w:r>
              <w:rPr>
                <w:color w:val="auto"/>
              </w:rPr>
              <w:t>“</w:t>
            </w:r>
            <w:r>
              <w:rPr>
                <w:rFonts w:hint="eastAsia" w:ascii="宋体" w:hAnsi="宋体" w:eastAsia="宋体" w:cs="宋体"/>
                <w:color w:val="auto"/>
              </w:rPr>
              <w:t>无</w:t>
            </w:r>
            <w:r>
              <w:rPr>
                <w:color w:val="auto"/>
              </w:rPr>
              <w:t>”</w:t>
            </w:r>
            <w:r>
              <w:rPr>
                <w:rFonts w:hint="eastAsia" w:ascii="宋体" w:hAnsi="宋体" w:eastAsia="宋体" w:cs="宋体"/>
                <w:color w:val="auto"/>
              </w:rPr>
              <w:t>；同时具备职称证书和资格证书的，</w:t>
            </w:r>
            <w:r>
              <w:rPr>
                <w:color w:val="auto"/>
              </w:rPr>
              <w:t>“</w:t>
            </w:r>
            <w:r>
              <w:rPr>
                <w:rFonts w:hint="eastAsia" w:ascii="宋体" w:hAnsi="宋体" w:eastAsia="宋体" w:cs="宋体"/>
                <w:color w:val="auto"/>
              </w:rPr>
              <w:t>职称证书或资格证书编号</w:t>
            </w:r>
            <w:r>
              <w:rPr>
                <w:color w:val="auto"/>
              </w:rPr>
              <w:t>”</w:t>
            </w:r>
            <w:r>
              <w:rPr>
                <w:rFonts w:hint="eastAsia" w:ascii="宋体" w:hAnsi="宋体" w:eastAsia="宋体" w:cs="宋体"/>
                <w:color w:val="auto"/>
              </w:rPr>
              <w:t>栏填职称证书编号</w:t>
            </w:r>
            <w:r>
              <w:rPr>
                <w:rFonts w:hint="eastAsia"/>
                <w:color w:val="auto"/>
              </w:rPr>
              <w:t>。</w:t>
            </w:r>
          </w:p>
          <w:p w14:paraId="68EBCAEE">
            <w:pPr>
              <w:spacing w:line="440" w:lineRule="exact"/>
              <w:rPr>
                <w:color w:val="auto"/>
              </w:rPr>
            </w:pPr>
            <w:r>
              <w:rPr>
                <w:rFonts w:hint="eastAsia" w:eastAsia="宋体"/>
                <w:color w:val="auto"/>
              </w:rPr>
              <w:t>2</w:t>
            </w:r>
            <w:r>
              <w:rPr>
                <w:rFonts w:hint="eastAsia" w:ascii="宋体" w:hAnsi="宋体" w:eastAsia="宋体" w:cs="宋体"/>
                <w:color w:val="auto"/>
              </w:rPr>
              <w:t>、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791988A9">
      <w:pPr>
        <w:spacing w:line="360" w:lineRule="auto"/>
        <w:jc w:val="left"/>
        <w:rPr>
          <w:rFonts w:ascii="宋体" w:hAnsi="宋体" w:cs="宋体"/>
          <w:color w:val="auto"/>
          <w:highlight w:val="none"/>
        </w:rPr>
      </w:pPr>
    </w:p>
    <w:p w14:paraId="7185CB5B">
      <w:pPr>
        <w:spacing w:line="360" w:lineRule="auto"/>
        <w:jc w:val="left"/>
        <w:rPr>
          <w:rFonts w:ascii="宋体" w:hAnsi="宋体" w:cs="宋体"/>
          <w:color w:val="auto"/>
          <w:szCs w:val="24"/>
          <w:highlight w:val="none"/>
        </w:rPr>
      </w:pPr>
      <w:r>
        <w:rPr>
          <w:rFonts w:hint="eastAsia" w:ascii="宋体" w:hAnsi="宋体" w:cs="宋体"/>
          <w:color w:val="auto"/>
          <w:highlight w:val="none"/>
        </w:rPr>
        <w:br w:type="page"/>
      </w:r>
    </w:p>
    <w:p w14:paraId="02F4805F">
      <w:pPr>
        <w:pStyle w:val="4"/>
        <w:spacing w:before="0" w:after="0" w:line="360" w:lineRule="auto"/>
        <w:ind w:firstLine="119"/>
        <w:jc w:val="center"/>
        <w:rPr>
          <w:rFonts w:ascii="宋体" w:hAnsi="宋体" w:eastAsia="宋体" w:cs="宋体"/>
          <w:color w:val="auto"/>
          <w:sz w:val="32"/>
          <w:highlight w:val="none"/>
        </w:rPr>
      </w:pPr>
      <w:bookmarkStart w:id="214" w:name="_Toc9717"/>
      <w:r>
        <w:rPr>
          <w:rFonts w:hint="eastAsia" w:ascii="宋体" w:hAnsi="宋体" w:eastAsia="宋体" w:cs="宋体"/>
          <w:color w:val="auto"/>
          <w:sz w:val="32"/>
          <w:highlight w:val="none"/>
        </w:rPr>
        <w:t>八、拟投入本项目的人员简历表</w:t>
      </w:r>
      <w:bookmarkEnd w:id="214"/>
    </w:p>
    <w:tbl>
      <w:tblPr>
        <w:tblStyle w:val="19"/>
        <w:tblW w:w="892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87"/>
        <w:gridCol w:w="180"/>
        <w:gridCol w:w="1295"/>
        <w:gridCol w:w="281"/>
        <w:gridCol w:w="763"/>
        <w:gridCol w:w="957"/>
        <w:gridCol w:w="407"/>
        <w:gridCol w:w="1200"/>
        <w:gridCol w:w="630"/>
        <w:gridCol w:w="2027"/>
      </w:tblGrid>
      <w:tr w14:paraId="4FE298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5" w:hRule="atLeast"/>
        </w:trPr>
        <w:tc>
          <w:tcPr>
            <w:tcW w:w="1367" w:type="dxa"/>
            <w:gridSpan w:val="2"/>
            <w:vAlign w:val="center"/>
          </w:tcPr>
          <w:p w14:paraId="216023F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1295" w:type="dxa"/>
            <w:vAlign w:val="center"/>
          </w:tcPr>
          <w:p w14:paraId="479A7D00">
            <w:pPr>
              <w:snapToGrid w:val="0"/>
              <w:spacing w:line="360" w:lineRule="auto"/>
              <w:jc w:val="center"/>
              <w:rPr>
                <w:rFonts w:ascii="宋体" w:hAnsi="宋体" w:cs="宋体"/>
                <w:color w:val="auto"/>
                <w:sz w:val="24"/>
                <w:highlight w:val="none"/>
              </w:rPr>
            </w:pPr>
          </w:p>
        </w:tc>
        <w:tc>
          <w:tcPr>
            <w:tcW w:w="1044" w:type="dxa"/>
            <w:gridSpan w:val="2"/>
            <w:vAlign w:val="center"/>
          </w:tcPr>
          <w:p w14:paraId="69E3CA4B">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364" w:type="dxa"/>
            <w:gridSpan w:val="2"/>
            <w:vAlign w:val="center"/>
          </w:tcPr>
          <w:p w14:paraId="7A7C68DF">
            <w:pPr>
              <w:snapToGrid w:val="0"/>
              <w:spacing w:line="360" w:lineRule="auto"/>
              <w:jc w:val="center"/>
              <w:rPr>
                <w:rFonts w:ascii="宋体" w:hAnsi="宋体" w:cs="宋体"/>
                <w:color w:val="auto"/>
                <w:sz w:val="24"/>
                <w:highlight w:val="none"/>
              </w:rPr>
            </w:pPr>
          </w:p>
        </w:tc>
        <w:tc>
          <w:tcPr>
            <w:tcW w:w="1830" w:type="dxa"/>
            <w:gridSpan w:val="2"/>
            <w:vAlign w:val="center"/>
          </w:tcPr>
          <w:p w14:paraId="5AC8509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2027" w:type="dxa"/>
          </w:tcPr>
          <w:p w14:paraId="658D01A7">
            <w:pPr>
              <w:snapToGrid w:val="0"/>
              <w:spacing w:line="360" w:lineRule="auto"/>
              <w:jc w:val="center"/>
              <w:rPr>
                <w:rFonts w:ascii="宋体" w:hAnsi="宋体" w:cs="宋体"/>
                <w:color w:val="auto"/>
                <w:sz w:val="24"/>
                <w:highlight w:val="none"/>
              </w:rPr>
            </w:pPr>
          </w:p>
        </w:tc>
      </w:tr>
      <w:tr w14:paraId="423C32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trPr>
        <w:tc>
          <w:tcPr>
            <w:tcW w:w="1367" w:type="dxa"/>
            <w:gridSpan w:val="2"/>
            <w:vAlign w:val="center"/>
          </w:tcPr>
          <w:p w14:paraId="285CC38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技术职称</w:t>
            </w:r>
          </w:p>
        </w:tc>
        <w:tc>
          <w:tcPr>
            <w:tcW w:w="1295" w:type="dxa"/>
            <w:vAlign w:val="center"/>
          </w:tcPr>
          <w:p w14:paraId="00FC5F03">
            <w:pPr>
              <w:snapToGrid w:val="0"/>
              <w:spacing w:line="360" w:lineRule="auto"/>
              <w:jc w:val="center"/>
              <w:rPr>
                <w:rFonts w:ascii="宋体" w:hAnsi="宋体" w:cs="宋体"/>
                <w:color w:val="auto"/>
                <w:sz w:val="24"/>
                <w:highlight w:val="none"/>
              </w:rPr>
            </w:pPr>
          </w:p>
        </w:tc>
        <w:tc>
          <w:tcPr>
            <w:tcW w:w="1044" w:type="dxa"/>
            <w:gridSpan w:val="2"/>
            <w:vAlign w:val="center"/>
          </w:tcPr>
          <w:p w14:paraId="48271FB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职务</w:t>
            </w:r>
          </w:p>
        </w:tc>
        <w:tc>
          <w:tcPr>
            <w:tcW w:w="1364" w:type="dxa"/>
            <w:gridSpan w:val="2"/>
            <w:vAlign w:val="center"/>
          </w:tcPr>
          <w:p w14:paraId="301F122D">
            <w:pPr>
              <w:snapToGrid w:val="0"/>
              <w:spacing w:line="360" w:lineRule="auto"/>
              <w:jc w:val="center"/>
              <w:rPr>
                <w:rFonts w:ascii="宋体" w:hAnsi="宋体" w:cs="宋体"/>
                <w:color w:val="auto"/>
                <w:sz w:val="24"/>
                <w:highlight w:val="none"/>
              </w:rPr>
            </w:pPr>
          </w:p>
        </w:tc>
        <w:tc>
          <w:tcPr>
            <w:tcW w:w="1830" w:type="dxa"/>
            <w:gridSpan w:val="2"/>
            <w:vAlign w:val="center"/>
          </w:tcPr>
          <w:p w14:paraId="7CAEDC3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在本项目担任职务</w:t>
            </w:r>
          </w:p>
        </w:tc>
        <w:tc>
          <w:tcPr>
            <w:tcW w:w="2027" w:type="dxa"/>
          </w:tcPr>
          <w:p w14:paraId="0CB3920A">
            <w:pPr>
              <w:snapToGrid w:val="0"/>
              <w:spacing w:line="360" w:lineRule="auto"/>
              <w:jc w:val="center"/>
              <w:rPr>
                <w:rFonts w:ascii="宋体" w:hAnsi="宋体" w:cs="宋体"/>
                <w:color w:val="auto"/>
                <w:sz w:val="24"/>
                <w:highlight w:val="none"/>
              </w:rPr>
            </w:pPr>
          </w:p>
        </w:tc>
      </w:tr>
      <w:tr w14:paraId="162AEE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1367" w:type="dxa"/>
            <w:gridSpan w:val="2"/>
            <w:vAlign w:val="center"/>
          </w:tcPr>
          <w:p w14:paraId="0AB2702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毕业学校</w:t>
            </w:r>
          </w:p>
        </w:tc>
        <w:tc>
          <w:tcPr>
            <w:tcW w:w="3703" w:type="dxa"/>
            <w:gridSpan w:val="5"/>
            <w:vAlign w:val="center"/>
          </w:tcPr>
          <w:p w14:paraId="5B06B95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毕业于      学校 </w:t>
            </w:r>
            <w:bookmarkStart w:id="215" w:name="_Toc27070"/>
            <w:bookmarkStart w:id="216" w:name="_Toc17534"/>
            <w:bookmarkStart w:id="217" w:name="_Toc11072"/>
            <w:bookmarkStart w:id="218" w:name="_Toc16786"/>
            <w:bookmarkStart w:id="219" w:name="_Toc4156"/>
            <w:bookmarkStart w:id="220" w:name="_Toc12140"/>
            <w:r>
              <w:rPr>
                <w:rFonts w:hint="eastAsia" w:ascii="宋体" w:hAnsi="宋体" w:cs="宋体"/>
                <w:color w:val="auto"/>
                <w:sz w:val="24"/>
                <w:highlight w:val="none"/>
              </w:rPr>
              <w:t xml:space="preserve">    专业</w:t>
            </w:r>
          </w:p>
        </w:tc>
        <w:tc>
          <w:tcPr>
            <w:tcW w:w="1830" w:type="dxa"/>
            <w:gridSpan w:val="2"/>
            <w:vAlign w:val="center"/>
          </w:tcPr>
          <w:p w14:paraId="4876D96F">
            <w:pPr>
              <w:snapToGrid w:val="0"/>
              <w:spacing w:line="360" w:lineRule="auto"/>
              <w:jc w:val="center"/>
              <w:rPr>
                <w:rFonts w:ascii="宋体" w:hAnsi="宋体" w:cs="宋体"/>
                <w:color w:val="auto"/>
                <w:sz w:val="24"/>
                <w:highlight w:val="none"/>
              </w:rPr>
            </w:pPr>
            <w:r>
              <w:rPr>
                <w:rFonts w:hint="eastAsia" w:ascii="宋体" w:hAnsi="宋体" w:cs="宋体"/>
                <w:color w:val="auto"/>
                <w:position w:val="-30"/>
                <w:sz w:val="24"/>
                <w:highlight w:val="none"/>
              </w:rPr>
              <w:t>从事监测工作年限</w:t>
            </w:r>
          </w:p>
        </w:tc>
        <w:tc>
          <w:tcPr>
            <w:tcW w:w="2027" w:type="dxa"/>
          </w:tcPr>
          <w:p w14:paraId="0D1523D8">
            <w:pPr>
              <w:snapToGrid w:val="0"/>
              <w:spacing w:line="360" w:lineRule="auto"/>
              <w:jc w:val="center"/>
              <w:rPr>
                <w:rFonts w:ascii="宋体" w:hAnsi="宋体" w:cs="宋体"/>
                <w:color w:val="auto"/>
                <w:sz w:val="24"/>
                <w:highlight w:val="none"/>
              </w:rPr>
            </w:pPr>
          </w:p>
        </w:tc>
      </w:tr>
      <w:tr w14:paraId="6F7917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2943" w:type="dxa"/>
            <w:gridSpan w:val="4"/>
            <w:vAlign w:val="center"/>
          </w:tcPr>
          <w:p w14:paraId="7C02A8F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执业资格证号或注册证号</w:t>
            </w:r>
          </w:p>
        </w:tc>
        <w:tc>
          <w:tcPr>
            <w:tcW w:w="5984" w:type="dxa"/>
            <w:gridSpan w:val="6"/>
          </w:tcPr>
          <w:p w14:paraId="67C7F442">
            <w:pPr>
              <w:snapToGrid w:val="0"/>
              <w:spacing w:line="360" w:lineRule="auto"/>
              <w:rPr>
                <w:rFonts w:ascii="宋体" w:hAnsi="宋体" w:cs="宋体"/>
                <w:color w:val="auto"/>
                <w:sz w:val="24"/>
                <w:highlight w:val="none"/>
              </w:rPr>
            </w:pPr>
          </w:p>
        </w:tc>
      </w:tr>
      <w:tr w14:paraId="41881A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8927" w:type="dxa"/>
            <w:gridSpan w:val="10"/>
            <w:vAlign w:val="center"/>
          </w:tcPr>
          <w:p w14:paraId="5615B71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主要业绩经历</w:t>
            </w:r>
          </w:p>
        </w:tc>
      </w:tr>
      <w:tr w14:paraId="168BD7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trPr>
        <w:tc>
          <w:tcPr>
            <w:tcW w:w="1187" w:type="dxa"/>
            <w:vAlign w:val="center"/>
          </w:tcPr>
          <w:p w14:paraId="59FC813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时间</w:t>
            </w:r>
          </w:p>
        </w:tc>
        <w:tc>
          <w:tcPr>
            <w:tcW w:w="3476" w:type="dxa"/>
            <w:gridSpan w:val="5"/>
            <w:vAlign w:val="center"/>
          </w:tcPr>
          <w:p w14:paraId="1EAE8D4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参加过的主要工作</w:t>
            </w:r>
          </w:p>
        </w:tc>
        <w:tc>
          <w:tcPr>
            <w:tcW w:w="1607" w:type="dxa"/>
            <w:gridSpan w:val="2"/>
            <w:vAlign w:val="center"/>
          </w:tcPr>
          <w:p w14:paraId="04F69C8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担任何职</w:t>
            </w:r>
          </w:p>
        </w:tc>
        <w:tc>
          <w:tcPr>
            <w:tcW w:w="2657" w:type="dxa"/>
            <w:gridSpan w:val="2"/>
            <w:vAlign w:val="center"/>
          </w:tcPr>
          <w:p w14:paraId="2C1B331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获得的奖励情况</w:t>
            </w:r>
          </w:p>
        </w:tc>
      </w:tr>
      <w:tr w14:paraId="77962B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87" w:type="dxa"/>
          </w:tcPr>
          <w:p w14:paraId="108206A6">
            <w:pPr>
              <w:snapToGrid w:val="0"/>
              <w:spacing w:line="360" w:lineRule="auto"/>
              <w:rPr>
                <w:rFonts w:ascii="宋体" w:hAnsi="宋体" w:cs="宋体"/>
                <w:color w:val="auto"/>
                <w:sz w:val="24"/>
                <w:highlight w:val="none"/>
              </w:rPr>
            </w:pPr>
          </w:p>
        </w:tc>
        <w:tc>
          <w:tcPr>
            <w:tcW w:w="3476" w:type="dxa"/>
            <w:gridSpan w:val="5"/>
          </w:tcPr>
          <w:p w14:paraId="10EF6C80">
            <w:pPr>
              <w:snapToGrid w:val="0"/>
              <w:spacing w:line="360" w:lineRule="auto"/>
              <w:rPr>
                <w:rFonts w:ascii="宋体" w:hAnsi="宋体" w:cs="宋体"/>
                <w:color w:val="auto"/>
                <w:sz w:val="24"/>
                <w:highlight w:val="none"/>
              </w:rPr>
            </w:pPr>
          </w:p>
        </w:tc>
        <w:tc>
          <w:tcPr>
            <w:tcW w:w="1607" w:type="dxa"/>
            <w:gridSpan w:val="2"/>
          </w:tcPr>
          <w:p w14:paraId="0165A40B">
            <w:pPr>
              <w:snapToGrid w:val="0"/>
              <w:spacing w:line="360" w:lineRule="auto"/>
              <w:rPr>
                <w:rFonts w:ascii="宋体" w:hAnsi="宋体" w:cs="宋体"/>
                <w:color w:val="auto"/>
                <w:sz w:val="24"/>
                <w:highlight w:val="none"/>
              </w:rPr>
            </w:pPr>
          </w:p>
        </w:tc>
        <w:tc>
          <w:tcPr>
            <w:tcW w:w="2657" w:type="dxa"/>
            <w:gridSpan w:val="2"/>
          </w:tcPr>
          <w:p w14:paraId="11B68B07">
            <w:pPr>
              <w:snapToGrid w:val="0"/>
              <w:spacing w:line="360" w:lineRule="auto"/>
              <w:rPr>
                <w:rFonts w:ascii="宋体" w:hAnsi="宋体" w:cs="宋体"/>
                <w:color w:val="auto"/>
                <w:sz w:val="24"/>
                <w:highlight w:val="none"/>
              </w:rPr>
            </w:pPr>
          </w:p>
        </w:tc>
      </w:tr>
      <w:tr w14:paraId="75A8E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87" w:type="dxa"/>
          </w:tcPr>
          <w:p w14:paraId="2F22574D">
            <w:pPr>
              <w:snapToGrid w:val="0"/>
              <w:spacing w:line="360" w:lineRule="auto"/>
              <w:rPr>
                <w:rFonts w:ascii="宋体" w:hAnsi="宋体" w:cs="宋体"/>
                <w:color w:val="auto"/>
                <w:sz w:val="24"/>
                <w:highlight w:val="none"/>
              </w:rPr>
            </w:pPr>
          </w:p>
        </w:tc>
        <w:tc>
          <w:tcPr>
            <w:tcW w:w="3476" w:type="dxa"/>
            <w:gridSpan w:val="5"/>
          </w:tcPr>
          <w:p w14:paraId="73EE9485">
            <w:pPr>
              <w:snapToGrid w:val="0"/>
              <w:spacing w:line="360" w:lineRule="auto"/>
              <w:rPr>
                <w:rFonts w:ascii="宋体" w:hAnsi="宋体" w:cs="宋体"/>
                <w:color w:val="auto"/>
                <w:sz w:val="24"/>
                <w:highlight w:val="none"/>
              </w:rPr>
            </w:pPr>
          </w:p>
        </w:tc>
        <w:tc>
          <w:tcPr>
            <w:tcW w:w="1607" w:type="dxa"/>
            <w:gridSpan w:val="2"/>
          </w:tcPr>
          <w:p w14:paraId="25CB48EF">
            <w:pPr>
              <w:snapToGrid w:val="0"/>
              <w:spacing w:line="360" w:lineRule="auto"/>
              <w:rPr>
                <w:rFonts w:ascii="宋体" w:hAnsi="宋体" w:cs="宋体"/>
                <w:color w:val="auto"/>
                <w:sz w:val="24"/>
                <w:highlight w:val="none"/>
              </w:rPr>
            </w:pPr>
          </w:p>
        </w:tc>
        <w:tc>
          <w:tcPr>
            <w:tcW w:w="2657" w:type="dxa"/>
            <w:gridSpan w:val="2"/>
          </w:tcPr>
          <w:p w14:paraId="7E817755">
            <w:pPr>
              <w:snapToGrid w:val="0"/>
              <w:spacing w:line="360" w:lineRule="auto"/>
              <w:rPr>
                <w:rFonts w:ascii="宋体" w:hAnsi="宋体" w:cs="宋体"/>
                <w:color w:val="auto"/>
                <w:sz w:val="24"/>
                <w:highlight w:val="none"/>
              </w:rPr>
            </w:pPr>
          </w:p>
        </w:tc>
      </w:tr>
      <w:tr w14:paraId="57FCB8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87" w:type="dxa"/>
          </w:tcPr>
          <w:p w14:paraId="0D437CA9">
            <w:pPr>
              <w:snapToGrid w:val="0"/>
              <w:spacing w:line="360" w:lineRule="auto"/>
              <w:rPr>
                <w:rFonts w:ascii="宋体" w:hAnsi="宋体" w:cs="宋体"/>
                <w:color w:val="auto"/>
                <w:sz w:val="24"/>
                <w:highlight w:val="none"/>
              </w:rPr>
            </w:pPr>
          </w:p>
        </w:tc>
        <w:tc>
          <w:tcPr>
            <w:tcW w:w="3476" w:type="dxa"/>
            <w:gridSpan w:val="5"/>
          </w:tcPr>
          <w:p w14:paraId="1D3BD375">
            <w:pPr>
              <w:snapToGrid w:val="0"/>
              <w:spacing w:line="360" w:lineRule="auto"/>
              <w:rPr>
                <w:rFonts w:ascii="宋体" w:hAnsi="宋体" w:cs="宋体"/>
                <w:color w:val="auto"/>
                <w:sz w:val="24"/>
                <w:highlight w:val="none"/>
              </w:rPr>
            </w:pPr>
          </w:p>
        </w:tc>
        <w:tc>
          <w:tcPr>
            <w:tcW w:w="1607" w:type="dxa"/>
            <w:gridSpan w:val="2"/>
          </w:tcPr>
          <w:p w14:paraId="36C1A563">
            <w:pPr>
              <w:snapToGrid w:val="0"/>
              <w:spacing w:line="360" w:lineRule="auto"/>
              <w:rPr>
                <w:rFonts w:ascii="宋体" w:hAnsi="宋体" w:cs="宋体"/>
                <w:color w:val="auto"/>
                <w:sz w:val="24"/>
                <w:highlight w:val="none"/>
              </w:rPr>
            </w:pPr>
          </w:p>
        </w:tc>
        <w:tc>
          <w:tcPr>
            <w:tcW w:w="2657" w:type="dxa"/>
            <w:gridSpan w:val="2"/>
          </w:tcPr>
          <w:p w14:paraId="2F3547B4">
            <w:pPr>
              <w:snapToGrid w:val="0"/>
              <w:spacing w:line="360" w:lineRule="auto"/>
              <w:rPr>
                <w:rFonts w:ascii="宋体" w:hAnsi="宋体" w:cs="宋体"/>
                <w:color w:val="auto"/>
                <w:sz w:val="24"/>
                <w:highlight w:val="none"/>
              </w:rPr>
            </w:pPr>
          </w:p>
        </w:tc>
      </w:tr>
      <w:tr w14:paraId="6BA661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87" w:type="dxa"/>
          </w:tcPr>
          <w:p w14:paraId="50233947">
            <w:pPr>
              <w:snapToGrid w:val="0"/>
              <w:spacing w:line="360" w:lineRule="auto"/>
              <w:rPr>
                <w:rFonts w:ascii="宋体" w:hAnsi="宋体" w:cs="宋体"/>
                <w:color w:val="auto"/>
                <w:sz w:val="24"/>
                <w:highlight w:val="none"/>
              </w:rPr>
            </w:pPr>
          </w:p>
        </w:tc>
        <w:tc>
          <w:tcPr>
            <w:tcW w:w="3476" w:type="dxa"/>
            <w:gridSpan w:val="5"/>
          </w:tcPr>
          <w:p w14:paraId="5CF83070">
            <w:pPr>
              <w:snapToGrid w:val="0"/>
              <w:spacing w:line="360" w:lineRule="auto"/>
              <w:rPr>
                <w:rFonts w:ascii="宋体" w:hAnsi="宋体" w:cs="宋体"/>
                <w:color w:val="auto"/>
                <w:sz w:val="24"/>
                <w:highlight w:val="none"/>
              </w:rPr>
            </w:pPr>
          </w:p>
        </w:tc>
        <w:tc>
          <w:tcPr>
            <w:tcW w:w="1607" w:type="dxa"/>
            <w:gridSpan w:val="2"/>
          </w:tcPr>
          <w:p w14:paraId="11B79B34">
            <w:pPr>
              <w:snapToGrid w:val="0"/>
              <w:spacing w:line="360" w:lineRule="auto"/>
              <w:rPr>
                <w:rFonts w:ascii="宋体" w:hAnsi="宋体" w:cs="宋体"/>
                <w:color w:val="auto"/>
                <w:sz w:val="24"/>
                <w:highlight w:val="none"/>
              </w:rPr>
            </w:pPr>
          </w:p>
        </w:tc>
        <w:tc>
          <w:tcPr>
            <w:tcW w:w="2657" w:type="dxa"/>
            <w:gridSpan w:val="2"/>
          </w:tcPr>
          <w:p w14:paraId="6E9D06A7">
            <w:pPr>
              <w:snapToGrid w:val="0"/>
              <w:spacing w:line="360" w:lineRule="auto"/>
              <w:rPr>
                <w:rFonts w:ascii="宋体" w:hAnsi="宋体" w:cs="宋体"/>
                <w:color w:val="auto"/>
                <w:sz w:val="24"/>
                <w:highlight w:val="none"/>
              </w:rPr>
            </w:pPr>
          </w:p>
        </w:tc>
      </w:tr>
      <w:tr w14:paraId="7348CE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87" w:type="dxa"/>
          </w:tcPr>
          <w:p w14:paraId="58E97A63">
            <w:pPr>
              <w:snapToGrid w:val="0"/>
              <w:spacing w:line="360" w:lineRule="auto"/>
              <w:rPr>
                <w:rFonts w:ascii="宋体" w:hAnsi="宋体" w:cs="宋体"/>
                <w:color w:val="auto"/>
                <w:sz w:val="24"/>
                <w:highlight w:val="none"/>
              </w:rPr>
            </w:pPr>
          </w:p>
        </w:tc>
        <w:tc>
          <w:tcPr>
            <w:tcW w:w="3476" w:type="dxa"/>
            <w:gridSpan w:val="5"/>
          </w:tcPr>
          <w:p w14:paraId="14D9B64B">
            <w:pPr>
              <w:snapToGrid w:val="0"/>
              <w:spacing w:line="360" w:lineRule="auto"/>
              <w:rPr>
                <w:rFonts w:ascii="宋体" w:hAnsi="宋体" w:cs="宋体"/>
                <w:color w:val="auto"/>
                <w:sz w:val="24"/>
                <w:highlight w:val="none"/>
              </w:rPr>
            </w:pPr>
          </w:p>
        </w:tc>
        <w:tc>
          <w:tcPr>
            <w:tcW w:w="1607" w:type="dxa"/>
            <w:gridSpan w:val="2"/>
          </w:tcPr>
          <w:p w14:paraId="56F3F9A9">
            <w:pPr>
              <w:snapToGrid w:val="0"/>
              <w:spacing w:line="360" w:lineRule="auto"/>
              <w:rPr>
                <w:rFonts w:ascii="宋体" w:hAnsi="宋体" w:cs="宋体"/>
                <w:color w:val="auto"/>
                <w:sz w:val="24"/>
                <w:highlight w:val="none"/>
              </w:rPr>
            </w:pPr>
          </w:p>
        </w:tc>
        <w:tc>
          <w:tcPr>
            <w:tcW w:w="2657" w:type="dxa"/>
            <w:gridSpan w:val="2"/>
          </w:tcPr>
          <w:p w14:paraId="17087630">
            <w:pPr>
              <w:snapToGrid w:val="0"/>
              <w:spacing w:line="360" w:lineRule="auto"/>
              <w:rPr>
                <w:rFonts w:ascii="宋体" w:hAnsi="宋体" w:cs="宋体"/>
                <w:color w:val="auto"/>
                <w:sz w:val="24"/>
                <w:highlight w:val="none"/>
              </w:rPr>
            </w:pPr>
          </w:p>
        </w:tc>
      </w:tr>
      <w:tr w14:paraId="08D721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87" w:type="dxa"/>
          </w:tcPr>
          <w:p w14:paraId="3DE49C66">
            <w:pPr>
              <w:snapToGrid w:val="0"/>
              <w:spacing w:line="360" w:lineRule="auto"/>
              <w:rPr>
                <w:rFonts w:ascii="宋体" w:hAnsi="宋体" w:cs="宋体"/>
                <w:color w:val="auto"/>
                <w:sz w:val="24"/>
                <w:highlight w:val="none"/>
              </w:rPr>
            </w:pPr>
          </w:p>
        </w:tc>
        <w:tc>
          <w:tcPr>
            <w:tcW w:w="3476" w:type="dxa"/>
            <w:gridSpan w:val="5"/>
          </w:tcPr>
          <w:p w14:paraId="17C24935">
            <w:pPr>
              <w:snapToGrid w:val="0"/>
              <w:spacing w:line="360" w:lineRule="auto"/>
              <w:rPr>
                <w:rFonts w:ascii="宋体" w:hAnsi="宋体" w:cs="宋体"/>
                <w:color w:val="auto"/>
                <w:sz w:val="24"/>
                <w:highlight w:val="none"/>
              </w:rPr>
            </w:pPr>
          </w:p>
        </w:tc>
        <w:tc>
          <w:tcPr>
            <w:tcW w:w="1607" w:type="dxa"/>
            <w:gridSpan w:val="2"/>
          </w:tcPr>
          <w:p w14:paraId="42950018">
            <w:pPr>
              <w:snapToGrid w:val="0"/>
              <w:spacing w:line="360" w:lineRule="auto"/>
              <w:rPr>
                <w:rFonts w:ascii="宋体" w:hAnsi="宋体" w:cs="宋体"/>
                <w:color w:val="auto"/>
                <w:sz w:val="24"/>
                <w:highlight w:val="none"/>
              </w:rPr>
            </w:pPr>
          </w:p>
        </w:tc>
        <w:tc>
          <w:tcPr>
            <w:tcW w:w="2657" w:type="dxa"/>
            <w:gridSpan w:val="2"/>
          </w:tcPr>
          <w:p w14:paraId="2A90AD6B">
            <w:pPr>
              <w:snapToGrid w:val="0"/>
              <w:spacing w:line="360" w:lineRule="auto"/>
              <w:rPr>
                <w:rFonts w:ascii="宋体" w:hAnsi="宋体" w:cs="宋体"/>
                <w:color w:val="auto"/>
                <w:sz w:val="24"/>
                <w:highlight w:val="none"/>
              </w:rPr>
            </w:pPr>
          </w:p>
        </w:tc>
      </w:tr>
      <w:tr w14:paraId="034215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87" w:type="dxa"/>
          </w:tcPr>
          <w:p w14:paraId="70459857">
            <w:pPr>
              <w:snapToGrid w:val="0"/>
              <w:spacing w:line="360" w:lineRule="auto"/>
              <w:rPr>
                <w:rFonts w:ascii="宋体" w:hAnsi="宋体" w:cs="宋体"/>
                <w:color w:val="auto"/>
                <w:sz w:val="24"/>
                <w:highlight w:val="none"/>
              </w:rPr>
            </w:pPr>
          </w:p>
        </w:tc>
        <w:tc>
          <w:tcPr>
            <w:tcW w:w="3476" w:type="dxa"/>
            <w:gridSpan w:val="5"/>
          </w:tcPr>
          <w:p w14:paraId="0B19154B">
            <w:pPr>
              <w:snapToGrid w:val="0"/>
              <w:spacing w:line="360" w:lineRule="auto"/>
              <w:rPr>
                <w:rFonts w:ascii="宋体" w:hAnsi="宋体" w:cs="宋体"/>
                <w:color w:val="auto"/>
                <w:sz w:val="24"/>
                <w:highlight w:val="none"/>
              </w:rPr>
            </w:pPr>
          </w:p>
        </w:tc>
        <w:tc>
          <w:tcPr>
            <w:tcW w:w="1607" w:type="dxa"/>
            <w:gridSpan w:val="2"/>
          </w:tcPr>
          <w:p w14:paraId="41C2973C">
            <w:pPr>
              <w:snapToGrid w:val="0"/>
              <w:spacing w:line="360" w:lineRule="auto"/>
              <w:rPr>
                <w:rFonts w:ascii="宋体" w:hAnsi="宋体" w:cs="宋体"/>
                <w:color w:val="auto"/>
                <w:sz w:val="24"/>
                <w:highlight w:val="none"/>
              </w:rPr>
            </w:pPr>
          </w:p>
        </w:tc>
        <w:tc>
          <w:tcPr>
            <w:tcW w:w="2657" w:type="dxa"/>
            <w:gridSpan w:val="2"/>
          </w:tcPr>
          <w:p w14:paraId="229E2A9F">
            <w:pPr>
              <w:snapToGrid w:val="0"/>
              <w:spacing w:line="360" w:lineRule="auto"/>
              <w:rPr>
                <w:rFonts w:ascii="宋体" w:hAnsi="宋体" w:cs="宋体"/>
                <w:color w:val="auto"/>
                <w:sz w:val="24"/>
                <w:highlight w:val="none"/>
              </w:rPr>
            </w:pPr>
          </w:p>
        </w:tc>
      </w:tr>
      <w:tr w14:paraId="0CB2CB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87" w:type="dxa"/>
          </w:tcPr>
          <w:p w14:paraId="5330333A">
            <w:pPr>
              <w:snapToGrid w:val="0"/>
              <w:spacing w:line="360" w:lineRule="auto"/>
              <w:rPr>
                <w:rFonts w:ascii="宋体" w:hAnsi="宋体" w:cs="宋体"/>
                <w:color w:val="auto"/>
                <w:sz w:val="24"/>
                <w:highlight w:val="none"/>
              </w:rPr>
            </w:pPr>
          </w:p>
        </w:tc>
        <w:tc>
          <w:tcPr>
            <w:tcW w:w="3476" w:type="dxa"/>
            <w:gridSpan w:val="5"/>
          </w:tcPr>
          <w:p w14:paraId="7E13579B">
            <w:pPr>
              <w:snapToGrid w:val="0"/>
              <w:spacing w:line="360" w:lineRule="auto"/>
              <w:rPr>
                <w:rFonts w:ascii="宋体" w:hAnsi="宋体" w:cs="宋体"/>
                <w:color w:val="auto"/>
                <w:sz w:val="24"/>
                <w:highlight w:val="none"/>
              </w:rPr>
            </w:pPr>
          </w:p>
        </w:tc>
        <w:tc>
          <w:tcPr>
            <w:tcW w:w="1607" w:type="dxa"/>
            <w:gridSpan w:val="2"/>
          </w:tcPr>
          <w:p w14:paraId="0E7AA817">
            <w:pPr>
              <w:snapToGrid w:val="0"/>
              <w:spacing w:line="360" w:lineRule="auto"/>
              <w:rPr>
                <w:rFonts w:ascii="宋体" w:hAnsi="宋体" w:cs="宋体"/>
                <w:color w:val="auto"/>
                <w:sz w:val="24"/>
                <w:highlight w:val="none"/>
              </w:rPr>
            </w:pPr>
          </w:p>
        </w:tc>
        <w:tc>
          <w:tcPr>
            <w:tcW w:w="2657" w:type="dxa"/>
            <w:gridSpan w:val="2"/>
          </w:tcPr>
          <w:p w14:paraId="2456AE69">
            <w:pPr>
              <w:snapToGrid w:val="0"/>
              <w:spacing w:line="360" w:lineRule="auto"/>
              <w:rPr>
                <w:rFonts w:ascii="宋体" w:hAnsi="宋体" w:cs="宋体"/>
                <w:color w:val="auto"/>
                <w:sz w:val="24"/>
                <w:highlight w:val="none"/>
              </w:rPr>
            </w:pPr>
          </w:p>
        </w:tc>
      </w:tr>
      <w:tr w14:paraId="3D0760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87" w:type="dxa"/>
          </w:tcPr>
          <w:p w14:paraId="76817DC2">
            <w:pPr>
              <w:snapToGrid w:val="0"/>
              <w:spacing w:line="360" w:lineRule="auto"/>
              <w:rPr>
                <w:rFonts w:ascii="宋体" w:hAnsi="宋体" w:cs="宋体"/>
                <w:color w:val="auto"/>
                <w:sz w:val="24"/>
                <w:highlight w:val="none"/>
              </w:rPr>
            </w:pPr>
          </w:p>
        </w:tc>
        <w:tc>
          <w:tcPr>
            <w:tcW w:w="3476" w:type="dxa"/>
            <w:gridSpan w:val="5"/>
          </w:tcPr>
          <w:p w14:paraId="2B07B028">
            <w:pPr>
              <w:snapToGrid w:val="0"/>
              <w:spacing w:line="360" w:lineRule="auto"/>
              <w:rPr>
                <w:rFonts w:ascii="宋体" w:hAnsi="宋体" w:cs="宋体"/>
                <w:color w:val="auto"/>
                <w:sz w:val="24"/>
                <w:highlight w:val="none"/>
              </w:rPr>
            </w:pPr>
          </w:p>
        </w:tc>
        <w:tc>
          <w:tcPr>
            <w:tcW w:w="1607" w:type="dxa"/>
            <w:gridSpan w:val="2"/>
          </w:tcPr>
          <w:p w14:paraId="38D50C8D">
            <w:pPr>
              <w:snapToGrid w:val="0"/>
              <w:spacing w:line="360" w:lineRule="auto"/>
              <w:rPr>
                <w:rFonts w:ascii="宋体" w:hAnsi="宋体" w:cs="宋体"/>
                <w:color w:val="auto"/>
                <w:sz w:val="24"/>
                <w:highlight w:val="none"/>
              </w:rPr>
            </w:pPr>
          </w:p>
        </w:tc>
        <w:tc>
          <w:tcPr>
            <w:tcW w:w="2657" w:type="dxa"/>
            <w:gridSpan w:val="2"/>
          </w:tcPr>
          <w:p w14:paraId="374BD679">
            <w:pPr>
              <w:snapToGrid w:val="0"/>
              <w:spacing w:line="360" w:lineRule="auto"/>
              <w:rPr>
                <w:rFonts w:ascii="宋体" w:hAnsi="宋体" w:cs="宋体"/>
                <w:color w:val="auto"/>
                <w:sz w:val="24"/>
                <w:highlight w:val="none"/>
              </w:rPr>
            </w:pPr>
          </w:p>
        </w:tc>
      </w:tr>
    </w:tbl>
    <w:p w14:paraId="0CB22031">
      <w:pPr>
        <w:widowControl/>
        <w:spacing w:line="360" w:lineRule="auto"/>
        <w:jc w:val="left"/>
        <w:rPr>
          <w:rFonts w:ascii="宋体" w:hAnsi="宋体" w:cs="宋体"/>
          <w:color w:val="auto"/>
          <w:sz w:val="24"/>
          <w:highlight w:val="none"/>
        </w:rPr>
      </w:pPr>
    </w:p>
    <w:p w14:paraId="561E5294">
      <w:pPr>
        <w:spacing w:line="360" w:lineRule="auto"/>
        <w:rPr>
          <w:rFonts w:ascii="宋体" w:hAnsi="宋体" w:cs="宋体"/>
          <w:color w:val="auto"/>
          <w:highlight w:val="none"/>
        </w:rPr>
      </w:pPr>
      <w:r>
        <w:rPr>
          <w:rFonts w:hint="eastAsia" w:ascii="宋体" w:hAnsi="宋体" w:cs="宋体"/>
          <w:color w:val="auto"/>
          <w:highlight w:val="none"/>
        </w:rPr>
        <w:t>注：投标人应根据招标文件的要求在本表后附相关证明材料</w:t>
      </w:r>
    </w:p>
    <w:p w14:paraId="7327BD7A">
      <w:pPr>
        <w:spacing w:line="360" w:lineRule="auto"/>
        <w:jc w:val="left"/>
        <w:rPr>
          <w:rFonts w:ascii="宋体" w:hAnsi="宋体" w:cs="宋体"/>
          <w:color w:val="auto"/>
          <w:sz w:val="28"/>
          <w:szCs w:val="28"/>
          <w:highlight w:val="none"/>
        </w:rPr>
      </w:pPr>
      <w:r>
        <w:rPr>
          <w:rFonts w:hint="eastAsia" w:ascii="宋体" w:hAnsi="宋体" w:cs="宋体"/>
          <w:color w:val="auto"/>
          <w:highlight w:val="none"/>
        </w:rPr>
        <w:t>（本项不作为资格审查内容，但（如有）需提供，仅作为投标人的评标（综合评分）资料进行考察。表格格式可以根据实际情况调整。）</w:t>
      </w:r>
    </w:p>
    <w:p w14:paraId="1FB785F5">
      <w:pPr>
        <w:keepNext/>
        <w:keepLines/>
        <w:spacing w:line="360" w:lineRule="auto"/>
        <w:jc w:val="center"/>
        <w:outlineLvl w:val="1"/>
        <w:rPr>
          <w:rFonts w:ascii="宋体" w:hAnsi="宋体" w:cs="宋体"/>
          <w:color w:val="auto"/>
          <w:sz w:val="32"/>
          <w:highlight w:val="none"/>
        </w:rPr>
      </w:pPr>
      <w:r>
        <w:rPr>
          <w:rFonts w:hint="eastAsia" w:ascii="宋体" w:hAnsi="宋体" w:cs="宋体"/>
          <w:b/>
          <w:bCs/>
          <w:color w:val="auto"/>
          <w:sz w:val="40"/>
          <w:szCs w:val="32"/>
          <w:highlight w:val="none"/>
        </w:rPr>
        <w:br w:type="page"/>
      </w:r>
      <w:bookmarkEnd w:id="215"/>
      <w:bookmarkEnd w:id="216"/>
      <w:bookmarkEnd w:id="217"/>
      <w:bookmarkEnd w:id="218"/>
      <w:bookmarkEnd w:id="219"/>
      <w:bookmarkEnd w:id="220"/>
    </w:p>
    <w:p w14:paraId="16A7E59A">
      <w:pPr>
        <w:pStyle w:val="4"/>
        <w:spacing w:before="0" w:after="0" w:line="360" w:lineRule="auto"/>
        <w:jc w:val="center"/>
        <w:rPr>
          <w:rFonts w:ascii="宋体" w:hAnsi="宋体" w:eastAsia="宋体" w:cs="宋体"/>
          <w:color w:val="auto"/>
          <w:highlight w:val="none"/>
        </w:rPr>
      </w:pPr>
      <w:bookmarkStart w:id="221" w:name="_Toc6338"/>
      <w:r>
        <w:rPr>
          <w:rFonts w:hint="eastAsia" w:ascii="宋体" w:hAnsi="宋体" w:eastAsia="宋体" w:cs="宋体"/>
          <w:color w:val="auto"/>
          <w:sz w:val="32"/>
          <w:highlight w:val="none"/>
        </w:rPr>
        <w:t>九、拟投入本项目的主要仪器设备一览表</w:t>
      </w:r>
      <w:bookmarkEnd w:id="221"/>
    </w:p>
    <w:tbl>
      <w:tblPr>
        <w:tblStyle w:val="19"/>
        <w:tblW w:w="9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793"/>
        <w:gridCol w:w="900"/>
        <w:gridCol w:w="992"/>
        <w:gridCol w:w="1785"/>
        <w:gridCol w:w="1116"/>
        <w:gridCol w:w="1341"/>
        <w:gridCol w:w="1080"/>
      </w:tblGrid>
      <w:tr w14:paraId="6311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36" w:type="dxa"/>
            <w:vMerge w:val="restart"/>
            <w:vAlign w:val="center"/>
          </w:tcPr>
          <w:p w14:paraId="4A215FA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793" w:type="dxa"/>
            <w:vMerge w:val="restart"/>
            <w:vAlign w:val="center"/>
          </w:tcPr>
          <w:p w14:paraId="5CA9EF3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设备名称</w:t>
            </w:r>
          </w:p>
        </w:tc>
        <w:tc>
          <w:tcPr>
            <w:tcW w:w="900" w:type="dxa"/>
            <w:vMerge w:val="restart"/>
            <w:vAlign w:val="center"/>
          </w:tcPr>
          <w:p w14:paraId="5FA40AD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本项目</w:t>
            </w:r>
          </w:p>
          <w:p w14:paraId="3111BF6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数量基本要求</w:t>
            </w:r>
          </w:p>
        </w:tc>
        <w:tc>
          <w:tcPr>
            <w:tcW w:w="6314" w:type="dxa"/>
            <w:gridSpan w:val="5"/>
            <w:vAlign w:val="center"/>
          </w:tcPr>
          <w:p w14:paraId="2A70873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投标人填写</w:t>
            </w:r>
          </w:p>
        </w:tc>
      </w:tr>
      <w:tr w14:paraId="1E11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36" w:type="dxa"/>
            <w:vMerge w:val="continue"/>
            <w:vAlign w:val="center"/>
          </w:tcPr>
          <w:p w14:paraId="025ECE1E">
            <w:pPr>
              <w:spacing w:line="360" w:lineRule="auto"/>
              <w:jc w:val="center"/>
              <w:rPr>
                <w:rFonts w:ascii="宋体" w:hAnsi="宋体" w:cs="宋体"/>
                <w:color w:val="auto"/>
                <w:szCs w:val="21"/>
                <w:highlight w:val="none"/>
              </w:rPr>
            </w:pPr>
          </w:p>
        </w:tc>
        <w:tc>
          <w:tcPr>
            <w:tcW w:w="1793" w:type="dxa"/>
            <w:vMerge w:val="continue"/>
            <w:vAlign w:val="center"/>
          </w:tcPr>
          <w:p w14:paraId="3F15B940">
            <w:pPr>
              <w:spacing w:line="360" w:lineRule="auto"/>
              <w:jc w:val="center"/>
              <w:rPr>
                <w:rFonts w:ascii="宋体" w:hAnsi="宋体" w:cs="宋体"/>
                <w:color w:val="auto"/>
                <w:szCs w:val="21"/>
                <w:highlight w:val="none"/>
              </w:rPr>
            </w:pPr>
          </w:p>
        </w:tc>
        <w:tc>
          <w:tcPr>
            <w:tcW w:w="900" w:type="dxa"/>
            <w:vMerge w:val="continue"/>
            <w:vAlign w:val="center"/>
          </w:tcPr>
          <w:p w14:paraId="4D77FAD5">
            <w:pPr>
              <w:spacing w:line="360" w:lineRule="auto"/>
              <w:jc w:val="center"/>
              <w:rPr>
                <w:rFonts w:ascii="宋体" w:hAnsi="宋体" w:cs="宋体"/>
                <w:color w:val="auto"/>
                <w:szCs w:val="21"/>
                <w:highlight w:val="none"/>
              </w:rPr>
            </w:pPr>
          </w:p>
        </w:tc>
        <w:tc>
          <w:tcPr>
            <w:tcW w:w="992" w:type="dxa"/>
            <w:vAlign w:val="center"/>
          </w:tcPr>
          <w:p w14:paraId="132C3F5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1785" w:type="dxa"/>
            <w:vAlign w:val="center"/>
          </w:tcPr>
          <w:p w14:paraId="6F37347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检定/校准机构</w:t>
            </w:r>
          </w:p>
        </w:tc>
        <w:tc>
          <w:tcPr>
            <w:tcW w:w="1116" w:type="dxa"/>
            <w:vAlign w:val="center"/>
          </w:tcPr>
          <w:p w14:paraId="1A42518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有效期</w:t>
            </w:r>
          </w:p>
        </w:tc>
        <w:tc>
          <w:tcPr>
            <w:tcW w:w="1341" w:type="dxa"/>
            <w:vAlign w:val="center"/>
          </w:tcPr>
          <w:p w14:paraId="29259A22">
            <w:pPr>
              <w:spacing w:line="360" w:lineRule="auto"/>
              <w:jc w:val="center"/>
              <w:rPr>
                <w:rFonts w:ascii="宋体" w:hAnsi="宋体" w:cs="宋体"/>
                <w:color w:val="auto"/>
                <w:szCs w:val="21"/>
                <w:highlight w:val="none"/>
              </w:rPr>
            </w:pPr>
            <w:bookmarkStart w:id="222" w:name="_Toc532367899"/>
            <w:bookmarkStart w:id="223" w:name="_Toc31367"/>
            <w:bookmarkStart w:id="224" w:name="_Toc76"/>
            <w:bookmarkStart w:id="225" w:name="_Toc30833"/>
            <w:bookmarkStart w:id="226" w:name="_Toc25992"/>
            <w:bookmarkStart w:id="227" w:name="_Toc168"/>
            <w:bookmarkStart w:id="228" w:name="_Toc23148"/>
            <w:bookmarkStart w:id="229" w:name="_Toc377719919"/>
            <w:bookmarkStart w:id="230" w:name="_Toc12595"/>
            <w:bookmarkStart w:id="231" w:name="_Toc13512"/>
            <w:r>
              <w:rPr>
                <w:rFonts w:hint="eastAsia" w:ascii="宋体" w:hAnsi="宋体" w:cs="宋体"/>
                <w:color w:val="auto"/>
                <w:szCs w:val="21"/>
                <w:highlight w:val="none"/>
              </w:rPr>
              <w:t>检定/</w:t>
            </w:r>
            <w:bookmarkEnd w:id="222"/>
            <w:bookmarkEnd w:id="223"/>
            <w:bookmarkEnd w:id="224"/>
            <w:bookmarkEnd w:id="225"/>
            <w:bookmarkEnd w:id="226"/>
            <w:bookmarkEnd w:id="227"/>
            <w:bookmarkEnd w:id="228"/>
            <w:bookmarkEnd w:id="229"/>
            <w:r>
              <w:rPr>
                <w:rFonts w:hint="eastAsia" w:ascii="宋体" w:hAnsi="宋体" w:cs="宋体"/>
                <w:color w:val="auto"/>
                <w:szCs w:val="21"/>
                <w:highlight w:val="none"/>
              </w:rPr>
              <w:t>校准周期</w:t>
            </w:r>
          </w:p>
        </w:tc>
        <w:tc>
          <w:tcPr>
            <w:tcW w:w="1080" w:type="dxa"/>
            <w:vAlign w:val="center"/>
          </w:tcPr>
          <w:p w14:paraId="07F5196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66536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00158A7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793" w:type="dxa"/>
            <w:vAlign w:val="center"/>
          </w:tcPr>
          <w:p w14:paraId="068377E6">
            <w:pPr>
              <w:spacing w:line="360" w:lineRule="auto"/>
              <w:jc w:val="center"/>
              <w:rPr>
                <w:rFonts w:ascii="宋体" w:hAnsi="宋体" w:cs="宋体"/>
                <w:color w:val="auto"/>
                <w:szCs w:val="21"/>
                <w:highlight w:val="none"/>
              </w:rPr>
            </w:pPr>
          </w:p>
        </w:tc>
        <w:tc>
          <w:tcPr>
            <w:tcW w:w="900" w:type="dxa"/>
            <w:vAlign w:val="center"/>
          </w:tcPr>
          <w:p w14:paraId="5F480935">
            <w:pPr>
              <w:spacing w:line="360" w:lineRule="auto"/>
              <w:jc w:val="center"/>
              <w:rPr>
                <w:rFonts w:ascii="宋体" w:hAnsi="宋体" w:cs="宋体"/>
                <w:color w:val="auto"/>
                <w:szCs w:val="21"/>
                <w:highlight w:val="none"/>
              </w:rPr>
            </w:pPr>
          </w:p>
        </w:tc>
        <w:tc>
          <w:tcPr>
            <w:tcW w:w="992" w:type="dxa"/>
            <w:vAlign w:val="center"/>
          </w:tcPr>
          <w:p w14:paraId="2C095DAB">
            <w:pPr>
              <w:spacing w:line="360" w:lineRule="auto"/>
              <w:jc w:val="center"/>
              <w:rPr>
                <w:rFonts w:ascii="宋体" w:hAnsi="宋体" w:cs="宋体"/>
                <w:color w:val="auto"/>
                <w:szCs w:val="21"/>
                <w:highlight w:val="none"/>
              </w:rPr>
            </w:pPr>
          </w:p>
        </w:tc>
        <w:tc>
          <w:tcPr>
            <w:tcW w:w="1785" w:type="dxa"/>
            <w:vAlign w:val="center"/>
          </w:tcPr>
          <w:p w14:paraId="3C93C55C">
            <w:pPr>
              <w:spacing w:line="360" w:lineRule="auto"/>
              <w:jc w:val="center"/>
              <w:rPr>
                <w:rFonts w:ascii="宋体" w:hAnsi="宋体" w:cs="宋体"/>
                <w:color w:val="auto"/>
                <w:szCs w:val="21"/>
                <w:highlight w:val="none"/>
              </w:rPr>
            </w:pPr>
          </w:p>
        </w:tc>
        <w:tc>
          <w:tcPr>
            <w:tcW w:w="1116" w:type="dxa"/>
            <w:vAlign w:val="center"/>
          </w:tcPr>
          <w:p w14:paraId="580001F4">
            <w:pPr>
              <w:spacing w:line="360" w:lineRule="auto"/>
              <w:jc w:val="center"/>
              <w:rPr>
                <w:rFonts w:ascii="宋体" w:hAnsi="宋体" w:cs="宋体"/>
                <w:color w:val="auto"/>
                <w:szCs w:val="21"/>
                <w:highlight w:val="none"/>
              </w:rPr>
            </w:pPr>
          </w:p>
        </w:tc>
        <w:tc>
          <w:tcPr>
            <w:tcW w:w="1341" w:type="dxa"/>
            <w:vAlign w:val="center"/>
          </w:tcPr>
          <w:p w14:paraId="084DE904">
            <w:pPr>
              <w:spacing w:line="360" w:lineRule="auto"/>
              <w:jc w:val="center"/>
              <w:rPr>
                <w:rFonts w:ascii="宋体" w:hAnsi="宋体" w:cs="宋体"/>
                <w:color w:val="auto"/>
                <w:szCs w:val="21"/>
                <w:highlight w:val="none"/>
              </w:rPr>
            </w:pPr>
          </w:p>
        </w:tc>
        <w:tc>
          <w:tcPr>
            <w:tcW w:w="1080" w:type="dxa"/>
            <w:vAlign w:val="center"/>
          </w:tcPr>
          <w:p w14:paraId="2FB20638">
            <w:pPr>
              <w:spacing w:line="360" w:lineRule="auto"/>
              <w:jc w:val="center"/>
              <w:rPr>
                <w:rFonts w:ascii="宋体" w:hAnsi="宋体" w:cs="宋体"/>
                <w:color w:val="auto"/>
                <w:szCs w:val="21"/>
                <w:highlight w:val="none"/>
              </w:rPr>
            </w:pPr>
          </w:p>
        </w:tc>
      </w:tr>
      <w:tr w14:paraId="17482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13D1040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793" w:type="dxa"/>
            <w:vAlign w:val="center"/>
          </w:tcPr>
          <w:p w14:paraId="2CA23FD4">
            <w:pPr>
              <w:spacing w:line="360" w:lineRule="auto"/>
              <w:jc w:val="center"/>
              <w:rPr>
                <w:rFonts w:ascii="宋体" w:hAnsi="宋体" w:cs="宋体"/>
                <w:color w:val="auto"/>
                <w:szCs w:val="21"/>
                <w:highlight w:val="none"/>
              </w:rPr>
            </w:pPr>
          </w:p>
        </w:tc>
        <w:tc>
          <w:tcPr>
            <w:tcW w:w="900" w:type="dxa"/>
            <w:vAlign w:val="center"/>
          </w:tcPr>
          <w:p w14:paraId="3996B2DA">
            <w:pPr>
              <w:spacing w:line="360" w:lineRule="auto"/>
              <w:jc w:val="center"/>
              <w:rPr>
                <w:rFonts w:ascii="宋体" w:hAnsi="宋体" w:cs="宋体"/>
                <w:color w:val="auto"/>
                <w:szCs w:val="21"/>
                <w:highlight w:val="none"/>
              </w:rPr>
            </w:pPr>
          </w:p>
        </w:tc>
        <w:tc>
          <w:tcPr>
            <w:tcW w:w="992" w:type="dxa"/>
            <w:vAlign w:val="center"/>
          </w:tcPr>
          <w:p w14:paraId="3414F4EE">
            <w:pPr>
              <w:spacing w:line="360" w:lineRule="auto"/>
              <w:jc w:val="center"/>
              <w:rPr>
                <w:rFonts w:ascii="宋体" w:hAnsi="宋体" w:cs="宋体"/>
                <w:color w:val="auto"/>
                <w:szCs w:val="21"/>
                <w:highlight w:val="none"/>
              </w:rPr>
            </w:pPr>
          </w:p>
        </w:tc>
        <w:tc>
          <w:tcPr>
            <w:tcW w:w="1785" w:type="dxa"/>
            <w:vAlign w:val="center"/>
          </w:tcPr>
          <w:p w14:paraId="77F39252">
            <w:pPr>
              <w:spacing w:line="360" w:lineRule="auto"/>
              <w:jc w:val="center"/>
              <w:rPr>
                <w:rFonts w:ascii="宋体" w:hAnsi="宋体" w:cs="宋体"/>
                <w:color w:val="auto"/>
                <w:szCs w:val="21"/>
                <w:highlight w:val="none"/>
              </w:rPr>
            </w:pPr>
          </w:p>
        </w:tc>
        <w:tc>
          <w:tcPr>
            <w:tcW w:w="1116" w:type="dxa"/>
            <w:vAlign w:val="center"/>
          </w:tcPr>
          <w:p w14:paraId="218EC463">
            <w:pPr>
              <w:spacing w:line="360" w:lineRule="auto"/>
              <w:jc w:val="center"/>
              <w:rPr>
                <w:rFonts w:ascii="宋体" w:hAnsi="宋体" w:cs="宋体"/>
                <w:color w:val="auto"/>
                <w:szCs w:val="21"/>
                <w:highlight w:val="none"/>
              </w:rPr>
            </w:pPr>
          </w:p>
        </w:tc>
        <w:tc>
          <w:tcPr>
            <w:tcW w:w="1341" w:type="dxa"/>
            <w:vAlign w:val="center"/>
          </w:tcPr>
          <w:p w14:paraId="368D5840">
            <w:pPr>
              <w:spacing w:line="360" w:lineRule="auto"/>
              <w:jc w:val="center"/>
              <w:rPr>
                <w:rFonts w:ascii="宋体" w:hAnsi="宋体" w:cs="宋体"/>
                <w:color w:val="auto"/>
                <w:szCs w:val="21"/>
                <w:highlight w:val="none"/>
              </w:rPr>
            </w:pPr>
          </w:p>
        </w:tc>
        <w:tc>
          <w:tcPr>
            <w:tcW w:w="1080" w:type="dxa"/>
            <w:vAlign w:val="center"/>
          </w:tcPr>
          <w:p w14:paraId="48F46603">
            <w:pPr>
              <w:spacing w:line="360" w:lineRule="auto"/>
              <w:jc w:val="center"/>
              <w:rPr>
                <w:rFonts w:ascii="宋体" w:hAnsi="宋体" w:cs="宋体"/>
                <w:i/>
                <w:color w:val="auto"/>
                <w:szCs w:val="21"/>
                <w:highlight w:val="none"/>
              </w:rPr>
            </w:pPr>
          </w:p>
        </w:tc>
      </w:tr>
      <w:tr w14:paraId="54496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4DD6445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1793" w:type="dxa"/>
            <w:vAlign w:val="center"/>
          </w:tcPr>
          <w:p w14:paraId="40A03C8C">
            <w:pPr>
              <w:spacing w:line="360" w:lineRule="auto"/>
              <w:jc w:val="center"/>
              <w:rPr>
                <w:rFonts w:ascii="宋体" w:hAnsi="宋体" w:cs="宋体"/>
                <w:color w:val="auto"/>
                <w:szCs w:val="21"/>
                <w:highlight w:val="none"/>
              </w:rPr>
            </w:pPr>
          </w:p>
        </w:tc>
        <w:tc>
          <w:tcPr>
            <w:tcW w:w="900" w:type="dxa"/>
            <w:vAlign w:val="center"/>
          </w:tcPr>
          <w:p w14:paraId="42FB64E3">
            <w:pPr>
              <w:spacing w:line="360" w:lineRule="auto"/>
              <w:jc w:val="center"/>
              <w:rPr>
                <w:rFonts w:ascii="宋体" w:hAnsi="宋体" w:cs="宋体"/>
                <w:color w:val="auto"/>
                <w:szCs w:val="21"/>
                <w:highlight w:val="none"/>
              </w:rPr>
            </w:pPr>
          </w:p>
        </w:tc>
        <w:tc>
          <w:tcPr>
            <w:tcW w:w="992" w:type="dxa"/>
            <w:vAlign w:val="center"/>
          </w:tcPr>
          <w:p w14:paraId="08DDB941">
            <w:pPr>
              <w:spacing w:line="360" w:lineRule="auto"/>
              <w:jc w:val="center"/>
              <w:rPr>
                <w:rFonts w:ascii="宋体" w:hAnsi="宋体" w:cs="宋体"/>
                <w:color w:val="auto"/>
                <w:szCs w:val="21"/>
                <w:highlight w:val="none"/>
              </w:rPr>
            </w:pPr>
          </w:p>
        </w:tc>
        <w:tc>
          <w:tcPr>
            <w:tcW w:w="1785" w:type="dxa"/>
            <w:vAlign w:val="center"/>
          </w:tcPr>
          <w:p w14:paraId="3441BDF2">
            <w:pPr>
              <w:spacing w:line="360" w:lineRule="auto"/>
              <w:jc w:val="center"/>
              <w:rPr>
                <w:rFonts w:ascii="宋体" w:hAnsi="宋体" w:cs="宋体"/>
                <w:color w:val="auto"/>
                <w:szCs w:val="21"/>
                <w:highlight w:val="none"/>
              </w:rPr>
            </w:pPr>
          </w:p>
        </w:tc>
        <w:tc>
          <w:tcPr>
            <w:tcW w:w="1116" w:type="dxa"/>
            <w:vAlign w:val="center"/>
          </w:tcPr>
          <w:p w14:paraId="44F047E2">
            <w:pPr>
              <w:spacing w:line="360" w:lineRule="auto"/>
              <w:jc w:val="center"/>
              <w:rPr>
                <w:rFonts w:ascii="宋体" w:hAnsi="宋体" w:cs="宋体"/>
                <w:color w:val="auto"/>
                <w:szCs w:val="21"/>
                <w:highlight w:val="none"/>
              </w:rPr>
            </w:pPr>
          </w:p>
        </w:tc>
        <w:tc>
          <w:tcPr>
            <w:tcW w:w="1341" w:type="dxa"/>
            <w:vAlign w:val="center"/>
          </w:tcPr>
          <w:p w14:paraId="59B41EFB">
            <w:pPr>
              <w:spacing w:line="360" w:lineRule="auto"/>
              <w:jc w:val="center"/>
              <w:rPr>
                <w:rFonts w:ascii="宋体" w:hAnsi="宋体" w:cs="宋体"/>
                <w:color w:val="auto"/>
                <w:szCs w:val="21"/>
                <w:highlight w:val="none"/>
              </w:rPr>
            </w:pPr>
          </w:p>
        </w:tc>
        <w:tc>
          <w:tcPr>
            <w:tcW w:w="1080" w:type="dxa"/>
            <w:vAlign w:val="center"/>
          </w:tcPr>
          <w:p w14:paraId="5D169D5C">
            <w:pPr>
              <w:spacing w:line="360" w:lineRule="auto"/>
              <w:jc w:val="center"/>
              <w:rPr>
                <w:rFonts w:ascii="宋体" w:hAnsi="宋体" w:cs="宋体"/>
                <w:color w:val="auto"/>
                <w:szCs w:val="21"/>
                <w:highlight w:val="none"/>
              </w:rPr>
            </w:pPr>
          </w:p>
        </w:tc>
      </w:tr>
      <w:tr w14:paraId="7A8D1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3A96F59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1793" w:type="dxa"/>
            <w:vAlign w:val="center"/>
          </w:tcPr>
          <w:p w14:paraId="5315885F">
            <w:pPr>
              <w:spacing w:line="360" w:lineRule="auto"/>
              <w:jc w:val="center"/>
              <w:rPr>
                <w:rFonts w:ascii="宋体" w:hAnsi="宋体" w:cs="宋体"/>
                <w:color w:val="auto"/>
                <w:szCs w:val="21"/>
                <w:highlight w:val="none"/>
              </w:rPr>
            </w:pPr>
          </w:p>
        </w:tc>
        <w:tc>
          <w:tcPr>
            <w:tcW w:w="900" w:type="dxa"/>
            <w:vAlign w:val="center"/>
          </w:tcPr>
          <w:p w14:paraId="55B9004C">
            <w:pPr>
              <w:spacing w:line="360" w:lineRule="auto"/>
              <w:jc w:val="center"/>
              <w:rPr>
                <w:rFonts w:ascii="宋体" w:hAnsi="宋体" w:cs="宋体"/>
                <w:color w:val="auto"/>
                <w:szCs w:val="21"/>
                <w:highlight w:val="none"/>
              </w:rPr>
            </w:pPr>
          </w:p>
        </w:tc>
        <w:tc>
          <w:tcPr>
            <w:tcW w:w="992" w:type="dxa"/>
            <w:vAlign w:val="center"/>
          </w:tcPr>
          <w:p w14:paraId="2AB733D8">
            <w:pPr>
              <w:spacing w:line="360" w:lineRule="auto"/>
              <w:jc w:val="center"/>
              <w:rPr>
                <w:rFonts w:ascii="宋体" w:hAnsi="宋体" w:cs="宋体"/>
                <w:color w:val="auto"/>
                <w:szCs w:val="21"/>
                <w:highlight w:val="none"/>
              </w:rPr>
            </w:pPr>
          </w:p>
        </w:tc>
        <w:tc>
          <w:tcPr>
            <w:tcW w:w="1785" w:type="dxa"/>
            <w:vAlign w:val="center"/>
          </w:tcPr>
          <w:p w14:paraId="065BE00E">
            <w:pPr>
              <w:spacing w:line="360" w:lineRule="auto"/>
              <w:jc w:val="center"/>
              <w:rPr>
                <w:rFonts w:ascii="宋体" w:hAnsi="宋体" w:cs="宋体"/>
                <w:color w:val="auto"/>
                <w:szCs w:val="21"/>
                <w:highlight w:val="none"/>
              </w:rPr>
            </w:pPr>
          </w:p>
        </w:tc>
        <w:tc>
          <w:tcPr>
            <w:tcW w:w="1116" w:type="dxa"/>
            <w:vAlign w:val="center"/>
          </w:tcPr>
          <w:p w14:paraId="5790FA7C">
            <w:pPr>
              <w:spacing w:line="360" w:lineRule="auto"/>
              <w:jc w:val="center"/>
              <w:rPr>
                <w:rFonts w:ascii="宋体" w:hAnsi="宋体" w:cs="宋体"/>
                <w:color w:val="auto"/>
                <w:szCs w:val="21"/>
                <w:highlight w:val="none"/>
              </w:rPr>
            </w:pPr>
          </w:p>
        </w:tc>
        <w:tc>
          <w:tcPr>
            <w:tcW w:w="1341" w:type="dxa"/>
            <w:vAlign w:val="center"/>
          </w:tcPr>
          <w:p w14:paraId="4B6E4B65">
            <w:pPr>
              <w:spacing w:line="360" w:lineRule="auto"/>
              <w:jc w:val="center"/>
              <w:rPr>
                <w:rFonts w:ascii="宋体" w:hAnsi="宋体" w:cs="宋体"/>
                <w:color w:val="auto"/>
                <w:szCs w:val="21"/>
                <w:highlight w:val="none"/>
              </w:rPr>
            </w:pPr>
          </w:p>
        </w:tc>
        <w:tc>
          <w:tcPr>
            <w:tcW w:w="1080" w:type="dxa"/>
            <w:vAlign w:val="center"/>
          </w:tcPr>
          <w:p w14:paraId="41D1C93D">
            <w:pPr>
              <w:spacing w:line="360" w:lineRule="auto"/>
              <w:jc w:val="center"/>
              <w:rPr>
                <w:rFonts w:ascii="宋体" w:hAnsi="宋体" w:cs="宋体"/>
                <w:color w:val="auto"/>
                <w:szCs w:val="21"/>
                <w:highlight w:val="none"/>
              </w:rPr>
            </w:pPr>
          </w:p>
        </w:tc>
      </w:tr>
      <w:tr w14:paraId="43D8F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76EF15B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1793" w:type="dxa"/>
            <w:vAlign w:val="center"/>
          </w:tcPr>
          <w:p w14:paraId="09CCD616">
            <w:pPr>
              <w:spacing w:line="360" w:lineRule="auto"/>
              <w:jc w:val="center"/>
              <w:rPr>
                <w:rFonts w:ascii="宋体" w:hAnsi="宋体" w:cs="宋体"/>
                <w:color w:val="auto"/>
                <w:szCs w:val="21"/>
                <w:highlight w:val="none"/>
              </w:rPr>
            </w:pPr>
          </w:p>
        </w:tc>
        <w:tc>
          <w:tcPr>
            <w:tcW w:w="900" w:type="dxa"/>
            <w:vAlign w:val="center"/>
          </w:tcPr>
          <w:p w14:paraId="1895A700">
            <w:pPr>
              <w:spacing w:line="360" w:lineRule="auto"/>
              <w:jc w:val="center"/>
              <w:rPr>
                <w:rFonts w:ascii="宋体" w:hAnsi="宋体" w:cs="宋体"/>
                <w:color w:val="auto"/>
                <w:szCs w:val="21"/>
                <w:highlight w:val="none"/>
              </w:rPr>
            </w:pPr>
          </w:p>
        </w:tc>
        <w:tc>
          <w:tcPr>
            <w:tcW w:w="992" w:type="dxa"/>
            <w:vAlign w:val="center"/>
          </w:tcPr>
          <w:p w14:paraId="0825F014">
            <w:pPr>
              <w:spacing w:line="360" w:lineRule="auto"/>
              <w:jc w:val="center"/>
              <w:rPr>
                <w:rFonts w:ascii="宋体" w:hAnsi="宋体" w:cs="宋体"/>
                <w:color w:val="auto"/>
                <w:szCs w:val="21"/>
                <w:highlight w:val="none"/>
              </w:rPr>
            </w:pPr>
          </w:p>
        </w:tc>
        <w:tc>
          <w:tcPr>
            <w:tcW w:w="1785" w:type="dxa"/>
            <w:vAlign w:val="center"/>
          </w:tcPr>
          <w:p w14:paraId="0C58A140">
            <w:pPr>
              <w:spacing w:line="360" w:lineRule="auto"/>
              <w:jc w:val="center"/>
              <w:rPr>
                <w:rFonts w:ascii="宋体" w:hAnsi="宋体" w:cs="宋体"/>
                <w:color w:val="auto"/>
                <w:szCs w:val="21"/>
                <w:highlight w:val="none"/>
              </w:rPr>
            </w:pPr>
          </w:p>
        </w:tc>
        <w:tc>
          <w:tcPr>
            <w:tcW w:w="1116" w:type="dxa"/>
            <w:vAlign w:val="center"/>
          </w:tcPr>
          <w:p w14:paraId="0C63C6B8">
            <w:pPr>
              <w:spacing w:line="360" w:lineRule="auto"/>
              <w:jc w:val="center"/>
              <w:rPr>
                <w:rFonts w:ascii="宋体" w:hAnsi="宋体" w:cs="宋体"/>
                <w:color w:val="auto"/>
                <w:szCs w:val="21"/>
                <w:highlight w:val="none"/>
              </w:rPr>
            </w:pPr>
          </w:p>
        </w:tc>
        <w:tc>
          <w:tcPr>
            <w:tcW w:w="1341" w:type="dxa"/>
            <w:vAlign w:val="center"/>
          </w:tcPr>
          <w:p w14:paraId="318EC951">
            <w:pPr>
              <w:spacing w:line="360" w:lineRule="auto"/>
              <w:jc w:val="center"/>
              <w:rPr>
                <w:rFonts w:ascii="宋体" w:hAnsi="宋体" w:cs="宋体"/>
                <w:color w:val="auto"/>
                <w:szCs w:val="21"/>
                <w:highlight w:val="none"/>
              </w:rPr>
            </w:pPr>
          </w:p>
        </w:tc>
        <w:tc>
          <w:tcPr>
            <w:tcW w:w="1080" w:type="dxa"/>
            <w:vAlign w:val="center"/>
          </w:tcPr>
          <w:p w14:paraId="1B01F008">
            <w:pPr>
              <w:spacing w:line="360" w:lineRule="auto"/>
              <w:jc w:val="center"/>
              <w:rPr>
                <w:rFonts w:ascii="宋体" w:hAnsi="宋体" w:cs="宋体"/>
                <w:color w:val="auto"/>
                <w:szCs w:val="21"/>
                <w:highlight w:val="none"/>
              </w:rPr>
            </w:pPr>
          </w:p>
        </w:tc>
      </w:tr>
      <w:tr w14:paraId="1A9C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391B0CA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1793" w:type="dxa"/>
            <w:vAlign w:val="center"/>
          </w:tcPr>
          <w:p w14:paraId="0A1199DE">
            <w:pPr>
              <w:spacing w:line="360" w:lineRule="auto"/>
              <w:jc w:val="center"/>
              <w:rPr>
                <w:rFonts w:ascii="宋体" w:hAnsi="宋体" w:cs="宋体"/>
                <w:color w:val="auto"/>
                <w:szCs w:val="21"/>
                <w:highlight w:val="none"/>
              </w:rPr>
            </w:pPr>
          </w:p>
        </w:tc>
        <w:tc>
          <w:tcPr>
            <w:tcW w:w="900" w:type="dxa"/>
            <w:vAlign w:val="center"/>
          </w:tcPr>
          <w:p w14:paraId="41786237">
            <w:pPr>
              <w:spacing w:line="360" w:lineRule="auto"/>
              <w:jc w:val="center"/>
              <w:rPr>
                <w:rFonts w:ascii="宋体" w:hAnsi="宋体" w:cs="宋体"/>
                <w:color w:val="auto"/>
                <w:szCs w:val="21"/>
                <w:highlight w:val="none"/>
              </w:rPr>
            </w:pPr>
          </w:p>
        </w:tc>
        <w:tc>
          <w:tcPr>
            <w:tcW w:w="992" w:type="dxa"/>
            <w:vAlign w:val="center"/>
          </w:tcPr>
          <w:p w14:paraId="22EAA0DF">
            <w:pPr>
              <w:spacing w:line="360" w:lineRule="auto"/>
              <w:jc w:val="center"/>
              <w:rPr>
                <w:rFonts w:ascii="宋体" w:hAnsi="宋体" w:cs="宋体"/>
                <w:color w:val="auto"/>
                <w:szCs w:val="21"/>
                <w:highlight w:val="none"/>
              </w:rPr>
            </w:pPr>
          </w:p>
        </w:tc>
        <w:tc>
          <w:tcPr>
            <w:tcW w:w="1785" w:type="dxa"/>
            <w:vAlign w:val="center"/>
          </w:tcPr>
          <w:p w14:paraId="4BEB3384">
            <w:pPr>
              <w:spacing w:line="360" w:lineRule="auto"/>
              <w:jc w:val="center"/>
              <w:rPr>
                <w:rFonts w:ascii="宋体" w:hAnsi="宋体" w:cs="宋体"/>
                <w:color w:val="auto"/>
                <w:szCs w:val="21"/>
                <w:highlight w:val="none"/>
              </w:rPr>
            </w:pPr>
          </w:p>
        </w:tc>
        <w:tc>
          <w:tcPr>
            <w:tcW w:w="1116" w:type="dxa"/>
            <w:vAlign w:val="center"/>
          </w:tcPr>
          <w:p w14:paraId="1EF0CCBD">
            <w:pPr>
              <w:spacing w:line="360" w:lineRule="auto"/>
              <w:jc w:val="center"/>
              <w:rPr>
                <w:rFonts w:ascii="宋体" w:hAnsi="宋体" w:cs="宋体"/>
                <w:color w:val="auto"/>
                <w:szCs w:val="21"/>
                <w:highlight w:val="none"/>
              </w:rPr>
            </w:pPr>
          </w:p>
        </w:tc>
        <w:tc>
          <w:tcPr>
            <w:tcW w:w="1341" w:type="dxa"/>
            <w:vAlign w:val="center"/>
          </w:tcPr>
          <w:p w14:paraId="2BFC0A5A">
            <w:pPr>
              <w:spacing w:line="360" w:lineRule="auto"/>
              <w:jc w:val="center"/>
              <w:rPr>
                <w:rFonts w:ascii="宋体" w:hAnsi="宋体" w:cs="宋体"/>
                <w:color w:val="auto"/>
                <w:szCs w:val="21"/>
                <w:highlight w:val="none"/>
              </w:rPr>
            </w:pPr>
          </w:p>
        </w:tc>
        <w:tc>
          <w:tcPr>
            <w:tcW w:w="1080" w:type="dxa"/>
            <w:vAlign w:val="center"/>
          </w:tcPr>
          <w:p w14:paraId="3D622722">
            <w:pPr>
              <w:spacing w:line="360" w:lineRule="auto"/>
              <w:jc w:val="center"/>
              <w:rPr>
                <w:rFonts w:ascii="宋体" w:hAnsi="宋体" w:cs="宋体"/>
                <w:color w:val="auto"/>
                <w:szCs w:val="21"/>
                <w:highlight w:val="none"/>
              </w:rPr>
            </w:pPr>
          </w:p>
        </w:tc>
      </w:tr>
      <w:tr w14:paraId="351DF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0F444AF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7</w:t>
            </w:r>
          </w:p>
        </w:tc>
        <w:tc>
          <w:tcPr>
            <w:tcW w:w="1793" w:type="dxa"/>
            <w:vAlign w:val="center"/>
          </w:tcPr>
          <w:p w14:paraId="10921877">
            <w:pPr>
              <w:spacing w:line="360" w:lineRule="auto"/>
              <w:jc w:val="center"/>
              <w:rPr>
                <w:rFonts w:ascii="宋体" w:hAnsi="宋体" w:cs="宋体"/>
                <w:color w:val="auto"/>
                <w:szCs w:val="21"/>
                <w:highlight w:val="none"/>
              </w:rPr>
            </w:pPr>
          </w:p>
        </w:tc>
        <w:tc>
          <w:tcPr>
            <w:tcW w:w="900" w:type="dxa"/>
            <w:vAlign w:val="center"/>
          </w:tcPr>
          <w:p w14:paraId="1C52D7CA">
            <w:pPr>
              <w:spacing w:line="360" w:lineRule="auto"/>
              <w:jc w:val="center"/>
              <w:rPr>
                <w:rFonts w:ascii="宋体" w:hAnsi="宋体" w:cs="宋体"/>
                <w:color w:val="auto"/>
                <w:szCs w:val="21"/>
                <w:highlight w:val="none"/>
              </w:rPr>
            </w:pPr>
          </w:p>
        </w:tc>
        <w:tc>
          <w:tcPr>
            <w:tcW w:w="992" w:type="dxa"/>
            <w:vAlign w:val="center"/>
          </w:tcPr>
          <w:p w14:paraId="113B3691">
            <w:pPr>
              <w:spacing w:line="360" w:lineRule="auto"/>
              <w:jc w:val="center"/>
              <w:rPr>
                <w:rFonts w:ascii="宋体" w:hAnsi="宋体" w:cs="宋体"/>
                <w:color w:val="auto"/>
                <w:szCs w:val="21"/>
                <w:highlight w:val="none"/>
              </w:rPr>
            </w:pPr>
          </w:p>
        </w:tc>
        <w:tc>
          <w:tcPr>
            <w:tcW w:w="1785" w:type="dxa"/>
            <w:vAlign w:val="center"/>
          </w:tcPr>
          <w:p w14:paraId="278A4AAF">
            <w:pPr>
              <w:spacing w:line="360" w:lineRule="auto"/>
              <w:jc w:val="center"/>
              <w:rPr>
                <w:rFonts w:ascii="宋体" w:hAnsi="宋体" w:cs="宋体"/>
                <w:color w:val="auto"/>
                <w:szCs w:val="21"/>
                <w:highlight w:val="none"/>
              </w:rPr>
            </w:pPr>
          </w:p>
        </w:tc>
        <w:tc>
          <w:tcPr>
            <w:tcW w:w="1116" w:type="dxa"/>
            <w:vAlign w:val="center"/>
          </w:tcPr>
          <w:p w14:paraId="7F74CBE2">
            <w:pPr>
              <w:spacing w:line="360" w:lineRule="auto"/>
              <w:jc w:val="center"/>
              <w:rPr>
                <w:rFonts w:ascii="宋体" w:hAnsi="宋体" w:cs="宋体"/>
                <w:color w:val="auto"/>
                <w:szCs w:val="21"/>
                <w:highlight w:val="none"/>
              </w:rPr>
            </w:pPr>
          </w:p>
        </w:tc>
        <w:tc>
          <w:tcPr>
            <w:tcW w:w="1341" w:type="dxa"/>
            <w:vAlign w:val="center"/>
          </w:tcPr>
          <w:p w14:paraId="1B27251A">
            <w:pPr>
              <w:spacing w:line="360" w:lineRule="auto"/>
              <w:jc w:val="center"/>
              <w:rPr>
                <w:rFonts w:ascii="宋体" w:hAnsi="宋体" w:cs="宋体"/>
                <w:color w:val="auto"/>
                <w:szCs w:val="21"/>
                <w:highlight w:val="none"/>
              </w:rPr>
            </w:pPr>
          </w:p>
        </w:tc>
        <w:tc>
          <w:tcPr>
            <w:tcW w:w="1080" w:type="dxa"/>
            <w:vAlign w:val="center"/>
          </w:tcPr>
          <w:p w14:paraId="2FACE339">
            <w:pPr>
              <w:spacing w:line="360" w:lineRule="auto"/>
              <w:jc w:val="center"/>
              <w:rPr>
                <w:rFonts w:ascii="宋体" w:hAnsi="宋体" w:cs="宋体"/>
                <w:color w:val="auto"/>
                <w:szCs w:val="21"/>
                <w:highlight w:val="none"/>
              </w:rPr>
            </w:pPr>
          </w:p>
        </w:tc>
      </w:tr>
      <w:tr w14:paraId="4F768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1974912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8</w:t>
            </w:r>
          </w:p>
        </w:tc>
        <w:tc>
          <w:tcPr>
            <w:tcW w:w="1793" w:type="dxa"/>
            <w:vAlign w:val="center"/>
          </w:tcPr>
          <w:p w14:paraId="5A73DD58">
            <w:pPr>
              <w:spacing w:line="360" w:lineRule="auto"/>
              <w:jc w:val="center"/>
              <w:rPr>
                <w:rFonts w:ascii="宋体" w:hAnsi="宋体" w:cs="宋体"/>
                <w:color w:val="auto"/>
                <w:szCs w:val="21"/>
                <w:highlight w:val="none"/>
              </w:rPr>
            </w:pPr>
          </w:p>
        </w:tc>
        <w:tc>
          <w:tcPr>
            <w:tcW w:w="900" w:type="dxa"/>
            <w:vAlign w:val="center"/>
          </w:tcPr>
          <w:p w14:paraId="07DB6794">
            <w:pPr>
              <w:spacing w:line="360" w:lineRule="auto"/>
              <w:jc w:val="center"/>
              <w:rPr>
                <w:rFonts w:ascii="宋体" w:hAnsi="宋体" w:cs="宋体"/>
                <w:color w:val="auto"/>
                <w:szCs w:val="21"/>
                <w:highlight w:val="none"/>
              </w:rPr>
            </w:pPr>
          </w:p>
        </w:tc>
        <w:tc>
          <w:tcPr>
            <w:tcW w:w="992" w:type="dxa"/>
            <w:vAlign w:val="center"/>
          </w:tcPr>
          <w:p w14:paraId="7CE2D5AB">
            <w:pPr>
              <w:spacing w:line="360" w:lineRule="auto"/>
              <w:jc w:val="center"/>
              <w:rPr>
                <w:rFonts w:ascii="宋体" w:hAnsi="宋体" w:cs="宋体"/>
                <w:color w:val="auto"/>
                <w:szCs w:val="21"/>
                <w:highlight w:val="none"/>
              </w:rPr>
            </w:pPr>
          </w:p>
        </w:tc>
        <w:tc>
          <w:tcPr>
            <w:tcW w:w="1785" w:type="dxa"/>
            <w:vAlign w:val="center"/>
          </w:tcPr>
          <w:p w14:paraId="566F2B8B">
            <w:pPr>
              <w:spacing w:line="360" w:lineRule="auto"/>
              <w:jc w:val="center"/>
              <w:rPr>
                <w:rFonts w:ascii="宋体" w:hAnsi="宋体" w:cs="宋体"/>
                <w:color w:val="auto"/>
                <w:szCs w:val="21"/>
                <w:highlight w:val="none"/>
              </w:rPr>
            </w:pPr>
          </w:p>
        </w:tc>
        <w:tc>
          <w:tcPr>
            <w:tcW w:w="1116" w:type="dxa"/>
            <w:vAlign w:val="center"/>
          </w:tcPr>
          <w:p w14:paraId="42E9BF9D">
            <w:pPr>
              <w:spacing w:line="360" w:lineRule="auto"/>
              <w:jc w:val="center"/>
              <w:rPr>
                <w:rFonts w:ascii="宋体" w:hAnsi="宋体" w:cs="宋体"/>
                <w:color w:val="auto"/>
                <w:szCs w:val="21"/>
                <w:highlight w:val="none"/>
              </w:rPr>
            </w:pPr>
          </w:p>
        </w:tc>
        <w:tc>
          <w:tcPr>
            <w:tcW w:w="1341" w:type="dxa"/>
            <w:vAlign w:val="center"/>
          </w:tcPr>
          <w:p w14:paraId="0B454C6E">
            <w:pPr>
              <w:spacing w:line="360" w:lineRule="auto"/>
              <w:jc w:val="center"/>
              <w:rPr>
                <w:rFonts w:ascii="宋体" w:hAnsi="宋体" w:cs="宋体"/>
                <w:color w:val="auto"/>
                <w:szCs w:val="21"/>
                <w:highlight w:val="none"/>
              </w:rPr>
            </w:pPr>
          </w:p>
        </w:tc>
        <w:tc>
          <w:tcPr>
            <w:tcW w:w="1080" w:type="dxa"/>
            <w:vAlign w:val="center"/>
          </w:tcPr>
          <w:p w14:paraId="7ACEF6B5">
            <w:pPr>
              <w:spacing w:line="360" w:lineRule="auto"/>
              <w:jc w:val="center"/>
              <w:rPr>
                <w:rFonts w:ascii="宋体" w:hAnsi="宋体" w:cs="宋体"/>
                <w:color w:val="auto"/>
                <w:szCs w:val="21"/>
                <w:highlight w:val="none"/>
              </w:rPr>
            </w:pPr>
          </w:p>
        </w:tc>
      </w:tr>
      <w:tr w14:paraId="37A4C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604075E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9</w:t>
            </w:r>
          </w:p>
        </w:tc>
        <w:tc>
          <w:tcPr>
            <w:tcW w:w="1793" w:type="dxa"/>
            <w:vAlign w:val="center"/>
          </w:tcPr>
          <w:p w14:paraId="389C308C">
            <w:pPr>
              <w:spacing w:line="360" w:lineRule="auto"/>
              <w:jc w:val="center"/>
              <w:rPr>
                <w:rFonts w:ascii="宋体" w:hAnsi="宋体" w:cs="宋体"/>
                <w:color w:val="auto"/>
                <w:szCs w:val="21"/>
                <w:highlight w:val="none"/>
              </w:rPr>
            </w:pPr>
          </w:p>
        </w:tc>
        <w:tc>
          <w:tcPr>
            <w:tcW w:w="900" w:type="dxa"/>
            <w:vAlign w:val="center"/>
          </w:tcPr>
          <w:p w14:paraId="7E242403">
            <w:pPr>
              <w:spacing w:line="360" w:lineRule="auto"/>
              <w:jc w:val="center"/>
              <w:rPr>
                <w:rFonts w:ascii="宋体" w:hAnsi="宋体" w:cs="宋体"/>
                <w:color w:val="auto"/>
                <w:szCs w:val="21"/>
                <w:highlight w:val="none"/>
              </w:rPr>
            </w:pPr>
          </w:p>
        </w:tc>
        <w:tc>
          <w:tcPr>
            <w:tcW w:w="992" w:type="dxa"/>
            <w:vAlign w:val="center"/>
          </w:tcPr>
          <w:p w14:paraId="76C015E3">
            <w:pPr>
              <w:spacing w:line="360" w:lineRule="auto"/>
              <w:jc w:val="center"/>
              <w:rPr>
                <w:rFonts w:ascii="宋体" w:hAnsi="宋体" w:cs="宋体"/>
                <w:color w:val="auto"/>
                <w:szCs w:val="21"/>
                <w:highlight w:val="none"/>
              </w:rPr>
            </w:pPr>
          </w:p>
        </w:tc>
        <w:tc>
          <w:tcPr>
            <w:tcW w:w="1785" w:type="dxa"/>
            <w:vAlign w:val="center"/>
          </w:tcPr>
          <w:p w14:paraId="711AD64C">
            <w:pPr>
              <w:spacing w:line="360" w:lineRule="auto"/>
              <w:jc w:val="center"/>
              <w:rPr>
                <w:rFonts w:ascii="宋体" w:hAnsi="宋体" w:cs="宋体"/>
                <w:color w:val="auto"/>
                <w:szCs w:val="21"/>
                <w:highlight w:val="none"/>
              </w:rPr>
            </w:pPr>
          </w:p>
        </w:tc>
        <w:tc>
          <w:tcPr>
            <w:tcW w:w="1116" w:type="dxa"/>
            <w:vAlign w:val="center"/>
          </w:tcPr>
          <w:p w14:paraId="0A9F278D">
            <w:pPr>
              <w:spacing w:line="360" w:lineRule="auto"/>
              <w:jc w:val="center"/>
              <w:rPr>
                <w:rFonts w:ascii="宋体" w:hAnsi="宋体" w:cs="宋体"/>
                <w:color w:val="auto"/>
                <w:szCs w:val="21"/>
                <w:highlight w:val="none"/>
              </w:rPr>
            </w:pPr>
          </w:p>
        </w:tc>
        <w:tc>
          <w:tcPr>
            <w:tcW w:w="1341" w:type="dxa"/>
            <w:vAlign w:val="center"/>
          </w:tcPr>
          <w:p w14:paraId="684BCA51">
            <w:pPr>
              <w:spacing w:line="360" w:lineRule="auto"/>
              <w:jc w:val="center"/>
              <w:rPr>
                <w:rFonts w:ascii="宋体" w:hAnsi="宋体" w:cs="宋体"/>
                <w:color w:val="auto"/>
                <w:szCs w:val="21"/>
                <w:highlight w:val="none"/>
              </w:rPr>
            </w:pPr>
          </w:p>
        </w:tc>
        <w:tc>
          <w:tcPr>
            <w:tcW w:w="1080" w:type="dxa"/>
            <w:vAlign w:val="center"/>
          </w:tcPr>
          <w:p w14:paraId="68131757">
            <w:pPr>
              <w:spacing w:line="360" w:lineRule="auto"/>
              <w:jc w:val="center"/>
              <w:rPr>
                <w:rFonts w:ascii="宋体" w:hAnsi="宋体" w:cs="宋体"/>
                <w:color w:val="auto"/>
                <w:szCs w:val="21"/>
                <w:highlight w:val="none"/>
              </w:rPr>
            </w:pPr>
          </w:p>
        </w:tc>
      </w:tr>
      <w:tr w14:paraId="7960A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14:paraId="6173265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w:t>
            </w:r>
          </w:p>
        </w:tc>
        <w:tc>
          <w:tcPr>
            <w:tcW w:w="1793" w:type="dxa"/>
            <w:vAlign w:val="center"/>
          </w:tcPr>
          <w:p w14:paraId="1F5B47CA">
            <w:pPr>
              <w:spacing w:line="360" w:lineRule="auto"/>
              <w:jc w:val="center"/>
              <w:rPr>
                <w:rFonts w:ascii="宋体" w:hAnsi="宋体" w:cs="宋体"/>
                <w:color w:val="auto"/>
                <w:szCs w:val="21"/>
                <w:highlight w:val="none"/>
              </w:rPr>
            </w:pPr>
          </w:p>
        </w:tc>
        <w:tc>
          <w:tcPr>
            <w:tcW w:w="900" w:type="dxa"/>
            <w:vAlign w:val="center"/>
          </w:tcPr>
          <w:p w14:paraId="4FAE4203">
            <w:pPr>
              <w:spacing w:line="360" w:lineRule="auto"/>
              <w:jc w:val="center"/>
              <w:rPr>
                <w:rFonts w:ascii="宋体" w:hAnsi="宋体" w:cs="宋体"/>
                <w:color w:val="auto"/>
                <w:szCs w:val="21"/>
                <w:highlight w:val="none"/>
              </w:rPr>
            </w:pPr>
          </w:p>
        </w:tc>
        <w:tc>
          <w:tcPr>
            <w:tcW w:w="992" w:type="dxa"/>
            <w:vAlign w:val="center"/>
          </w:tcPr>
          <w:p w14:paraId="1E65C01C">
            <w:pPr>
              <w:spacing w:line="360" w:lineRule="auto"/>
              <w:jc w:val="center"/>
              <w:rPr>
                <w:rFonts w:ascii="宋体" w:hAnsi="宋体" w:cs="宋体"/>
                <w:color w:val="auto"/>
                <w:szCs w:val="21"/>
                <w:highlight w:val="none"/>
              </w:rPr>
            </w:pPr>
          </w:p>
        </w:tc>
        <w:tc>
          <w:tcPr>
            <w:tcW w:w="1785" w:type="dxa"/>
            <w:vAlign w:val="center"/>
          </w:tcPr>
          <w:p w14:paraId="2DF1A412">
            <w:pPr>
              <w:spacing w:line="360" w:lineRule="auto"/>
              <w:jc w:val="center"/>
              <w:rPr>
                <w:rFonts w:ascii="宋体" w:hAnsi="宋体" w:cs="宋体"/>
                <w:color w:val="auto"/>
                <w:szCs w:val="21"/>
                <w:highlight w:val="none"/>
              </w:rPr>
            </w:pPr>
          </w:p>
        </w:tc>
        <w:tc>
          <w:tcPr>
            <w:tcW w:w="1116" w:type="dxa"/>
            <w:vAlign w:val="center"/>
          </w:tcPr>
          <w:p w14:paraId="20FD4D16">
            <w:pPr>
              <w:spacing w:line="360" w:lineRule="auto"/>
              <w:jc w:val="center"/>
              <w:rPr>
                <w:rFonts w:ascii="宋体" w:hAnsi="宋体" w:cs="宋体"/>
                <w:color w:val="auto"/>
                <w:szCs w:val="21"/>
                <w:highlight w:val="none"/>
              </w:rPr>
            </w:pPr>
          </w:p>
        </w:tc>
        <w:tc>
          <w:tcPr>
            <w:tcW w:w="1341" w:type="dxa"/>
            <w:vAlign w:val="center"/>
          </w:tcPr>
          <w:p w14:paraId="55A21F2B">
            <w:pPr>
              <w:spacing w:line="360" w:lineRule="auto"/>
              <w:jc w:val="center"/>
              <w:rPr>
                <w:rFonts w:ascii="宋体" w:hAnsi="宋体" w:cs="宋体"/>
                <w:color w:val="auto"/>
                <w:szCs w:val="21"/>
                <w:highlight w:val="none"/>
              </w:rPr>
            </w:pPr>
          </w:p>
        </w:tc>
        <w:tc>
          <w:tcPr>
            <w:tcW w:w="1080" w:type="dxa"/>
            <w:vAlign w:val="center"/>
          </w:tcPr>
          <w:p w14:paraId="16631A4D">
            <w:pPr>
              <w:spacing w:line="360" w:lineRule="auto"/>
              <w:jc w:val="center"/>
              <w:rPr>
                <w:rFonts w:ascii="宋体" w:hAnsi="宋体" w:cs="宋体"/>
                <w:color w:val="auto"/>
                <w:szCs w:val="21"/>
                <w:highlight w:val="none"/>
              </w:rPr>
            </w:pPr>
          </w:p>
        </w:tc>
      </w:tr>
    </w:tbl>
    <w:p w14:paraId="78DF4BD6">
      <w:pPr>
        <w:spacing w:line="360" w:lineRule="auto"/>
        <w:rPr>
          <w:rFonts w:ascii="宋体" w:hAnsi="宋体" w:cs="宋体"/>
          <w:color w:val="auto"/>
          <w:highlight w:val="none"/>
        </w:rPr>
      </w:pPr>
      <w:r>
        <w:rPr>
          <w:rFonts w:hint="eastAsia" w:ascii="宋体" w:hAnsi="宋体" w:cs="宋体"/>
          <w:color w:val="auto"/>
          <w:highlight w:val="none"/>
        </w:rPr>
        <w:t>注：投标人应根据招标文件的要求在本表后附相关证明材料</w:t>
      </w:r>
    </w:p>
    <w:p w14:paraId="3EBB6FE7">
      <w:pPr>
        <w:spacing w:line="360" w:lineRule="auto"/>
        <w:jc w:val="left"/>
        <w:rPr>
          <w:rFonts w:ascii="宋体" w:hAnsi="宋体" w:cs="宋体"/>
          <w:color w:val="auto"/>
          <w:sz w:val="28"/>
          <w:szCs w:val="28"/>
          <w:highlight w:val="none"/>
        </w:rPr>
      </w:pPr>
      <w:r>
        <w:rPr>
          <w:rFonts w:hint="eastAsia" w:ascii="宋体" w:hAnsi="宋体" w:cs="宋体"/>
          <w:color w:val="auto"/>
          <w:highlight w:val="none"/>
        </w:rPr>
        <w:t>（本项不作为资格审查内容，但（如有）需提供，仅作为投标人的评标（综合评分）资料进行考察。表格格式可以根据实际情况调整。）</w:t>
      </w:r>
    </w:p>
    <w:p w14:paraId="07AD020E">
      <w:pPr>
        <w:spacing w:line="360" w:lineRule="auto"/>
        <w:ind w:firstLine="565" w:firstLineChars="202"/>
        <w:jc w:val="left"/>
        <w:rPr>
          <w:rFonts w:ascii="宋体" w:hAnsi="宋体" w:cs="宋体"/>
          <w:color w:val="auto"/>
          <w:sz w:val="28"/>
          <w:szCs w:val="28"/>
          <w:highlight w:val="none"/>
        </w:rPr>
      </w:pPr>
    </w:p>
    <w:p w14:paraId="57F32712">
      <w:pPr>
        <w:spacing w:line="360" w:lineRule="auto"/>
        <w:ind w:firstLine="565" w:firstLineChars="202"/>
        <w:jc w:val="left"/>
        <w:rPr>
          <w:rFonts w:ascii="宋体" w:hAnsi="宋体" w:cs="宋体"/>
          <w:color w:val="auto"/>
          <w:sz w:val="28"/>
          <w:szCs w:val="28"/>
          <w:highlight w:val="none"/>
        </w:rPr>
      </w:pPr>
    </w:p>
    <w:p w14:paraId="1DA3B54D">
      <w:pPr>
        <w:keepNext/>
        <w:keepLines/>
        <w:spacing w:line="360" w:lineRule="auto"/>
        <w:jc w:val="center"/>
        <w:outlineLvl w:val="1"/>
        <w:rPr>
          <w:rFonts w:ascii="宋体" w:hAnsi="宋体" w:cs="宋体"/>
          <w:b/>
          <w:bCs/>
          <w:color w:val="auto"/>
          <w:sz w:val="32"/>
          <w:szCs w:val="32"/>
          <w:highlight w:val="none"/>
        </w:rPr>
      </w:pPr>
      <w:r>
        <w:rPr>
          <w:rFonts w:hint="eastAsia" w:ascii="宋体" w:hAnsi="宋体" w:cs="宋体"/>
          <w:b/>
          <w:bCs/>
          <w:color w:val="auto"/>
          <w:sz w:val="32"/>
          <w:szCs w:val="32"/>
          <w:highlight w:val="none"/>
        </w:rPr>
        <w:br w:type="page"/>
      </w:r>
      <w:bookmarkStart w:id="232" w:name="_Toc24856"/>
      <w:r>
        <w:rPr>
          <w:rFonts w:hint="eastAsia" w:ascii="宋体" w:hAnsi="宋体" w:cs="宋体"/>
          <w:b/>
          <w:bCs/>
          <w:color w:val="auto"/>
          <w:sz w:val="32"/>
          <w:szCs w:val="32"/>
          <w:highlight w:val="none"/>
        </w:rPr>
        <w:t>十、监测技术方案</w:t>
      </w:r>
      <w:bookmarkEnd w:id="232"/>
    </w:p>
    <w:p w14:paraId="5A41616A">
      <w:pPr>
        <w:spacing w:line="360" w:lineRule="auto"/>
        <w:jc w:val="center"/>
        <w:rPr>
          <w:rFonts w:ascii="宋体" w:hAnsi="宋体" w:cs="宋体"/>
          <w:color w:val="auto"/>
          <w:highlight w:val="none"/>
        </w:rPr>
      </w:pPr>
      <w:r>
        <w:rPr>
          <w:rFonts w:hint="eastAsia" w:ascii="宋体" w:hAnsi="宋体" w:cs="宋体"/>
          <w:b/>
          <w:color w:val="auto"/>
          <w:sz w:val="28"/>
          <w:szCs w:val="28"/>
          <w:highlight w:val="none"/>
        </w:rPr>
        <w:t>（格式自定）</w:t>
      </w:r>
      <w:bookmarkEnd w:id="230"/>
      <w:bookmarkEnd w:id="231"/>
    </w:p>
    <w:p w14:paraId="7C128004">
      <w:pPr>
        <w:rPr>
          <w:rFonts w:hint="eastAsia" w:ascii="宋体" w:hAnsi="宋体" w:cs="宋体"/>
          <w:color w:val="auto"/>
          <w:highlight w:val="none"/>
        </w:rPr>
      </w:pPr>
      <w:r>
        <w:rPr>
          <w:rFonts w:hint="eastAsia" w:ascii="宋体" w:hAnsi="宋体" w:cs="宋体"/>
          <w:color w:val="auto"/>
          <w:highlight w:val="none"/>
        </w:rPr>
        <w:br w:type="page"/>
      </w:r>
    </w:p>
    <w:p w14:paraId="5336B683">
      <w:pPr>
        <w:keepNext/>
        <w:keepLines/>
        <w:spacing w:line="360" w:lineRule="auto"/>
        <w:jc w:val="center"/>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eastAsia="zh-CN"/>
        </w:rPr>
        <w:t>十一</w:t>
      </w:r>
      <w:r>
        <w:rPr>
          <w:rFonts w:hint="eastAsia" w:ascii="宋体" w:hAnsi="宋体" w:eastAsia="宋体" w:cs="宋体"/>
          <w:b/>
          <w:bCs/>
          <w:color w:val="auto"/>
          <w:sz w:val="32"/>
          <w:szCs w:val="32"/>
          <w:highlight w:val="none"/>
        </w:rPr>
        <w:t>、</w:t>
      </w:r>
      <w:bookmarkStart w:id="233" w:name="_Toc513153084"/>
      <w:bookmarkStart w:id="234" w:name="_Toc161934467"/>
      <w:r>
        <w:rPr>
          <w:rFonts w:hint="eastAsia" w:ascii="宋体" w:hAnsi="宋体" w:eastAsia="宋体" w:cs="宋体"/>
          <w:b/>
          <w:bCs/>
          <w:color w:val="auto"/>
          <w:sz w:val="32"/>
          <w:szCs w:val="32"/>
          <w:highlight w:val="none"/>
        </w:rPr>
        <w:t>监测合同响应承诺书</w:t>
      </w:r>
    </w:p>
    <w:p w14:paraId="359A447F">
      <w:pPr>
        <w:spacing w:line="360" w:lineRule="auto"/>
        <w:rPr>
          <w:rFonts w:hint="eastAsia" w:ascii="宋体" w:hAnsi="宋体"/>
          <w:color w:val="auto"/>
          <w:sz w:val="28"/>
          <w:szCs w:val="28"/>
        </w:rPr>
      </w:pPr>
    </w:p>
    <w:p w14:paraId="35270394">
      <w:pPr>
        <w:spacing w:line="360" w:lineRule="auto"/>
        <w:rPr>
          <w:rFonts w:ascii="宋体" w:hAnsi="宋体"/>
          <w:color w:val="auto"/>
          <w:sz w:val="28"/>
          <w:szCs w:val="28"/>
        </w:rPr>
      </w:pPr>
      <w:r>
        <w:rPr>
          <w:rFonts w:hint="eastAsia" w:ascii="宋体" w:hAnsi="宋体"/>
          <w:color w:val="auto"/>
          <w:sz w:val="28"/>
          <w:szCs w:val="28"/>
        </w:rPr>
        <w:t>致</w:t>
      </w:r>
      <w:bookmarkEnd w:id="233"/>
      <w:bookmarkEnd w:id="234"/>
      <w:r>
        <w:rPr>
          <w:rFonts w:hint="eastAsia" w:ascii="宋体" w:hAnsi="宋体"/>
          <w:color w:val="auto"/>
          <w:sz w:val="28"/>
          <w:szCs w:val="28"/>
          <w:u w:val="single"/>
        </w:rPr>
        <w:t>广州市番禺区基本建设投资管理中心：</w:t>
      </w:r>
    </w:p>
    <w:p w14:paraId="73370A68">
      <w:pPr>
        <w:ind w:firstLine="560" w:firstLineChars="200"/>
        <w:rPr>
          <w:rFonts w:ascii="宋体" w:hAnsi="宋体"/>
          <w:color w:val="auto"/>
          <w:sz w:val="28"/>
          <w:szCs w:val="28"/>
        </w:rPr>
      </w:pPr>
      <w:r>
        <w:rPr>
          <w:rFonts w:hint="eastAsia" w:ascii="宋体" w:hAnsi="宋体"/>
          <w:color w:val="auto"/>
          <w:sz w:val="28"/>
          <w:szCs w:val="28"/>
        </w:rPr>
        <w:t>我方若能中标</w:t>
      </w:r>
      <w:r>
        <w:rPr>
          <w:rFonts w:hint="eastAsia" w:ascii="宋体" w:hAnsi="宋体"/>
          <w:color w:val="auto"/>
          <w:sz w:val="28"/>
          <w:szCs w:val="28"/>
          <w:u w:val="single"/>
        </w:rPr>
        <w:t xml:space="preserve"> </w:t>
      </w:r>
      <w:r>
        <w:rPr>
          <w:rFonts w:hint="eastAsia" w:ascii="宋体" w:hAnsi="宋体" w:eastAsia="宋体" w:cs="Times New Roman"/>
          <w:color w:val="auto"/>
          <w:sz w:val="28"/>
          <w:szCs w:val="28"/>
          <w:u w:val="single"/>
          <w:lang w:eastAsia="zh-CN"/>
        </w:rPr>
        <w:t>化龙镇化龙南路北半幅（城际化龙站至化龙大道段）工程地铁保护第三方监测</w:t>
      </w:r>
      <w:r>
        <w:rPr>
          <w:rFonts w:hint="eastAsia" w:ascii="宋体" w:hAnsi="宋体"/>
          <w:color w:val="auto"/>
          <w:sz w:val="28"/>
          <w:szCs w:val="28"/>
        </w:rPr>
        <w:t>的监测任务，承诺全部接受本工程招标文件及合同规定的各项要求，在招标文件规定的时间内与业主签订监测合同，并严格按照招标文件和合同的有关约定开展监测工作。</w:t>
      </w:r>
    </w:p>
    <w:p w14:paraId="418073FC">
      <w:pPr>
        <w:spacing w:line="360" w:lineRule="auto"/>
        <w:rPr>
          <w:rFonts w:ascii="宋体" w:hAnsi="宋体"/>
          <w:color w:val="auto"/>
          <w:sz w:val="28"/>
          <w:szCs w:val="28"/>
        </w:rPr>
      </w:pPr>
    </w:p>
    <w:p w14:paraId="1942266A">
      <w:pPr>
        <w:spacing w:line="360" w:lineRule="auto"/>
        <w:rPr>
          <w:rFonts w:ascii="宋体" w:hAnsi="宋体"/>
          <w:color w:val="auto"/>
          <w:sz w:val="28"/>
          <w:szCs w:val="28"/>
        </w:rPr>
      </w:pPr>
    </w:p>
    <w:p w14:paraId="73DA4FD5">
      <w:pPr>
        <w:spacing w:line="360" w:lineRule="auto"/>
        <w:rPr>
          <w:rFonts w:ascii="宋体" w:hAnsi="宋体"/>
          <w:color w:val="auto"/>
          <w:sz w:val="28"/>
          <w:szCs w:val="28"/>
          <w:u w:val="single"/>
        </w:rPr>
      </w:pPr>
      <w:r>
        <w:rPr>
          <w:rFonts w:hint="eastAsia" w:ascii="宋体" w:hAnsi="宋体"/>
          <w:color w:val="auto"/>
          <w:sz w:val="28"/>
          <w:szCs w:val="28"/>
        </w:rPr>
        <w:t>投标单位（法人盖章）：</w:t>
      </w:r>
      <w:r>
        <w:rPr>
          <w:rFonts w:hint="eastAsia" w:ascii="宋体" w:hAnsi="宋体"/>
          <w:color w:val="auto"/>
          <w:sz w:val="28"/>
          <w:szCs w:val="28"/>
          <w:u w:val="single"/>
        </w:rPr>
        <w:t xml:space="preserve">                                 </w:t>
      </w:r>
    </w:p>
    <w:p w14:paraId="5E63BD3F">
      <w:pPr>
        <w:spacing w:line="360" w:lineRule="auto"/>
        <w:rPr>
          <w:rFonts w:ascii="宋体" w:hAnsi="宋体"/>
          <w:color w:val="auto"/>
          <w:sz w:val="28"/>
          <w:szCs w:val="28"/>
          <w:u w:val="single"/>
        </w:rPr>
      </w:pPr>
      <w:r>
        <w:rPr>
          <w:rFonts w:hint="eastAsia" w:ascii="宋体" w:hAnsi="宋体"/>
          <w:color w:val="auto"/>
          <w:sz w:val="28"/>
          <w:szCs w:val="28"/>
        </w:rPr>
        <w:t>法定代表人或授权委托人（签字或盖章）</w:t>
      </w:r>
      <w:r>
        <w:rPr>
          <w:rFonts w:hint="eastAsia" w:ascii="宋体" w:hAnsi="宋体"/>
          <w:color w:val="auto"/>
          <w:sz w:val="28"/>
          <w:szCs w:val="28"/>
          <w:u w:val="single"/>
        </w:rPr>
        <w:t xml:space="preserve">                  </w:t>
      </w:r>
    </w:p>
    <w:p w14:paraId="0EDB2E01">
      <w:pPr>
        <w:spacing w:line="360" w:lineRule="auto"/>
        <w:rPr>
          <w:rFonts w:hint="eastAsia" w:ascii="宋体" w:hAnsi="宋体"/>
          <w:color w:val="auto"/>
          <w:sz w:val="28"/>
          <w:szCs w:val="28"/>
        </w:rPr>
      </w:pPr>
      <w:r>
        <w:rPr>
          <w:rFonts w:hint="eastAsia" w:ascii="宋体" w:hAnsi="宋体"/>
          <w:color w:val="auto"/>
          <w:sz w:val="28"/>
          <w:szCs w:val="28"/>
        </w:rPr>
        <w:t xml:space="preserve">      年     月     日</w:t>
      </w:r>
    </w:p>
    <w:p w14:paraId="466C19AC">
      <w:pPr>
        <w:pStyle w:val="2"/>
        <w:rPr>
          <w:rFonts w:hint="eastAsia" w:ascii="宋体" w:hAnsi="宋体"/>
          <w:color w:val="auto"/>
          <w:sz w:val="28"/>
          <w:szCs w:val="28"/>
        </w:rPr>
      </w:pPr>
    </w:p>
    <w:p w14:paraId="2ED3AC81">
      <w:pPr>
        <w:rPr>
          <w:color w:val="auto"/>
          <w:sz w:val="28"/>
          <w:szCs w:val="28"/>
        </w:rPr>
      </w:pPr>
    </w:p>
    <w:p w14:paraId="02D0645B">
      <w:pPr>
        <w:keepNext/>
        <w:keepLines/>
        <w:spacing w:line="360" w:lineRule="auto"/>
        <w:jc w:val="center"/>
        <w:outlineLvl w:val="1"/>
        <w:rPr>
          <w:rFonts w:ascii="宋体" w:hAnsi="宋体"/>
          <w:b/>
          <w:color w:val="auto"/>
          <w:sz w:val="28"/>
        </w:rPr>
      </w:pPr>
      <w:r>
        <w:rPr>
          <w:rFonts w:ascii="宋体" w:hAnsi="宋体"/>
          <w:color w:val="auto"/>
          <w:sz w:val="28"/>
          <w:szCs w:val="28"/>
        </w:rPr>
        <w:br w:type="page"/>
      </w:r>
      <w:bookmarkStart w:id="235" w:name="_Toc513153086"/>
      <w:bookmarkStart w:id="236" w:name="_Toc202537553"/>
      <w:bookmarkStart w:id="237" w:name="_Toc202537415"/>
      <w:bookmarkStart w:id="238" w:name="_Toc202538667"/>
      <w:bookmarkStart w:id="239" w:name="_Toc282073808"/>
      <w:bookmarkStart w:id="240" w:name="_Toc270155085"/>
      <w:bookmarkStart w:id="241" w:name="_Toc202538924"/>
      <w:r>
        <w:rPr>
          <w:rFonts w:hint="eastAsia" w:ascii="宋体" w:hAnsi="宋体" w:eastAsia="宋体" w:cs="宋体"/>
          <w:b/>
          <w:bCs/>
          <w:color w:val="auto"/>
          <w:sz w:val="32"/>
          <w:szCs w:val="32"/>
          <w:highlight w:val="none"/>
          <w:lang w:eastAsia="zh-CN"/>
        </w:rPr>
        <w:t>十二</w:t>
      </w:r>
      <w:r>
        <w:rPr>
          <w:rFonts w:hint="eastAsia" w:ascii="宋体" w:hAnsi="宋体" w:eastAsia="宋体" w:cs="宋体"/>
          <w:b/>
          <w:bCs/>
          <w:color w:val="auto"/>
          <w:sz w:val="32"/>
          <w:szCs w:val="32"/>
          <w:highlight w:val="none"/>
        </w:rPr>
        <w:t>、承诺书</w:t>
      </w:r>
    </w:p>
    <w:bookmarkEnd w:id="235"/>
    <w:p w14:paraId="67421FC5">
      <w:pPr>
        <w:spacing w:line="360" w:lineRule="auto"/>
        <w:rPr>
          <w:rFonts w:hint="eastAsia" w:ascii="宋体" w:hAnsi="宋体"/>
          <w:color w:val="auto"/>
          <w:sz w:val="24"/>
        </w:rPr>
      </w:pPr>
      <w:bookmarkStart w:id="242" w:name="_Toc309040953"/>
    </w:p>
    <w:p w14:paraId="247ADAD2">
      <w:pPr>
        <w:spacing w:line="360" w:lineRule="auto"/>
        <w:rPr>
          <w:rFonts w:ascii="宋体" w:hAnsi="宋体"/>
          <w:b/>
          <w:color w:val="auto"/>
          <w:sz w:val="24"/>
        </w:rPr>
      </w:pPr>
      <w:r>
        <w:rPr>
          <w:rFonts w:hint="eastAsia" w:ascii="宋体" w:hAnsi="宋体"/>
          <w:color w:val="auto"/>
          <w:sz w:val="24"/>
        </w:rPr>
        <w:t>致</w:t>
      </w:r>
      <w:bookmarkEnd w:id="236"/>
      <w:bookmarkEnd w:id="237"/>
      <w:bookmarkEnd w:id="238"/>
      <w:bookmarkEnd w:id="239"/>
      <w:bookmarkEnd w:id="240"/>
      <w:bookmarkEnd w:id="241"/>
      <w:bookmarkEnd w:id="242"/>
      <w:r>
        <w:rPr>
          <w:rFonts w:hint="eastAsia" w:ascii="宋体" w:hAnsi="宋体"/>
          <w:color w:val="auto"/>
          <w:sz w:val="24"/>
        </w:rPr>
        <w:t xml:space="preserve"> </w:t>
      </w:r>
      <w:r>
        <w:rPr>
          <w:rFonts w:hint="eastAsia" w:ascii="宋体" w:hAnsi="宋体"/>
          <w:color w:val="auto"/>
          <w:sz w:val="24"/>
          <w:u w:val="single"/>
        </w:rPr>
        <w:t>广州市番禺区基本建设投资管理中心</w:t>
      </w:r>
      <w:r>
        <w:rPr>
          <w:rFonts w:hint="eastAsia" w:ascii="宋体" w:hAnsi="宋体"/>
          <w:b/>
          <w:color w:val="auto"/>
          <w:sz w:val="24"/>
        </w:rPr>
        <w:t>：</w:t>
      </w:r>
    </w:p>
    <w:p w14:paraId="7B1FF3F3">
      <w:pPr>
        <w:spacing w:line="360" w:lineRule="auto"/>
        <w:ind w:firstLine="480" w:firstLineChars="200"/>
        <w:rPr>
          <w:rFonts w:ascii="宋体" w:hAnsi="宋体"/>
          <w:color w:val="auto"/>
          <w:sz w:val="24"/>
        </w:rPr>
      </w:pPr>
      <w:r>
        <w:rPr>
          <w:rFonts w:hint="eastAsia" w:ascii="宋体" w:hAnsi="宋体"/>
          <w:color w:val="auto"/>
          <w:sz w:val="24"/>
        </w:rPr>
        <w:t>一旦我方中标，我方愿意做出如下承诺：</w:t>
      </w:r>
    </w:p>
    <w:p w14:paraId="0E958823">
      <w:pPr>
        <w:spacing w:line="360" w:lineRule="auto"/>
        <w:ind w:firstLine="480" w:firstLineChars="200"/>
        <w:rPr>
          <w:rFonts w:ascii="宋体" w:hAnsi="宋体"/>
          <w:color w:val="auto"/>
          <w:sz w:val="24"/>
        </w:rPr>
      </w:pPr>
      <w:r>
        <w:rPr>
          <w:rFonts w:hint="eastAsia" w:ascii="宋体" w:hAnsi="宋体"/>
          <w:color w:val="auto"/>
          <w:sz w:val="24"/>
        </w:rPr>
        <w:t>一、承诺结合项目实际情况编制、申报监测方案，并确保监测方案符合有关规范要求及通过工程所在行政区域的交通局行政主管部门和监督部门（包括但不限于广州地铁、地保办）的审核。保证技术成果能够通过相关部门（包括但不限于广州地铁、地保办）认可，确保不因监测工作影响本工程项目的安全质量和建设进度。否则自愿放弃中标资格，并同意接受相关条款处罚。</w:t>
      </w:r>
    </w:p>
    <w:p w14:paraId="1CBA2ECD">
      <w:pPr>
        <w:spacing w:line="360" w:lineRule="auto"/>
        <w:ind w:firstLine="480" w:firstLineChars="200"/>
        <w:rPr>
          <w:rFonts w:ascii="宋体" w:hAnsi="宋体"/>
          <w:color w:val="auto"/>
          <w:sz w:val="24"/>
        </w:rPr>
      </w:pPr>
      <w:r>
        <w:rPr>
          <w:rFonts w:hint="eastAsia" w:ascii="宋体" w:hAnsi="宋体"/>
          <w:color w:val="auto"/>
          <w:sz w:val="24"/>
        </w:rPr>
        <w:t>二、承诺保证按本项目投标文件所报的监测组织架构框图和项目负责人及其他全部人员按要求时间到位开展工程监测工作。正常监测实施期间，现场监测人员在岗上班，否则，贵中心可以按我方未实施履行监测合同处理，可以单方面终止监测合同，我方将不提出任何异议。</w:t>
      </w:r>
    </w:p>
    <w:p w14:paraId="2BBC60E3">
      <w:pPr>
        <w:spacing w:line="360" w:lineRule="auto"/>
        <w:ind w:firstLine="480"/>
        <w:rPr>
          <w:rFonts w:ascii="宋体" w:hAnsi="宋体"/>
          <w:color w:val="auto"/>
          <w:sz w:val="24"/>
        </w:rPr>
      </w:pPr>
      <w:r>
        <w:rPr>
          <w:rFonts w:hint="eastAsia" w:ascii="宋体" w:hAnsi="宋体"/>
          <w:color w:val="auto"/>
          <w:sz w:val="24"/>
        </w:rPr>
        <w:t>三、鉴于本项目的重要性、专业性、工程的复杂性和工期的紧迫性，为确保按时、按质完成监测工作任务，在工程监测工作过程中，如贵中心认为我方监测人员的数量、监测人员的业务水平、监测人员的专业配置等不能满足监测工作所需时，贵中心有权聘请符合监测工作所需要的监测人员或单位，作为我方从事本项目监测工作的人员，所聘请监测人员或单位的费用已包括在本招标项目监测费总额内，由我方向所聘用人员或单位支付。</w:t>
      </w:r>
    </w:p>
    <w:p w14:paraId="56C5778D">
      <w:pPr>
        <w:spacing w:line="360" w:lineRule="auto"/>
        <w:ind w:firstLine="480"/>
        <w:rPr>
          <w:rFonts w:hint="eastAsia" w:ascii="宋体" w:hAnsi="宋体"/>
          <w:color w:val="auto"/>
          <w:sz w:val="24"/>
        </w:rPr>
      </w:pPr>
      <w:r>
        <w:rPr>
          <w:rFonts w:hint="eastAsia" w:ascii="宋体" w:hAnsi="宋体"/>
          <w:color w:val="auto"/>
          <w:sz w:val="24"/>
        </w:rPr>
        <w:t>四、为了保证专业工程监测的服务水平和质量，如果我方投入的相关专业监测人员的服务水平和质量无法满足工程的实际需要，或监测机构的监测人员不到岗位，贵中心有权另行聘请符合工作需要的监测人员；所聘请的监测人员的工资已包括在本招标项目监测酬金内，此费用由我方向所聘监测人员支付，必要时贵中心有权从本招标项目监测酬金中直接支付。</w:t>
      </w:r>
    </w:p>
    <w:p w14:paraId="45FBD53E">
      <w:pPr>
        <w:spacing w:line="360" w:lineRule="auto"/>
        <w:ind w:firstLine="480"/>
        <w:rPr>
          <w:rFonts w:ascii="宋体" w:hAnsi="宋体"/>
          <w:color w:val="auto"/>
          <w:sz w:val="24"/>
        </w:rPr>
      </w:pPr>
      <w:r>
        <w:rPr>
          <w:rFonts w:hint="eastAsia" w:ascii="宋体" w:hAnsi="宋体"/>
          <w:color w:val="auto"/>
          <w:sz w:val="24"/>
        </w:rPr>
        <w:t>特此承诺。</w:t>
      </w:r>
    </w:p>
    <w:p w14:paraId="095E5FFF">
      <w:pPr>
        <w:spacing w:line="360" w:lineRule="auto"/>
        <w:ind w:firstLine="480"/>
        <w:jc w:val="center"/>
        <w:rPr>
          <w:rFonts w:ascii="宋体" w:hAnsi="宋体"/>
          <w:color w:val="auto"/>
          <w:sz w:val="24"/>
          <w:u w:val="single"/>
        </w:rPr>
      </w:pPr>
      <w:r>
        <w:rPr>
          <w:rFonts w:hint="eastAsia" w:ascii="宋体" w:hAnsi="宋体"/>
          <w:color w:val="auto"/>
          <w:sz w:val="24"/>
        </w:rPr>
        <w:t>投  标  单  位（盖章）：</w:t>
      </w:r>
      <w:r>
        <w:rPr>
          <w:rFonts w:hint="eastAsia" w:ascii="宋体" w:hAnsi="宋体"/>
          <w:color w:val="auto"/>
          <w:sz w:val="24"/>
          <w:u w:val="single"/>
        </w:rPr>
        <w:t xml:space="preserve">                    </w:t>
      </w:r>
    </w:p>
    <w:p w14:paraId="45AEF991">
      <w:pPr>
        <w:spacing w:line="360" w:lineRule="auto"/>
        <w:ind w:firstLine="480"/>
        <w:jc w:val="center"/>
        <w:rPr>
          <w:rFonts w:hint="eastAsia" w:ascii="宋体" w:hAnsi="宋体"/>
          <w:color w:val="auto"/>
          <w:sz w:val="24"/>
          <w:u w:val="single"/>
        </w:rPr>
      </w:pPr>
      <w:r>
        <w:rPr>
          <w:rFonts w:hint="eastAsia" w:ascii="宋体" w:hAnsi="宋体"/>
          <w:color w:val="auto"/>
          <w:sz w:val="24"/>
        </w:rPr>
        <w:t xml:space="preserve">  法定代表人或授权委托人（签字或盖章）：</w:t>
      </w:r>
      <w:r>
        <w:rPr>
          <w:rFonts w:hint="eastAsia" w:ascii="宋体" w:hAnsi="宋体"/>
          <w:color w:val="auto"/>
          <w:sz w:val="24"/>
          <w:u w:val="single"/>
        </w:rPr>
        <w:t xml:space="preserve">                  </w:t>
      </w:r>
    </w:p>
    <w:p w14:paraId="43B8A3AC">
      <w:pPr>
        <w:spacing w:line="360" w:lineRule="auto"/>
        <w:ind w:firstLine="3360" w:firstLineChars="1400"/>
        <w:rPr>
          <w:rFonts w:ascii="宋体" w:hAnsi="宋体"/>
          <w:color w:val="auto"/>
          <w:sz w:val="24"/>
          <w:u w:val="single"/>
        </w:rPr>
      </w:pPr>
      <w:r>
        <w:rPr>
          <w:rFonts w:hint="eastAsia" w:ascii="宋体" w:hAnsi="宋体"/>
          <w:color w:val="auto"/>
          <w:sz w:val="24"/>
        </w:rPr>
        <w:t>项目负责人签字：</w:t>
      </w:r>
      <w:r>
        <w:rPr>
          <w:rFonts w:hint="eastAsia" w:ascii="宋体" w:hAnsi="宋体"/>
          <w:color w:val="auto"/>
          <w:sz w:val="24"/>
          <w:u w:val="single"/>
        </w:rPr>
        <w:t xml:space="preserve">                        </w:t>
      </w:r>
    </w:p>
    <w:p w14:paraId="5BB85B64">
      <w:pPr>
        <w:keepNext/>
        <w:keepLines/>
        <w:spacing w:line="360" w:lineRule="auto"/>
        <w:jc w:val="center"/>
        <w:outlineLvl w:val="1"/>
        <w:rPr>
          <w:rFonts w:ascii="宋体" w:hAnsi="宋体" w:cs="宋体"/>
          <w:b/>
          <w:bCs/>
          <w:color w:val="auto"/>
          <w:sz w:val="32"/>
          <w:highlight w:val="none"/>
        </w:rPr>
      </w:pPr>
      <w:r>
        <w:rPr>
          <w:rFonts w:hint="eastAsia" w:ascii="宋体" w:hAnsi="宋体"/>
          <w:color w:val="auto"/>
          <w:sz w:val="24"/>
        </w:rPr>
        <w:t xml:space="preserve">                               年   月      日      </w:t>
      </w:r>
      <w:r>
        <w:rPr>
          <w:rFonts w:hint="eastAsia" w:ascii="宋体" w:hAnsi="宋体" w:cs="宋体"/>
          <w:color w:val="auto"/>
          <w:highlight w:val="none"/>
        </w:rPr>
        <w:br w:type="page"/>
      </w:r>
      <w:bookmarkStart w:id="243" w:name="_Toc24338"/>
      <w:r>
        <w:rPr>
          <w:rFonts w:hint="eastAsia" w:ascii="宋体" w:hAnsi="宋体" w:cs="宋体"/>
          <w:b/>
          <w:bCs/>
          <w:color w:val="auto"/>
          <w:sz w:val="32"/>
          <w:szCs w:val="32"/>
          <w:highlight w:val="none"/>
        </w:rPr>
        <w:t>十</w:t>
      </w:r>
      <w:r>
        <w:rPr>
          <w:rFonts w:hint="eastAsia" w:ascii="宋体" w:hAnsi="宋体" w:cs="宋体"/>
          <w:b/>
          <w:bCs/>
          <w:color w:val="auto"/>
          <w:sz w:val="32"/>
          <w:szCs w:val="32"/>
          <w:highlight w:val="none"/>
          <w:lang w:eastAsia="zh-CN"/>
        </w:rPr>
        <w:t>三</w:t>
      </w:r>
      <w:r>
        <w:rPr>
          <w:rFonts w:hint="eastAsia" w:ascii="宋体" w:hAnsi="宋体" w:cs="宋体"/>
          <w:b/>
          <w:bCs/>
          <w:color w:val="auto"/>
          <w:sz w:val="32"/>
          <w:szCs w:val="32"/>
          <w:highlight w:val="none"/>
        </w:rPr>
        <w:t>、投标人认为应该提供的其他资料</w:t>
      </w:r>
      <w:bookmarkEnd w:id="243"/>
    </w:p>
    <w:p w14:paraId="0518FDE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投标人须知前附表规定的其他资料，投标人认为有必要提交的其他资料，格式自定。</w:t>
      </w:r>
    </w:p>
    <w:p w14:paraId="2C450930">
      <w:pPr>
        <w:rPr>
          <w:color w:val="auto"/>
          <w:highlight w:val="none"/>
        </w:rPr>
      </w:pPr>
    </w:p>
    <w:sectPr>
      <w:pgSz w:w="11905" w:h="16838"/>
      <w:pgMar w:top="1418" w:right="1701" w:bottom="1418" w:left="1701" w:header="851" w:footer="79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D1861">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91BAA2">
                          <w:pPr>
                            <w:pStyle w:val="13"/>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91BAA2">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4C1AB">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C2368A">
                          <w:pPr>
                            <w:pStyle w:val="13"/>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00C2368A">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F16F9">
    <w:r>
      <w:rPr>
        <w:sz w:val="24"/>
      </w:rPr>
      <mc:AlternateContent>
        <mc:Choice Requires="wps">
          <w:drawing>
            <wp:anchor distT="0" distB="0" distL="114300" distR="114300" simplePos="0" relativeHeight="251662336" behindDoc="0" locked="0" layoutInCell="1" allowOverlap="1">
              <wp:simplePos x="0" y="0"/>
              <wp:positionH relativeFrom="margin">
                <wp:posOffset>2641600</wp:posOffset>
              </wp:positionH>
              <wp:positionV relativeFrom="paragraph">
                <wp:posOffset>23495</wp:posOffset>
              </wp:positionV>
              <wp:extent cx="245745" cy="1162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245745" cy="116205"/>
                      </a:xfrm>
                      <a:prstGeom prst="rect">
                        <a:avLst/>
                      </a:prstGeom>
                      <a:noFill/>
                      <a:ln>
                        <a:noFill/>
                      </a:ln>
                    </wps:spPr>
                    <wps:txbx>
                      <w:txbxContent>
                        <w:p w14:paraId="44CA1382">
                          <w:pPr>
                            <w:pStyle w:val="13"/>
                          </w:pPr>
                          <w:r>
                            <w:fldChar w:fldCharType="begin"/>
                          </w:r>
                          <w:r>
                            <w:instrText xml:space="preserve"> PAGE  \* MERGEFORMAT </w:instrText>
                          </w:r>
                          <w:r>
                            <w:fldChar w:fldCharType="separate"/>
                          </w:r>
                          <w:r>
                            <w:t>52</w:t>
                          </w:r>
                          <w:r>
                            <w:fldChar w:fldCharType="end"/>
                          </w:r>
                        </w:p>
                      </w:txbxContent>
                    </wps:txbx>
                    <wps:bodyPr wrap="square" lIns="0" tIns="0" rIns="0" bIns="0">
                      <a:noAutofit/>
                    </wps:bodyPr>
                  </wps:wsp>
                </a:graphicData>
              </a:graphic>
            </wp:anchor>
          </w:drawing>
        </mc:Choice>
        <mc:Fallback>
          <w:pict>
            <v:shape id="_x0000_s1026" o:spid="_x0000_s1026" o:spt="202" type="#_x0000_t202" style="position:absolute;left:0pt;margin-left:208pt;margin-top:1.85pt;height:9.15pt;width:19.35pt;mso-position-horizontal-relative:margin;z-index:251662336;mso-width-relative:page;mso-height-relative:page;" filled="f" stroked="f" coordsize="21600,21600" o:gfxdata="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HfcBDXAAAACAEAAA8AAAAAAAAAAQAgAAAAIgAAAGRycy9kb3du&#10;cmV2LnhtbFBLAQIUABQAAAAIAIdO4kCBSMDMxwEAAI0DAAAOAAAAAAAAAAEAIAAAACYBAABkcnMv&#10;ZTJvRG9jLnhtbFBLBQYAAAAABgAGAFkBAABfBQAAAAA=&#10;">
              <v:fill on="f" focussize="0,0"/>
              <v:stroke on="f"/>
              <v:imagedata o:title=""/>
              <o:lock v:ext="edit" aspectratio="f"/>
              <v:textbox inset="0mm,0mm,0mm,0mm">
                <w:txbxContent>
                  <w:p w14:paraId="44CA1382">
                    <w:pPr>
                      <w:pStyle w:val="1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5BEA92"/>
    <w:multiLevelType w:val="singleLevel"/>
    <w:tmpl w:val="E05BEA92"/>
    <w:lvl w:ilvl="0" w:tentative="0">
      <w:start w:val="6"/>
      <w:numFmt w:val="chineseCounting"/>
      <w:suff w:val="space"/>
      <w:lvlText w:val="第%1章"/>
      <w:lvlJc w:val="left"/>
      <w:rPr>
        <w:rFonts w:hint="eastAsia"/>
      </w:rPr>
    </w:lvl>
  </w:abstractNum>
  <w:abstractNum w:abstractNumId="1">
    <w:nsid w:val="E5FFC083"/>
    <w:multiLevelType w:val="singleLevel"/>
    <w:tmpl w:val="E5FFC083"/>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lMzA2ZDAzMjI2Mzg3ZDdjN2IzMmRjNmU0OWIyNGIifQ=="/>
  </w:docVars>
  <w:rsids>
    <w:rsidRoot w:val="429C3596"/>
    <w:rsid w:val="00102EC3"/>
    <w:rsid w:val="001C2E97"/>
    <w:rsid w:val="002C1E16"/>
    <w:rsid w:val="003336C0"/>
    <w:rsid w:val="003A125E"/>
    <w:rsid w:val="00466765"/>
    <w:rsid w:val="004C3812"/>
    <w:rsid w:val="004E4DD2"/>
    <w:rsid w:val="00574BB8"/>
    <w:rsid w:val="005E26F1"/>
    <w:rsid w:val="006B7EAD"/>
    <w:rsid w:val="007804F5"/>
    <w:rsid w:val="0079519A"/>
    <w:rsid w:val="007E377E"/>
    <w:rsid w:val="008A4022"/>
    <w:rsid w:val="008C7C79"/>
    <w:rsid w:val="008D37F2"/>
    <w:rsid w:val="00B278BD"/>
    <w:rsid w:val="00C12804"/>
    <w:rsid w:val="00CE77D0"/>
    <w:rsid w:val="00DB7A2C"/>
    <w:rsid w:val="00E56A1D"/>
    <w:rsid w:val="00E57F7C"/>
    <w:rsid w:val="00EC6CD2"/>
    <w:rsid w:val="00F52FD8"/>
    <w:rsid w:val="00F5401F"/>
    <w:rsid w:val="00FA6FDE"/>
    <w:rsid w:val="03083A13"/>
    <w:rsid w:val="06144544"/>
    <w:rsid w:val="09104908"/>
    <w:rsid w:val="0AB31712"/>
    <w:rsid w:val="0AE82A66"/>
    <w:rsid w:val="0D112022"/>
    <w:rsid w:val="0F4F0B1B"/>
    <w:rsid w:val="0F7A2033"/>
    <w:rsid w:val="10475002"/>
    <w:rsid w:val="11036B00"/>
    <w:rsid w:val="13CD03AE"/>
    <w:rsid w:val="13D322AC"/>
    <w:rsid w:val="15A42E04"/>
    <w:rsid w:val="19102702"/>
    <w:rsid w:val="1D4D5313"/>
    <w:rsid w:val="1FAA11BB"/>
    <w:rsid w:val="1FB53CF9"/>
    <w:rsid w:val="20914128"/>
    <w:rsid w:val="24E32A79"/>
    <w:rsid w:val="25D20ADD"/>
    <w:rsid w:val="272950BB"/>
    <w:rsid w:val="28041684"/>
    <w:rsid w:val="2DDC00C1"/>
    <w:rsid w:val="2F4627A2"/>
    <w:rsid w:val="32EB46F7"/>
    <w:rsid w:val="35AD3819"/>
    <w:rsid w:val="3BD82BA6"/>
    <w:rsid w:val="3CCA6C49"/>
    <w:rsid w:val="3DA258E4"/>
    <w:rsid w:val="3EAD617A"/>
    <w:rsid w:val="3F127693"/>
    <w:rsid w:val="3F2762E7"/>
    <w:rsid w:val="4145203C"/>
    <w:rsid w:val="41C51A2C"/>
    <w:rsid w:val="42595F30"/>
    <w:rsid w:val="427470FB"/>
    <w:rsid w:val="429C3596"/>
    <w:rsid w:val="4496535B"/>
    <w:rsid w:val="46476EB4"/>
    <w:rsid w:val="47DE4470"/>
    <w:rsid w:val="498A7E65"/>
    <w:rsid w:val="4A331C29"/>
    <w:rsid w:val="4C3536FF"/>
    <w:rsid w:val="4FB70C06"/>
    <w:rsid w:val="51A404F0"/>
    <w:rsid w:val="53837611"/>
    <w:rsid w:val="54532EC8"/>
    <w:rsid w:val="54907C78"/>
    <w:rsid w:val="558275C0"/>
    <w:rsid w:val="578F6255"/>
    <w:rsid w:val="59AC5554"/>
    <w:rsid w:val="5DAC4BC9"/>
    <w:rsid w:val="5E7C1D97"/>
    <w:rsid w:val="5F28567D"/>
    <w:rsid w:val="62C90B89"/>
    <w:rsid w:val="62D6000E"/>
    <w:rsid w:val="64BF279B"/>
    <w:rsid w:val="678D23C4"/>
    <w:rsid w:val="67BC1058"/>
    <w:rsid w:val="6BE41585"/>
    <w:rsid w:val="6CC2700A"/>
    <w:rsid w:val="6EC628D6"/>
    <w:rsid w:val="75A1188D"/>
    <w:rsid w:val="7F4801CC"/>
    <w:rsid w:val="7FDA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next w:val="1"/>
    <w:qFormat/>
    <w:uiPriority w:val="0"/>
    <w:pPr>
      <w:keepNext/>
      <w:keepLines/>
      <w:widowControl w:val="0"/>
      <w:spacing w:line="578" w:lineRule="auto"/>
      <w:jc w:val="both"/>
      <w:outlineLvl w:val="0"/>
    </w:pPr>
    <w:rPr>
      <w:rFonts w:ascii="Calibri" w:hAnsi="Calibri" w:eastAsia="黑体" w:cs="Times New Roman"/>
      <w:b/>
      <w:bCs/>
      <w:kern w:val="44"/>
      <w:sz w:val="44"/>
      <w:szCs w:val="44"/>
      <w:lang w:val="en-US" w:eastAsia="zh-CN" w:bidi="ar-SA"/>
    </w:rPr>
  </w:style>
  <w:style w:type="paragraph" w:styleId="4">
    <w:name w:val="heading 2"/>
    <w:next w:val="1"/>
    <w:qFormat/>
    <w:uiPriority w:val="0"/>
    <w:pPr>
      <w:keepNext/>
      <w:keepLines/>
      <w:widowControl w:val="0"/>
      <w:spacing w:before="240" w:after="240" w:line="416" w:lineRule="auto"/>
      <w:jc w:val="both"/>
      <w:outlineLvl w:val="1"/>
    </w:pPr>
    <w:rPr>
      <w:rFonts w:ascii="Cambria" w:hAnsi="Cambria" w:eastAsia="仿宋" w:cs="Times New Roman"/>
      <w:b/>
      <w:bCs/>
      <w:sz w:val="40"/>
      <w:szCs w:val="32"/>
      <w:lang w:val="en-US" w:eastAsia="zh-CN" w:bidi="ar-SA"/>
    </w:rPr>
  </w:style>
  <w:style w:type="paragraph" w:styleId="5">
    <w:name w:val="heading 3"/>
    <w:basedOn w:val="1"/>
    <w:next w:val="1"/>
    <w:qFormat/>
    <w:uiPriority w:val="0"/>
    <w:pPr>
      <w:keepNext/>
      <w:keepLines/>
      <w:spacing w:before="260" w:beforeLines="0" w:after="260" w:afterLines="0" w:line="412" w:lineRule="auto"/>
      <w:ind w:firstLine="49" w:firstLineChars="49"/>
      <w:outlineLvl w:val="2"/>
    </w:pPr>
    <w:rPr>
      <w:rFonts w:ascii="黑体" w:eastAsia="黑体"/>
      <w:sz w:val="28"/>
      <w:szCs w:val="20"/>
    </w:rPr>
  </w:style>
  <w:style w:type="paragraph" w:styleId="6">
    <w:name w:val="heading 7"/>
    <w:next w:val="1"/>
    <w:qFormat/>
    <w:uiPriority w:val="0"/>
    <w:pPr>
      <w:keepNext/>
      <w:keepLines/>
      <w:widowControl w:val="0"/>
      <w:spacing w:before="240" w:after="64" w:line="317" w:lineRule="auto"/>
      <w:jc w:val="both"/>
      <w:outlineLvl w:val="6"/>
    </w:pPr>
    <w:rPr>
      <w:rFonts w:ascii="Times New Roman" w:hAnsi="Times New Roman" w:eastAsia="宋体" w:cs="Times New Roman"/>
      <w:b/>
      <w:sz w:val="24"/>
      <w:lang w:val="en-US" w:eastAsia="zh-CN" w:bidi="ar-SA"/>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7">
    <w:name w:val="annotation text"/>
    <w:qFormat/>
    <w:uiPriority w:val="0"/>
    <w:pPr>
      <w:widowControl w:val="0"/>
    </w:pPr>
    <w:rPr>
      <w:rFonts w:ascii="Times New Roman" w:hAnsi="Times New Roman" w:eastAsia="宋体" w:cs="Times New Roman"/>
      <w:kern w:val="2"/>
      <w:sz w:val="21"/>
      <w:szCs w:val="24"/>
      <w:lang w:val="en-US" w:eastAsia="zh-CN" w:bidi="ar-SA"/>
    </w:rPr>
  </w:style>
  <w:style w:type="paragraph" w:styleId="8">
    <w:name w:val="Body Text 3"/>
    <w:qFormat/>
    <w:uiPriority w:val="0"/>
    <w:pPr>
      <w:widowControl w:val="0"/>
      <w:jc w:val="both"/>
    </w:pPr>
    <w:rPr>
      <w:rFonts w:ascii="宋体" w:hAnsi="Calibri" w:eastAsia="宋体" w:cs="Times New Roman"/>
      <w:kern w:val="2"/>
      <w:sz w:val="24"/>
      <w:lang w:val="en-US" w:eastAsia="zh-CN" w:bidi="ar-SA"/>
    </w:rPr>
  </w:style>
  <w:style w:type="paragraph" w:styleId="9">
    <w:name w:val="Body Text"/>
    <w:next w:val="1"/>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10">
    <w:name w:val="Body Text Indent"/>
    <w:next w:val="11"/>
    <w:unhideWhenUsed/>
    <w:qFormat/>
    <w:uiPriority w:val="0"/>
    <w:pPr>
      <w:widowControl w:val="0"/>
      <w:spacing w:after="120"/>
      <w:ind w:left="420" w:leftChars="200"/>
      <w:jc w:val="both"/>
    </w:pPr>
    <w:rPr>
      <w:rFonts w:ascii="Calibri" w:hAnsi="Calibri" w:eastAsia="宋体" w:cs="Times New Roman"/>
      <w:lang w:val="en-US" w:eastAsia="zh-CN" w:bidi="ar-SA"/>
    </w:rPr>
  </w:style>
  <w:style w:type="paragraph" w:styleId="11">
    <w:name w:val="envelope return"/>
    <w:qFormat/>
    <w:uiPriority w:val="0"/>
    <w:pPr>
      <w:widowControl w:val="0"/>
      <w:snapToGrid w:val="0"/>
      <w:jc w:val="both"/>
    </w:pPr>
    <w:rPr>
      <w:rFonts w:ascii="Arial" w:hAnsi="Arial" w:eastAsia="宋体" w:cs="Arial"/>
      <w:kern w:val="2"/>
      <w:sz w:val="21"/>
      <w:szCs w:val="22"/>
      <w:lang w:val="en-US" w:eastAsia="zh-CN" w:bidi="ar-SA"/>
    </w:rPr>
  </w:style>
  <w:style w:type="paragraph" w:styleId="12">
    <w:name w:val="Balloon Text"/>
    <w:basedOn w:val="1"/>
    <w:link w:val="24"/>
    <w:qFormat/>
    <w:uiPriority w:val="0"/>
    <w:rPr>
      <w:sz w:val="18"/>
      <w:szCs w:val="18"/>
    </w:rPr>
  </w:style>
  <w:style w:type="paragraph" w:styleId="13">
    <w:name w:val="footer"/>
    <w:unhideWhenUsed/>
    <w:qFormat/>
    <w:uiPriority w:val="99"/>
    <w:pPr>
      <w:widowControl w:val="0"/>
      <w:tabs>
        <w:tab w:val="center" w:pos="4153"/>
        <w:tab w:val="right" w:pos="8306"/>
      </w:tabs>
      <w:snapToGrid w:val="0"/>
    </w:pPr>
    <w:rPr>
      <w:rFonts w:ascii="Calibri" w:hAnsi="Calibri" w:eastAsia="宋体" w:cs="Times New Roman"/>
      <w:sz w:val="18"/>
      <w:szCs w:val="18"/>
      <w:lang w:val="en-US" w:eastAsia="zh-CN" w:bidi="ar-SA"/>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next w:val="1"/>
    <w:unhideWhenUsed/>
    <w:qFormat/>
    <w:uiPriority w:val="39"/>
    <w:pPr>
      <w:widowControl w:val="0"/>
      <w:spacing w:before="120" w:after="120"/>
    </w:pPr>
    <w:rPr>
      <w:rFonts w:ascii="Calibri" w:hAnsi="Calibri" w:eastAsia="宋体" w:cs="Times New Roman"/>
      <w:b/>
      <w:bCs/>
      <w:caps/>
      <w:kern w:val="2"/>
      <w:lang w:val="en-US" w:eastAsia="zh-CN" w:bidi="ar-SA"/>
    </w:rPr>
  </w:style>
  <w:style w:type="paragraph" w:styleId="16">
    <w:name w:val="toc 2"/>
    <w:next w:val="1"/>
    <w:unhideWhenUsed/>
    <w:qFormat/>
    <w:uiPriority w:val="39"/>
    <w:pPr>
      <w:widowControl w:val="0"/>
      <w:ind w:left="210"/>
    </w:pPr>
    <w:rPr>
      <w:rFonts w:ascii="Calibri" w:hAnsi="Calibri" w:eastAsia="宋体" w:cs="Times New Roman"/>
      <w:smallCaps/>
      <w:kern w:val="2"/>
      <w:lang w:val="en-US" w:eastAsia="zh-CN" w:bidi="ar-SA"/>
    </w:rPr>
  </w:style>
  <w:style w:type="paragraph" w:styleId="17">
    <w:name w:val="Body Text First Indent"/>
    <w:next w:val="18"/>
    <w:link w:val="25"/>
    <w:qFormat/>
    <w:uiPriority w:val="0"/>
    <w:pPr>
      <w:widowControl w:val="0"/>
      <w:spacing w:after="120" w:line="312" w:lineRule="auto"/>
      <w:ind w:firstLine="420"/>
      <w:jc w:val="both"/>
    </w:pPr>
    <w:rPr>
      <w:rFonts w:ascii="Times New Roman" w:hAnsi="Times New Roman" w:eastAsia="宋体" w:cs="Times New Roman"/>
      <w:kern w:val="2"/>
      <w:sz w:val="21"/>
      <w:szCs w:val="24"/>
      <w:lang w:val="en-US" w:eastAsia="zh-CN" w:bidi="ar-SA"/>
    </w:rPr>
  </w:style>
  <w:style w:type="paragraph" w:styleId="18">
    <w:name w:val="Body Text First Indent 2"/>
    <w:link w:val="26"/>
    <w:unhideWhenUsed/>
    <w:qFormat/>
    <w:uiPriority w:val="99"/>
    <w:pPr>
      <w:spacing w:after="120" w:line="256" w:lineRule="auto"/>
      <w:ind w:left="420" w:leftChars="200" w:firstLine="420" w:firstLineChars="200"/>
    </w:pPr>
    <w:rPr>
      <w:rFonts w:ascii="Calibri" w:hAnsi="Calibri" w:eastAsia="Calibri" w:cs="Times New Roman"/>
      <w:color w:val="000000"/>
      <w:sz w:val="22"/>
      <w:lang w:val="en-US" w:eastAsia="zh-CN" w:bidi="ar-SA"/>
    </w:rPr>
  </w:style>
  <w:style w:type="paragraph" w:customStyle="1" w:styleId="21">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22">
    <w:name w:val="自定表格内容"/>
    <w:qFormat/>
    <w:uiPriority w:val="0"/>
    <w:pPr>
      <w:widowControl w:val="0"/>
      <w:spacing w:line="360" w:lineRule="auto"/>
    </w:pPr>
    <w:rPr>
      <w:rFonts w:ascii="Calibri" w:hAnsi="Calibri" w:eastAsia="宋体" w:cs="Times New Roman"/>
      <w:kern w:val="2"/>
      <w:sz w:val="21"/>
      <w:szCs w:val="24"/>
      <w:lang w:val="en-US" w:eastAsia="zh-CN" w:bidi="ar-SA"/>
    </w:rPr>
  </w:style>
  <w:style w:type="paragraph" w:styleId="23">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24">
    <w:name w:val="批注框文本 Char"/>
    <w:basedOn w:val="20"/>
    <w:link w:val="12"/>
    <w:qFormat/>
    <w:uiPriority w:val="0"/>
    <w:rPr>
      <w:rFonts w:ascii="Calibri" w:hAnsi="Calibri" w:eastAsia="宋体" w:cs="Times New Roman"/>
      <w:kern w:val="2"/>
      <w:sz w:val="18"/>
      <w:szCs w:val="18"/>
    </w:rPr>
  </w:style>
  <w:style w:type="character" w:customStyle="1" w:styleId="25">
    <w:name w:val="正文首行缩进 Char"/>
    <w:link w:val="17"/>
    <w:qFormat/>
    <w:uiPriority w:val="0"/>
    <w:rPr>
      <w:rFonts w:ascii="Times New Roman" w:hAnsi="Times New Roman" w:eastAsia="宋体" w:cs="Times New Roman"/>
      <w:kern w:val="2"/>
      <w:sz w:val="21"/>
      <w:szCs w:val="24"/>
    </w:rPr>
  </w:style>
  <w:style w:type="character" w:customStyle="1" w:styleId="26">
    <w:name w:val="正文首行缩进 2 Char"/>
    <w:basedOn w:val="20"/>
    <w:link w:val="18"/>
    <w:qFormat/>
    <w:uiPriority w:val="99"/>
    <w:rPr>
      <w:rFonts w:ascii="Calibri" w:hAnsi="Calibri" w:eastAsia="Calibri" w:cs="Times New Roman"/>
      <w:color w:val="000000"/>
      <w:sz w:val="22"/>
    </w:rPr>
  </w:style>
  <w:style w:type="paragraph" w:customStyle="1" w:styleId="27">
    <w:name w:val="Table Paragraph"/>
    <w:basedOn w:val="1"/>
    <w:qFormat/>
    <w:uiPriority w:val="1"/>
    <w:pPr>
      <w:ind w:left="96"/>
      <w:jc w:val="center"/>
    </w:pPr>
    <w:rPr>
      <w:rFonts w:ascii="等线" w:hAnsi="等线" w:eastAsia="等线" w:cs="Times New Roman"/>
      <w:kern w:val="0"/>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6800</Words>
  <Characters>7253</Characters>
  <Lines>198</Lines>
  <Paragraphs>56</Paragraphs>
  <TotalTime>20</TotalTime>
  <ScaleCrop>false</ScaleCrop>
  <LinksUpToDate>false</LinksUpToDate>
  <CharactersWithSpaces>7370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2025-02-05T06:50:00Z</dcterms:created>
  <dc:creator>Administrator</dc:creator>
  <cp:lastModifiedBy>Administrator</cp:lastModifiedBy>
  <cp:lastPrinted>2025-03-11T02:03:00Z</cp:lastPrinted>
  <dcterms:modified xsi:type="dcterms:W3CDTF">2025-08-21T03:51:42Z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D039F619E08D4592A50E49CD00CAE3A8_11</vt:lpwstr>
  </property>
  <property fmtid="{D5CDD505-2E9C-101B-9397-08002B2CF9AE}" pid="4" name="KSOTemplateDocerSaveRecord">
    <vt:lpwstr>eyJoZGlkIjoiMTNiMThhNWYyNmYwZjg0ZGUzNDkzMTY5ZGMwZDJmNzYiLCJ1c2VySWQiOiIyMjE0NTgwNDEifQ==</vt:lpwstr>
  </property>
</Properties>
</file>