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C67EC">
      <w:pPr>
        <w:spacing w:line="360" w:lineRule="auto"/>
        <w:jc w:val="center"/>
        <w:rPr>
          <w:rFonts w:hint="default" w:ascii="宋体" w:hAnsi="宋体" w:eastAsia="宋体" w:cs="宋体"/>
          <w:b/>
          <w:bCs/>
          <w:color w:val="auto"/>
          <w:sz w:val="48"/>
          <w:szCs w:val="48"/>
          <w:highlight w:val="none"/>
          <w:lang w:val="en-US" w:eastAsia="zh-CN"/>
        </w:rPr>
      </w:pPr>
      <w:r>
        <w:rPr>
          <w:rFonts w:hint="eastAsia" w:ascii="宋体" w:hAnsi="宋体" w:eastAsia="黑体" w:cs="宋体"/>
          <w:b/>
          <w:bCs/>
          <w:color w:val="auto"/>
          <w:sz w:val="48"/>
          <w:szCs w:val="48"/>
          <w:highlight w:val="none"/>
          <w:lang w:eastAsia="zh-CN"/>
        </w:rPr>
        <w:t>化龙镇化龙南路北半幅（城际化龙站至化龙大道段）工程地铁保护第三方监测</w:t>
      </w:r>
    </w:p>
    <w:p w14:paraId="0519B1BB">
      <w:pPr>
        <w:spacing w:line="360" w:lineRule="auto"/>
        <w:rPr>
          <w:rFonts w:ascii="宋体" w:hAnsi="宋体" w:cs="宋体"/>
          <w:color w:val="auto"/>
          <w:sz w:val="28"/>
          <w:szCs w:val="28"/>
          <w:highlight w:val="none"/>
        </w:rPr>
      </w:pPr>
    </w:p>
    <w:p w14:paraId="7AD180D2">
      <w:pPr>
        <w:spacing w:line="360" w:lineRule="auto"/>
        <w:rPr>
          <w:rFonts w:ascii="宋体" w:hAnsi="宋体" w:cs="宋体"/>
          <w:color w:val="auto"/>
          <w:sz w:val="36"/>
          <w:szCs w:val="36"/>
          <w:highlight w:val="none"/>
        </w:rPr>
      </w:pPr>
    </w:p>
    <w:p w14:paraId="09C3BBE2">
      <w:pPr>
        <w:spacing w:line="360" w:lineRule="auto"/>
        <w:rPr>
          <w:rFonts w:ascii="宋体" w:hAnsi="宋体" w:cs="宋体"/>
          <w:color w:val="auto"/>
          <w:highlight w:val="none"/>
        </w:rPr>
      </w:pPr>
    </w:p>
    <w:p w14:paraId="2F2139A4">
      <w:pPr>
        <w:spacing w:line="360" w:lineRule="auto"/>
        <w:rPr>
          <w:rFonts w:ascii="宋体" w:hAnsi="宋体" w:cs="宋体"/>
          <w:color w:val="auto"/>
          <w:highlight w:val="none"/>
        </w:rPr>
      </w:pPr>
    </w:p>
    <w:p w14:paraId="77A6F730">
      <w:pPr>
        <w:spacing w:line="360" w:lineRule="auto"/>
        <w:rPr>
          <w:rFonts w:ascii="宋体" w:hAnsi="宋体" w:cs="宋体"/>
          <w:color w:val="auto"/>
          <w:sz w:val="28"/>
          <w:szCs w:val="28"/>
          <w:highlight w:val="none"/>
        </w:rPr>
      </w:pPr>
    </w:p>
    <w:p w14:paraId="1A4C7E43">
      <w:pPr>
        <w:pStyle w:val="5"/>
        <w:spacing w:line="360" w:lineRule="auto"/>
        <w:rPr>
          <w:rFonts w:hAnsi="宋体" w:cs="宋体"/>
          <w:color w:val="auto"/>
          <w:sz w:val="28"/>
          <w:szCs w:val="28"/>
          <w:highlight w:val="none"/>
        </w:rPr>
      </w:pPr>
    </w:p>
    <w:p w14:paraId="70AC4B60">
      <w:pPr>
        <w:spacing w:line="360" w:lineRule="auto"/>
        <w:rPr>
          <w:rFonts w:ascii="宋体" w:hAnsi="宋体" w:cs="宋体"/>
          <w:color w:val="auto"/>
          <w:sz w:val="28"/>
          <w:highlight w:val="none"/>
        </w:rPr>
      </w:pPr>
    </w:p>
    <w:p w14:paraId="3B4F819C">
      <w:pPr>
        <w:spacing w:line="360"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招标公告</w:t>
      </w:r>
      <w:bookmarkStart w:id="44" w:name="_GoBack"/>
      <w:bookmarkEnd w:id="44"/>
    </w:p>
    <w:p w14:paraId="3B9D78EE">
      <w:pPr>
        <w:spacing w:line="360" w:lineRule="auto"/>
        <w:rPr>
          <w:rFonts w:ascii="宋体" w:hAnsi="宋体" w:cs="宋体"/>
          <w:color w:val="auto"/>
          <w:highlight w:val="none"/>
        </w:rPr>
      </w:pPr>
    </w:p>
    <w:p w14:paraId="13F46C10">
      <w:pPr>
        <w:spacing w:line="360" w:lineRule="auto"/>
        <w:rPr>
          <w:rFonts w:ascii="宋体" w:hAnsi="宋体" w:cs="宋体"/>
          <w:color w:val="auto"/>
          <w:highlight w:val="none"/>
        </w:rPr>
      </w:pPr>
    </w:p>
    <w:p w14:paraId="3B92FBF2">
      <w:pPr>
        <w:spacing w:line="360" w:lineRule="auto"/>
        <w:rPr>
          <w:rFonts w:ascii="宋体" w:hAnsi="宋体" w:cs="宋体"/>
          <w:color w:val="auto"/>
          <w:highlight w:val="none"/>
        </w:rPr>
      </w:pPr>
    </w:p>
    <w:p w14:paraId="1437E47B">
      <w:pPr>
        <w:spacing w:line="360" w:lineRule="auto"/>
        <w:rPr>
          <w:rFonts w:ascii="宋体" w:hAnsi="宋体" w:cs="宋体"/>
          <w:color w:val="auto"/>
          <w:highlight w:val="none"/>
        </w:rPr>
      </w:pPr>
    </w:p>
    <w:p w14:paraId="1378CB36">
      <w:pPr>
        <w:pStyle w:val="9"/>
        <w:spacing w:line="360" w:lineRule="auto"/>
        <w:ind w:firstLine="210"/>
        <w:rPr>
          <w:rFonts w:ascii="宋体" w:hAnsi="宋体"/>
          <w:color w:val="auto"/>
          <w:highlight w:val="none"/>
        </w:rPr>
      </w:pPr>
    </w:p>
    <w:p w14:paraId="65BAAD16">
      <w:pPr>
        <w:pStyle w:val="9"/>
        <w:spacing w:line="360" w:lineRule="auto"/>
        <w:ind w:firstLine="210"/>
        <w:rPr>
          <w:rFonts w:ascii="宋体" w:hAnsi="宋体"/>
          <w:color w:val="auto"/>
          <w:highlight w:val="none"/>
        </w:rPr>
      </w:pPr>
    </w:p>
    <w:p w14:paraId="4C1A31B6">
      <w:pPr>
        <w:spacing w:line="360" w:lineRule="auto"/>
        <w:rPr>
          <w:rFonts w:ascii="宋体" w:hAnsi="宋体" w:cs="宋体"/>
          <w:color w:val="auto"/>
          <w:highlight w:val="none"/>
        </w:rPr>
      </w:pPr>
    </w:p>
    <w:p w14:paraId="08FF7555">
      <w:pPr>
        <w:spacing w:line="360" w:lineRule="auto"/>
        <w:ind w:firstLine="964" w:firstLineChars="300"/>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招标单位：广州市番禺区基本建设投资管理中心</w:t>
      </w:r>
    </w:p>
    <w:p w14:paraId="44480D8E">
      <w:pPr>
        <w:spacing w:line="360" w:lineRule="auto"/>
        <w:ind w:firstLine="945"/>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招标代理单位：</w:t>
      </w:r>
      <w:r>
        <w:rPr>
          <w:rFonts w:hint="eastAsia" w:ascii="宋体" w:hAnsi="宋体" w:cs="宋体"/>
          <w:b/>
          <w:color w:val="auto"/>
          <w:kern w:val="0"/>
          <w:sz w:val="32"/>
          <w:szCs w:val="32"/>
          <w:highlight w:val="none"/>
          <w:lang w:eastAsia="zh-CN"/>
        </w:rPr>
        <w:t>广州高新工程顾问有限公司</w:t>
      </w:r>
    </w:p>
    <w:p w14:paraId="4A24135E">
      <w:pPr>
        <w:spacing w:line="360" w:lineRule="auto"/>
        <w:ind w:firstLine="945"/>
        <w:rPr>
          <w:rFonts w:ascii="宋体" w:hAnsi="宋体" w:cs="宋体"/>
          <w:b/>
          <w:bCs/>
          <w:color w:val="auto"/>
          <w:sz w:val="32"/>
          <w:szCs w:val="32"/>
          <w:highlight w:val="none"/>
        </w:rPr>
      </w:pPr>
      <w:r>
        <w:rPr>
          <w:rFonts w:hint="eastAsia" w:ascii="宋体" w:hAnsi="宋体" w:cs="宋体"/>
          <w:b/>
          <w:bCs/>
          <w:color w:val="auto"/>
          <w:sz w:val="32"/>
          <w:szCs w:val="32"/>
          <w:highlight w:val="none"/>
        </w:rPr>
        <w:t>日期：</w:t>
      </w:r>
      <w:r>
        <w:rPr>
          <w:rFonts w:ascii="宋体" w:hAnsi="宋体" w:cs="宋体"/>
          <w:b/>
          <w:bCs/>
          <w:color w:val="auto"/>
          <w:sz w:val="32"/>
          <w:szCs w:val="32"/>
          <w:highlight w:val="none"/>
        </w:rPr>
        <w:t>20</w:t>
      </w:r>
      <w:r>
        <w:rPr>
          <w:rFonts w:hint="eastAsia" w:ascii="宋体" w:hAnsi="宋体" w:cs="宋体"/>
          <w:b/>
          <w:bCs/>
          <w:color w:val="auto"/>
          <w:sz w:val="32"/>
          <w:szCs w:val="32"/>
          <w:highlight w:val="none"/>
        </w:rPr>
        <w:t>25年</w:t>
      </w:r>
      <w:r>
        <w:rPr>
          <w:rFonts w:hint="eastAsia" w:ascii="宋体" w:hAnsi="宋体" w:cs="宋体"/>
          <w:b/>
          <w:bCs/>
          <w:color w:val="auto"/>
          <w:sz w:val="32"/>
          <w:szCs w:val="32"/>
          <w:highlight w:val="none"/>
          <w:lang w:val="en-US" w:eastAsia="zh-CN"/>
        </w:rPr>
        <w:t>8</w:t>
      </w:r>
      <w:r>
        <w:rPr>
          <w:rFonts w:hint="eastAsia" w:ascii="宋体" w:hAnsi="宋体" w:cs="宋体"/>
          <w:b/>
          <w:bCs/>
          <w:color w:val="auto"/>
          <w:sz w:val="32"/>
          <w:szCs w:val="32"/>
          <w:highlight w:val="none"/>
        </w:rPr>
        <w:t>月</w:t>
      </w:r>
    </w:p>
    <w:p w14:paraId="09BA356C">
      <w:pPr>
        <w:spacing w:line="360" w:lineRule="auto"/>
        <w:jc w:val="center"/>
        <w:rPr>
          <w:rFonts w:ascii="宋体" w:hAnsi="宋体" w:cs="宋体"/>
          <w:color w:val="auto"/>
          <w:sz w:val="28"/>
          <w:highlight w:val="none"/>
        </w:rPr>
      </w:pPr>
    </w:p>
    <w:p w14:paraId="3BD74238">
      <w:pPr>
        <w:tabs>
          <w:tab w:val="left" w:pos="2130"/>
        </w:tabs>
        <w:spacing w:line="360" w:lineRule="auto"/>
        <w:rPr>
          <w:rFonts w:eastAsia="黑体"/>
          <w:color w:val="auto"/>
          <w:sz w:val="32"/>
          <w:szCs w:val="32"/>
          <w:highlight w:val="none"/>
        </w:rPr>
      </w:pPr>
    </w:p>
    <w:p w14:paraId="4F9B44FB">
      <w:pPr>
        <w:rPr>
          <w:rFonts w:hint="eastAsia" w:eastAsia="黑体"/>
          <w:color w:val="auto"/>
          <w:sz w:val="32"/>
          <w:szCs w:val="32"/>
          <w:highlight w:val="none"/>
          <w:lang w:eastAsia="zh-CN"/>
        </w:rPr>
      </w:pPr>
      <w:r>
        <w:rPr>
          <w:rFonts w:hint="eastAsia" w:eastAsia="黑体"/>
          <w:color w:val="auto"/>
          <w:sz w:val="32"/>
          <w:szCs w:val="32"/>
          <w:highlight w:val="none"/>
          <w:lang w:eastAsia="zh-CN"/>
        </w:rPr>
        <w:br w:type="page"/>
      </w:r>
    </w:p>
    <w:p w14:paraId="628C378C">
      <w:pPr>
        <w:tabs>
          <w:tab w:val="left" w:pos="7513"/>
        </w:tabs>
        <w:spacing w:line="360" w:lineRule="auto"/>
        <w:jc w:val="center"/>
        <w:rPr>
          <w:rFonts w:eastAsia="黑体"/>
          <w:color w:val="auto"/>
          <w:sz w:val="32"/>
          <w:szCs w:val="32"/>
          <w:highlight w:val="none"/>
          <w:u w:val="single"/>
        </w:rPr>
      </w:pPr>
      <w:r>
        <w:rPr>
          <w:rFonts w:hint="eastAsia" w:eastAsia="黑体"/>
          <w:color w:val="auto"/>
          <w:sz w:val="32"/>
          <w:szCs w:val="32"/>
          <w:highlight w:val="none"/>
          <w:lang w:eastAsia="zh-CN"/>
        </w:rPr>
        <w:t>化龙镇化龙南路北半幅（城际化龙站至化龙大道段）工程地铁保护第三方监测</w:t>
      </w:r>
      <w:r>
        <w:rPr>
          <w:rFonts w:eastAsia="黑体"/>
          <w:color w:val="auto"/>
          <w:sz w:val="32"/>
          <w:szCs w:val="32"/>
          <w:highlight w:val="none"/>
        </w:rPr>
        <w:t>招标公告</w:t>
      </w:r>
    </w:p>
    <w:p w14:paraId="327BDA20">
      <w:pPr>
        <w:pStyle w:val="3"/>
        <w:keepNext w:val="0"/>
        <w:keepLines w:val="0"/>
        <w:spacing w:before="0" w:after="0" w:line="360" w:lineRule="auto"/>
        <w:rPr>
          <w:rFonts w:ascii="Times New Roman" w:hAnsi="Times New Roman"/>
          <w:color w:val="auto"/>
          <w:highlight w:val="none"/>
        </w:rPr>
      </w:pPr>
      <w:bookmarkStart w:id="0" w:name="_Toc514099623"/>
      <w:bookmarkStart w:id="1" w:name="_Toc511557025"/>
      <w:r>
        <w:rPr>
          <w:rFonts w:ascii="Times New Roman" w:hAnsi="Times New Roman"/>
          <w:color w:val="auto"/>
          <w:highlight w:val="none"/>
        </w:rPr>
        <w:t>1. 招标条件</w:t>
      </w:r>
      <w:bookmarkEnd w:id="0"/>
      <w:bookmarkEnd w:id="1"/>
    </w:p>
    <w:p w14:paraId="31650F7F">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本招标项目</w:t>
      </w:r>
      <w:r>
        <w:rPr>
          <w:rFonts w:hint="eastAsia" w:ascii="宋体" w:hAnsi="宋体" w:cs="宋体"/>
          <w:color w:val="auto"/>
          <w:sz w:val="24"/>
          <w:highlight w:val="none"/>
          <w:u w:val="single"/>
          <w:lang w:eastAsia="zh-CN"/>
        </w:rPr>
        <w:t>化龙镇化龙南路北半幅（城际化龙站至化龙大道段）工程</w:t>
      </w:r>
      <w:r>
        <w:rPr>
          <w:rFonts w:ascii="宋体" w:hAnsi="宋体"/>
          <w:color w:val="auto"/>
          <w:sz w:val="24"/>
          <w:szCs w:val="24"/>
          <w:highlight w:val="none"/>
        </w:rPr>
        <w:t>已由</w:t>
      </w:r>
      <w:r>
        <w:rPr>
          <w:rFonts w:hint="eastAsia" w:ascii="宋体" w:hAnsi="宋体"/>
          <w:color w:val="auto"/>
          <w:sz w:val="24"/>
          <w:szCs w:val="24"/>
          <w:highlight w:val="none"/>
          <w:u w:val="single"/>
        </w:rPr>
        <w:t>广州市番禺区发展和改革局以</w:t>
      </w:r>
      <w:r>
        <w:rPr>
          <w:rFonts w:hint="eastAsia" w:ascii="宋体" w:hAnsi="宋体"/>
          <w:color w:val="auto"/>
          <w:sz w:val="24"/>
          <w:highlight w:val="none"/>
          <w:u w:val="single"/>
        </w:rPr>
        <w:t>穗番发改投批</w:t>
      </w:r>
      <w:r>
        <w:rPr>
          <w:rFonts w:hint="eastAsia" w:ascii="宋体" w:hAnsi="宋体"/>
          <w:color w:val="auto"/>
          <w:sz w:val="24"/>
          <w:highlight w:val="none"/>
          <w:u w:val="single"/>
          <w:lang w:val="en-US" w:eastAsia="zh-CN"/>
        </w:rPr>
        <w:t>〔2025〕44</w:t>
      </w:r>
      <w:r>
        <w:rPr>
          <w:rFonts w:hint="eastAsia" w:ascii="宋体" w:hAnsi="宋体" w:cs="宋体"/>
          <w:color w:val="auto"/>
          <w:sz w:val="24"/>
          <w:highlight w:val="none"/>
          <w:u w:val="single"/>
          <w:lang w:eastAsia="zh-CN"/>
        </w:rPr>
        <w:t>号文，投资项目代码</w:t>
      </w:r>
      <w:r>
        <w:rPr>
          <w:rFonts w:hint="default" w:ascii="宋体" w:hAnsi="宋体" w:cs="宋体"/>
          <w:color w:val="auto"/>
          <w:sz w:val="24"/>
          <w:highlight w:val="none"/>
          <w:u w:val="single"/>
          <w:lang w:val="en-US" w:eastAsia="zh-CN"/>
        </w:rPr>
        <w:t>2411-440113-04-01-612701</w:t>
      </w:r>
      <w:r>
        <w:rPr>
          <w:rFonts w:ascii="宋体" w:hAnsi="宋体"/>
          <w:color w:val="auto"/>
          <w:sz w:val="24"/>
          <w:szCs w:val="24"/>
          <w:highlight w:val="none"/>
        </w:rPr>
        <w:t>批准建设，项目业主为</w:t>
      </w:r>
      <w:r>
        <w:rPr>
          <w:rFonts w:hint="eastAsia" w:ascii="宋体" w:hAnsi="宋体" w:cs="宋体"/>
          <w:color w:val="auto"/>
          <w:sz w:val="24"/>
          <w:szCs w:val="24"/>
          <w:highlight w:val="none"/>
          <w:u w:val="single"/>
        </w:rPr>
        <w:t>广州市番禺区基本建设投资管理中心</w:t>
      </w:r>
      <w:r>
        <w:rPr>
          <w:rFonts w:hint="eastAsia" w:ascii="宋体" w:hAnsi="宋体" w:cs="宋体"/>
          <w:color w:val="auto"/>
          <w:sz w:val="24"/>
          <w:szCs w:val="24"/>
          <w:highlight w:val="none"/>
          <w:lang w:val="zh-CN"/>
        </w:rPr>
        <w:t>，</w:t>
      </w:r>
      <w:r>
        <w:rPr>
          <w:rFonts w:ascii="宋体" w:hAnsi="宋体"/>
          <w:color w:val="auto"/>
          <w:sz w:val="24"/>
          <w:szCs w:val="24"/>
          <w:highlight w:val="none"/>
        </w:rPr>
        <w:t>建设资金来自</w:t>
      </w:r>
      <w:r>
        <w:rPr>
          <w:rFonts w:hint="eastAsia" w:ascii="宋体" w:hAnsi="宋体"/>
          <w:color w:val="auto"/>
          <w:sz w:val="24"/>
          <w:szCs w:val="24"/>
          <w:highlight w:val="none"/>
          <w:u w:val="single"/>
        </w:rPr>
        <w:t>财政资金</w:t>
      </w:r>
      <w:r>
        <w:rPr>
          <w:rFonts w:hint="eastAsia" w:ascii="宋体" w:hAnsi="宋体"/>
          <w:color w:val="auto"/>
          <w:sz w:val="24"/>
          <w:szCs w:val="24"/>
          <w:highlight w:val="none"/>
        </w:rPr>
        <w:t>。</w:t>
      </w:r>
      <w:r>
        <w:rPr>
          <w:rFonts w:ascii="宋体" w:hAnsi="宋体"/>
          <w:color w:val="auto"/>
          <w:sz w:val="24"/>
          <w:szCs w:val="24"/>
          <w:highlight w:val="none"/>
        </w:rPr>
        <w:t>出资比例为</w:t>
      </w:r>
      <w:r>
        <w:rPr>
          <w:rFonts w:hint="eastAsia" w:ascii="宋体" w:hAnsi="宋体"/>
          <w:color w:val="auto"/>
          <w:sz w:val="24"/>
          <w:szCs w:val="24"/>
          <w:highlight w:val="none"/>
          <w:u w:val="single"/>
        </w:rPr>
        <w:t>100%</w:t>
      </w:r>
      <w:r>
        <w:rPr>
          <w:rFonts w:ascii="宋体" w:hAnsi="宋体"/>
          <w:color w:val="auto"/>
          <w:sz w:val="24"/>
          <w:szCs w:val="24"/>
          <w:highlight w:val="none"/>
        </w:rPr>
        <w:t>，招标人为</w:t>
      </w:r>
      <w:r>
        <w:rPr>
          <w:rFonts w:hint="eastAsia" w:ascii="宋体" w:hAnsi="宋体" w:cs="宋体"/>
          <w:color w:val="auto"/>
          <w:sz w:val="24"/>
          <w:szCs w:val="24"/>
          <w:highlight w:val="none"/>
          <w:u w:val="single"/>
          <w:lang w:val="zh-CN"/>
        </w:rPr>
        <w:t>广州市番禺区基本建设投资管理中心</w:t>
      </w:r>
      <w:r>
        <w:rPr>
          <w:rFonts w:ascii="宋体" w:hAnsi="宋体"/>
          <w:color w:val="auto"/>
          <w:sz w:val="24"/>
          <w:szCs w:val="24"/>
          <w:highlight w:val="none"/>
        </w:rPr>
        <w:t>。项目已具备招标条件，现对该项目的</w:t>
      </w:r>
      <w:r>
        <w:rPr>
          <w:rFonts w:hint="eastAsia" w:ascii="宋体" w:hAnsi="宋体" w:cs="宋体"/>
          <w:color w:val="auto"/>
          <w:sz w:val="24"/>
          <w:highlight w:val="none"/>
          <w:u w:val="single"/>
          <w:lang w:eastAsia="zh-CN"/>
        </w:rPr>
        <w:t>第三方监测</w:t>
      </w:r>
      <w:r>
        <w:rPr>
          <w:rFonts w:hint="eastAsia" w:ascii="宋体" w:hAnsi="宋体" w:cs="宋体"/>
          <w:color w:val="auto"/>
          <w:sz w:val="24"/>
          <w:highlight w:val="none"/>
          <w:u w:val="single"/>
        </w:rPr>
        <w:t>服务项目</w:t>
      </w:r>
      <w:r>
        <w:rPr>
          <w:rFonts w:ascii="宋体" w:hAnsi="宋体"/>
          <w:color w:val="auto"/>
          <w:sz w:val="24"/>
          <w:szCs w:val="24"/>
          <w:highlight w:val="none"/>
        </w:rPr>
        <w:t>进行公开招标。</w:t>
      </w:r>
    </w:p>
    <w:p w14:paraId="4CB573DB">
      <w:pPr>
        <w:spacing w:line="360" w:lineRule="auto"/>
        <w:ind w:firstLine="480" w:firstLineChars="200"/>
        <w:rPr>
          <w:rFonts w:ascii="宋体" w:hAnsi="宋体"/>
          <w:color w:val="auto"/>
          <w:sz w:val="24"/>
          <w:szCs w:val="24"/>
          <w:highlight w:val="none"/>
        </w:rPr>
      </w:pPr>
    </w:p>
    <w:p w14:paraId="67426BD8">
      <w:pPr>
        <w:pStyle w:val="3"/>
        <w:keepNext w:val="0"/>
        <w:keepLines w:val="0"/>
        <w:spacing w:before="0" w:after="0" w:line="360" w:lineRule="auto"/>
        <w:rPr>
          <w:rFonts w:ascii="Times New Roman" w:hAnsi="Times New Roman"/>
          <w:color w:val="auto"/>
          <w:highlight w:val="none"/>
        </w:rPr>
      </w:pPr>
      <w:bookmarkStart w:id="2" w:name="_Toc511557026"/>
      <w:bookmarkStart w:id="3" w:name="_Toc514099624"/>
      <w:r>
        <w:rPr>
          <w:rFonts w:ascii="Times New Roman" w:hAnsi="Times New Roman"/>
          <w:color w:val="auto"/>
          <w:highlight w:val="none"/>
        </w:rPr>
        <w:t>2. 项目概况与</w:t>
      </w:r>
      <w:r>
        <w:rPr>
          <w:rFonts w:hint="eastAsia" w:ascii="Times New Roman" w:hAnsi="Times New Roman"/>
          <w:color w:val="auto"/>
          <w:highlight w:val="none"/>
        </w:rPr>
        <w:t>招标范围</w:t>
      </w:r>
      <w:bookmarkEnd w:id="2"/>
      <w:bookmarkEnd w:id="3"/>
    </w:p>
    <w:p w14:paraId="2E06C8AE">
      <w:pPr>
        <w:tabs>
          <w:tab w:val="left" w:pos="7513"/>
        </w:tabs>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2.1招标项目概况</w:t>
      </w:r>
    </w:p>
    <w:p w14:paraId="4DE83FD7">
      <w:pPr>
        <w:tabs>
          <w:tab w:val="left" w:pos="7513"/>
        </w:tabs>
        <w:spacing w:line="360" w:lineRule="auto"/>
        <w:ind w:firstLine="424" w:firstLineChars="177"/>
        <w:rPr>
          <w:rFonts w:hint="eastAsia" w:ascii="宋体" w:hAnsi="宋体" w:cs="宋体"/>
          <w:color w:val="auto"/>
          <w:sz w:val="24"/>
          <w:highlight w:val="none"/>
          <w:u w:val="single"/>
          <w:lang w:eastAsia="zh-CN"/>
        </w:rPr>
      </w:pPr>
      <w:r>
        <w:rPr>
          <w:rFonts w:hint="eastAsia" w:ascii="宋体" w:hAnsi="宋体"/>
          <w:color w:val="auto"/>
          <w:sz w:val="24"/>
          <w:szCs w:val="24"/>
          <w:highlight w:val="none"/>
        </w:rPr>
        <w:t>2.1.1招标项目名称：</w:t>
      </w:r>
      <w:r>
        <w:rPr>
          <w:rFonts w:hint="eastAsia" w:ascii="宋体" w:hAnsi="宋体" w:cs="宋体"/>
          <w:color w:val="auto"/>
          <w:sz w:val="24"/>
          <w:highlight w:val="none"/>
          <w:u w:val="single"/>
          <w:lang w:eastAsia="zh-CN"/>
        </w:rPr>
        <w:t>化龙镇化龙南路北半幅（城际化龙站至化龙大道段）工程地铁保护第三方监测</w:t>
      </w:r>
    </w:p>
    <w:p w14:paraId="502E92F5">
      <w:pPr>
        <w:tabs>
          <w:tab w:val="left" w:pos="7513"/>
        </w:tabs>
        <w:spacing w:line="360" w:lineRule="auto"/>
        <w:ind w:firstLine="424" w:firstLineChars="177"/>
        <w:rPr>
          <w:rFonts w:hint="eastAsia" w:ascii="宋体" w:hAnsi="宋体"/>
          <w:color w:val="auto"/>
          <w:sz w:val="24"/>
          <w:szCs w:val="24"/>
          <w:highlight w:val="none"/>
        </w:rPr>
      </w:pPr>
      <w:r>
        <w:rPr>
          <w:rFonts w:hint="eastAsia" w:ascii="宋体" w:hAnsi="宋体"/>
          <w:color w:val="auto"/>
          <w:sz w:val="24"/>
          <w:szCs w:val="24"/>
          <w:highlight w:val="none"/>
        </w:rPr>
        <w:t>2.1.2工程建设地点：</w:t>
      </w:r>
      <w:r>
        <w:rPr>
          <w:rFonts w:hint="eastAsia" w:ascii="宋体" w:hAnsi="宋体"/>
          <w:color w:val="auto"/>
          <w:sz w:val="24"/>
          <w:szCs w:val="24"/>
          <w:highlight w:val="none"/>
          <w:u w:val="single"/>
        </w:rPr>
        <w:t>广州市番禺区化龙镇穗莞深琶洲支线化龙站南侧（新化快速路以东，化龙大道以西）</w:t>
      </w:r>
      <w:r>
        <w:rPr>
          <w:rFonts w:hint="eastAsia" w:ascii="宋体" w:hAnsi="宋体"/>
          <w:color w:val="auto"/>
          <w:sz w:val="24"/>
          <w:szCs w:val="24"/>
          <w:highlight w:val="none"/>
        </w:rPr>
        <w:t xml:space="preserve"> </w:t>
      </w:r>
    </w:p>
    <w:p w14:paraId="56F7FD39">
      <w:pPr>
        <w:tabs>
          <w:tab w:val="left" w:pos="7513"/>
        </w:tabs>
        <w:spacing w:line="360" w:lineRule="auto"/>
        <w:ind w:firstLine="424" w:firstLineChars="177"/>
        <w:rPr>
          <w:rFonts w:hint="eastAsia"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1.3工程建设规模</w:t>
      </w:r>
      <w:r>
        <w:rPr>
          <w:rFonts w:hint="eastAsia" w:ascii="宋体" w:hAnsi="宋体"/>
          <w:b/>
          <w:color w:val="auto"/>
          <w:sz w:val="24"/>
          <w:szCs w:val="24"/>
          <w:highlight w:val="none"/>
        </w:rPr>
        <w:t>：</w:t>
      </w:r>
      <w:r>
        <w:rPr>
          <w:rFonts w:hint="eastAsia" w:ascii="宋体" w:hAnsi="宋体"/>
          <w:color w:val="auto"/>
          <w:sz w:val="24"/>
          <w:szCs w:val="24"/>
          <w:highlight w:val="none"/>
          <w:u w:val="single"/>
          <w:lang w:eastAsia="zh-CN"/>
        </w:rPr>
        <w:t>本项目位于番禺区化龙镇，道路呈东西走向，西起规划化龙站衔接路，东止于化龙大道，道路长度约0.28公里，道路等级为城市次干路，道路红线宽60米，受用地属性限制及周边开发程度影响，近期仅实施北半幅，实施宽度为30米，双向四车道，设计速度为50公里每小时。</w:t>
      </w:r>
      <w:r>
        <w:rPr>
          <w:rFonts w:hint="eastAsia" w:ascii="宋体" w:hAnsi="宋体" w:cs="宋体"/>
          <w:color w:val="auto"/>
          <w:sz w:val="24"/>
          <w:szCs w:val="24"/>
          <w:highlight w:val="none"/>
          <w:u w:val="single"/>
        </w:rPr>
        <w:t>基坑最大深度约</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米，基坑安全等级为</w:t>
      </w:r>
      <w:r>
        <w:rPr>
          <w:rFonts w:hint="eastAsia" w:ascii="宋体" w:hAnsi="宋体" w:cs="宋体"/>
          <w:color w:val="auto"/>
          <w:sz w:val="24"/>
          <w:szCs w:val="24"/>
          <w:highlight w:val="none"/>
          <w:u w:val="single"/>
          <w:lang w:val="en-US" w:eastAsia="zh-CN"/>
        </w:rPr>
        <w:t>二</w:t>
      </w:r>
      <w:r>
        <w:rPr>
          <w:rFonts w:hint="eastAsia" w:ascii="宋体" w:hAnsi="宋体" w:cs="宋体"/>
          <w:color w:val="auto"/>
          <w:sz w:val="24"/>
          <w:szCs w:val="24"/>
          <w:highlight w:val="none"/>
          <w:u w:val="single"/>
        </w:rPr>
        <w:t>级。</w:t>
      </w:r>
      <w:r>
        <w:rPr>
          <w:rFonts w:hint="eastAsia" w:ascii="宋体" w:hAnsi="宋体"/>
          <w:color w:val="auto"/>
          <w:sz w:val="24"/>
          <w:szCs w:val="24"/>
          <w:highlight w:val="none"/>
          <w:u w:val="single"/>
          <w:lang w:eastAsia="zh-CN"/>
        </w:rPr>
        <w:t>工程建设内容包含道路工程、交通工程、给排水工程、电气工程、绿化工程、海绵城市。</w:t>
      </w:r>
      <w:r>
        <w:rPr>
          <w:rFonts w:hint="eastAsia" w:ascii="宋体" w:hAnsi="宋体"/>
          <w:color w:val="auto"/>
          <w:sz w:val="24"/>
          <w:szCs w:val="24"/>
          <w:highlight w:val="none"/>
          <w:u w:val="single"/>
        </w:rPr>
        <w:t>（具体数据以施工图纸为准）</w:t>
      </w:r>
    </w:p>
    <w:p w14:paraId="26258164">
      <w:pPr>
        <w:tabs>
          <w:tab w:val="left" w:pos="7513"/>
        </w:tabs>
        <w:spacing w:line="360" w:lineRule="auto"/>
        <w:ind w:firstLine="360" w:firstLineChars="15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2招标范围</w:t>
      </w:r>
    </w:p>
    <w:p w14:paraId="5FB88C35">
      <w:pPr>
        <w:tabs>
          <w:tab w:val="left" w:pos="7513"/>
        </w:tabs>
        <w:spacing w:line="360" w:lineRule="auto"/>
        <w:ind w:firstLine="360" w:firstLineChars="150"/>
        <w:rPr>
          <w:color w:val="auto"/>
          <w:sz w:val="24"/>
          <w:szCs w:val="24"/>
          <w:highlight w:val="none"/>
          <w:u w:val="single"/>
        </w:rPr>
      </w:pPr>
      <w:r>
        <w:rPr>
          <w:rFonts w:hint="eastAsia" w:ascii="宋体" w:hAnsi="宋体"/>
          <w:color w:val="auto"/>
          <w:sz w:val="24"/>
          <w:highlight w:val="none"/>
        </w:rPr>
        <w:t>2.2.1</w:t>
      </w:r>
      <w:r>
        <w:rPr>
          <w:rFonts w:hint="eastAsia"/>
          <w:color w:val="auto"/>
          <w:sz w:val="24"/>
          <w:szCs w:val="24"/>
          <w:highlight w:val="none"/>
        </w:rPr>
        <w:t>标段划分：</w:t>
      </w:r>
      <w:r>
        <w:rPr>
          <w:rFonts w:hint="eastAsia"/>
          <w:color w:val="auto"/>
          <w:sz w:val="24"/>
          <w:szCs w:val="24"/>
          <w:highlight w:val="none"/>
          <w:u w:val="single"/>
        </w:rPr>
        <w:t>本项目设1个标段。</w:t>
      </w:r>
    </w:p>
    <w:p w14:paraId="20E2D926">
      <w:pPr>
        <w:spacing w:line="440" w:lineRule="exact"/>
        <w:ind w:firstLine="410" w:firstLineChars="171"/>
        <w:rPr>
          <w:rFonts w:hint="eastAsia" w:ascii="宋体" w:hAnsi="宋体"/>
          <w:color w:val="000000"/>
          <w:sz w:val="24"/>
          <w:szCs w:val="24"/>
          <w:u w:val="single"/>
        </w:rPr>
      </w:pPr>
      <w:r>
        <w:rPr>
          <w:rFonts w:hint="eastAsia" w:ascii="宋体" w:hAnsi="宋体"/>
          <w:color w:val="auto"/>
          <w:sz w:val="24"/>
          <w:highlight w:val="none"/>
        </w:rPr>
        <w:t>2.2.2招标范围：</w:t>
      </w:r>
      <w:r>
        <w:rPr>
          <w:rFonts w:hint="eastAsia" w:ascii="宋体" w:hAnsi="宋体"/>
          <w:color w:val="auto"/>
          <w:sz w:val="24"/>
          <w:szCs w:val="24"/>
          <w:u w:val="single"/>
        </w:rPr>
        <w:t>1.监测的数据和资料将使业主能完全客观真实地</w:t>
      </w:r>
      <w:r>
        <w:rPr>
          <w:rFonts w:hint="eastAsia" w:ascii="宋体" w:hAnsi="宋体"/>
          <w:color w:val="000000"/>
          <w:sz w:val="24"/>
          <w:szCs w:val="24"/>
          <w:u w:val="single"/>
        </w:rPr>
        <w:t>了解工程施工对运营中地铁铁路的安全影响程度。</w:t>
      </w:r>
    </w:p>
    <w:p w14:paraId="2B4D178D">
      <w:pPr>
        <w:spacing w:line="440" w:lineRule="exact"/>
        <w:ind w:firstLine="410" w:firstLineChars="171"/>
        <w:rPr>
          <w:rFonts w:hint="eastAsia" w:ascii="宋体" w:hAnsi="宋体"/>
          <w:color w:val="000000"/>
          <w:sz w:val="24"/>
          <w:szCs w:val="24"/>
          <w:u w:val="single"/>
        </w:rPr>
      </w:pPr>
      <w:r>
        <w:rPr>
          <w:rFonts w:hint="eastAsia" w:ascii="宋体" w:hAnsi="宋体"/>
          <w:color w:val="000000"/>
          <w:sz w:val="24"/>
          <w:szCs w:val="24"/>
          <w:u w:val="single"/>
        </w:rPr>
        <w:t>2.为业主提供可靠的数据和信息，监测的数据和资料可以按照相关要求发出预警和报警信息，即可以对安全和质量事故做到防患于未然，又可以对各种潜在的安全和质量做到心中有数。</w:t>
      </w:r>
    </w:p>
    <w:p w14:paraId="1ADA55AD">
      <w:pPr>
        <w:spacing w:line="440" w:lineRule="exact"/>
        <w:ind w:firstLine="410" w:firstLineChars="171"/>
        <w:rPr>
          <w:rFonts w:hint="eastAsia" w:ascii="宋体" w:hAnsi="宋体"/>
          <w:color w:val="000000"/>
          <w:sz w:val="24"/>
          <w:szCs w:val="24"/>
          <w:u w:val="single"/>
        </w:rPr>
      </w:pPr>
      <w:r>
        <w:rPr>
          <w:rFonts w:hint="eastAsia" w:ascii="宋体" w:hAnsi="宋体"/>
          <w:color w:val="000000"/>
          <w:sz w:val="24"/>
          <w:szCs w:val="24"/>
          <w:u w:val="single"/>
        </w:rPr>
        <w:t>3.监测的数据和资料可以丰富设计人员和专家对地区类似工程的经验，以利专家解决工程中所遇到的工程难题。</w:t>
      </w:r>
    </w:p>
    <w:p w14:paraId="42C7041F">
      <w:pPr>
        <w:spacing w:line="440" w:lineRule="exact"/>
        <w:ind w:firstLine="410" w:firstLineChars="171"/>
        <w:rPr>
          <w:rFonts w:hint="eastAsia" w:ascii="宋体" w:hAnsi="宋体"/>
          <w:color w:val="000000"/>
          <w:sz w:val="24"/>
          <w:szCs w:val="24"/>
          <w:u w:val="single"/>
        </w:rPr>
      </w:pPr>
      <w:r>
        <w:rPr>
          <w:rFonts w:hint="eastAsia" w:ascii="宋体" w:hAnsi="宋体"/>
          <w:color w:val="000000"/>
          <w:sz w:val="24"/>
          <w:szCs w:val="24"/>
          <w:u w:val="single"/>
        </w:rPr>
        <w:t>4.当施工影响区内发生运营中地铁铁路破坏或二次严重开裂的投诉事件时，监测单位提供独立、客观、公正的监测数据，作为有关机构评定和界定相关单位责任的依据。</w:t>
      </w:r>
    </w:p>
    <w:p w14:paraId="03824111">
      <w:pPr>
        <w:spacing w:line="440" w:lineRule="exact"/>
        <w:ind w:firstLine="410" w:firstLineChars="171"/>
        <w:rPr>
          <w:rFonts w:hint="eastAsia" w:ascii="宋体" w:hAnsi="宋体"/>
          <w:color w:val="000000"/>
          <w:sz w:val="24"/>
          <w:szCs w:val="24"/>
          <w:u w:val="single"/>
        </w:rPr>
      </w:pPr>
      <w:r>
        <w:rPr>
          <w:rFonts w:hint="eastAsia" w:ascii="宋体" w:hAnsi="宋体"/>
          <w:color w:val="000000"/>
          <w:sz w:val="24"/>
          <w:szCs w:val="24"/>
          <w:u w:val="single"/>
        </w:rPr>
        <w:t>5.通过监测信息反馈和施工中的地质调查，及时调整施工技术参数和采取相应的工程措施，优化施工工艺，达到工程优质、安全施工、经济合理、施工快捷的目的，并为今后类似工程提供借鉴。</w:t>
      </w:r>
    </w:p>
    <w:p w14:paraId="76BD21CF">
      <w:pPr>
        <w:spacing w:line="440" w:lineRule="exact"/>
        <w:ind w:firstLine="410" w:firstLineChars="171"/>
        <w:rPr>
          <w:rFonts w:hint="eastAsia" w:ascii="宋体" w:hAnsi="宋体"/>
          <w:color w:val="000000"/>
          <w:sz w:val="24"/>
          <w:szCs w:val="24"/>
          <w:u w:val="single"/>
        </w:rPr>
      </w:pPr>
      <w:r>
        <w:rPr>
          <w:rFonts w:hint="eastAsia" w:ascii="宋体" w:hAnsi="宋体"/>
          <w:color w:val="000000"/>
          <w:sz w:val="24"/>
          <w:szCs w:val="24"/>
          <w:u w:val="single"/>
        </w:rPr>
        <w:t>6.通过监测结果分析及相关原始数据的采集，为工程科技攻关和科研创新提供理论依据。</w:t>
      </w:r>
    </w:p>
    <w:p w14:paraId="3E7550F0">
      <w:pPr>
        <w:tabs>
          <w:tab w:val="left" w:pos="7513"/>
        </w:tabs>
        <w:spacing w:line="360" w:lineRule="auto"/>
        <w:ind w:firstLine="360" w:firstLineChars="150"/>
        <w:rPr>
          <w:rFonts w:ascii="宋体" w:hAnsi="宋体"/>
          <w:color w:val="auto"/>
          <w:sz w:val="24"/>
          <w:highlight w:val="none"/>
          <w:u w:val="single"/>
        </w:rPr>
      </w:pPr>
      <w:r>
        <w:rPr>
          <w:rFonts w:hint="eastAsia" w:ascii="宋体" w:hAnsi="宋体"/>
          <w:color w:val="000000"/>
          <w:sz w:val="24"/>
          <w:szCs w:val="24"/>
          <w:u w:val="single"/>
        </w:rPr>
        <w:t>具体内容详见招标文件、监测合同。</w:t>
      </w:r>
    </w:p>
    <w:p w14:paraId="56ECD03E">
      <w:pPr>
        <w:tabs>
          <w:tab w:val="left" w:pos="7513"/>
        </w:tabs>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2.</w:t>
      </w:r>
      <w:r>
        <w:rPr>
          <w:rFonts w:hint="eastAsia" w:ascii="宋体" w:hAnsi="宋体"/>
          <w:color w:val="auto"/>
          <w:sz w:val="24"/>
          <w:szCs w:val="24"/>
          <w:highlight w:val="none"/>
        </w:rPr>
        <w:t>2.3服务期限：</w:t>
      </w:r>
      <w:r>
        <w:rPr>
          <w:rFonts w:hint="eastAsia" w:ascii="宋体" w:hAnsi="宋体"/>
          <w:color w:val="000000"/>
          <w:sz w:val="24"/>
          <w:szCs w:val="24"/>
          <w:u w:val="single"/>
        </w:rPr>
        <w:t>本项目监测服务期从乙方单位进场至完成所有监测项目，服务周期必须满足实际施工要求。</w:t>
      </w:r>
    </w:p>
    <w:p w14:paraId="5E67E1D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2.2.4承包方式：</w:t>
      </w:r>
    </w:p>
    <w:p w14:paraId="77A62B6A">
      <w:pPr>
        <w:spacing w:line="360" w:lineRule="auto"/>
        <w:ind w:firstLine="480" w:firstLineChars="200"/>
        <w:rPr>
          <w:rFonts w:hint="eastAsia" w:ascii="宋体" w:hAnsi="宋体" w:cs="宋体"/>
          <w:sz w:val="24"/>
        </w:rPr>
      </w:pPr>
      <w:r>
        <w:rPr>
          <w:rFonts w:hint="eastAsia" w:ascii="宋体" w:hAnsi="宋体"/>
          <w:color w:val="auto"/>
          <w:sz w:val="24"/>
          <w:szCs w:val="24"/>
          <w:highlight w:val="none"/>
          <w:lang w:val="en-US" w:eastAsia="zh-CN"/>
        </w:rPr>
        <w:t>1、</w:t>
      </w:r>
      <w:r>
        <w:rPr>
          <w:rFonts w:hint="eastAsia" w:ascii="宋体" w:hAnsi="宋体" w:cs="宋体"/>
          <w:sz w:val="24"/>
        </w:rPr>
        <w:t>监测服务为包工期、包质量、包安全、包文明、包服务和工作成果、包结算的形式承包本技术服务项目及完成资料整理和备案，质量符合国家和行业现行规定验收标准，确保监测项目及数量能满足建设行政主管部门的施工质量的验收和备案要求。包括但不限于监测布设的点数、监测频率、服务周期等必须满足实际施工要求。合同总额包含监测单位进场起至完成所有监测项目完成的所有费用。</w:t>
      </w:r>
    </w:p>
    <w:p w14:paraId="7F968ACD">
      <w:pPr>
        <w:spacing w:line="360" w:lineRule="auto"/>
        <w:ind w:firstLine="48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若因项目实际需求，导致监测工作量超出委托人监测布点要求的内容及数量时，乙方仍按委托单位要求完成全部监测任务，因上述原因导致增加监测费用包含在中标价内，监测单位应在中标价中综合考虑相关风险，发包人不另外支付任何费用。</w:t>
      </w:r>
    </w:p>
    <w:p w14:paraId="6F13AF38">
      <w:pPr>
        <w:spacing w:line="360" w:lineRule="auto"/>
        <w:ind w:firstLine="480"/>
        <w:rPr>
          <w:rFonts w:ascii="宋体" w:hAnsi="宋体" w:cs="宋体"/>
          <w:bCs/>
          <w:color w:val="auto"/>
          <w:spacing w:val="4"/>
          <w:sz w:val="24"/>
          <w:highlight w:val="none"/>
          <w:lang w:bidi="ar"/>
        </w:rPr>
      </w:pPr>
      <w:r>
        <w:rPr>
          <w:rFonts w:hint="eastAsia" w:ascii="宋体" w:hAnsi="宋体" w:cs="宋体"/>
          <w:sz w:val="24"/>
          <w:lang w:val="en-US" w:eastAsia="zh-CN"/>
        </w:rPr>
        <w:t>3、</w:t>
      </w:r>
      <w:r>
        <w:rPr>
          <w:rFonts w:hint="eastAsia" w:ascii="宋体" w:hAnsi="宋体" w:cs="宋体"/>
          <w:sz w:val="24"/>
        </w:rPr>
        <w:t>若因项目实际需求，导致监测内容或监测工作量少于委托人监测布点要求的内容及数量时，乙方仍按委托单位要求完成全部监测任务，监测费用按实际监测工程量结合《关于印发《广东省房屋建筑和市政工程质量安全检测收费指导价(第一批)》和《广东省既有房屋建筑安全性鉴定收费指导价》的通知》（粤建检协[2015]8号）、《关于印发《广州市建设工程基坑监测、变形点监测收费项目及标准指导性意见》的通知》(穗建检协字</w:t>
      </w:r>
      <w:r>
        <w:rPr>
          <w:rFonts w:hint="eastAsia" w:ascii="宋体" w:hAnsi="宋体" w:cs="宋体"/>
          <w:sz w:val="24"/>
          <w:highlight w:val="none"/>
        </w:rPr>
        <w:t>(2013)12号)、 《工程勘察设计收费管理规定》（计价格[2002]10号）的收费依据，再乘以（1-监测费下浮率</w:t>
      </w:r>
      <w:r>
        <w:rPr>
          <w:rFonts w:hint="eastAsia" w:ascii="宋体" w:hAnsi="宋体" w:cs="宋体"/>
          <w:sz w:val="24"/>
          <w:highlight w:val="none"/>
          <w:u w:val="single"/>
        </w:rPr>
        <w:t xml:space="preserve">    </w:t>
      </w:r>
      <w:r>
        <w:rPr>
          <w:rFonts w:hint="eastAsia" w:ascii="宋体" w:hAnsi="宋体" w:cs="宋体"/>
          <w:sz w:val="24"/>
          <w:highlight w:val="none"/>
        </w:rPr>
        <w:t>%）进行结算。若结算价超出本项目中标价，则按中标价结算。</w:t>
      </w:r>
    </w:p>
    <w:p w14:paraId="11A66C36">
      <w:pPr>
        <w:tabs>
          <w:tab w:val="left" w:pos="7513"/>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2.2.5招标内容：</w:t>
      </w:r>
    </w:p>
    <w:p w14:paraId="57924D2D">
      <w:pPr>
        <w:spacing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.完成地铁结构自动化监测，确保监测的数据和资料将使业主能完全客观真实地了解工程施工对运营中地铁铁路的安全影响程度。</w:t>
      </w:r>
    </w:p>
    <w:p w14:paraId="6A902F1C">
      <w:pPr>
        <w:spacing w:line="360" w:lineRule="auto"/>
        <w:ind w:firstLine="480"/>
        <w:rPr>
          <w:rFonts w:hint="eastAsia" w:ascii="宋体" w:hAnsi="宋体" w:cs="宋体"/>
          <w:sz w:val="24"/>
        </w:rPr>
      </w:pPr>
      <w:r>
        <w:rPr>
          <w:rFonts w:hint="eastAsia" w:ascii="宋体" w:hAnsi="宋体" w:cs="宋体"/>
          <w:sz w:val="24"/>
          <w:highlight w:val="none"/>
          <w:lang w:val="en-US" w:eastAsia="zh-CN"/>
        </w:rPr>
        <w:t>2</w:t>
      </w:r>
      <w:r>
        <w:rPr>
          <w:rFonts w:hint="eastAsia" w:ascii="宋体" w:hAnsi="宋体" w:cs="宋体"/>
          <w:sz w:val="24"/>
          <w:highlight w:val="none"/>
        </w:rPr>
        <w:t>.为业主提供可靠的数据和信息，监测的数据和资料可以按照相关要求发出预警和报警信息，即可以对安全和质量事故做到防患于未然，又可以对各</w:t>
      </w:r>
      <w:r>
        <w:rPr>
          <w:rFonts w:hint="eastAsia" w:ascii="宋体" w:hAnsi="宋体" w:cs="宋体"/>
          <w:sz w:val="24"/>
        </w:rPr>
        <w:t>种潜在的安全和质量做到心中有数。</w:t>
      </w:r>
    </w:p>
    <w:p w14:paraId="7E6269B5">
      <w:pPr>
        <w:spacing w:line="360" w:lineRule="auto"/>
        <w:ind w:firstLine="48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.监测的数据和资料可以丰富设计人员和专家对地区类似工程的经验，以利专家解决工程中所遇到的工程难题。</w:t>
      </w:r>
    </w:p>
    <w:p w14:paraId="3697DB4D">
      <w:pPr>
        <w:spacing w:line="360" w:lineRule="auto"/>
        <w:ind w:firstLine="48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.当施工影响区内发生运营中地铁铁路破坏或二次严重开裂的投诉事件时，监测单位提供独立、客观、公正的监测数据，作为有关机构评定和界定相关单位责任的依据。</w:t>
      </w:r>
    </w:p>
    <w:p w14:paraId="47CE1C41">
      <w:pPr>
        <w:spacing w:line="360" w:lineRule="auto"/>
        <w:ind w:firstLine="48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.通过监测信息反馈和施工中的地质调查，及时调整施工技术参数和采取相应的工程措施，优化施工工艺，达到工程优质、安全施工、经济合理、施工快捷的目的，并为今后类似工程提供借鉴。</w:t>
      </w:r>
    </w:p>
    <w:p w14:paraId="512D2513">
      <w:pPr>
        <w:spacing w:line="360" w:lineRule="auto"/>
        <w:ind w:firstLine="48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.通过监测结果分析及相关原始数据的采集，为工程科技攻关和科研创新提供理论依据。</w:t>
      </w:r>
    </w:p>
    <w:p w14:paraId="0D119319">
      <w:pPr>
        <w:spacing w:line="360" w:lineRule="auto"/>
        <w:ind w:firstLine="48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工作具体详见施工图纸、委托人要求及合同约定。</w:t>
      </w:r>
    </w:p>
    <w:p w14:paraId="73CE346F">
      <w:pPr>
        <w:tabs>
          <w:tab w:val="left" w:pos="7513"/>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2.2.7最高投标限价：人民币</w:t>
      </w:r>
      <w:r>
        <w:rPr>
          <w:rFonts w:hint="eastAsia" w:ascii="宋体" w:hAnsi="宋体"/>
          <w:bCs/>
          <w:color w:val="auto"/>
          <w:sz w:val="24"/>
          <w:szCs w:val="24"/>
          <w:highlight w:val="none"/>
          <w:u w:val="single"/>
          <w:lang w:val="en-US" w:eastAsia="zh-CN"/>
        </w:rPr>
        <w:t>1800000.00</w:t>
      </w:r>
      <w:r>
        <w:rPr>
          <w:rFonts w:hint="eastAsia" w:ascii="宋体" w:hAnsi="宋体"/>
          <w:bCs/>
          <w:color w:val="auto"/>
          <w:sz w:val="24"/>
          <w:szCs w:val="24"/>
          <w:highlight w:val="none"/>
        </w:rPr>
        <w:t>元</w:t>
      </w:r>
      <w:r>
        <w:rPr>
          <w:rFonts w:hint="eastAsia" w:ascii="宋体" w:hAnsi="宋体"/>
          <w:color w:val="auto"/>
          <w:sz w:val="24"/>
          <w:szCs w:val="24"/>
          <w:highlight w:val="none"/>
        </w:rPr>
        <w:t>；</w:t>
      </w:r>
    </w:p>
    <w:p w14:paraId="5436D73C">
      <w:pPr>
        <w:adjustRightInd w:val="0"/>
        <w:snapToGrid w:val="0"/>
        <w:spacing w:line="360" w:lineRule="auto"/>
        <w:ind w:firstLine="422" w:firstLineChars="200"/>
        <w:rPr>
          <w:rFonts w:ascii="宋体" w:hAnsi="宋体"/>
          <w:color w:val="auto"/>
          <w:sz w:val="24"/>
          <w:szCs w:val="24"/>
          <w:highlight w:val="none"/>
          <w:u w:val="single"/>
        </w:rPr>
      </w:pPr>
      <w:r>
        <w:rPr>
          <w:rFonts w:hint="eastAsia" w:ascii="宋体" w:hAnsi="宋体" w:cs="宋体"/>
          <w:b/>
          <w:color w:val="auto"/>
          <w:szCs w:val="21"/>
          <w:highlight w:val="none"/>
        </w:rPr>
        <w:t>注：</w:t>
      </w:r>
      <w:r>
        <w:rPr>
          <w:rFonts w:hint="eastAsia" w:ascii="宋体" w:hAnsi="宋体"/>
          <w:color w:val="auto"/>
          <w:sz w:val="24"/>
          <w:szCs w:val="24"/>
          <w:highlight w:val="none"/>
          <w:u w:val="single"/>
        </w:rPr>
        <w:t>结算价超过经评审的概算中对应的</w:t>
      </w:r>
      <w:r>
        <w:rPr>
          <w:rFonts w:hint="eastAsia" w:ascii="宋体" w:hAnsi="宋体"/>
          <w:color w:val="auto"/>
          <w:sz w:val="24"/>
          <w:szCs w:val="24"/>
          <w:highlight w:val="none"/>
          <w:u w:val="single"/>
          <w:lang w:eastAsia="zh-CN"/>
        </w:rPr>
        <w:t>第三方监测</w:t>
      </w:r>
      <w:r>
        <w:rPr>
          <w:rFonts w:hint="eastAsia" w:ascii="宋体" w:hAnsi="宋体"/>
          <w:color w:val="auto"/>
          <w:sz w:val="24"/>
          <w:szCs w:val="24"/>
          <w:highlight w:val="none"/>
          <w:u w:val="single"/>
        </w:rPr>
        <w:t>费的审定金额的，则按概算审定金额为最终结算价（如有审计、以审计结果为准）。</w:t>
      </w:r>
    </w:p>
    <w:p w14:paraId="1D6EC4CD">
      <w:pPr>
        <w:tabs>
          <w:tab w:val="left" w:pos="7513"/>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投标人在最高限价的基础上根据自身情况自行填报总价及投标下浮率，超出最高投标限价（总价）的报价做废标处理。</w:t>
      </w:r>
    </w:p>
    <w:p w14:paraId="3BC4919F">
      <w:pPr>
        <w:pStyle w:val="3"/>
        <w:keepNext w:val="0"/>
        <w:keepLines w:val="0"/>
        <w:numPr>
          <w:ilvl w:val="0"/>
          <w:numId w:val="1"/>
        </w:numPr>
        <w:spacing w:before="0" w:after="0" w:line="360" w:lineRule="auto"/>
        <w:rPr>
          <w:rFonts w:ascii="Times New Roman" w:hAnsi="Times New Roman"/>
          <w:color w:val="auto"/>
          <w:highlight w:val="none"/>
        </w:rPr>
      </w:pPr>
      <w:bookmarkStart w:id="4" w:name="_Toc511557027"/>
      <w:bookmarkStart w:id="5" w:name="_Toc514099625"/>
      <w:r>
        <w:rPr>
          <w:rFonts w:ascii="Times New Roman" w:hAnsi="Times New Roman"/>
          <w:color w:val="auto"/>
          <w:highlight w:val="none"/>
        </w:rPr>
        <w:t>投标人资格要求</w:t>
      </w:r>
      <w:bookmarkEnd w:id="4"/>
      <w:bookmarkEnd w:id="5"/>
    </w:p>
    <w:p w14:paraId="5BD0631F">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3.1投标人参加投标的意思表达清楚（如为联合体投标，由联合体主办方单位代表联合体授权），投标人代表被授权有效；</w:t>
      </w:r>
    </w:p>
    <w:p w14:paraId="39DA9058">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3.2投标人（若为联合体投标，指联合体各方）均具有独立法人资格，持有事业单位登记管理部门核发的事业单位法人证书或工商行政（或市场监督）管理部门核发的企业法人营业执照，且在营业期限内；</w:t>
      </w:r>
    </w:p>
    <w:p w14:paraId="2E2D6921">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3.3本次招标要求投标人具备以下（1）、（2）项条件：</w:t>
      </w:r>
    </w:p>
    <w:p w14:paraId="1C9E87C3">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（1）投标人（若为联合体投标，指承担</w:t>
      </w:r>
      <w:r>
        <w:rPr>
          <w:rFonts w:hint="eastAsia" w:ascii="宋体" w:hAnsi="宋体"/>
          <w:color w:val="000000"/>
          <w:sz w:val="24"/>
          <w:szCs w:val="24"/>
          <w:u w:val="single"/>
        </w:rPr>
        <w:t>勘察业务方</w:t>
      </w:r>
      <w:r>
        <w:rPr>
          <w:rFonts w:hint="eastAsia" w:ascii="宋体" w:hAnsi="宋体"/>
          <w:color w:val="auto"/>
          <w:sz w:val="24"/>
          <w:szCs w:val="24"/>
          <w:highlight w:val="none"/>
        </w:rPr>
        <w:t>）具备以下资质（①或②或③）：</w:t>
      </w:r>
    </w:p>
    <w:p w14:paraId="24DCE4CB">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①工程勘察综合类甲级资质；</w:t>
      </w:r>
    </w:p>
    <w:p w14:paraId="07DD89D9">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②同时具备工程勘察专业资质岩土工程乙级（或以上）和工程勘察专业资质工程测量乙级（或以上）资质；</w:t>
      </w:r>
    </w:p>
    <w:p w14:paraId="50A7341D">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③同时具备工程勘察专业资质岩土工程（分项）物探测试检测监测乙级（或以上）和工程勘察专业资质工程测量乙级（或以上）资质。</w:t>
      </w:r>
    </w:p>
    <w:p w14:paraId="070B029C">
      <w:pPr>
        <w:spacing w:line="360" w:lineRule="auto"/>
        <w:ind w:firstLine="480" w:firstLineChars="200"/>
        <w:rPr>
          <w:rFonts w:hint="eastAsia" w:ascii="宋体" w:hAnsi="宋体"/>
          <w:color w:val="000000"/>
          <w:sz w:val="24"/>
          <w:szCs w:val="24"/>
        </w:rPr>
      </w:pPr>
      <w:r>
        <w:rPr>
          <w:rFonts w:hint="eastAsia" w:ascii="宋体" w:hAnsi="宋体" w:cs="宋体"/>
          <w:color w:val="auto"/>
          <w:sz w:val="24"/>
          <w:szCs w:val="24"/>
          <w:u w:val="none"/>
        </w:rPr>
        <w:t>注：资质证书有效期按《住房和城乡建设部办公厅关于做</w:t>
      </w:r>
      <w:r>
        <w:rPr>
          <w:rFonts w:hint="eastAsia" w:ascii="宋体" w:hAnsi="宋体" w:cs="宋体"/>
          <w:color w:val="000000"/>
          <w:sz w:val="24"/>
          <w:szCs w:val="24"/>
          <w:u w:val="none"/>
        </w:rPr>
        <w:t>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等相关规定执行。根据上述文件的要求，投标人需办理企业资质有效期延续的，应当按照相关规定及时办理。投标人的资质不在有效期内，资质延续手续已通过政府有关部门核准的，投标人需提供经核准延续的相关证明材料；资质延续手续未通过政府有关部门核准的，投标人需提供延续申请的相关证明材料（如“三库一平台”提交申请截图、申请回执等可以证明已经办理核准延续手续的相关证明文件），未能按要求提供相关资料的，视为资质已失效。</w:t>
      </w:r>
    </w:p>
    <w:p w14:paraId="46EF473C">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若为联合体投标，资质证书内的监测涵盖范围以《联合体协议书》中承担监测任务的单位分工内容为准。</w:t>
      </w:r>
    </w:p>
    <w:p w14:paraId="2217F89D">
      <w:pPr>
        <w:tabs>
          <w:tab w:val="left" w:pos="7513"/>
        </w:tabs>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）投标人</w:t>
      </w:r>
      <w:r>
        <w:rPr>
          <w:rFonts w:hint="eastAsia" w:ascii="宋体" w:hAnsi="宋体"/>
          <w:color w:val="000000"/>
          <w:sz w:val="24"/>
          <w:szCs w:val="24"/>
          <w:u w:val="single"/>
        </w:rPr>
        <w:t>（若为联合体投标，指负责计量认证业务方）</w:t>
      </w:r>
      <w:r>
        <w:rPr>
          <w:rFonts w:hint="eastAsia" w:ascii="宋体" w:hAnsi="宋体"/>
          <w:color w:val="auto"/>
          <w:sz w:val="24"/>
          <w:szCs w:val="24"/>
          <w:highlight w:val="none"/>
        </w:rPr>
        <w:t>均具备质量技术监督部门颁发的CMA计量认证合格证书（或CMA检验检测机构资质认定证书），且证书在有效期内；(认证范围须覆盖本次招标的主要内容：</w:t>
      </w:r>
      <w:r>
        <w:rPr>
          <w:rFonts w:hint="eastAsia" w:ascii="宋体" w:hAnsi="宋体"/>
          <w:color w:val="000000"/>
          <w:sz w:val="24"/>
          <w:szCs w:val="24"/>
          <w:u w:val="single"/>
        </w:rPr>
        <w:t>沉降、地下水位、裂缝</w:t>
      </w:r>
      <w:r>
        <w:rPr>
          <w:rFonts w:hint="eastAsia" w:ascii="宋体" w:hAnsi="宋体"/>
          <w:color w:val="auto"/>
          <w:sz w:val="24"/>
          <w:szCs w:val="24"/>
          <w:highlight w:val="none"/>
          <w:lang w:eastAsia="zh-CN"/>
        </w:rPr>
        <w:t>）</w:t>
      </w:r>
      <w:r>
        <w:rPr>
          <w:rFonts w:hint="eastAsia" w:ascii="宋体" w:hAnsi="宋体"/>
          <w:color w:val="auto"/>
          <w:sz w:val="24"/>
          <w:szCs w:val="24"/>
          <w:highlight w:val="none"/>
        </w:rPr>
        <w:t>。如CMA计量认证合格证书（或CMA检验检测机构资质认定证书）中的认证项目与上述名称不同，但表达的意思一致也视为满足该项条件。</w:t>
      </w:r>
    </w:p>
    <w:p w14:paraId="033A703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3.4拟派的项目负责人应具有</w:t>
      </w:r>
      <w:r>
        <w:rPr>
          <w:rFonts w:hint="eastAsia" w:ascii="宋体" w:hAnsi="宋体"/>
          <w:color w:val="auto"/>
          <w:sz w:val="24"/>
          <w:highlight w:val="none"/>
          <w:u w:val="single"/>
        </w:rPr>
        <w:t>工程类中级或以上职称（若为联合体投标，项目负责人须是联合体主办方在职员工）</w:t>
      </w:r>
      <w:r>
        <w:rPr>
          <w:rFonts w:hint="eastAsia" w:ascii="宋体" w:hAnsi="宋体"/>
          <w:color w:val="auto"/>
          <w:sz w:val="24"/>
          <w:highlight w:val="none"/>
        </w:rPr>
        <w:t>。</w:t>
      </w:r>
    </w:p>
    <w:p w14:paraId="546A3E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3.5投标人（若为联合体投标，指联合体各方）须在广州公共资源交易中心办理信息登记，且拟担任本工程项目负责人须是本企业信息登记中的在册人员。</w:t>
      </w:r>
    </w:p>
    <w:p w14:paraId="790BDAB4">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3.6投标人近二年(从202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年1月1日起至标止时间止)未因以往</w:t>
      </w:r>
      <w:r>
        <w:rPr>
          <w:rFonts w:hint="eastAsia" w:ascii="宋体" w:hAnsi="宋体" w:cs="宋体"/>
          <w:color w:val="auto"/>
          <w:sz w:val="24"/>
          <w:highlight w:val="none"/>
          <w:lang w:eastAsia="zh-CN"/>
        </w:rPr>
        <w:t>监测</w:t>
      </w:r>
      <w:r>
        <w:rPr>
          <w:rFonts w:hint="eastAsia" w:ascii="宋体" w:hAnsi="宋体" w:cs="宋体"/>
          <w:color w:val="auto"/>
          <w:sz w:val="24"/>
          <w:highlight w:val="none"/>
        </w:rPr>
        <w:t>工作中存在伪造</w:t>
      </w:r>
      <w:r>
        <w:rPr>
          <w:rFonts w:hint="eastAsia" w:ascii="宋体" w:hAnsi="宋体" w:cs="宋体"/>
          <w:color w:val="auto"/>
          <w:sz w:val="24"/>
          <w:highlight w:val="none"/>
          <w:lang w:eastAsia="zh-CN"/>
        </w:rPr>
        <w:t>监测</w:t>
      </w:r>
      <w:r>
        <w:rPr>
          <w:rFonts w:hint="eastAsia" w:ascii="宋体" w:hAnsi="宋体" w:cs="宋体"/>
          <w:color w:val="auto"/>
          <w:sz w:val="24"/>
          <w:highlight w:val="none"/>
        </w:rPr>
        <w:t>数据、出具虚假</w:t>
      </w:r>
      <w:r>
        <w:rPr>
          <w:rFonts w:hint="eastAsia" w:ascii="宋体" w:hAnsi="宋体" w:cs="宋体"/>
          <w:color w:val="auto"/>
          <w:sz w:val="24"/>
          <w:highlight w:val="none"/>
          <w:lang w:eastAsia="zh-CN"/>
        </w:rPr>
        <w:t>监测</w:t>
      </w:r>
      <w:r>
        <w:rPr>
          <w:rFonts w:hint="eastAsia" w:ascii="宋体" w:hAnsi="宋体" w:cs="宋体"/>
          <w:color w:val="auto"/>
          <w:sz w:val="24"/>
          <w:highlight w:val="none"/>
        </w:rPr>
        <w:t>报告的行为被各级建设行政主管部门或市场监督管理部门行政处罚或通报的(按投标人提供的《投标人声明》第三条内容进行评审)。</w:t>
      </w:r>
    </w:p>
    <w:p w14:paraId="36F70D2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3.7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联合体内各成员之间不受本条限制）。</w:t>
      </w:r>
    </w:p>
    <w:p w14:paraId="4B40CEF3">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3.8投标人已按照招标公告附件一的内容签署盖章的《投标人声明》。</w:t>
      </w:r>
    </w:p>
    <w:p w14:paraId="33CA5434">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3.9投标人已按照招标公告附件二的内容签署盖章的《投标承诺函》。</w:t>
      </w:r>
    </w:p>
    <w:p w14:paraId="304F9ED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3.10关于联合体投标：</w:t>
      </w:r>
      <w:r>
        <w:rPr>
          <w:rFonts w:hint="eastAsia" w:ascii="宋体" w:hAnsi="宋体"/>
          <w:color w:val="auto"/>
          <w:sz w:val="24"/>
          <w:highlight w:val="none"/>
          <w:u w:val="single"/>
        </w:rPr>
        <w:t>本项目接受不超过</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家单位</w:t>
      </w:r>
      <w:r>
        <w:rPr>
          <w:rFonts w:hint="eastAsia" w:ascii="宋体" w:hAnsi="宋体"/>
          <w:color w:val="000000"/>
          <w:sz w:val="24"/>
          <w:szCs w:val="24"/>
          <w:u w:val="single"/>
        </w:rPr>
        <w:t>（一家负责计量认证业务、一家负责勘察业务）</w:t>
      </w:r>
      <w:r>
        <w:rPr>
          <w:rFonts w:hint="eastAsia" w:ascii="宋体" w:hAnsi="宋体"/>
          <w:color w:val="auto"/>
          <w:sz w:val="24"/>
          <w:highlight w:val="none"/>
          <w:u w:val="single"/>
        </w:rPr>
        <w:t>组成的联合体投标</w:t>
      </w:r>
      <w:r>
        <w:rPr>
          <w:rFonts w:hint="eastAsia" w:ascii="宋体" w:hAnsi="宋体"/>
          <w:color w:val="auto"/>
          <w:sz w:val="24"/>
          <w:highlight w:val="none"/>
        </w:rPr>
        <w:t>。</w:t>
      </w:r>
    </w:p>
    <w:p w14:paraId="41484D64">
      <w:pPr>
        <w:spacing w:line="360" w:lineRule="auto"/>
        <w:ind w:firstLine="480" w:firstLineChars="200"/>
        <w:rPr>
          <w:rFonts w:hint="eastAsia" w:ascii="宋体" w:hAnsi="宋体"/>
          <w:color w:val="000000"/>
          <w:sz w:val="24"/>
          <w:szCs w:val="24"/>
        </w:rPr>
      </w:pPr>
      <w:r>
        <w:rPr>
          <w:rFonts w:hint="eastAsia" w:ascii="宋体" w:hAnsi="宋体" w:cs="宋体"/>
          <w:color w:val="auto"/>
          <w:sz w:val="24"/>
          <w:szCs w:val="24"/>
          <w:highlight w:val="none"/>
        </w:rPr>
        <w:t>注：（1）</w:t>
      </w:r>
      <w:r>
        <w:rPr>
          <w:rFonts w:hint="eastAsia" w:ascii="宋体" w:hAnsi="宋体"/>
          <w:color w:val="000000"/>
          <w:sz w:val="24"/>
          <w:szCs w:val="24"/>
        </w:rPr>
        <w:t>如投标人组成联合体，应以</w:t>
      </w:r>
      <w:r>
        <w:rPr>
          <w:rFonts w:hint="eastAsia" w:ascii="宋体" w:hAnsi="宋体"/>
          <w:color w:val="000000"/>
          <w:sz w:val="24"/>
          <w:szCs w:val="24"/>
          <w:u w:val="single"/>
        </w:rPr>
        <w:t>负责计量认证业务方</w:t>
      </w:r>
      <w:r>
        <w:rPr>
          <w:rFonts w:hint="eastAsia" w:ascii="宋体" w:hAnsi="宋体"/>
          <w:color w:val="000000"/>
          <w:sz w:val="24"/>
          <w:szCs w:val="24"/>
        </w:rPr>
        <w:t>为主办方，并签定联合体工作协议。投标人拟任本工程项目负责人应为主办方正式员工。联合体工作协议应明确约定各方拟承担的工作和责任。</w:t>
      </w:r>
    </w:p>
    <w:p w14:paraId="630F047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联合体应当在投标登记前组成，签订联合体协议书，在联合体协议书中明确主办方和联合体主办方与成员各方权利义务，明确约定各方拟承担的工作并承诺就中标项目向招标人承担连带责任。</w:t>
      </w:r>
    </w:p>
    <w:p w14:paraId="4AE10F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（2）联合体各方（包括主办方及联合体成员）不得再单独或与其他单位组成联合体参与本项目投标。出现上述情况者，其投标和与此有关的联合体的投标将被拒绝。</w:t>
      </w:r>
    </w:p>
    <w:p w14:paraId="7DF701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（3）联合体主办方的被授权人作为联合体各方的代表，承担责任和指令，并负责整个投标过程中的一切责任；</w:t>
      </w:r>
    </w:p>
    <w:p w14:paraId="7D0877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联合体投标时，除“联合体协议书”需由联合体各方分别按要求进行签字或盖章外，其他资料若需要签字或盖章的均可由联合体主办方签字或盖章即可；投标资料封面及其他内容及落款中的“投标人”、“投标单位”、“声明企业”应填写联合体各方的单位全称【格式示例为：（主）单位全称（成）单位全称】，由联合体主办方按要求签字或盖章即可。电子签章由主办方进行签章即可。</w:t>
      </w:r>
    </w:p>
    <w:p w14:paraId="5D1E81C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注：未在招标公告第3条单列的投标人资格要求条件，不作为资审不合格的依据。</w:t>
      </w:r>
    </w:p>
    <w:p w14:paraId="6E1DB705">
      <w:pPr>
        <w:spacing w:line="360" w:lineRule="auto"/>
        <w:ind w:firstLine="480" w:firstLineChars="200"/>
        <w:rPr>
          <w:rFonts w:ascii="宋体" w:hAnsi="宋体"/>
          <w:color w:val="auto"/>
          <w:sz w:val="24"/>
          <w:szCs w:val="24"/>
          <w:highlight w:val="none"/>
        </w:rPr>
      </w:pPr>
    </w:p>
    <w:p w14:paraId="3D08BCBD">
      <w:pPr>
        <w:pStyle w:val="3"/>
        <w:keepNext w:val="0"/>
        <w:keepLines w:val="0"/>
        <w:spacing w:before="0" w:after="0" w:line="360" w:lineRule="auto"/>
        <w:rPr>
          <w:rFonts w:ascii="Times New Roman" w:hAnsi="Times New Roman"/>
          <w:color w:val="auto"/>
          <w:highlight w:val="none"/>
        </w:rPr>
      </w:pPr>
      <w:bookmarkStart w:id="6" w:name="_Toc514099626"/>
      <w:bookmarkStart w:id="7" w:name="_Toc511557028"/>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6"/>
      <w:bookmarkEnd w:id="7"/>
    </w:p>
    <w:p w14:paraId="4A7B252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4.1凡有意参加投标者，请登录</w:t>
      </w:r>
      <w:r>
        <w:rPr>
          <w:rFonts w:hint="eastAsia" w:ascii="宋体" w:hAnsi="宋体"/>
          <w:color w:val="auto"/>
          <w:sz w:val="24"/>
          <w:szCs w:val="24"/>
          <w:highlight w:val="none"/>
          <w:u w:val="single"/>
        </w:rPr>
        <w:t>广州公共资源交易中心网站（</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ascii="宋体" w:hAnsi="宋体"/>
          <w:color w:val="auto"/>
          <w:sz w:val="24"/>
          <w:szCs w:val="24"/>
          <w:highlight w:val="none"/>
        </w:rPr>
        <w:t>下载招标文件。</w:t>
      </w:r>
    </w:p>
    <w:p w14:paraId="1EC576F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发布招标公告、递交投标文件时间、开标时间：</w:t>
      </w:r>
    </w:p>
    <w:p w14:paraId="21C1B345">
      <w:pPr>
        <w:spacing w:line="360" w:lineRule="auto"/>
        <w:ind w:left="658" w:leftChars="199" w:hanging="240" w:hangingChars="100"/>
        <w:rPr>
          <w:rFonts w:ascii="宋体" w:hAnsi="宋体"/>
          <w:color w:val="auto"/>
          <w:sz w:val="24"/>
          <w:highlight w:val="none"/>
          <w:u w:val="single"/>
        </w:rPr>
      </w:pPr>
      <w:r>
        <w:rPr>
          <w:rFonts w:hint="eastAsia" w:ascii="宋体" w:hAnsi="宋体"/>
          <w:color w:val="auto"/>
          <w:sz w:val="24"/>
          <w:highlight w:val="none"/>
        </w:rPr>
        <w:t>发布招标公告日期（含本日）：</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8</w:t>
      </w:r>
      <w:r>
        <w:rPr>
          <w:rFonts w:hint="eastAsia" w:ascii="宋体" w:hAnsi="宋体"/>
          <w:color w:val="auto"/>
          <w:sz w:val="24"/>
          <w:highlight w:val="none"/>
        </w:rPr>
        <w:t>月</w:t>
      </w:r>
      <w:r>
        <w:rPr>
          <w:rFonts w:hint="eastAsia" w:ascii="宋体" w:hAnsi="宋体"/>
          <w:color w:val="auto"/>
          <w:sz w:val="24"/>
          <w:highlight w:val="none"/>
          <w:u w:val="single"/>
          <w:lang w:val="en-US" w:eastAsia="zh-CN"/>
        </w:rPr>
        <w:t>21</w:t>
      </w:r>
      <w:r>
        <w:rPr>
          <w:rFonts w:hint="eastAsia" w:ascii="宋体" w:hAnsi="宋体"/>
          <w:color w:val="auto"/>
          <w:sz w:val="24"/>
          <w:highlight w:val="none"/>
        </w:rPr>
        <w:t>日</w:t>
      </w:r>
      <w:r>
        <w:rPr>
          <w:rFonts w:hint="eastAsia" w:ascii="宋体" w:hAnsi="宋体"/>
          <w:color w:val="auto"/>
          <w:sz w:val="24"/>
          <w:highlight w:val="none"/>
          <w:u w:val="single"/>
          <w:lang w:val="en-US" w:eastAsia="zh-CN"/>
        </w:rPr>
        <w:t>00</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00 </w:t>
      </w:r>
      <w:r>
        <w:rPr>
          <w:rFonts w:hint="eastAsia" w:ascii="宋体" w:hAnsi="宋体"/>
          <w:color w:val="auto"/>
          <w:sz w:val="24"/>
          <w:highlight w:val="none"/>
        </w:rPr>
        <w:t>分至</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9</w:t>
      </w:r>
      <w:r>
        <w:rPr>
          <w:rFonts w:hint="eastAsia" w:ascii="宋体" w:hAnsi="宋体"/>
          <w:color w:val="auto"/>
          <w:sz w:val="24"/>
          <w:highlight w:val="none"/>
        </w:rPr>
        <w:t>月</w:t>
      </w:r>
      <w:r>
        <w:rPr>
          <w:rFonts w:hint="eastAsia" w:ascii="宋体" w:hAnsi="宋体"/>
          <w:color w:val="auto"/>
          <w:sz w:val="24"/>
          <w:highlight w:val="none"/>
          <w:u w:val="single"/>
          <w:lang w:val="en-US" w:eastAsia="zh-CN"/>
        </w:rPr>
        <w:t>11</w:t>
      </w:r>
      <w:r>
        <w:rPr>
          <w:rFonts w:hint="eastAsia" w:ascii="宋体" w:hAnsi="宋体"/>
          <w:color w:val="auto"/>
          <w:sz w:val="24"/>
          <w:highlight w:val="non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分（北京时间，下同）。</w:t>
      </w:r>
    </w:p>
    <w:p w14:paraId="15846B7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注：发布招标公告的时间为招标公告发出之日起至递交投标文件截止时间止。</w:t>
      </w:r>
    </w:p>
    <w:p w14:paraId="4583FF2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投标人通过广州公共资源交易平台递交电子投标文件。投标人应在递交投标文件截止时间前，登录广州公共资源交易平台网站办理网上投标登记手续。按照交易平台关于全流程电子化项目的相关指南进行操作。</w:t>
      </w:r>
    </w:p>
    <w:p w14:paraId="4E7F2A3A">
      <w:pPr>
        <w:spacing w:line="360" w:lineRule="auto"/>
        <w:ind w:firstLine="424" w:firstLineChars="177"/>
        <w:rPr>
          <w:color w:val="auto"/>
          <w:sz w:val="24"/>
          <w:highlight w:val="none"/>
        </w:rPr>
      </w:pPr>
      <w:r>
        <w:rPr>
          <w:rFonts w:hint="eastAsia" w:ascii="宋体" w:hAnsi="宋体"/>
          <w:color w:val="auto"/>
          <w:sz w:val="24"/>
          <w:highlight w:val="none"/>
        </w:rPr>
        <w:t>开标时间：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hint="eastAsia" w:ascii="宋体" w:hAnsi="宋体"/>
          <w:color w:val="auto"/>
          <w:sz w:val="24"/>
          <w:highlight w:val="none"/>
          <w:u w:val="single"/>
          <w:lang w:val="en-US" w:eastAsia="zh-CN"/>
        </w:rPr>
        <w:t>9</w:t>
      </w:r>
      <w:r>
        <w:rPr>
          <w:rFonts w:hint="eastAsia" w:ascii="宋体" w:hAnsi="宋体"/>
          <w:color w:val="auto"/>
          <w:sz w:val="24"/>
          <w:highlight w:val="none"/>
        </w:rPr>
        <w:t>月</w:t>
      </w:r>
      <w:r>
        <w:rPr>
          <w:rFonts w:hint="eastAsia" w:ascii="宋体" w:hAnsi="宋体"/>
          <w:color w:val="auto"/>
          <w:sz w:val="24"/>
          <w:highlight w:val="none"/>
          <w:u w:val="single"/>
          <w:lang w:val="en-US" w:eastAsia="zh-CN"/>
        </w:rPr>
        <w:t>11</w:t>
      </w:r>
      <w:r>
        <w:rPr>
          <w:rFonts w:hint="eastAsia" w:ascii="宋体" w:hAnsi="宋体"/>
          <w:color w:val="auto"/>
          <w:sz w:val="24"/>
          <w:highlight w:val="non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r>
        <w:rPr>
          <w:rFonts w:hint="eastAsia"/>
          <w:color w:val="auto"/>
          <w:sz w:val="24"/>
          <w:highlight w:val="none"/>
        </w:rPr>
        <w:t>。</w:t>
      </w:r>
    </w:p>
    <w:p w14:paraId="030E7842">
      <w:pPr>
        <w:spacing w:line="360" w:lineRule="auto"/>
        <w:ind w:firstLine="424" w:firstLineChars="177"/>
        <w:rPr>
          <w:color w:val="auto"/>
          <w:sz w:val="24"/>
          <w:highlight w:val="none"/>
        </w:rPr>
      </w:pPr>
      <w:r>
        <w:rPr>
          <w:rFonts w:hint="eastAsia"/>
          <w:color w:val="auto"/>
          <w:sz w:val="24"/>
          <w:highlight w:val="none"/>
        </w:rPr>
        <w:t>开标地点为广州公共资源交易中心开标室（具体开标室以交易中心日程安排系统信息为准）。</w:t>
      </w:r>
    </w:p>
    <w:p w14:paraId="6ADAF4DA">
      <w:pPr>
        <w:spacing w:line="360" w:lineRule="auto"/>
        <w:ind w:firstLine="373" w:firstLineChars="177"/>
        <w:rPr>
          <w:b/>
          <w:bCs/>
          <w:color w:val="auto"/>
          <w:szCs w:val="21"/>
          <w:highlight w:val="none"/>
        </w:rPr>
      </w:pPr>
      <w:r>
        <w:rPr>
          <w:rFonts w:hint="eastAsia"/>
          <w:b/>
          <w:bCs/>
          <w:color w:val="auto"/>
          <w:szCs w:val="21"/>
          <w:highlight w:val="none"/>
        </w:rPr>
        <w:t>注：投标人也可选择参加在线开标，具体按照交易平台相关指南进行操作。详见：广州公共资源交易中心网站发布的最新版操作指引。</w:t>
      </w:r>
    </w:p>
    <w:p w14:paraId="527CC716">
      <w:pPr>
        <w:tabs>
          <w:tab w:val="left" w:pos="7513"/>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4.2本项目采用资格后审方式。</w:t>
      </w:r>
    </w:p>
    <w:p w14:paraId="5C97DC87">
      <w:pPr>
        <w:tabs>
          <w:tab w:val="left" w:pos="7513"/>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注：（</w:t>
      </w:r>
      <w:r>
        <w:rPr>
          <w:rFonts w:ascii="宋体" w:hAnsi="宋体"/>
          <w:b/>
          <w:bCs/>
          <w:color w:val="auto"/>
          <w:szCs w:val="21"/>
          <w:highlight w:val="none"/>
        </w:rPr>
        <w:t>1</w:t>
      </w:r>
      <w:r>
        <w:rPr>
          <w:rFonts w:hint="eastAsia" w:ascii="宋体" w:hAnsi="宋体"/>
          <w:b/>
          <w:bCs/>
          <w:color w:val="auto"/>
          <w:szCs w:val="21"/>
          <w:highlight w:val="none"/>
        </w:rPr>
        <w:t>）电子招投标操作流程详见广州公共资源交易中心网站发布的最新版操作指引。</w:t>
      </w:r>
    </w:p>
    <w:p w14:paraId="6110A859">
      <w:pPr>
        <w:tabs>
          <w:tab w:val="left" w:pos="7513"/>
        </w:tabs>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）本公告发布之日起开始登记，</w:t>
      </w:r>
      <w:r>
        <w:rPr>
          <w:rFonts w:ascii="宋体" w:hAnsi="宋体"/>
          <w:b/>
          <w:bCs/>
          <w:color w:val="auto"/>
          <w:szCs w:val="21"/>
          <w:highlight w:val="none"/>
        </w:rPr>
        <w:t>并从</w:t>
      </w:r>
      <w:r>
        <w:rPr>
          <w:rFonts w:hint="eastAsia" w:ascii="宋体" w:hAnsi="宋体"/>
          <w:b/>
          <w:bCs/>
          <w:color w:val="auto"/>
          <w:szCs w:val="21"/>
          <w:highlight w:val="none"/>
        </w:rPr>
        <w:t>开始登记</w:t>
      </w:r>
      <w:r>
        <w:rPr>
          <w:rFonts w:ascii="宋体" w:hAnsi="宋体"/>
          <w:b/>
          <w:bCs/>
          <w:color w:val="auto"/>
          <w:szCs w:val="21"/>
          <w:highlight w:val="none"/>
        </w:rPr>
        <w:t>之日起开始计算备标时间。</w:t>
      </w:r>
    </w:p>
    <w:p w14:paraId="4B9CD2C8">
      <w:pPr>
        <w:shd w:val="clear" w:color="auto" w:fill="FFFFFF"/>
        <w:spacing w:line="360" w:lineRule="auto"/>
        <w:ind w:firstLine="537" w:firstLineChars="224"/>
        <w:rPr>
          <w:rFonts w:ascii="宋体" w:hAnsi="宋体"/>
          <w:color w:val="auto"/>
          <w:sz w:val="24"/>
          <w:highlight w:val="none"/>
        </w:rPr>
      </w:pPr>
      <w:r>
        <w:rPr>
          <w:rFonts w:hint="eastAsia" w:ascii="宋体" w:hAnsi="宋体"/>
          <w:color w:val="auto"/>
          <w:sz w:val="24"/>
          <w:highlight w:val="none"/>
        </w:rPr>
        <w:t>4.3潜在投标人或利害关系人对本招标公告及招标文件有异议的，应当在投标截止时间10日前向招标人书面提出。</w:t>
      </w:r>
    </w:p>
    <w:p w14:paraId="0AF9BDFC">
      <w:pPr>
        <w:shd w:val="clear" w:color="auto" w:fill="FFFFFF"/>
        <w:spacing w:line="360" w:lineRule="auto"/>
        <w:ind w:firstLine="537" w:firstLineChars="224"/>
        <w:rPr>
          <w:rFonts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s="宋体"/>
          <w:color w:val="auto"/>
          <w:kern w:val="0"/>
          <w:sz w:val="24"/>
          <w:szCs w:val="24"/>
          <w:highlight w:val="none"/>
          <w:u w:val="single"/>
        </w:rPr>
        <w:t>广州市番禺区基本建设投资管理中心</w:t>
      </w:r>
    </w:p>
    <w:p w14:paraId="03112F07">
      <w:pPr>
        <w:widowControl/>
        <w:shd w:val="clear" w:color="auto" w:fill="FFFFFF"/>
        <w:spacing w:line="360" w:lineRule="auto"/>
        <w:ind w:firstLine="537" w:firstLineChars="224"/>
        <w:jc w:val="left"/>
        <w:rPr>
          <w:rFonts w:ascii="宋体" w:hAnsi="宋体"/>
          <w:color w:val="auto"/>
          <w:sz w:val="24"/>
          <w:szCs w:val="24"/>
          <w:highlight w:val="none"/>
          <w:u w:val="single"/>
        </w:rPr>
      </w:pPr>
      <w:r>
        <w:rPr>
          <w:rFonts w:hint="eastAsia" w:ascii="宋体" w:hAnsi="宋体" w:cs="宋体"/>
          <w:color w:val="auto"/>
          <w:kern w:val="0"/>
          <w:sz w:val="24"/>
          <w:szCs w:val="24"/>
          <w:highlight w:val="none"/>
        </w:rPr>
        <w:t>异议受理电话：</w:t>
      </w:r>
      <w:r>
        <w:rPr>
          <w:rFonts w:ascii="宋体" w:hAnsi="宋体"/>
          <w:color w:val="auto"/>
          <w:sz w:val="24"/>
          <w:szCs w:val="24"/>
          <w:highlight w:val="none"/>
          <w:u w:val="single"/>
        </w:rPr>
        <w:t>020-84612339</w:t>
      </w:r>
    </w:p>
    <w:p w14:paraId="247405B3">
      <w:pPr>
        <w:widowControl/>
        <w:shd w:val="clear" w:color="auto" w:fill="FFFFFF"/>
        <w:spacing w:line="360" w:lineRule="auto"/>
        <w:ind w:firstLine="537" w:firstLineChars="224"/>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广州市番禺区清河东路319号西副楼六楼</w:t>
      </w:r>
    </w:p>
    <w:p w14:paraId="103D9FB2">
      <w:pPr>
        <w:widowControl/>
        <w:shd w:val="clear" w:color="auto" w:fill="FFFFFF"/>
        <w:spacing w:line="360" w:lineRule="auto"/>
        <w:ind w:firstLine="472" w:firstLineChars="224"/>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B44AFF8">
      <w:pPr>
        <w:widowControl/>
        <w:shd w:val="clear" w:color="auto" w:fill="FFFFFF"/>
        <w:spacing w:line="360" w:lineRule="auto"/>
        <w:ind w:firstLine="537" w:firstLineChars="224"/>
        <w:jc w:val="left"/>
        <w:rPr>
          <w:rFonts w:ascii="宋体" w:hAnsi="宋体" w:cs="宋体"/>
          <w:color w:val="auto"/>
          <w:kern w:val="0"/>
          <w:sz w:val="24"/>
          <w:szCs w:val="24"/>
          <w:highlight w:val="none"/>
          <w:u w:val="single"/>
        </w:rPr>
      </w:pPr>
    </w:p>
    <w:p w14:paraId="04F5ADA8">
      <w:pPr>
        <w:pStyle w:val="3"/>
        <w:keepNext w:val="0"/>
        <w:keepLines w:val="0"/>
        <w:spacing w:before="0" w:after="0" w:line="360" w:lineRule="auto"/>
        <w:rPr>
          <w:rFonts w:ascii="Times New Roman" w:hAnsi="Times New Roman"/>
          <w:color w:val="auto"/>
          <w:highlight w:val="none"/>
        </w:rPr>
      </w:pPr>
      <w:bookmarkStart w:id="8" w:name="_Toc511557029"/>
      <w:bookmarkStart w:id="9" w:name="_Toc514099627"/>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投标文件的递交</w:t>
      </w:r>
      <w:bookmarkEnd w:id="8"/>
      <w:bookmarkEnd w:id="9"/>
    </w:p>
    <w:p w14:paraId="3F983935">
      <w:pPr>
        <w:spacing w:line="360" w:lineRule="auto"/>
        <w:ind w:left="239" w:leftChars="114" w:firstLine="208" w:firstLineChars="87"/>
        <w:jc w:val="left"/>
        <w:rPr>
          <w:rFonts w:ascii="宋体" w:hAnsi="宋体"/>
          <w:color w:val="auto"/>
          <w:sz w:val="24"/>
          <w:szCs w:val="24"/>
          <w:highlight w:val="none"/>
        </w:rPr>
      </w:pPr>
      <w:r>
        <w:rPr>
          <w:rFonts w:ascii="宋体" w:hAnsi="宋体"/>
          <w:color w:val="auto"/>
          <w:sz w:val="24"/>
          <w:szCs w:val="24"/>
          <w:highlight w:val="none"/>
        </w:rPr>
        <w:t>5.1投标文件递交的截止时间（投标截止时间，下同）为</w:t>
      </w:r>
      <w:r>
        <w:rPr>
          <w:rFonts w:hint="eastAsia" w:ascii="宋体" w:hAnsi="宋体"/>
          <w:color w:val="auto"/>
          <w:sz w:val="24"/>
          <w:szCs w:val="24"/>
          <w:highlight w:val="none"/>
          <w:u w:val="single"/>
        </w:rPr>
        <w:t>2025</w:t>
      </w:r>
      <w:r>
        <w:rPr>
          <w:rFonts w:ascii="宋体" w:hAnsi="宋体"/>
          <w:color w:val="auto"/>
          <w:sz w:val="24"/>
          <w:szCs w:val="24"/>
          <w:highlight w:val="none"/>
        </w:rPr>
        <w:t>年</w:t>
      </w:r>
      <w:r>
        <w:rPr>
          <w:rFonts w:hint="eastAsia" w:ascii="宋体" w:hAnsi="宋体"/>
          <w:color w:val="auto"/>
          <w:sz w:val="24"/>
          <w:highlight w:val="none"/>
          <w:u w:val="single"/>
          <w:lang w:val="en-US" w:eastAsia="zh-CN"/>
        </w:rPr>
        <w:t>9</w:t>
      </w:r>
      <w:r>
        <w:rPr>
          <w:rFonts w:hint="eastAsia" w:ascii="宋体" w:hAnsi="宋体"/>
          <w:color w:val="auto"/>
          <w:sz w:val="24"/>
          <w:highlight w:val="none"/>
        </w:rPr>
        <w:t>月</w:t>
      </w:r>
      <w:r>
        <w:rPr>
          <w:rFonts w:hint="eastAsia" w:ascii="宋体" w:hAnsi="宋体"/>
          <w:color w:val="auto"/>
          <w:sz w:val="24"/>
          <w:highlight w:val="none"/>
          <w:u w:val="single"/>
          <w:lang w:val="en-US" w:eastAsia="zh-CN"/>
        </w:rPr>
        <w:t>11</w:t>
      </w:r>
      <w:r>
        <w:rPr>
          <w:rFonts w:hint="eastAsia" w:ascii="宋体" w:hAnsi="宋体"/>
          <w:color w:val="auto"/>
          <w:sz w:val="24"/>
          <w:highlight w:val="non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r>
        <w:rPr>
          <w:rFonts w:ascii="宋体" w:hAnsi="宋体"/>
          <w:color w:val="auto"/>
          <w:sz w:val="24"/>
          <w:szCs w:val="24"/>
          <w:highlight w:val="none"/>
        </w:rPr>
        <w:t>，投标人应在截止时间前通过</w:t>
      </w:r>
      <w:r>
        <w:rPr>
          <w:rFonts w:hint="eastAsia" w:ascii="宋体" w:hAnsi="宋体"/>
          <w:color w:val="auto"/>
          <w:sz w:val="24"/>
          <w:szCs w:val="24"/>
          <w:highlight w:val="none"/>
          <w:u w:val="single"/>
        </w:rPr>
        <w:t>广州公共资源交易中心数字交易平台（网址：</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w:t>
      </w:r>
      <w:r>
        <w:rPr>
          <w:rFonts w:ascii="宋体" w:hAnsi="宋体"/>
          <w:color w:val="auto"/>
          <w:sz w:val="24"/>
          <w:szCs w:val="24"/>
          <w:highlight w:val="none"/>
        </w:rPr>
        <w:t>递交电子投标文件。</w:t>
      </w:r>
    </w:p>
    <w:p w14:paraId="5FC23DCC">
      <w:pPr>
        <w:spacing w:line="360" w:lineRule="auto"/>
        <w:ind w:left="239" w:leftChars="114" w:firstLine="208" w:firstLineChars="87"/>
        <w:jc w:val="left"/>
        <w:rPr>
          <w:rFonts w:ascii="宋体" w:hAnsi="宋体"/>
          <w:color w:val="auto"/>
          <w:sz w:val="24"/>
          <w:szCs w:val="24"/>
          <w:highlight w:val="none"/>
        </w:rPr>
      </w:pPr>
      <w:r>
        <w:rPr>
          <w:rFonts w:hint="eastAsia" w:ascii="宋体" w:hAnsi="宋体"/>
          <w:color w:val="auto"/>
          <w:sz w:val="24"/>
          <w:szCs w:val="24"/>
          <w:highlight w:val="none"/>
        </w:rPr>
        <w:t>5.2投标文件备用光盘递交时间为</w:t>
      </w:r>
      <w:r>
        <w:rPr>
          <w:rFonts w:hint="eastAsia"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45</w:t>
      </w:r>
      <w:r>
        <w:rPr>
          <w:rFonts w:hint="eastAsia" w:ascii="宋体" w:hAnsi="宋体"/>
          <w:color w:val="auto"/>
          <w:sz w:val="24"/>
          <w:szCs w:val="24"/>
          <w:highlight w:val="none"/>
        </w:rPr>
        <w:t>分至</w:t>
      </w:r>
      <w:r>
        <w:rPr>
          <w:rFonts w:hint="eastAsia" w:ascii="宋体" w:hAnsi="宋体"/>
          <w:color w:val="auto"/>
          <w:sz w:val="24"/>
          <w:szCs w:val="24"/>
          <w:highlight w:val="none"/>
          <w:u w:val="single"/>
        </w:rPr>
        <w:t>2025</w:t>
      </w:r>
      <w:r>
        <w:rPr>
          <w:rFonts w:hint="eastAsia" w:ascii="宋体" w:hAnsi="宋体"/>
          <w:color w:val="auto"/>
          <w:sz w:val="24"/>
          <w:szCs w:val="24"/>
          <w:highlight w:val="none"/>
        </w:rPr>
        <w:t>年</w:t>
      </w:r>
      <w:r>
        <w:rPr>
          <w:rFonts w:hint="eastAsia" w:ascii="宋体" w:hAnsi="宋体"/>
          <w:color w:val="auto"/>
          <w:sz w:val="24"/>
          <w:highlight w:val="none"/>
          <w:u w:val="single"/>
          <w:lang w:val="en-US" w:eastAsia="zh-CN"/>
        </w:rPr>
        <w:t>9</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11</w:t>
      </w:r>
      <w:r>
        <w:rPr>
          <w:rFonts w:hint="eastAsia" w:ascii="宋体" w:hAnsi="宋体"/>
          <w:color w:val="auto"/>
          <w:sz w:val="24"/>
          <w:highlight w:val="none"/>
        </w:rPr>
        <w:t>日</w:t>
      </w:r>
      <w:r>
        <w:rPr>
          <w:rFonts w:hint="eastAsia" w:ascii="宋体" w:hAnsi="宋体"/>
          <w:color w:val="auto"/>
          <w:sz w:val="24"/>
          <w:highlight w:val="none"/>
          <w:u w:val="single"/>
          <w:lang w:val="en-US" w:eastAsia="zh-CN"/>
        </w:rPr>
        <w:t>10</w:t>
      </w:r>
      <w:r>
        <w:rPr>
          <w:rFonts w:hint="eastAsia" w:ascii="宋体" w:hAnsi="宋体"/>
          <w:color w:val="auto"/>
          <w:sz w:val="24"/>
          <w:highlight w:val="none"/>
        </w:rPr>
        <w:t>时</w:t>
      </w:r>
      <w:r>
        <w:rPr>
          <w:rFonts w:hint="eastAsia" w:ascii="宋体" w:hAnsi="宋体"/>
          <w:color w:val="auto"/>
          <w:sz w:val="24"/>
          <w:highlight w:val="none"/>
          <w:u w:val="single"/>
          <w:lang w:val="en-US" w:eastAsia="zh-CN"/>
        </w:rPr>
        <w:t>00</w:t>
      </w:r>
      <w:r>
        <w:rPr>
          <w:rFonts w:hint="eastAsia" w:ascii="宋体" w:hAnsi="宋体"/>
          <w:color w:val="auto"/>
          <w:sz w:val="24"/>
          <w:highlight w:val="none"/>
        </w:rPr>
        <w:t>分</w:t>
      </w:r>
      <w:r>
        <w:rPr>
          <w:rFonts w:hint="eastAsia" w:ascii="宋体" w:hAnsi="宋体"/>
          <w:color w:val="auto"/>
          <w:sz w:val="24"/>
          <w:szCs w:val="24"/>
          <w:highlight w:val="none"/>
        </w:rPr>
        <w:t>，地点为：</w:t>
      </w:r>
      <w:r>
        <w:rPr>
          <w:rFonts w:hint="eastAsia" w:ascii="宋体" w:hAnsi="宋体"/>
          <w:color w:val="auto"/>
          <w:sz w:val="24"/>
          <w:szCs w:val="24"/>
          <w:highlight w:val="none"/>
          <w:u w:val="single"/>
        </w:rPr>
        <w:t>广州公共资源交易中心开标室（具体开标室以交易中心日程安排系统信息为准）</w:t>
      </w:r>
      <w:r>
        <w:rPr>
          <w:rFonts w:hint="eastAsia" w:ascii="宋体" w:hAnsi="宋体"/>
          <w:color w:val="auto"/>
          <w:sz w:val="24"/>
          <w:szCs w:val="24"/>
          <w:highlight w:val="none"/>
        </w:rPr>
        <w:t>。</w:t>
      </w:r>
    </w:p>
    <w:p w14:paraId="000D8AC4">
      <w:pPr>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3</w:t>
      </w:r>
      <w:r>
        <w:rPr>
          <w:rFonts w:ascii="宋体" w:hAnsi="宋体"/>
          <w:color w:val="auto"/>
          <w:sz w:val="24"/>
          <w:szCs w:val="24"/>
          <w:highlight w:val="none"/>
        </w:rPr>
        <w:t>逾期送达的投标文件，电子招标投标交易平台将予以拒收。</w:t>
      </w:r>
    </w:p>
    <w:p w14:paraId="4F30163A">
      <w:pPr>
        <w:spacing w:line="360" w:lineRule="auto"/>
        <w:ind w:firstLine="480" w:firstLineChars="200"/>
        <w:jc w:val="left"/>
        <w:rPr>
          <w:rFonts w:ascii="宋体" w:hAnsi="宋体"/>
          <w:color w:val="auto"/>
          <w:sz w:val="24"/>
          <w:szCs w:val="24"/>
          <w:highlight w:val="none"/>
        </w:rPr>
      </w:pPr>
    </w:p>
    <w:p w14:paraId="0D5FB1E5">
      <w:pPr>
        <w:pStyle w:val="3"/>
        <w:keepNext w:val="0"/>
        <w:keepLines w:val="0"/>
        <w:spacing w:before="0" w:after="0" w:line="360" w:lineRule="auto"/>
        <w:rPr>
          <w:rFonts w:ascii="Times New Roman" w:hAnsi="Times New Roman"/>
          <w:color w:val="auto"/>
          <w:highlight w:val="none"/>
        </w:rPr>
      </w:pPr>
      <w:bookmarkStart w:id="10" w:name="_Toc514099628"/>
      <w:bookmarkStart w:id="11" w:name="_Toc511557030"/>
      <w:r>
        <w:rPr>
          <w:rFonts w:hint="eastAsia" w:ascii="Times New Roman" w:hAnsi="Times New Roman"/>
          <w:color w:val="auto"/>
          <w:highlight w:val="none"/>
        </w:rPr>
        <w:t>6</w:t>
      </w:r>
      <w:r>
        <w:rPr>
          <w:rFonts w:ascii="Times New Roman" w:hAnsi="Times New Roman"/>
          <w:color w:val="auto"/>
          <w:highlight w:val="none"/>
        </w:rPr>
        <w:t xml:space="preserve">. </w:t>
      </w:r>
      <w:r>
        <w:rPr>
          <w:rFonts w:hint="eastAsia" w:ascii="Times New Roman" w:hAnsi="Times New Roman"/>
          <w:color w:val="auto"/>
          <w:highlight w:val="none"/>
        </w:rPr>
        <w:t>发布公告的媒介</w:t>
      </w:r>
      <w:bookmarkEnd w:id="10"/>
      <w:bookmarkEnd w:id="11"/>
    </w:p>
    <w:p w14:paraId="71F7A6C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本次招标公告同时在</w:t>
      </w:r>
      <w:r>
        <w:rPr>
          <w:rFonts w:hint="eastAsia" w:ascii="宋体" w:hAnsi="宋体"/>
          <w:color w:val="auto"/>
          <w:sz w:val="24"/>
          <w:szCs w:val="24"/>
          <w:highlight w:val="none"/>
          <w:u w:val="single"/>
        </w:rPr>
        <w:t>广州公共资源交易中心网站（网址：</w:t>
      </w:r>
      <w:r>
        <w:rPr>
          <w:rFonts w:ascii="宋体" w:hAnsi="宋体"/>
          <w:color w:val="auto"/>
          <w:sz w:val="24"/>
          <w:szCs w:val="24"/>
          <w:highlight w:val="none"/>
          <w:u w:val="single"/>
        </w:rPr>
        <w:t>http://www.gzggzy.cn</w:t>
      </w:r>
      <w:r>
        <w:rPr>
          <w:rFonts w:hint="eastAsia" w:ascii="宋体" w:hAnsi="宋体"/>
          <w:color w:val="auto"/>
          <w:sz w:val="24"/>
          <w:szCs w:val="24"/>
          <w:highlight w:val="none"/>
          <w:u w:val="single"/>
        </w:rPr>
        <w:t>）、广东省招标投标监管网（网址：</w:t>
      </w:r>
      <w:r>
        <w:rPr>
          <w:rFonts w:ascii="宋体" w:hAnsi="宋体"/>
          <w:color w:val="auto"/>
          <w:sz w:val="24"/>
          <w:szCs w:val="24"/>
          <w:highlight w:val="none"/>
          <w:u w:val="single"/>
        </w:rPr>
        <w:t>http://www.gdzbtb.gov.cn/</w:t>
      </w:r>
      <w:r>
        <w:rPr>
          <w:rFonts w:hint="eastAsia" w:ascii="宋体" w:hAnsi="宋体"/>
          <w:color w:val="auto"/>
          <w:sz w:val="24"/>
          <w:szCs w:val="24"/>
          <w:highlight w:val="none"/>
          <w:u w:val="single"/>
        </w:rPr>
        <w:t>）和中国招标投标公共服务平台（网址：</w:t>
      </w:r>
      <w:r>
        <w:rPr>
          <w:rFonts w:ascii="宋体" w:hAnsi="宋体"/>
          <w:color w:val="auto"/>
          <w:sz w:val="24"/>
          <w:szCs w:val="24"/>
          <w:highlight w:val="none"/>
          <w:u w:val="single"/>
        </w:rPr>
        <w:t>http://www.cebpubservice.com/</w:t>
      </w:r>
      <w:r>
        <w:rPr>
          <w:rFonts w:hint="eastAsia" w:ascii="宋体" w:hAnsi="宋体"/>
          <w:color w:val="auto"/>
          <w:sz w:val="24"/>
          <w:szCs w:val="24"/>
          <w:highlight w:val="none"/>
          <w:u w:val="single"/>
        </w:rPr>
        <w:t>）</w:t>
      </w:r>
      <w:r>
        <w:rPr>
          <w:rFonts w:hint="eastAsia" w:ascii="宋体" w:hAnsi="宋体" w:cs="宋体"/>
          <w:color w:val="auto"/>
          <w:sz w:val="24"/>
          <w:szCs w:val="24"/>
          <w:highlight w:val="none"/>
          <w:u w:val="single"/>
        </w:rPr>
        <w:t>发布，本公告的修改、补充，在广州公共资源交易中心网站</w:t>
      </w:r>
      <w:r>
        <w:rPr>
          <w:rFonts w:ascii="宋体" w:hAnsi="宋体"/>
          <w:color w:val="auto"/>
          <w:sz w:val="24"/>
          <w:szCs w:val="24"/>
          <w:highlight w:val="none"/>
        </w:rPr>
        <w:t>上发布。</w:t>
      </w:r>
    </w:p>
    <w:p w14:paraId="54D4B846">
      <w:pPr>
        <w:spacing w:line="360" w:lineRule="auto"/>
        <w:ind w:firstLine="480" w:firstLineChars="200"/>
        <w:rPr>
          <w:rFonts w:ascii="宋体" w:hAnsi="宋体"/>
          <w:color w:val="auto"/>
          <w:sz w:val="24"/>
          <w:szCs w:val="24"/>
          <w:highlight w:val="none"/>
        </w:rPr>
      </w:pPr>
    </w:p>
    <w:p w14:paraId="63FCA89C">
      <w:pPr>
        <w:pStyle w:val="3"/>
        <w:keepNext w:val="0"/>
        <w:keepLines w:val="0"/>
        <w:spacing w:before="0" w:after="0" w:line="360" w:lineRule="auto"/>
        <w:rPr>
          <w:rFonts w:ascii="Times New Roman" w:hAnsi="Times New Roman"/>
          <w:color w:val="auto"/>
          <w:highlight w:val="none"/>
        </w:rPr>
      </w:pPr>
      <w:bookmarkStart w:id="12" w:name="_Toc514099629"/>
      <w:bookmarkStart w:id="13" w:name="_Toc511557031"/>
      <w:r>
        <w:rPr>
          <w:rFonts w:hint="eastAsia" w:ascii="Times New Roman" w:hAnsi="Times New Roman"/>
          <w:color w:val="auto"/>
          <w:highlight w:val="none"/>
        </w:rPr>
        <w:t>7</w:t>
      </w:r>
      <w:r>
        <w:rPr>
          <w:rFonts w:ascii="Times New Roman" w:hAnsi="Times New Roman"/>
          <w:color w:val="auto"/>
          <w:highlight w:val="none"/>
        </w:rPr>
        <w:t xml:space="preserve"> </w:t>
      </w:r>
      <w:r>
        <w:rPr>
          <w:rFonts w:hint="eastAsia" w:ascii="Times New Roman" w:hAnsi="Times New Roman"/>
          <w:color w:val="auto"/>
          <w:highlight w:val="none"/>
        </w:rPr>
        <w:t>联系方式</w:t>
      </w:r>
      <w:bookmarkEnd w:id="12"/>
      <w:bookmarkEnd w:id="13"/>
    </w:p>
    <w:p w14:paraId="3D2D7AEC">
      <w:pPr>
        <w:spacing w:line="360" w:lineRule="auto"/>
        <w:ind w:left="7198" w:right="480" w:hanging="7197" w:hangingChars="2999"/>
        <w:jc w:val="left"/>
        <w:rPr>
          <w:rFonts w:ascii="宋体" w:hAnsi="宋体"/>
          <w:color w:val="auto"/>
          <w:sz w:val="24"/>
          <w:szCs w:val="24"/>
          <w:highlight w:val="none"/>
          <w:u w:val="single"/>
        </w:rPr>
      </w:pPr>
      <w:bookmarkStart w:id="14" w:name="_Toc352691455"/>
      <w:bookmarkEnd w:id="14"/>
      <w:bookmarkStart w:id="15" w:name="_Toc300834927"/>
      <w:bookmarkEnd w:id="15"/>
      <w:bookmarkStart w:id="16" w:name="_Toc361508563"/>
      <w:bookmarkEnd w:id="16"/>
      <w:bookmarkStart w:id="17" w:name="_Toc300834930"/>
      <w:bookmarkEnd w:id="17"/>
      <w:bookmarkStart w:id="18" w:name="_Toc247527536"/>
      <w:bookmarkEnd w:id="18"/>
      <w:bookmarkStart w:id="19" w:name="_Toc152045513"/>
      <w:bookmarkEnd w:id="19"/>
      <w:bookmarkStart w:id="20" w:name="_Toc152042289"/>
      <w:bookmarkEnd w:id="20"/>
      <w:bookmarkStart w:id="21" w:name="_Toc361508562"/>
      <w:bookmarkEnd w:id="21"/>
      <w:bookmarkStart w:id="22" w:name="_Toc144974481"/>
      <w:bookmarkEnd w:id="22"/>
      <w:bookmarkStart w:id="23" w:name="_Toc361508560"/>
      <w:bookmarkEnd w:id="23"/>
      <w:bookmarkStart w:id="24" w:name="_Toc30817"/>
      <w:bookmarkEnd w:id="24"/>
      <w:bookmarkStart w:id="25" w:name="_Toc369531498"/>
      <w:bookmarkEnd w:id="25"/>
      <w:bookmarkStart w:id="26" w:name="_Toc369531497"/>
      <w:bookmarkEnd w:id="26"/>
      <w:bookmarkStart w:id="27" w:name="_Toc10785"/>
      <w:bookmarkEnd w:id="27"/>
      <w:bookmarkStart w:id="28" w:name="_Toc384308188"/>
      <w:bookmarkEnd w:id="28"/>
      <w:bookmarkStart w:id="29" w:name="_Toc352691453"/>
      <w:bookmarkEnd w:id="29"/>
      <w:bookmarkStart w:id="30" w:name="_Toc17972"/>
      <w:bookmarkEnd w:id="30"/>
      <w:bookmarkStart w:id="31" w:name="_Toc152045512"/>
      <w:bookmarkEnd w:id="31"/>
      <w:bookmarkStart w:id="32" w:name="_Toc369531495"/>
      <w:bookmarkEnd w:id="32"/>
      <w:bookmarkStart w:id="33" w:name="_Toc247513934"/>
      <w:bookmarkEnd w:id="33"/>
      <w:bookmarkStart w:id="34" w:name="_Toc384308187"/>
      <w:bookmarkEnd w:id="34"/>
      <w:bookmarkStart w:id="35" w:name="_Toc152042288"/>
      <w:bookmarkEnd w:id="35"/>
      <w:bookmarkStart w:id="36" w:name="_Toc352691456"/>
      <w:bookmarkEnd w:id="36"/>
      <w:bookmarkStart w:id="37" w:name="_Toc384308185"/>
      <w:bookmarkEnd w:id="37"/>
      <w:bookmarkStart w:id="38" w:name="_Toc144974480"/>
      <w:bookmarkEnd w:id="38"/>
      <w:bookmarkStart w:id="39" w:name="_Toc300834929"/>
      <w:bookmarkEnd w:id="39"/>
      <w:bookmarkStart w:id="40" w:name="_Toc247513935"/>
      <w:bookmarkEnd w:id="40"/>
      <w:bookmarkStart w:id="41" w:name="_Toc247527535"/>
      <w:bookmarkEnd w:id="41"/>
      <w:r>
        <w:rPr>
          <w:rFonts w:ascii="宋体" w:hAnsi="宋体"/>
          <w:color w:val="auto"/>
          <w:sz w:val="24"/>
          <w:szCs w:val="24"/>
          <w:highlight w:val="none"/>
        </w:rPr>
        <w:t>招 标 人：</w:t>
      </w:r>
      <w:r>
        <w:rPr>
          <w:rFonts w:hint="eastAsia" w:ascii="宋体" w:hAnsi="宋体" w:cs="宋体"/>
          <w:color w:val="auto"/>
          <w:kern w:val="0"/>
          <w:sz w:val="24"/>
          <w:szCs w:val="24"/>
          <w:highlight w:val="none"/>
          <w:u w:val="single"/>
        </w:rPr>
        <w:t>广州市番禺区基本建设投资管理中心</w:t>
      </w:r>
    </w:p>
    <w:p w14:paraId="7B38F6A5">
      <w:pPr>
        <w:topLinePunct/>
        <w:spacing w:line="360" w:lineRule="auto"/>
        <w:jc w:val="left"/>
        <w:rPr>
          <w:rFonts w:ascii="宋体" w:hAnsi="宋体" w:cs="宋体"/>
          <w:color w:val="auto"/>
          <w:kern w:val="0"/>
          <w:sz w:val="24"/>
          <w:szCs w:val="24"/>
          <w:highlight w:val="none"/>
          <w:u w:val="single"/>
        </w:rPr>
      </w:pPr>
      <w:r>
        <w:rPr>
          <w:rFonts w:ascii="宋体" w:hAnsi="宋体"/>
          <w:color w:val="auto"/>
          <w:sz w:val="24"/>
          <w:szCs w:val="24"/>
          <w:highlight w:val="none"/>
        </w:rPr>
        <w:t>地    址：</w:t>
      </w:r>
      <w:r>
        <w:rPr>
          <w:rFonts w:hint="eastAsia" w:ascii="宋体" w:hAnsi="宋体" w:cs="宋体"/>
          <w:color w:val="auto"/>
          <w:kern w:val="0"/>
          <w:sz w:val="24"/>
          <w:szCs w:val="24"/>
          <w:highlight w:val="none"/>
          <w:u w:val="single"/>
        </w:rPr>
        <w:t>广州市番禺区清河东路319号西副楼六楼</w:t>
      </w:r>
    </w:p>
    <w:p w14:paraId="6EB1E94E">
      <w:pPr>
        <w:topLinePunct/>
        <w:spacing w:line="360" w:lineRule="auto"/>
        <w:ind w:left="7198" w:right="480" w:hanging="7197" w:hangingChars="2999"/>
        <w:jc w:val="left"/>
        <w:rPr>
          <w:rFonts w:ascii="宋体" w:hAnsi="宋体"/>
          <w:color w:val="auto"/>
          <w:sz w:val="24"/>
          <w:szCs w:val="24"/>
          <w:highlight w:val="none"/>
          <w:u w:val="single"/>
        </w:rPr>
      </w:pPr>
      <w:r>
        <w:rPr>
          <w:rFonts w:ascii="宋体" w:hAnsi="宋体"/>
          <w:color w:val="auto"/>
          <w:sz w:val="24"/>
          <w:szCs w:val="24"/>
          <w:highlight w:val="none"/>
        </w:rPr>
        <w:t>联 系 人：</w:t>
      </w:r>
      <w:r>
        <w:rPr>
          <w:rFonts w:hint="eastAsia" w:ascii="宋体" w:hAnsi="宋体"/>
          <w:color w:val="auto"/>
          <w:sz w:val="24"/>
          <w:szCs w:val="24"/>
          <w:highlight w:val="none"/>
          <w:u w:val="single"/>
        </w:rPr>
        <w:t>周小姐</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电话：020-84612339</w:t>
      </w:r>
    </w:p>
    <w:p w14:paraId="74F28597">
      <w:pPr>
        <w:topLinePunct/>
        <w:spacing w:line="360" w:lineRule="auto"/>
        <w:ind w:left="7198" w:right="480" w:hanging="7197" w:hangingChars="2999"/>
        <w:jc w:val="left"/>
        <w:rPr>
          <w:rFonts w:ascii="宋体" w:hAnsi="宋体"/>
          <w:color w:val="auto"/>
          <w:sz w:val="24"/>
          <w:szCs w:val="24"/>
          <w:highlight w:val="none"/>
        </w:rPr>
      </w:pPr>
      <w:r>
        <w:rPr>
          <w:rFonts w:ascii="宋体" w:hAnsi="宋体"/>
          <w:color w:val="auto"/>
          <w:sz w:val="24"/>
          <w:szCs w:val="24"/>
          <w:highlight w:val="none"/>
        </w:rPr>
        <w:t xml:space="preserve">邮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编：</w:t>
      </w:r>
      <w:r>
        <w:rPr>
          <w:rFonts w:hint="eastAsia" w:ascii="宋体" w:hAnsi="宋体"/>
          <w:color w:val="auto"/>
          <w:sz w:val="24"/>
          <w:szCs w:val="24"/>
          <w:highlight w:val="none"/>
          <w:u w:val="single"/>
        </w:rPr>
        <w:t>511400</w:t>
      </w:r>
    </w:p>
    <w:p w14:paraId="60FB4281">
      <w:pP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 xml:space="preserve">    </w:t>
      </w:r>
    </w:p>
    <w:p w14:paraId="51624E11">
      <w:pPr>
        <w:spacing w:line="360" w:lineRule="auto"/>
        <w:ind w:right="360"/>
        <w:jc w:val="left"/>
        <w:rPr>
          <w:rFonts w:hint="eastAsia" w:ascii="宋体" w:hAnsi="宋体" w:eastAsia="宋体" w:cs="宋体"/>
          <w:color w:val="auto"/>
          <w:sz w:val="24"/>
          <w:szCs w:val="24"/>
          <w:highlight w:val="none"/>
          <w:u w:val="single"/>
          <w:lang w:eastAsia="zh-CN"/>
        </w:rPr>
      </w:pPr>
      <w:r>
        <w:rPr>
          <w:rFonts w:ascii="宋体" w:hAnsi="宋体"/>
          <w:color w:val="auto"/>
          <w:sz w:val="24"/>
          <w:szCs w:val="24"/>
          <w:highlight w:val="none"/>
        </w:rPr>
        <w:t>招标代理机构：</w:t>
      </w:r>
      <w:r>
        <w:rPr>
          <w:rFonts w:hint="eastAsia" w:ascii="宋体" w:hAnsi="宋体"/>
          <w:color w:val="auto"/>
          <w:sz w:val="24"/>
          <w:szCs w:val="24"/>
          <w:highlight w:val="none"/>
          <w:u w:val="single"/>
          <w:lang w:eastAsia="zh-CN"/>
        </w:rPr>
        <w:t>广州高新工程顾问有限公司</w:t>
      </w:r>
    </w:p>
    <w:p w14:paraId="6250DA0B">
      <w:pPr>
        <w:topLinePunct/>
        <w:spacing w:line="360" w:lineRule="auto"/>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地    址：</w:t>
      </w:r>
      <w:r>
        <w:rPr>
          <w:rFonts w:hint="eastAsia" w:ascii="宋体" w:hAnsi="宋体" w:eastAsia="宋体"/>
          <w:color w:val="auto"/>
          <w:sz w:val="24"/>
          <w:szCs w:val="24"/>
          <w:highlight w:val="none"/>
          <w:u w:val="single"/>
          <w:lang w:eastAsia="zh-CN"/>
        </w:rPr>
        <w:t>广州市天河区华观路1933号万科云城A栋503-504房</w:t>
      </w:r>
    </w:p>
    <w:p w14:paraId="5B804C53">
      <w:pPr>
        <w:topLinePunct/>
        <w:spacing w:line="360" w:lineRule="auto"/>
        <w:ind w:left="7486" w:hanging="7485" w:hangingChars="3119"/>
        <w:jc w:val="left"/>
        <w:rPr>
          <w:rFonts w:hint="default" w:ascii="宋体" w:hAnsi="宋体" w:eastAsia="宋体"/>
          <w:color w:val="auto"/>
          <w:sz w:val="24"/>
          <w:szCs w:val="24"/>
          <w:highlight w:val="none"/>
          <w:u w:val="single"/>
          <w:lang w:val="en-US" w:eastAsia="zh-CN"/>
        </w:rPr>
      </w:pPr>
      <w:r>
        <w:rPr>
          <w:rFonts w:ascii="宋体" w:hAnsi="宋体"/>
          <w:color w:val="auto"/>
          <w:sz w:val="24"/>
          <w:szCs w:val="24"/>
          <w:highlight w:val="none"/>
        </w:rPr>
        <w:t>联 系 人：</w:t>
      </w:r>
      <w:r>
        <w:rPr>
          <w:rFonts w:hint="eastAsia" w:ascii="宋体" w:hAnsi="宋体"/>
          <w:color w:val="auto"/>
          <w:sz w:val="24"/>
          <w:szCs w:val="24"/>
          <w:highlight w:val="none"/>
          <w:u w:val="single"/>
          <w:lang w:val="en-US" w:eastAsia="zh-CN"/>
        </w:rPr>
        <w:t>何</w:t>
      </w:r>
      <w:r>
        <w:rPr>
          <w:rFonts w:hint="eastAsia" w:ascii="宋体" w:hAnsi="宋体"/>
          <w:color w:val="auto"/>
          <w:sz w:val="24"/>
          <w:szCs w:val="24"/>
          <w:highlight w:val="none"/>
          <w:u w:val="single"/>
        </w:rPr>
        <w:t>工</w:t>
      </w:r>
      <w:r>
        <w:rPr>
          <w:rFonts w:hint="eastAsia" w:ascii="宋体" w:hAnsi="宋体"/>
          <w:color w:val="auto"/>
          <w:sz w:val="24"/>
          <w:szCs w:val="24"/>
          <w:highlight w:val="none"/>
        </w:rPr>
        <w:t xml:space="preserve">         </w:t>
      </w:r>
      <w:r>
        <w:rPr>
          <w:rFonts w:ascii="宋体" w:hAnsi="宋体"/>
          <w:color w:val="auto"/>
          <w:sz w:val="24"/>
          <w:szCs w:val="24"/>
          <w:highlight w:val="none"/>
        </w:rPr>
        <w:t>电话：</w:t>
      </w:r>
      <w:r>
        <w:rPr>
          <w:rFonts w:hint="eastAsia" w:ascii="宋体" w:hAnsi="宋体"/>
          <w:color w:val="auto"/>
          <w:sz w:val="24"/>
          <w:szCs w:val="24"/>
          <w:highlight w:val="none"/>
          <w:u w:val="single"/>
          <w:lang w:val="en-US" w:eastAsia="zh-CN"/>
        </w:rPr>
        <w:t>13570237125</w:t>
      </w:r>
    </w:p>
    <w:p w14:paraId="5B37D7C1">
      <w:pPr>
        <w:spacing w:line="360" w:lineRule="auto"/>
        <w:ind w:right="480"/>
        <w:rPr>
          <w:rFonts w:hint="default" w:ascii="宋体" w:hAnsi="宋体" w:eastAsia="宋体"/>
          <w:color w:val="auto"/>
          <w:sz w:val="24"/>
          <w:szCs w:val="24"/>
          <w:highlight w:val="none"/>
          <w:u w:val="single"/>
          <w:lang w:val="en-US" w:eastAsia="zh-CN"/>
        </w:rPr>
      </w:pPr>
      <w:r>
        <w:rPr>
          <w:rFonts w:ascii="宋体" w:hAnsi="宋体"/>
          <w:color w:val="auto"/>
          <w:sz w:val="24"/>
          <w:szCs w:val="24"/>
          <w:highlight w:val="none"/>
        </w:rPr>
        <w:t>邮    编：</w:t>
      </w:r>
      <w:r>
        <w:rPr>
          <w:rFonts w:hint="eastAsia" w:ascii="宋体" w:hAnsi="宋体"/>
          <w:color w:val="auto"/>
          <w:sz w:val="24"/>
          <w:szCs w:val="24"/>
          <w:highlight w:val="none"/>
          <w:u w:val="single"/>
        </w:rPr>
        <w:t>51</w:t>
      </w:r>
      <w:r>
        <w:rPr>
          <w:rFonts w:hint="eastAsia" w:ascii="宋体" w:hAnsi="宋体"/>
          <w:color w:val="auto"/>
          <w:sz w:val="24"/>
          <w:szCs w:val="24"/>
          <w:highlight w:val="none"/>
          <w:u w:val="single"/>
          <w:lang w:val="en-US" w:eastAsia="zh-CN"/>
        </w:rPr>
        <w:t>1400</w:t>
      </w:r>
    </w:p>
    <w:p w14:paraId="6A3534A1">
      <w:pPr>
        <w:spacing w:line="360" w:lineRule="auto"/>
        <w:ind w:right="480"/>
        <w:rPr>
          <w:rFonts w:ascii="宋体" w:hAnsi="宋体"/>
          <w:color w:val="auto"/>
          <w:sz w:val="24"/>
          <w:szCs w:val="24"/>
          <w:highlight w:val="none"/>
          <w:u w:val="single"/>
        </w:rPr>
      </w:pPr>
    </w:p>
    <w:p w14:paraId="2910D732">
      <w:pPr>
        <w:spacing w:line="360" w:lineRule="auto"/>
        <w:ind w:right="480"/>
        <w:rPr>
          <w:rFonts w:ascii="宋体" w:hAnsi="宋体" w:cs="宋体"/>
          <w:color w:val="auto"/>
          <w:sz w:val="24"/>
          <w:highlight w:val="none"/>
          <w:u w:val="single"/>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rPr>
        <w:t>广州市番禺区基本建设投资管理中心</w:t>
      </w:r>
    </w:p>
    <w:p w14:paraId="36324B7E">
      <w:pPr>
        <w:spacing w:line="360" w:lineRule="auto"/>
        <w:ind w:right="48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kern w:val="0"/>
          <w:sz w:val="24"/>
          <w:szCs w:val="24"/>
          <w:highlight w:val="none"/>
          <w:u w:val="single"/>
        </w:rPr>
        <w:t>广州市番禺区清河东路319号西副楼六楼</w:t>
      </w:r>
    </w:p>
    <w:p w14:paraId="48C0DC9B">
      <w:pPr>
        <w:spacing w:line="360" w:lineRule="auto"/>
        <w:ind w:right="360"/>
        <w:jc w:val="left"/>
        <w:rPr>
          <w:rFonts w:ascii="宋体" w:hAnsi="宋体" w:cs="宋体"/>
          <w:color w:val="auto"/>
          <w:sz w:val="24"/>
          <w:highlight w:val="none"/>
          <w:u w:val="single"/>
        </w:rPr>
      </w:pPr>
      <w:r>
        <w:rPr>
          <w:rFonts w:hint="eastAsia" w:ascii="宋体" w:hAnsi="宋体" w:cs="宋体"/>
          <w:color w:val="auto"/>
          <w:sz w:val="24"/>
          <w:highlight w:val="none"/>
        </w:rPr>
        <w:t>电    话：</w:t>
      </w:r>
      <w:r>
        <w:rPr>
          <w:rFonts w:ascii="宋体" w:hAnsi="宋体"/>
          <w:color w:val="auto"/>
          <w:sz w:val="24"/>
          <w:szCs w:val="24"/>
          <w:highlight w:val="none"/>
          <w:u w:val="single"/>
        </w:rPr>
        <w:t>020-84612339</w:t>
      </w:r>
    </w:p>
    <w:p w14:paraId="790D549B">
      <w:pPr>
        <w:spacing w:line="360" w:lineRule="auto"/>
        <w:ind w:right="360"/>
        <w:jc w:val="left"/>
        <w:rPr>
          <w:rFonts w:ascii="宋体" w:hAnsi="宋体" w:cs="宋体"/>
          <w:color w:val="auto"/>
          <w:sz w:val="24"/>
          <w:highlight w:val="none"/>
          <w:u w:val="single"/>
        </w:rPr>
      </w:pPr>
    </w:p>
    <w:p w14:paraId="24A1D4D0">
      <w:pPr>
        <w:spacing w:line="360" w:lineRule="auto"/>
        <w:ind w:right="360"/>
        <w:jc w:val="left"/>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广州市番禺区基本建设投资管理中心</w:t>
      </w:r>
    </w:p>
    <w:p w14:paraId="38933BFA">
      <w:pPr>
        <w:spacing w:line="360" w:lineRule="auto"/>
        <w:ind w:right="36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kern w:val="0"/>
          <w:sz w:val="24"/>
          <w:szCs w:val="24"/>
          <w:highlight w:val="none"/>
          <w:u w:val="single"/>
        </w:rPr>
        <w:t>广州市番禺区清河东路319号西副楼六楼</w:t>
      </w:r>
    </w:p>
    <w:p w14:paraId="5448ACCB">
      <w:pPr>
        <w:spacing w:line="360" w:lineRule="auto"/>
        <w:ind w:right="360"/>
        <w:jc w:val="left"/>
        <w:rPr>
          <w:rFonts w:ascii="宋体" w:hAnsi="宋体" w:cs="宋体"/>
          <w:color w:val="auto"/>
          <w:sz w:val="24"/>
          <w:highlight w:val="none"/>
        </w:rPr>
      </w:pPr>
      <w:r>
        <w:rPr>
          <w:rFonts w:hint="eastAsia" w:ascii="宋体" w:hAnsi="宋体" w:cs="宋体"/>
          <w:color w:val="auto"/>
          <w:sz w:val="24"/>
          <w:highlight w:val="none"/>
        </w:rPr>
        <w:t>监管电话：</w:t>
      </w:r>
      <w:r>
        <w:rPr>
          <w:rFonts w:ascii="宋体" w:hAnsi="宋体"/>
          <w:color w:val="auto"/>
          <w:sz w:val="24"/>
          <w:szCs w:val="24"/>
          <w:highlight w:val="none"/>
          <w:u w:val="single"/>
        </w:rPr>
        <w:t>020-84612339</w:t>
      </w:r>
    </w:p>
    <w:p w14:paraId="3222A1AD">
      <w:pPr>
        <w:topLinePunct/>
        <w:spacing w:line="360" w:lineRule="auto"/>
        <w:jc w:val="left"/>
        <w:rPr>
          <w:rFonts w:ascii="宋体" w:hAnsi="宋体" w:cs="宋体"/>
          <w:color w:val="auto"/>
          <w:kern w:val="0"/>
          <w:sz w:val="24"/>
          <w:highlight w:val="none"/>
        </w:rPr>
      </w:pPr>
      <w:r>
        <w:rPr>
          <w:rFonts w:ascii="宋体" w:hAnsi="宋体" w:cs="宋体"/>
          <w:color w:val="auto"/>
          <w:kern w:val="0"/>
          <w:sz w:val="24"/>
          <w:highlight w:val="none"/>
        </w:rPr>
        <w:br w:type="page"/>
      </w:r>
      <w:r>
        <w:rPr>
          <w:rFonts w:hint="eastAsia" w:ascii="宋体" w:hAnsi="宋体" w:cs="宋体"/>
          <w:color w:val="auto"/>
          <w:kern w:val="0"/>
          <w:sz w:val="24"/>
          <w:highlight w:val="none"/>
        </w:rPr>
        <w:t>附件一：</w:t>
      </w:r>
    </w:p>
    <w:p w14:paraId="3322268D">
      <w:pPr>
        <w:widowControl/>
        <w:snapToGrid w:val="0"/>
        <w:spacing w:before="260" w:after="260" w:line="360" w:lineRule="auto"/>
        <w:ind w:right="384"/>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投标人声明</w:t>
      </w:r>
    </w:p>
    <w:p w14:paraId="5741E277">
      <w:pPr>
        <w:shd w:val="clear" w:color="auto" w:fill="FFFFFF"/>
        <w:spacing w:line="360" w:lineRule="auto"/>
        <w:ind w:left="-2" w:leftChars="-1" w:firstLine="1"/>
        <w:rPr>
          <w:rFonts w:ascii="仿宋" w:hAnsi="仿宋" w:eastAsia="仿宋"/>
          <w:color w:val="auto"/>
          <w:sz w:val="32"/>
          <w:szCs w:val="32"/>
          <w:highlight w:val="none"/>
        </w:rPr>
      </w:pPr>
      <w:r>
        <w:rPr>
          <w:rFonts w:hint="eastAsia" w:ascii="宋体" w:hAnsi="宋体" w:cs="宋体"/>
          <w:color w:val="auto"/>
          <w:sz w:val="24"/>
          <w:szCs w:val="24"/>
          <w:highlight w:val="none"/>
          <w:lang w:val="zh-CN"/>
        </w:rPr>
        <w:t>广州市番禺区基本建设投资管理中心</w:t>
      </w:r>
      <w:r>
        <w:rPr>
          <w:rFonts w:hint="eastAsia" w:ascii="仿宋" w:hAnsi="仿宋" w:eastAsia="仿宋"/>
          <w:color w:val="auto"/>
          <w:sz w:val="32"/>
          <w:szCs w:val="32"/>
          <w:highlight w:val="none"/>
        </w:rPr>
        <w:t>：</w:t>
      </w:r>
    </w:p>
    <w:p w14:paraId="62B2A8C5">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本公司就参加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投标工作，作出郑重声明：</w:t>
      </w:r>
    </w:p>
    <w:p w14:paraId="0298C5CF">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14847A67">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二、本公司保证在本项目投标中不与其他单位围标、串标，不出让投标资格，不向招标人或评标委员会成员行贿。</w:t>
      </w:r>
    </w:p>
    <w:p w14:paraId="364A2D80">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本公司未被纳入联合惩戒范围；本公司近两年（</w:t>
      </w:r>
      <w:r>
        <w:rPr>
          <w:rFonts w:hint="eastAsia" w:ascii="宋体" w:hAnsi="宋体" w:cs="宋体"/>
          <w:color w:val="auto"/>
          <w:sz w:val="24"/>
          <w:szCs w:val="24"/>
          <w:highlight w:val="none"/>
        </w:rPr>
        <w:t>从202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年1月1日起至投标截止时间止</w:t>
      </w:r>
      <w:r>
        <w:rPr>
          <w:rFonts w:hint="eastAsia" w:ascii="宋体" w:hAnsi="宋体"/>
          <w:color w:val="auto"/>
          <w:sz w:val="24"/>
          <w:szCs w:val="24"/>
          <w:highlight w:val="none"/>
        </w:rPr>
        <w:t>）未因以往</w:t>
      </w:r>
      <w:r>
        <w:rPr>
          <w:rFonts w:hint="eastAsia" w:ascii="宋体" w:hAnsi="宋体"/>
          <w:color w:val="auto"/>
          <w:sz w:val="24"/>
          <w:szCs w:val="24"/>
          <w:highlight w:val="none"/>
          <w:lang w:eastAsia="zh-CN"/>
        </w:rPr>
        <w:t>监测</w:t>
      </w:r>
      <w:r>
        <w:rPr>
          <w:rFonts w:hint="eastAsia" w:ascii="宋体" w:hAnsi="宋体"/>
          <w:color w:val="auto"/>
          <w:sz w:val="24"/>
          <w:szCs w:val="24"/>
          <w:highlight w:val="none"/>
        </w:rPr>
        <w:t>工作中存在伪造</w:t>
      </w:r>
      <w:r>
        <w:rPr>
          <w:rFonts w:hint="eastAsia" w:ascii="宋体" w:hAnsi="宋体"/>
          <w:color w:val="auto"/>
          <w:sz w:val="24"/>
          <w:szCs w:val="24"/>
          <w:highlight w:val="none"/>
          <w:lang w:eastAsia="zh-CN"/>
        </w:rPr>
        <w:t>监测</w:t>
      </w:r>
      <w:r>
        <w:rPr>
          <w:rFonts w:hint="eastAsia" w:ascii="宋体" w:hAnsi="宋体"/>
          <w:color w:val="auto"/>
          <w:sz w:val="24"/>
          <w:szCs w:val="24"/>
          <w:highlight w:val="none"/>
        </w:rPr>
        <w:t>数据、出具虚假</w:t>
      </w:r>
      <w:r>
        <w:rPr>
          <w:rFonts w:hint="eastAsia" w:ascii="宋体" w:hAnsi="宋体"/>
          <w:color w:val="auto"/>
          <w:sz w:val="24"/>
          <w:szCs w:val="24"/>
          <w:highlight w:val="none"/>
          <w:lang w:eastAsia="zh-CN"/>
        </w:rPr>
        <w:t>监测</w:t>
      </w:r>
      <w:r>
        <w:rPr>
          <w:rFonts w:hint="eastAsia" w:ascii="宋体" w:hAnsi="宋体"/>
          <w:color w:val="auto"/>
          <w:sz w:val="24"/>
          <w:szCs w:val="24"/>
          <w:highlight w:val="none"/>
        </w:rPr>
        <w:t>报告的行为被各级建设行政主管部门或市场监督管理部门行政处罚或通报的。</w:t>
      </w:r>
    </w:p>
    <w:p w14:paraId="39B04583">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四、本公司不存在招标文件第二章投标人须知第1.4.3项所规定的任何一种情形。</w:t>
      </w:r>
    </w:p>
    <w:p w14:paraId="53B96D73">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 xml:space="preserve">五、本公司不为招标人不具有独立法人资格的附属机构（单位），不存在与招标人存在利害关系且可能影响招标公正性；本公司及其有隶属关系的机构没有参加本项目的设计、前期工作（若本公司为设计、前期工作服务机构参加本次投标，应将本公告发布前完成的工作成果（含电子文件）在招标答疑期间同时提供给所有投标人参考，否则设计、前期参与的服务机构中标无效）、招标文件编写、监理工作；本公司与承担本招标项目代建单位（适用于有代建单位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 </w:t>
      </w:r>
    </w:p>
    <w:p w14:paraId="7F7784AA">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六、与本公司单位负责人为同一人或者与本公司存在控股、管理关系的其他单位包括</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。（注：本条由投标人如实填写，如有，应列出全部满足招标公告资质要求的相关单位的名称；如无，则填写“无”。）</w:t>
      </w:r>
    </w:p>
    <w:p w14:paraId="775CD7B7">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七、本公司承诺，中标后严格执行安全生产相关管理规定。</w:t>
      </w:r>
    </w:p>
    <w:p w14:paraId="0ED2E5EF">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70D277A5">
      <w:pPr>
        <w:spacing w:line="360" w:lineRule="auto"/>
        <w:ind w:firstLine="484" w:firstLineChars="202"/>
        <w:rPr>
          <w:rFonts w:ascii="宋体" w:hAnsi="宋体"/>
          <w:color w:val="auto"/>
          <w:sz w:val="24"/>
          <w:szCs w:val="24"/>
          <w:highlight w:val="none"/>
        </w:rPr>
      </w:pPr>
      <w:r>
        <w:rPr>
          <w:rFonts w:hint="eastAsia" w:ascii="宋体" w:hAnsi="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387C25CB">
      <w:pPr>
        <w:spacing w:line="360" w:lineRule="auto"/>
        <w:ind w:firstLine="484" w:firstLineChars="202"/>
        <w:rPr>
          <w:rFonts w:ascii="宋体" w:hAnsi="宋体"/>
          <w:color w:val="auto"/>
          <w:highlight w:val="none"/>
        </w:rPr>
      </w:pPr>
      <w:r>
        <w:rPr>
          <w:rFonts w:hint="eastAsia" w:ascii="宋体" w:hAnsi="宋体"/>
          <w:color w:val="auto"/>
          <w:sz w:val="24"/>
          <w:szCs w:val="24"/>
          <w:highlight w:val="none"/>
        </w:rPr>
        <w:t>特此声明。</w:t>
      </w:r>
    </w:p>
    <w:p w14:paraId="04775948">
      <w:pPr>
        <w:pStyle w:val="13"/>
        <w:adjustRightInd w:val="0"/>
        <w:snapToGrid w:val="0"/>
        <w:ind w:firstLine="0"/>
        <w:rPr>
          <w:rFonts w:ascii="宋体" w:hAnsi="宋体" w:eastAsia="宋体"/>
          <w:color w:val="auto"/>
          <w:sz w:val="24"/>
          <w:szCs w:val="24"/>
          <w:highlight w:val="none"/>
        </w:rPr>
      </w:pPr>
    </w:p>
    <w:p w14:paraId="5A715E86">
      <w:pPr>
        <w:pStyle w:val="13"/>
        <w:adjustRightInd w:val="0"/>
        <w:snapToGrid w:val="0"/>
        <w:ind w:right="-35" w:firstLine="4819" w:firstLineChars="2008"/>
        <w:jc w:val="left"/>
        <w:rPr>
          <w:rFonts w:ascii="宋体" w:hAnsi="宋体" w:eastAsia="宋体"/>
          <w:color w:val="auto"/>
          <w:sz w:val="24"/>
          <w:szCs w:val="24"/>
          <w:highlight w:val="none"/>
        </w:rPr>
      </w:pPr>
      <w:r>
        <w:rPr>
          <w:rFonts w:hint="eastAsia" w:ascii="宋体" w:hAnsi="宋体" w:eastAsia="宋体"/>
          <w:color w:val="auto"/>
          <w:sz w:val="24"/>
          <w:szCs w:val="24"/>
          <w:highlight w:val="none"/>
        </w:rPr>
        <w:t>投标单位（盖公章）：</w:t>
      </w:r>
    </w:p>
    <w:p w14:paraId="36A65425">
      <w:pPr>
        <w:pStyle w:val="13"/>
        <w:adjustRightInd w:val="0"/>
        <w:snapToGrid w:val="0"/>
        <w:ind w:right="-35" w:firstLine="3832" w:firstLineChars="1597"/>
        <w:jc w:val="left"/>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法定代表人或授权委托人（签字或盖章）：</w:t>
      </w:r>
    </w:p>
    <w:p w14:paraId="5E86776C">
      <w:pPr>
        <w:widowControl/>
        <w:spacing w:line="360" w:lineRule="auto"/>
        <w:jc w:val="center"/>
        <w:rPr>
          <w:rFonts w:ascii="宋体" w:hAnsi="宋体" w:cs="宋体"/>
          <w:b/>
          <w:bCs/>
          <w:color w:val="auto"/>
          <w:kern w:val="0"/>
          <w:szCs w:val="21"/>
          <w:highlight w:val="none"/>
        </w:rPr>
      </w:pPr>
      <w:r>
        <w:rPr>
          <w:rFonts w:hint="eastAsia" w:ascii="宋体" w:hAnsi="宋体"/>
          <w:color w:val="auto"/>
          <w:sz w:val="24"/>
          <w:szCs w:val="24"/>
          <w:highlight w:val="none"/>
        </w:rPr>
        <w:t xml:space="preserve">                       日  期：    年   月   日</w:t>
      </w:r>
    </w:p>
    <w:p w14:paraId="7DD5C9C0">
      <w:pPr>
        <w:widowControl/>
        <w:snapToGrid w:val="0"/>
        <w:spacing w:before="260" w:after="260" w:line="360" w:lineRule="auto"/>
        <w:ind w:right="384"/>
        <w:jc w:val="left"/>
        <w:rPr>
          <w:rFonts w:ascii="宋体" w:hAnsi="宋体"/>
          <w:b/>
          <w:color w:val="auto"/>
          <w:highlight w:val="none"/>
        </w:rPr>
      </w:pPr>
      <w:r>
        <w:rPr>
          <w:rFonts w:ascii="宋体" w:hAnsi="宋体" w:cs="宋体"/>
          <w:color w:val="auto"/>
          <w:sz w:val="24"/>
          <w:szCs w:val="24"/>
          <w:highlight w:val="none"/>
        </w:rPr>
        <w:br w:type="page"/>
      </w:r>
      <w:r>
        <w:rPr>
          <w:rFonts w:hint="eastAsia" w:ascii="宋体" w:hAnsi="宋体"/>
          <w:b/>
          <w:color w:val="auto"/>
          <w:highlight w:val="none"/>
        </w:rPr>
        <w:t>附件二：</w:t>
      </w:r>
    </w:p>
    <w:p w14:paraId="2E924B0B">
      <w:pPr>
        <w:widowControl/>
        <w:snapToGrid w:val="0"/>
        <w:spacing w:before="260" w:after="260" w:line="360" w:lineRule="auto"/>
        <w:ind w:right="384"/>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投标承诺函</w:t>
      </w:r>
    </w:p>
    <w:p w14:paraId="3FEEB381">
      <w:pPr>
        <w:adjustRightInd w:val="0"/>
        <w:snapToGrid w:val="0"/>
        <w:spacing w:line="360" w:lineRule="auto"/>
        <w:jc w:val="center"/>
        <w:rPr>
          <w:rFonts w:ascii="宋体" w:hAnsi="宋体" w:cs="宋体"/>
          <w:b/>
          <w:color w:val="auto"/>
          <w:sz w:val="32"/>
          <w:highlight w:val="none"/>
        </w:rPr>
      </w:pPr>
    </w:p>
    <w:p w14:paraId="7CFD3962">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致：</w:t>
      </w:r>
    </w:p>
    <w:p w14:paraId="76D16CF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经认真研究</w:t>
      </w: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的招标公告要求，现郑重承诺：</w:t>
      </w:r>
    </w:p>
    <w:p w14:paraId="517A5B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我方一旦中标，跟本项目相关的施工承包方委托的相关</w:t>
      </w:r>
      <w:r>
        <w:rPr>
          <w:rFonts w:hint="eastAsia" w:ascii="宋体" w:hAnsi="宋体" w:cs="宋体"/>
          <w:color w:val="auto"/>
          <w:sz w:val="24"/>
          <w:highlight w:val="none"/>
          <w:lang w:eastAsia="zh-CN"/>
        </w:rPr>
        <w:t>监测</w:t>
      </w:r>
      <w:r>
        <w:rPr>
          <w:rFonts w:hint="eastAsia" w:ascii="宋体" w:hAnsi="宋体" w:cs="宋体"/>
          <w:color w:val="auto"/>
          <w:sz w:val="24"/>
          <w:highlight w:val="none"/>
        </w:rPr>
        <w:t>业务均不再承接。</w:t>
      </w:r>
    </w:p>
    <w:p w14:paraId="274E03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A42EB5D">
      <w:pPr>
        <w:adjustRightInd w:val="0"/>
        <w:snapToGrid w:val="0"/>
        <w:spacing w:line="360" w:lineRule="auto"/>
        <w:ind w:right="482" w:firstLine="3960" w:firstLineChars="1650"/>
        <w:rPr>
          <w:rFonts w:ascii="宋体" w:hAnsi="宋体" w:cs="宋体"/>
          <w:color w:val="auto"/>
          <w:sz w:val="24"/>
          <w:highlight w:val="none"/>
        </w:rPr>
      </w:pPr>
    </w:p>
    <w:p w14:paraId="08581847">
      <w:pPr>
        <w:adjustRightInd w:val="0"/>
        <w:snapToGrid w:val="0"/>
        <w:spacing w:line="360" w:lineRule="auto"/>
        <w:ind w:right="482" w:firstLine="3960" w:firstLineChars="1650"/>
        <w:rPr>
          <w:rFonts w:ascii="宋体" w:hAnsi="宋体" w:cs="宋体"/>
          <w:color w:val="auto"/>
          <w:sz w:val="24"/>
          <w:highlight w:val="none"/>
        </w:rPr>
      </w:pPr>
    </w:p>
    <w:p w14:paraId="069A3F5B">
      <w:pPr>
        <w:adjustRightInd w:val="0"/>
        <w:snapToGrid w:val="0"/>
        <w:spacing w:line="360" w:lineRule="auto"/>
        <w:ind w:right="482" w:firstLine="3960" w:firstLineChars="1650"/>
        <w:rPr>
          <w:rFonts w:ascii="宋体" w:hAnsi="宋体" w:cs="宋体"/>
          <w:color w:val="auto"/>
          <w:sz w:val="24"/>
          <w:highlight w:val="none"/>
        </w:rPr>
      </w:pPr>
    </w:p>
    <w:p w14:paraId="341022B5">
      <w:pPr>
        <w:wordWrap w:val="0"/>
        <w:spacing w:line="360" w:lineRule="auto"/>
        <w:ind w:firstLine="3240" w:firstLineChars="1350"/>
        <w:jc w:val="right"/>
        <w:rPr>
          <w:rFonts w:ascii="宋体" w:hAnsi="宋体"/>
          <w:color w:val="auto"/>
          <w:sz w:val="24"/>
          <w:highlight w:val="none"/>
        </w:rPr>
      </w:pPr>
      <w:r>
        <w:rPr>
          <w:rFonts w:hint="eastAsia" w:ascii="宋体" w:hAnsi="宋体"/>
          <w:color w:val="auto"/>
          <w:sz w:val="24"/>
          <w:highlight w:val="none"/>
        </w:rPr>
        <w:t>投标申请人：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79A96DDB">
      <w:pPr>
        <w:spacing w:line="360" w:lineRule="auto"/>
        <w:ind w:firstLine="3240" w:firstLineChars="1350"/>
        <w:jc w:val="right"/>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r>
        <w:rPr>
          <w:rFonts w:hint="eastAsia"/>
          <w:color w:val="auto"/>
          <w:sz w:val="24"/>
          <w:highlight w:val="none"/>
        </w:rPr>
        <w:t>或盖章</w:t>
      </w:r>
      <w:r>
        <w:rPr>
          <w:rFonts w:hint="eastAsia" w:ascii="宋体" w:hAnsi="宋体"/>
          <w:color w:val="auto"/>
          <w:sz w:val="24"/>
          <w:highlight w:val="none"/>
        </w:rPr>
        <w:t>）</w:t>
      </w:r>
    </w:p>
    <w:p w14:paraId="20A3FC00">
      <w:pPr>
        <w:spacing w:line="360" w:lineRule="auto"/>
        <w:jc w:val="right"/>
        <w:rPr>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FDF22F2">
      <w:pPr>
        <w:pStyle w:val="13"/>
        <w:ind w:left="-2" w:leftChars="-1" w:firstLine="1"/>
        <w:jc w:val="right"/>
        <w:rPr>
          <w:rFonts w:ascii="宋体" w:hAnsi="宋体" w:eastAsia="宋体" w:cs="宋体"/>
          <w:color w:val="auto"/>
          <w:sz w:val="24"/>
          <w:szCs w:val="24"/>
          <w:highlight w:val="none"/>
        </w:rPr>
      </w:pPr>
    </w:p>
    <w:p w14:paraId="2CBFD57C">
      <w:pPr>
        <w:widowControl/>
        <w:snapToGrid w:val="0"/>
        <w:spacing w:line="360" w:lineRule="auto"/>
        <w:ind w:right="384"/>
        <w:rPr>
          <w:rFonts w:ascii="宋体" w:hAnsi="宋体" w:cs="宋体"/>
          <w:b/>
          <w:bCs/>
          <w:color w:val="auto"/>
          <w:sz w:val="24"/>
          <w:szCs w:val="24"/>
          <w:highlight w:val="none"/>
        </w:rPr>
      </w:pPr>
      <w:r>
        <w:rPr>
          <w:rFonts w:ascii="宋体" w:hAnsi="宋体" w:cs="宋体"/>
          <w:color w:val="auto"/>
          <w:sz w:val="24"/>
          <w:szCs w:val="24"/>
          <w:highlight w:val="none"/>
        </w:rPr>
        <w:br w:type="page"/>
      </w:r>
      <w:r>
        <w:rPr>
          <w:rFonts w:hint="eastAsia" w:ascii="宋体" w:hAnsi="宋体" w:cs="宋体"/>
          <w:b/>
          <w:bCs/>
          <w:color w:val="auto"/>
          <w:sz w:val="24"/>
          <w:szCs w:val="24"/>
          <w:highlight w:val="none"/>
        </w:rPr>
        <w:t>附件三：</w:t>
      </w:r>
      <w:bookmarkStart w:id="42" w:name="_Toc22643"/>
      <w:bookmarkStart w:id="43" w:name="_Toc12111"/>
    </w:p>
    <w:bookmarkEnd w:id="42"/>
    <w:bookmarkEnd w:id="43"/>
    <w:p w14:paraId="2EA4D71D">
      <w:pPr>
        <w:widowControl/>
        <w:snapToGrid w:val="0"/>
        <w:spacing w:after="260" w:line="360" w:lineRule="auto"/>
        <w:ind w:right="386"/>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联合体协议书</w:t>
      </w:r>
    </w:p>
    <w:p w14:paraId="109A541E">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u w:val="single"/>
        </w:rPr>
        <w:t xml:space="preserve">                  </w:t>
      </w:r>
      <w:r>
        <w:rPr>
          <w:rFonts w:hint="eastAsia" w:ascii="宋体" w:hAnsi="宋体"/>
          <w:color w:val="auto"/>
          <w:highlight w:val="none"/>
        </w:rPr>
        <w:t>（联合体所有单位名称）自愿组成</w:t>
      </w:r>
      <w:r>
        <w:rPr>
          <w:rFonts w:hint="eastAsia" w:ascii="宋体" w:hAnsi="宋体"/>
          <w:color w:val="auto"/>
          <w:szCs w:val="21"/>
          <w:highlight w:val="none"/>
          <w:u w:val="single"/>
        </w:rPr>
        <w:t xml:space="preserve">           </w:t>
      </w:r>
      <w:r>
        <w:rPr>
          <w:rFonts w:hint="eastAsia" w:ascii="宋体" w:hAnsi="宋体"/>
          <w:color w:val="auto"/>
          <w:highlight w:val="none"/>
        </w:rPr>
        <w:t>（联合体名称）联合体，共同参加</w:t>
      </w:r>
      <w:r>
        <w:rPr>
          <w:rFonts w:hint="eastAsia" w:ascii="宋体" w:hAnsi="宋体"/>
          <w:color w:val="auto"/>
          <w:szCs w:val="21"/>
          <w:highlight w:val="none"/>
          <w:u w:val="single"/>
        </w:rPr>
        <w:t xml:space="preserve">             </w:t>
      </w:r>
      <w:r>
        <w:rPr>
          <w:rFonts w:hint="eastAsia" w:ascii="宋体" w:hAnsi="宋体"/>
          <w:color w:val="auto"/>
          <w:highlight w:val="none"/>
          <w:u w:val="single"/>
        </w:rPr>
        <w:t xml:space="preserve">（项目名称）      </w:t>
      </w:r>
      <w:r>
        <w:rPr>
          <w:rFonts w:hint="eastAsia" w:ascii="宋体" w:hAnsi="宋体"/>
          <w:color w:val="auto"/>
          <w:highlight w:val="none"/>
        </w:rPr>
        <w:t>招标项目投标。现就联合体投标事宜订立如下协议。</w:t>
      </w:r>
    </w:p>
    <w:p w14:paraId="6A008031">
      <w:pPr>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1. </w:t>
      </w:r>
      <w:r>
        <w:rPr>
          <w:rFonts w:hint="eastAsia" w:ascii="宋体" w:hAnsi="宋体"/>
          <w:color w:val="auto"/>
          <w:szCs w:val="21"/>
          <w:highlight w:val="none"/>
          <w:u w:val="single"/>
        </w:rPr>
        <w:t xml:space="preserve">             </w:t>
      </w:r>
      <w:r>
        <w:rPr>
          <w:rFonts w:hint="eastAsia" w:ascii="宋体" w:hAnsi="宋体"/>
          <w:color w:val="auto"/>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highlight w:val="none"/>
        </w:rPr>
        <w:t>（联合体名称）</w:t>
      </w:r>
      <w:r>
        <w:rPr>
          <w:rFonts w:hint="eastAsia" w:ascii="宋体" w:hAnsi="宋体" w:cs="宋体"/>
          <w:color w:val="auto"/>
          <w:highlight w:val="none"/>
        </w:rPr>
        <w:t>主办方</w:t>
      </w:r>
      <w:r>
        <w:rPr>
          <w:rFonts w:hint="eastAsia" w:ascii="宋体" w:hAnsi="宋体"/>
          <w:color w:val="auto"/>
          <w:highlight w:val="none"/>
        </w:rPr>
        <w:t>。</w:t>
      </w:r>
    </w:p>
    <w:p w14:paraId="58CCB657">
      <w:pPr>
        <w:snapToGrid w:val="0"/>
        <w:spacing w:line="360" w:lineRule="auto"/>
        <w:ind w:firstLine="420" w:firstLineChars="200"/>
        <w:rPr>
          <w:rFonts w:ascii="宋体" w:hAnsi="宋体"/>
          <w:color w:val="auto"/>
          <w:highlight w:val="none"/>
        </w:rPr>
      </w:pPr>
      <w:r>
        <w:rPr>
          <w:rFonts w:hint="eastAsia" w:ascii="宋体" w:hAnsi="宋体"/>
          <w:color w:val="auto"/>
          <w:highlight w:val="none"/>
        </w:rPr>
        <w:t>2. 联合体各成员授权主办方代表联合体参加投标活动，签署文件，提交和接收相关的资料、信息及指示，进行合同谈判活动，负责合同实施阶段的组织和协调工作，以及处理与本招标项目有关的一切事宜。合同价款的支付由联合体主办方统一申报，招标人向联合体主办方支付合同价款。</w:t>
      </w:r>
    </w:p>
    <w:p w14:paraId="6E4A3CA6">
      <w:pPr>
        <w:snapToGrid w:val="0"/>
        <w:spacing w:line="360" w:lineRule="auto"/>
        <w:ind w:firstLine="420" w:firstLineChars="200"/>
        <w:rPr>
          <w:rFonts w:ascii="宋体" w:hAnsi="宋体"/>
          <w:color w:val="auto"/>
          <w:highlight w:val="none"/>
        </w:rPr>
      </w:pPr>
      <w:r>
        <w:rPr>
          <w:rFonts w:hint="eastAsia" w:ascii="宋体" w:hAnsi="宋体"/>
          <w:color w:val="auto"/>
          <w:highlight w:val="none"/>
        </w:rPr>
        <w:t>3. 联合体主办方在本项目中签署的一切文件和处理的一切事宜，联合体各成员均予以承认。联合体各成员将严格按照招标文件、投标文件和合同的要求全面履行义务，并向招标人承担连带责任。</w:t>
      </w:r>
    </w:p>
    <w:p w14:paraId="36B14F17">
      <w:pPr>
        <w:snapToGrid w:val="0"/>
        <w:spacing w:line="360" w:lineRule="auto"/>
        <w:ind w:firstLine="420" w:firstLineChars="200"/>
        <w:rPr>
          <w:rFonts w:ascii="宋体" w:hAnsi="宋体"/>
          <w:color w:val="auto"/>
          <w:szCs w:val="21"/>
          <w:highlight w:val="none"/>
          <w:u w:val="single"/>
        </w:rPr>
      </w:pPr>
      <w:r>
        <w:rPr>
          <w:rFonts w:hint="eastAsia" w:ascii="宋体" w:hAnsi="宋体"/>
          <w:color w:val="auto"/>
          <w:highlight w:val="none"/>
        </w:rPr>
        <w:t>4. 联合体各成员单位内部的职责分工如下：</w:t>
      </w:r>
      <w:r>
        <w:rPr>
          <w:rFonts w:hint="eastAsia" w:ascii="宋体" w:hAnsi="宋体"/>
          <w:color w:val="auto"/>
          <w:szCs w:val="21"/>
          <w:highlight w:val="none"/>
          <w:u w:val="single"/>
        </w:rPr>
        <w:t xml:space="preserve"> </w:t>
      </w:r>
    </w:p>
    <w:p w14:paraId="636AAB75">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u w:val="single"/>
        </w:rPr>
        <w:t>①             ：</w:t>
      </w:r>
      <w:r>
        <w:rPr>
          <w:rFonts w:hint="eastAsia" w:ascii="宋体" w:hAnsi="宋体" w:cs="宋体"/>
          <w:color w:val="auto"/>
          <w:highlight w:val="none"/>
        </w:rPr>
        <w:t>为本项目的主办方，具体负责</w:t>
      </w:r>
      <w:r>
        <w:rPr>
          <w:rFonts w:hint="eastAsia" w:ascii="宋体" w:hAnsi="宋体" w:cs="宋体"/>
          <w:color w:val="auto"/>
          <w:highlight w:val="none"/>
          <w:u w:val="single"/>
        </w:rPr>
        <w:t xml:space="preserve">   （项目名称）  </w:t>
      </w:r>
      <w:r>
        <w:rPr>
          <w:rFonts w:hint="eastAsia" w:ascii="宋体" w:hAnsi="宋体" w:cs="宋体"/>
          <w:color w:val="auto"/>
          <w:highlight w:val="none"/>
        </w:rPr>
        <w:t>的</w:t>
      </w:r>
      <w:r>
        <w:rPr>
          <w:rFonts w:hint="eastAsia" w:ascii="宋体" w:hAnsi="宋体" w:cs="宋体"/>
          <w:color w:val="auto"/>
          <w:highlight w:val="none"/>
          <w:u w:val="single"/>
        </w:rPr>
        <w:t xml:space="preserve"> 计量认证业务 </w:t>
      </w:r>
      <w:r>
        <w:rPr>
          <w:rFonts w:hint="eastAsia" w:ascii="宋体" w:hAnsi="宋体" w:cs="宋体"/>
          <w:b/>
          <w:color w:val="auto"/>
          <w:highlight w:val="none"/>
          <w:u w:val="single"/>
        </w:rPr>
        <w:t>任务</w:t>
      </w:r>
      <w:r>
        <w:rPr>
          <w:rFonts w:hint="eastAsia" w:ascii="宋体" w:hAnsi="宋体" w:cs="宋体"/>
          <w:color w:val="auto"/>
          <w:highlight w:val="none"/>
        </w:rPr>
        <w:t>，还负责管理的职责。若联合体成员方违约时，主办方应承担连带责任，具体按合同要求。</w:t>
      </w:r>
    </w:p>
    <w:p w14:paraId="75825FA6">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u w:val="single"/>
        </w:rPr>
        <w:t>②             ：</w:t>
      </w:r>
      <w:r>
        <w:rPr>
          <w:rFonts w:hint="eastAsia" w:ascii="宋体" w:hAnsi="宋体" w:cs="宋体"/>
          <w:color w:val="auto"/>
          <w:highlight w:val="none"/>
        </w:rPr>
        <w:t>为本项目的成员方，具体负责</w:t>
      </w:r>
      <w:r>
        <w:rPr>
          <w:rFonts w:hint="eastAsia" w:ascii="宋体" w:hAnsi="宋体" w:cs="宋体"/>
          <w:color w:val="auto"/>
          <w:highlight w:val="none"/>
          <w:u w:val="single"/>
        </w:rPr>
        <w:t xml:space="preserve">   （项目名称）   </w:t>
      </w:r>
      <w:r>
        <w:rPr>
          <w:rFonts w:hint="eastAsia" w:ascii="宋体" w:hAnsi="宋体" w:cs="宋体"/>
          <w:color w:val="auto"/>
          <w:highlight w:val="none"/>
        </w:rPr>
        <w:t>的</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勘察业务</w:t>
      </w:r>
      <w:r>
        <w:rPr>
          <w:rFonts w:hint="eastAsia" w:ascii="宋体" w:hAnsi="宋体" w:cs="宋体"/>
          <w:color w:val="auto"/>
          <w:highlight w:val="none"/>
          <w:u w:val="single"/>
        </w:rPr>
        <w:t xml:space="preserve">  </w:t>
      </w:r>
      <w:r>
        <w:rPr>
          <w:rFonts w:hint="eastAsia" w:ascii="宋体" w:hAnsi="宋体" w:cs="宋体"/>
          <w:b/>
          <w:color w:val="auto"/>
          <w:highlight w:val="none"/>
          <w:u w:val="single"/>
        </w:rPr>
        <w:t>任务</w:t>
      </w:r>
      <w:r>
        <w:rPr>
          <w:rFonts w:hint="eastAsia" w:ascii="宋体" w:hAnsi="宋体" w:cs="宋体"/>
          <w:color w:val="auto"/>
          <w:highlight w:val="none"/>
        </w:rPr>
        <w:t>，具体按合同要求。</w:t>
      </w:r>
    </w:p>
    <w:p w14:paraId="63D7E98C">
      <w:pPr>
        <w:snapToGrid w:val="0"/>
        <w:spacing w:line="360" w:lineRule="auto"/>
        <w:ind w:firstLine="420" w:firstLineChars="200"/>
        <w:rPr>
          <w:rFonts w:ascii="宋体" w:hAnsi="宋体"/>
          <w:color w:val="auto"/>
          <w:highlight w:val="none"/>
          <w:u w:val="single"/>
        </w:rPr>
      </w:pPr>
      <w:r>
        <w:rPr>
          <w:rFonts w:hint="eastAsia" w:ascii="宋体" w:hAnsi="宋体"/>
          <w:color w:val="auto"/>
          <w:highlight w:val="none"/>
        </w:rPr>
        <w:t>5. 其他。</w:t>
      </w:r>
      <w:r>
        <w:rPr>
          <w:rFonts w:hint="eastAsia" w:ascii="宋体" w:hAnsi="宋体"/>
          <w:color w:val="auto"/>
          <w:highlight w:val="none"/>
          <w:u w:val="single"/>
        </w:rPr>
        <w:t xml:space="preserve">                    </w:t>
      </w:r>
    </w:p>
    <w:p w14:paraId="5A380DC7">
      <w:pPr>
        <w:snapToGrid w:val="0"/>
        <w:spacing w:line="360" w:lineRule="auto"/>
        <w:ind w:firstLine="420" w:firstLineChars="200"/>
        <w:rPr>
          <w:rFonts w:ascii="宋体" w:hAnsi="宋体"/>
          <w:color w:val="auto"/>
          <w:highlight w:val="none"/>
        </w:rPr>
      </w:pPr>
      <w:r>
        <w:rPr>
          <w:rFonts w:hint="eastAsia" w:ascii="宋体" w:hAnsi="宋体"/>
          <w:color w:val="auto"/>
          <w:highlight w:val="none"/>
        </w:rPr>
        <w:t>6.本协议书自所有成员单位法定代表人签字或盖单位章之日起生效，合同履行完毕后自动失效。</w:t>
      </w:r>
    </w:p>
    <w:p w14:paraId="0B2DCE56">
      <w:pPr>
        <w:snapToGrid w:val="0"/>
        <w:spacing w:line="360" w:lineRule="auto"/>
        <w:ind w:firstLine="420" w:firstLineChars="200"/>
        <w:rPr>
          <w:rFonts w:ascii="宋体" w:hAnsi="宋体"/>
          <w:color w:val="auto"/>
          <w:highlight w:val="none"/>
        </w:rPr>
      </w:pPr>
    </w:p>
    <w:p w14:paraId="78167FB3">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联合体主办方名称：</w:t>
      </w:r>
      <w:r>
        <w:rPr>
          <w:rFonts w:hint="eastAsia" w:ascii="宋体" w:hAnsi="宋体"/>
          <w:color w:val="auto"/>
          <w:szCs w:val="21"/>
          <w:highlight w:val="none"/>
          <w:u w:val="single"/>
        </w:rPr>
        <w:t xml:space="preserve">                  </w:t>
      </w:r>
      <w:r>
        <w:rPr>
          <w:rFonts w:hint="eastAsia" w:ascii="宋体" w:hAnsi="宋体"/>
          <w:color w:val="auto"/>
          <w:highlight w:val="none"/>
        </w:rPr>
        <w:t>（盖单位章）</w:t>
      </w:r>
    </w:p>
    <w:p w14:paraId="686E1272">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法定代表人：</w:t>
      </w:r>
      <w:r>
        <w:rPr>
          <w:rFonts w:hint="eastAsia" w:ascii="宋体" w:hAnsi="宋体"/>
          <w:color w:val="auto"/>
          <w:szCs w:val="21"/>
          <w:highlight w:val="none"/>
          <w:u w:val="single"/>
        </w:rPr>
        <w:t xml:space="preserve">         </w:t>
      </w:r>
      <w:r>
        <w:rPr>
          <w:rFonts w:hint="eastAsia" w:ascii="宋体" w:hAnsi="宋体"/>
          <w:color w:val="auto"/>
          <w:highlight w:val="none"/>
        </w:rPr>
        <w:t>（签字或盖章）</w:t>
      </w:r>
    </w:p>
    <w:p w14:paraId="5D758D19">
      <w:pPr>
        <w:snapToGrid w:val="0"/>
        <w:spacing w:line="360" w:lineRule="auto"/>
        <w:ind w:firstLine="3255" w:firstLineChars="1550"/>
        <w:rPr>
          <w:rFonts w:ascii="宋体" w:hAnsi="宋体"/>
          <w:color w:val="auto"/>
          <w:highlight w:val="none"/>
        </w:rPr>
      </w:pPr>
    </w:p>
    <w:p w14:paraId="1BBB8658">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联合体成员名称：</w:t>
      </w:r>
      <w:r>
        <w:rPr>
          <w:rFonts w:hint="eastAsia" w:ascii="宋体" w:hAnsi="宋体"/>
          <w:color w:val="auto"/>
          <w:szCs w:val="21"/>
          <w:highlight w:val="none"/>
          <w:u w:val="single"/>
        </w:rPr>
        <w:t xml:space="preserve">                    </w:t>
      </w:r>
      <w:r>
        <w:rPr>
          <w:rFonts w:hint="eastAsia" w:ascii="宋体" w:hAnsi="宋体"/>
          <w:color w:val="auto"/>
          <w:highlight w:val="none"/>
        </w:rPr>
        <w:t>（盖单位章）</w:t>
      </w:r>
    </w:p>
    <w:p w14:paraId="5A4EA9F2">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法定代表人：</w:t>
      </w:r>
      <w:r>
        <w:rPr>
          <w:rFonts w:hint="eastAsia" w:ascii="宋体" w:hAnsi="宋体"/>
          <w:color w:val="auto"/>
          <w:szCs w:val="21"/>
          <w:highlight w:val="none"/>
          <w:u w:val="single"/>
        </w:rPr>
        <w:t xml:space="preserve">         </w:t>
      </w:r>
      <w:r>
        <w:rPr>
          <w:rFonts w:hint="eastAsia" w:ascii="宋体" w:hAnsi="宋体"/>
          <w:color w:val="auto"/>
          <w:highlight w:val="none"/>
        </w:rPr>
        <w:t>（签字或盖章）</w:t>
      </w:r>
    </w:p>
    <w:p w14:paraId="0C99D180">
      <w:pPr>
        <w:snapToGrid w:val="0"/>
        <w:spacing w:line="360" w:lineRule="auto"/>
        <w:ind w:firstLine="3255" w:firstLineChars="1550"/>
        <w:rPr>
          <w:rFonts w:ascii="宋体" w:hAnsi="宋体"/>
          <w:color w:val="auto"/>
          <w:highlight w:val="none"/>
        </w:rPr>
      </w:pPr>
    </w:p>
    <w:p w14:paraId="43D51B50">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联合体成员名称：</w:t>
      </w:r>
      <w:r>
        <w:rPr>
          <w:rFonts w:hint="eastAsia" w:ascii="宋体" w:hAnsi="宋体"/>
          <w:color w:val="auto"/>
          <w:szCs w:val="21"/>
          <w:highlight w:val="none"/>
          <w:u w:val="single"/>
        </w:rPr>
        <w:t xml:space="preserve">                    </w:t>
      </w:r>
      <w:r>
        <w:rPr>
          <w:rFonts w:hint="eastAsia" w:ascii="宋体" w:hAnsi="宋体"/>
          <w:color w:val="auto"/>
          <w:highlight w:val="none"/>
        </w:rPr>
        <w:t>（盖单位章）</w:t>
      </w:r>
    </w:p>
    <w:p w14:paraId="52F63E52">
      <w:pPr>
        <w:snapToGrid w:val="0"/>
        <w:spacing w:line="360" w:lineRule="auto"/>
        <w:ind w:firstLine="3255" w:firstLineChars="1550"/>
        <w:rPr>
          <w:rFonts w:ascii="宋体" w:hAnsi="宋体"/>
          <w:color w:val="auto"/>
          <w:highlight w:val="none"/>
        </w:rPr>
      </w:pPr>
      <w:r>
        <w:rPr>
          <w:rFonts w:hint="eastAsia" w:ascii="宋体" w:hAnsi="宋体"/>
          <w:color w:val="auto"/>
          <w:highlight w:val="none"/>
        </w:rPr>
        <w:t>法定代表人：</w:t>
      </w:r>
      <w:r>
        <w:rPr>
          <w:rFonts w:hint="eastAsia" w:ascii="宋体" w:hAnsi="宋体"/>
          <w:color w:val="auto"/>
          <w:szCs w:val="21"/>
          <w:highlight w:val="none"/>
          <w:u w:val="single"/>
        </w:rPr>
        <w:t xml:space="preserve">         </w:t>
      </w:r>
      <w:r>
        <w:rPr>
          <w:rFonts w:hint="eastAsia" w:ascii="宋体" w:hAnsi="宋体"/>
          <w:color w:val="auto"/>
          <w:highlight w:val="none"/>
        </w:rPr>
        <w:t>（签字或盖章）</w:t>
      </w:r>
    </w:p>
    <w:p w14:paraId="1DE4CC81">
      <w:pPr>
        <w:widowControl/>
        <w:spacing w:line="360" w:lineRule="auto"/>
        <w:jc w:val="left"/>
        <w:rPr>
          <w:rFonts w:ascii="宋体" w:hAnsi="宋体" w:cs="宋体"/>
          <w:color w:val="auto"/>
          <w:sz w:val="24"/>
          <w:szCs w:val="24"/>
          <w:highlight w:val="none"/>
        </w:rPr>
      </w:pPr>
      <w:r>
        <w:rPr>
          <w:rFonts w:hint="eastAsia" w:ascii="宋体" w:hAnsi="宋体" w:cs="宋体"/>
          <w:b/>
          <w:bCs/>
          <w:color w:val="auto"/>
          <w:szCs w:val="21"/>
          <w:highlight w:val="none"/>
          <w:u w:val="single"/>
          <w:lang w:val="zh-CN"/>
        </w:rPr>
        <w:t>注：非联合体投标的，无需提交本协议书。</w:t>
      </w:r>
    </w:p>
    <w:p w14:paraId="5A33FE5B">
      <w:pPr>
        <w:rPr>
          <w:color w:val="auto"/>
          <w:highlight w:val="none"/>
        </w:rPr>
      </w:pPr>
    </w:p>
    <w:sectPr>
      <w:footerReference r:id="rId3" w:type="default"/>
      <w:pgSz w:w="11906" w:h="16838"/>
      <w:pgMar w:top="1440" w:right="1800"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5732">
    <w:pPr>
      <w:pStyle w:val="7"/>
      <w:jc w:val="center"/>
    </w:pPr>
    <w:r>
      <w:fldChar w:fldCharType="begin"/>
    </w:r>
    <w:r>
      <w:instrText xml:space="preserve">PAGE   \* MERGEFORMAT</w:instrText>
    </w:r>
    <w:r>
      <w:fldChar w:fldCharType="separate"/>
    </w:r>
    <w:r>
      <w:rPr>
        <w:lang w:val="zh-CN"/>
      </w:rPr>
      <w:t>1</w:t>
    </w:r>
    <w:r>
      <w:fldChar w:fldCharType="end"/>
    </w:r>
  </w:p>
  <w:p w14:paraId="4BFA5C4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F1101"/>
    <w:multiLevelType w:val="singleLevel"/>
    <w:tmpl w:val="2C8F1101"/>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zA2ZDAzMjI2Mzg3ZDdjN2IzMmRjNmU0OWIyNGIifQ=="/>
  </w:docVars>
  <w:rsids>
    <w:rsidRoot w:val="00172A27"/>
    <w:rsid w:val="000035BA"/>
    <w:rsid w:val="00007DB4"/>
    <w:rsid w:val="00093168"/>
    <w:rsid w:val="00093440"/>
    <w:rsid w:val="000A3BCF"/>
    <w:rsid w:val="000F3F60"/>
    <w:rsid w:val="00106D46"/>
    <w:rsid w:val="00115897"/>
    <w:rsid w:val="00240308"/>
    <w:rsid w:val="00287709"/>
    <w:rsid w:val="002F648D"/>
    <w:rsid w:val="0035377F"/>
    <w:rsid w:val="00353D61"/>
    <w:rsid w:val="003D64E2"/>
    <w:rsid w:val="00495EB3"/>
    <w:rsid w:val="00664DC7"/>
    <w:rsid w:val="00675481"/>
    <w:rsid w:val="0074103C"/>
    <w:rsid w:val="008176A6"/>
    <w:rsid w:val="008824EB"/>
    <w:rsid w:val="00892182"/>
    <w:rsid w:val="00893D07"/>
    <w:rsid w:val="00981E1B"/>
    <w:rsid w:val="00AA5DEB"/>
    <w:rsid w:val="00AC5B4F"/>
    <w:rsid w:val="00AC69B5"/>
    <w:rsid w:val="00C66AB1"/>
    <w:rsid w:val="00D7384B"/>
    <w:rsid w:val="00D90DB0"/>
    <w:rsid w:val="00DF5B58"/>
    <w:rsid w:val="00F01AAF"/>
    <w:rsid w:val="00FD6991"/>
    <w:rsid w:val="00FF732F"/>
    <w:rsid w:val="01141165"/>
    <w:rsid w:val="015772D3"/>
    <w:rsid w:val="0194674A"/>
    <w:rsid w:val="01CC7C92"/>
    <w:rsid w:val="038C76D9"/>
    <w:rsid w:val="04BC781C"/>
    <w:rsid w:val="062A142B"/>
    <w:rsid w:val="064F49ED"/>
    <w:rsid w:val="06D33870"/>
    <w:rsid w:val="07351E35"/>
    <w:rsid w:val="073B0A10"/>
    <w:rsid w:val="074B3C28"/>
    <w:rsid w:val="09153CCC"/>
    <w:rsid w:val="097906FF"/>
    <w:rsid w:val="0A5E78F5"/>
    <w:rsid w:val="0B330D82"/>
    <w:rsid w:val="0C5B40EC"/>
    <w:rsid w:val="0C913FB2"/>
    <w:rsid w:val="0CB437FC"/>
    <w:rsid w:val="0DBA3094"/>
    <w:rsid w:val="0DC66D05"/>
    <w:rsid w:val="0DED6FC6"/>
    <w:rsid w:val="0ECA37AB"/>
    <w:rsid w:val="0F3550C8"/>
    <w:rsid w:val="0FBA54F5"/>
    <w:rsid w:val="102869DB"/>
    <w:rsid w:val="10525806"/>
    <w:rsid w:val="107B2FAF"/>
    <w:rsid w:val="10B169D0"/>
    <w:rsid w:val="10CA5CE4"/>
    <w:rsid w:val="11117349"/>
    <w:rsid w:val="11963E18"/>
    <w:rsid w:val="11B20C52"/>
    <w:rsid w:val="12B72298"/>
    <w:rsid w:val="13B660AC"/>
    <w:rsid w:val="144622A5"/>
    <w:rsid w:val="14A57E39"/>
    <w:rsid w:val="15931EA1"/>
    <w:rsid w:val="18754787"/>
    <w:rsid w:val="19F4792E"/>
    <w:rsid w:val="1AE71241"/>
    <w:rsid w:val="1B917B2A"/>
    <w:rsid w:val="1B9F38C9"/>
    <w:rsid w:val="1BF158DB"/>
    <w:rsid w:val="1DA11B7B"/>
    <w:rsid w:val="1DE2466D"/>
    <w:rsid w:val="1E62130A"/>
    <w:rsid w:val="1E75095D"/>
    <w:rsid w:val="1EC17CBE"/>
    <w:rsid w:val="1FB77434"/>
    <w:rsid w:val="1FCC2C40"/>
    <w:rsid w:val="1FD04999"/>
    <w:rsid w:val="1FE91D68"/>
    <w:rsid w:val="1FF80C30"/>
    <w:rsid w:val="20586E69"/>
    <w:rsid w:val="20DF30E6"/>
    <w:rsid w:val="2129610F"/>
    <w:rsid w:val="214271D1"/>
    <w:rsid w:val="21507B40"/>
    <w:rsid w:val="21A13680"/>
    <w:rsid w:val="21F91F85"/>
    <w:rsid w:val="227C6712"/>
    <w:rsid w:val="23496F3C"/>
    <w:rsid w:val="237B5CFB"/>
    <w:rsid w:val="256A4F48"/>
    <w:rsid w:val="258F5050"/>
    <w:rsid w:val="25E92311"/>
    <w:rsid w:val="26CF1507"/>
    <w:rsid w:val="2714291F"/>
    <w:rsid w:val="27C70430"/>
    <w:rsid w:val="27E12A8E"/>
    <w:rsid w:val="28C22244"/>
    <w:rsid w:val="29C15A7E"/>
    <w:rsid w:val="29F86FC6"/>
    <w:rsid w:val="2A2744D6"/>
    <w:rsid w:val="2B96312A"/>
    <w:rsid w:val="2C1C3440"/>
    <w:rsid w:val="2CD86C3B"/>
    <w:rsid w:val="2CEA52EC"/>
    <w:rsid w:val="2D0B7011"/>
    <w:rsid w:val="2EFA10EB"/>
    <w:rsid w:val="2F2666CA"/>
    <w:rsid w:val="2FE06533"/>
    <w:rsid w:val="302723B3"/>
    <w:rsid w:val="3058256D"/>
    <w:rsid w:val="30662EDC"/>
    <w:rsid w:val="325B6344"/>
    <w:rsid w:val="327B2543"/>
    <w:rsid w:val="32F6606D"/>
    <w:rsid w:val="33095DA0"/>
    <w:rsid w:val="335A2AA0"/>
    <w:rsid w:val="386F66A6"/>
    <w:rsid w:val="39070FD4"/>
    <w:rsid w:val="39290F4A"/>
    <w:rsid w:val="396F26D5"/>
    <w:rsid w:val="3AA30888"/>
    <w:rsid w:val="3B023801"/>
    <w:rsid w:val="3BAC5E63"/>
    <w:rsid w:val="3C7A1ABD"/>
    <w:rsid w:val="3D023E34"/>
    <w:rsid w:val="3EAF3CA0"/>
    <w:rsid w:val="3FFF47B3"/>
    <w:rsid w:val="400C5122"/>
    <w:rsid w:val="40640ABA"/>
    <w:rsid w:val="40B05AAD"/>
    <w:rsid w:val="40B25CC9"/>
    <w:rsid w:val="414C7ECC"/>
    <w:rsid w:val="42224789"/>
    <w:rsid w:val="42300837"/>
    <w:rsid w:val="42F55412"/>
    <w:rsid w:val="442962A2"/>
    <w:rsid w:val="445826E4"/>
    <w:rsid w:val="45062140"/>
    <w:rsid w:val="454848BC"/>
    <w:rsid w:val="45BD7C6C"/>
    <w:rsid w:val="471631B0"/>
    <w:rsid w:val="491868E5"/>
    <w:rsid w:val="4953791E"/>
    <w:rsid w:val="4A565F4F"/>
    <w:rsid w:val="4A8E6E5F"/>
    <w:rsid w:val="4AE178D7"/>
    <w:rsid w:val="4B0C4228"/>
    <w:rsid w:val="4BCA036B"/>
    <w:rsid w:val="4D3C7046"/>
    <w:rsid w:val="4DE44FE8"/>
    <w:rsid w:val="4DE52A38"/>
    <w:rsid w:val="4EE72FE2"/>
    <w:rsid w:val="4F2C10C3"/>
    <w:rsid w:val="4F6463E1"/>
    <w:rsid w:val="50416722"/>
    <w:rsid w:val="509C1BAA"/>
    <w:rsid w:val="50E0418D"/>
    <w:rsid w:val="511B51C5"/>
    <w:rsid w:val="51D07D5D"/>
    <w:rsid w:val="54C238D1"/>
    <w:rsid w:val="551408A9"/>
    <w:rsid w:val="558A2919"/>
    <w:rsid w:val="56334D5F"/>
    <w:rsid w:val="563A7E9B"/>
    <w:rsid w:val="56D54068"/>
    <w:rsid w:val="571166BB"/>
    <w:rsid w:val="576C0528"/>
    <w:rsid w:val="58003366"/>
    <w:rsid w:val="5851771E"/>
    <w:rsid w:val="5A386DE8"/>
    <w:rsid w:val="5AF251E8"/>
    <w:rsid w:val="5B4812AC"/>
    <w:rsid w:val="5BEF1728"/>
    <w:rsid w:val="5C0F1DCA"/>
    <w:rsid w:val="5CB62246"/>
    <w:rsid w:val="5DB669A1"/>
    <w:rsid w:val="5DDE3802"/>
    <w:rsid w:val="5DF23751"/>
    <w:rsid w:val="5FBC3384"/>
    <w:rsid w:val="5FF94923"/>
    <w:rsid w:val="605E6E7C"/>
    <w:rsid w:val="60AA0313"/>
    <w:rsid w:val="6126362C"/>
    <w:rsid w:val="61330309"/>
    <w:rsid w:val="617526CF"/>
    <w:rsid w:val="619F599E"/>
    <w:rsid w:val="65384140"/>
    <w:rsid w:val="65E16585"/>
    <w:rsid w:val="66430FEE"/>
    <w:rsid w:val="66AD5735"/>
    <w:rsid w:val="67015A2E"/>
    <w:rsid w:val="681542C4"/>
    <w:rsid w:val="68CB0E27"/>
    <w:rsid w:val="6905029A"/>
    <w:rsid w:val="69171464"/>
    <w:rsid w:val="69C42446"/>
    <w:rsid w:val="6AD2649C"/>
    <w:rsid w:val="6AE53353"/>
    <w:rsid w:val="6BFE3BD0"/>
    <w:rsid w:val="6C042FCD"/>
    <w:rsid w:val="6D1F7993"/>
    <w:rsid w:val="6DFD1A82"/>
    <w:rsid w:val="6E4B78E4"/>
    <w:rsid w:val="6E865F1C"/>
    <w:rsid w:val="6F4D6A39"/>
    <w:rsid w:val="6F72024E"/>
    <w:rsid w:val="6F9401C4"/>
    <w:rsid w:val="6F9C52CB"/>
    <w:rsid w:val="6FE63122"/>
    <w:rsid w:val="71D21478"/>
    <w:rsid w:val="72323CC5"/>
    <w:rsid w:val="726447C6"/>
    <w:rsid w:val="72D52FCE"/>
    <w:rsid w:val="73171838"/>
    <w:rsid w:val="73357F10"/>
    <w:rsid w:val="733A1083"/>
    <w:rsid w:val="73D94061"/>
    <w:rsid w:val="73F73418"/>
    <w:rsid w:val="74035919"/>
    <w:rsid w:val="74654825"/>
    <w:rsid w:val="776426D5"/>
    <w:rsid w:val="78C25DA2"/>
    <w:rsid w:val="7AB4796D"/>
    <w:rsid w:val="7BB816DF"/>
    <w:rsid w:val="7C2F7BF3"/>
    <w:rsid w:val="7C4D59F7"/>
    <w:rsid w:val="7C86692A"/>
    <w:rsid w:val="7CD267D0"/>
    <w:rsid w:val="7CEF1130"/>
    <w:rsid w:val="7D40373A"/>
    <w:rsid w:val="7EF667A6"/>
    <w:rsid w:val="7FAB160F"/>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next w:val="1"/>
    <w:qFormat/>
    <w:uiPriority w:val="0"/>
    <w:pPr>
      <w:keepNext/>
      <w:keepLines/>
      <w:widowControl w:val="0"/>
      <w:spacing w:before="260" w:after="260" w:line="412" w:lineRule="auto"/>
      <w:jc w:val="both"/>
      <w:outlineLvl w:val="1"/>
    </w:pPr>
    <w:rPr>
      <w:rFonts w:ascii="Arial" w:hAnsi="Arial" w:eastAsia="黑体" w:cs="Times New Roman"/>
      <w:b/>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lang w:val="en-US" w:eastAsia="zh-CN" w:bidi="ar-SA"/>
    </w:rPr>
  </w:style>
  <w:style w:type="paragraph" w:styleId="4">
    <w:name w:val="annotation text"/>
    <w:basedOn w:val="1"/>
    <w:qFormat/>
    <w:uiPriority w:val="0"/>
    <w:pPr>
      <w:jc w:val="left"/>
    </w:pPr>
  </w:style>
  <w:style w:type="paragraph" w:styleId="5">
    <w:name w:val="Plain Text"/>
    <w:qFormat/>
    <w:uiPriority w:val="0"/>
    <w:pPr>
      <w:widowControl w:val="0"/>
      <w:jc w:val="both"/>
    </w:pPr>
    <w:rPr>
      <w:rFonts w:ascii="宋体" w:hAnsi="Calibri" w:eastAsia="宋体" w:cs="Times New Roman"/>
      <w:kern w:val="2"/>
      <w:sz w:val="21"/>
      <w:szCs w:val="22"/>
      <w:lang w:val="en-US" w:eastAsia="zh-CN" w:bidi="ar-SA"/>
    </w:rPr>
  </w:style>
  <w:style w:type="paragraph" w:styleId="6">
    <w:name w:val="Balloon Text"/>
    <w:basedOn w:val="1"/>
    <w:link w:val="14"/>
    <w:qFormat/>
    <w:uiPriority w:val="0"/>
    <w:rPr>
      <w:sz w:val="18"/>
      <w:szCs w:val="18"/>
    </w:rPr>
  </w:style>
  <w:style w:type="paragraph" w:styleId="7">
    <w:name w:val="footer"/>
    <w:basedOn w:val="1"/>
    <w:qFormat/>
    <w:uiPriority w:val="0"/>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2"/>
      <w:lang w:val="en-US" w:eastAsia="zh-CN" w:bidi="ar-SA"/>
    </w:rPr>
  </w:style>
  <w:style w:type="paragraph" w:customStyle="1" w:styleId="12">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4">
    <w:name w:val="批注框文本 Char"/>
    <w:basedOn w:val="11"/>
    <w:link w:val="6"/>
    <w:qFormat/>
    <w:uiPriority w:val="0"/>
    <w:rPr>
      <w:rFonts w:ascii="Times New Roman" w:hAnsi="Times New Roman" w:eastAsia="宋体" w:cs="Times New Roman"/>
      <w:kern w:val="2"/>
      <w:sz w:val="18"/>
      <w:szCs w:val="18"/>
    </w:rPr>
  </w:style>
  <w:style w:type="character" w:customStyle="1" w:styleId="15">
    <w:name w:val="页眉 Char"/>
    <w:basedOn w:val="11"/>
    <w:link w:val="8"/>
    <w:qFormat/>
    <w:uiPriority w:val="0"/>
    <w:rPr>
      <w:rFonts w:ascii="Times New Roman" w:hAnsi="Times New Roman" w:eastAsia="宋体" w:cs="Times New Roman"/>
      <w:kern w:val="2"/>
      <w:sz w:val="18"/>
      <w:szCs w:val="18"/>
    </w:rPr>
  </w:style>
  <w:style w:type="paragraph" w:customStyle="1" w:styleId="16">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heme="minorBidi"/>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7305</Words>
  <Characters>7743</Characters>
  <Lines>59</Lines>
  <Paragraphs>16</Paragraphs>
  <TotalTime>68</TotalTime>
  <ScaleCrop>false</ScaleCrop>
  <LinksUpToDate>false</LinksUpToDate>
  <CharactersWithSpaces>8224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2025-02-05T06:41:00Z</dcterms:created>
  <dc:creator>Administrator</dc:creator>
  <cp:lastModifiedBy>Administrator</cp:lastModifiedBy>
  <cp:lastPrinted>2025-08-15T04:00:00Z</cp:lastPrinted>
  <dcterms:modified xsi:type="dcterms:W3CDTF">2025-08-21T06:07:13Z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1F8CBD9AFE5D4F7FB5076818DA9FDB86_11</vt:lpwstr>
  </property>
  <property fmtid="{D5CDD505-2E9C-101B-9397-08002B2CF9AE}" pid="4" name="KSOTemplateDocerSaveRecord">
    <vt:lpwstr>eyJoZGlkIjoiMTNiMThhNWYyNmYwZjg0ZGUzNDkzMTY5ZGMwZDJmNzYiLCJ1c2VySWQiOiIyMjE0NTgwNDEifQ==</vt:lpwstr>
  </property>
</Properties>
</file>