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C7292">
      <w:pPr>
        <w:tabs>
          <w:tab w:val="left" w:pos="0"/>
        </w:tabs>
        <w:spacing w:line="320" w:lineRule="exact"/>
        <w:ind w:firstLine="560"/>
        <w:jc w:val="center"/>
        <w:rPr>
          <w:rFonts w:hint="eastAsia" w:hAnsi="宋体"/>
          <w:color w:val="auto"/>
          <w:sz w:val="28"/>
        </w:rPr>
      </w:pPr>
      <w:bookmarkStart w:id="473" w:name="_GoBack"/>
      <w:bookmarkEnd w:id="473"/>
    </w:p>
    <w:p w14:paraId="146A2D21">
      <w:pPr>
        <w:tabs>
          <w:tab w:val="left" w:pos="0"/>
        </w:tabs>
        <w:spacing w:line="320" w:lineRule="exact"/>
        <w:ind w:firstLine="560"/>
        <w:jc w:val="center"/>
        <w:rPr>
          <w:rFonts w:hint="eastAsia" w:hAnsi="宋体"/>
          <w:color w:val="auto"/>
          <w:sz w:val="28"/>
        </w:rPr>
      </w:pPr>
    </w:p>
    <w:p w14:paraId="6DE35DD5">
      <w:pPr>
        <w:tabs>
          <w:tab w:val="left" w:pos="0"/>
        </w:tabs>
        <w:adjustRightInd w:val="0"/>
        <w:snapToGrid w:val="0"/>
        <w:ind w:firstLine="0" w:firstLineChars="0"/>
        <w:jc w:val="center"/>
        <w:rPr>
          <w:rFonts w:hint="eastAsia" w:hAnsi="宋体"/>
          <w:b/>
          <w:color w:val="auto"/>
          <w:spacing w:val="-20"/>
          <w:sz w:val="48"/>
          <w:szCs w:val="48"/>
          <w:u w:val="single"/>
        </w:rPr>
      </w:pPr>
      <w:r>
        <w:rPr>
          <w:rFonts w:hint="eastAsia" w:hAnsi="宋体"/>
          <w:b/>
          <w:bCs/>
          <w:snapToGrid w:val="0"/>
          <w:color w:val="auto"/>
          <w:sz w:val="44"/>
          <w:szCs w:val="44"/>
          <w:shd w:val="clear" w:color="auto" w:fill="FFFFFF"/>
          <w:lang w:eastAsia="zh-CN"/>
        </w:rPr>
        <w:t>广东省财经职业技术学校新校区建设项目全过程造价咨询服务</w:t>
      </w:r>
    </w:p>
    <w:p w14:paraId="38C10CFD">
      <w:pPr>
        <w:ind w:firstLine="480"/>
        <w:rPr>
          <w:rFonts w:hAnsi="宋体"/>
          <w:color w:val="auto"/>
          <w:szCs w:val="24"/>
        </w:rPr>
      </w:pPr>
    </w:p>
    <w:p w14:paraId="7F1C72BB">
      <w:pPr>
        <w:pStyle w:val="10"/>
        <w:ind w:firstLine="680"/>
        <w:rPr>
          <w:color w:val="auto"/>
        </w:rPr>
      </w:pPr>
    </w:p>
    <w:p w14:paraId="7464EAFC">
      <w:pPr>
        <w:pStyle w:val="10"/>
        <w:ind w:firstLine="680"/>
        <w:rPr>
          <w:color w:val="auto"/>
        </w:rPr>
      </w:pPr>
    </w:p>
    <w:p w14:paraId="6D530542">
      <w:pPr>
        <w:spacing w:line="20" w:lineRule="exact"/>
        <w:ind w:firstLine="480"/>
        <w:rPr>
          <w:rFonts w:hAnsi="宋体"/>
          <w:color w:val="auto"/>
        </w:rPr>
      </w:pPr>
    </w:p>
    <w:p w14:paraId="181069F5">
      <w:pPr>
        <w:spacing w:line="200" w:lineRule="exact"/>
        <w:ind w:firstLine="480"/>
        <w:rPr>
          <w:rFonts w:hAnsi="宋体"/>
          <w:color w:val="auto"/>
        </w:rPr>
      </w:pPr>
    </w:p>
    <w:p w14:paraId="65E3F038">
      <w:pPr>
        <w:spacing w:line="200" w:lineRule="exact"/>
        <w:ind w:firstLine="480"/>
        <w:rPr>
          <w:rFonts w:hAnsi="宋体"/>
          <w:color w:val="auto"/>
        </w:rPr>
      </w:pPr>
    </w:p>
    <w:p w14:paraId="013FAB9E">
      <w:pPr>
        <w:spacing w:line="200" w:lineRule="exact"/>
        <w:ind w:firstLine="480"/>
        <w:rPr>
          <w:rFonts w:hAnsi="宋体"/>
          <w:color w:val="auto"/>
        </w:rPr>
      </w:pPr>
    </w:p>
    <w:p w14:paraId="0C440532">
      <w:pPr>
        <w:spacing w:line="200" w:lineRule="exact"/>
        <w:ind w:firstLine="480"/>
        <w:rPr>
          <w:rFonts w:hAnsi="宋体"/>
          <w:color w:val="auto"/>
        </w:rPr>
      </w:pPr>
    </w:p>
    <w:p w14:paraId="402147E9">
      <w:pPr>
        <w:spacing w:line="200" w:lineRule="exact"/>
        <w:ind w:firstLine="480"/>
        <w:rPr>
          <w:rFonts w:hAnsi="宋体"/>
          <w:color w:val="auto"/>
        </w:rPr>
      </w:pPr>
    </w:p>
    <w:p w14:paraId="638BA13E">
      <w:pPr>
        <w:spacing w:line="269" w:lineRule="exact"/>
        <w:ind w:firstLine="480"/>
        <w:rPr>
          <w:rFonts w:hAnsi="宋体"/>
          <w:color w:val="auto"/>
        </w:rPr>
      </w:pPr>
    </w:p>
    <w:p w14:paraId="73085B84">
      <w:pPr>
        <w:ind w:firstLine="0" w:firstLineChars="0"/>
        <w:jc w:val="center"/>
        <w:rPr>
          <w:rFonts w:hint="eastAsia" w:hAnsi="宋体"/>
          <w:b/>
          <w:bCs/>
          <w:color w:val="auto"/>
          <w:sz w:val="96"/>
          <w:szCs w:val="96"/>
        </w:rPr>
      </w:pPr>
      <w:r>
        <w:rPr>
          <w:rFonts w:hAnsi="宋体"/>
          <w:b/>
          <w:bCs/>
          <w:color w:val="auto"/>
          <w:sz w:val="96"/>
          <w:szCs w:val="96"/>
        </w:rPr>
        <w:t>招标文件</w:t>
      </w:r>
    </w:p>
    <w:p w14:paraId="57474A34">
      <w:pPr>
        <w:ind w:firstLine="602"/>
        <w:jc w:val="center"/>
        <w:rPr>
          <w:rFonts w:hAnsi="宋体"/>
          <w:b/>
          <w:bCs/>
          <w:color w:val="auto"/>
          <w:sz w:val="30"/>
          <w:szCs w:val="30"/>
        </w:rPr>
      </w:pPr>
    </w:p>
    <w:p w14:paraId="2F7C53C5">
      <w:pPr>
        <w:pStyle w:val="10"/>
        <w:ind w:firstLine="602"/>
        <w:rPr>
          <w:rFonts w:hAnsi="宋体"/>
          <w:b/>
          <w:bCs/>
          <w:color w:val="auto"/>
          <w:sz w:val="30"/>
          <w:szCs w:val="30"/>
        </w:rPr>
      </w:pPr>
    </w:p>
    <w:p w14:paraId="4D5021F4">
      <w:pPr>
        <w:pStyle w:val="10"/>
        <w:ind w:firstLine="602"/>
        <w:rPr>
          <w:rFonts w:hAnsi="宋体"/>
          <w:b/>
          <w:bCs/>
          <w:color w:val="auto"/>
          <w:sz w:val="30"/>
          <w:szCs w:val="30"/>
        </w:rPr>
      </w:pPr>
    </w:p>
    <w:p w14:paraId="4FD4392C">
      <w:pPr>
        <w:pStyle w:val="82"/>
        <w:rPr>
          <w:rFonts w:hAnsi="宋体"/>
          <w:color w:val="auto"/>
        </w:rPr>
      </w:pPr>
    </w:p>
    <w:p w14:paraId="2752A756">
      <w:pPr>
        <w:pStyle w:val="82"/>
        <w:rPr>
          <w:rFonts w:hAnsi="宋体"/>
          <w:color w:val="auto"/>
        </w:rPr>
      </w:pPr>
    </w:p>
    <w:p w14:paraId="3EE8EB1C">
      <w:pPr>
        <w:pStyle w:val="10"/>
        <w:ind w:firstLine="602"/>
        <w:rPr>
          <w:rFonts w:hAnsi="宋体"/>
          <w:b/>
          <w:bCs/>
          <w:color w:val="auto"/>
          <w:sz w:val="30"/>
          <w:szCs w:val="30"/>
        </w:rPr>
      </w:pPr>
    </w:p>
    <w:p w14:paraId="61C9E13F">
      <w:pPr>
        <w:ind w:firstLine="600"/>
        <w:rPr>
          <w:rFonts w:hAnsi="宋体"/>
          <w:color w:val="auto"/>
          <w:sz w:val="30"/>
          <w:szCs w:val="30"/>
        </w:rPr>
      </w:pPr>
    </w:p>
    <w:p w14:paraId="5099CB3F">
      <w:pPr>
        <w:widowControl w:val="0"/>
        <w:spacing w:line="480" w:lineRule="auto"/>
        <w:ind w:firstLine="452" w:firstLineChars="150"/>
        <w:jc w:val="left"/>
        <w:rPr>
          <w:rFonts w:hint="eastAsia" w:hAnsi="宋体" w:eastAsia="宋体"/>
          <w:b/>
          <w:bCs/>
          <w:color w:val="auto"/>
          <w:sz w:val="30"/>
          <w:szCs w:val="30"/>
          <w:lang w:eastAsia="zh-CN"/>
        </w:rPr>
      </w:pPr>
      <w:r>
        <w:rPr>
          <w:rFonts w:hint="eastAsia" w:hAnsi="宋体"/>
          <w:b/>
          <w:bCs/>
          <w:color w:val="auto"/>
          <w:sz w:val="30"/>
          <w:szCs w:val="30"/>
        </w:rPr>
        <w:t>招   标   人：</w:t>
      </w:r>
      <w:r>
        <w:rPr>
          <w:rFonts w:hint="eastAsia" w:hAnsi="宋体"/>
          <w:b/>
          <w:bCs/>
          <w:color w:val="auto"/>
          <w:sz w:val="30"/>
          <w:szCs w:val="30"/>
          <w:lang w:eastAsia="zh-CN"/>
        </w:rPr>
        <w:t>广东省财经职业技术学校</w:t>
      </w:r>
    </w:p>
    <w:p w14:paraId="69E6B490">
      <w:pPr>
        <w:widowControl w:val="0"/>
        <w:spacing w:line="480" w:lineRule="auto"/>
        <w:ind w:firstLine="452" w:firstLineChars="150"/>
        <w:jc w:val="left"/>
        <w:rPr>
          <w:rFonts w:hint="eastAsia" w:hAnsi="宋体" w:eastAsia="宋体"/>
          <w:b/>
          <w:bCs/>
          <w:color w:val="auto"/>
          <w:sz w:val="30"/>
          <w:szCs w:val="30"/>
          <w:lang w:eastAsia="zh-CN"/>
        </w:rPr>
      </w:pPr>
      <w:r>
        <w:rPr>
          <w:rFonts w:hint="eastAsia" w:hAnsi="宋体"/>
          <w:b/>
          <w:bCs/>
          <w:color w:val="auto"/>
          <w:sz w:val="30"/>
          <w:szCs w:val="30"/>
        </w:rPr>
        <w:t>招标代理机构：</w:t>
      </w:r>
      <w:r>
        <w:rPr>
          <w:rFonts w:hint="eastAsia" w:hAnsi="宋体"/>
          <w:b/>
          <w:bCs/>
          <w:color w:val="auto"/>
          <w:sz w:val="30"/>
          <w:szCs w:val="30"/>
          <w:lang w:eastAsia="zh-CN"/>
        </w:rPr>
        <w:t>广东省建筑工程监理有限公司</w:t>
      </w:r>
    </w:p>
    <w:p w14:paraId="41844000">
      <w:pPr>
        <w:widowControl w:val="0"/>
        <w:spacing w:line="480" w:lineRule="auto"/>
        <w:ind w:firstLine="452" w:firstLineChars="150"/>
        <w:jc w:val="left"/>
        <w:rPr>
          <w:rFonts w:hint="eastAsia" w:hAnsi="宋体"/>
          <w:b/>
          <w:bCs/>
          <w:color w:val="auto"/>
          <w:sz w:val="30"/>
          <w:szCs w:val="30"/>
        </w:rPr>
      </w:pPr>
      <w:r>
        <w:rPr>
          <w:rFonts w:hint="eastAsia" w:hAnsi="宋体"/>
          <w:b/>
          <w:bCs/>
          <w:color w:val="auto"/>
          <w:sz w:val="30"/>
          <w:szCs w:val="30"/>
        </w:rPr>
        <w:t>日        期：202</w:t>
      </w:r>
      <w:r>
        <w:rPr>
          <w:rFonts w:hint="eastAsia" w:hAnsi="宋体"/>
          <w:b/>
          <w:bCs/>
          <w:color w:val="auto"/>
          <w:sz w:val="30"/>
          <w:szCs w:val="30"/>
          <w:lang w:val="en-US" w:eastAsia="zh-CN"/>
        </w:rPr>
        <w:t>5</w:t>
      </w:r>
      <w:r>
        <w:rPr>
          <w:rFonts w:hint="eastAsia" w:hAnsi="宋体"/>
          <w:b/>
          <w:bCs/>
          <w:color w:val="auto"/>
          <w:sz w:val="30"/>
          <w:szCs w:val="30"/>
        </w:rPr>
        <w:t>年</w:t>
      </w:r>
      <w:r>
        <w:rPr>
          <w:rFonts w:hint="eastAsia" w:hAnsi="宋体"/>
          <w:b/>
          <w:bCs/>
          <w:color w:val="auto"/>
          <w:sz w:val="30"/>
          <w:szCs w:val="30"/>
          <w:lang w:val="en-US" w:eastAsia="zh-CN"/>
        </w:rPr>
        <w:t>8</w:t>
      </w:r>
      <w:r>
        <w:rPr>
          <w:rFonts w:hint="eastAsia" w:hAnsi="宋体"/>
          <w:b/>
          <w:bCs/>
          <w:color w:val="auto"/>
          <w:sz w:val="30"/>
          <w:szCs w:val="30"/>
        </w:rPr>
        <w:t>月</w:t>
      </w:r>
    </w:p>
    <w:p w14:paraId="1220307A">
      <w:pPr>
        <w:ind w:firstLine="0" w:firstLineChars="0"/>
        <w:rPr>
          <w:rFonts w:hint="eastAsia"/>
          <w:color w:val="auto"/>
        </w:rPr>
      </w:pPr>
    </w:p>
    <w:p w14:paraId="33FDD767">
      <w:pPr>
        <w:spacing w:line="240" w:lineRule="auto"/>
        <w:ind w:firstLine="0" w:firstLineChars="0"/>
        <w:rPr>
          <w:color w:val="auto"/>
        </w:rPr>
        <w:sectPr>
          <w:headerReference r:id="rId7" w:type="first"/>
          <w:footerReference r:id="rId10" w:type="first"/>
          <w:headerReference r:id="rId5" w:type="default"/>
          <w:footerReference r:id="rId8" w:type="default"/>
          <w:headerReference r:id="rId6" w:type="even"/>
          <w:footerReference r:id="rId9" w:type="even"/>
          <w:pgSz w:w="11905" w:h="16838"/>
          <w:pgMar w:top="1417" w:right="1701" w:bottom="1417" w:left="1701" w:header="850" w:footer="1041" w:gutter="0"/>
          <w:pgNumType w:start="0"/>
          <w:cols w:space="720" w:num="1"/>
          <w:rtlGutter w:val="1"/>
          <w:docGrid w:linePitch="360" w:charSpace="0"/>
        </w:sectPr>
      </w:pPr>
    </w:p>
    <w:p w14:paraId="14E82000">
      <w:pPr>
        <w:ind w:firstLine="0" w:firstLineChars="0"/>
        <w:rPr>
          <w:rFonts w:hint="eastAsia"/>
          <w:color w:val="auto"/>
        </w:rPr>
      </w:pPr>
      <w:bookmarkStart w:id="0" w:name="page3"/>
      <w:bookmarkEnd w:id="0"/>
      <w:bookmarkStart w:id="1" w:name="page4"/>
      <w:bookmarkEnd w:id="1"/>
      <w:bookmarkStart w:id="2" w:name="_Toc35513422"/>
      <w:bookmarkStart w:id="3" w:name="_Toc17035"/>
      <w:bookmarkStart w:id="4" w:name="_Toc263"/>
      <w:bookmarkStart w:id="5" w:name="_Toc15058"/>
      <w:bookmarkStart w:id="6" w:name="_Toc16363"/>
      <w:bookmarkStart w:id="7" w:name="_Toc20214"/>
    </w:p>
    <w:p w14:paraId="3FD39E4E">
      <w:pPr>
        <w:ind w:firstLine="0" w:firstLineChars="0"/>
        <w:rPr>
          <w:rFonts w:hint="eastAsia"/>
          <w:color w:val="auto"/>
        </w:rPr>
      </w:pPr>
    </w:p>
    <w:p w14:paraId="7EDE86E4">
      <w:pPr>
        <w:pStyle w:val="3"/>
        <w:ind w:firstLine="883"/>
        <w:jc w:val="center"/>
        <w:rPr>
          <w:color w:val="auto"/>
        </w:rPr>
      </w:pPr>
      <w:bookmarkStart w:id="8" w:name="_Toc10149"/>
      <w:bookmarkStart w:id="9" w:name="_Toc3749"/>
      <w:bookmarkStart w:id="10" w:name="_Toc31547"/>
      <w:r>
        <w:rPr>
          <w:rFonts w:hint="eastAsia"/>
          <w:color w:val="auto"/>
        </w:rPr>
        <w:t>重要提示</w:t>
      </w:r>
      <w:bookmarkEnd w:id="2"/>
      <w:bookmarkEnd w:id="8"/>
      <w:bookmarkEnd w:id="9"/>
      <w:bookmarkEnd w:id="10"/>
    </w:p>
    <w:p w14:paraId="77E4111F">
      <w:pPr>
        <w:ind w:firstLine="537" w:firstLineChars="224"/>
        <w:jc w:val="center"/>
        <w:rPr>
          <w:rFonts w:hAnsi="宋体"/>
          <w:bCs/>
          <w:color w:val="auto"/>
        </w:rPr>
      </w:pPr>
    </w:p>
    <w:p w14:paraId="45B83FCC">
      <w:pPr>
        <w:ind w:firstLine="480"/>
        <w:rPr>
          <w:rFonts w:hint="eastAsia" w:hAnsi="宋体"/>
          <w:color w:val="auto"/>
          <w:szCs w:val="24"/>
        </w:rPr>
      </w:pPr>
      <w:r>
        <w:rPr>
          <w:rStyle w:val="95"/>
          <w:rFonts w:ascii="宋体" w:hAnsi="宋体"/>
          <w:color w:val="auto"/>
          <w:sz w:val="24"/>
          <w:highlight w:val="none"/>
        </w:rPr>
        <w:t>本项目实施电子招投标，投标人应先认真阅读</w:t>
      </w:r>
      <w:r>
        <w:rPr>
          <w:rStyle w:val="95"/>
          <w:rFonts w:hint="eastAsia" w:ascii="宋体" w:hAnsi="宋体"/>
          <w:color w:val="auto"/>
          <w:sz w:val="24"/>
          <w:highlight w:val="none"/>
        </w:rPr>
        <w:t>广州交易集团有限公司（广州公共资源交易中心）网站最新发布的</w:t>
      </w:r>
      <w:r>
        <w:rPr>
          <w:rStyle w:val="95"/>
          <w:rFonts w:ascii="宋体" w:hAnsi="宋体"/>
          <w:color w:val="auto"/>
          <w:sz w:val="24"/>
          <w:highlight w:val="none"/>
        </w:rPr>
        <w:t>《</w:t>
      </w:r>
      <w:r>
        <w:rPr>
          <w:rStyle w:val="95"/>
          <w:rFonts w:hint="eastAsia" w:ascii="宋体" w:hAnsi="宋体"/>
          <w:color w:val="auto"/>
          <w:sz w:val="24"/>
          <w:highlight w:val="none"/>
        </w:rPr>
        <w:t>建设工程全流程电子化项目操作指南</w:t>
      </w:r>
      <w:r>
        <w:rPr>
          <w:rStyle w:val="95"/>
          <w:rFonts w:ascii="宋体" w:hAnsi="宋体"/>
          <w:color w:val="auto"/>
          <w:sz w:val="24"/>
          <w:highlight w:val="none"/>
        </w:rPr>
        <w:t>》，详见：</w:t>
      </w:r>
      <w:r>
        <w:rPr>
          <w:rStyle w:val="95"/>
          <w:rFonts w:hint="eastAsia" w:ascii="宋体" w:hAnsi="宋体"/>
          <w:color w:val="auto"/>
          <w:sz w:val="24"/>
          <w:highlight w:val="none"/>
        </w:rPr>
        <w:t>https://www.gzggzy.cn/fwznbszyjsgc/988010.jhtml。</w:t>
      </w:r>
    </w:p>
    <w:p w14:paraId="712B63B6">
      <w:pPr>
        <w:ind w:firstLine="480"/>
        <w:rPr>
          <w:rFonts w:hint="eastAsia" w:hAnsi="宋体"/>
          <w:color w:val="auto"/>
          <w:szCs w:val="24"/>
        </w:rPr>
      </w:pPr>
    </w:p>
    <w:p w14:paraId="10863CE6">
      <w:pPr>
        <w:ind w:firstLine="480"/>
        <w:rPr>
          <w:rFonts w:hAnsi="Arial"/>
          <w:color w:val="auto"/>
          <w:szCs w:val="28"/>
        </w:rPr>
      </w:pPr>
    </w:p>
    <w:p w14:paraId="198C1ED6">
      <w:pPr>
        <w:ind w:firstLine="480"/>
        <w:rPr>
          <w:rFonts w:hAnsi="Arial"/>
          <w:color w:val="auto"/>
          <w:szCs w:val="28"/>
        </w:rPr>
      </w:pPr>
    </w:p>
    <w:p w14:paraId="696E4DA9">
      <w:pPr>
        <w:ind w:firstLine="480"/>
        <w:rPr>
          <w:color w:val="auto"/>
          <w:lang w:val="zh-CN"/>
        </w:rPr>
        <w:sectPr>
          <w:footerReference r:id="rId13" w:type="first"/>
          <w:headerReference r:id="rId11" w:type="default"/>
          <w:footerReference r:id="rId12" w:type="default"/>
          <w:pgSz w:w="11906" w:h="16838"/>
          <w:pgMar w:top="1417" w:right="1701" w:bottom="1417" w:left="1701" w:header="851" w:footer="992" w:gutter="0"/>
          <w:cols w:space="720" w:num="1"/>
          <w:titlePg/>
          <w:docGrid w:type="lines" w:linePitch="312" w:charSpace="0"/>
        </w:sectPr>
      </w:pPr>
      <w:bookmarkStart w:id="11" w:name="_Toc35513423"/>
    </w:p>
    <w:p w14:paraId="737449B2">
      <w:pPr>
        <w:ind w:firstLine="0" w:firstLineChars="0"/>
        <w:rPr>
          <w:color w:val="auto"/>
          <w:lang w:val="zh-CN"/>
        </w:rPr>
      </w:pPr>
    </w:p>
    <w:p w14:paraId="21912D3C">
      <w:pPr>
        <w:pStyle w:val="75"/>
        <w:ind w:firstLine="0" w:firstLineChars="0"/>
        <w:rPr>
          <w:color w:val="auto"/>
          <w:lang w:val="zh-CN"/>
        </w:rPr>
      </w:pPr>
    </w:p>
    <w:p w14:paraId="7FEE2F38">
      <w:pPr>
        <w:pStyle w:val="3"/>
        <w:ind w:firstLine="723"/>
        <w:jc w:val="center"/>
        <w:rPr>
          <w:color w:val="auto"/>
          <w:sz w:val="36"/>
          <w:szCs w:val="36"/>
        </w:rPr>
      </w:pPr>
      <w:bookmarkStart w:id="12" w:name="_Toc12528"/>
      <w:bookmarkStart w:id="13" w:name="_Toc19530"/>
      <w:bookmarkStart w:id="14" w:name="_Toc23587"/>
      <w:r>
        <w:rPr>
          <w:color w:val="auto"/>
          <w:sz w:val="36"/>
          <w:szCs w:val="36"/>
          <w:lang w:val="zh-CN"/>
        </w:rPr>
        <w:t>目</w:t>
      </w:r>
      <w:r>
        <w:rPr>
          <w:rFonts w:hint="eastAsia"/>
          <w:color w:val="auto"/>
          <w:sz w:val="36"/>
          <w:szCs w:val="36"/>
        </w:rPr>
        <w:t xml:space="preserve">  </w:t>
      </w:r>
      <w:r>
        <w:rPr>
          <w:color w:val="auto"/>
          <w:sz w:val="36"/>
          <w:szCs w:val="36"/>
          <w:lang w:val="zh-CN"/>
        </w:rPr>
        <w:t>录</w:t>
      </w:r>
      <w:bookmarkEnd w:id="3"/>
      <w:bookmarkEnd w:id="4"/>
      <w:bookmarkEnd w:id="5"/>
      <w:bookmarkEnd w:id="6"/>
      <w:bookmarkEnd w:id="7"/>
      <w:bookmarkEnd w:id="11"/>
      <w:bookmarkEnd w:id="12"/>
      <w:bookmarkEnd w:id="13"/>
      <w:bookmarkEnd w:id="14"/>
    </w:p>
    <w:p w14:paraId="321DBB27">
      <w:pPr>
        <w:pStyle w:val="25"/>
        <w:tabs>
          <w:tab w:val="right" w:leader="dot" w:pos="8731"/>
        </w:tabs>
        <w:rPr>
          <w:color w:val="auto"/>
        </w:rPr>
      </w:pPr>
      <w:r>
        <w:rPr>
          <w:rFonts w:hAnsi="宋体"/>
          <w:color w:val="auto"/>
          <w:sz w:val="28"/>
          <w:szCs w:val="28"/>
        </w:rPr>
        <w:fldChar w:fldCharType="begin"/>
      </w:r>
      <w:r>
        <w:rPr>
          <w:rFonts w:hAnsi="宋体"/>
          <w:color w:val="auto"/>
          <w:sz w:val="28"/>
          <w:szCs w:val="28"/>
        </w:rPr>
        <w:instrText xml:space="preserve"> TOC \o "1-3" \h \z \u </w:instrText>
      </w:r>
      <w:r>
        <w:rPr>
          <w:rFonts w:hAnsi="宋体"/>
          <w:color w:val="auto"/>
          <w:sz w:val="28"/>
          <w:szCs w:val="28"/>
        </w:rPr>
        <w:fldChar w:fldCharType="separate"/>
      </w:r>
    </w:p>
    <w:p w14:paraId="6D73F7BF">
      <w:pPr>
        <w:pStyle w:val="25"/>
        <w:widowControl w:val="0"/>
        <w:tabs>
          <w:tab w:val="right" w:leader="dot" w:pos="8731"/>
        </w:tabs>
        <w:rPr>
          <w:rFonts w:hint="eastAsia" w:ascii="宋体" w:hAnsi="宋体" w:eastAsia="宋体" w:cs="宋体"/>
          <w:color w:val="auto"/>
        </w:rPr>
      </w:pPr>
      <w:r>
        <w:rPr>
          <w:color w:val="auto"/>
        </w:rPr>
        <w:fldChar w:fldCharType="begin"/>
      </w:r>
      <w:r>
        <w:rPr>
          <w:color w:val="auto"/>
        </w:rPr>
        <w:instrText xml:space="preserve"> HYPERLINK \l "_Toc1160" </w:instrText>
      </w:r>
      <w:r>
        <w:rPr>
          <w:color w:val="auto"/>
        </w:rPr>
        <w:fldChar w:fldCharType="separate"/>
      </w:r>
      <w:r>
        <w:rPr>
          <w:rFonts w:hint="eastAsia" w:ascii="宋体" w:hAnsi="宋体" w:eastAsia="宋体" w:cs="宋体"/>
          <w:color w:val="auto"/>
        </w:rPr>
        <w:t>第一章  招标公告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_Toc1160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1075CC1">
      <w:pPr>
        <w:pStyle w:val="25"/>
        <w:widowControl w:val="0"/>
        <w:tabs>
          <w:tab w:val="right" w:leader="dot" w:pos="8731"/>
        </w:tabs>
        <w:rPr>
          <w:rFonts w:hint="eastAsia" w:ascii="宋体" w:hAnsi="宋体" w:eastAsia="宋体" w:cs="宋体"/>
          <w:color w:val="auto"/>
        </w:rPr>
      </w:pPr>
      <w:r>
        <w:rPr>
          <w:color w:val="auto"/>
        </w:rPr>
        <w:fldChar w:fldCharType="begin"/>
      </w:r>
      <w:r>
        <w:rPr>
          <w:color w:val="auto"/>
        </w:rPr>
        <w:instrText xml:space="preserve"> HYPERLINK \l "_Toc9671" </w:instrText>
      </w:r>
      <w:r>
        <w:rPr>
          <w:color w:val="auto"/>
        </w:rPr>
        <w:fldChar w:fldCharType="separate"/>
      </w:r>
      <w:r>
        <w:rPr>
          <w:rFonts w:hint="eastAsia" w:ascii="宋体" w:hAnsi="宋体" w:eastAsia="宋体" w:cs="宋体"/>
          <w:color w:val="auto"/>
        </w:rPr>
        <w:t>第二章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_Toc9671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0FD7A67">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"_Toc28322" </w:instrText>
      </w:r>
      <w:r>
        <w:rPr>
          <w:color w:val="auto"/>
        </w:rPr>
        <w:fldChar w:fldCharType="separate"/>
      </w:r>
      <w:r>
        <w:rPr>
          <w:rFonts w:hint="eastAsia" w:ascii="宋体" w:hAnsi="宋体" w:eastAsia="宋体" w:cs="宋体"/>
          <w:color w:val="auto"/>
          <w:szCs w:val="28"/>
        </w:rPr>
        <w:t>投标人须知前附表</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_Toc28322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4</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6F281DDC">
      <w:pPr>
        <w:pStyle w:val="25"/>
        <w:widowControl w:val="0"/>
        <w:tabs>
          <w:tab w:val="right" w:leader="dot" w:pos="8731"/>
        </w:tabs>
        <w:rPr>
          <w:rFonts w:hint="eastAsia" w:ascii="宋体" w:hAnsi="宋体" w:eastAsia="宋体" w:cs="宋体"/>
          <w:color w:val="auto"/>
        </w:rPr>
      </w:pPr>
      <w:r>
        <w:rPr>
          <w:color w:val="auto"/>
        </w:rPr>
        <w:fldChar w:fldCharType="begin"/>
      </w:r>
      <w:r>
        <w:rPr>
          <w:color w:val="auto"/>
        </w:rPr>
        <w:instrText xml:space="preserve"> HYPERLINK \l "_Toc20695" </w:instrText>
      </w:r>
      <w:r>
        <w:rPr>
          <w:color w:val="auto"/>
        </w:rPr>
        <w:fldChar w:fldCharType="separate"/>
      </w:r>
      <w:r>
        <w:rPr>
          <w:rFonts w:hint="eastAsia" w:ascii="宋体" w:hAnsi="宋体" w:eastAsia="宋体" w:cs="宋体"/>
          <w:color w:val="auto"/>
        </w:rPr>
        <w:t>第三章  评标办法（综合评估法）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_Toc20695 \h </w:instrText>
      </w:r>
      <w:r>
        <w:rPr>
          <w:rFonts w:hint="eastAsia" w:ascii="宋体" w:hAnsi="宋体" w:eastAsia="宋体" w:cs="宋体"/>
          <w:color w:val="auto"/>
        </w:rPr>
        <w:fldChar w:fldCharType="separate"/>
      </w:r>
      <w:r>
        <w:rPr>
          <w:rFonts w:hint="eastAsia" w:ascii="宋体" w:hAnsi="宋体" w:eastAsia="宋体" w:cs="宋体"/>
          <w:color w:val="auto"/>
        </w:rPr>
        <w:t>33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ED9696F">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"_Toc1764" </w:instrText>
      </w:r>
      <w:r>
        <w:rPr>
          <w:color w:val="auto"/>
        </w:rPr>
        <w:fldChar w:fldCharType="separate"/>
      </w:r>
      <w:r>
        <w:rPr>
          <w:rFonts w:hint="eastAsia" w:ascii="宋体" w:hAnsi="宋体" w:eastAsia="宋体" w:cs="宋体"/>
          <w:color w:val="auto"/>
          <w:szCs w:val="28"/>
        </w:rPr>
        <w:t>评标办法前附表</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_Toc1764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33</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080951B2">
      <w:pPr>
        <w:pStyle w:val="25"/>
        <w:widowControl w:val="0"/>
        <w:tabs>
          <w:tab w:val="right" w:leader="dot" w:pos="8731"/>
        </w:tabs>
        <w:rPr>
          <w:rFonts w:hint="eastAsia" w:ascii="宋体" w:hAnsi="宋体" w:eastAsia="宋体" w:cs="宋体"/>
          <w:color w:val="auto"/>
        </w:rPr>
      </w:pPr>
      <w:r>
        <w:rPr>
          <w:color w:val="auto"/>
        </w:rPr>
        <w:fldChar w:fldCharType="begin"/>
      </w:r>
      <w:r>
        <w:rPr>
          <w:color w:val="auto"/>
        </w:rPr>
        <w:instrText xml:space="preserve"> HYPERLINK \l "_Toc27269" </w:instrText>
      </w:r>
      <w:r>
        <w:rPr>
          <w:color w:val="auto"/>
        </w:rPr>
        <w:fldChar w:fldCharType="separate"/>
      </w:r>
      <w:r>
        <w:rPr>
          <w:rFonts w:hint="eastAsia" w:ascii="宋体" w:hAnsi="宋体" w:eastAsia="宋体" w:cs="宋体"/>
          <w:color w:val="auto"/>
        </w:rPr>
        <w:t>第四章  合同条款及格式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_Toc27269 \h </w:instrText>
      </w:r>
      <w:r>
        <w:rPr>
          <w:rFonts w:hint="eastAsia" w:ascii="宋体" w:hAnsi="宋体" w:eastAsia="宋体" w:cs="宋体"/>
          <w:color w:val="auto"/>
        </w:rPr>
        <w:fldChar w:fldCharType="separate"/>
      </w:r>
      <w:r>
        <w:rPr>
          <w:rFonts w:hint="eastAsia" w:ascii="宋体" w:hAnsi="宋体" w:eastAsia="宋体" w:cs="宋体"/>
          <w:color w:val="auto"/>
        </w:rPr>
        <w:t>47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60AACB3">
      <w:pPr>
        <w:pStyle w:val="25"/>
        <w:widowControl w:val="0"/>
        <w:tabs>
          <w:tab w:val="right" w:leader="dot" w:pos="8731"/>
        </w:tabs>
        <w:rPr>
          <w:rFonts w:hint="eastAsia" w:ascii="宋体" w:hAnsi="宋体" w:eastAsia="宋体" w:cs="宋体"/>
          <w:color w:val="auto"/>
        </w:rPr>
      </w:pPr>
      <w:r>
        <w:rPr>
          <w:color w:val="auto"/>
        </w:rPr>
        <w:fldChar w:fldCharType="begin"/>
      </w:r>
      <w:r>
        <w:rPr>
          <w:color w:val="auto"/>
        </w:rPr>
        <w:instrText xml:space="preserve"> HYPERLINK \l "_Toc17496" </w:instrText>
      </w:r>
      <w:r>
        <w:rPr>
          <w:color w:val="auto"/>
        </w:rPr>
        <w:fldChar w:fldCharType="separate"/>
      </w:r>
      <w:r>
        <w:rPr>
          <w:rFonts w:hint="eastAsia" w:ascii="宋体" w:hAnsi="宋体" w:eastAsia="宋体" w:cs="宋体"/>
          <w:color w:val="auto"/>
          <w:szCs w:val="22"/>
        </w:rPr>
        <w:t>第五章  委托人要求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_Toc17496 \h </w:instrText>
      </w:r>
      <w:r>
        <w:rPr>
          <w:rFonts w:hint="eastAsia" w:ascii="宋体" w:hAnsi="宋体" w:eastAsia="宋体" w:cs="宋体"/>
          <w:color w:val="auto"/>
        </w:rPr>
        <w:fldChar w:fldCharType="separate"/>
      </w:r>
      <w:r>
        <w:rPr>
          <w:rFonts w:hint="eastAsia" w:ascii="宋体" w:hAnsi="宋体" w:eastAsia="宋体" w:cs="宋体"/>
          <w:color w:val="auto"/>
        </w:rPr>
        <w:t>48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1C1B76D">
      <w:pPr>
        <w:pStyle w:val="25"/>
        <w:widowControl w:val="0"/>
        <w:tabs>
          <w:tab w:val="right" w:leader="dot" w:pos="8731"/>
        </w:tabs>
        <w:rPr>
          <w:rFonts w:hint="eastAsia" w:ascii="宋体" w:hAnsi="宋体" w:eastAsia="宋体" w:cs="宋体"/>
          <w:color w:val="auto"/>
        </w:rPr>
      </w:pPr>
      <w:r>
        <w:rPr>
          <w:color w:val="auto"/>
        </w:rPr>
        <w:fldChar w:fldCharType="begin"/>
      </w:r>
      <w:r>
        <w:rPr>
          <w:color w:val="auto"/>
        </w:rPr>
        <w:instrText xml:space="preserve"> HYPERLINK \l "_Toc5995" </w:instrText>
      </w:r>
      <w:r>
        <w:rPr>
          <w:color w:val="auto"/>
        </w:rPr>
        <w:fldChar w:fldCharType="separate"/>
      </w:r>
      <w:r>
        <w:rPr>
          <w:rFonts w:hint="eastAsia" w:ascii="宋体" w:hAnsi="宋体" w:eastAsia="宋体" w:cs="宋体"/>
          <w:color w:val="auto"/>
        </w:rPr>
        <w:t>第六章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_Toc5995 \h </w:instrText>
      </w:r>
      <w:r>
        <w:rPr>
          <w:rFonts w:hint="eastAsia" w:ascii="宋体" w:hAnsi="宋体" w:eastAsia="宋体" w:cs="宋体"/>
          <w:color w:val="auto"/>
        </w:rPr>
        <w:fldChar w:fldCharType="separate"/>
      </w:r>
      <w:r>
        <w:rPr>
          <w:rFonts w:hint="eastAsia" w:ascii="宋体" w:hAnsi="宋体" w:eastAsia="宋体" w:cs="宋体"/>
          <w:color w:val="auto"/>
        </w:rPr>
        <w:t>55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40B4046">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"_Toc8761" </w:instrText>
      </w:r>
      <w:r>
        <w:rPr>
          <w:color w:val="auto"/>
        </w:rPr>
        <w:fldChar w:fldCharType="separate"/>
      </w:r>
      <w:r>
        <w:rPr>
          <w:rFonts w:hint="eastAsia" w:ascii="宋体" w:hAnsi="宋体" w:eastAsia="宋体" w:cs="宋体"/>
          <w:bCs w:val="0"/>
          <w:color w:val="auto"/>
          <w:szCs w:val="28"/>
        </w:rPr>
        <w:t>一、投标函及投标函附录</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_Toc8761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58</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4DD3862B">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"_Toc17578" </w:instrText>
      </w:r>
      <w:r>
        <w:rPr>
          <w:color w:val="auto"/>
        </w:rPr>
        <w:fldChar w:fldCharType="separate"/>
      </w:r>
      <w:r>
        <w:rPr>
          <w:rFonts w:hint="eastAsia" w:ascii="宋体" w:hAnsi="宋体" w:eastAsia="宋体" w:cs="宋体"/>
          <w:bCs w:val="0"/>
          <w:color w:val="auto"/>
          <w:szCs w:val="28"/>
        </w:rPr>
        <w:t>二、法定代表人身份证明书</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_Toc17578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60</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256FFF2D">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"_Toc26614" </w:instrText>
      </w:r>
      <w:r>
        <w:rPr>
          <w:color w:val="auto"/>
        </w:rPr>
        <w:fldChar w:fldCharType="separate"/>
      </w:r>
      <w:r>
        <w:rPr>
          <w:rFonts w:hint="eastAsia" w:ascii="宋体" w:hAnsi="宋体" w:eastAsia="宋体" w:cs="宋体"/>
          <w:bCs w:val="0"/>
          <w:color w:val="auto"/>
          <w:szCs w:val="28"/>
        </w:rPr>
        <w:t>三、法定代表人授权委托书（如有）</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_Toc26614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61</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75553BBD">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"_Toc9382" </w:instrText>
      </w:r>
      <w:r>
        <w:rPr>
          <w:color w:val="auto"/>
        </w:rPr>
        <w:fldChar w:fldCharType="separate"/>
      </w:r>
      <w:r>
        <w:rPr>
          <w:rFonts w:hint="eastAsia" w:ascii="宋体" w:hAnsi="宋体" w:eastAsia="宋体" w:cs="宋体"/>
          <w:bCs w:val="0"/>
          <w:color w:val="auto"/>
          <w:szCs w:val="28"/>
          <w:lang w:eastAsia="zh-CN"/>
        </w:rPr>
        <w:t>四</w:t>
      </w:r>
      <w:r>
        <w:rPr>
          <w:rFonts w:hint="eastAsia" w:ascii="宋体" w:hAnsi="宋体" w:eastAsia="宋体" w:cs="宋体"/>
          <w:bCs w:val="0"/>
          <w:color w:val="auto"/>
          <w:szCs w:val="28"/>
        </w:rPr>
        <w:t>、投标报价表</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_Toc9382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62</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00984E97">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"_Toc26508" </w:instrText>
      </w:r>
      <w:r>
        <w:rPr>
          <w:color w:val="auto"/>
        </w:rPr>
        <w:fldChar w:fldCharType="separate"/>
      </w:r>
      <w:r>
        <w:rPr>
          <w:rFonts w:hint="eastAsia" w:ascii="宋体" w:hAnsi="宋体" w:eastAsia="宋体" w:cs="宋体"/>
          <w:bCs w:val="0"/>
          <w:color w:val="auto"/>
          <w:szCs w:val="28"/>
          <w:lang w:eastAsia="zh-CN"/>
        </w:rPr>
        <w:t>五</w:t>
      </w:r>
      <w:r>
        <w:rPr>
          <w:rFonts w:hint="eastAsia" w:ascii="宋体" w:hAnsi="宋体" w:eastAsia="宋体" w:cs="宋体"/>
          <w:bCs w:val="0"/>
          <w:color w:val="auto"/>
          <w:szCs w:val="28"/>
        </w:rPr>
        <w:t>、资格审查资料</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_Toc26508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63</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1A83A1B1">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"_Toc32525" </w:instrText>
      </w:r>
      <w:r>
        <w:rPr>
          <w:color w:val="auto"/>
        </w:rPr>
        <w:fldChar w:fldCharType="separate"/>
      </w:r>
      <w:r>
        <w:rPr>
          <w:rFonts w:hint="eastAsia" w:ascii="宋体" w:hAnsi="宋体" w:eastAsia="宋体" w:cs="宋体"/>
          <w:bCs w:val="0"/>
          <w:color w:val="auto"/>
          <w:szCs w:val="28"/>
          <w:lang w:eastAsia="zh-CN"/>
        </w:rPr>
        <w:t>六</w:t>
      </w:r>
      <w:r>
        <w:rPr>
          <w:rFonts w:hint="eastAsia" w:ascii="宋体" w:hAnsi="宋体" w:eastAsia="宋体" w:cs="宋体"/>
          <w:bCs w:val="0"/>
          <w:color w:val="auto"/>
          <w:szCs w:val="28"/>
        </w:rPr>
        <w:t>、商务部分</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_Toc32525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66</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7486C699">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"_Toc6502" </w:instrText>
      </w:r>
      <w:r>
        <w:rPr>
          <w:color w:val="auto"/>
        </w:rPr>
        <w:fldChar w:fldCharType="separate"/>
      </w:r>
      <w:r>
        <w:rPr>
          <w:rFonts w:hint="eastAsia" w:ascii="宋体" w:hAnsi="宋体" w:eastAsia="宋体" w:cs="宋体"/>
          <w:bCs w:val="0"/>
          <w:color w:val="auto"/>
          <w:szCs w:val="28"/>
          <w:lang w:eastAsia="zh-CN"/>
        </w:rPr>
        <w:t>七</w:t>
      </w:r>
      <w:r>
        <w:rPr>
          <w:rFonts w:hint="eastAsia" w:ascii="宋体" w:hAnsi="宋体" w:eastAsia="宋体" w:cs="宋体"/>
          <w:bCs w:val="0"/>
          <w:color w:val="auto"/>
          <w:szCs w:val="28"/>
        </w:rPr>
        <w:t>、技术部分</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_Toc6502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69</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223393F5">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"_Toc12736" </w:instrText>
      </w:r>
      <w:r>
        <w:rPr>
          <w:color w:val="auto"/>
        </w:rPr>
        <w:fldChar w:fldCharType="separate"/>
      </w:r>
      <w:r>
        <w:rPr>
          <w:rFonts w:hint="eastAsia" w:ascii="宋体" w:hAnsi="宋体" w:eastAsia="宋体" w:cs="宋体"/>
          <w:bCs w:val="0"/>
          <w:color w:val="auto"/>
          <w:szCs w:val="28"/>
          <w:lang w:eastAsia="zh-CN"/>
        </w:rPr>
        <w:t>八</w:t>
      </w:r>
      <w:r>
        <w:rPr>
          <w:rFonts w:hint="eastAsia" w:ascii="宋体" w:hAnsi="宋体" w:eastAsia="宋体" w:cs="宋体"/>
          <w:bCs w:val="0"/>
          <w:color w:val="auto"/>
          <w:szCs w:val="28"/>
        </w:rPr>
        <w:t>、物资投入及配置</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_Toc12736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70</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32690F06">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"_Toc21101" </w:instrText>
      </w:r>
      <w:r>
        <w:rPr>
          <w:color w:val="auto"/>
        </w:rPr>
        <w:fldChar w:fldCharType="separate"/>
      </w:r>
      <w:r>
        <w:rPr>
          <w:rFonts w:hint="eastAsia" w:ascii="宋体" w:hAnsi="宋体" w:eastAsia="宋体" w:cs="宋体"/>
          <w:bCs w:val="0"/>
          <w:color w:val="auto"/>
          <w:szCs w:val="28"/>
          <w:lang w:eastAsia="zh-CN"/>
        </w:rPr>
        <w:t>九</w:t>
      </w:r>
      <w:r>
        <w:rPr>
          <w:rFonts w:hint="eastAsia" w:ascii="宋体" w:hAnsi="宋体" w:eastAsia="宋体" w:cs="宋体"/>
          <w:bCs w:val="0"/>
          <w:color w:val="auto"/>
          <w:szCs w:val="28"/>
        </w:rPr>
        <w:t>、服务质量保证与承诺</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_Toc21101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71</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36603B11">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"_Toc4967" </w:instrText>
      </w:r>
      <w:r>
        <w:rPr>
          <w:color w:val="auto"/>
        </w:rPr>
        <w:fldChar w:fldCharType="separate"/>
      </w:r>
      <w:r>
        <w:rPr>
          <w:rFonts w:hint="eastAsia" w:ascii="宋体" w:hAnsi="宋体" w:eastAsia="宋体" w:cs="宋体"/>
          <w:bCs w:val="0"/>
          <w:color w:val="auto"/>
          <w:szCs w:val="28"/>
        </w:rPr>
        <w:t>十、合同条款的响应一览表</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_Toc4967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72</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6448A796">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"_Toc1767" </w:instrText>
      </w:r>
      <w:r>
        <w:rPr>
          <w:color w:val="auto"/>
        </w:rPr>
        <w:fldChar w:fldCharType="separate"/>
      </w:r>
      <w:r>
        <w:rPr>
          <w:rFonts w:hint="eastAsia" w:ascii="宋体" w:hAnsi="宋体" w:eastAsia="宋体" w:cs="宋体"/>
          <w:bCs w:val="0"/>
          <w:color w:val="auto"/>
          <w:szCs w:val="28"/>
        </w:rPr>
        <w:t>十</w:t>
      </w:r>
      <w:r>
        <w:rPr>
          <w:rFonts w:hint="eastAsia" w:ascii="宋体" w:hAnsi="宋体" w:eastAsia="宋体" w:cs="宋体"/>
          <w:bCs w:val="0"/>
          <w:color w:val="auto"/>
          <w:szCs w:val="28"/>
          <w:lang w:eastAsia="zh-CN"/>
        </w:rPr>
        <w:t>一</w:t>
      </w:r>
      <w:r>
        <w:rPr>
          <w:rFonts w:hint="eastAsia" w:ascii="宋体" w:hAnsi="宋体" w:eastAsia="宋体" w:cs="宋体"/>
          <w:bCs w:val="0"/>
          <w:color w:val="auto"/>
          <w:szCs w:val="28"/>
        </w:rPr>
        <w:t>、资料档案归档管理承诺书</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_Toc1767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73</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2D261CDB">
      <w:pPr>
        <w:pStyle w:val="2"/>
        <w:widowControl w:val="0"/>
        <w:tabs>
          <w:tab w:val="right" w:leader="dot" w:pos="8731"/>
        </w:tabs>
        <w:ind w:left="480" w:leftChars="200"/>
        <w:rPr>
          <w:rFonts w:hint="eastAsia" w:ascii="宋体" w:hAnsi="宋体" w:eastAsia="宋体" w:cs="宋体"/>
          <w:color w:val="auto"/>
          <w:szCs w:val="28"/>
        </w:rPr>
      </w:pPr>
      <w:r>
        <w:rPr>
          <w:color w:val="auto"/>
        </w:rPr>
        <w:fldChar w:fldCharType="begin"/>
      </w:r>
      <w:r>
        <w:rPr>
          <w:color w:val="auto"/>
        </w:rPr>
        <w:instrText xml:space="preserve"> HYPERLINK \l "_Toc27344" </w:instrText>
      </w:r>
      <w:r>
        <w:rPr>
          <w:color w:val="auto"/>
        </w:rPr>
        <w:fldChar w:fldCharType="separate"/>
      </w:r>
      <w:r>
        <w:rPr>
          <w:rFonts w:hint="eastAsia" w:ascii="宋体" w:hAnsi="宋体" w:eastAsia="宋体" w:cs="宋体"/>
          <w:bCs w:val="0"/>
          <w:color w:val="auto"/>
          <w:szCs w:val="28"/>
        </w:rPr>
        <w:t>十</w:t>
      </w:r>
      <w:r>
        <w:rPr>
          <w:rFonts w:hint="eastAsia" w:ascii="宋体" w:hAnsi="宋体" w:eastAsia="宋体" w:cs="宋体"/>
          <w:bCs w:val="0"/>
          <w:color w:val="auto"/>
          <w:szCs w:val="28"/>
          <w:lang w:eastAsia="zh-CN"/>
        </w:rPr>
        <w:t>二</w:t>
      </w:r>
      <w:r>
        <w:rPr>
          <w:rFonts w:hint="eastAsia" w:ascii="宋体" w:hAnsi="宋体" w:eastAsia="宋体" w:cs="宋体"/>
          <w:bCs w:val="0"/>
          <w:color w:val="auto"/>
          <w:szCs w:val="28"/>
        </w:rPr>
        <w:t>、投标人认为有必要的其他资料</w:t>
      </w:r>
      <w:r>
        <w:rPr>
          <w:rFonts w:hint="eastAsia" w:ascii="宋体" w:hAnsi="宋体" w:eastAsia="宋体" w:cs="宋体"/>
          <w:color w:val="auto"/>
          <w:szCs w:val="28"/>
        </w:rPr>
        <w:tab/>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PAGEREF _Toc27344 \h </w:instrText>
      </w:r>
      <w:r>
        <w:rPr>
          <w:rFonts w:hint="eastAsia" w:ascii="宋体" w:hAnsi="宋体" w:eastAsia="宋体" w:cs="宋体"/>
          <w:color w:val="auto"/>
          <w:szCs w:val="28"/>
        </w:rPr>
        <w:fldChar w:fldCharType="separate"/>
      </w:r>
      <w:r>
        <w:rPr>
          <w:rFonts w:hint="eastAsia" w:ascii="宋体" w:hAnsi="宋体" w:eastAsia="宋体" w:cs="宋体"/>
          <w:color w:val="auto"/>
          <w:szCs w:val="28"/>
        </w:rPr>
        <w:t>74</w:t>
      </w:r>
      <w:r>
        <w:rPr>
          <w:rFonts w:hint="eastAsia" w:ascii="宋体" w:hAnsi="宋体" w:eastAsia="宋体" w:cs="宋体"/>
          <w:color w:val="auto"/>
          <w:szCs w:val="28"/>
        </w:rPr>
        <w:fldChar w:fldCharType="end"/>
      </w:r>
      <w:r>
        <w:rPr>
          <w:rFonts w:hint="eastAsia" w:ascii="宋体" w:hAnsi="宋体" w:eastAsia="宋体" w:cs="宋体"/>
          <w:color w:val="auto"/>
          <w:szCs w:val="28"/>
        </w:rPr>
        <w:fldChar w:fldCharType="end"/>
      </w:r>
    </w:p>
    <w:p w14:paraId="4C746558">
      <w:pPr>
        <w:ind w:firstLine="480"/>
        <w:rPr>
          <w:rFonts w:hAnsi="宋体"/>
          <w:color w:val="auto"/>
          <w:sz w:val="28"/>
          <w:szCs w:val="28"/>
        </w:rPr>
      </w:pPr>
      <w:r>
        <w:rPr>
          <w:rFonts w:hAnsi="宋体"/>
          <w:color w:val="auto"/>
          <w:szCs w:val="28"/>
        </w:rPr>
        <w:fldChar w:fldCharType="end"/>
      </w:r>
    </w:p>
    <w:p w14:paraId="3D359212">
      <w:pPr>
        <w:spacing w:line="10" w:lineRule="exact"/>
        <w:ind w:firstLine="480"/>
        <w:rPr>
          <w:rFonts w:hAnsi="宋体"/>
          <w:color w:val="auto"/>
        </w:rPr>
      </w:pPr>
    </w:p>
    <w:p w14:paraId="400DBEE8">
      <w:pPr>
        <w:ind w:firstLine="480"/>
        <w:rPr>
          <w:color w:val="auto"/>
        </w:rPr>
      </w:pPr>
      <w:bookmarkStart w:id="15" w:name="_Toc2705"/>
      <w:bookmarkStart w:id="16" w:name="_Toc27917"/>
      <w:bookmarkStart w:id="17" w:name="_Toc28184"/>
      <w:bookmarkStart w:id="18" w:name="_Toc27412"/>
      <w:bookmarkStart w:id="19" w:name="_Toc14709204"/>
      <w:r>
        <w:rPr>
          <w:color w:val="auto"/>
        </w:rPr>
        <w:br w:type="page"/>
      </w:r>
    </w:p>
    <w:p w14:paraId="273A513E">
      <w:pPr>
        <w:ind w:firstLine="480"/>
        <w:rPr>
          <w:color w:val="auto"/>
        </w:rPr>
      </w:pPr>
    </w:p>
    <w:p w14:paraId="4FC7CFB1">
      <w:pPr>
        <w:ind w:firstLine="480"/>
        <w:rPr>
          <w:rFonts w:ascii="宋体" w:hAnsi="Times New Roman" w:eastAsia="宋体" w:cs="Times New Roman"/>
          <w:color w:val="auto"/>
        </w:rPr>
      </w:pPr>
    </w:p>
    <w:p w14:paraId="40FB25CA">
      <w:pPr>
        <w:pStyle w:val="3"/>
        <w:ind w:firstLine="0" w:firstLineChars="0"/>
        <w:jc w:val="center"/>
        <w:rPr>
          <w:color w:val="auto"/>
        </w:rPr>
      </w:pPr>
      <w:bookmarkStart w:id="20" w:name="_Toc13210"/>
      <w:bookmarkStart w:id="21" w:name="_Toc1160"/>
      <w:r>
        <w:rPr>
          <w:color w:val="auto"/>
        </w:rPr>
        <w:t>第一章</w:t>
      </w:r>
      <w:r>
        <w:rPr>
          <w:rFonts w:hint="eastAsia"/>
          <w:color w:val="auto"/>
        </w:rPr>
        <w:t xml:space="preserve">  </w:t>
      </w:r>
      <w:r>
        <w:rPr>
          <w:color w:val="auto"/>
        </w:rPr>
        <w:t>招标公告</w:t>
      </w:r>
      <w:bookmarkEnd w:id="15"/>
      <w:bookmarkEnd w:id="16"/>
      <w:bookmarkEnd w:id="17"/>
      <w:bookmarkEnd w:id="18"/>
      <w:bookmarkEnd w:id="19"/>
      <w:bookmarkEnd w:id="20"/>
      <w:bookmarkEnd w:id="21"/>
    </w:p>
    <w:p w14:paraId="5F598858">
      <w:pPr>
        <w:ind w:firstLine="480"/>
        <w:rPr>
          <w:rFonts w:hAnsi="宋体"/>
          <w:color w:val="auto"/>
        </w:rPr>
      </w:pPr>
    </w:p>
    <w:p w14:paraId="78F6D3A2">
      <w:pPr>
        <w:ind w:firstLine="563"/>
        <w:jc w:val="center"/>
        <w:rPr>
          <w:rFonts w:hint="eastAsia" w:hAnsi="宋体"/>
          <w:b/>
          <w:color w:val="auto"/>
          <w:spacing w:val="-20"/>
          <w:sz w:val="32"/>
          <w:szCs w:val="32"/>
          <w:u w:val="single"/>
        </w:rPr>
      </w:pPr>
      <w:r>
        <w:rPr>
          <w:rFonts w:hint="eastAsia" w:hAnsi="宋体"/>
          <w:b/>
          <w:color w:val="auto"/>
          <w:spacing w:val="-20"/>
          <w:sz w:val="32"/>
          <w:szCs w:val="32"/>
          <w:u w:val="single"/>
        </w:rPr>
        <w:t>（另册）</w:t>
      </w:r>
    </w:p>
    <w:p w14:paraId="73C0868E">
      <w:pPr>
        <w:widowControl w:val="0"/>
        <w:spacing w:line="240" w:lineRule="auto"/>
        <w:ind w:firstLine="0" w:firstLineChars="0"/>
        <w:rPr>
          <w:color w:val="auto"/>
        </w:rPr>
      </w:pPr>
      <w:bookmarkStart w:id="22" w:name="page12"/>
      <w:bookmarkEnd w:id="22"/>
      <w:bookmarkStart w:id="23" w:name="page14"/>
      <w:bookmarkEnd w:id="23"/>
      <w:bookmarkStart w:id="24" w:name="page15"/>
      <w:bookmarkEnd w:id="24"/>
      <w:bookmarkStart w:id="25" w:name="page16"/>
      <w:bookmarkEnd w:id="25"/>
      <w:bookmarkStart w:id="26" w:name="_Toc14709205"/>
      <w:bookmarkStart w:id="27" w:name="_Toc7855"/>
      <w:bookmarkStart w:id="28" w:name="_Toc12707"/>
      <w:bookmarkStart w:id="29" w:name="_Toc290"/>
      <w:bookmarkStart w:id="30" w:name="_Toc10310"/>
    </w:p>
    <w:p w14:paraId="1FE17BA6">
      <w:pPr>
        <w:widowControl w:val="0"/>
        <w:spacing w:line="240" w:lineRule="auto"/>
        <w:ind w:firstLine="0" w:firstLineChars="0"/>
        <w:rPr>
          <w:color w:val="auto"/>
        </w:rPr>
      </w:pPr>
      <w:r>
        <w:rPr>
          <w:color w:val="auto"/>
        </w:rPr>
        <w:br w:type="page"/>
      </w:r>
    </w:p>
    <w:p w14:paraId="7CD553B8">
      <w:pPr>
        <w:pStyle w:val="3"/>
        <w:ind w:firstLine="0" w:firstLineChars="0"/>
        <w:jc w:val="center"/>
        <w:rPr>
          <w:color w:val="auto"/>
        </w:rPr>
      </w:pPr>
      <w:bookmarkStart w:id="31" w:name="_Toc2781"/>
      <w:bookmarkStart w:id="32" w:name="_Toc9671"/>
      <w:r>
        <w:rPr>
          <w:color w:val="auto"/>
        </w:rPr>
        <w:t>第二章</w:t>
      </w:r>
      <w:r>
        <w:rPr>
          <w:rFonts w:hint="eastAsia"/>
          <w:color w:val="auto"/>
        </w:rPr>
        <w:t xml:space="preserve">  </w:t>
      </w:r>
      <w:r>
        <w:rPr>
          <w:color w:val="auto"/>
        </w:rPr>
        <w:t>投标人须知</w:t>
      </w:r>
      <w:bookmarkEnd w:id="26"/>
      <w:bookmarkEnd w:id="27"/>
      <w:bookmarkEnd w:id="28"/>
      <w:bookmarkEnd w:id="29"/>
      <w:bookmarkEnd w:id="30"/>
      <w:bookmarkEnd w:id="31"/>
      <w:bookmarkEnd w:id="32"/>
    </w:p>
    <w:p w14:paraId="1BD71045">
      <w:pPr>
        <w:spacing w:line="200" w:lineRule="exact"/>
        <w:ind w:firstLine="480"/>
        <w:rPr>
          <w:rFonts w:hAnsi="宋体"/>
          <w:color w:val="auto"/>
        </w:rPr>
      </w:pPr>
    </w:p>
    <w:p w14:paraId="630EF98C">
      <w:pPr>
        <w:pStyle w:val="3"/>
        <w:spacing w:line="240" w:lineRule="auto"/>
        <w:ind w:firstLine="883"/>
        <w:jc w:val="center"/>
        <w:rPr>
          <w:color w:val="auto"/>
          <w:sz w:val="36"/>
          <w:szCs w:val="36"/>
        </w:rPr>
      </w:pPr>
      <w:bookmarkStart w:id="33" w:name="_Toc18288"/>
      <w:bookmarkStart w:id="34" w:name="_Toc35513427"/>
      <w:bookmarkStart w:id="35" w:name="_Toc28322"/>
      <w:r>
        <w:rPr>
          <w:color w:val="auto"/>
          <w:sz w:val="36"/>
          <w:szCs w:val="36"/>
        </w:rPr>
        <w:t>投标人须知前附表</w:t>
      </w:r>
      <w:bookmarkEnd w:id="33"/>
      <w:bookmarkEnd w:id="34"/>
      <w:bookmarkEnd w:id="35"/>
    </w:p>
    <w:tbl>
      <w:tblPr>
        <w:tblStyle w:val="37"/>
        <w:tblW w:w="9907" w:type="dxa"/>
        <w:jc w:val="center"/>
        <w:tblLayout w:type="fixed"/>
        <w:tblCellMar>
          <w:top w:w="0" w:type="dxa"/>
          <w:left w:w="0" w:type="dxa"/>
          <w:bottom w:w="0" w:type="dxa"/>
          <w:right w:w="0" w:type="dxa"/>
        </w:tblCellMar>
      </w:tblPr>
      <w:tblGrid>
        <w:gridCol w:w="1023"/>
        <w:gridCol w:w="2228"/>
        <w:gridCol w:w="6656"/>
      </w:tblGrid>
      <w:tr w14:paraId="6948EC1C">
        <w:tblPrEx>
          <w:tblCellMar>
            <w:top w:w="0" w:type="dxa"/>
            <w:left w:w="0" w:type="dxa"/>
            <w:bottom w:w="0" w:type="dxa"/>
            <w:right w:w="0" w:type="dxa"/>
          </w:tblCellMar>
        </w:tblPrEx>
        <w:trPr>
          <w:trHeight w:val="533" w:hRule="atLeast"/>
          <w:tblHeader/>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4AE7A064">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b/>
                <w:color w:val="auto"/>
                <w:szCs w:val="24"/>
              </w:rPr>
            </w:pPr>
            <w:r>
              <w:rPr>
                <w:rFonts w:hint="eastAsia" w:hAnsi="宋体" w:cs="宋体"/>
                <w:b/>
                <w:color w:val="auto"/>
                <w:szCs w:val="24"/>
              </w:rPr>
              <w:t>条款号</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470E2B09">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b/>
                <w:color w:val="auto"/>
                <w:szCs w:val="24"/>
              </w:rPr>
            </w:pPr>
            <w:r>
              <w:rPr>
                <w:rFonts w:hint="eastAsia" w:hAnsi="宋体" w:cs="宋体"/>
                <w:b/>
                <w:color w:val="auto"/>
                <w:szCs w:val="24"/>
              </w:rPr>
              <w:t>条款名称</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048D44DE">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b/>
                <w:color w:val="auto"/>
                <w:szCs w:val="24"/>
              </w:rPr>
            </w:pPr>
            <w:r>
              <w:rPr>
                <w:rFonts w:hint="eastAsia" w:hAnsi="宋体" w:cs="宋体"/>
                <w:b/>
                <w:color w:val="auto"/>
                <w:szCs w:val="24"/>
              </w:rPr>
              <w:t>编列内容</w:t>
            </w:r>
          </w:p>
        </w:tc>
      </w:tr>
      <w:tr w14:paraId="0345F34D">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67E0F316">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1.1.2</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2985885E">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8"/>
                <w:szCs w:val="24"/>
              </w:rPr>
            </w:pPr>
            <w:r>
              <w:rPr>
                <w:rFonts w:hint="eastAsia" w:hAnsi="宋体" w:cs="宋体"/>
                <w:color w:val="auto"/>
                <w:szCs w:val="24"/>
              </w:rPr>
              <w:t>招标人</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0302D325">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eastAsia="宋体" w:cs="宋体"/>
                <w:color w:val="auto"/>
                <w:szCs w:val="24"/>
                <w:u w:val="single"/>
                <w:lang w:eastAsia="zh-CN"/>
              </w:rPr>
            </w:pPr>
            <w:r>
              <w:rPr>
                <w:rFonts w:hint="eastAsia" w:hAnsi="宋体" w:cs="宋体"/>
                <w:color w:val="auto"/>
                <w:szCs w:val="24"/>
                <w:u w:val="none"/>
              </w:rPr>
              <w:t>名称：</w:t>
            </w:r>
            <w:r>
              <w:rPr>
                <w:rFonts w:hint="eastAsia" w:hAnsi="宋体" w:cs="宋体"/>
                <w:color w:val="auto"/>
                <w:szCs w:val="24"/>
                <w:u w:val="single"/>
                <w:lang w:eastAsia="zh-CN"/>
              </w:rPr>
              <w:t>广东省财经职业技术学校</w:t>
            </w:r>
          </w:p>
          <w:p w14:paraId="21C1B87D">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eastAsia="宋体" w:cs="宋体"/>
                <w:color w:val="auto"/>
                <w:szCs w:val="24"/>
                <w:u w:val="single"/>
                <w:lang w:eastAsia="zh-CN"/>
              </w:rPr>
            </w:pPr>
            <w:r>
              <w:rPr>
                <w:rFonts w:hint="eastAsia" w:hAnsi="宋体" w:cs="宋体"/>
                <w:color w:val="auto"/>
                <w:szCs w:val="24"/>
                <w:u w:val="none"/>
              </w:rPr>
              <w:t>地址：</w:t>
            </w:r>
            <w:r>
              <w:rPr>
                <w:rFonts w:hint="eastAsia" w:hAnsi="宋体" w:cs="宋体"/>
                <w:color w:val="auto"/>
                <w:szCs w:val="24"/>
                <w:u w:val="single"/>
                <w:lang w:eastAsia="zh-CN"/>
              </w:rPr>
              <w:t>广东省佛山市南海区大沥镇金贸大道23号</w:t>
            </w:r>
          </w:p>
          <w:p w14:paraId="6DAF9A3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eastAsia="宋体" w:cs="宋体"/>
                <w:color w:val="auto"/>
                <w:szCs w:val="24"/>
                <w:u w:val="single"/>
                <w:lang w:eastAsia="zh-CN"/>
              </w:rPr>
            </w:pPr>
            <w:r>
              <w:rPr>
                <w:rFonts w:hint="eastAsia" w:hAnsi="宋体" w:cs="宋体"/>
                <w:color w:val="auto"/>
                <w:szCs w:val="24"/>
                <w:u w:val="none"/>
              </w:rPr>
              <w:t>联系人：</w:t>
            </w:r>
            <w:r>
              <w:rPr>
                <w:rFonts w:hint="eastAsia" w:hAnsi="宋体" w:cs="宋体"/>
                <w:color w:val="auto"/>
                <w:szCs w:val="24"/>
                <w:u w:val="single"/>
                <w:lang w:eastAsia="zh-CN"/>
              </w:rPr>
              <w:t>钟老师</w:t>
            </w:r>
          </w:p>
          <w:p w14:paraId="663B2FB9">
            <w:pPr>
              <w:keepNext w:val="0"/>
              <w:keepLines w:val="0"/>
              <w:widowControl w:val="0"/>
              <w:suppressLineNumbers w:val="0"/>
              <w:spacing w:before="0" w:beforeAutospacing="0" w:after="0" w:afterAutospacing="0" w:line="380" w:lineRule="exact"/>
              <w:ind w:left="120" w:leftChars="50" w:right="120" w:rightChars="50" w:firstLine="0" w:firstLineChars="0"/>
              <w:rPr>
                <w:rFonts w:hint="default" w:hAnsi="宋体" w:cs="宋体"/>
                <w:color w:val="auto"/>
                <w:szCs w:val="24"/>
                <w:u w:val="single"/>
              </w:rPr>
            </w:pPr>
            <w:r>
              <w:rPr>
                <w:rFonts w:hint="eastAsia" w:hAnsi="宋体" w:cs="宋体"/>
                <w:color w:val="auto"/>
                <w:szCs w:val="24"/>
                <w:u w:val="none"/>
              </w:rPr>
              <w:t>电话：</w:t>
            </w:r>
            <w:r>
              <w:rPr>
                <w:rFonts w:hint="eastAsia" w:hAnsi="宋体" w:cs="宋体"/>
                <w:color w:val="auto"/>
                <w:szCs w:val="24"/>
                <w:u w:val="single"/>
              </w:rPr>
              <w:t>020-</w:t>
            </w:r>
            <w:r>
              <w:rPr>
                <w:rFonts w:hint="eastAsia" w:hAnsi="宋体" w:cs="宋体"/>
                <w:color w:val="auto"/>
                <w:szCs w:val="24"/>
                <w:u w:val="single"/>
                <w:lang w:val="en-US" w:eastAsia="zh-CN"/>
              </w:rPr>
              <w:t>82282627</w:t>
            </w:r>
            <w:r>
              <w:rPr>
                <w:rFonts w:hint="eastAsia" w:hAnsi="宋体" w:cs="宋体"/>
                <w:color w:val="auto"/>
                <w:szCs w:val="24"/>
                <w:u w:val="single"/>
              </w:rPr>
              <w:t xml:space="preserve"> </w:t>
            </w:r>
          </w:p>
        </w:tc>
      </w:tr>
      <w:tr w14:paraId="67FB45BB">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115A3B99">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1.1.3</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70B66330">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招标代理机构</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354440D5">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eastAsia="宋体" w:cs="Times New Roman"/>
                <w:color w:val="auto"/>
                <w:szCs w:val="20"/>
                <w:lang w:eastAsia="zh-CN"/>
              </w:rPr>
            </w:pPr>
            <w:r>
              <w:rPr>
                <w:rFonts w:hint="eastAsia" w:hAnsi="Times New Roman" w:cs="Times New Roman"/>
                <w:color w:val="auto"/>
                <w:szCs w:val="20"/>
              </w:rPr>
              <w:t>名称：</w:t>
            </w:r>
            <w:r>
              <w:rPr>
                <w:rFonts w:hint="eastAsia" w:cs="Times New Roman"/>
                <w:color w:val="auto"/>
                <w:szCs w:val="20"/>
                <w:u w:val="single"/>
                <w:lang w:eastAsia="zh-CN"/>
              </w:rPr>
              <w:t>广东省建筑工程监理有限公司</w:t>
            </w:r>
          </w:p>
          <w:p w14:paraId="0648A18F">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eastAsia="宋体" w:cs="Times New Roman"/>
                <w:color w:val="auto"/>
                <w:szCs w:val="20"/>
                <w:lang w:eastAsia="zh-CN"/>
              </w:rPr>
            </w:pPr>
            <w:r>
              <w:rPr>
                <w:rFonts w:hint="eastAsia" w:hAnsi="Times New Roman" w:cs="Times New Roman"/>
                <w:color w:val="auto"/>
                <w:szCs w:val="20"/>
              </w:rPr>
              <w:t>地址：</w:t>
            </w:r>
            <w:r>
              <w:rPr>
                <w:rFonts w:hint="eastAsia" w:cs="Times New Roman"/>
                <w:color w:val="auto"/>
                <w:spacing w:val="-6"/>
                <w:szCs w:val="20"/>
                <w:u w:val="single"/>
                <w:lang w:eastAsia="zh-CN"/>
              </w:rPr>
              <w:t>广州市荔湾区流花路85号</w:t>
            </w:r>
          </w:p>
          <w:p w14:paraId="6D76AA6F">
            <w:pPr>
              <w:keepNext w:val="0"/>
              <w:keepLines w:val="0"/>
              <w:widowControl w:val="0"/>
              <w:suppressLineNumbers w:val="0"/>
              <w:spacing w:before="0" w:beforeAutospacing="0" w:after="0" w:afterAutospacing="0" w:line="380" w:lineRule="exact"/>
              <w:ind w:left="120" w:leftChars="50" w:right="120" w:rightChars="50" w:firstLine="0" w:firstLineChars="0"/>
              <w:rPr>
                <w:rFonts w:hint="default" w:hAnsi="Times New Roman" w:cs="Times New Roman"/>
                <w:color w:val="auto"/>
                <w:szCs w:val="20"/>
              </w:rPr>
            </w:pPr>
            <w:r>
              <w:rPr>
                <w:rFonts w:hint="eastAsia" w:hAnsi="Times New Roman" w:cs="Times New Roman"/>
                <w:color w:val="auto"/>
                <w:szCs w:val="20"/>
              </w:rPr>
              <w:t>联系人：</w:t>
            </w:r>
            <w:r>
              <w:rPr>
                <w:rFonts w:hint="eastAsia" w:ascii="宋体" w:hAnsi="宋体" w:cs="宋体"/>
                <w:color w:val="auto"/>
                <w:sz w:val="24"/>
                <w:szCs w:val="20"/>
                <w:u w:val="single"/>
                <w:lang w:val="en-US" w:eastAsia="zh-CN"/>
              </w:rPr>
              <w:t>胡</w:t>
            </w:r>
            <w:r>
              <w:rPr>
                <w:rFonts w:hint="eastAsia" w:ascii="宋体" w:hAnsi="宋体" w:cs="宋体"/>
                <w:color w:val="auto"/>
                <w:sz w:val="24"/>
                <w:szCs w:val="20"/>
                <w:u w:val="single"/>
              </w:rPr>
              <w:t>工</w:t>
            </w:r>
          </w:p>
          <w:p w14:paraId="781EB0F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cs="Times New Roman"/>
                <w:color w:val="auto"/>
                <w:szCs w:val="20"/>
              </w:rPr>
            </w:pPr>
            <w:r>
              <w:rPr>
                <w:rFonts w:hint="eastAsia" w:hAnsi="Times New Roman" w:cs="Times New Roman"/>
                <w:color w:val="auto"/>
                <w:szCs w:val="20"/>
              </w:rPr>
              <w:t>电话：</w:t>
            </w:r>
            <w:r>
              <w:rPr>
                <w:rFonts w:hint="eastAsia" w:ascii="宋体" w:hAnsi="宋体" w:cs="宋体"/>
                <w:color w:val="auto"/>
                <w:sz w:val="24"/>
                <w:szCs w:val="24"/>
                <w:u w:val="single"/>
                <w:shd w:val="clear" w:color="auto" w:fill="FFFFFF"/>
                <w:lang w:val="en-US" w:eastAsia="zh-CN"/>
              </w:rPr>
              <w:t>18520550102</w:t>
            </w:r>
          </w:p>
          <w:p w14:paraId="5A0DB89C">
            <w:pPr>
              <w:pStyle w:val="82"/>
              <w:keepNext w:val="0"/>
              <w:keepLines w:val="0"/>
              <w:suppressLineNumbers w:val="0"/>
              <w:spacing w:before="0" w:beforeAutospacing="0" w:after="0" w:afterAutospacing="0" w:line="380" w:lineRule="exact"/>
              <w:ind w:left="120" w:leftChars="50" w:right="120" w:rightChars="50"/>
              <w:rPr>
                <w:rFonts w:hint="default" w:ascii="Times New Roman" w:hAnsi="Times New Roman" w:cs="Times New Roman"/>
                <w:color w:val="auto"/>
              </w:rPr>
            </w:pPr>
            <w:r>
              <w:rPr>
                <w:rFonts w:hint="eastAsia" w:ascii="宋体" w:hAnsi="Times New Roman" w:cs="Times New Roman"/>
                <w:color w:val="auto"/>
                <w:szCs w:val="22"/>
              </w:rPr>
              <w:t>电子邮箱：</w:t>
            </w:r>
            <w:r>
              <w:rPr>
                <w:rFonts w:hint="eastAsia" w:ascii="宋体" w:cs="Times New Roman"/>
                <w:color w:val="auto"/>
                <w:szCs w:val="22"/>
                <w:u w:val="single"/>
                <w:lang w:val="en-US" w:eastAsia="zh-CN"/>
              </w:rPr>
              <w:t>gdsjlzb@163</w:t>
            </w:r>
            <w:r>
              <w:rPr>
                <w:rFonts w:hint="eastAsia" w:ascii="宋体" w:hAnsi="Times New Roman" w:cs="Times New Roman"/>
                <w:color w:val="auto"/>
                <w:szCs w:val="22"/>
                <w:u w:val="single"/>
              </w:rPr>
              <w:t>.com</w:t>
            </w:r>
          </w:p>
        </w:tc>
      </w:tr>
      <w:tr w14:paraId="465ED216">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3A7EA8B3">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1.1.4</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23C0958F">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招标项目名称</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4B4E07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u w:val="single"/>
                <w:lang w:eastAsia="zh-CN"/>
              </w:rPr>
              <w:t>广东省财经职业技术学校新校区建设项目全过程造价咨询服务</w:t>
            </w:r>
          </w:p>
        </w:tc>
      </w:tr>
      <w:tr w14:paraId="6F717DB8">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5860E778">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1.1.5</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37145726">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项目建设地点</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FDA84A3">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详见招标公告。</w:t>
            </w:r>
          </w:p>
        </w:tc>
      </w:tr>
      <w:tr w14:paraId="15EC6887">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3353C845">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1.1.6</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499A7118">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项目建设规模</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591536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详见招标公告。</w:t>
            </w:r>
          </w:p>
        </w:tc>
      </w:tr>
      <w:tr w14:paraId="0B461FDD">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261B803E">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1.1.7</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6E92B5F8">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工程项目施工预计开工日期和建设周期</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9DC76AD">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0"/>
                <w:u w:val="single"/>
              </w:rPr>
              <w:t>具体时间以合同为准。</w:t>
            </w:r>
          </w:p>
        </w:tc>
      </w:tr>
      <w:tr w14:paraId="6B7968CD">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23D80721">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1.1.8</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731E8D4D">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建筑安装工程费/工程概算</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AB1F2A9">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1"/>
              </w:rPr>
              <w:t>详见招标公告。</w:t>
            </w:r>
          </w:p>
        </w:tc>
      </w:tr>
      <w:tr w14:paraId="1CA27F14">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51D099AE">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1.2.1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36ADC215">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资金来源及比例</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B3BF6C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u w:val="single"/>
              </w:rPr>
            </w:pPr>
            <w:r>
              <w:rPr>
                <w:rFonts w:hint="eastAsia" w:hAnsi="宋体" w:cs="宋体"/>
                <w:color w:val="auto"/>
                <w:szCs w:val="21"/>
              </w:rPr>
              <w:t>详见招标公告。</w:t>
            </w:r>
          </w:p>
        </w:tc>
      </w:tr>
      <w:tr w14:paraId="20818622">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7C38D1B6">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1.2.2</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272335D5">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资金落实情况</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A9DBAA9">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已落实。</w:t>
            </w:r>
          </w:p>
        </w:tc>
      </w:tr>
      <w:tr w14:paraId="04B82433">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324186F9">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1.3.1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164EA288">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招标范围</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54F43F35">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u w:val="single"/>
              </w:rPr>
              <w:t>详见本项目招标公告。</w:t>
            </w:r>
          </w:p>
        </w:tc>
      </w:tr>
      <w:tr w14:paraId="79555367">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7339D0E3">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1.3.2</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7FC77F6E">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造价咨询服务期限</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4CD0F80D">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详见招标公告。</w:t>
            </w:r>
          </w:p>
        </w:tc>
      </w:tr>
      <w:tr w14:paraId="47A0F32B">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09EB76EB">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1.3.3</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6DAE5690">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质量标准</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23EA214">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u w:val="single"/>
              </w:rPr>
              <w:t>满足“委托人要求”。</w:t>
            </w:r>
          </w:p>
        </w:tc>
      </w:tr>
      <w:tr w14:paraId="6782D78E">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5C03F9F8">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1.4.1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4212F224">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投标人资质条件、能力、信誉</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23FB77B1">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（1）资质要求：</w:t>
            </w:r>
            <w:r>
              <w:rPr>
                <w:rFonts w:hint="eastAsia" w:hAnsi="宋体" w:cs="宋体"/>
                <w:color w:val="auto"/>
                <w:szCs w:val="24"/>
                <w:u w:val="single"/>
              </w:rPr>
              <w:t>见招标公告投标人资格要求。</w:t>
            </w:r>
          </w:p>
          <w:p w14:paraId="79405F48">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（2）财务要求：</w:t>
            </w:r>
            <w:r>
              <w:rPr>
                <w:rFonts w:hint="eastAsia" w:hAnsi="宋体" w:cs="宋体"/>
                <w:color w:val="auto"/>
                <w:szCs w:val="24"/>
                <w:u w:val="single"/>
              </w:rPr>
              <w:t xml:space="preserve"> / 。</w:t>
            </w:r>
          </w:p>
          <w:p w14:paraId="521F1401">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（3）业绩要求：</w:t>
            </w:r>
            <w:r>
              <w:rPr>
                <w:rFonts w:hint="eastAsia" w:hAnsi="宋体" w:cs="宋体"/>
                <w:color w:val="auto"/>
                <w:szCs w:val="24"/>
                <w:u w:val="single"/>
              </w:rPr>
              <w:t xml:space="preserve"> / 。</w:t>
            </w:r>
          </w:p>
          <w:p w14:paraId="602C401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（4）信誉要求：</w:t>
            </w:r>
            <w:r>
              <w:rPr>
                <w:rFonts w:hint="eastAsia" w:hAnsi="宋体" w:cs="宋体"/>
                <w:color w:val="auto"/>
                <w:szCs w:val="24"/>
                <w:u w:val="single"/>
              </w:rPr>
              <w:t xml:space="preserve"> / 。</w:t>
            </w:r>
          </w:p>
          <w:p w14:paraId="674F5E5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u w:val="single"/>
              </w:rPr>
            </w:pPr>
            <w:bookmarkStart w:id="36" w:name="auto_fouce_4"/>
            <w:r>
              <w:rPr>
                <w:rFonts w:hint="eastAsia" w:hAnsi="宋体" w:cs="宋体"/>
                <w:color w:val="auto"/>
                <w:szCs w:val="24"/>
              </w:rPr>
              <w:t>（5）项目负责人要求：</w:t>
            </w:r>
            <w:r>
              <w:rPr>
                <w:rFonts w:hint="eastAsia" w:hAnsi="宋体" w:cs="宋体"/>
                <w:color w:val="auto"/>
                <w:szCs w:val="24"/>
                <w:u w:val="single"/>
              </w:rPr>
              <w:t>见招标公告投标人资格要求。</w:t>
            </w:r>
            <w:bookmarkEnd w:id="36"/>
          </w:p>
          <w:p w14:paraId="0BF817E7">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（6）其他主要人员要求：</w:t>
            </w:r>
            <w:r>
              <w:rPr>
                <w:rFonts w:hint="eastAsia" w:hAnsi="宋体" w:cs="宋体"/>
                <w:color w:val="auto"/>
                <w:szCs w:val="24"/>
                <w:u w:val="single"/>
              </w:rPr>
              <w:t xml:space="preserve"> / 。</w:t>
            </w:r>
          </w:p>
          <w:p w14:paraId="05EF3091">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（7）试验检测仪器设备要求</w:t>
            </w:r>
            <w:r>
              <w:rPr>
                <w:rFonts w:hint="eastAsia" w:hAnsi="宋体" w:cs="宋体"/>
                <w:color w:val="auto"/>
                <w:szCs w:val="24"/>
                <w:u w:val="single"/>
              </w:rPr>
              <w:t xml:space="preserve"> / 。</w:t>
            </w:r>
          </w:p>
          <w:p w14:paraId="34EF708F">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w:t>
            </w:r>
            <w:r>
              <w:rPr>
                <w:rFonts w:hint="default" w:hAnsi="宋体" w:cs="宋体"/>
                <w:color w:val="auto"/>
                <w:szCs w:val="24"/>
              </w:rPr>
              <w:t>8</w:t>
            </w:r>
            <w:r>
              <w:rPr>
                <w:rFonts w:hint="eastAsia" w:hAnsi="宋体" w:cs="宋体"/>
                <w:color w:val="auto"/>
                <w:szCs w:val="24"/>
              </w:rPr>
              <w:t>）其他要求：</w:t>
            </w:r>
            <w:r>
              <w:rPr>
                <w:rFonts w:hint="eastAsia" w:hAnsi="宋体" w:cs="宋体"/>
                <w:color w:val="auto"/>
                <w:szCs w:val="24"/>
                <w:u w:val="single"/>
              </w:rPr>
              <w:t>见招标公告投标人资格要求。</w:t>
            </w:r>
          </w:p>
        </w:tc>
      </w:tr>
      <w:tr w14:paraId="30DD197B">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695D3BCD">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1.4.2</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1D5D65F1">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lang w:bidi="ar"/>
              </w:rPr>
              <w:t>是否接受联合体投标</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38C0D90A">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b/>
                <w:color w:val="auto"/>
                <w:szCs w:val="24"/>
                <w:lang w:bidi="ar"/>
              </w:rPr>
              <w:t>■</w:t>
            </w:r>
            <w:r>
              <w:rPr>
                <w:rFonts w:hint="eastAsia" w:hAnsi="宋体" w:cs="宋体"/>
                <w:color w:val="auto"/>
                <w:szCs w:val="24"/>
                <w:lang w:bidi="ar"/>
              </w:rPr>
              <w:t>不接受</w:t>
            </w:r>
          </w:p>
          <w:p w14:paraId="1D13F18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lang w:bidi="ar"/>
              </w:rPr>
              <w:t>□接受，应满足下列要求：</w:t>
            </w:r>
            <w:r>
              <w:rPr>
                <w:rFonts w:hint="eastAsia" w:hAnsi="宋体" w:cs="宋体"/>
                <w:color w:val="auto"/>
                <w:szCs w:val="24"/>
                <w:u w:val="single"/>
              </w:rPr>
              <w:t xml:space="preserve"> / </w:t>
            </w:r>
          </w:p>
        </w:tc>
      </w:tr>
      <w:tr w14:paraId="2804B547">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4" w:space="0"/>
              <w:right w:val="single" w:color="auto" w:sz="8" w:space="0"/>
            </w:tcBorders>
            <w:noWrap w:val="0"/>
            <w:vAlign w:val="center"/>
          </w:tcPr>
          <w:p w14:paraId="680CF569">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1.4.3</w:t>
            </w:r>
          </w:p>
        </w:tc>
        <w:tc>
          <w:tcPr>
            <w:tcW w:w="2228" w:type="dxa"/>
            <w:tcBorders>
              <w:top w:val="single" w:color="auto" w:sz="8" w:space="0"/>
              <w:left w:val="single" w:color="auto" w:sz="8" w:space="0"/>
              <w:bottom w:val="single" w:color="auto" w:sz="4" w:space="0"/>
              <w:right w:val="single" w:color="auto" w:sz="8" w:space="0"/>
            </w:tcBorders>
            <w:noWrap w:val="0"/>
            <w:vAlign w:val="center"/>
          </w:tcPr>
          <w:p w14:paraId="6F9007B6">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lang w:bidi="ar"/>
              </w:rPr>
              <w:t>投标人不得存在的其他情形</w:t>
            </w:r>
          </w:p>
        </w:tc>
        <w:tc>
          <w:tcPr>
            <w:tcW w:w="6656" w:type="dxa"/>
            <w:tcBorders>
              <w:top w:val="single" w:color="auto" w:sz="8" w:space="0"/>
              <w:left w:val="single" w:color="auto" w:sz="8" w:space="0"/>
              <w:bottom w:val="single" w:color="auto" w:sz="4" w:space="0"/>
              <w:right w:val="single" w:color="auto" w:sz="8" w:space="0"/>
            </w:tcBorders>
            <w:noWrap w:val="0"/>
            <w:vAlign w:val="center"/>
          </w:tcPr>
          <w:p w14:paraId="22910E23">
            <w:pPr>
              <w:keepNext w:val="0"/>
              <w:keepLines w:val="0"/>
              <w:widowControl w:val="0"/>
              <w:suppressLineNumbers w:val="0"/>
              <w:wordWrap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w:t>
            </w:r>
          </w:p>
        </w:tc>
      </w:tr>
      <w:tr w14:paraId="4948508F">
        <w:tblPrEx>
          <w:tblCellMar>
            <w:top w:w="0" w:type="dxa"/>
            <w:left w:w="0" w:type="dxa"/>
            <w:bottom w:w="0" w:type="dxa"/>
            <w:right w:w="0" w:type="dxa"/>
          </w:tblCellMar>
        </w:tblPrEx>
        <w:trPr>
          <w:trHeight w:val="533" w:hRule="atLeast"/>
          <w:jc w:val="center"/>
        </w:trPr>
        <w:tc>
          <w:tcPr>
            <w:tcW w:w="1023" w:type="dxa"/>
            <w:tcBorders>
              <w:top w:val="single" w:color="auto" w:sz="4" w:space="0"/>
              <w:left w:val="single" w:color="auto" w:sz="4" w:space="0"/>
              <w:bottom w:val="single" w:color="auto" w:sz="4" w:space="0"/>
              <w:right w:val="single" w:color="auto" w:sz="8" w:space="0"/>
            </w:tcBorders>
            <w:noWrap w:val="0"/>
            <w:vAlign w:val="center"/>
          </w:tcPr>
          <w:p w14:paraId="6C64E359">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1.9.1</w:t>
            </w:r>
          </w:p>
        </w:tc>
        <w:tc>
          <w:tcPr>
            <w:tcW w:w="2228" w:type="dxa"/>
            <w:tcBorders>
              <w:top w:val="single" w:color="auto" w:sz="4" w:space="0"/>
              <w:left w:val="single" w:color="auto" w:sz="8" w:space="0"/>
              <w:bottom w:val="single" w:color="auto" w:sz="4" w:space="0"/>
              <w:right w:val="single" w:color="auto" w:sz="8" w:space="0"/>
            </w:tcBorders>
            <w:noWrap w:val="0"/>
            <w:vAlign w:val="center"/>
          </w:tcPr>
          <w:p w14:paraId="0D9CD236">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lang w:bidi="ar"/>
              </w:rPr>
            </w:pPr>
            <w:r>
              <w:rPr>
                <w:rFonts w:hint="eastAsia" w:hAnsi="宋体" w:cs="宋体"/>
                <w:color w:val="auto"/>
                <w:szCs w:val="24"/>
                <w:lang w:bidi="ar"/>
              </w:rPr>
              <w:t>踏勘现场</w:t>
            </w:r>
          </w:p>
        </w:tc>
        <w:tc>
          <w:tcPr>
            <w:tcW w:w="6656" w:type="dxa"/>
            <w:tcBorders>
              <w:top w:val="single" w:color="auto" w:sz="4" w:space="0"/>
              <w:left w:val="single" w:color="auto" w:sz="8" w:space="0"/>
              <w:bottom w:val="single" w:color="auto" w:sz="4" w:space="0"/>
              <w:right w:val="single" w:color="auto" w:sz="4" w:space="0"/>
            </w:tcBorders>
            <w:noWrap w:val="0"/>
            <w:vAlign w:val="center"/>
          </w:tcPr>
          <w:p w14:paraId="21B85856">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eastAsia="宋体" w:cs="Times New Roman"/>
                <w:color w:val="auto"/>
                <w:szCs w:val="20"/>
                <w:lang w:eastAsia="zh-CN"/>
              </w:rPr>
            </w:pPr>
            <w:r>
              <w:rPr>
                <w:rFonts w:hint="eastAsia" w:hAnsi="Times New Roman" w:cs="Times New Roman"/>
                <w:color w:val="auto"/>
                <w:szCs w:val="20"/>
              </w:rPr>
              <w:t>■不组织，由投标人自行踏勘。</w:t>
            </w:r>
            <w:bookmarkStart w:id="37" w:name="auto_fouce_5"/>
          </w:p>
          <w:bookmarkEnd w:id="37"/>
          <w:p w14:paraId="6D0C6175">
            <w:pPr>
              <w:pStyle w:val="10"/>
              <w:rPr>
                <w:rFonts w:hint="eastAsia" w:hAnsi="Times New Roman" w:cs="Times New Roman"/>
                <w:color w:val="auto"/>
                <w:sz w:val="24"/>
                <w:szCs w:val="20"/>
              </w:rPr>
            </w:pPr>
            <w:r>
              <w:rPr>
                <w:rFonts w:hint="eastAsia" w:hAnsi="Times New Roman" w:cs="Times New Roman"/>
                <w:color w:val="auto"/>
                <w:sz w:val="24"/>
                <w:szCs w:val="20"/>
              </w:rPr>
              <w:t>补充说明如下：</w:t>
            </w:r>
          </w:p>
          <w:p w14:paraId="39CF4A76">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cs="Times New Roman"/>
                <w:color w:val="auto"/>
                <w:szCs w:val="20"/>
              </w:rPr>
            </w:pPr>
            <w:r>
              <w:rPr>
                <w:rFonts w:hint="eastAsia" w:hAnsi="Times New Roman" w:cs="Times New Roman"/>
                <w:color w:val="auto"/>
                <w:szCs w:val="20"/>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5ED79D54">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cs="Times New Roman"/>
                <w:color w:val="auto"/>
                <w:szCs w:val="20"/>
              </w:rPr>
            </w:pPr>
            <w:r>
              <w:rPr>
                <w:rFonts w:hint="eastAsia" w:hAnsi="Times New Roman" w:cs="Times New Roman"/>
                <w:color w:val="auto"/>
                <w:szCs w:val="20"/>
              </w:rPr>
              <w:t>（2）投标人及其代表进入考察的现场，须自行承担那些进入现场后，由于他们的行为所造成的人身伤害（不管是否致命）、财产损失或损坏，以及其他任何原因造成的损失、损坏或费用等风险。招标人对此不负任何责任。</w:t>
            </w:r>
          </w:p>
          <w:p w14:paraId="1F6316FF">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cs="Times New Roman"/>
                <w:color w:val="auto"/>
                <w:szCs w:val="20"/>
              </w:rPr>
            </w:pPr>
            <w:r>
              <w:rPr>
                <w:rFonts w:hint="eastAsia" w:hAnsi="Times New Roman" w:cs="Times New Roman"/>
                <w:color w:val="auto"/>
                <w:szCs w:val="20"/>
              </w:rPr>
              <w:t>（3）由招标人提供的资料和数据，只是为了使投标人能够利用招标人现有的资料。招标人对投标人由此而作出的推论、解释和结论概不负责。</w:t>
            </w:r>
          </w:p>
          <w:p w14:paraId="5E5A10F7">
            <w:pPr>
              <w:keepNext w:val="0"/>
              <w:keepLines w:val="0"/>
              <w:widowControl/>
              <w:suppressLineNumbers w:val="0"/>
              <w:spacing w:before="0" w:beforeAutospacing="0" w:after="0" w:afterAutospacing="0" w:line="380" w:lineRule="exact"/>
              <w:ind w:left="120" w:leftChars="50" w:right="120" w:rightChars="50" w:firstLine="0" w:firstLineChars="0"/>
              <w:rPr>
                <w:rFonts w:hint="eastAsia" w:hAnsi="Times New Roman" w:cs="Times New Roman"/>
                <w:color w:val="auto"/>
                <w:szCs w:val="20"/>
              </w:rPr>
            </w:pPr>
            <w:r>
              <w:rPr>
                <w:rFonts w:hint="eastAsia" w:hAnsi="Times New Roman" w:cs="Times New Roman"/>
                <w:color w:val="auto"/>
                <w:szCs w:val="20"/>
              </w:rPr>
              <w:t>□组织，踏勘时间：</w:t>
            </w:r>
            <w:r>
              <w:rPr>
                <w:rFonts w:hint="eastAsia" w:hAnsi="宋体" w:cs="宋体"/>
                <w:color w:val="auto"/>
                <w:szCs w:val="24"/>
                <w:u w:val="single"/>
              </w:rPr>
              <w:t xml:space="preserve"> / </w:t>
            </w:r>
          </w:p>
        </w:tc>
      </w:tr>
      <w:tr w14:paraId="33CD88F4">
        <w:tblPrEx>
          <w:tblCellMar>
            <w:top w:w="0" w:type="dxa"/>
            <w:left w:w="0" w:type="dxa"/>
            <w:bottom w:w="0" w:type="dxa"/>
            <w:right w:w="0" w:type="dxa"/>
          </w:tblCellMar>
        </w:tblPrEx>
        <w:trPr>
          <w:trHeight w:val="533" w:hRule="atLeast"/>
          <w:jc w:val="center"/>
        </w:trPr>
        <w:tc>
          <w:tcPr>
            <w:tcW w:w="1023" w:type="dxa"/>
            <w:tcBorders>
              <w:top w:val="single" w:color="auto" w:sz="4" w:space="0"/>
              <w:left w:val="single" w:color="auto" w:sz="8" w:space="0"/>
              <w:bottom w:val="single" w:color="auto" w:sz="4" w:space="0"/>
              <w:right w:val="single" w:color="auto" w:sz="8" w:space="0"/>
            </w:tcBorders>
            <w:noWrap w:val="0"/>
            <w:vAlign w:val="center"/>
          </w:tcPr>
          <w:p w14:paraId="5B08EC6C">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1.10.1</w:t>
            </w:r>
          </w:p>
        </w:tc>
        <w:tc>
          <w:tcPr>
            <w:tcW w:w="2228" w:type="dxa"/>
            <w:tcBorders>
              <w:top w:val="single" w:color="auto" w:sz="4" w:space="0"/>
              <w:left w:val="single" w:color="auto" w:sz="8" w:space="0"/>
              <w:bottom w:val="single" w:color="auto" w:sz="4" w:space="0"/>
              <w:right w:val="single" w:color="auto" w:sz="8" w:space="0"/>
            </w:tcBorders>
            <w:noWrap w:val="0"/>
            <w:vAlign w:val="center"/>
          </w:tcPr>
          <w:p w14:paraId="1A64620B">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lang w:bidi="ar"/>
              </w:rPr>
            </w:pPr>
            <w:r>
              <w:rPr>
                <w:rFonts w:hint="eastAsia" w:hAnsi="宋体" w:cs="宋体"/>
                <w:color w:val="auto"/>
                <w:szCs w:val="24"/>
                <w:lang w:bidi="ar"/>
              </w:rPr>
              <w:t>投标预备会</w:t>
            </w:r>
          </w:p>
        </w:tc>
        <w:tc>
          <w:tcPr>
            <w:tcW w:w="6656" w:type="dxa"/>
            <w:tcBorders>
              <w:top w:val="single" w:color="auto" w:sz="4" w:space="0"/>
              <w:left w:val="single" w:color="auto" w:sz="8" w:space="0"/>
              <w:bottom w:val="single" w:color="auto" w:sz="4" w:space="0"/>
              <w:right w:val="single" w:color="auto" w:sz="8" w:space="0"/>
            </w:tcBorders>
            <w:noWrap w:val="0"/>
            <w:vAlign w:val="center"/>
          </w:tcPr>
          <w:p w14:paraId="69F0050C">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b/>
                <w:color w:val="auto"/>
                <w:szCs w:val="24"/>
                <w:lang w:bidi="ar"/>
              </w:rPr>
              <w:t>■</w:t>
            </w:r>
            <w:r>
              <w:rPr>
                <w:rFonts w:hint="eastAsia" w:hAnsi="宋体" w:cs="宋体"/>
                <w:color w:val="auto"/>
                <w:szCs w:val="24"/>
                <w:lang w:bidi="ar"/>
              </w:rPr>
              <w:t>不召开</w:t>
            </w:r>
          </w:p>
          <w:p w14:paraId="4AAF9E1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lang w:bidi="ar"/>
              </w:rPr>
              <w:t>□召开，召开时间：</w:t>
            </w:r>
            <w:r>
              <w:rPr>
                <w:rFonts w:hint="eastAsia" w:hAnsi="宋体" w:cs="宋体"/>
                <w:color w:val="auto"/>
                <w:szCs w:val="24"/>
                <w:u w:val="single"/>
              </w:rPr>
              <w:t xml:space="preserve"> / </w:t>
            </w:r>
          </w:p>
          <w:p w14:paraId="3A8C335C">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lang w:bidi="ar"/>
              </w:rPr>
              <w:t>召开地点：</w:t>
            </w:r>
            <w:r>
              <w:rPr>
                <w:rFonts w:hint="eastAsia" w:hAnsi="宋体" w:cs="宋体"/>
                <w:color w:val="auto"/>
                <w:szCs w:val="24"/>
                <w:u w:val="single"/>
              </w:rPr>
              <w:t xml:space="preserve"> / </w:t>
            </w:r>
          </w:p>
        </w:tc>
      </w:tr>
      <w:tr w14:paraId="7969D248">
        <w:tblPrEx>
          <w:tblCellMar>
            <w:top w:w="0" w:type="dxa"/>
            <w:left w:w="0" w:type="dxa"/>
            <w:bottom w:w="0" w:type="dxa"/>
            <w:right w:w="0" w:type="dxa"/>
          </w:tblCellMar>
        </w:tblPrEx>
        <w:trPr>
          <w:trHeight w:val="533"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14:paraId="0866A7D4">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1.10.2</w:t>
            </w:r>
          </w:p>
        </w:tc>
        <w:tc>
          <w:tcPr>
            <w:tcW w:w="2228" w:type="dxa"/>
            <w:tcBorders>
              <w:top w:val="single" w:color="auto" w:sz="4" w:space="0"/>
              <w:left w:val="single" w:color="auto" w:sz="4" w:space="0"/>
              <w:bottom w:val="single" w:color="auto" w:sz="4" w:space="0"/>
              <w:right w:val="single" w:color="auto" w:sz="4" w:space="0"/>
            </w:tcBorders>
            <w:noWrap w:val="0"/>
            <w:vAlign w:val="center"/>
          </w:tcPr>
          <w:p w14:paraId="0D174183">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lang w:bidi="ar"/>
              </w:rPr>
            </w:pPr>
            <w:r>
              <w:rPr>
                <w:rFonts w:hint="eastAsia" w:hAnsi="宋体" w:cs="宋体"/>
                <w:color w:val="auto"/>
                <w:szCs w:val="24"/>
                <w:lang w:bidi="ar"/>
              </w:rPr>
              <w:t>投标人在投标预备会前提出问题</w:t>
            </w:r>
          </w:p>
        </w:tc>
        <w:tc>
          <w:tcPr>
            <w:tcW w:w="6656" w:type="dxa"/>
            <w:tcBorders>
              <w:top w:val="single" w:color="auto" w:sz="4" w:space="0"/>
              <w:left w:val="single" w:color="auto" w:sz="4" w:space="0"/>
              <w:bottom w:val="single" w:color="auto" w:sz="4" w:space="0"/>
              <w:right w:val="single" w:color="auto" w:sz="4" w:space="0"/>
            </w:tcBorders>
            <w:noWrap w:val="0"/>
            <w:vAlign w:val="center"/>
          </w:tcPr>
          <w:p w14:paraId="3FE99FF1">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ascii="宋体" w:hAnsi="宋体" w:eastAsia="宋体" w:cs="宋体"/>
                <w:color w:val="auto"/>
                <w:sz w:val="24"/>
                <w:szCs w:val="24"/>
                <w:u w:val="single"/>
              </w:rPr>
              <w:t>本项目不召开投标预备会</w:t>
            </w:r>
            <w:r>
              <w:rPr>
                <w:rFonts w:hint="eastAsia" w:ascii="宋体" w:hAnsi="宋体" w:eastAsia="宋体" w:cs="宋体"/>
                <w:color w:val="auto"/>
                <w:sz w:val="24"/>
                <w:szCs w:val="24"/>
              </w:rPr>
              <w:t>。</w:t>
            </w:r>
          </w:p>
        </w:tc>
      </w:tr>
      <w:tr w14:paraId="76F568D1">
        <w:tblPrEx>
          <w:tblCellMar>
            <w:top w:w="0" w:type="dxa"/>
            <w:left w:w="0" w:type="dxa"/>
            <w:bottom w:w="0" w:type="dxa"/>
            <w:right w:w="0" w:type="dxa"/>
          </w:tblCellMar>
        </w:tblPrEx>
        <w:trPr>
          <w:trHeight w:val="533" w:hRule="atLeast"/>
          <w:jc w:val="center"/>
        </w:trPr>
        <w:tc>
          <w:tcPr>
            <w:tcW w:w="1023" w:type="dxa"/>
            <w:tcBorders>
              <w:top w:val="single" w:color="auto" w:sz="4" w:space="0"/>
              <w:left w:val="single" w:color="auto" w:sz="8" w:space="0"/>
              <w:bottom w:val="single" w:color="auto" w:sz="8" w:space="0"/>
              <w:right w:val="single" w:color="auto" w:sz="8" w:space="0"/>
            </w:tcBorders>
            <w:noWrap w:val="0"/>
            <w:vAlign w:val="center"/>
          </w:tcPr>
          <w:p w14:paraId="7DDC0E99">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1.10.3</w:t>
            </w:r>
          </w:p>
        </w:tc>
        <w:tc>
          <w:tcPr>
            <w:tcW w:w="2228" w:type="dxa"/>
            <w:tcBorders>
              <w:top w:val="single" w:color="auto" w:sz="4" w:space="0"/>
              <w:left w:val="single" w:color="auto" w:sz="8" w:space="0"/>
              <w:bottom w:val="single" w:color="auto" w:sz="8" w:space="0"/>
              <w:right w:val="single" w:color="auto" w:sz="8" w:space="0"/>
            </w:tcBorders>
            <w:noWrap w:val="0"/>
            <w:vAlign w:val="center"/>
          </w:tcPr>
          <w:p w14:paraId="07D86560">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lang w:bidi="ar"/>
              </w:rPr>
            </w:pPr>
            <w:r>
              <w:rPr>
                <w:rFonts w:hint="eastAsia" w:hAnsi="宋体" w:cs="宋体"/>
                <w:color w:val="auto"/>
                <w:szCs w:val="24"/>
                <w:lang w:bidi="ar"/>
              </w:rPr>
              <w:t>招标文件澄清发出的形式</w:t>
            </w:r>
          </w:p>
        </w:tc>
        <w:tc>
          <w:tcPr>
            <w:tcW w:w="6656" w:type="dxa"/>
            <w:tcBorders>
              <w:top w:val="single" w:color="auto" w:sz="4" w:space="0"/>
              <w:left w:val="single" w:color="auto" w:sz="8" w:space="0"/>
              <w:bottom w:val="single" w:color="auto" w:sz="8" w:space="0"/>
              <w:right w:val="single" w:color="auto" w:sz="8" w:space="0"/>
            </w:tcBorders>
            <w:noWrap w:val="0"/>
            <w:vAlign w:val="center"/>
          </w:tcPr>
          <w:p w14:paraId="6B494F16">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lang w:bidi="ar"/>
              </w:rPr>
            </w:pPr>
            <w:r>
              <w:rPr>
                <w:rFonts w:hint="eastAsia" w:hAnsi="宋体" w:cs="宋体"/>
                <w:color w:val="auto"/>
                <w:szCs w:val="24"/>
                <w:u w:val="single"/>
                <w:lang w:bidi="ar"/>
              </w:rPr>
              <w:t xml:space="preserve"> / </w:t>
            </w:r>
            <w:r>
              <w:rPr>
                <w:rFonts w:hint="eastAsia" w:hAnsi="宋体" w:cs="宋体"/>
                <w:color w:val="auto"/>
                <w:szCs w:val="24"/>
              </w:rPr>
              <w:t>（此为投标预备会的答疑澄清）</w:t>
            </w:r>
          </w:p>
        </w:tc>
      </w:tr>
      <w:tr w14:paraId="3742FBFA">
        <w:tblPrEx>
          <w:tblCellMar>
            <w:top w:w="0" w:type="dxa"/>
            <w:left w:w="0" w:type="dxa"/>
            <w:bottom w:w="0" w:type="dxa"/>
            <w:right w:w="0" w:type="dxa"/>
          </w:tblCellMar>
        </w:tblPrEx>
        <w:trPr>
          <w:trHeight w:val="533" w:hRule="atLeast"/>
          <w:jc w:val="center"/>
        </w:trPr>
        <w:tc>
          <w:tcPr>
            <w:tcW w:w="1023" w:type="dxa"/>
            <w:tcBorders>
              <w:top w:val="single" w:color="auto" w:sz="4" w:space="0"/>
              <w:left w:val="single" w:color="auto" w:sz="8" w:space="0"/>
              <w:bottom w:val="single" w:color="auto" w:sz="8" w:space="0"/>
              <w:right w:val="single" w:color="auto" w:sz="8" w:space="0"/>
            </w:tcBorders>
            <w:noWrap w:val="0"/>
            <w:vAlign w:val="center"/>
          </w:tcPr>
          <w:p w14:paraId="4F442E84">
            <w:pPr>
              <w:keepNext w:val="0"/>
              <w:keepLines w:val="0"/>
              <w:widowControl/>
              <w:suppressLineNumbers w:val="0"/>
              <w:spacing w:before="0" w:beforeAutospacing="0" w:after="0" w:afterAutospacing="0" w:line="312" w:lineRule="auto"/>
              <w:ind w:left="120" w:leftChars="50" w:right="120" w:rightChars="50" w:firstLine="0" w:firstLineChars="0"/>
              <w:rPr>
                <w:rFonts w:hint="eastAsia" w:hAnsi="宋体" w:cs="宋体"/>
                <w:color w:val="auto"/>
                <w:szCs w:val="24"/>
              </w:rPr>
            </w:pPr>
            <w:r>
              <w:rPr>
                <w:rFonts w:hint="eastAsia" w:hAnsi="宋体" w:cs="宋体"/>
                <w:color w:val="auto"/>
                <w:szCs w:val="24"/>
              </w:rPr>
              <w:t>1.11.1</w:t>
            </w:r>
          </w:p>
        </w:tc>
        <w:tc>
          <w:tcPr>
            <w:tcW w:w="2228" w:type="dxa"/>
            <w:tcBorders>
              <w:top w:val="single" w:color="auto" w:sz="4" w:space="0"/>
              <w:left w:val="single" w:color="auto" w:sz="8" w:space="0"/>
              <w:bottom w:val="single" w:color="auto" w:sz="8" w:space="0"/>
              <w:right w:val="single" w:color="auto" w:sz="8" w:space="0"/>
            </w:tcBorders>
            <w:noWrap w:val="0"/>
            <w:vAlign w:val="center"/>
          </w:tcPr>
          <w:p w14:paraId="0734A3B2">
            <w:pPr>
              <w:keepNext w:val="0"/>
              <w:keepLines w:val="0"/>
              <w:widowControl/>
              <w:suppressLineNumbers w:val="0"/>
              <w:spacing w:before="0" w:beforeAutospacing="0" w:after="0" w:afterAutospacing="0" w:line="380" w:lineRule="exact"/>
              <w:ind w:left="120" w:right="120" w:firstLine="0" w:firstLineChars="0"/>
              <w:jc w:val="left"/>
              <w:rPr>
                <w:rFonts w:hint="eastAsia" w:hAnsi="宋体" w:cs="宋体"/>
                <w:color w:val="auto"/>
                <w:szCs w:val="24"/>
                <w:lang w:bidi="ar"/>
              </w:rPr>
            </w:pPr>
            <w:r>
              <w:rPr>
                <w:rFonts w:hint="eastAsia" w:hAnsi="宋体" w:cs="宋体"/>
                <w:color w:val="auto"/>
                <w:szCs w:val="24"/>
                <w:lang w:bidi="ar"/>
              </w:rPr>
              <w:t>分包</w:t>
            </w:r>
          </w:p>
        </w:tc>
        <w:tc>
          <w:tcPr>
            <w:tcW w:w="6656" w:type="dxa"/>
            <w:tcBorders>
              <w:top w:val="single" w:color="auto" w:sz="4" w:space="0"/>
              <w:left w:val="single" w:color="auto" w:sz="8" w:space="0"/>
              <w:bottom w:val="single" w:color="auto" w:sz="8" w:space="0"/>
              <w:right w:val="single" w:color="auto" w:sz="8" w:space="0"/>
            </w:tcBorders>
            <w:noWrap w:val="0"/>
            <w:vAlign w:val="center"/>
          </w:tcPr>
          <w:p w14:paraId="6B0FBAF7">
            <w:pPr>
              <w:keepNext w:val="0"/>
              <w:keepLines w:val="0"/>
              <w:widowControl/>
              <w:suppressLineNumbers w:val="0"/>
              <w:spacing w:before="0" w:beforeAutospacing="0" w:after="0" w:afterAutospacing="0" w:line="380" w:lineRule="exact"/>
              <w:ind w:left="120" w:right="120" w:firstLine="0" w:firstLineChars="0"/>
              <w:jc w:val="left"/>
              <w:rPr>
                <w:rFonts w:hint="eastAsia" w:hAnsi="宋体" w:cs="宋体"/>
                <w:color w:val="auto"/>
                <w:szCs w:val="24"/>
                <w:lang w:bidi="ar"/>
              </w:rPr>
            </w:pPr>
            <w:r>
              <w:rPr>
                <w:rFonts w:hint="eastAsia" w:hAnsi="宋体" w:cs="宋体"/>
                <w:color w:val="auto"/>
                <w:szCs w:val="24"/>
                <w:lang w:bidi="ar"/>
              </w:rPr>
              <w:t>■不允许</w:t>
            </w:r>
          </w:p>
          <w:p w14:paraId="11FB01FA">
            <w:pPr>
              <w:keepNext w:val="0"/>
              <w:keepLines w:val="0"/>
              <w:widowControl/>
              <w:suppressLineNumbers w:val="0"/>
              <w:spacing w:before="0" w:beforeAutospacing="0" w:after="0" w:afterAutospacing="0" w:line="380" w:lineRule="exact"/>
              <w:ind w:left="120" w:right="120" w:firstLine="0" w:firstLineChars="0"/>
              <w:jc w:val="left"/>
              <w:rPr>
                <w:rFonts w:hint="eastAsia" w:hAnsi="宋体" w:cs="宋体"/>
                <w:color w:val="auto"/>
                <w:szCs w:val="24"/>
                <w:lang w:bidi="ar"/>
              </w:rPr>
            </w:pPr>
            <w:r>
              <w:rPr>
                <w:rFonts w:hint="eastAsia" w:hAnsi="宋体" w:cs="宋体"/>
                <w:color w:val="auto"/>
                <w:szCs w:val="24"/>
                <w:lang w:bidi="ar"/>
              </w:rPr>
              <w:t>□允许，分包内容要求：</w:t>
            </w:r>
          </w:p>
          <w:p w14:paraId="32D33A29">
            <w:pPr>
              <w:keepNext w:val="0"/>
              <w:keepLines w:val="0"/>
              <w:widowControl/>
              <w:suppressLineNumbers w:val="0"/>
              <w:spacing w:before="0" w:beforeAutospacing="0" w:after="0" w:afterAutospacing="0" w:line="380" w:lineRule="exact"/>
              <w:ind w:left="120" w:right="120" w:firstLine="0" w:firstLineChars="0"/>
              <w:jc w:val="left"/>
              <w:rPr>
                <w:rFonts w:hint="default" w:hAnsi="宋体" w:cs="宋体"/>
                <w:color w:val="auto"/>
                <w:szCs w:val="24"/>
                <w:lang w:bidi="ar"/>
              </w:rPr>
            </w:pPr>
            <w:r>
              <w:rPr>
                <w:rFonts w:hint="eastAsia" w:hAnsi="宋体" w:cs="宋体"/>
                <w:color w:val="auto"/>
                <w:szCs w:val="24"/>
                <w:lang w:bidi="ar"/>
              </w:rPr>
              <w:t>分包金额要求：</w:t>
            </w:r>
            <w:r>
              <w:rPr>
                <w:rFonts w:hint="eastAsia" w:hAnsi="宋体" w:cs="宋体"/>
                <w:color w:val="auto"/>
                <w:szCs w:val="24"/>
                <w:u w:val="single"/>
                <w:lang w:bidi="ar"/>
              </w:rPr>
              <w:t xml:space="preserve"> / </w:t>
            </w:r>
          </w:p>
          <w:p w14:paraId="39BDA8A3">
            <w:pPr>
              <w:keepNext w:val="0"/>
              <w:keepLines w:val="0"/>
              <w:widowControl/>
              <w:suppressLineNumbers w:val="0"/>
              <w:spacing w:before="0" w:beforeAutospacing="0" w:after="0" w:afterAutospacing="0" w:line="380" w:lineRule="exact"/>
              <w:ind w:left="120" w:right="120" w:firstLine="0" w:firstLineChars="0"/>
              <w:jc w:val="left"/>
              <w:rPr>
                <w:rFonts w:hint="eastAsia" w:hAnsi="宋体" w:cs="宋体"/>
                <w:color w:val="auto"/>
                <w:szCs w:val="24"/>
                <w:lang w:bidi="ar"/>
              </w:rPr>
            </w:pPr>
            <w:r>
              <w:rPr>
                <w:rFonts w:hint="eastAsia" w:hAnsi="宋体" w:cs="宋体"/>
                <w:color w:val="auto"/>
                <w:szCs w:val="24"/>
                <w:lang w:bidi="ar"/>
              </w:rPr>
              <w:t>对分包人的资质要求：</w:t>
            </w:r>
            <w:r>
              <w:rPr>
                <w:rFonts w:hint="eastAsia" w:hAnsi="宋体" w:cs="宋体"/>
                <w:color w:val="auto"/>
                <w:szCs w:val="24"/>
                <w:u w:val="single"/>
                <w:lang w:bidi="ar"/>
              </w:rPr>
              <w:t xml:space="preserve"> / </w:t>
            </w:r>
            <w:r>
              <w:rPr>
                <w:rFonts w:hint="eastAsia" w:hAnsi="宋体" w:cs="宋体"/>
                <w:color w:val="auto"/>
                <w:szCs w:val="24"/>
                <w:lang w:bidi="ar"/>
              </w:rPr>
              <w:t>。</w:t>
            </w:r>
          </w:p>
        </w:tc>
      </w:tr>
      <w:tr w14:paraId="3298613D">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64490DCD">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1.12.1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30C41B58">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lang w:bidi="ar"/>
              </w:rPr>
            </w:pPr>
            <w:r>
              <w:rPr>
                <w:rFonts w:hint="eastAsia" w:hAnsi="宋体" w:cs="宋体"/>
                <w:color w:val="auto"/>
                <w:szCs w:val="24"/>
                <w:lang w:bidi="ar"/>
              </w:rPr>
              <w:t>实质性要求和条件</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78CDFE8">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lang w:bidi="ar"/>
              </w:rPr>
            </w:pPr>
            <w:r>
              <w:rPr>
                <w:rFonts w:hint="eastAsia" w:hAnsi="宋体" w:cs="宋体"/>
                <w:color w:val="auto"/>
                <w:szCs w:val="24"/>
                <w:u w:val="single"/>
              </w:rPr>
              <w:t xml:space="preserve"> / </w:t>
            </w:r>
          </w:p>
        </w:tc>
      </w:tr>
      <w:tr w14:paraId="2B396F5B">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7B30F6E3">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1.12.2</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75BA7FAA">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偏差</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CCDF39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b/>
                <w:color w:val="auto"/>
                <w:szCs w:val="24"/>
                <w:lang w:bidi="ar"/>
              </w:rPr>
              <w:t>■</w:t>
            </w:r>
            <w:r>
              <w:rPr>
                <w:rFonts w:hint="eastAsia" w:hAnsi="宋体" w:cs="宋体"/>
                <w:color w:val="auto"/>
                <w:szCs w:val="24"/>
              </w:rPr>
              <w:t>不允许</w:t>
            </w:r>
          </w:p>
          <w:p w14:paraId="109AF862">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□允许，偏差范围：</w:t>
            </w:r>
            <w:r>
              <w:rPr>
                <w:rFonts w:hint="eastAsia" w:hAnsi="宋体" w:cs="宋体"/>
                <w:color w:val="auto"/>
                <w:szCs w:val="24"/>
                <w:u w:val="single"/>
              </w:rPr>
              <w:t xml:space="preserve"> / </w:t>
            </w:r>
          </w:p>
          <w:p w14:paraId="70C634FD">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偏差幅度：</w:t>
            </w:r>
            <w:r>
              <w:rPr>
                <w:rFonts w:hint="eastAsia" w:hAnsi="宋体" w:cs="宋体"/>
                <w:color w:val="auto"/>
                <w:szCs w:val="24"/>
                <w:u w:val="single"/>
              </w:rPr>
              <w:t xml:space="preserve"> / </w:t>
            </w:r>
          </w:p>
        </w:tc>
      </w:tr>
      <w:tr w14:paraId="516F4B6E">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4B3C2970">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2.1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4A2B64E0">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lang w:bidi="ar"/>
              </w:rPr>
              <w:t>构成招标文件的其他资料</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72C588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lang w:bidi="ar"/>
              </w:rPr>
              <w:t>答疑纪要、澄清文件等（如有）。</w:t>
            </w:r>
          </w:p>
        </w:tc>
      </w:tr>
      <w:tr w14:paraId="41B92EC6">
        <w:tblPrEx>
          <w:tblCellMar>
            <w:top w:w="0" w:type="dxa"/>
            <w:left w:w="0" w:type="dxa"/>
            <w:bottom w:w="0" w:type="dxa"/>
            <w:right w:w="0" w:type="dxa"/>
          </w:tblCellMar>
        </w:tblPrEx>
        <w:trPr>
          <w:trHeight w:val="533" w:hRule="atLeast"/>
          <w:jc w:val="center"/>
        </w:trPr>
        <w:tc>
          <w:tcPr>
            <w:tcW w:w="1023" w:type="dxa"/>
            <w:vMerge w:val="restart"/>
            <w:tcBorders>
              <w:top w:val="single" w:color="auto" w:sz="8" w:space="0"/>
              <w:left w:val="single" w:color="auto" w:sz="8" w:space="0"/>
              <w:bottom w:val="single" w:color="auto" w:sz="8" w:space="0"/>
              <w:right w:val="single" w:color="auto" w:sz="8" w:space="0"/>
            </w:tcBorders>
            <w:noWrap w:val="0"/>
            <w:vAlign w:val="center"/>
          </w:tcPr>
          <w:p w14:paraId="08A08CA1">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2.2.1</w:t>
            </w:r>
          </w:p>
        </w:tc>
        <w:tc>
          <w:tcPr>
            <w:tcW w:w="2228" w:type="dxa"/>
            <w:vMerge w:val="restart"/>
            <w:tcBorders>
              <w:top w:val="single" w:color="auto" w:sz="8" w:space="0"/>
              <w:left w:val="single" w:color="auto" w:sz="8" w:space="0"/>
              <w:bottom w:val="single" w:color="auto" w:sz="8" w:space="0"/>
              <w:right w:val="single" w:color="auto" w:sz="8" w:space="0"/>
            </w:tcBorders>
            <w:noWrap w:val="0"/>
            <w:vAlign w:val="center"/>
          </w:tcPr>
          <w:p w14:paraId="2655835C">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投标人要求澄清招标文件</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426A66A1">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时间：在递交投标文件截止时间18日前提出。</w:t>
            </w:r>
          </w:p>
        </w:tc>
      </w:tr>
      <w:tr w14:paraId="025B49C4">
        <w:tblPrEx>
          <w:tblCellMar>
            <w:top w:w="0" w:type="dxa"/>
            <w:left w:w="0" w:type="dxa"/>
            <w:bottom w:w="0" w:type="dxa"/>
            <w:right w:w="0" w:type="dxa"/>
          </w:tblCellMar>
        </w:tblPrEx>
        <w:trPr>
          <w:trHeight w:val="533" w:hRule="atLeast"/>
          <w:jc w:val="center"/>
        </w:trPr>
        <w:tc>
          <w:tcPr>
            <w:tcW w:w="1023" w:type="dxa"/>
            <w:vMerge w:val="continue"/>
            <w:tcBorders>
              <w:top w:val="single" w:color="auto" w:sz="8" w:space="0"/>
              <w:left w:val="single" w:color="auto" w:sz="8" w:space="0"/>
              <w:bottom w:val="single" w:color="auto" w:sz="8" w:space="0"/>
              <w:right w:val="single" w:color="auto" w:sz="8" w:space="0"/>
            </w:tcBorders>
            <w:noWrap w:val="0"/>
            <w:vAlign w:val="center"/>
          </w:tcPr>
          <w:p w14:paraId="6C339C3A">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p>
        </w:tc>
        <w:tc>
          <w:tcPr>
            <w:tcW w:w="2228" w:type="dxa"/>
            <w:vMerge w:val="continue"/>
            <w:tcBorders>
              <w:top w:val="single" w:color="auto" w:sz="8" w:space="0"/>
              <w:left w:val="single" w:color="auto" w:sz="8" w:space="0"/>
              <w:bottom w:val="single" w:color="auto" w:sz="8" w:space="0"/>
              <w:right w:val="single" w:color="auto" w:sz="8" w:space="0"/>
            </w:tcBorders>
            <w:noWrap w:val="0"/>
            <w:vAlign w:val="center"/>
          </w:tcPr>
          <w:p w14:paraId="45A77504">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p>
        </w:tc>
        <w:tc>
          <w:tcPr>
            <w:tcW w:w="6656" w:type="dxa"/>
            <w:tcBorders>
              <w:top w:val="single" w:color="auto" w:sz="8" w:space="0"/>
              <w:left w:val="single" w:color="auto" w:sz="8" w:space="0"/>
              <w:bottom w:val="single" w:color="auto" w:sz="8" w:space="0"/>
              <w:right w:val="single" w:color="auto" w:sz="8" w:space="0"/>
            </w:tcBorders>
            <w:noWrap w:val="0"/>
            <w:vAlign w:val="center"/>
          </w:tcPr>
          <w:p w14:paraId="6E2822D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形式：招标答疑采用网上答疑方式进行。投标人若对招标文件有疑问的，可在规定的时间内通过广州交易集团有限公司（广州公共资源交易中心）网站进入提问区域将问题提交给招标人或招标代理人，提交问题时一律不得署名。</w:t>
            </w:r>
          </w:p>
          <w:p w14:paraId="110E713D">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14:paraId="3348560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具体操作方法详见广州交易集团有限公司（广州公共资源交易中心）网站发布的相关建设工程全流程电子化项目操作指南。</w:t>
            </w:r>
          </w:p>
        </w:tc>
      </w:tr>
      <w:tr w14:paraId="383BF1ED">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68C2C294">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2.2.2</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295A04B2">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lang w:bidi="ar"/>
              </w:rPr>
              <w:t>招标文件澄清发出的形式</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2B8F39ED">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eastAsia="宋体" w:cs="宋体"/>
                <w:color w:val="auto"/>
                <w:szCs w:val="24"/>
                <w:lang w:eastAsia="zh-CN"/>
              </w:rPr>
            </w:pPr>
            <w:r>
              <w:rPr>
                <w:rFonts w:hint="eastAsia" w:ascii="宋体" w:hAnsi="宋体" w:eastAsia="宋体" w:cs="宋体"/>
                <w:color w:val="auto"/>
                <w:sz w:val="24"/>
                <w:szCs w:val="24"/>
              </w:rPr>
              <w:t>时间：</w:t>
            </w:r>
            <w:r>
              <w:rPr>
                <w:rFonts w:hint="eastAsia" w:hAnsi="宋体" w:cs="宋体"/>
                <w:color w:val="auto"/>
                <w:szCs w:val="24"/>
              </w:rPr>
              <w:t>在投标截止时间15</w:t>
            </w:r>
            <w:r>
              <w:rPr>
                <w:rFonts w:hint="eastAsia" w:hAnsi="宋体" w:cs="宋体"/>
                <w:color w:val="auto"/>
                <w:szCs w:val="24"/>
                <w:lang w:eastAsia="zh-CN"/>
              </w:rPr>
              <w:t>日</w:t>
            </w:r>
            <w:r>
              <w:rPr>
                <w:rFonts w:hint="eastAsia" w:hAnsi="宋体" w:cs="宋体"/>
                <w:color w:val="auto"/>
                <w:szCs w:val="24"/>
              </w:rPr>
              <w:t>前</w:t>
            </w:r>
            <w:r>
              <w:rPr>
                <w:rFonts w:hint="eastAsia" w:hAnsi="宋体" w:cs="宋体"/>
                <w:color w:val="auto"/>
                <w:szCs w:val="24"/>
                <w:lang w:eastAsia="zh-CN"/>
              </w:rPr>
              <w:t>。</w:t>
            </w:r>
          </w:p>
          <w:p w14:paraId="44B9D4DA">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ascii="宋体" w:hAnsi="宋体" w:eastAsia="宋体" w:cs="宋体"/>
                <w:color w:val="auto"/>
                <w:sz w:val="24"/>
                <w:szCs w:val="24"/>
              </w:rPr>
              <w:t>形式：</w:t>
            </w:r>
            <w:r>
              <w:rPr>
                <w:rFonts w:hint="eastAsia" w:hAnsi="宋体" w:cs="宋体"/>
                <w:color w:val="auto"/>
                <w:szCs w:val="24"/>
              </w:rPr>
              <w:t>在广州交易集团有限公司（广州公共资源交易中心）网站</w:t>
            </w:r>
            <w:r>
              <w:rPr>
                <w:rFonts w:hint="eastAsia" w:hAnsi="宋体" w:cs="宋体"/>
                <w:color w:val="auto"/>
                <w:szCs w:val="21"/>
              </w:rPr>
              <w:t>通过</w:t>
            </w:r>
            <w:r>
              <w:rPr>
                <w:rFonts w:hint="eastAsia" w:hAnsi="宋体" w:cs="宋体"/>
                <w:color w:val="auto"/>
                <w:szCs w:val="21"/>
                <w:u w:val="single"/>
              </w:rPr>
              <w:t>“</w:t>
            </w:r>
            <w:r>
              <w:rPr>
                <w:color w:val="auto"/>
              </w:rPr>
              <w:fldChar w:fldCharType="begin"/>
            </w:r>
            <w:r>
              <w:rPr>
                <w:color w:val="auto"/>
              </w:rPr>
              <w:instrText xml:space="preserve"> HYPERLINK "http://ggzy.gz.gov.cn/xmcxjsgc/index.jhtml" </w:instrText>
            </w:r>
            <w:r>
              <w:rPr>
                <w:color w:val="auto"/>
              </w:rPr>
              <w:fldChar w:fldCharType="separate"/>
            </w:r>
            <w:r>
              <w:rPr>
                <w:rStyle w:val="43"/>
                <w:rFonts w:hint="eastAsia" w:hAnsi="宋体" w:cs="宋体"/>
                <w:color w:val="auto"/>
                <w:szCs w:val="20"/>
                <w:u w:val="single"/>
              </w:rPr>
              <w:t>项目查询(日程安排、答疑纪要)</w:t>
            </w:r>
            <w:r>
              <w:rPr>
                <w:rStyle w:val="43"/>
                <w:rFonts w:hint="eastAsia" w:hAnsi="宋体" w:cs="宋体"/>
                <w:color w:val="auto"/>
                <w:szCs w:val="20"/>
                <w:u w:val="single"/>
              </w:rPr>
              <w:fldChar w:fldCharType="end"/>
            </w:r>
            <w:r>
              <w:rPr>
                <w:rFonts w:hint="eastAsia" w:hAnsi="宋体" w:cs="宋体"/>
                <w:color w:val="auto"/>
                <w:szCs w:val="21"/>
                <w:u w:val="single"/>
              </w:rPr>
              <w:t>”</w:t>
            </w:r>
            <w:r>
              <w:rPr>
                <w:rFonts w:hint="eastAsia" w:hAnsi="宋体" w:cs="宋体"/>
                <w:color w:val="auto"/>
                <w:szCs w:val="21"/>
              </w:rPr>
              <w:t>专区网上公开发布。</w:t>
            </w:r>
          </w:p>
        </w:tc>
      </w:tr>
      <w:tr w14:paraId="36CDC23D">
        <w:tblPrEx>
          <w:tblCellMar>
            <w:top w:w="0" w:type="dxa"/>
            <w:left w:w="0" w:type="dxa"/>
            <w:bottom w:w="0" w:type="dxa"/>
            <w:right w:w="0" w:type="dxa"/>
          </w:tblCellMar>
        </w:tblPrEx>
        <w:trPr>
          <w:trHeight w:val="533" w:hRule="atLeast"/>
          <w:jc w:val="center"/>
        </w:trPr>
        <w:tc>
          <w:tcPr>
            <w:tcW w:w="1023" w:type="dxa"/>
            <w:vMerge w:val="restart"/>
            <w:tcBorders>
              <w:top w:val="single" w:color="auto" w:sz="8" w:space="0"/>
              <w:left w:val="single" w:color="auto" w:sz="8" w:space="0"/>
              <w:bottom w:val="single" w:color="auto" w:sz="8" w:space="0"/>
              <w:right w:val="single" w:color="auto" w:sz="8" w:space="0"/>
            </w:tcBorders>
            <w:noWrap w:val="0"/>
            <w:vAlign w:val="center"/>
          </w:tcPr>
          <w:p w14:paraId="436A93F7">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2.2.3</w:t>
            </w:r>
          </w:p>
        </w:tc>
        <w:tc>
          <w:tcPr>
            <w:tcW w:w="2228" w:type="dxa"/>
            <w:vMerge w:val="restart"/>
            <w:tcBorders>
              <w:top w:val="single" w:color="auto" w:sz="8" w:space="0"/>
              <w:left w:val="single" w:color="auto" w:sz="8" w:space="0"/>
              <w:bottom w:val="single" w:color="auto" w:sz="8" w:space="0"/>
              <w:right w:val="single" w:color="auto" w:sz="8" w:space="0"/>
            </w:tcBorders>
            <w:noWrap w:val="0"/>
            <w:vAlign w:val="center"/>
          </w:tcPr>
          <w:p w14:paraId="42EE2108">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投标人确认收到招标文件澄清</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54556DE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时间：发出即视作收到。</w:t>
            </w:r>
          </w:p>
        </w:tc>
      </w:tr>
      <w:tr w14:paraId="7058F3CB">
        <w:tblPrEx>
          <w:tblCellMar>
            <w:top w:w="0" w:type="dxa"/>
            <w:left w:w="0" w:type="dxa"/>
            <w:bottom w:w="0" w:type="dxa"/>
            <w:right w:w="0" w:type="dxa"/>
          </w:tblCellMar>
        </w:tblPrEx>
        <w:trPr>
          <w:trHeight w:val="533" w:hRule="atLeast"/>
          <w:jc w:val="center"/>
        </w:trPr>
        <w:tc>
          <w:tcPr>
            <w:tcW w:w="1023" w:type="dxa"/>
            <w:vMerge w:val="continue"/>
            <w:tcBorders>
              <w:top w:val="single" w:color="auto" w:sz="8" w:space="0"/>
              <w:left w:val="single" w:color="auto" w:sz="8" w:space="0"/>
              <w:bottom w:val="single" w:color="auto" w:sz="8" w:space="0"/>
              <w:right w:val="single" w:color="auto" w:sz="8" w:space="0"/>
            </w:tcBorders>
            <w:noWrap w:val="0"/>
            <w:vAlign w:val="center"/>
          </w:tcPr>
          <w:p w14:paraId="707C22C7">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p>
        </w:tc>
        <w:tc>
          <w:tcPr>
            <w:tcW w:w="2228" w:type="dxa"/>
            <w:vMerge w:val="continue"/>
            <w:tcBorders>
              <w:top w:val="single" w:color="auto" w:sz="8" w:space="0"/>
              <w:left w:val="single" w:color="auto" w:sz="8" w:space="0"/>
              <w:bottom w:val="single" w:color="auto" w:sz="8" w:space="0"/>
              <w:right w:val="single" w:color="auto" w:sz="8" w:space="0"/>
            </w:tcBorders>
            <w:noWrap w:val="0"/>
            <w:vAlign w:val="center"/>
          </w:tcPr>
          <w:p w14:paraId="6EDC0FB4">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C54BE0A">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形式：招标文件澄清（招标答疑纪要）一经在广州交易集团有限公司（广州公共资源交易中心）网站发布，视作已发放给所有投标人。招标文件澄清文件（招标答疑纪要）为招标文件的一部分。投标人可在广州交易集团有限公司（广州公共资源交易中心）网站浏览、下载招标文件澄清文件（招标答疑纪要）。若招标文件澄清文件（招标答疑纪要）与招标文件有矛盾时，以广州交易集团有限公司（广州公共资源交易中心）网站最后发布的招标文件澄清文件（招标答疑纪要）为准。</w:t>
            </w:r>
          </w:p>
        </w:tc>
      </w:tr>
      <w:tr w14:paraId="67C954BB">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18B64964">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2.3.1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0DAC74D5">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lang w:bidi="ar"/>
              </w:rPr>
              <w:t>招标文件修改发出的形式</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47305FE7">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以补充公告或项目答疑澄清的方式在广州交易集团有限公司（广州公共资源交易中心）网站发布。</w:t>
            </w:r>
          </w:p>
        </w:tc>
      </w:tr>
      <w:tr w14:paraId="4AB6894C">
        <w:tblPrEx>
          <w:tblCellMar>
            <w:top w:w="0" w:type="dxa"/>
            <w:left w:w="0" w:type="dxa"/>
            <w:bottom w:w="0" w:type="dxa"/>
            <w:right w:w="0" w:type="dxa"/>
          </w:tblCellMar>
        </w:tblPrEx>
        <w:trPr>
          <w:trHeight w:val="533" w:hRule="atLeast"/>
          <w:jc w:val="center"/>
        </w:trPr>
        <w:tc>
          <w:tcPr>
            <w:tcW w:w="1023" w:type="dxa"/>
            <w:vMerge w:val="restart"/>
            <w:tcBorders>
              <w:top w:val="single" w:color="auto" w:sz="8" w:space="0"/>
              <w:left w:val="single" w:color="auto" w:sz="8" w:space="0"/>
              <w:bottom w:val="single" w:color="auto" w:sz="8" w:space="0"/>
              <w:right w:val="single" w:color="auto" w:sz="8" w:space="0"/>
            </w:tcBorders>
            <w:noWrap w:val="0"/>
            <w:vAlign w:val="center"/>
          </w:tcPr>
          <w:p w14:paraId="3088DD06">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2.3.2</w:t>
            </w:r>
          </w:p>
        </w:tc>
        <w:tc>
          <w:tcPr>
            <w:tcW w:w="2228" w:type="dxa"/>
            <w:vMerge w:val="restart"/>
            <w:tcBorders>
              <w:top w:val="single" w:color="auto" w:sz="8" w:space="0"/>
              <w:left w:val="single" w:color="auto" w:sz="8" w:space="0"/>
              <w:bottom w:val="single" w:color="auto" w:sz="8" w:space="0"/>
              <w:right w:val="single" w:color="auto" w:sz="8" w:space="0"/>
            </w:tcBorders>
            <w:noWrap w:val="0"/>
            <w:vAlign w:val="center"/>
          </w:tcPr>
          <w:p w14:paraId="0E4E9A4A">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lang w:bidi="ar"/>
              </w:rPr>
            </w:pPr>
            <w:r>
              <w:rPr>
                <w:rFonts w:hint="eastAsia" w:hAnsi="宋体" w:cs="宋体"/>
                <w:color w:val="auto"/>
                <w:szCs w:val="24"/>
              </w:rPr>
              <w:t>投标人确认收到招标文件修改</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D822C6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时间：发出即视作收到。</w:t>
            </w:r>
          </w:p>
        </w:tc>
      </w:tr>
      <w:tr w14:paraId="1EF09B35">
        <w:tblPrEx>
          <w:tblCellMar>
            <w:top w:w="0" w:type="dxa"/>
            <w:left w:w="0" w:type="dxa"/>
            <w:bottom w:w="0" w:type="dxa"/>
            <w:right w:w="0" w:type="dxa"/>
          </w:tblCellMar>
        </w:tblPrEx>
        <w:trPr>
          <w:trHeight w:val="533" w:hRule="atLeast"/>
          <w:jc w:val="center"/>
        </w:trPr>
        <w:tc>
          <w:tcPr>
            <w:tcW w:w="1023" w:type="dxa"/>
            <w:vMerge w:val="continue"/>
            <w:tcBorders>
              <w:top w:val="single" w:color="auto" w:sz="8" w:space="0"/>
              <w:left w:val="single" w:color="auto" w:sz="8" w:space="0"/>
              <w:bottom w:val="single" w:color="auto" w:sz="8" w:space="0"/>
              <w:right w:val="single" w:color="auto" w:sz="8" w:space="0"/>
            </w:tcBorders>
            <w:noWrap w:val="0"/>
            <w:vAlign w:val="center"/>
          </w:tcPr>
          <w:p w14:paraId="479F5CD8">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p>
        </w:tc>
        <w:tc>
          <w:tcPr>
            <w:tcW w:w="2228" w:type="dxa"/>
            <w:vMerge w:val="continue"/>
            <w:tcBorders>
              <w:top w:val="single" w:color="auto" w:sz="8" w:space="0"/>
              <w:left w:val="single" w:color="auto" w:sz="8" w:space="0"/>
              <w:bottom w:val="single" w:color="auto" w:sz="8" w:space="0"/>
              <w:right w:val="single" w:color="auto" w:sz="8" w:space="0"/>
            </w:tcBorders>
            <w:noWrap w:val="0"/>
            <w:vAlign w:val="center"/>
          </w:tcPr>
          <w:p w14:paraId="0DF56704">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lang w:bidi="ar"/>
              </w:rPr>
            </w:pPr>
          </w:p>
        </w:tc>
        <w:tc>
          <w:tcPr>
            <w:tcW w:w="6656" w:type="dxa"/>
            <w:tcBorders>
              <w:top w:val="single" w:color="auto" w:sz="8" w:space="0"/>
              <w:left w:val="single" w:color="auto" w:sz="8" w:space="0"/>
              <w:bottom w:val="single" w:color="auto" w:sz="8" w:space="0"/>
              <w:right w:val="single" w:color="auto" w:sz="8" w:space="0"/>
            </w:tcBorders>
            <w:noWrap w:val="0"/>
            <w:vAlign w:val="center"/>
          </w:tcPr>
          <w:p w14:paraId="22A65A2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形式：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30C6DBFF">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5131E15B">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3.1.1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311FA4DF">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构成投标文件的其他资料</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3AA3EF93">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ascii="宋体" w:hAnsi="宋体" w:eastAsia="宋体" w:cs="宋体"/>
                <w:color w:val="auto"/>
                <w:sz w:val="24"/>
                <w:szCs w:val="24"/>
              </w:rPr>
              <w:t>满足项目评审需要。具体内容要求按投标文件格式填写，如无提供格式则由投标人自拟。</w:t>
            </w:r>
          </w:p>
        </w:tc>
      </w:tr>
      <w:tr w14:paraId="3F485BC6">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451A76C2">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3.2.1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12833305">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增值税税金的计算方法</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8560478">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按国家税务机关的规定执行。</w:t>
            </w:r>
          </w:p>
        </w:tc>
      </w:tr>
      <w:tr w14:paraId="6A5E313D">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40C768C0">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3.2.3</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1E56ED8E">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报价方式</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A711C1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eastAsia="宋体" w:cs="宋体"/>
                <w:color w:val="auto"/>
                <w:szCs w:val="24"/>
                <w:lang w:eastAsia="zh-CN"/>
              </w:rPr>
            </w:pPr>
            <w:r>
              <w:rPr>
                <w:rFonts w:hint="eastAsia" w:hAnsi="宋体" w:cs="宋体"/>
                <w:color w:val="auto"/>
                <w:szCs w:val="24"/>
              </w:rPr>
              <w:t>由投标人在最高投标限价内根据企业自身实力进行含税报价（</w:t>
            </w:r>
            <w:r>
              <w:rPr>
                <w:rFonts w:hint="eastAsia" w:hAnsi="宋体" w:cs="宋体"/>
                <w:b/>
                <w:bCs/>
                <w:color w:val="auto"/>
                <w:szCs w:val="24"/>
              </w:rPr>
              <w:t>以元为单位，保留两位小数，第三位小数四舍五入</w:t>
            </w:r>
            <w:r>
              <w:rPr>
                <w:rFonts w:hint="eastAsia" w:hAnsi="宋体" w:cs="宋体"/>
                <w:color w:val="auto"/>
                <w:szCs w:val="24"/>
              </w:rPr>
              <w:t>）</w:t>
            </w:r>
            <w:r>
              <w:rPr>
                <w:rFonts w:hint="eastAsia" w:hAnsi="宋体" w:cs="宋体"/>
                <w:color w:val="auto"/>
                <w:szCs w:val="24"/>
                <w:lang w:eastAsia="zh-CN"/>
              </w:rPr>
              <w:t>。</w:t>
            </w:r>
          </w:p>
          <w:p w14:paraId="6E1476C3">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eastAsia="宋体" w:cs="宋体"/>
                <w:color w:val="auto"/>
                <w:szCs w:val="20"/>
                <w:lang w:eastAsia="zh-CN"/>
              </w:rPr>
            </w:pPr>
            <w:bookmarkStart w:id="38" w:name="auto_fouce_6"/>
            <w:r>
              <w:rPr>
                <w:rFonts w:hint="eastAsia" w:hAnsi="宋体" w:cs="宋体"/>
                <w:color w:val="auto"/>
                <w:szCs w:val="24"/>
              </w:rPr>
              <w:t>结算方式按照合同相关约定执行。</w:t>
            </w:r>
            <w:bookmarkEnd w:id="38"/>
          </w:p>
        </w:tc>
      </w:tr>
      <w:tr w14:paraId="5BA5939F">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0CDCF6B4">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3.2.4</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5A55DFE7">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最高投标限价</w:t>
            </w:r>
          </w:p>
        </w:tc>
        <w:tc>
          <w:tcPr>
            <w:tcW w:w="6656" w:type="dxa"/>
            <w:tcBorders>
              <w:top w:val="single" w:color="auto" w:sz="8" w:space="0"/>
              <w:left w:val="single" w:color="auto" w:sz="8" w:space="0"/>
              <w:bottom w:val="single" w:color="auto" w:sz="8" w:space="0"/>
              <w:right w:val="single" w:color="auto" w:sz="8" w:space="0"/>
            </w:tcBorders>
            <w:noWrap w:val="0"/>
            <w:vAlign w:val="bottom"/>
          </w:tcPr>
          <w:p w14:paraId="178F951E">
            <w:pPr>
              <w:keepNext w:val="0"/>
              <w:keepLines w:val="0"/>
              <w:widowControl w:val="0"/>
              <w:suppressLineNumbers w:val="0"/>
              <w:spacing w:before="0" w:beforeAutospacing="0" w:after="0" w:afterAutospacing="0" w:line="380" w:lineRule="exact"/>
              <w:ind w:left="0" w:right="120" w:rightChars="50" w:firstLine="240" w:firstLineChars="100"/>
              <w:rPr>
                <w:rFonts w:hint="eastAsia" w:hAnsi="宋体" w:cs="宋体"/>
                <w:color w:val="auto"/>
                <w:szCs w:val="20"/>
              </w:rPr>
            </w:pPr>
            <w:r>
              <w:rPr>
                <w:rFonts w:hint="eastAsia" w:hAnsi="宋体" w:cs="宋体"/>
                <w:color w:val="auto"/>
                <w:szCs w:val="24"/>
              </w:rPr>
              <w:t>□</w:t>
            </w:r>
            <w:r>
              <w:rPr>
                <w:rFonts w:hint="eastAsia" w:hAnsi="宋体" w:cs="宋体"/>
                <w:color w:val="auto"/>
                <w:szCs w:val="20"/>
              </w:rPr>
              <w:t>无</w:t>
            </w:r>
          </w:p>
          <w:p w14:paraId="018FB66D">
            <w:pPr>
              <w:pStyle w:val="19"/>
              <w:keepNext w:val="0"/>
              <w:keepLines w:val="0"/>
              <w:widowControl w:val="0"/>
              <w:suppressLineNumbers w:val="0"/>
              <w:spacing w:before="0" w:beforeAutospacing="0" w:after="0" w:afterAutospacing="0" w:line="380" w:lineRule="exact"/>
              <w:ind w:left="0" w:right="0" w:firstLine="241" w:firstLineChars="100"/>
              <w:rPr>
                <w:rFonts w:hint="eastAsia" w:hAnsi="宋体" w:eastAsia="宋体" w:cs="宋体"/>
                <w:color w:val="auto"/>
                <w:sz w:val="24"/>
                <w:szCs w:val="24"/>
              </w:rPr>
            </w:pPr>
            <w:r>
              <w:rPr>
                <w:rFonts w:hint="eastAsia" w:hAnsi="宋体" w:eastAsia="宋体" w:cs="宋体"/>
                <w:b/>
                <w:color w:val="auto"/>
                <w:sz w:val="24"/>
                <w:szCs w:val="24"/>
                <w:lang w:bidi="ar"/>
              </w:rPr>
              <w:t>■</w:t>
            </w:r>
            <w:r>
              <w:rPr>
                <w:rFonts w:hint="eastAsia" w:hAnsi="宋体" w:eastAsia="宋体" w:cs="宋体"/>
                <w:color w:val="auto"/>
                <w:sz w:val="24"/>
                <w:szCs w:val="24"/>
              </w:rPr>
              <w:t>有，最高投标限价：人民</w:t>
            </w:r>
            <w:r>
              <w:rPr>
                <w:rFonts w:hint="eastAsia" w:hAnsi="宋体" w:eastAsia="宋体" w:cs="宋体"/>
                <w:color w:val="auto"/>
                <w:sz w:val="24"/>
                <w:szCs w:val="24"/>
                <w:lang w:val="en-US" w:eastAsia="zh-CN"/>
              </w:rPr>
              <w:t>币</w:t>
            </w:r>
            <w:r>
              <w:rPr>
                <w:rFonts w:hint="eastAsia" w:hAnsi="宋体" w:eastAsia="宋体" w:cs="宋体"/>
                <w:color w:val="auto"/>
                <w:sz w:val="24"/>
                <w:szCs w:val="24"/>
                <w:u w:val="single"/>
                <w:lang w:val="en-US" w:eastAsia="zh-CN"/>
              </w:rPr>
              <w:t xml:space="preserve"> </w:t>
            </w:r>
            <w:r>
              <w:rPr>
                <w:rFonts w:hint="eastAsia"/>
                <w:color w:val="auto"/>
                <w:u w:val="single"/>
                <w:lang w:val="en-US" w:eastAsia="zh-CN"/>
              </w:rPr>
              <w:t>31253</w:t>
            </w:r>
            <w:r>
              <w:rPr>
                <w:rFonts w:hint="eastAsia" w:hAnsi="宋体" w:eastAsia="宋体" w:cs="宋体"/>
                <w:color w:val="auto"/>
                <w:sz w:val="24"/>
                <w:szCs w:val="24"/>
                <w:u w:val="single"/>
                <w:lang w:val="en-US" w:eastAsia="zh-CN"/>
              </w:rPr>
              <w:t>00.00</w:t>
            </w:r>
            <w:r>
              <w:rPr>
                <w:rFonts w:hint="eastAsia" w:hAnsi="宋体" w:eastAsia="宋体" w:cs="宋体"/>
                <w:color w:val="auto"/>
                <w:sz w:val="24"/>
                <w:szCs w:val="24"/>
                <w:u w:val="none"/>
                <w:lang w:val="en-US" w:eastAsia="zh-CN"/>
              </w:rPr>
              <w:t>元</w:t>
            </w:r>
            <w:r>
              <w:rPr>
                <w:rFonts w:hint="eastAsia" w:hAnsi="宋体" w:eastAsia="宋体" w:cs="宋体"/>
                <w:color w:val="auto"/>
                <w:sz w:val="24"/>
                <w:szCs w:val="24"/>
                <w:u w:val="none"/>
              </w:rPr>
              <w:t>。</w:t>
            </w:r>
          </w:p>
          <w:p w14:paraId="643AEA83">
            <w:pPr>
              <w:pStyle w:val="19"/>
              <w:keepNext w:val="0"/>
              <w:keepLines w:val="0"/>
              <w:widowControl w:val="0"/>
              <w:suppressLineNumbers w:val="0"/>
              <w:spacing w:before="0" w:beforeAutospacing="0" w:after="0" w:afterAutospacing="0" w:line="380" w:lineRule="exact"/>
              <w:ind w:left="0" w:right="0" w:firstLine="480"/>
              <w:rPr>
                <w:rFonts w:hint="eastAsia" w:hAnsi="宋体" w:eastAsia="宋体" w:cs="宋体"/>
                <w:color w:val="auto"/>
                <w:szCs w:val="20"/>
              </w:rPr>
            </w:pPr>
            <w:r>
              <w:rPr>
                <w:rFonts w:hint="eastAsia" w:hAnsi="宋体" w:eastAsia="宋体" w:cs="宋体"/>
                <w:color w:val="auto"/>
                <w:sz w:val="24"/>
                <w:szCs w:val="24"/>
              </w:rPr>
              <w:t>投标人投标报价超过最高投标限价的为无效标。</w:t>
            </w:r>
          </w:p>
        </w:tc>
      </w:tr>
      <w:tr w14:paraId="423E90C5">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27875612">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3.2.5</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60408FB7">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投标报价的其他要求</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FCFA289">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1"/>
              </w:rPr>
            </w:pPr>
            <w:r>
              <w:rPr>
                <w:rFonts w:hint="eastAsia" w:hAnsi="宋体" w:cs="宋体"/>
                <w:color w:val="auto"/>
                <w:szCs w:val="21"/>
              </w:rPr>
              <w:t>1、投标人只有一个投标报价</w:t>
            </w:r>
            <w:r>
              <w:rPr>
                <w:rFonts w:hint="eastAsia" w:hAnsi="宋体" w:cs="宋体"/>
                <w:color w:val="auto"/>
                <w:szCs w:val="21"/>
                <w:lang w:eastAsia="zh-CN"/>
              </w:rPr>
              <w:t>，</w:t>
            </w:r>
            <w:r>
              <w:rPr>
                <w:rFonts w:hint="eastAsia" w:hAnsi="宋体" w:cs="宋体"/>
                <w:color w:val="auto"/>
                <w:szCs w:val="21"/>
              </w:rPr>
              <w:t>不得超过最高投标限价。</w:t>
            </w:r>
          </w:p>
          <w:p w14:paraId="7B0635AA">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1"/>
              </w:rPr>
            </w:pPr>
            <w:r>
              <w:rPr>
                <w:rFonts w:hint="eastAsia" w:hAnsi="宋体" w:cs="宋体"/>
                <w:color w:val="auto"/>
                <w:szCs w:val="21"/>
              </w:rPr>
              <w:t>2、本合同的造价咨询服务范围为本招标文件规定的全部服务范围。投标人的报价，一般应是其按招标文件完成造价咨询服务的所有费用。投标人必须详细审阅全部招标文件及招标相关资料，充分考虑职责和义务，全面地理解招标文件对投标报价的要求，并按招标人提出的条件及内容进行报价。</w:t>
            </w:r>
          </w:p>
          <w:p w14:paraId="055EFFAC">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1"/>
              </w:rPr>
            </w:pPr>
            <w:r>
              <w:rPr>
                <w:rFonts w:hint="eastAsia" w:hAnsi="宋体" w:cs="宋体"/>
                <w:color w:val="auto"/>
                <w:szCs w:val="21"/>
              </w:rPr>
              <w:t>3、造价咨询服务费是以投标人提交的报价清单中的费率和合价为基础。</w:t>
            </w:r>
          </w:p>
          <w:p w14:paraId="66021EE6">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1"/>
              </w:rPr>
            </w:pPr>
            <w:r>
              <w:rPr>
                <w:rFonts w:hint="eastAsia" w:hAnsi="宋体" w:cs="宋体"/>
                <w:color w:val="auto"/>
                <w:szCs w:val="21"/>
              </w:rPr>
              <w:t>4、投标人对项目的各项报价必须以招标文件资料为依据。</w:t>
            </w:r>
          </w:p>
          <w:p w14:paraId="207639E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1"/>
              </w:rPr>
            </w:pPr>
            <w:r>
              <w:rPr>
                <w:rFonts w:hint="eastAsia" w:hAnsi="宋体" w:cs="宋体"/>
                <w:color w:val="auto"/>
                <w:szCs w:val="21"/>
              </w:rPr>
              <w:t>5、</w:t>
            </w:r>
            <w:bookmarkStart w:id="39" w:name="auto_fouce_7"/>
            <w:r>
              <w:rPr>
                <w:rFonts w:hint="eastAsia" w:hAnsi="宋体" w:cs="宋体"/>
                <w:color w:val="auto"/>
                <w:szCs w:val="21"/>
              </w:rPr>
              <w:t>投标人报价应包含造价咨询单位在造价咨询服务实施中应缴纳的一切税费</w:t>
            </w:r>
            <w:r>
              <w:rPr>
                <w:rFonts w:hint="eastAsia" w:hAnsi="宋体" w:cs="宋体"/>
                <w:color w:val="auto"/>
                <w:szCs w:val="21"/>
                <w:lang w:eastAsia="zh-CN"/>
              </w:rPr>
              <w:t>，以及因履行本合同所需的差旅、办公、资料归档、保险等全部成本</w:t>
            </w:r>
            <w:r>
              <w:rPr>
                <w:rFonts w:hint="eastAsia" w:hAnsi="宋体" w:cs="宋体"/>
                <w:color w:val="auto"/>
                <w:szCs w:val="21"/>
              </w:rPr>
              <w:t>。</w:t>
            </w:r>
            <w:r>
              <w:rPr>
                <w:rFonts w:hint="eastAsia" w:hAnsi="宋体" w:cs="宋体"/>
                <w:color w:val="auto"/>
                <w:szCs w:val="21"/>
                <w:lang w:eastAsia="zh-CN"/>
              </w:rPr>
              <w:t>若</w:t>
            </w:r>
            <w:r>
              <w:rPr>
                <w:rFonts w:hint="eastAsia" w:hAnsi="宋体" w:cs="宋体"/>
                <w:color w:val="auto"/>
                <w:szCs w:val="21"/>
              </w:rPr>
              <w:t>本工程能获得政府减免税费的政策，则招标人在支付中按照政府规定的税率扣减相应的税费。</w:t>
            </w:r>
          </w:p>
          <w:bookmarkEnd w:id="39"/>
          <w:p w14:paraId="656A9F95">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1"/>
              </w:rPr>
            </w:pPr>
            <w:r>
              <w:rPr>
                <w:rFonts w:hint="eastAsia" w:hAnsi="宋体" w:cs="宋体"/>
                <w:color w:val="auto"/>
                <w:szCs w:val="21"/>
              </w:rPr>
              <w:t>6、除合同规定调整外，投标人所报的费率在合同实施期间不因价格变动而调整。</w:t>
            </w:r>
          </w:p>
          <w:p w14:paraId="28E499CC">
            <w:pPr>
              <w:spacing w:line="380" w:lineRule="exact"/>
              <w:ind w:left="120" w:leftChars="50" w:right="120" w:rightChars="50" w:firstLine="0" w:firstLineChars="0"/>
              <w:rPr>
                <w:rFonts w:hint="eastAsia" w:eastAsia="宋体"/>
                <w:color w:val="auto"/>
                <w:lang w:val="en-US" w:eastAsia="zh-CN"/>
              </w:rPr>
            </w:pPr>
            <w:r>
              <w:rPr>
                <w:rFonts w:hint="eastAsia" w:hAnsi="宋体" w:cs="宋体"/>
                <w:color w:val="auto"/>
                <w:szCs w:val="21"/>
              </w:rPr>
              <w:t>7、投标文件的报价合价全部用人民币表示，保留小数点后两位小数，第三位小数四舍五入。</w:t>
            </w:r>
          </w:p>
        </w:tc>
      </w:tr>
      <w:tr w14:paraId="7D1E31BA">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58C24D2B">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3.3.1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4299BB0A">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投标有效期</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14B64A2">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w w:val="99"/>
                <w:szCs w:val="24"/>
                <w:u w:val="single"/>
              </w:rPr>
              <w:t xml:space="preserve"> </w:t>
            </w:r>
            <w:r>
              <w:rPr>
                <w:rFonts w:hint="eastAsia" w:hAnsi="宋体" w:cs="宋体"/>
                <w:color w:val="auto"/>
                <w:szCs w:val="24"/>
                <w:u w:val="single"/>
              </w:rPr>
              <w:t>90</w:t>
            </w:r>
            <w:r>
              <w:rPr>
                <w:rFonts w:hint="eastAsia" w:hAnsi="宋体" w:cs="宋体"/>
                <w:color w:val="auto"/>
                <w:szCs w:val="24"/>
              </w:rPr>
              <w:t>日历天（从投标截止之日计起。如出现异议或投诉，则投标有效期自动延长至异议或投诉处理结束。）</w:t>
            </w:r>
          </w:p>
        </w:tc>
      </w:tr>
      <w:tr w14:paraId="551AB7FC">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73BDEBCD">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bookmarkStart w:id="40" w:name="auto_fouce_8" w:colFirst="0" w:colLast="2"/>
          </w:p>
        </w:tc>
        <w:tc>
          <w:tcPr>
            <w:tcW w:w="2228" w:type="dxa"/>
            <w:tcBorders>
              <w:top w:val="single" w:color="auto" w:sz="8" w:space="0"/>
              <w:left w:val="single" w:color="auto" w:sz="8" w:space="0"/>
              <w:bottom w:val="single" w:color="auto" w:sz="8" w:space="0"/>
              <w:right w:val="single" w:color="auto" w:sz="8" w:space="0"/>
            </w:tcBorders>
            <w:noWrap w:val="0"/>
            <w:vAlign w:val="center"/>
          </w:tcPr>
          <w:p w14:paraId="6DF5AD19">
            <w:pPr>
              <w:keepNext w:val="0"/>
              <w:keepLines w:val="0"/>
              <w:widowControl w:val="0"/>
              <w:suppressLineNumbers w:val="0"/>
              <w:spacing w:before="0" w:beforeAutospacing="0" w:after="0" w:afterAutospacing="0" w:line="380" w:lineRule="exact"/>
              <w:ind w:left="120" w:leftChars="50" w:right="120" w:rightChars="50" w:firstLine="240" w:firstLineChars="100"/>
              <w:jc w:val="left"/>
              <w:rPr>
                <w:rFonts w:hint="eastAsia" w:hAnsi="宋体" w:cs="宋体"/>
                <w:color w:val="auto"/>
                <w:szCs w:val="24"/>
              </w:rPr>
            </w:pPr>
            <w:r>
              <w:rPr>
                <w:rFonts w:hint="eastAsia" w:hAnsi="宋体" w:cs="宋体"/>
                <w:color w:val="auto"/>
                <w:szCs w:val="24"/>
              </w:rPr>
              <w:t>投标保证金</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48A5DE18">
            <w:pPr>
              <w:keepNext w:val="0"/>
              <w:keepLines w:val="0"/>
              <w:widowControl/>
              <w:suppressLineNumbers w:val="0"/>
              <w:spacing w:before="0" w:beforeAutospacing="0" w:after="0" w:afterAutospacing="0" w:line="380" w:lineRule="exact"/>
              <w:ind w:left="0" w:right="0" w:firstLine="240" w:firstLineChars="100"/>
              <w:rPr>
                <w:rFonts w:hint="eastAsia" w:hAnsi="Times New Roman" w:cs="Times New Roman"/>
                <w:color w:val="auto"/>
                <w:szCs w:val="20"/>
              </w:rPr>
            </w:pPr>
            <w:r>
              <w:rPr>
                <w:rFonts w:hint="eastAsia" w:hAnsi="Times New Roman" w:cs="Times New Roman"/>
                <w:color w:val="auto"/>
                <w:szCs w:val="20"/>
              </w:rPr>
              <w:t>是否要求投标人递交投标保证金：</w:t>
            </w:r>
          </w:p>
          <w:p w14:paraId="2EF8F27E">
            <w:pPr>
              <w:keepNext w:val="0"/>
              <w:keepLines w:val="0"/>
              <w:widowControl w:val="0"/>
              <w:suppressLineNumbers w:val="0"/>
              <w:spacing w:before="0" w:beforeAutospacing="0" w:after="0" w:afterAutospacing="0" w:line="380" w:lineRule="exact"/>
              <w:ind w:left="0" w:right="0" w:firstLine="241" w:firstLineChars="100"/>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w:t>
            </w:r>
            <w:r>
              <w:rPr>
                <w:rFonts w:hint="eastAsia" w:ascii="宋体" w:hAnsi="宋体" w:eastAsia="宋体" w:cs="宋体"/>
                <w:color w:val="auto"/>
                <w:sz w:val="24"/>
                <w:szCs w:val="24"/>
              </w:rPr>
              <w:t>不要求递交投标保证金。</w:t>
            </w:r>
          </w:p>
          <w:p w14:paraId="74B527A9">
            <w:pPr>
              <w:keepNext w:val="0"/>
              <w:keepLines w:val="0"/>
              <w:widowControl w:val="0"/>
              <w:suppressLineNumbers w:val="0"/>
              <w:spacing w:before="0" w:beforeAutospacing="0" w:after="0" w:afterAutospacing="0" w:line="380" w:lineRule="exact"/>
              <w:ind w:left="0" w:right="0" w:firstLine="240" w:firstLineChars="100"/>
              <w:rPr>
                <w:rFonts w:hint="default" w:hAnsi="Times New Roman" w:cs="Times New Roman"/>
                <w:color w:val="auto"/>
                <w:szCs w:val="20"/>
              </w:rPr>
            </w:pPr>
            <w:r>
              <w:rPr>
                <w:rFonts w:hint="eastAsia" w:ascii="宋体" w:hAnsi="宋体" w:eastAsia="宋体" w:cs="宋体"/>
                <w:color w:val="auto"/>
                <w:sz w:val="24"/>
                <w:szCs w:val="24"/>
              </w:rPr>
              <w:t>□</w:t>
            </w:r>
            <w:r>
              <w:rPr>
                <w:rFonts w:hint="default" w:hAnsi="Times New Roman" w:cs="Times New Roman"/>
                <w:color w:val="auto"/>
                <w:szCs w:val="20"/>
              </w:rPr>
              <w:t>要求，投标保证金的形式：</w:t>
            </w:r>
          </w:p>
          <w:p w14:paraId="1141976C">
            <w:pPr>
              <w:pStyle w:val="36"/>
              <w:keepNext w:val="0"/>
              <w:keepLines w:val="0"/>
              <w:widowControl w:val="0"/>
              <w:suppressLineNumbers w:val="0"/>
              <w:spacing w:before="0" w:beforeAutospacing="0" w:after="0" w:afterAutospacing="0" w:line="380" w:lineRule="exact"/>
              <w:ind w:left="120" w:leftChars="50" w:right="120" w:rightChars="50" w:firstLine="0" w:firstLineChars="0"/>
              <w:rPr>
                <w:rFonts w:hint="eastAsia" w:ascii="宋体" w:hAnsi="宋体" w:cs="宋体"/>
                <w:color w:val="auto"/>
                <w:sz w:val="24"/>
              </w:rPr>
            </w:pPr>
          </w:p>
        </w:tc>
      </w:tr>
      <w:bookmarkEnd w:id="40"/>
      <w:tr w14:paraId="03A13346">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43749B1A">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3.4.4</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0F57AF2F">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其他可以不予退还投标保证金的情形</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5016D10">
            <w:pPr>
              <w:keepNext w:val="0"/>
              <w:keepLines w:val="0"/>
              <w:widowControl w:val="0"/>
              <w:suppressLineNumbers w:val="0"/>
              <w:spacing w:before="0" w:beforeAutospacing="0" w:after="0" w:afterAutospacing="0" w:line="380" w:lineRule="exact"/>
              <w:ind w:left="120" w:leftChars="50" w:right="120" w:rightChars="50" w:firstLine="0" w:firstLineChars="0"/>
              <w:rPr>
                <w:rFonts w:hint="default" w:hAnsi="宋体" w:cs="宋体"/>
                <w:color w:val="auto"/>
                <w:szCs w:val="24"/>
              </w:rPr>
            </w:pPr>
            <w:r>
              <w:rPr>
                <w:rFonts w:hint="eastAsia" w:hAnsi="宋体" w:cs="宋体"/>
                <w:color w:val="auto"/>
                <w:szCs w:val="24"/>
                <w:u w:val="single"/>
              </w:rPr>
              <w:t xml:space="preserve"> / </w:t>
            </w:r>
          </w:p>
        </w:tc>
      </w:tr>
      <w:tr w14:paraId="134D8651">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62825758">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3.5</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20C7F8BC">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资格审查资料的特殊要求</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0CD3AC5">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b/>
                <w:color w:val="auto"/>
                <w:szCs w:val="24"/>
                <w:lang w:bidi="ar"/>
              </w:rPr>
              <w:t>■</w:t>
            </w:r>
            <w:r>
              <w:rPr>
                <w:rFonts w:hint="eastAsia" w:hAnsi="宋体" w:cs="宋体"/>
                <w:color w:val="auto"/>
                <w:szCs w:val="24"/>
              </w:rPr>
              <w:t>无</w:t>
            </w:r>
          </w:p>
          <w:p w14:paraId="2D183528">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□有，具体要求：</w:t>
            </w:r>
          </w:p>
        </w:tc>
      </w:tr>
      <w:tr w14:paraId="24B524FD">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4E2E6357">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3.5.2</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2B40EE8C">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近年财务状况的年份要求</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31475CF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u w:val="single"/>
              </w:rPr>
              <w:t xml:space="preserve"> / </w:t>
            </w:r>
          </w:p>
        </w:tc>
      </w:tr>
      <w:tr w14:paraId="52577BFB">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6781B622">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3.5.3</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61D91A7D">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近年完成的类似项目情况的时间要求</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454C28E9">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highlight w:val="none"/>
              </w:rPr>
              <w:t>20</w:t>
            </w:r>
            <w:r>
              <w:rPr>
                <w:rFonts w:hint="eastAsia" w:hAnsi="宋体" w:cs="宋体"/>
                <w:color w:val="auto"/>
                <w:szCs w:val="24"/>
                <w:highlight w:val="none"/>
                <w:lang w:val="en-US" w:eastAsia="zh-CN"/>
              </w:rPr>
              <w:t>20</w:t>
            </w:r>
            <w:r>
              <w:rPr>
                <w:rFonts w:hint="eastAsia" w:hAnsi="宋体" w:cs="宋体"/>
                <w:color w:val="auto"/>
                <w:szCs w:val="24"/>
                <w:highlight w:val="none"/>
              </w:rPr>
              <w:t>年</w:t>
            </w:r>
            <w:r>
              <w:rPr>
                <w:rFonts w:hint="eastAsia" w:hAnsi="宋体" w:cs="宋体"/>
                <w:color w:val="auto"/>
                <w:szCs w:val="24"/>
                <w:highlight w:val="none"/>
                <w:u w:val="none"/>
                <w:lang w:val="en-US" w:eastAsia="zh-CN"/>
              </w:rPr>
              <w:t>1月1日</w:t>
            </w:r>
            <w:r>
              <w:rPr>
                <w:rFonts w:hint="eastAsia" w:hAnsi="宋体" w:cs="宋体"/>
                <w:color w:val="auto"/>
                <w:szCs w:val="24"/>
                <w:highlight w:val="none"/>
              </w:rPr>
              <w:t>至今</w:t>
            </w:r>
          </w:p>
        </w:tc>
      </w:tr>
      <w:tr w14:paraId="74B35EEC">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73B7EDB1">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3.5.8</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4D6652EB">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关于联合体投标</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03D2731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本次招标不接受联合体投标。</w:t>
            </w:r>
          </w:p>
        </w:tc>
      </w:tr>
      <w:tr w14:paraId="7E95531E">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211B142C">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3.6.1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5193158A">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是否允许递交备选投标方案</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0610012">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b/>
                <w:color w:val="auto"/>
                <w:szCs w:val="24"/>
                <w:lang w:bidi="ar"/>
              </w:rPr>
              <w:t>■</w:t>
            </w:r>
            <w:r>
              <w:rPr>
                <w:rFonts w:hint="eastAsia" w:hAnsi="宋体" w:cs="宋体"/>
                <w:color w:val="auto"/>
                <w:szCs w:val="24"/>
              </w:rPr>
              <w:t>不允许</w:t>
            </w:r>
          </w:p>
          <w:p w14:paraId="2C577581">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□允许</w:t>
            </w:r>
          </w:p>
        </w:tc>
      </w:tr>
      <w:tr w14:paraId="3FA32679">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53823DFC">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3.7.3（B）</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57D90F9E">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投标文件所附证书证件要求</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0CB51E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证书证件需为清晰扫描件</w:t>
            </w:r>
            <w:r>
              <w:rPr>
                <w:rFonts w:hint="eastAsia" w:hAnsi="宋体" w:cs="宋体"/>
                <w:color w:val="auto"/>
                <w:szCs w:val="24"/>
                <w:lang w:eastAsia="zh-CN"/>
              </w:rPr>
              <w:t>或电子证书证件</w:t>
            </w:r>
            <w:r>
              <w:rPr>
                <w:rFonts w:hint="eastAsia" w:hAnsi="宋体" w:cs="宋体"/>
                <w:color w:val="auto"/>
                <w:szCs w:val="24"/>
              </w:rPr>
              <w:t>。</w:t>
            </w:r>
          </w:p>
        </w:tc>
      </w:tr>
      <w:tr w14:paraId="008AA290">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087FBB8C">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3.7.3（B）</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36B04721">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投标文件签字或盖章要求</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506D63A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投标文件中需个人签字或盖章的，应加盖个人电子印章或在线下完成后扫描上传。具体操作详见广州交易集团有限公司（广州公共资源交易中心）网站最新发布的《建设工程全流程电子化项目操作指南》。</w:t>
            </w:r>
          </w:p>
        </w:tc>
      </w:tr>
      <w:tr w14:paraId="7726378A">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4" w:space="0"/>
              <w:right w:val="single" w:color="auto" w:sz="8" w:space="0"/>
            </w:tcBorders>
            <w:noWrap w:val="0"/>
            <w:vAlign w:val="center"/>
          </w:tcPr>
          <w:p w14:paraId="2D8D15E2">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4.1.1（B）</w:t>
            </w:r>
          </w:p>
        </w:tc>
        <w:tc>
          <w:tcPr>
            <w:tcW w:w="2228" w:type="dxa"/>
            <w:tcBorders>
              <w:top w:val="single" w:color="auto" w:sz="8" w:space="0"/>
              <w:left w:val="single" w:color="auto" w:sz="8" w:space="0"/>
              <w:bottom w:val="single" w:color="auto" w:sz="4" w:space="0"/>
              <w:right w:val="single" w:color="auto" w:sz="8" w:space="0"/>
            </w:tcBorders>
            <w:noWrap w:val="0"/>
            <w:vAlign w:val="center"/>
          </w:tcPr>
          <w:p w14:paraId="1F9F943D">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投标文件加密要求</w:t>
            </w:r>
          </w:p>
        </w:tc>
        <w:tc>
          <w:tcPr>
            <w:tcW w:w="6656" w:type="dxa"/>
            <w:tcBorders>
              <w:top w:val="single" w:color="auto" w:sz="8" w:space="0"/>
              <w:left w:val="single" w:color="auto" w:sz="8" w:space="0"/>
              <w:bottom w:val="single" w:color="auto" w:sz="4" w:space="0"/>
              <w:right w:val="single" w:color="auto" w:sz="8" w:space="0"/>
            </w:tcBorders>
            <w:noWrap w:val="0"/>
            <w:vAlign w:val="center"/>
          </w:tcPr>
          <w:p w14:paraId="05228BB4">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eastAsia="宋体" w:cs="宋体"/>
                <w:color w:val="auto"/>
                <w:szCs w:val="24"/>
                <w:lang w:eastAsia="zh-CN"/>
              </w:rPr>
            </w:pPr>
            <w:r>
              <w:rPr>
                <w:rFonts w:hint="eastAsia" w:hAnsi="宋体" w:cs="宋体"/>
                <w:color w:val="auto"/>
                <w:szCs w:val="24"/>
                <w:lang w:val="en-US" w:eastAsia="zh-CN"/>
              </w:rPr>
              <w:t>1、</w:t>
            </w:r>
            <w:r>
              <w:rPr>
                <w:rFonts w:hint="eastAsia" w:hAnsi="宋体" w:cs="宋体"/>
                <w:color w:val="auto"/>
                <w:szCs w:val="24"/>
              </w:rPr>
              <w:t>网上递交的电子投标文件须进行加密。未按要求加密的投标文件，交易平台将予以拒收。具体操作详见广州交易集团有限公司（广州公共资源交易中心）网站最新发布的《</w:t>
            </w:r>
            <w:r>
              <w:rPr>
                <w:rFonts w:hint="eastAsia" w:ascii="宋体" w:hAnsi="宋体" w:eastAsia="宋体" w:cs="宋体"/>
                <w:color w:val="auto"/>
                <w:sz w:val="24"/>
                <w:szCs w:val="24"/>
              </w:rPr>
              <w:t>建设工程全流程电子化项目操作指南</w:t>
            </w:r>
            <w:r>
              <w:rPr>
                <w:rFonts w:hint="eastAsia" w:hAnsi="宋体" w:cs="宋体"/>
                <w:color w:val="auto"/>
                <w:szCs w:val="24"/>
              </w:rPr>
              <w:t>》</w:t>
            </w:r>
            <w:r>
              <w:rPr>
                <w:rFonts w:hint="eastAsia" w:hAnsi="宋体" w:cs="宋体"/>
                <w:color w:val="auto"/>
                <w:szCs w:val="24"/>
                <w:lang w:eastAsia="zh-CN"/>
              </w:rPr>
              <w:t>。</w:t>
            </w:r>
          </w:p>
          <w:p w14:paraId="629BF187">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lang w:val="en-US" w:eastAsia="zh-CN"/>
              </w:rPr>
              <w:t>2、如有提交备用投标文件电子光盘，备用投标文件电子光盘应密封包装，并在封套的封口处加盖投标人单位公章。未按要求密封的投标文件，招标人将予以拒收</w:t>
            </w:r>
            <w:r>
              <w:rPr>
                <w:rFonts w:hint="eastAsia" w:hAnsi="宋体" w:cs="宋体"/>
                <w:color w:val="auto"/>
                <w:szCs w:val="24"/>
              </w:rPr>
              <w:t>。</w:t>
            </w:r>
          </w:p>
        </w:tc>
      </w:tr>
      <w:tr w14:paraId="30E5A6CD">
        <w:tblPrEx>
          <w:tblCellMar>
            <w:top w:w="0" w:type="dxa"/>
            <w:left w:w="0" w:type="dxa"/>
            <w:bottom w:w="0" w:type="dxa"/>
            <w:right w:w="0" w:type="dxa"/>
          </w:tblCellMar>
        </w:tblPrEx>
        <w:trPr>
          <w:trHeight w:val="533"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14:paraId="7BD4B6B1">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4.1.2</w:t>
            </w:r>
          </w:p>
        </w:tc>
        <w:tc>
          <w:tcPr>
            <w:tcW w:w="2228" w:type="dxa"/>
            <w:tcBorders>
              <w:top w:val="single" w:color="auto" w:sz="4" w:space="0"/>
              <w:left w:val="single" w:color="auto" w:sz="4" w:space="0"/>
              <w:bottom w:val="single" w:color="auto" w:sz="4" w:space="0"/>
              <w:right w:val="single" w:color="auto" w:sz="4" w:space="0"/>
            </w:tcBorders>
            <w:noWrap w:val="0"/>
            <w:vAlign w:val="center"/>
          </w:tcPr>
          <w:p w14:paraId="08A424BD">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封套上应载明的信息（适用于提交备用光盘的情况）</w:t>
            </w:r>
          </w:p>
        </w:tc>
        <w:tc>
          <w:tcPr>
            <w:tcW w:w="6656" w:type="dxa"/>
            <w:tcBorders>
              <w:top w:val="single" w:color="auto" w:sz="4" w:space="0"/>
              <w:left w:val="single" w:color="auto" w:sz="4" w:space="0"/>
              <w:bottom w:val="single" w:color="auto" w:sz="4" w:space="0"/>
              <w:right w:val="single" w:color="auto" w:sz="4" w:space="0"/>
            </w:tcBorders>
            <w:noWrap w:val="0"/>
            <w:vAlign w:val="center"/>
          </w:tcPr>
          <w:p w14:paraId="76A4D2DD">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如有提交投标文件光盘备用，封套上应注明如下信息：</w:t>
            </w:r>
          </w:p>
          <w:p w14:paraId="13D739C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u w:val="single"/>
              </w:rPr>
            </w:pPr>
            <w:r>
              <w:rPr>
                <w:rFonts w:hint="eastAsia" w:hAnsi="宋体" w:cs="宋体"/>
                <w:color w:val="auto"/>
                <w:szCs w:val="24"/>
              </w:rPr>
              <w:t>招标人名称：</w:t>
            </w:r>
            <w:r>
              <w:rPr>
                <w:rFonts w:hint="eastAsia" w:hAnsi="宋体" w:cs="宋体"/>
                <w:color w:val="auto"/>
                <w:szCs w:val="24"/>
                <w:u w:val="single"/>
                <w:lang w:val="en-US" w:eastAsia="zh-CN"/>
              </w:rPr>
              <w:t xml:space="preserve">                   </w:t>
            </w:r>
            <w:r>
              <w:rPr>
                <w:rFonts w:hint="eastAsia" w:hAnsi="宋体" w:cs="宋体"/>
                <w:color w:val="auto"/>
                <w:szCs w:val="24"/>
                <w:u w:val="single"/>
              </w:rPr>
              <w:t xml:space="preserve"> </w:t>
            </w:r>
          </w:p>
          <w:p w14:paraId="0850D38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u w:val="single"/>
              </w:rPr>
              <w:t xml:space="preserve">          （项目名称）     </w:t>
            </w:r>
            <w:r>
              <w:rPr>
                <w:rFonts w:hint="eastAsia" w:hAnsi="宋体" w:cs="宋体"/>
                <w:color w:val="auto"/>
                <w:szCs w:val="24"/>
              </w:rPr>
              <w:t>投标文件</w:t>
            </w:r>
          </w:p>
          <w:p w14:paraId="2F61C6EA">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u w:val="single"/>
              </w:rPr>
            </w:pPr>
            <w:r>
              <w:rPr>
                <w:rFonts w:hint="eastAsia" w:hAnsi="宋体" w:cs="宋体"/>
                <w:color w:val="auto"/>
                <w:szCs w:val="24"/>
              </w:rPr>
              <w:t>招标项目编号：</w:t>
            </w:r>
            <w:r>
              <w:rPr>
                <w:rFonts w:hint="eastAsia" w:hAnsi="宋体" w:cs="宋体"/>
                <w:color w:val="auto"/>
                <w:szCs w:val="24"/>
                <w:u w:val="single"/>
              </w:rPr>
              <w:t xml:space="preserve">            </w:t>
            </w:r>
          </w:p>
          <w:p w14:paraId="013BCB7E">
            <w:pPr>
              <w:keepNext w:val="0"/>
              <w:keepLines w:val="0"/>
              <w:widowControl w:val="0"/>
              <w:suppressLineNumbers w:val="0"/>
              <w:spacing w:before="0" w:beforeAutospacing="0" w:after="0" w:afterAutospacing="0" w:line="400" w:lineRule="exact"/>
              <w:ind w:left="120" w:leftChars="50" w:right="120" w:rightChars="50" w:firstLine="0" w:firstLineChars="0"/>
              <w:rPr>
                <w:rFonts w:hint="eastAsia" w:hAnsi="宋体" w:cs="宋体"/>
                <w:color w:val="auto"/>
                <w:szCs w:val="24"/>
              </w:rPr>
            </w:pPr>
            <w:r>
              <w:rPr>
                <w:rFonts w:hint="eastAsia" w:hAnsi="宋体" w:cs="宋体"/>
                <w:color w:val="auto"/>
                <w:szCs w:val="24"/>
              </w:rPr>
              <w:t>投标人名称：</w:t>
            </w:r>
            <w:r>
              <w:rPr>
                <w:rFonts w:hint="eastAsia" w:hAnsi="宋体" w:cs="宋体"/>
                <w:color w:val="auto"/>
                <w:szCs w:val="24"/>
                <w:u w:val="single"/>
              </w:rPr>
              <w:t xml:space="preserve">              </w:t>
            </w:r>
          </w:p>
          <w:p w14:paraId="6D6E5598">
            <w:pPr>
              <w:keepNext w:val="0"/>
              <w:keepLines w:val="0"/>
              <w:widowControl/>
              <w:suppressLineNumbers w:val="0"/>
              <w:spacing w:before="0" w:beforeAutospacing="0" w:after="0" w:afterAutospacing="0" w:line="400" w:lineRule="exact"/>
              <w:ind w:left="0" w:right="120" w:rightChars="50" w:firstLine="120" w:firstLineChars="50"/>
              <w:rPr>
                <w:rFonts w:hint="eastAsia" w:hAnsi="宋体" w:cs="宋体"/>
                <w:color w:val="auto"/>
                <w:szCs w:val="24"/>
              </w:rPr>
            </w:pPr>
            <w:r>
              <w:rPr>
                <w:rFonts w:hint="eastAsia" w:hAnsi="宋体" w:cs="宋体"/>
                <w:color w:val="auto"/>
                <w:szCs w:val="24"/>
              </w:rPr>
              <w:t>投标人地址：</w:t>
            </w:r>
            <w:r>
              <w:rPr>
                <w:rFonts w:hint="eastAsia" w:hAnsi="宋体" w:cs="宋体"/>
                <w:color w:val="auto"/>
                <w:szCs w:val="24"/>
                <w:u w:val="single"/>
              </w:rPr>
              <w:t xml:space="preserve">              </w:t>
            </w:r>
          </w:p>
          <w:p w14:paraId="1B77B9C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在</w:t>
            </w: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rPr>
              <w:t xml:space="preserve">    </w:t>
            </w:r>
            <w:r>
              <w:rPr>
                <w:rFonts w:hint="eastAsia" w:hAnsi="宋体" w:cs="宋体"/>
                <w:color w:val="auto"/>
                <w:szCs w:val="24"/>
              </w:rPr>
              <w:t>日</w:t>
            </w:r>
            <w:r>
              <w:rPr>
                <w:rFonts w:hint="eastAsia" w:hAnsi="宋体" w:cs="宋体"/>
                <w:color w:val="auto"/>
                <w:szCs w:val="24"/>
                <w:u w:val="single"/>
              </w:rPr>
              <w:t xml:space="preserve">    </w:t>
            </w:r>
            <w:r>
              <w:rPr>
                <w:rFonts w:hint="eastAsia" w:hAnsi="宋体" w:cs="宋体"/>
                <w:color w:val="auto"/>
                <w:szCs w:val="24"/>
              </w:rPr>
              <w:t>时前不得开启（按投标截止时间）</w:t>
            </w:r>
          </w:p>
        </w:tc>
      </w:tr>
      <w:tr w14:paraId="5C5124FF">
        <w:tblPrEx>
          <w:tblCellMar>
            <w:top w:w="0" w:type="dxa"/>
            <w:left w:w="0" w:type="dxa"/>
            <w:bottom w:w="0" w:type="dxa"/>
            <w:right w:w="0" w:type="dxa"/>
          </w:tblCellMar>
        </w:tblPrEx>
        <w:trPr>
          <w:trHeight w:val="533" w:hRule="atLeast"/>
          <w:jc w:val="center"/>
        </w:trPr>
        <w:tc>
          <w:tcPr>
            <w:tcW w:w="1023" w:type="dxa"/>
            <w:tcBorders>
              <w:top w:val="single" w:color="auto" w:sz="4" w:space="0"/>
              <w:left w:val="single" w:color="auto" w:sz="8" w:space="0"/>
              <w:bottom w:val="single" w:color="auto" w:sz="8" w:space="0"/>
              <w:right w:val="single" w:color="auto" w:sz="8" w:space="0"/>
            </w:tcBorders>
            <w:noWrap w:val="0"/>
            <w:vAlign w:val="center"/>
          </w:tcPr>
          <w:p w14:paraId="3DB85E48">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4.2.1</w:t>
            </w:r>
          </w:p>
        </w:tc>
        <w:tc>
          <w:tcPr>
            <w:tcW w:w="2228" w:type="dxa"/>
            <w:tcBorders>
              <w:top w:val="single" w:color="auto" w:sz="4" w:space="0"/>
              <w:left w:val="single" w:color="auto" w:sz="8" w:space="0"/>
              <w:bottom w:val="single" w:color="auto" w:sz="8" w:space="0"/>
              <w:right w:val="single" w:color="auto" w:sz="8" w:space="0"/>
            </w:tcBorders>
            <w:noWrap w:val="0"/>
            <w:vAlign w:val="center"/>
          </w:tcPr>
          <w:p w14:paraId="77D4F4E3">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投标截止时间</w:t>
            </w:r>
          </w:p>
        </w:tc>
        <w:tc>
          <w:tcPr>
            <w:tcW w:w="6656" w:type="dxa"/>
            <w:tcBorders>
              <w:top w:val="single" w:color="auto" w:sz="4" w:space="0"/>
              <w:left w:val="single" w:color="auto" w:sz="8" w:space="0"/>
              <w:bottom w:val="single" w:color="auto" w:sz="8" w:space="0"/>
              <w:right w:val="single" w:color="auto" w:sz="8" w:space="0"/>
            </w:tcBorders>
            <w:noWrap w:val="0"/>
            <w:vAlign w:val="bottom"/>
          </w:tcPr>
          <w:p w14:paraId="76EA6BA8">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详见招标公告。具体时间可以到广州交易集团有限公司（广州公共资源交易中心）网站主页“建设工程→项目查询（日程安排、答疑纪要）”输入本“项目编号”或“项目名称”进行查询。</w:t>
            </w:r>
          </w:p>
        </w:tc>
      </w:tr>
      <w:tr w14:paraId="3806E05B">
        <w:tblPrEx>
          <w:tblCellMar>
            <w:top w:w="0" w:type="dxa"/>
            <w:left w:w="0" w:type="dxa"/>
            <w:bottom w:w="0" w:type="dxa"/>
            <w:right w:w="0" w:type="dxa"/>
          </w:tblCellMar>
        </w:tblPrEx>
        <w:trPr>
          <w:trHeight w:val="533" w:hRule="atLeast"/>
          <w:jc w:val="center"/>
        </w:trPr>
        <w:tc>
          <w:tcPr>
            <w:tcW w:w="1023" w:type="dxa"/>
            <w:tcBorders>
              <w:top w:val="single" w:color="auto" w:sz="4" w:space="0"/>
              <w:left w:val="single" w:color="auto" w:sz="8" w:space="0"/>
              <w:bottom w:val="single" w:color="auto" w:sz="8" w:space="0"/>
              <w:right w:val="single" w:color="auto" w:sz="8" w:space="0"/>
            </w:tcBorders>
            <w:noWrap w:val="0"/>
            <w:vAlign w:val="center"/>
          </w:tcPr>
          <w:p w14:paraId="23CCA366">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cs="宋体"/>
                <w:color w:val="auto"/>
                <w:szCs w:val="24"/>
              </w:rPr>
            </w:pPr>
            <w:r>
              <w:rPr>
                <w:rFonts w:hint="eastAsia" w:hAnsi="宋体" w:cs="宋体"/>
                <w:color w:val="auto"/>
                <w:szCs w:val="20"/>
              </w:rPr>
              <w:t>4.2.2</w:t>
            </w:r>
          </w:p>
        </w:tc>
        <w:tc>
          <w:tcPr>
            <w:tcW w:w="2228" w:type="dxa"/>
            <w:tcBorders>
              <w:top w:val="single" w:color="auto" w:sz="4" w:space="0"/>
              <w:left w:val="single" w:color="auto" w:sz="8" w:space="0"/>
              <w:bottom w:val="single" w:color="auto" w:sz="8" w:space="0"/>
              <w:right w:val="single" w:color="auto" w:sz="8" w:space="0"/>
            </w:tcBorders>
            <w:noWrap w:val="0"/>
            <w:vAlign w:val="center"/>
          </w:tcPr>
          <w:p w14:paraId="6858B136">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递交电子投标文件交易平台</w:t>
            </w:r>
          </w:p>
        </w:tc>
        <w:tc>
          <w:tcPr>
            <w:tcW w:w="6656" w:type="dxa"/>
            <w:tcBorders>
              <w:top w:val="single" w:color="auto" w:sz="4" w:space="0"/>
              <w:left w:val="single" w:color="auto" w:sz="8" w:space="0"/>
              <w:bottom w:val="single" w:color="auto" w:sz="8" w:space="0"/>
              <w:right w:val="single" w:color="auto" w:sz="8" w:space="0"/>
            </w:tcBorders>
            <w:noWrap w:val="0"/>
            <w:vAlign w:val="center"/>
          </w:tcPr>
          <w:p w14:paraId="1F5B2FAF">
            <w:pPr>
              <w:keepNext w:val="0"/>
              <w:keepLines w:val="0"/>
              <w:widowControl w:val="0"/>
              <w:suppressLineNumbers w:val="0"/>
              <w:snapToGrid w:val="0"/>
              <w:spacing w:before="0" w:beforeAutospacing="0" w:after="0" w:afterAutospacing="0" w:line="380" w:lineRule="exact"/>
              <w:ind w:left="120" w:leftChars="50" w:right="120" w:rightChars="50" w:firstLine="0" w:firstLineChars="0"/>
              <w:rPr>
                <w:rFonts w:hint="eastAsia" w:hAnsi="宋体" w:cs="宋体"/>
                <w:color w:val="auto"/>
                <w:szCs w:val="24"/>
                <w:u w:val="single"/>
              </w:rPr>
            </w:pPr>
            <w:r>
              <w:rPr>
                <w:rFonts w:hint="eastAsia" w:hAnsi="宋体" w:cs="宋体"/>
                <w:color w:val="auto"/>
                <w:szCs w:val="24"/>
                <w:u w:val="single"/>
              </w:rPr>
              <w:t>1.递交方式：网上递交投标文件</w:t>
            </w:r>
          </w:p>
          <w:p w14:paraId="35EE61B0">
            <w:pPr>
              <w:keepNext w:val="0"/>
              <w:keepLines w:val="0"/>
              <w:widowControl w:val="0"/>
              <w:suppressLineNumbers w:val="0"/>
              <w:snapToGrid w:val="0"/>
              <w:spacing w:before="0" w:beforeAutospacing="0" w:after="0" w:afterAutospacing="0" w:line="380" w:lineRule="exact"/>
              <w:ind w:left="120" w:leftChars="50" w:right="120" w:rightChars="50" w:firstLine="0" w:firstLineChars="0"/>
              <w:rPr>
                <w:rFonts w:hint="eastAsia" w:hAnsi="宋体" w:cs="宋体"/>
                <w:color w:val="auto"/>
                <w:szCs w:val="24"/>
                <w:u w:val="single"/>
              </w:rPr>
            </w:pPr>
            <w:r>
              <w:rPr>
                <w:rFonts w:hint="eastAsia" w:hAnsi="宋体" w:cs="宋体"/>
                <w:color w:val="auto"/>
                <w:szCs w:val="24"/>
                <w:u w:val="single"/>
              </w:rPr>
              <w:t>2.交易平台：广州交易集团有限公司（广州公共资源交易中心）网站。</w:t>
            </w:r>
          </w:p>
          <w:p w14:paraId="3947F8FC">
            <w:pPr>
              <w:keepNext w:val="0"/>
              <w:keepLines w:val="0"/>
              <w:widowControl w:val="0"/>
              <w:suppressLineNumbers w:val="0"/>
              <w:snapToGrid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u w:val="single"/>
              </w:rPr>
              <w:t>3.上述时间是否有改变，请密切留意</w:t>
            </w:r>
            <w:r>
              <w:rPr>
                <w:rFonts w:hint="eastAsia" w:ascii="宋体" w:hAnsi="宋体" w:eastAsia="宋体" w:cs="宋体"/>
                <w:color w:val="auto"/>
                <w:sz w:val="24"/>
                <w:szCs w:val="24"/>
                <w:u w:val="single"/>
              </w:rPr>
              <w:t>补充公告（如有）和</w:t>
            </w:r>
            <w:r>
              <w:rPr>
                <w:rFonts w:hint="eastAsia" w:hAnsi="宋体" w:cs="宋体"/>
                <w:color w:val="auto"/>
                <w:szCs w:val="24"/>
                <w:u w:val="single"/>
              </w:rPr>
              <w:t>招标答疑纪要（如有）的相关信息。</w:t>
            </w:r>
          </w:p>
        </w:tc>
      </w:tr>
      <w:tr w14:paraId="3B599DD2">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0BA54932">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4.2.3</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71C9E60C">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投标文件是否退还</w:t>
            </w:r>
          </w:p>
        </w:tc>
        <w:tc>
          <w:tcPr>
            <w:tcW w:w="6656" w:type="dxa"/>
            <w:tcBorders>
              <w:top w:val="single" w:color="auto" w:sz="8" w:space="0"/>
              <w:left w:val="single" w:color="auto" w:sz="8" w:space="0"/>
              <w:bottom w:val="single" w:color="auto" w:sz="8" w:space="0"/>
              <w:right w:val="single" w:color="auto" w:sz="8" w:space="0"/>
            </w:tcBorders>
            <w:noWrap w:val="0"/>
            <w:vAlign w:val="bottom"/>
          </w:tcPr>
          <w:p w14:paraId="4523316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b/>
                <w:color w:val="auto"/>
                <w:szCs w:val="24"/>
                <w:lang w:bidi="ar"/>
              </w:rPr>
              <w:t>■</w:t>
            </w:r>
            <w:r>
              <w:rPr>
                <w:rFonts w:hint="eastAsia" w:hAnsi="宋体" w:cs="宋体"/>
                <w:color w:val="auto"/>
                <w:szCs w:val="24"/>
              </w:rPr>
              <w:t>否</w:t>
            </w:r>
          </w:p>
          <w:p w14:paraId="6A476972">
            <w:pPr>
              <w:keepNext w:val="0"/>
              <w:keepLines w:val="0"/>
              <w:widowControl w:val="0"/>
              <w:suppressLineNumbers w:val="0"/>
              <w:spacing w:before="0" w:beforeAutospacing="0" w:after="0" w:afterAutospacing="0" w:line="380" w:lineRule="exact"/>
              <w:ind w:left="120" w:leftChars="50" w:right="120" w:rightChars="50" w:firstLine="0" w:firstLineChars="0"/>
              <w:rPr>
                <w:rFonts w:hint="default" w:hAnsi="宋体" w:cs="宋体"/>
                <w:color w:val="auto"/>
                <w:szCs w:val="24"/>
              </w:rPr>
            </w:pPr>
            <w:r>
              <w:rPr>
                <w:rFonts w:hint="eastAsia" w:hAnsi="宋体" w:cs="宋体"/>
                <w:color w:val="auto"/>
                <w:szCs w:val="24"/>
              </w:rPr>
              <w:t>□是，退还时间：</w:t>
            </w:r>
            <w:r>
              <w:rPr>
                <w:rFonts w:hint="eastAsia" w:hAnsi="宋体" w:cs="宋体"/>
                <w:color w:val="auto"/>
                <w:szCs w:val="24"/>
                <w:u w:val="single"/>
              </w:rPr>
              <w:t xml:space="preserve"> / </w:t>
            </w:r>
          </w:p>
        </w:tc>
      </w:tr>
      <w:tr w14:paraId="3258C4E3">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2934E3CD">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5.1(B)</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446F3B3A">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开标时间和地点</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692123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72" w:leftChars="30" w:right="72" w:rightChars="3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具体开标时间、开标地点详见广州交易集团有限公司（广州公共资源交易中心）网站（http://www.gzggzy.cn）的项目查询(日程安排、答疑纪要)中输入本项目编号或项目名称进行查询。</w:t>
            </w:r>
          </w:p>
          <w:p w14:paraId="1C3B9D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72" w:leftChars="30" w:right="72" w:rightChars="3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广州交易集团有限公司（广州公共资源交易中心）公开开标，并邀请所有投标人的法定代表人（单位负责人）或其委托代理人准时参加。开标时，投标人代表有权出席开标会，也可以自主决定不参加开标会。也可选择参加在线开标，在线开标具体按照交易平台相关指南进行操作。</w:t>
            </w:r>
          </w:p>
          <w:p w14:paraId="7D2BB45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ascii="宋体" w:hAnsi="宋体" w:eastAsia="宋体" w:cs="宋体"/>
                <w:b/>
                <w:bCs/>
                <w:color w:val="auto"/>
                <w:sz w:val="24"/>
                <w:szCs w:val="24"/>
                <w:u w:val="single"/>
              </w:rPr>
              <w:t>上述时间及地点是否有改变，请密切留意补充公告（如有）和招标答疑纪要（如有）的相关信息。</w:t>
            </w:r>
          </w:p>
        </w:tc>
      </w:tr>
      <w:tr w14:paraId="3C57F7E7">
        <w:tblPrEx>
          <w:tblCellMar>
            <w:top w:w="0" w:type="dxa"/>
            <w:left w:w="0" w:type="dxa"/>
            <w:bottom w:w="0" w:type="dxa"/>
            <w:right w:w="0" w:type="dxa"/>
          </w:tblCellMar>
        </w:tblPrEx>
        <w:trPr>
          <w:trHeight w:val="533" w:hRule="atLeast"/>
          <w:jc w:val="center"/>
        </w:trPr>
        <w:tc>
          <w:tcPr>
            <w:tcW w:w="1023" w:type="dxa"/>
            <w:vMerge w:val="restart"/>
            <w:tcBorders>
              <w:top w:val="single" w:color="auto" w:sz="8" w:space="0"/>
              <w:left w:val="single" w:color="auto" w:sz="8" w:space="0"/>
              <w:bottom w:val="single" w:color="auto" w:sz="8" w:space="0"/>
              <w:right w:val="single" w:color="auto" w:sz="8" w:space="0"/>
            </w:tcBorders>
            <w:noWrap w:val="0"/>
            <w:vAlign w:val="center"/>
          </w:tcPr>
          <w:p w14:paraId="618EA160">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5.2(B)</w:t>
            </w:r>
          </w:p>
        </w:tc>
        <w:tc>
          <w:tcPr>
            <w:tcW w:w="2228" w:type="dxa"/>
            <w:vMerge w:val="restart"/>
            <w:tcBorders>
              <w:top w:val="single" w:color="auto" w:sz="8" w:space="0"/>
              <w:left w:val="single" w:color="auto" w:sz="8" w:space="0"/>
              <w:bottom w:val="single" w:color="auto" w:sz="8" w:space="0"/>
              <w:right w:val="single" w:color="auto" w:sz="8" w:space="0"/>
            </w:tcBorders>
            <w:noWrap w:val="0"/>
            <w:vAlign w:val="center"/>
          </w:tcPr>
          <w:p w14:paraId="697BA1BB">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开标程序</w:t>
            </w:r>
          </w:p>
        </w:tc>
        <w:tc>
          <w:tcPr>
            <w:tcW w:w="6656" w:type="dxa"/>
            <w:tcBorders>
              <w:top w:val="single" w:color="auto" w:sz="8" w:space="0"/>
              <w:left w:val="single" w:color="auto" w:sz="8" w:space="0"/>
              <w:bottom w:val="single" w:color="auto" w:sz="8" w:space="0"/>
              <w:right w:val="single" w:color="auto" w:sz="8" w:space="0"/>
            </w:tcBorders>
            <w:noWrap w:val="0"/>
            <w:vAlign w:val="bottom"/>
          </w:tcPr>
          <w:p w14:paraId="2B283DDC">
            <w:pPr>
              <w:keepNext w:val="0"/>
              <w:keepLines w:val="0"/>
              <w:widowControl w:val="0"/>
              <w:suppressLineNumbers w:val="0"/>
              <w:spacing w:before="0" w:beforeAutospacing="0" w:after="0" w:afterAutospacing="0" w:line="380" w:lineRule="exact"/>
              <w:ind w:left="72" w:leftChars="30" w:right="72" w:rightChars="30" w:firstLine="0" w:firstLineChars="0"/>
              <w:rPr>
                <w:rFonts w:hint="eastAsia" w:hAnsi="宋体" w:cs="宋体"/>
                <w:color w:val="auto"/>
                <w:szCs w:val="24"/>
              </w:rPr>
            </w:pPr>
            <w:r>
              <w:rPr>
                <w:rFonts w:hint="eastAsia" w:hAnsi="宋体" w:cs="宋体"/>
                <w:color w:val="auto"/>
                <w:szCs w:val="24"/>
              </w:rPr>
              <w:t>5.2.1主持人按下列程序进行开标：</w:t>
            </w:r>
          </w:p>
          <w:p w14:paraId="3A103C6F">
            <w:pPr>
              <w:keepNext w:val="0"/>
              <w:keepLines w:val="0"/>
              <w:widowControl w:val="0"/>
              <w:suppressLineNumbers w:val="0"/>
              <w:spacing w:before="0" w:beforeAutospacing="0" w:after="0" w:afterAutospacing="0" w:line="380" w:lineRule="exact"/>
              <w:ind w:left="72" w:leftChars="30" w:right="72" w:rightChars="30" w:firstLine="0" w:firstLineChars="0"/>
              <w:rPr>
                <w:rFonts w:hint="eastAsia" w:hAnsi="宋体" w:cs="宋体"/>
                <w:color w:val="auto"/>
                <w:szCs w:val="24"/>
              </w:rPr>
            </w:pPr>
            <w:r>
              <w:rPr>
                <w:rFonts w:hint="eastAsia" w:hAnsi="宋体" w:cs="宋体"/>
                <w:color w:val="auto"/>
                <w:szCs w:val="24"/>
              </w:rPr>
              <w:t>（1）宣布开标纪律；</w:t>
            </w:r>
          </w:p>
          <w:p w14:paraId="1B32125A">
            <w:pPr>
              <w:keepNext w:val="0"/>
              <w:keepLines w:val="0"/>
              <w:widowControl w:val="0"/>
              <w:suppressLineNumbers w:val="0"/>
              <w:spacing w:before="0" w:beforeAutospacing="0" w:after="0" w:afterAutospacing="0" w:line="380" w:lineRule="exact"/>
              <w:ind w:left="72" w:leftChars="30" w:right="72" w:rightChars="30" w:firstLine="0" w:firstLineChars="0"/>
              <w:rPr>
                <w:rFonts w:hint="eastAsia" w:hAnsi="宋体" w:cs="宋体"/>
                <w:color w:val="auto"/>
                <w:szCs w:val="24"/>
              </w:rPr>
            </w:pPr>
            <w:r>
              <w:rPr>
                <w:rFonts w:hint="eastAsia" w:hAnsi="宋体" w:cs="宋体"/>
                <w:color w:val="auto"/>
                <w:szCs w:val="24"/>
              </w:rPr>
              <w:t>（2）公布在投标截止时间前递交投标文件的投标人名称；</w:t>
            </w:r>
          </w:p>
          <w:p w14:paraId="11D2B74C">
            <w:pPr>
              <w:keepNext w:val="0"/>
              <w:keepLines w:val="0"/>
              <w:widowControl w:val="0"/>
              <w:suppressLineNumbers w:val="0"/>
              <w:spacing w:before="0" w:beforeAutospacing="0" w:after="0" w:afterAutospacing="0" w:line="380" w:lineRule="exact"/>
              <w:ind w:left="72" w:leftChars="30" w:right="72" w:rightChars="30" w:firstLine="0" w:firstLineChars="0"/>
              <w:rPr>
                <w:rFonts w:hint="eastAsia" w:hAnsi="宋体" w:cs="宋体"/>
                <w:color w:val="auto"/>
                <w:szCs w:val="24"/>
              </w:rPr>
            </w:pPr>
            <w:r>
              <w:rPr>
                <w:rFonts w:hint="eastAsia" w:hAnsi="宋体" w:cs="宋体"/>
                <w:color w:val="auto"/>
                <w:szCs w:val="24"/>
              </w:rPr>
              <w:t>（3）宣布开标人、唱标人、记录人、监标人等有关人员姓名；</w:t>
            </w:r>
          </w:p>
          <w:p w14:paraId="6D2D1A66">
            <w:pPr>
              <w:keepNext w:val="0"/>
              <w:keepLines w:val="0"/>
              <w:widowControl w:val="0"/>
              <w:suppressLineNumbers w:val="0"/>
              <w:spacing w:before="0" w:beforeAutospacing="0" w:after="0" w:afterAutospacing="0" w:line="380" w:lineRule="exact"/>
              <w:ind w:left="72" w:leftChars="30" w:right="72" w:rightChars="30" w:firstLine="0" w:firstLineChars="0"/>
              <w:rPr>
                <w:rFonts w:hint="eastAsia" w:hAnsi="宋体" w:cs="宋体"/>
                <w:color w:val="auto"/>
                <w:szCs w:val="24"/>
              </w:rPr>
            </w:pPr>
            <w:r>
              <w:rPr>
                <w:rFonts w:hint="eastAsia" w:hAnsi="宋体" w:cs="宋体"/>
                <w:color w:val="auto"/>
                <w:szCs w:val="24"/>
              </w:rPr>
              <w:t>（4）投标人通过电子招标投标交易平台对已递交的电子投标文件进行解密，公布招标项目名称、投标人名称、投标报价、服务期限及其他内容，并记录在案；</w:t>
            </w:r>
          </w:p>
          <w:p w14:paraId="227CDF2C">
            <w:pPr>
              <w:keepNext w:val="0"/>
              <w:keepLines w:val="0"/>
              <w:widowControl w:val="0"/>
              <w:suppressLineNumbers w:val="0"/>
              <w:spacing w:before="0" w:beforeAutospacing="0" w:after="0" w:afterAutospacing="0" w:line="380" w:lineRule="exact"/>
              <w:ind w:left="72" w:leftChars="30" w:right="72" w:rightChars="30" w:firstLine="0" w:firstLineChars="0"/>
              <w:rPr>
                <w:rFonts w:hint="eastAsia" w:hAnsi="宋体" w:cs="宋体"/>
                <w:color w:val="auto"/>
                <w:szCs w:val="24"/>
              </w:rPr>
            </w:pPr>
            <w:r>
              <w:rPr>
                <w:rFonts w:hint="eastAsia" w:hAnsi="宋体" w:cs="宋体"/>
                <w:color w:val="auto"/>
                <w:szCs w:val="24"/>
              </w:rPr>
              <w:t>（5）投标人代表、招标人代表、监标人、记录人等有关人员在开标记录上签字确认；若有关人员不签字的，不影响开标程序；</w:t>
            </w:r>
          </w:p>
          <w:p w14:paraId="745B0473">
            <w:pPr>
              <w:keepNext w:val="0"/>
              <w:keepLines w:val="0"/>
              <w:widowControl w:val="0"/>
              <w:suppressLineNumbers w:val="0"/>
              <w:spacing w:before="0" w:beforeAutospacing="0" w:after="0" w:afterAutospacing="0" w:line="380" w:lineRule="exact"/>
              <w:ind w:left="72" w:leftChars="30" w:right="72" w:rightChars="30" w:firstLine="0" w:firstLineChars="0"/>
              <w:rPr>
                <w:rFonts w:hint="eastAsia" w:hAnsi="宋体" w:cs="宋体"/>
                <w:color w:val="auto"/>
                <w:szCs w:val="24"/>
              </w:rPr>
            </w:pPr>
            <w:r>
              <w:rPr>
                <w:rFonts w:hint="eastAsia" w:hAnsi="宋体" w:cs="宋体"/>
                <w:color w:val="auto"/>
                <w:szCs w:val="24"/>
              </w:rPr>
              <w:t>（6）开标结束。</w:t>
            </w:r>
          </w:p>
        </w:tc>
      </w:tr>
      <w:tr w14:paraId="14C06E81">
        <w:tblPrEx>
          <w:tblCellMar>
            <w:top w:w="0" w:type="dxa"/>
            <w:left w:w="0" w:type="dxa"/>
            <w:bottom w:w="0" w:type="dxa"/>
            <w:right w:w="0" w:type="dxa"/>
          </w:tblCellMar>
        </w:tblPrEx>
        <w:trPr>
          <w:trHeight w:val="533" w:hRule="atLeast"/>
          <w:jc w:val="center"/>
        </w:trPr>
        <w:tc>
          <w:tcPr>
            <w:tcW w:w="1023" w:type="dxa"/>
            <w:vMerge w:val="continue"/>
            <w:tcBorders>
              <w:left w:val="single" w:color="auto" w:sz="8" w:space="0"/>
              <w:right w:val="single" w:color="auto" w:sz="8" w:space="0"/>
            </w:tcBorders>
            <w:noWrap w:val="0"/>
            <w:vAlign w:val="center"/>
          </w:tcPr>
          <w:p w14:paraId="09792B15">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p>
        </w:tc>
        <w:tc>
          <w:tcPr>
            <w:tcW w:w="2228" w:type="dxa"/>
            <w:vMerge w:val="continue"/>
            <w:tcBorders>
              <w:left w:val="single" w:color="auto" w:sz="8" w:space="0"/>
              <w:right w:val="single" w:color="auto" w:sz="8" w:space="0"/>
            </w:tcBorders>
            <w:noWrap w:val="0"/>
            <w:vAlign w:val="center"/>
          </w:tcPr>
          <w:p w14:paraId="6D727078">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p>
        </w:tc>
        <w:tc>
          <w:tcPr>
            <w:tcW w:w="6656" w:type="dxa"/>
            <w:tcBorders>
              <w:top w:val="single" w:color="auto" w:sz="8" w:space="0"/>
              <w:left w:val="single" w:color="auto" w:sz="8" w:space="0"/>
              <w:bottom w:val="single" w:color="auto" w:sz="8" w:space="0"/>
              <w:right w:val="single" w:color="auto" w:sz="8" w:space="0"/>
            </w:tcBorders>
            <w:noWrap w:val="0"/>
            <w:vAlign w:val="bottom"/>
          </w:tcPr>
          <w:p w14:paraId="65DB4EF6">
            <w:pPr>
              <w:keepNext w:val="0"/>
              <w:keepLines w:val="0"/>
              <w:widowControl w:val="0"/>
              <w:suppressLineNumbers w:val="0"/>
              <w:spacing w:before="0" w:beforeAutospacing="0" w:after="0" w:afterAutospacing="0" w:line="380" w:lineRule="exact"/>
              <w:ind w:left="72" w:leftChars="30" w:right="72" w:rightChars="30" w:firstLine="0" w:firstLineChars="0"/>
              <w:rPr>
                <w:rFonts w:hint="eastAsia" w:hAnsi="宋体" w:cs="宋体"/>
                <w:color w:val="auto"/>
                <w:szCs w:val="24"/>
              </w:rPr>
            </w:pPr>
            <w:r>
              <w:rPr>
                <w:rFonts w:hint="eastAsia" w:hAnsi="宋体" w:cs="宋体"/>
                <w:color w:val="auto"/>
                <w:szCs w:val="24"/>
              </w:rPr>
              <w:t>5.2.2投标截止时间前未完成投标文件传输的或因投标人之外的原因造成投标文件未解密，视为投标人撤回其投标文件。因投标人原因造成投标文件未解密的，视为撤销其投标文件。</w:t>
            </w:r>
          </w:p>
        </w:tc>
      </w:tr>
      <w:tr w14:paraId="15E92368">
        <w:tblPrEx>
          <w:tblCellMar>
            <w:top w:w="0" w:type="dxa"/>
            <w:left w:w="0" w:type="dxa"/>
            <w:bottom w:w="0" w:type="dxa"/>
            <w:right w:w="0" w:type="dxa"/>
          </w:tblCellMar>
        </w:tblPrEx>
        <w:trPr>
          <w:trHeight w:val="533" w:hRule="atLeast"/>
          <w:jc w:val="center"/>
        </w:trPr>
        <w:tc>
          <w:tcPr>
            <w:tcW w:w="1023" w:type="dxa"/>
            <w:vMerge w:val="continue"/>
            <w:tcBorders>
              <w:left w:val="single" w:color="auto" w:sz="8" w:space="0"/>
              <w:bottom w:val="single" w:color="auto" w:sz="8" w:space="0"/>
              <w:right w:val="single" w:color="auto" w:sz="8" w:space="0"/>
            </w:tcBorders>
            <w:noWrap w:val="0"/>
            <w:vAlign w:val="center"/>
          </w:tcPr>
          <w:p w14:paraId="1825AD6C">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p>
        </w:tc>
        <w:tc>
          <w:tcPr>
            <w:tcW w:w="2228" w:type="dxa"/>
            <w:vMerge w:val="continue"/>
            <w:tcBorders>
              <w:left w:val="single" w:color="auto" w:sz="8" w:space="0"/>
              <w:bottom w:val="single" w:color="auto" w:sz="8" w:space="0"/>
              <w:right w:val="single" w:color="auto" w:sz="8" w:space="0"/>
            </w:tcBorders>
            <w:noWrap w:val="0"/>
            <w:vAlign w:val="center"/>
          </w:tcPr>
          <w:p w14:paraId="5BF6E693">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p>
        </w:tc>
        <w:tc>
          <w:tcPr>
            <w:tcW w:w="6656" w:type="dxa"/>
            <w:tcBorders>
              <w:top w:val="single" w:color="auto" w:sz="8" w:space="0"/>
              <w:left w:val="single" w:color="auto" w:sz="8" w:space="0"/>
              <w:bottom w:val="single" w:color="auto" w:sz="8" w:space="0"/>
              <w:right w:val="single" w:color="auto" w:sz="8" w:space="0"/>
            </w:tcBorders>
            <w:noWrap w:val="0"/>
            <w:vAlign w:val="bottom"/>
          </w:tcPr>
          <w:p w14:paraId="5E619057">
            <w:pPr>
              <w:keepNext w:val="0"/>
              <w:keepLines w:val="0"/>
              <w:widowControl w:val="0"/>
              <w:suppressLineNumbers w:val="0"/>
              <w:spacing w:before="0" w:beforeAutospacing="0" w:after="0" w:afterAutospacing="0" w:line="380" w:lineRule="exact"/>
              <w:ind w:left="72" w:leftChars="30" w:right="72" w:rightChars="30" w:firstLine="0" w:firstLineChars="0"/>
              <w:rPr>
                <w:rFonts w:hint="eastAsia" w:hAnsi="宋体" w:cs="宋体"/>
                <w:color w:val="auto"/>
                <w:szCs w:val="24"/>
              </w:rPr>
            </w:pPr>
            <w:bookmarkStart w:id="41" w:name="auto_fouce_9"/>
            <w:r>
              <w:rPr>
                <w:rFonts w:hint="eastAsia" w:hAnsi="宋体" w:cs="宋体"/>
                <w:color w:val="auto"/>
                <w:szCs w:val="24"/>
              </w:rPr>
              <w:t>5.2.3开标时，两个（含两个）以上的投标人加密打包投标文件电脑机器特征码一致的，评标委员会</w:t>
            </w:r>
            <w:r>
              <w:rPr>
                <w:rFonts w:hint="eastAsia" w:hAnsi="宋体" w:cs="宋体"/>
                <w:color w:val="auto"/>
                <w:szCs w:val="24"/>
                <w:lang w:eastAsia="zh-CN"/>
              </w:rPr>
              <w:t>应</w:t>
            </w:r>
            <w:r>
              <w:rPr>
                <w:rFonts w:hint="eastAsia" w:hAnsi="宋体" w:cs="宋体"/>
                <w:color w:val="auto"/>
                <w:szCs w:val="24"/>
              </w:rPr>
              <w:t>否决其投标。</w:t>
            </w:r>
            <w:bookmarkEnd w:id="41"/>
          </w:p>
        </w:tc>
      </w:tr>
      <w:tr w14:paraId="1FF90E47">
        <w:tblPrEx>
          <w:tblCellMar>
            <w:top w:w="0" w:type="dxa"/>
            <w:left w:w="0" w:type="dxa"/>
            <w:bottom w:w="0" w:type="dxa"/>
            <w:right w:w="0" w:type="dxa"/>
          </w:tblCellMar>
        </w:tblPrEx>
        <w:trPr>
          <w:trHeight w:val="533" w:hRule="atLeast"/>
          <w:jc w:val="center"/>
        </w:trPr>
        <w:tc>
          <w:tcPr>
            <w:tcW w:w="1023" w:type="dxa"/>
            <w:tcBorders>
              <w:left w:val="single" w:color="auto" w:sz="8" w:space="0"/>
              <w:bottom w:val="single" w:color="auto" w:sz="8" w:space="0"/>
              <w:right w:val="single" w:color="auto" w:sz="8" w:space="0"/>
            </w:tcBorders>
            <w:noWrap w:val="0"/>
            <w:vAlign w:val="center"/>
          </w:tcPr>
          <w:p w14:paraId="4214176D">
            <w:pPr>
              <w:keepNext w:val="0"/>
              <w:keepLines w:val="0"/>
              <w:widowControl w:val="0"/>
              <w:suppressLineNumbers w:val="0"/>
              <w:spacing w:before="0" w:beforeAutospacing="0" w:after="0" w:afterAutospacing="0" w:line="380" w:lineRule="exact"/>
              <w:ind w:left="0" w:right="0" w:firstLine="0" w:firstLineChars="0"/>
              <w:jc w:val="center"/>
              <w:rPr>
                <w:rFonts w:hint="eastAsia" w:hAnsi="宋体" w:cs="宋体"/>
                <w:color w:val="auto"/>
                <w:szCs w:val="24"/>
              </w:rPr>
            </w:pPr>
            <w:r>
              <w:rPr>
                <w:rFonts w:hint="eastAsia" w:hAnsi="宋体" w:cs="宋体"/>
                <w:color w:val="auto"/>
                <w:szCs w:val="20"/>
              </w:rPr>
              <w:t>5.3</w:t>
            </w:r>
          </w:p>
        </w:tc>
        <w:tc>
          <w:tcPr>
            <w:tcW w:w="2228" w:type="dxa"/>
            <w:tcBorders>
              <w:left w:val="single" w:color="auto" w:sz="8" w:space="0"/>
              <w:bottom w:val="single" w:color="auto" w:sz="8" w:space="0"/>
              <w:right w:val="single" w:color="auto" w:sz="8" w:space="0"/>
            </w:tcBorders>
            <w:noWrap w:val="0"/>
            <w:vAlign w:val="center"/>
          </w:tcPr>
          <w:p w14:paraId="74712B6D">
            <w:pPr>
              <w:keepNext w:val="0"/>
              <w:keepLines w:val="0"/>
              <w:widowControl w:val="0"/>
              <w:suppressLineNumbers w:val="0"/>
              <w:spacing w:before="0" w:beforeAutospacing="0" w:after="0" w:afterAutospacing="0" w:line="380" w:lineRule="exact"/>
              <w:ind w:left="0" w:right="120" w:rightChars="50" w:firstLine="0" w:firstLineChars="0"/>
              <w:jc w:val="center"/>
              <w:rPr>
                <w:rFonts w:hint="eastAsia" w:hAnsi="宋体" w:cs="宋体"/>
                <w:color w:val="auto"/>
                <w:szCs w:val="24"/>
              </w:rPr>
            </w:pPr>
            <w:r>
              <w:rPr>
                <w:rFonts w:hint="eastAsia" w:hAnsi="宋体" w:cs="宋体"/>
                <w:color w:val="auto"/>
                <w:szCs w:val="24"/>
              </w:rPr>
              <w:t>开标异议</w:t>
            </w:r>
          </w:p>
        </w:tc>
        <w:tc>
          <w:tcPr>
            <w:tcW w:w="6656" w:type="dxa"/>
            <w:tcBorders>
              <w:top w:val="single" w:color="auto" w:sz="8" w:space="0"/>
              <w:left w:val="single" w:color="auto" w:sz="8" w:space="0"/>
              <w:bottom w:val="single" w:color="auto" w:sz="8" w:space="0"/>
              <w:right w:val="single" w:color="auto" w:sz="8" w:space="0"/>
            </w:tcBorders>
            <w:noWrap w:val="0"/>
            <w:vAlign w:val="bottom"/>
          </w:tcPr>
          <w:p w14:paraId="09DD6D25">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5.3.1开标时，投标人代表有权出席开标会，也可以自主决定不参加开标会。</w:t>
            </w:r>
          </w:p>
          <w:p w14:paraId="3DD5180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5.3.2参加在线开标的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未答复的，开标程序不得结束。</w:t>
            </w:r>
          </w:p>
          <w:p w14:paraId="3C299E6C">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5.3.3投标人未参加开标或在规定的时间内未提出异议的，视为对开标无异议。</w:t>
            </w:r>
          </w:p>
        </w:tc>
      </w:tr>
      <w:tr w14:paraId="302B03D3">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0C710B7F">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6.1.1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47B47D00">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评标委员会的组建</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73DB2A52">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1"/>
              </w:rPr>
            </w:pPr>
            <w:r>
              <w:rPr>
                <w:rFonts w:hint="eastAsia" w:hAnsi="宋体" w:cs="宋体"/>
                <w:color w:val="auto"/>
                <w:szCs w:val="24"/>
              </w:rPr>
              <w:t>由招标人依法组建评标委员会。</w:t>
            </w:r>
          </w:p>
        </w:tc>
      </w:tr>
      <w:tr w14:paraId="7D46AB6D">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05A8D73C">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6.3.2</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5B37BA76">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评标委员会推荐中标候选人的人数</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6227B98C">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推荐中标候选人</w:t>
            </w:r>
            <w:r>
              <w:rPr>
                <w:rFonts w:hint="eastAsia" w:hAnsi="宋体" w:cs="宋体"/>
                <w:color w:val="auto"/>
                <w:szCs w:val="24"/>
                <w:u w:val="single"/>
              </w:rPr>
              <w:t xml:space="preserve"> 3 </w:t>
            </w:r>
            <w:r>
              <w:rPr>
                <w:rFonts w:hint="eastAsia" w:hAnsi="宋体" w:cs="宋体"/>
                <w:color w:val="auto"/>
                <w:szCs w:val="24"/>
              </w:rPr>
              <w:t>人</w:t>
            </w:r>
          </w:p>
        </w:tc>
      </w:tr>
      <w:tr w14:paraId="7BDD21E7">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1869F9F3">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7.1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503AC45F">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中标候选人公示媒介及期限</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3797FCB8">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公示媒介：</w:t>
            </w:r>
            <w:r>
              <w:rPr>
                <w:rFonts w:hint="eastAsia" w:hAnsi="宋体" w:cs="宋体"/>
                <w:color w:val="auto"/>
                <w:szCs w:val="24"/>
                <w:u w:val="single"/>
              </w:rPr>
              <w:t>中国招标投标公共服务平台、广东省招标投标监管网、广州交易集团有限公司（广州公共资源交易中心）网站</w:t>
            </w:r>
          </w:p>
          <w:p w14:paraId="4D29DEE4">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w w:val="98"/>
                <w:szCs w:val="24"/>
                <w:u w:val="single"/>
              </w:rPr>
            </w:pPr>
            <w:r>
              <w:rPr>
                <w:rFonts w:hint="eastAsia" w:hAnsi="宋体" w:cs="宋体"/>
                <w:color w:val="auto"/>
                <w:szCs w:val="24"/>
              </w:rPr>
              <w:t>公示期限：</w:t>
            </w:r>
            <w:r>
              <w:rPr>
                <w:rFonts w:hint="eastAsia" w:hAnsi="宋体" w:cs="宋体"/>
                <w:color w:val="auto"/>
                <w:szCs w:val="24"/>
                <w:u w:val="single"/>
              </w:rPr>
              <w:t xml:space="preserve"> </w:t>
            </w:r>
            <w:r>
              <w:rPr>
                <w:rFonts w:hint="eastAsia" w:hAnsi="宋体" w:cs="宋体"/>
                <w:color w:val="auto"/>
                <w:w w:val="98"/>
                <w:szCs w:val="24"/>
                <w:u w:val="single"/>
              </w:rPr>
              <w:t xml:space="preserve">3 </w:t>
            </w:r>
            <w:r>
              <w:rPr>
                <w:rFonts w:hint="eastAsia" w:hAnsi="宋体" w:cs="宋体"/>
                <w:color w:val="auto"/>
                <w:szCs w:val="24"/>
              </w:rPr>
              <w:t>日</w:t>
            </w:r>
          </w:p>
          <w:p w14:paraId="5D3496B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注：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tc>
      </w:tr>
      <w:tr w14:paraId="6A1BF7A2">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3FF3E14F">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7.4</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41D689BF">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w w:val="99"/>
                <w:szCs w:val="24"/>
              </w:rPr>
            </w:pPr>
            <w:r>
              <w:rPr>
                <w:rFonts w:hint="eastAsia" w:hAnsi="宋体" w:cs="宋体"/>
                <w:color w:val="auto"/>
                <w:szCs w:val="24"/>
              </w:rPr>
              <w:t>是否授权评标委员会确定中标人</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32531A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□是</w:t>
            </w:r>
          </w:p>
          <w:p w14:paraId="22EED0D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b/>
                <w:color w:val="auto"/>
                <w:szCs w:val="24"/>
                <w:lang w:bidi="ar"/>
              </w:rPr>
              <w:t>■</w:t>
            </w:r>
            <w:r>
              <w:rPr>
                <w:rFonts w:hint="eastAsia" w:hAnsi="宋体" w:cs="宋体"/>
                <w:color w:val="auto"/>
                <w:szCs w:val="24"/>
              </w:rPr>
              <w:t>否。</w:t>
            </w:r>
          </w:p>
        </w:tc>
      </w:tr>
      <w:tr w14:paraId="2FD25653">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34AD64F6">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7.6.1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6B36887F">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履约保证金</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2D17FE3C">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是否要求中标人提交履约保证金：</w:t>
            </w:r>
          </w:p>
          <w:p w14:paraId="67752F46">
            <w:pPr>
              <w:keepNext w:val="0"/>
              <w:keepLines w:val="0"/>
              <w:widowControl w:val="0"/>
              <w:suppressLineNumbers w:val="0"/>
              <w:spacing w:before="0" w:beforeAutospacing="0" w:after="0" w:afterAutospacing="0" w:line="400" w:lineRule="exact"/>
              <w:ind w:left="120" w:leftChars="50" w:right="120" w:rightChars="50" w:firstLine="0" w:firstLineChars="0"/>
              <w:rPr>
                <w:rFonts w:hint="default" w:hAnsi="宋体" w:eastAsia="宋体" w:cs="宋体"/>
                <w:color w:val="auto"/>
                <w:szCs w:val="24"/>
                <w:lang w:val="en-US" w:eastAsia="zh-CN"/>
              </w:rPr>
            </w:pPr>
            <w:r>
              <w:rPr>
                <w:rFonts w:hint="eastAsia" w:hAnsi="宋体" w:cs="宋体"/>
                <w:b/>
                <w:color w:val="auto"/>
                <w:szCs w:val="24"/>
                <w:lang w:bidi="ar"/>
              </w:rPr>
              <w:t>■</w:t>
            </w:r>
            <w:r>
              <w:rPr>
                <w:rFonts w:hint="eastAsia" w:hAnsi="宋体" w:cs="宋体"/>
                <w:color w:val="auto"/>
                <w:szCs w:val="24"/>
              </w:rPr>
              <w:t>要求，履约保证金的形式：</w:t>
            </w:r>
            <w:r>
              <w:rPr>
                <w:rFonts w:hint="eastAsia" w:hAnsi="宋体" w:cs="宋体"/>
                <w:color w:val="auto"/>
                <w:szCs w:val="24"/>
                <w:u w:val="single"/>
              </w:rPr>
              <w:t>以现金或转账支票方式或</w:t>
            </w:r>
            <w:r>
              <w:rPr>
                <w:rFonts w:hint="eastAsia" w:hAnsi="宋体" w:cs="宋体"/>
                <w:color w:val="auto"/>
                <w:szCs w:val="24"/>
                <w:u w:val="single"/>
                <w:lang w:val="en-US" w:eastAsia="zh-CN"/>
              </w:rPr>
              <w:t>不可撤销的银行</w:t>
            </w:r>
            <w:r>
              <w:rPr>
                <w:rFonts w:hint="eastAsia" w:hAnsi="宋体" w:cs="宋体"/>
                <w:color w:val="auto"/>
                <w:szCs w:val="24"/>
                <w:u w:val="single"/>
              </w:rPr>
              <w:t>保函等有效方式向招标人递交履约担保。如果中标人的履约担保是以保函的形式提供，保函应须为中国范围内银行开具。</w:t>
            </w:r>
          </w:p>
          <w:p w14:paraId="1DFB3E35">
            <w:pPr>
              <w:keepNext w:val="0"/>
              <w:keepLines w:val="0"/>
              <w:widowControl w:val="0"/>
              <w:suppressLineNumbers w:val="0"/>
              <w:spacing w:before="0" w:beforeAutospacing="0" w:after="0" w:afterAutospacing="0" w:line="400" w:lineRule="exact"/>
              <w:ind w:left="0" w:leftChars="0" w:right="120" w:rightChars="50" w:firstLine="0" w:firstLineChars="0"/>
              <w:rPr>
                <w:rFonts w:hint="default" w:hAnsi="宋体" w:eastAsia="宋体" w:cs="宋体"/>
                <w:color w:val="auto"/>
                <w:szCs w:val="24"/>
                <w:lang w:val="en-US" w:eastAsia="zh-CN"/>
              </w:rPr>
            </w:pPr>
            <w:r>
              <w:rPr>
                <w:rFonts w:hint="eastAsia" w:hAnsi="宋体" w:cs="宋体"/>
                <w:color w:val="auto"/>
                <w:szCs w:val="24"/>
              </w:rPr>
              <w:t>履约保证金的金额：</w:t>
            </w:r>
            <w:r>
              <w:rPr>
                <w:rFonts w:hint="eastAsia" w:hAnsi="宋体" w:cs="宋体"/>
                <w:color w:val="auto"/>
                <w:szCs w:val="24"/>
                <w:u w:val="single"/>
              </w:rPr>
              <w:t>为中标价款的10%</w:t>
            </w:r>
          </w:p>
          <w:p w14:paraId="212CBF47">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□不要求</w:t>
            </w:r>
          </w:p>
        </w:tc>
      </w:tr>
      <w:tr w14:paraId="0B6ECBB5">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2B47700C">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9</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5B6C82F3">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是否采用电子招标投标</w:t>
            </w:r>
          </w:p>
        </w:tc>
        <w:tc>
          <w:tcPr>
            <w:tcW w:w="6656" w:type="dxa"/>
            <w:tcBorders>
              <w:top w:val="single" w:color="auto" w:sz="8" w:space="0"/>
              <w:left w:val="single" w:color="auto" w:sz="8" w:space="0"/>
              <w:bottom w:val="single" w:color="auto" w:sz="8" w:space="0"/>
              <w:right w:val="single" w:color="auto" w:sz="8" w:space="0"/>
            </w:tcBorders>
            <w:noWrap w:val="0"/>
            <w:vAlign w:val="bottom"/>
          </w:tcPr>
          <w:p w14:paraId="35CCA75B">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□否</w:t>
            </w:r>
          </w:p>
          <w:p w14:paraId="54FE6ED3">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b/>
                <w:color w:val="auto"/>
                <w:szCs w:val="24"/>
                <w:lang w:bidi="ar"/>
              </w:rPr>
              <w:t>■</w:t>
            </w:r>
            <w:r>
              <w:rPr>
                <w:rFonts w:hint="eastAsia" w:hAnsi="宋体" w:cs="宋体"/>
                <w:color w:val="auto"/>
                <w:szCs w:val="24"/>
              </w:rPr>
              <w:t>是，具体要求：</w:t>
            </w:r>
          </w:p>
          <w:p w14:paraId="32447636">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1、具体操作详见广州交易集团有限公司（广州公共资源交易中心）网站最新发布的《</w:t>
            </w:r>
            <w:r>
              <w:rPr>
                <w:rFonts w:hint="eastAsia" w:ascii="宋体" w:hAnsi="宋体" w:eastAsia="宋体" w:cs="宋体"/>
                <w:bCs/>
                <w:color w:val="auto"/>
                <w:sz w:val="24"/>
                <w:szCs w:val="24"/>
              </w:rPr>
              <w:t>建设工程全流程电子化项目操作指南</w:t>
            </w:r>
            <w:r>
              <w:rPr>
                <w:rFonts w:hint="eastAsia" w:hAnsi="宋体" w:cs="宋体"/>
                <w:color w:val="auto"/>
                <w:szCs w:val="21"/>
              </w:rPr>
              <w:t>》</w:t>
            </w:r>
            <w:r>
              <w:rPr>
                <w:rFonts w:hint="eastAsia" w:hAnsi="宋体" w:cs="宋体"/>
                <w:color w:val="auto"/>
                <w:szCs w:val="24"/>
              </w:rPr>
              <w:t>。</w:t>
            </w:r>
          </w:p>
          <w:p w14:paraId="45EDB2A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2、现场提交投标文件光盘或U盘备用</w:t>
            </w:r>
          </w:p>
          <w:p w14:paraId="175EB339">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投标人可按《</w:t>
            </w:r>
            <w:r>
              <w:rPr>
                <w:rFonts w:hint="eastAsia" w:ascii="宋体" w:hAnsi="宋体" w:eastAsia="宋体" w:cs="宋体"/>
                <w:bCs/>
                <w:color w:val="auto"/>
                <w:sz w:val="24"/>
                <w:szCs w:val="24"/>
              </w:rPr>
              <w:t>建设工程全流程电子化项目操作指南</w:t>
            </w:r>
            <w:r>
              <w:rPr>
                <w:rFonts w:hint="eastAsia" w:hAnsi="宋体" w:cs="宋体"/>
                <w:color w:val="auto"/>
                <w:szCs w:val="24"/>
              </w:rPr>
              <w:t>》的操作方法制作的非加密的电子投标文件刻入光盘或U盘（1份），在规定的时间、地点提交备用。</w:t>
            </w:r>
            <w:r>
              <w:rPr>
                <w:rFonts w:hint="eastAsia" w:ascii="宋体" w:hAnsi="宋体" w:eastAsia="宋体" w:cs="宋体"/>
                <w:b/>
                <w:bCs/>
                <w:color w:val="auto"/>
                <w:sz w:val="24"/>
                <w:szCs w:val="24"/>
                <w:u w:val="single"/>
              </w:rPr>
              <w:t>提交时须</w:t>
            </w:r>
            <w:r>
              <w:rPr>
                <w:rFonts w:hint="eastAsia" w:ascii="宋体" w:hAnsi="宋体" w:eastAsia="宋体" w:cs="宋体"/>
                <w:b/>
                <w:color w:val="auto"/>
                <w:sz w:val="24"/>
                <w:szCs w:val="24"/>
                <w:u w:val="single"/>
              </w:rPr>
              <w:t>凭法定代表人证明书原件、法定代表人授权委托证明书原件（非法定代表人办理手续时提供）、本人身份证原件。</w:t>
            </w:r>
          </w:p>
          <w:p w14:paraId="5006940E">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刻录好的投标文件光盘或U盘密封在密封袋中，并在封口处加盖投标人单位公章。密封袋上应写明的内容见投标人须知前附表要求4.1.2。现场递交的投标文件（光盘或U盘）不得加密。投标文件（光盘或U盘）无法读取或导入的，则视为未提交备用投标文件光盘或U盘。如果投标人没有按规定通过交易平台网上递交电子投标文件的，不再接受现场提交的光盘或U盘。</w:t>
            </w:r>
          </w:p>
          <w:p w14:paraId="02C904A6">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3、补救方案</w:t>
            </w:r>
          </w:p>
          <w:p w14:paraId="019A2DA7">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bookmarkStart w:id="42" w:name="auto_fouce_10"/>
            <w:r>
              <w:rPr>
                <w:rFonts w:hint="eastAsia" w:hAnsi="宋体" w:cs="宋体"/>
                <w:color w:val="auto"/>
                <w:szCs w:val="24"/>
              </w:rPr>
              <w:t>（1）投标文件解密失败的补救方案：</w:t>
            </w:r>
          </w:p>
          <w:p w14:paraId="6DD63231">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在规定时间内，因投标人之外原因（指网络瘫痪、服务器损坏、交易系统故障短期无法恢复等因素）导致的电子投标文件解密失败，在开标现场读取光盘或U盘内容，继续开标程序。评标委员会对其投标文件的评审以光盘或U盘内容为准。因投标人原因解密失败且未递交电子光盘（U盘）或递交的电子光盘（U盘）不能读取的，视为撤回投标文件。</w:t>
            </w:r>
            <w:bookmarkEnd w:id="42"/>
          </w:p>
          <w:p w14:paraId="1414C6E2">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（2）评标时突发情况的补救方案</w:t>
            </w:r>
          </w:p>
          <w:p w14:paraId="2CFCF8E1">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若遇不可抗力发生（如：网络瘫痪、服务器损坏、交易系统故障短期无法恢复等因素），由评标委员会开启现场递交的全部投标文件光盘或U盘，并按光盘或U盘内容进行评审。</w:t>
            </w:r>
          </w:p>
          <w:p w14:paraId="5F9F3A4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（3）除发生上述情况外，开标评标均以投标人通过交易平台网上递交的电子投标文件为准。</w:t>
            </w:r>
          </w:p>
        </w:tc>
      </w:tr>
      <w:tr w14:paraId="01D16168">
        <w:tblPrEx>
          <w:tblCellMar>
            <w:top w:w="0" w:type="dxa"/>
            <w:left w:w="0" w:type="dxa"/>
            <w:bottom w:w="0" w:type="dxa"/>
            <w:right w:w="0" w:type="dxa"/>
          </w:tblCellMar>
        </w:tblPrEx>
        <w:trPr>
          <w:trHeight w:val="45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4D60ABDE">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10</w:t>
            </w:r>
          </w:p>
        </w:tc>
        <w:tc>
          <w:tcPr>
            <w:tcW w:w="8884" w:type="dxa"/>
            <w:gridSpan w:val="2"/>
            <w:tcBorders>
              <w:top w:val="single" w:color="auto" w:sz="8" w:space="0"/>
              <w:left w:val="single" w:color="auto" w:sz="8" w:space="0"/>
              <w:bottom w:val="single" w:color="auto" w:sz="8" w:space="0"/>
              <w:right w:val="single" w:color="auto" w:sz="8" w:space="0"/>
            </w:tcBorders>
            <w:noWrap w:val="0"/>
            <w:vAlign w:val="center"/>
          </w:tcPr>
          <w:p w14:paraId="32E57D62">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需要补充的其他内容</w:t>
            </w:r>
          </w:p>
        </w:tc>
      </w:tr>
      <w:tr w14:paraId="4FD8238A">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74ADCC2D">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10.1</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1D29F554">
            <w:pPr>
              <w:keepNext w:val="0"/>
              <w:keepLines w:val="0"/>
              <w:widowControl w:val="0"/>
              <w:suppressLineNumbers w:val="0"/>
              <w:spacing w:before="0" w:beforeAutospacing="0" w:after="0" w:afterAutospacing="0" w:line="380" w:lineRule="exact"/>
              <w:ind w:left="120" w:leftChars="50" w:right="120" w:rightChars="50" w:firstLine="0" w:firstLineChars="0"/>
              <w:jc w:val="center"/>
              <w:rPr>
                <w:rFonts w:hint="eastAsia" w:hAnsi="宋体" w:cs="宋体"/>
                <w:color w:val="auto"/>
                <w:szCs w:val="24"/>
              </w:rPr>
            </w:pPr>
            <w:r>
              <w:rPr>
                <w:rFonts w:hint="eastAsia" w:hAnsi="宋体" w:cs="宋体"/>
                <w:color w:val="auto"/>
                <w:szCs w:val="24"/>
              </w:rPr>
              <w:t>特别提示</w:t>
            </w:r>
          </w:p>
        </w:tc>
        <w:tc>
          <w:tcPr>
            <w:tcW w:w="6656" w:type="dxa"/>
            <w:tcBorders>
              <w:top w:val="single" w:color="auto" w:sz="8" w:space="0"/>
              <w:left w:val="single" w:color="auto" w:sz="8" w:space="0"/>
              <w:bottom w:val="single" w:color="auto" w:sz="8" w:space="0"/>
              <w:right w:val="single" w:color="auto" w:sz="8" w:space="0"/>
            </w:tcBorders>
            <w:noWrap w:val="0"/>
            <w:vAlign w:val="bottom"/>
          </w:tcPr>
          <w:p w14:paraId="5667B6FF">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eastAsia="宋体" w:cs="Times New Roman"/>
                <w:color w:val="auto"/>
                <w:szCs w:val="20"/>
                <w:lang w:eastAsia="zh-CN"/>
              </w:rPr>
            </w:pPr>
            <w:r>
              <w:rPr>
                <w:rFonts w:hint="eastAsia" w:hAnsi="Times New Roman" w:cs="Times New Roman"/>
                <w:color w:val="auto"/>
                <w:szCs w:val="20"/>
              </w:rPr>
              <w:t>投标人在本项目招标人的工程项目中存在下列行为的，将被拒绝一</w:t>
            </w:r>
            <w:r>
              <w:rPr>
                <w:rFonts w:hint="eastAsia" w:hAnsi="Times New Roman" w:cs="Times New Roman"/>
                <w:color w:val="auto"/>
                <w:szCs w:val="20"/>
                <w:lang w:eastAsia="zh-CN"/>
              </w:rPr>
              <w:t>年</w:t>
            </w:r>
            <w:r>
              <w:rPr>
                <w:rFonts w:hint="eastAsia" w:hAnsi="Times New Roman" w:cs="Times New Roman"/>
                <w:color w:val="auto"/>
                <w:szCs w:val="20"/>
              </w:rPr>
              <w:t>内参与我单位后续工程投标。</w:t>
            </w:r>
            <w:bookmarkStart w:id="43" w:name="auto_fouce_11"/>
          </w:p>
          <w:bookmarkEnd w:id="43"/>
          <w:p w14:paraId="62978B7C">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cs="Times New Roman"/>
                <w:color w:val="auto"/>
                <w:szCs w:val="20"/>
              </w:rPr>
            </w:pPr>
            <w:r>
              <w:rPr>
                <w:rFonts w:hint="eastAsia" w:hAnsi="Times New Roman" w:cs="Times New Roman"/>
                <w:color w:val="auto"/>
                <w:szCs w:val="20"/>
              </w:rPr>
              <w:t>（注：拒绝投标时限自招标人发出通知之日起计）：</w:t>
            </w:r>
          </w:p>
          <w:p w14:paraId="388C9B39">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cs="Times New Roman"/>
                <w:color w:val="auto"/>
                <w:szCs w:val="20"/>
              </w:rPr>
            </w:pPr>
            <w:r>
              <w:rPr>
                <w:rFonts w:hint="eastAsia" w:hAnsi="Times New Roman" w:cs="Times New Roman"/>
                <w:color w:val="auto"/>
                <w:szCs w:val="20"/>
              </w:rPr>
              <w:t>（1）将中标工程转包或者违法分包的；</w:t>
            </w:r>
          </w:p>
          <w:p w14:paraId="057DA139">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eastAsia="宋体" w:cs="Times New Roman"/>
                <w:color w:val="auto"/>
                <w:szCs w:val="20"/>
                <w:lang w:eastAsia="zh-CN"/>
              </w:rPr>
            </w:pPr>
            <w:bookmarkStart w:id="44" w:name="auto_fouce_12"/>
            <w:r>
              <w:rPr>
                <w:rFonts w:hint="eastAsia" w:hAnsi="Times New Roman" w:cs="Times New Roman"/>
                <w:color w:val="auto"/>
                <w:szCs w:val="20"/>
              </w:rPr>
              <w:t>（2）存在围标或串标情形的；</w:t>
            </w:r>
            <w:r>
              <w:rPr>
                <w:rFonts w:hint="eastAsia" w:cs="Times New Roman"/>
                <w:color w:val="auto"/>
                <w:szCs w:val="20"/>
                <w:lang w:eastAsia="zh-CN"/>
              </w:rPr>
              <w:t>一经查实，招标人有权取消其中标资格，并将相关情况报送行业主管部门，追究法律责任。</w:t>
            </w:r>
            <w:bookmarkEnd w:id="44"/>
          </w:p>
          <w:p w14:paraId="03DB9C14">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cs="Times New Roman"/>
                <w:color w:val="auto"/>
                <w:szCs w:val="20"/>
              </w:rPr>
            </w:pPr>
            <w:r>
              <w:rPr>
                <w:rFonts w:hint="eastAsia" w:hAnsi="Times New Roman" w:cs="Times New Roman"/>
                <w:color w:val="auto"/>
                <w:szCs w:val="20"/>
              </w:rPr>
              <w:t>（3）存在弄虚作假骗取中标情形的；</w:t>
            </w:r>
          </w:p>
          <w:p w14:paraId="120916A6">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Times New Roman" w:cs="Times New Roman"/>
                <w:color w:val="auto"/>
                <w:szCs w:val="20"/>
              </w:rPr>
            </w:pPr>
            <w:r>
              <w:rPr>
                <w:rFonts w:hint="eastAsia" w:hAnsi="Times New Roman" w:cs="Times New Roman"/>
                <w:color w:val="auto"/>
                <w:szCs w:val="20"/>
              </w:rPr>
              <w:t>（4）中标人在收到中标通知书后，无正当理由拒签合同。</w:t>
            </w:r>
          </w:p>
        </w:tc>
      </w:tr>
      <w:tr w14:paraId="37B88440">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69D79BA2">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10.2</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1C52823B">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招标失败的情形</w:t>
            </w:r>
          </w:p>
        </w:tc>
        <w:tc>
          <w:tcPr>
            <w:tcW w:w="6656" w:type="dxa"/>
            <w:tcBorders>
              <w:top w:val="single" w:color="auto" w:sz="8" w:space="0"/>
              <w:left w:val="single" w:color="auto" w:sz="8" w:space="0"/>
              <w:bottom w:val="single" w:color="auto" w:sz="8" w:space="0"/>
              <w:right w:val="single" w:color="auto" w:sz="8" w:space="0"/>
            </w:tcBorders>
            <w:noWrap w:val="0"/>
            <w:vAlign w:val="bottom"/>
          </w:tcPr>
          <w:p w14:paraId="66EAE0DA">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本项目采用资格后审方式，满足资格审查合格条件</w:t>
            </w:r>
            <w:r>
              <w:rPr>
                <w:rFonts w:hint="eastAsia" w:hAnsi="宋体" w:cs="宋体"/>
                <w:color w:val="auto"/>
                <w:szCs w:val="24"/>
                <w:u w:val="single"/>
              </w:rPr>
              <w:t>（即招标公告第3条投标人资格要求）</w:t>
            </w:r>
            <w:r>
              <w:rPr>
                <w:rFonts w:hint="eastAsia" w:hAnsi="宋体" w:cs="宋体"/>
                <w:color w:val="auto"/>
                <w:szCs w:val="24"/>
              </w:rPr>
              <w:t>或通过初步评审的投标人不足3名时为招标失败。招标人分析招标失败原因，修正招标方案，重新组织招标。</w:t>
            </w:r>
          </w:p>
        </w:tc>
      </w:tr>
      <w:tr w14:paraId="1DE42DB3">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2B79F441">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default" w:hAnsi="宋体" w:cs="宋体"/>
                <w:color w:val="auto"/>
                <w:szCs w:val="24"/>
              </w:rPr>
            </w:pPr>
            <w:r>
              <w:rPr>
                <w:rFonts w:hint="eastAsia" w:hAnsi="宋体" w:cs="宋体"/>
                <w:color w:val="auto"/>
                <w:szCs w:val="24"/>
              </w:rPr>
              <w:t>10.3</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69C663CA">
            <w:pPr>
              <w:keepNext w:val="0"/>
              <w:keepLines w:val="0"/>
              <w:widowControl w:val="0"/>
              <w:suppressLineNumbers w:val="0"/>
              <w:spacing w:before="0" w:beforeAutospacing="0" w:after="0" w:afterAutospacing="0" w:line="380" w:lineRule="exact"/>
              <w:ind w:left="120" w:leftChars="50" w:right="120" w:rightChars="50" w:firstLine="0" w:firstLineChars="0"/>
              <w:jc w:val="center"/>
              <w:rPr>
                <w:rFonts w:hint="eastAsia" w:hAnsi="宋体" w:cs="宋体"/>
                <w:color w:val="auto"/>
                <w:szCs w:val="24"/>
              </w:rPr>
            </w:pPr>
            <w:r>
              <w:rPr>
                <w:rFonts w:hint="eastAsia" w:hAnsi="宋体" w:cs="宋体"/>
                <w:color w:val="auto"/>
                <w:szCs w:val="24"/>
              </w:rPr>
              <w:t>送达</w:t>
            </w:r>
          </w:p>
        </w:tc>
        <w:tc>
          <w:tcPr>
            <w:tcW w:w="6656" w:type="dxa"/>
            <w:tcBorders>
              <w:top w:val="single" w:color="auto" w:sz="8" w:space="0"/>
              <w:left w:val="single" w:color="auto" w:sz="8" w:space="0"/>
              <w:bottom w:val="single" w:color="auto" w:sz="8" w:space="0"/>
              <w:right w:val="single" w:color="auto" w:sz="8" w:space="0"/>
            </w:tcBorders>
            <w:noWrap w:val="0"/>
            <w:vAlign w:val="bottom"/>
          </w:tcPr>
          <w:p w14:paraId="4786C21F">
            <w:pPr>
              <w:spacing w:line="380" w:lineRule="exact"/>
              <w:ind w:left="120" w:leftChars="50" w:right="120" w:rightChars="50" w:firstLine="0" w:firstLineChars="0"/>
              <w:rPr>
                <w:rFonts w:hint="eastAsia"/>
                <w:color w:val="auto"/>
                <w:lang w:eastAsia="zh-CN"/>
              </w:rPr>
            </w:pPr>
            <w:r>
              <w:rPr>
                <w:rFonts w:hint="eastAsia" w:hAnsi="宋体" w:cs="宋体"/>
                <w:color w:val="auto"/>
                <w:szCs w:val="24"/>
              </w:rPr>
              <w:t>《投诉处理决定书》和《行政处理决定书》在广州市住房和城乡建设局网站上公布的，视为送达其他与决定书有关的当事人。</w:t>
            </w:r>
          </w:p>
        </w:tc>
      </w:tr>
      <w:tr w14:paraId="3F270B8E">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23A2647B">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10.4</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27403E5E">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第一中标候选人放弃中标资格情形</w:t>
            </w:r>
          </w:p>
        </w:tc>
        <w:tc>
          <w:tcPr>
            <w:tcW w:w="6656" w:type="dxa"/>
            <w:tcBorders>
              <w:top w:val="single" w:color="auto" w:sz="8" w:space="0"/>
              <w:left w:val="single" w:color="auto" w:sz="8" w:space="0"/>
              <w:bottom w:val="single" w:color="auto" w:sz="8" w:space="0"/>
              <w:right w:val="single" w:color="auto" w:sz="8" w:space="0"/>
            </w:tcBorders>
            <w:noWrap w:val="0"/>
            <w:vAlign w:val="bottom"/>
          </w:tcPr>
          <w:p w14:paraId="4CC6A1FF">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u w:val="non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449A0D82">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62695B87">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bookmarkStart w:id="45" w:name="auto_fouce_14" w:colFirst="0" w:colLast="2"/>
            <w:r>
              <w:rPr>
                <w:rFonts w:hint="eastAsia" w:hAnsi="宋体" w:cs="宋体"/>
                <w:color w:val="auto"/>
                <w:szCs w:val="24"/>
              </w:rPr>
              <w:t>10.5</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2CD6B4FA">
            <w:pPr>
              <w:keepNext w:val="0"/>
              <w:keepLines w:val="0"/>
              <w:widowControl w:val="0"/>
              <w:suppressLineNumbers w:val="0"/>
              <w:spacing w:before="0" w:beforeAutospacing="0" w:after="0" w:afterAutospacing="0" w:line="380" w:lineRule="exact"/>
              <w:ind w:left="120" w:leftChars="50" w:right="120" w:rightChars="50" w:firstLine="0" w:firstLineChars="0"/>
              <w:jc w:val="left"/>
              <w:rPr>
                <w:rFonts w:hint="eastAsia" w:hAnsi="宋体" w:cs="宋体"/>
                <w:color w:val="auto"/>
                <w:szCs w:val="24"/>
              </w:rPr>
            </w:pPr>
            <w:r>
              <w:rPr>
                <w:rFonts w:hint="eastAsia" w:hAnsi="宋体" w:cs="宋体"/>
                <w:color w:val="auto"/>
                <w:szCs w:val="24"/>
              </w:rPr>
              <w:t>补交纸质投标文件</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29A29CDD">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eastAsia="宋体" w:cs="宋体"/>
                <w:color w:val="auto"/>
                <w:szCs w:val="24"/>
                <w:lang w:eastAsia="zh-CN"/>
              </w:rPr>
            </w:pPr>
            <w:r>
              <w:rPr>
                <w:rFonts w:hint="eastAsia" w:hAnsi="宋体" w:cs="宋体"/>
                <w:color w:val="auto"/>
                <w:szCs w:val="24"/>
              </w:rPr>
              <w:t>中标后，中标单位须提交与网上上传电子投标文件完全一致的纸质投标文件（</w:t>
            </w:r>
            <w:r>
              <w:rPr>
                <w:rFonts w:hint="eastAsia" w:ascii="宋体" w:hAnsi="宋体" w:eastAsia="宋体" w:cs="宋体"/>
                <w:color w:val="auto"/>
                <w:sz w:val="24"/>
                <w:szCs w:val="24"/>
              </w:rPr>
              <w:t>一式两份，</w:t>
            </w:r>
            <w:r>
              <w:rPr>
                <w:rFonts w:hint="eastAsia" w:hAnsi="宋体" w:cs="宋体"/>
                <w:color w:val="auto"/>
                <w:szCs w:val="24"/>
              </w:rPr>
              <w:t>盖单位公章）给招标单位，费用自理。</w:t>
            </w:r>
            <w:r>
              <w:rPr>
                <w:rFonts w:hint="eastAsia" w:hAnsi="宋体" w:cs="宋体"/>
                <w:color w:val="auto"/>
                <w:szCs w:val="24"/>
                <w:lang w:eastAsia="zh-CN"/>
              </w:rPr>
              <w:t>纸质文件与电子文件不一致时，以电子文件为准。招标人有权要求中标单位限期补正，否则视为违约。</w:t>
            </w:r>
          </w:p>
        </w:tc>
      </w:tr>
      <w:bookmarkEnd w:id="45"/>
      <w:tr w14:paraId="24FE07E7">
        <w:tblPrEx>
          <w:tblCellMar>
            <w:top w:w="0" w:type="dxa"/>
            <w:left w:w="0" w:type="dxa"/>
            <w:bottom w:w="0" w:type="dxa"/>
            <w:right w:w="0" w:type="dxa"/>
          </w:tblCellMar>
        </w:tblPrEx>
        <w:trPr>
          <w:trHeight w:val="533" w:hRule="atLeast"/>
          <w:jc w:val="center"/>
        </w:trPr>
        <w:tc>
          <w:tcPr>
            <w:tcW w:w="1023" w:type="dxa"/>
            <w:tcBorders>
              <w:top w:val="single" w:color="auto" w:sz="8" w:space="0"/>
              <w:left w:val="single" w:color="auto" w:sz="8" w:space="0"/>
              <w:bottom w:val="single" w:color="auto" w:sz="8" w:space="0"/>
              <w:right w:val="single" w:color="auto" w:sz="8" w:space="0"/>
            </w:tcBorders>
            <w:noWrap w:val="0"/>
            <w:vAlign w:val="center"/>
          </w:tcPr>
          <w:p w14:paraId="21DAF4ED">
            <w:pPr>
              <w:keepNext w:val="0"/>
              <w:keepLines w:val="0"/>
              <w:widowControl/>
              <w:suppressLineNumbers w:val="0"/>
              <w:spacing w:before="0" w:beforeAutospacing="0" w:after="0" w:afterAutospacing="0" w:line="312" w:lineRule="auto"/>
              <w:ind w:left="120" w:leftChars="50" w:right="120" w:rightChars="50" w:firstLine="0" w:firstLineChars="0"/>
              <w:jc w:val="center"/>
              <w:rPr>
                <w:rFonts w:hint="eastAsia" w:hAnsi="宋体" w:cs="宋体"/>
                <w:color w:val="auto"/>
                <w:szCs w:val="24"/>
              </w:rPr>
            </w:pPr>
            <w:r>
              <w:rPr>
                <w:rFonts w:hint="eastAsia" w:hAnsi="宋体" w:cs="宋体"/>
                <w:color w:val="auto"/>
                <w:szCs w:val="24"/>
              </w:rPr>
              <w:t>10.6</w:t>
            </w:r>
          </w:p>
        </w:tc>
        <w:tc>
          <w:tcPr>
            <w:tcW w:w="2228" w:type="dxa"/>
            <w:tcBorders>
              <w:top w:val="single" w:color="auto" w:sz="8" w:space="0"/>
              <w:left w:val="single" w:color="auto" w:sz="8" w:space="0"/>
              <w:bottom w:val="single" w:color="auto" w:sz="8" w:space="0"/>
              <w:right w:val="single" w:color="auto" w:sz="8" w:space="0"/>
            </w:tcBorders>
            <w:noWrap w:val="0"/>
            <w:vAlign w:val="center"/>
          </w:tcPr>
          <w:p w14:paraId="6317D1A9">
            <w:pPr>
              <w:keepNext w:val="0"/>
              <w:keepLines w:val="0"/>
              <w:widowControl w:val="0"/>
              <w:suppressLineNumbers w:val="0"/>
              <w:spacing w:before="0" w:beforeAutospacing="0" w:after="0" w:afterAutospacing="0" w:line="380" w:lineRule="exact"/>
              <w:ind w:left="120" w:leftChars="50" w:right="120" w:rightChars="50" w:firstLine="0" w:firstLineChars="0"/>
              <w:jc w:val="center"/>
              <w:rPr>
                <w:rFonts w:hint="eastAsia" w:hAnsi="宋体" w:cs="宋体"/>
                <w:color w:val="auto"/>
                <w:szCs w:val="24"/>
              </w:rPr>
            </w:pPr>
            <w:r>
              <w:rPr>
                <w:rFonts w:hint="eastAsia" w:hAnsi="宋体" w:cs="宋体"/>
                <w:color w:val="auto"/>
                <w:szCs w:val="24"/>
              </w:rPr>
              <w:t>其他</w:t>
            </w:r>
          </w:p>
        </w:tc>
        <w:tc>
          <w:tcPr>
            <w:tcW w:w="6656" w:type="dxa"/>
            <w:tcBorders>
              <w:top w:val="single" w:color="auto" w:sz="8" w:space="0"/>
              <w:left w:val="single" w:color="auto" w:sz="8" w:space="0"/>
              <w:bottom w:val="single" w:color="auto" w:sz="8" w:space="0"/>
              <w:right w:val="single" w:color="auto" w:sz="8" w:space="0"/>
            </w:tcBorders>
            <w:noWrap w:val="0"/>
            <w:vAlign w:val="center"/>
          </w:tcPr>
          <w:p w14:paraId="16F5C27D">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1、交易服务费</w:t>
            </w:r>
            <w:r>
              <w:rPr>
                <w:rFonts w:hint="eastAsia" w:hAnsi="宋体" w:cs="宋体"/>
                <w:color w:val="auto"/>
                <w:szCs w:val="24"/>
                <w:lang w:val="en-US" w:eastAsia="zh-CN"/>
              </w:rPr>
              <w:t>和招标代理服务费</w:t>
            </w:r>
            <w:r>
              <w:rPr>
                <w:rFonts w:hint="eastAsia" w:hAnsi="宋体" w:cs="宋体"/>
                <w:color w:val="auto"/>
                <w:szCs w:val="24"/>
              </w:rPr>
              <w:t>：</w:t>
            </w:r>
            <w:r>
              <w:rPr>
                <w:rFonts w:hint="eastAsia" w:hAnsi="宋体" w:cs="宋体"/>
                <w:color w:val="auto"/>
                <w:szCs w:val="24"/>
                <w:lang w:val="en-US" w:eastAsia="zh-CN"/>
              </w:rPr>
              <w:t>交易服务费</w:t>
            </w:r>
            <w:r>
              <w:rPr>
                <w:rFonts w:hint="eastAsia" w:hAnsi="宋体" w:cs="宋体"/>
                <w:color w:val="auto"/>
                <w:szCs w:val="24"/>
                <w:u w:val="none"/>
              </w:rPr>
              <w:t>由中标人按相关文件规定缴纳</w:t>
            </w:r>
            <w:r>
              <w:rPr>
                <w:rFonts w:hint="eastAsia" w:hAnsi="宋体" w:cs="宋体"/>
                <w:color w:val="auto"/>
                <w:szCs w:val="24"/>
                <w:u w:val="none"/>
                <w:lang w:eastAsia="zh-CN"/>
              </w:rPr>
              <w:t>；</w:t>
            </w:r>
            <w:r>
              <w:rPr>
                <w:rFonts w:hint="eastAsia" w:ascii="宋体" w:hAnsi="宋体" w:eastAsia="宋体" w:cs="宋体"/>
                <w:b w:val="0"/>
                <w:bCs w:val="0"/>
                <w:color w:val="auto"/>
                <w:szCs w:val="24"/>
                <w:u w:val="none"/>
              </w:rPr>
              <w:t>招标代理服务费用</w:t>
            </w:r>
            <w:r>
              <w:rPr>
                <w:rFonts w:hint="eastAsia" w:ascii="宋体" w:hAnsi="宋体" w:eastAsia="宋体" w:cs="宋体"/>
                <w:b w:val="0"/>
                <w:bCs w:val="0"/>
                <w:color w:val="auto"/>
                <w:szCs w:val="24"/>
                <w:u w:val="none"/>
                <w:lang w:val="en-US" w:eastAsia="zh-CN"/>
              </w:rPr>
              <w:t>由中标人</w:t>
            </w:r>
            <w:r>
              <w:rPr>
                <w:rFonts w:hint="eastAsia" w:ascii="宋体" w:hAnsi="宋体" w:eastAsia="宋体" w:cs="宋体"/>
                <w:b w:val="0"/>
                <w:bCs w:val="0"/>
                <w:color w:val="auto"/>
                <w:szCs w:val="24"/>
                <w:u w:val="none"/>
              </w:rPr>
              <w:t>参照《关于印发&lt;招标代理服务收费管理暫行办法&gt;的通知》(计价格[2002</w:t>
            </w:r>
            <w:r>
              <w:rPr>
                <w:rFonts w:hint="eastAsia" w:ascii="宋体" w:hAnsi="宋体" w:eastAsia="宋体" w:cs="宋体"/>
                <w:b w:val="0"/>
                <w:bCs w:val="0"/>
                <w:color w:val="auto"/>
                <w:szCs w:val="24"/>
                <w:u w:val="none"/>
                <w:lang w:val="en-US" w:eastAsia="zh-CN"/>
              </w:rPr>
              <w:t>]</w:t>
            </w:r>
            <w:r>
              <w:rPr>
                <w:rFonts w:hint="eastAsia" w:ascii="宋体" w:hAnsi="宋体" w:eastAsia="宋体" w:cs="宋体"/>
                <w:b w:val="0"/>
                <w:bCs w:val="0"/>
                <w:color w:val="auto"/>
                <w:szCs w:val="24"/>
                <w:u w:val="none"/>
              </w:rPr>
              <w:t xml:space="preserve"> 1980号)、《关于降低部分建设项目收费标准规范收费行为等有关问题的通知》(发改价格[2011]534 号)服务招标类型的收费标准下浮8%计算，最终招标代理服务费以招标项目的中标金额为收费基数计取</w:t>
            </w:r>
            <w:r>
              <w:rPr>
                <w:rFonts w:hint="eastAsia" w:hAnsi="宋体" w:cs="宋体"/>
                <w:color w:val="auto"/>
                <w:szCs w:val="24"/>
                <w:u w:val="none"/>
              </w:rPr>
              <w:t>。</w:t>
            </w:r>
            <w:r>
              <w:rPr>
                <w:rFonts w:hint="eastAsia" w:hAnsi="宋体" w:cs="宋体"/>
                <w:color w:val="auto"/>
                <w:szCs w:val="24"/>
              </w:rPr>
              <w:t>本费用包含在中标人的投标报价中，招标人不再另行支付。</w:t>
            </w:r>
          </w:p>
          <w:p w14:paraId="38A01990">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eastAsia="宋体" w:cs="宋体"/>
                <w:color w:val="auto"/>
                <w:szCs w:val="24"/>
                <w:lang w:eastAsia="zh-CN"/>
              </w:rPr>
            </w:pPr>
            <w:r>
              <w:rPr>
                <w:rFonts w:hint="eastAsia" w:hAnsi="宋体" w:cs="宋体"/>
                <w:color w:val="auto"/>
                <w:szCs w:val="24"/>
              </w:rPr>
              <w:t>2、各投标人递交投标资料参与投标，均视为接受及认同本项目招标合同及招标人（业主单位）制发的各项相关建设管理办法。</w:t>
            </w:r>
            <w:bookmarkStart w:id="46" w:name="auto_fouce_15"/>
            <w:r>
              <w:rPr>
                <w:rFonts w:hint="eastAsia" w:hAnsi="宋体" w:cs="宋体"/>
                <w:color w:val="auto"/>
                <w:szCs w:val="24"/>
              </w:rPr>
              <w:t>如中标人不按合同履约及未遵守招标人（业主单位）制发的各项相关建设管理办法，业主方有权依据相关管理办法要求中标人承担相应责任，中标人应无条件接受。</w:t>
            </w:r>
            <w:bookmarkEnd w:id="46"/>
          </w:p>
          <w:p w14:paraId="06192055">
            <w:pPr>
              <w:keepNext w:val="0"/>
              <w:keepLines w:val="0"/>
              <w:widowControl w:val="0"/>
              <w:suppressLineNumbers w:val="0"/>
              <w:spacing w:before="0" w:beforeAutospacing="0" w:after="0" w:afterAutospacing="0" w:line="380" w:lineRule="exact"/>
              <w:ind w:left="120" w:leftChars="50" w:right="120" w:rightChars="50" w:firstLine="0" w:firstLineChars="0"/>
              <w:rPr>
                <w:rFonts w:hint="eastAsia" w:hAnsi="宋体" w:cs="宋体"/>
                <w:color w:val="auto"/>
                <w:szCs w:val="24"/>
              </w:rPr>
            </w:pPr>
            <w:r>
              <w:rPr>
                <w:rFonts w:hint="eastAsia" w:hAnsi="宋体" w:cs="宋体"/>
                <w:color w:val="auto"/>
                <w:szCs w:val="24"/>
              </w:rPr>
              <w:t>3、招标公告、招标文件中所述电子招标投标交易平台均指广州交易集团有限公司（广州公共资源交易中心）（网址http://www.gzggzy.cn）。</w:t>
            </w:r>
          </w:p>
        </w:tc>
      </w:tr>
    </w:tbl>
    <w:p w14:paraId="5D3ECA7C">
      <w:pPr>
        <w:outlineLvl w:val="9"/>
        <w:rPr>
          <w:color w:val="auto"/>
        </w:rPr>
      </w:pPr>
      <w:bookmarkStart w:id="47" w:name="page21"/>
      <w:bookmarkEnd w:id="47"/>
      <w:r>
        <w:rPr>
          <w:color w:val="auto"/>
        </w:rPr>
        <w:br w:type="page"/>
      </w:r>
      <w:bookmarkStart w:id="48" w:name="_Toc35513428"/>
    </w:p>
    <w:p w14:paraId="4BE594BE">
      <w:pPr>
        <w:pStyle w:val="4"/>
        <w:rPr>
          <w:color w:val="auto"/>
        </w:rPr>
      </w:pPr>
      <w:bookmarkStart w:id="49" w:name="_Toc10497"/>
      <w:bookmarkStart w:id="50" w:name="_Toc19669"/>
      <w:bookmarkStart w:id="51" w:name="_Toc19515"/>
      <w:r>
        <w:rPr>
          <w:rFonts w:hint="eastAsia"/>
          <w:color w:val="auto"/>
        </w:rPr>
        <w:t>1.</w:t>
      </w:r>
      <w:r>
        <w:rPr>
          <w:color w:val="auto"/>
        </w:rPr>
        <w:t>总则</w:t>
      </w:r>
      <w:bookmarkEnd w:id="48"/>
      <w:bookmarkEnd w:id="49"/>
      <w:bookmarkEnd w:id="50"/>
      <w:bookmarkEnd w:id="51"/>
    </w:p>
    <w:p w14:paraId="02CD1ABA">
      <w:pPr>
        <w:pStyle w:val="5"/>
        <w:ind w:firstLine="482"/>
        <w:rPr>
          <w:color w:val="auto"/>
        </w:rPr>
      </w:pPr>
      <w:bookmarkStart w:id="52" w:name="_Toc4381"/>
      <w:bookmarkStart w:id="53" w:name="_Toc35513429"/>
      <w:bookmarkStart w:id="54" w:name="_Toc132"/>
      <w:bookmarkStart w:id="55" w:name="_Toc17592"/>
      <w:r>
        <w:rPr>
          <w:color w:val="auto"/>
        </w:rPr>
        <w:t>1.1 招标项目概况</w:t>
      </w:r>
      <w:bookmarkEnd w:id="52"/>
      <w:bookmarkEnd w:id="53"/>
      <w:bookmarkEnd w:id="54"/>
      <w:bookmarkEnd w:id="55"/>
    </w:p>
    <w:p w14:paraId="11C5E375">
      <w:pPr>
        <w:ind w:firstLine="480"/>
        <w:rPr>
          <w:rFonts w:hint="eastAsia" w:eastAsia="宋体"/>
          <w:color w:val="auto"/>
          <w:lang w:eastAsia="zh-CN"/>
        </w:rPr>
      </w:pPr>
      <w:bookmarkStart w:id="56" w:name="auto_fouce_17"/>
      <w:r>
        <w:rPr>
          <w:color w:val="auto"/>
        </w:rPr>
        <w:t>1.1.1 根据《中华人民共和国招标投标法》、《中华人民共和国招标投标法实施条例》等有关法律、法规和规章的规定，本招标项目已具备招标条件，现对</w:t>
      </w:r>
      <w:r>
        <w:rPr>
          <w:rFonts w:hint="eastAsia"/>
          <w:color w:val="auto"/>
        </w:rPr>
        <w:t>该项目</w:t>
      </w:r>
      <w:r>
        <w:rPr>
          <w:color w:val="auto"/>
        </w:rPr>
        <w:t>进行招标。</w:t>
      </w:r>
      <w:bookmarkEnd w:id="56"/>
    </w:p>
    <w:p w14:paraId="3541A87C">
      <w:pPr>
        <w:ind w:firstLine="480"/>
        <w:rPr>
          <w:color w:val="auto"/>
        </w:rPr>
      </w:pPr>
      <w:r>
        <w:rPr>
          <w:color w:val="auto"/>
        </w:rPr>
        <w:t>1.1.2 招标人：见投标人须知前附表。</w:t>
      </w:r>
    </w:p>
    <w:p w14:paraId="66F56858">
      <w:pPr>
        <w:ind w:firstLine="480"/>
        <w:rPr>
          <w:color w:val="auto"/>
        </w:rPr>
      </w:pPr>
      <w:r>
        <w:rPr>
          <w:color w:val="auto"/>
        </w:rPr>
        <w:t>1.1.3 招标代理机构：见投标人须知前附表。</w:t>
      </w:r>
    </w:p>
    <w:p w14:paraId="4F037681">
      <w:pPr>
        <w:ind w:firstLine="480"/>
        <w:rPr>
          <w:color w:val="auto"/>
        </w:rPr>
      </w:pPr>
      <w:r>
        <w:rPr>
          <w:color w:val="auto"/>
        </w:rPr>
        <w:t>1.1.4 招标项目名称：见投标人须知前附表。</w:t>
      </w:r>
    </w:p>
    <w:p w14:paraId="47FCD4B7">
      <w:pPr>
        <w:ind w:firstLine="480"/>
        <w:rPr>
          <w:color w:val="auto"/>
        </w:rPr>
      </w:pPr>
      <w:r>
        <w:rPr>
          <w:color w:val="auto"/>
        </w:rPr>
        <w:t>1.1.5 项目建设地点：见投标人须知前附表。</w:t>
      </w:r>
    </w:p>
    <w:p w14:paraId="339DDD9B">
      <w:pPr>
        <w:ind w:firstLine="480"/>
        <w:rPr>
          <w:color w:val="auto"/>
        </w:rPr>
      </w:pPr>
      <w:r>
        <w:rPr>
          <w:color w:val="auto"/>
        </w:rPr>
        <w:t>1.1.6 项目建设规模：见投标人须知前附表。</w:t>
      </w:r>
    </w:p>
    <w:p w14:paraId="7827A541">
      <w:pPr>
        <w:ind w:firstLine="480"/>
        <w:rPr>
          <w:color w:val="auto"/>
        </w:rPr>
      </w:pPr>
      <w:r>
        <w:rPr>
          <w:color w:val="auto"/>
        </w:rPr>
        <w:t>1.1.7 工程项目施工预计开工日期和建设周期：见投标人须知前附表。</w:t>
      </w:r>
    </w:p>
    <w:p w14:paraId="0B40043E">
      <w:pPr>
        <w:ind w:firstLine="480"/>
        <w:rPr>
          <w:color w:val="auto"/>
        </w:rPr>
      </w:pPr>
      <w:r>
        <w:rPr>
          <w:color w:val="auto"/>
        </w:rPr>
        <w:t>1.1.8 建筑安装工程费/工程概算：见投标人须知前附表。</w:t>
      </w:r>
    </w:p>
    <w:p w14:paraId="751DAF09">
      <w:pPr>
        <w:pStyle w:val="5"/>
        <w:ind w:firstLine="482"/>
        <w:rPr>
          <w:color w:val="auto"/>
        </w:rPr>
      </w:pPr>
      <w:bookmarkStart w:id="57" w:name="_Toc22667"/>
      <w:bookmarkStart w:id="58" w:name="_Toc1013"/>
      <w:bookmarkStart w:id="59" w:name="_Toc35513430"/>
      <w:bookmarkStart w:id="60" w:name="_Toc22242"/>
      <w:r>
        <w:rPr>
          <w:color w:val="auto"/>
        </w:rPr>
        <w:t>1.2 招标项目的资金来源和落实情况</w:t>
      </w:r>
      <w:bookmarkEnd w:id="57"/>
      <w:bookmarkEnd w:id="58"/>
      <w:bookmarkEnd w:id="59"/>
      <w:bookmarkEnd w:id="60"/>
    </w:p>
    <w:p w14:paraId="09349B8A">
      <w:pPr>
        <w:ind w:firstLine="480"/>
        <w:rPr>
          <w:color w:val="auto"/>
        </w:rPr>
      </w:pPr>
      <w:r>
        <w:rPr>
          <w:color w:val="auto"/>
        </w:rPr>
        <w:t>1.2.1 资金来源及比例：见投标人须知前附表。</w:t>
      </w:r>
    </w:p>
    <w:p w14:paraId="5A8F3467">
      <w:pPr>
        <w:ind w:firstLine="480"/>
        <w:rPr>
          <w:color w:val="auto"/>
        </w:rPr>
      </w:pPr>
      <w:r>
        <w:rPr>
          <w:color w:val="auto"/>
        </w:rPr>
        <w:t>1.2.2 资金落实情况：见投标人须知前附表。</w:t>
      </w:r>
    </w:p>
    <w:p w14:paraId="29B0E739">
      <w:pPr>
        <w:pStyle w:val="5"/>
        <w:ind w:firstLine="482"/>
        <w:rPr>
          <w:color w:val="auto"/>
        </w:rPr>
      </w:pPr>
      <w:bookmarkStart w:id="61" w:name="_Toc12174"/>
      <w:bookmarkStart w:id="62" w:name="_Toc35513431"/>
      <w:bookmarkStart w:id="63" w:name="_Toc6"/>
      <w:bookmarkStart w:id="64" w:name="_Toc8614"/>
      <w:r>
        <w:rPr>
          <w:color w:val="auto"/>
        </w:rPr>
        <w:t>1.3 招标范围、服务期限和质量标准</w:t>
      </w:r>
      <w:bookmarkEnd w:id="61"/>
      <w:bookmarkEnd w:id="62"/>
      <w:bookmarkEnd w:id="63"/>
      <w:bookmarkEnd w:id="64"/>
    </w:p>
    <w:p w14:paraId="0394CA27">
      <w:pPr>
        <w:ind w:firstLine="480"/>
        <w:rPr>
          <w:color w:val="auto"/>
        </w:rPr>
      </w:pPr>
      <w:r>
        <w:rPr>
          <w:color w:val="auto"/>
        </w:rPr>
        <w:t>1.3.1 招标范围：见投标人须知前附表。</w:t>
      </w:r>
    </w:p>
    <w:p w14:paraId="2B87B1E6">
      <w:pPr>
        <w:ind w:firstLine="480"/>
        <w:rPr>
          <w:color w:val="auto"/>
        </w:rPr>
      </w:pPr>
      <w:r>
        <w:rPr>
          <w:color w:val="auto"/>
        </w:rPr>
        <w:t>1.3.2服务期限：见投标人须知前附表。</w:t>
      </w:r>
    </w:p>
    <w:p w14:paraId="33EC6739">
      <w:pPr>
        <w:ind w:firstLine="480"/>
        <w:rPr>
          <w:color w:val="auto"/>
        </w:rPr>
      </w:pPr>
      <w:r>
        <w:rPr>
          <w:color w:val="auto"/>
        </w:rPr>
        <w:t>1.3.3 质量标准：见投标人须知前附表。</w:t>
      </w:r>
    </w:p>
    <w:p w14:paraId="5EA35736">
      <w:pPr>
        <w:pStyle w:val="5"/>
        <w:ind w:firstLine="482"/>
        <w:rPr>
          <w:color w:val="auto"/>
        </w:rPr>
      </w:pPr>
      <w:bookmarkStart w:id="65" w:name="_Toc11830"/>
      <w:bookmarkStart w:id="66" w:name="_Toc16051"/>
      <w:bookmarkStart w:id="67" w:name="_Toc35513432"/>
      <w:bookmarkStart w:id="68" w:name="_Toc9284"/>
      <w:r>
        <w:rPr>
          <w:color w:val="auto"/>
        </w:rPr>
        <w:t>1.4 投标人资格要求</w:t>
      </w:r>
      <w:bookmarkEnd w:id="65"/>
      <w:bookmarkEnd w:id="66"/>
      <w:bookmarkEnd w:id="67"/>
      <w:bookmarkEnd w:id="68"/>
    </w:p>
    <w:p w14:paraId="4296AE6E">
      <w:pPr>
        <w:ind w:firstLine="480"/>
        <w:rPr>
          <w:color w:val="auto"/>
        </w:rPr>
      </w:pPr>
      <w:r>
        <w:rPr>
          <w:color w:val="auto"/>
        </w:rPr>
        <w:t>1.4.1 投标人应具备承担本招标项目资质条件、能力和信誉：</w:t>
      </w:r>
    </w:p>
    <w:p w14:paraId="2C4A609E">
      <w:pPr>
        <w:ind w:firstLine="480"/>
        <w:rPr>
          <w:color w:val="auto"/>
        </w:rPr>
      </w:pPr>
      <w:r>
        <w:rPr>
          <w:color w:val="auto"/>
        </w:rPr>
        <w:t>（1）资质要求：见投标人须知前附表；</w:t>
      </w:r>
    </w:p>
    <w:p w14:paraId="6ACA1CAC">
      <w:pPr>
        <w:ind w:firstLine="480"/>
        <w:rPr>
          <w:strike/>
          <w:color w:val="auto"/>
        </w:rPr>
      </w:pPr>
      <w:r>
        <w:rPr>
          <w:strike/>
          <w:color w:val="auto"/>
        </w:rPr>
        <w:t>（2）财务要求：见投标人须知前附表；</w:t>
      </w:r>
    </w:p>
    <w:p w14:paraId="4752B649">
      <w:pPr>
        <w:ind w:firstLine="480"/>
        <w:rPr>
          <w:strike/>
          <w:color w:val="auto"/>
        </w:rPr>
      </w:pPr>
      <w:r>
        <w:rPr>
          <w:strike/>
          <w:color w:val="auto"/>
        </w:rPr>
        <w:t>（3）业绩要求：见投标人须知前附表；</w:t>
      </w:r>
    </w:p>
    <w:p w14:paraId="151C2589">
      <w:pPr>
        <w:ind w:firstLine="480"/>
        <w:rPr>
          <w:strike/>
          <w:color w:val="auto"/>
        </w:rPr>
      </w:pPr>
      <w:r>
        <w:rPr>
          <w:rFonts w:hint="eastAsia"/>
          <w:strike/>
          <w:color w:val="auto"/>
        </w:rPr>
        <w:t>（4）</w:t>
      </w:r>
      <w:r>
        <w:rPr>
          <w:strike/>
          <w:color w:val="auto"/>
        </w:rPr>
        <w:t>信誉要求：见投标人须知前附表；</w:t>
      </w:r>
    </w:p>
    <w:p w14:paraId="22F20E83">
      <w:pPr>
        <w:ind w:firstLine="480"/>
        <w:rPr>
          <w:color w:val="auto"/>
        </w:rPr>
      </w:pPr>
      <w:r>
        <w:rPr>
          <w:rFonts w:hint="eastAsia"/>
          <w:color w:val="auto"/>
        </w:rPr>
        <w:t>（5）</w:t>
      </w:r>
      <w:r>
        <w:rPr>
          <w:color w:val="auto"/>
        </w:rPr>
        <w:t>项目负责人要求：见投标人须知前</w:t>
      </w:r>
      <w:bookmarkStart w:id="69" w:name="page22"/>
      <w:bookmarkEnd w:id="69"/>
      <w:r>
        <w:rPr>
          <w:color w:val="auto"/>
        </w:rPr>
        <w:t>附表；</w:t>
      </w:r>
    </w:p>
    <w:p w14:paraId="2E0B863A">
      <w:pPr>
        <w:ind w:firstLine="480"/>
        <w:rPr>
          <w:strike/>
          <w:color w:val="auto"/>
        </w:rPr>
      </w:pPr>
      <w:r>
        <w:rPr>
          <w:strike/>
          <w:color w:val="auto"/>
        </w:rPr>
        <w:t>（6）其他主要人员要求：见投标人须知前附表。</w:t>
      </w:r>
    </w:p>
    <w:p w14:paraId="12C592C2">
      <w:pPr>
        <w:ind w:firstLine="480"/>
        <w:rPr>
          <w:strike/>
          <w:color w:val="auto"/>
        </w:rPr>
      </w:pPr>
      <w:r>
        <w:rPr>
          <w:strike/>
          <w:color w:val="auto"/>
        </w:rPr>
        <w:t>（7）试验检测仪器设备要求：见投标人须知前附表。</w:t>
      </w:r>
    </w:p>
    <w:p w14:paraId="25FAB4B1">
      <w:pPr>
        <w:ind w:firstLine="480"/>
        <w:rPr>
          <w:color w:val="auto"/>
        </w:rPr>
      </w:pPr>
      <w:r>
        <w:rPr>
          <w:color w:val="auto"/>
        </w:rPr>
        <w:t>（8）其他要求：见投标人须知前附表。</w:t>
      </w:r>
    </w:p>
    <w:p w14:paraId="019C96BD">
      <w:pPr>
        <w:widowControl w:val="0"/>
        <w:ind w:firstLine="480"/>
        <w:rPr>
          <w:color w:val="auto"/>
        </w:rPr>
      </w:pPr>
      <w:r>
        <w:rPr>
          <w:color w:val="auto"/>
        </w:rPr>
        <w:t>需要提交的相关证明材料见本章第 3.5 款的规定。</w:t>
      </w:r>
    </w:p>
    <w:p w14:paraId="79DF6315">
      <w:pPr>
        <w:ind w:firstLine="480"/>
        <w:rPr>
          <w:color w:val="auto"/>
        </w:rPr>
      </w:pPr>
      <w:r>
        <w:rPr>
          <w:color w:val="auto"/>
        </w:rPr>
        <w:t>1.4.2 投标人须知前附表规定接受联合体投标的，联合体除应符合本章第 1.4.1 项和投标人须知前附表的要求外，还应遵守以下规定：</w:t>
      </w:r>
    </w:p>
    <w:p w14:paraId="0AC88F7C">
      <w:pPr>
        <w:ind w:firstLine="480"/>
        <w:rPr>
          <w:color w:val="auto"/>
        </w:rPr>
      </w:pPr>
      <w:r>
        <w:rPr>
          <w:color w:val="auto"/>
        </w:rPr>
        <w:t>（1）联合体各方应按招标文件提供的格式签订联合体协议书，明确联合体牵头方和各方权利义务，并承诺就中标项目向招标人承担连带责任；</w:t>
      </w:r>
    </w:p>
    <w:p w14:paraId="5644DC07">
      <w:pPr>
        <w:ind w:firstLine="480"/>
        <w:rPr>
          <w:color w:val="auto"/>
        </w:rPr>
      </w:pPr>
      <w:r>
        <w:rPr>
          <w:color w:val="auto"/>
        </w:rPr>
        <w:t>（2）由同一专业的单位组成的联合体，按照资质等级较低的单位确定资质等级；</w:t>
      </w:r>
    </w:p>
    <w:p w14:paraId="22B91B80">
      <w:pPr>
        <w:ind w:firstLine="480"/>
        <w:rPr>
          <w:color w:val="auto"/>
        </w:rPr>
      </w:pPr>
      <w:r>
        <w:rPr>
          <w:color w:val="auto"/>
        </w:rPr>
        <w:t>（3）联合体各方不得再以自己名义单独或参加其他联合体在本招标项目中投标，否则各相关投标均无效。</w:t>
      </w:r>
    </w:p>
    <w:p w14:paraId="6F83EED5">
      <w:pPr>
        <w:ind w:firstLine="480"/>
        <w:rPr>
          <w:color w:val="auto"/>
        </w:rPr>
      </w:pPr>
      <w:r>
        <w:rPr>
          <w:color w:val="auto"/>
        </w:rPr>
        <w:t>1.4.3 投标人不得存在下列情形之一：</w:t>
      </w:r>
    </w:p>
    <w:p w14:paraId="4542209F">
      <w:pPr>
        <w:ind w:firstLine="480"/>
        <w:rPr>
          <w:color w:val="auto"/>
        </w:rPr>
      </w:pPr>
      <w:r>
        <w:rPr>
          <w:color w:val="auto"/>
        </w:rPr>
        <w:t>（1）为招标人不具有独立法人资格的附属机构（单位）；</w:t>
      </w:r>
    </w:p>
    <w:p w14:paraId="58592C67">
      <w:pPr>
        <w:ind w:firstLine="480"/>
        <w:rPr>
          <w:color w:val="auto"/>
        </w:rPr>
      </w:pPr>
      <w:r>
        <w:rPr>
          <w:color w:val="auto"/>
        </w:rPr>
        <w:t>（2）与招标人存在利害关系且可能影响招标公正性；</w:t>
      </w:r>
    </w:p>
    <w:p w14:paraId="463F1749">
      <w:pPr>
        <w:ind w:firstLine="480"/>
        <w:rPr>
          <w:color w:val="auto"/>
        </w:rPr>
      </w:pPr>
      <w:r>
        <w:rPr>
          <w:color w:val="auto"/>
        </w:rPr>
        <w:t>（3）与本招标项目的其他投标人为同一个单位负责人；</w:t>
      </w:r>
    </w:p>
    <w:p w14:paraId="1415CD85">
      <w:pPr>
        <w:ind w:firstLine="480"/>
        <w:rPr>
          <w:color w:val="auto"/>
        </w:rPr>
      </w:pPr>
      <w:r>
        <w:rPr>
          <w:color w:val="auto"/>
        </w:rPr>
        <w:t>（4）与本招标项目的其他投标人存在控股、管理关系；</w:t>
      </w:r>
    </w:p>
    <w:p w14:paraId="6A9EB71F">
      <w:pPr>
        <w:ind w:firstLine="480"/>
        <w:rPr>
          <w:color w:val="auto"/>
          <w:szCs w:val="22"/>
        </w:rPr>
      </w:pPr>
      <w:r>
        <w:rPr>
          <w:color w:val="auto"/>
          <w:szCs w:val="22"/>
        </w:rPr>
        <w:t>（5）为本招标项目的代建人；</w:t>
      </w:r>
    </w:p>
    <w:p w14:paraId="10B433C2">
      <w:pPr>
        <w:ind w:firstLine="480"/>
        <w:rPr>
          <w:color w:val="auto"/>
        </w:rPr>
      </w:pPr>
      <w:r>
        <w:rPr>
          <w:color w:val="auto"/>
        </w:rPr>
        <w:t>（</w:t>
      </w:r>
      <w:r>
        <w:rPr>
          <w:rFonts w:hint="eastAsia"/>
          <w:color w:val="auto"/>
        </w:rPr>
        <w:t>6</w:t>
      </w:r>
      <w:r>
        <w:rPr>
          <w:color w:val="auto"/>
        </w:rPr>
        <w:t>）为本招标项目的招标代理机构；</w:t>
      </w:r>
    </w:p>
    <w:p w14:paraId="65620C04">
      <w:pPr>
        <w:ind w:firstLine="480"/>
        <w:rPr>
          <w:color w:val="auto"/>
        </w:rPr>
      </w:pPr>
      <w:r>
        <w:rPr>
          <w:color w:val="auto"/>
        </w:rPr>
        <w:t>（</w:t>
      </w:r>
      <w:r>
        <w:rPr>
          <w:rFonts w:hint="eastAsia"/>
          <w:color w:val="auto"/>
        </w:rPr>
        <w:t>7</w:t>
      </w:r>
      <w:r>
        <w:rPr>
          <w:color w:val="auto"/>
        </w:rPr>
        <w:t>）与本招标项目招标代理机构同为一个法定代表人；</w:t>
      </w:r>
    </w:p>
    <w:p w14:paraId="23A90D07">
      <w:pPr>
        <w:ind w:firstLine="480"/>
        <w:rPr>
          <w:color w:val="auto"/>
        </w:rPr>
      </w:pPr>
      <w:r>
        <w:rPr>
          <w:color w:val="auto"/>
        </w:rPr>
        <w:t>（</w:t>
      </w:r>
      <w:r>
        <w:rPr>
          <w:rFonts w:hint="eastAsia"/>
          <w:color w:val="auto"/>
        </w:rPr>
        <w:t>8</w:t>
      </w:r>
      <w:r>
        <w:rPr>
          <w:color w:val="auto"/>
        </w:rPr>
        <w:t>）与本招标项目的招标代理机构存在控股或参股关系；</w:t>
      </w:r>
    </w:p>
    <w:p w14:paraId="465BFDD7">
      <w:pPr>
        <w:ind w:firstLine="480"/>
        <w:rPr>
          <w:rFonts w:hint="eastAsia"/>
          <w:color w:val="auto"/>
        </w:rPr>
      </w:pPr>
      <w:r>
        <w:rPr>
          <w:rFonts w:hint="eastAsia"/>
          <w:color w:val="auto"/>
        </w:rPr>
        <w:t>（9）与本标段的招标人、设计单位、招标代理、施工单位、监理单位以及建筑材料、建筑构配件和设备供应商有隶属关系或者其他利害关系；</w:t>
      </w:r>
    </w:p>
    <w:p w14:paraId="48333514">
      <w:pPr>
        <w:ind w:firstLine="480"/>
        <w:rPr>
          <w:rFonts w:hint="eastAsia"/>
          <w:color w:val="auto"/>
        </w:rPr>
      </w:pPr>
      <w:r>
        <w:rPr>
          <w:rFonts w:hint="eastAsia"/>
          <w:color w:val="auto"/>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83B733E">
      <w:pPr>
        <w:ind w:firstLine="480"/>
        <w:rPr>
          <w:rFonts w:hint="eastAsia"/>
          <w:color w:val="auto"/>
        </w:rPr>
      </w:pPr>
      <w:r>
        <w:rPr>
          <w:rFonts w:hint="eastAsia"/>
          <w:color w:val="auto"/>
        </w:rPr>
        <w:t>（11）被责令停产停业、暂扣或者吊销许可证、暂扣或者吊销执照；（本项事实应当以根据《中华人民共和国行政处罚法》依法作出并已经生效的行政处罚决定为认定依据）</w:t>
      </w:r>
    </w:p>
    <w:p w14:paraId="078E71A1">
      <w:pPr>
        <w:ind w:firstLine="480"/>
        <w:rPr>
          <w:rFonts w:hint="eastAsia"/>
          <w:color w:val="auto"/>
        </w:rPr>
      </w:pPr>
      <w:r>
        <w:rPr>
          <w:rFonts w:hint="eastAsia"/>
          <w:color w:val="auto"/>
        </w:rPr>
        <w:t>（12）进入清算程序，或被宣告破产，或其他丧失履约能力的情形；</w:t>
      </w:r>
    </w:p>
    <w:p w14:paraId="6282654C">
      <w:pPr>
        <w:ind w:firstLine="480"/>
        <w:rPr>
          <w:color w:val="auto"/>
        </w:rPr>
      </w:pPr>
      <w:r>
        <w:rPr>
          <w:rFonts w:hint="eastAsia"/>
          <w:color w:val="auto"/>
        </w:rPr>
        <w:t>（13）法律法规或投标人须知前附表规定的其他情形。</w:t>
      </w:r>
    </w:p>
    <w:p w14:paraId="55605158">
      <w:pPr>
        <w:pStyle w:val="5"/>
        <w:ind w:firstLine="482"/>
        <w:rPr>
          <w:color w:val="auto"/>
        </w:rPr>
      </w:pPr>
      <w:bookmarkStart w:id="70" w:name="_Toc35513433"/>
      <w:bookmarkStart w:id="71" w:name="_Toc1360"/>
      <w:bookmarkStart w:id="72" w:name="_Toc7170"/>
      <w:bookmarkStart w:id="73" w:name="_Toc31391"/>
      <w:r>
        <w:rPr>
          <w:color w:val="auto"/>
        </w:rPr>
        <w:t xml:space="preserve">1.5 </w:t>
      </w:r>
      <w:r>
        <w:rPr>
          <w:rFonts w:hint="eastAsia" w:cs="黑体"/>
          <w:color w:val="auto"/>
        </w:rPr>
        <w:t>费用承担</w:t>
      </w:r>
      <w:bookmarkEnd w:id="70"/>
      <w:bookmarkEnd w:id="71"/>
      <w:bookmarkEnd w:id="72"/>
      <w:bookmarkEnd w:id="73"/>
    </w:p>
    <w:p w14:paraId="2EC46ACA">
      <w:pPr>
        <w:ind w:firstLine="480"/>
        <w:rPr>
          <w:color w:val="auto"/>
        </w:rPr>
      </w:pPr>
      <w:r>
        <w:rPr>
          <w:color w:val="auto"/>
        </w:rPr>
        <w:t>投标人准备和参加投标活动发生的费用自理。</w:t>
      </w:r>
    </w:p>
    <w:p w14:paraId="146D0432">
      <w:pPr>
        <w:pStyle w:val="5"/>
        <w:ind w:firstLine="482"/>
        <w:rPr>
          <w:color w:val="auto"/>
        </w:rPr>
      </w:pPr>
      <w:bookmarkStart w:id="74" w:name="_Toc24399"/>
      <w:bookmarkStart w:id="75" w:name="_Toc35513434"/>
      <w:bookmarkStart w:id="76" w:name="_Toc18933"/>
      <w:bookmarkStart w:id="77" w:name="_Toc27983"/>
      <w:bookmarkStart w:id="78" w:name="auto_fouce_18"/>
      <w:r>
        <w:rPr>
          <w:color w:val="auto"/>
        </w:rPr>
        <w:t xml:space="preserve">1.6 </w:t>
      </w:r>
      <w:r>
        <w:rPr>
          <w:rFonts w:hint="eastAsia" w:cs="黑体"/>
          <w:color w:val="auto"/>
        </w:rPr>
        <w:t>保密</w:t>
      </w:r>
      <w:bookmarkEnd w:id="74"/>
      <w:bookmarkEnd w:id="75"/>
      <w:bookmarkEnd w:id="76"/>
      <w:bookmarkEnd w:id="77"/>
    </w:p>
    <w:p w14:paraId="4D0886A2">
      <w:pPr>
        <w:ind w:firstLine="480"/>
        <w:rPr>
          <w:rFonts w:hint="eastAsia" w:eastAsia="宋体"/>
          <w:color w:val="auto"/>
          <w:lang w:eastAsia="zh-CN"/>
        </w:rPr>
      </w:pPr>
      <w:r>
        <w:rPr>
          <w:color w:val="auto"/>
        </w:rPr>
        <w:t>参与招标投标活动的各方应对招标文件和投标文件中的商业和技术等秘密保密，否则应承担相应的法律责任</w:t>
      </w:r>
      <w:r>
        <w:rPr>
          <w:rFonts w:hint="eastAsia"/>
          <w:color w:val="auto"/>
          <w:lang w:eastAsia="zh-CN"/>
        </w:rPr>
        <w:t>。</w:t>
      </w:r>
      <w:bookmarkEnd w:id="78"/>
    </w:p>
    <w:p w14:paraId="13A1E170">
      <w:pPr>
        <w:pStyle w:val="5"/>
        <w:ind w:firstLine="482"/>
        <w:rPr>
          <w:color w:val="auto"/>
        </w:rPr>
      </w:pPr>
      <w:bookmarkStart w:id="79" w:name="_Toc17108"/>
      <w:bookmarkStart w:id="80" w:name="_Toc27097"/>
      <w:bookmarkStart w:id="81" w:name="_Toc30916"/>
      <w:bookmarkStart w:id="82" w:name="_Toc35513435"/>
      <w:r>
        <w:rPr>
          <w:color w:val="auto"/>
        </w:rPr>
        <w:t>1.7 语言文字</w:t>
      </w:r>
      <w:bookmarkEnd w:id="79"/>
      <w:bookmarkEnd w:id="80"/>
      <w:bookmarkEnd w:id="81"/>
      <w:bookmarkEnd w:id="82"/>
    </w:p>
    <w:p w14:paraId="1B5290C1">
      <w:pPr>
        <w:ind w:firstLine="480"/>
        <w:rPr>
          <w:color w:val="auto"/>
        </w:rPr>
      </w:pPr>
      <w:r>
        <w:rPr>
          <w:color w:val="auto"/>
        </w:rPr>
        <w:t>招标投标文件使用的语言文字为中文。专用术语使用外文的，应附有中文注释。</w:t>
      </w:r>
    </w:p>
    <w:p w14:paraId="7FDD54F7">
      <w:pPr>
        <w:pStyle w:val="5"/>
        <w:ind w:firstLine="482"/>
        <w:rPr>
          <w:color w:val="auto"/>
        </w:rPr>
      </w:pPr>
      <w:bookmarkStart w:id="83" w:name="_Toc9807"/>
      <w:bookmarkStart w:id="84" w:name="_Toc4314"/>
      <w:bookmarkStart w:id="85" w:name="_Toc35513436"/>
      <w:bookmarkStart w:id="86" w:name="_Toc5814"/>
      <w:r>
        <w:rPr>
          <w:color w:val="auto"/>
        </w:rPr>
        <w:t>1.8 计量单位</w:t>
      </w:r>
      <w:bookmarkEnd w:id="83"/>
      <w:bookmarkEnd w:id="84"/>
      <w:bookmarkEnd w:id="85"/>
      <w:bookmarkEnd w:id="86"/>
    </w:p>
    <w:p w14:paraId="478C45B5">
      <w:pPr>
        <w:ind w:firstLine="480"/>
        <w:rPr>
          <w:color w:val="auto"/>
        </w:rPr>
      </w:pPr>
      <w:r>
        <w:rPr>
          <w:color w:val="auto"/>
        </w:rPr>
        <w:t>所有计量均采用中华人民共和国法定计量单位。</w:t>
      </w:r>
    </w:p>
    <w:p w14:paraId="1D83FB70">
      <w:pPr>
        <w:pStyle w:val="5"/>
        <w:ind w:firstLine="482"/>
        <w:rPr>
          <w:strike/>
          <w:color w:val="auto"/>
        </w:rPr>
      </w:pPr>
      <w:bookmarkStart w:id="87" w:name="_Toc22384"/>
      <w:bookmarkStart w:id="88" w:name="_Toc35513437"/>
      <w:bookmarkStart w:id="89" w:name="_Toc17968"/>
      <w:bookmarkStart w:id="90" w:name="_Toc1015"/>
      <w:r>
        <w:rPr>
          <w:strike/>
          <w:color w:val="auto"/>
        </w:rPr>
        <w:t>1.9 踏勘现场</w:t>
      </w:r>
      <w:bookmarkEnd w:id="87"/>
      <w:bookmarkEnd w:id="88"/>
      <w:bookmarkEnd w:id="89"/>
      <w:bookmarkEnd w:id="90"/>
    </w:p>
    <w:p w14:paraId="00B016A4">
      <w:pPr>
        <w:ind w:firstLine="480"/>
        <w:rPr>
          <w:color w:val="auto"/>
        </w:rPr>
      </w:pPr>
      <w:r>
        <w:rPr>
          <w:strike/>
          <w:color w:val="auto"/>
        </w:rPr>
        <w:t>1.9.1 投标人须知前附表规定组织踏勘现场的，招标人按投标人须知前附表规定的时间、地点组织投标人踏勘项目现场。部分投标人未按时参加踏勘现场的，不影响踏勘现场的正常进行。</w:t>
      </w:r>
    </w:p>
    <w:p w14:paraId="5787EF4B">
      <w:pPr>
        <w:ind w:firstLine="480"/>
        <w:rPr>
          <w:strike/>
          <w:color w:val="auto"/>
        </w:rPr>
      </w:pPr>
      <w:r>
        <w:rPr>
          <w:strike/>
          <w:color w:val="auto"/>
        </w:rPr>
        <w:t>1.9.2 投标人踏勘现场发生的费用自理。</w:t>
      </w:r>
    </w:p>
    <w:p w14:paraId="04F92EE4">
      <w:pPr>
        <w:ind w:firstLine="480"/>
        <w:rPr>
          <w:strike/>
          <w:color w:val="auto"/>
        </w:rPr>
      </w:pPr>
      <w:r>
        <w:rPr>
          <w:strike/>
          <w:color w:val="auto"/>
        </w:rPr>
        <w:t>1.9.3 除招标人的原因外，投标人自行负责在踏勘现场中所发生的人员伤亡和财产损失。</w:t>
      </w:r>
    </w:p>
    <w:p w14:paraId="65074BC2">
      <w:pPr>
        <w:ind w:firstLine="480"/>
        <w:rPr>
          <w:strike/>
          <w:color w:val="auto"/>
        </w:rPr>
      </w:pPr>
      <w:r>
        <w:rPr>
          <w:strike/>
          <w:color w:val="auto"/>
        </w:rPr>
        <w:t>1.9.4 招标人在踏勘现场中介绍的工程场地和相关的周边环境情况，供投标人在编制投标文件时参考，招标人不对投标人据此作出的判断和决策负责。</w:t>
      </w:r>
    </w:p>
    <w:p w14:paraId="58BF8818">
      <w:pPr>
        <w:pStyle w:val="5"/>
        <w:ind w:firstLine="482"/>
        <w:rPr>
          <w:strike/>
          <w:color w:val="auto"/>
        </w:rPr>
      </w:pPr>
      <w:bookmarkStart w:id="91" w:name="_Toc32013"/>
      <w:bookmarkStart w:id="92" w:name="_Toc15250"/>
      <w:bookmarkStart w:id="93" w:name="_Toc25235"/>
      <w:bookmarkStart w:id="94" w:name="_Toc35513438"/>
      <w:r>
        <w:rPr>
          <w:strike/>
          <w:color w:val="auto"/>
        </w:rPr>
        <w:t>1.10 投标预备会</w:t>
      </w:r>
      <w:bookmarkEnd w:id="91"/>
      <w:bookmarkEnd w:id="92"/>
      <w:bookmarkEnd w:id="93"/>
      <w:bookmarkEnd w:id="94"/>
    </w:p>
    <w:p w14:paraId="72DBBB3F">
      <w:pPr>
        <w:ind w:firstLine="480"/>
        <w:rPr>
          <w:strike/>
          <w:color w:val="auto"/>
        </w:rPr>
      </w:pPr>
      <w:r>
        <w:rPr>
          <w:strike/>
          <w:color w:val="auto"/>
        </w:rPr>
        <w:t>1.10.1 投标人须知前附表规定召开投标预备会的，招标人按投标人须知前附表规定的时间和地点召开投标预备会，澄清投标人提出的问题。</w:t>
      </w:r>
    </w:p>
    <w:p w14:paraId="7C6E236D">
      <w:pPr>
        <w:ind w:firstLine="480"/>
        <w:rPr>
          <w:strike/>
          <w:color w:val="auto"/>
        </w:rPr>
      </w:pPr>
      <w:r>
        <w:rPr>
          <w:strike/>
          <w:color w:val="auto"/>
        </w:rPr>
        <w:t>1.10.2 投标人应按投标人须知前附表规定的时间和形式将提出的问题送达招标人，以便招标人在会议期间澄清。</w:t>
      </w:r>
    </w:p>
    <w:p w14:paraId="061EEA8E">
      <w:pPr>
        <w:ind w:firstLine="480"/>
        <w:rPr>
          <w:strike/>
          <w:color w:val="auto"/>
        </w:rPr>
      </w:pPr>
      <w:r>
        <w:rPr>
          <w:strike/>
          <w:color w:val="auto"/>
        </w:rPr>
        <w:t>1.10.3 投标预备会后，招标人将对投标人所提问题的澄清，以投标人须知前附表规定的形式通知所有购买招标文件的投标人。该澄清内容为招标文件的组成</w:t>
      </w:r>
      <w:bookmarkStart w:id="95" w:name="page24"/>
      <w:bookmarkEnd w:id="95"/>
      <w:r>
        <w:rPr>
          <w:strike/>
          <w:color w:val="auto"/>
        </w:rPr>
        <w:t>部分。</w:t>
      </w:r>
    </w:p>
    <w:p w14:paraId="039A59C8">
      <w:pPr>
        <w:pStyle w:val="5"/>
        <w:ind w:firstLine="482"/>
        <w:rPr>
          <w:color w:val="auto"/>
        </w:rPr>
      </w:pPr>
      <w:bookmarkStart w:id="96" w:name="_Toc12135"/>
      <w:bookmarkStart w:id="97" w:name="_Toc29833"/>
      <w:bookmarkStart w:id="98" w:name="_Toc22717"/>
      <w:bookmarkStart w:id="99" w:name="auto_fouce_19"/>
      <w:r>
        <w:rPr>
          <w:color w:val="auto"/>
        </w:rPr>
        <w:t>1.1</w:t>
      </w:r>
      <w:r>
        <w:rPr>
          <w:rFonts w:hint="eastAsia"/>
          <w:color w:val="auto"/>
        </w:rPr>
        <w:t>1</w:t>
      </w:r>
      <w:r>
        <w:rPr>
          <w:color w:val="auto"/>
        </w:rPr>
        <w:t xml:space="preserve"> </w:t>
      </w:r>
      <w:r>
        <w:rPr>
          <w:rFonts w:hint="eastAsia"/>
          <w:color w:val="auto"/>
        </w:rPr>
        <w:t>分包</w:t>
      </w:r>
      <w:bookmarkEnd w:id="96"/>
      <w:bookmarkEnd w:id="97"/>
      <w:bookmarkEnd w:id="98"/>
    </w:p>
    <w:p w14:paraId="48550A8E">
      <w:pPr>
        <w:ind w:firstLine="480"/>
        <w:rPr>
          <w:rFonts w:hint="eastAsia" w:eastAsia="宋体"/>
          <w:color w:val="auto"/>
          <w:lang w:eastAsia="zh-CN"/>
        </w:rPr>
      </w:pPr>
      <w:r>
        <w:rPr>
          <w:rFonts w:hint="eastAsia" w:hAnsi="宋体" w:cs="宋体"/>
          <w:color w:val="auto"/>
          <w:szCs w:val="21"/>
        </w:rPr>
        <w:t>本项</w:t>
      </w:r>
      <w:r>
        <w:rPr>
          <w:rFonts w:hint="eastAsia" w:hAnsi="宋体" w:cs="宋体"/>
          <w:color w:val="auto"/>
          <w:spacing w:val="-2"/>
          <w:szCs w:val="21"/>
        </w:rPr>
        <w:t>目</w:t>
      </w:r>
      <w:r>
        <w:rPr>
          <w:rFonts w:hint="eastAsia" w:hAnsi="宋体" w:cs="宋体"/>
          <w:color w:val="auto"/>
          <w:szCs w:val="21"/>
        </w:rPr>
        <w:t>严</w:t>
      </w:r>
      <w:r>
        <w:rPr>
          <w:rFonts w:hint="eastAsia" w:hAnsi="宋体" w:cs="宋体"/>
          <w:color w:val="auto"/>
          <w:spacing w:val="-2"/>
          <w:szCs w:val="21"/>
        </w:rPr>
        <w:t>禁</w:t>
      </w:r>
      <w:r>
        <w:rPr>
          <w:rFonts w:hint="eastAsia" w:hAnsi="宋体" w:cs="宋体"/>
          <w:color w:val="auto"/>
          <w:szCs w:val="21"/>
        </w:rPr>
        <w:t>分</w:t>
      </w:r>
      <w:r>
        <w:rPr>
          <w:rFonts w:hint="eastAsia" w:hAnsi="宋体" w:cs="宋体"/>
          <w:color w:val="auto"/>
          <w:spacing w:val="-2"/>
          <w:szCs w:val="21"/>
        </w:rPr>
        <w:t>包</w:t>
      </w:r>
      <w:r>
        <w:rPr>
          <w:color w:val="auto"/>
        </w:rPr>
        <w:t>。</w:t>
      </w:r>
      <w:r>
        <w:rPr>
          <w:rFonts w:hint="eastAsia"/>
          <w:color w:val="auto"/>
          <w:lang w:eastAsia="zh-CN"/>
        </w:rPr>
        <w:t>中标人不得以任何形式将本项目全部或部分服务转包、分包、挂靠或委托第三方实施。经查实存在上述行为的，招标人有权解除合同并追究违约责任。</w:t>
      </w:r>
      <w:bookmarkEnd w:id="99"/>
    </w:p>
    <w:p w14:paraId="1CEA9BCF">
      <w:pPr>
        <w:pStyle w:val="5"/>
        <w:ind w:firstLine="482"/>
        <w:rPr>
          <w:color w:val="auto"/>
        </w:rPr>
      </w:pPr>
      <w:bookmarkStart w:id="100" w:name="_Toc7522"/>
      <w:bookmarkStart w:id="101" w:name="_Toc13840"/>
      <w:bookmarkStart w:id="102" w:name="_Toc35513440"/>
      <w:bookmarkStart w:id="103" w:name="_Toc21561"/>
      <w:r>
        <w:rPr>
          <w:color w:val="auto"/>
        </w:rPr>
        <w:t>1.1</w:t>
      </w:r>
      <w:r>
        <w:rPr>
          <w:rFonts w:hint="eastAsia"/>
          <w:color w:val="auto"/>
        </w:rPr>
        <w:t>2</w:t>
      </w:r>
      <w:r>
        <w:rPr>
          <w:color w:val="auto"/>
        </w:rPr>
        <w:t xml:space="preserve"> 响应和偏差</w:t>
      </w:r>
      <w:bookmarkEnd w:id="100"/>
      <w:bookmarkEnd w:id="101"/>
      <w:bookmarkEnd w:id="102"/>
      <w:bookmarkEnd w:id="103"/>
    </w:p>
    <w:p w14:paraId="0F2BF034">
      <w:pPr>
        <w:ind w:firstLine="480"/>
        <w:rPr>
          <w:color w:val="auto"/>
        </w:rPr>
      </w:pPr>
      <w:r>
        <w:rPr>
          <w:color w:val="auto"/>
        </w:rPr>
        <w:t>1.1</w:t>
      </w:r>
      <w:r>
        <w:rPr>
          <w:rFonts w:hint="eastAsia"/>
          <w:color w:val="auto"/>
        </w:rPr>
        <w:t>2</w:t>
      </w:r>
      <w:r>
        <w:rPr>
          <w:color w:val="auto"/>
        </w:rPr>
        <w:t>.1 投标文件应当对招标文件的实质性要求和条件作出满足性或更有利于招标人的响应，否则，投标人的投标将被否决。实质性要求和条件见投标人须知前附表。</w:t>
      </w:r>
    </w:p>
    <w:p w14:paraId="3465C96A">
      <w:pPr>
        <w:widowControl w:val="0"/>
        <w:ind w:firstLine="480"/>
        <w:rPr>
          <w:color w:val="auto"/>
          <w:szCs w:val="22"/>
        </w:rPr>
      </w:pPr>
      <w:r>
        <w:rPr>
          <w:color w:val="auto"/>
          <w:szCs w:val="22"/>
        </w:rPr>
        <w:t>1.12.2 投标人应根据招标文件的要求提供投标技术部分等内容以对招标文件作出响应。</w:t>
      </w:r>
    </w:p>
    <w:p w14:paraId="567CB65E">
      <w:pPr>
        <w:ind w:firstLine="480"/>
        <w:rPr>
          <w:rFonts w:hint="eastAsia"/>
          <w:color w:val="auto"/>
        </w:rPr>
      </w:pPr>
      <w:r>
        <w:rPr>
          <w:color w:val="auto"/>
        </w:rPr>
        <w:t>1.1</w:t>
      </w:r>
      <w:r>
        <w:rPr>
          <w:rFonts w:hint="eastAsia"/>
          <w:color w:val="auto"/>
        </w:rPr>
        <w:t>2</w:t>
      </w:r>
      <w:r>
        <w:rPr>
          <w:color w:val="auto"/>
        </w:rPr>
        <w:t>.</w:t>
      </w:r>
      <w:r>
        <w:rPr>
          <w:rFonts w:hint="eastAsia"/>
          <w:color w:val="auto"/>
        </w:rPr>
        <w:t>3</w:t>
      </w:r>
      <w:r>
        <w:rPr>
          <w:color w:val="auto"/>
        </w:rPr>
        <w:t xml:space="preserve"> 投标人须知前附表允许投标文件偏离招标文件某些要求的，偏差应当符合招标文件规定的偏差范围和幅度。</w:t>
      </w:r>
    </w:p>
    <w:p w14:paraId="1CD2CE9A">
      <w:pPr>
        <w:ind w:firstLine="480"/>
        <w:rPr>
          <w:rFonts w:hAnsi="宋体"/>
          <w:color w:val="auto"/>
          <w:szCs w:val="24"/>
        </w:rPr>
      </w:pPr>
    </w:p>
    <w:p w14:paraId="056C7E8A">
      <w:pPr>
        <w:pStyle w:val="4"/>
        <w:rPr>
          <w:color w:val="auto"/>
        </w:rPr>
      </w:pPr>
      <w:bookmarkStart w:id="104" w:name="_Toc35513441"/>
      <w:bookmarkStart w:id="105" w:name="_Toc17654"/>
      <w:bookmarkStart w:id="106" w:name="_Toc19448"/>
      <w:bookmarkStart w:id="107" w:name="_Toc14463"/>
      <w:r>
        <w:rPr>
          <w:rFonts w:hint="eastAsia"/>
          <w:color w:val="auto"/>
        </w:rPr>
        <w:t>2.</w:t>
      </w:r>
      <w:r>
        <w:rPr>
          <w:color w:val="auto"/>
        </w:rPr>
        <w:t>招标文件</w:t>
      </w:r>
      <w:bookmarkEnd w:id="104"/>
      <w:bookmarkEnd w:id="105"/>
      <w:bookmarkEnd w:id="106"/>
      <w:bookmarkEnd w:id="107"/>
    </w:p>
    <w:p w14:paraId="00489DD8">
      <w:pPr>
        <w:pStyle w:val="5"/>
        <w:ind w:firstLine="482"/>
        <w:rPr>
          <w:color w:val="auto"/>
        </w:rPr>
      </w:pPr>
      <w:bookmarkStart w:id="108" w:name="_Toc35513442"/>
      <w:bookmarkStart w:id="109" w:name="_Toc31619"/>
      <w:bookmarkStart w:id="110" w:name="_Toc15506"/>
      <w:bookmarkStart w:id="111" w:name="_Toc20653"/>
      <w:r>
        <w:rPr>
          <w:color w:val="auto"/>
        </w:rPr>
        <w:t>2.1 招标文件的组成</w:t>
      </w:r>
      <w:bookmarkEnd w:id="108"/>
      <w:bookmarkEnd w:id="109"/>
      <w:bookmarkEnd w:id="110"/>
      <w:bookmarkEnd w:id="111"/>
    </w:p>
    <w:p w14:paraId="5BDE298C">
      <w:pPr>
        <w:ind w:firstLine="480"/>
        <w:rPr>
          <w:color w:val="auto"/>
        </w:rPr>
      </w:pPr>
      <w:r>
        <w:rPr>
          <w:color w:val="auto"/>
        </w:rPr>
        <w:t>本招标文件包括：</w:t>
      </w:r>
    </w:p>
    <w:p w14:paraId="01B45171">
      <w:pPr>
        <w:ind w:firstLine="480"/>
        <w:rPr>
          <w:color w:val="auto"/>
        </w:rPr>
      </w:pPr>
      <w:r>
        <w:rPr>
          <w:color w:val="auto"/>
        </w:rPr>
        <w:t>（1）招标公告；</w:t>
      </w:r>
    </w:p>
    <w:p w14:paraId="64C12935">
      <w:pPr>
        <w:ind w:firstLine="480"/>
        <w:rPr>
          <w:color w:val="auto"/>
        </w:rPr>
      </w:pPr>
      <w:r>
        <w:rPr>
          <w:color w:val="auto"/>
        </w:rPr>
        <w:t>（2）投标人须知；</w:t>
      </w:r>
    </w:p>
    <w:p w14:paraId="2B6E0952">
      <w:pPr>
        <w:ind w:firstLine="480"/>
        <w:rPr>
          <w:color w:val="auto"/>
        </w:rPr>
      </w:pPr>
      <w:r>
        <w:rPr>
          <w:color w:val="auto"/>
        </w:rPr>
        <w:t>（3）评标办法；</w:t>
      </w:r>
    </w:p>
    <w:p w14:paraId="0E1C82B2">
      <w:pPr>
        <w:ind w:firstLine="480"/>
        <w:rPr>
          <w:color w:val="auto"/>
        </w:rPr>
      </w:pPr>
      <w:r>
        <w:rPr>
          <w:color w:val="auto"/>
        </w:rPr>
        <w:t>（4）合同条款及格式；</w:t>
      </w:r>
    </w:p>
    <w:p w14:paraId="69A3B528">
      <w:pPr>
        <w:ind w:firstLine="480"/>
        <w:rPr>
          <w:color w:val="auto"/>
        </w:rPr>
      </w:pPr>
      <w:r>
        <w:rPr>
          <w:color w:val="auto"/>
        </w:rPr>
        <w:t>（5）委托人要求；</w:t>
      </w:r>
    </w:p>
    <w:p w14:paraId="30822539">
      <w:pPr>
        <w:ind w:firstLine="480"/>
        <w:rPr>
          <w:color w:val="auto"/>
        </w:rPr>
      </w:pPr>
      <w:r>
        <w:rPr>
          <w:color w:val="auto"/>
        </w:rPr>
        <w:t>（6）投标文件格式；</w:t>
      </w:r>
    </w:p>
    <w:p w14:paraId="209F80AA">
      <w:pPr>
        <w:ind w:firstLine="480"/>
        <w:rPr>
          <w:color w:val="auto"/>
        </w:rPr>
      </w:pPr>
      <w:r>
        <w:rPr>
          <w:color w:val="auto"/>
        </w:rPr>
        <w:t>（7）投标人须知前附表规定的其他资料。</w:t>
      </w:r>
    </w:p>
    <w:p w14:paraId="4536AA8F">
      <w:pPr>
        <w:ind w:firstLine="480"/>
        <w:rPr>
          <w:color w:val="auto"/>
        </w:rPr>
      </w:pPr>
      <w:r>
        <w:rPr>
          <w:color w:val="auto"/>
        </w:rPr>
        <w:t>根据本章第1.10款、第2.2款和第2.3款对招标文件所作的澄清、修改，构成招标文件的组成部分。</w:t>
      </w:r>
    </w:p>
    <w:p w14:paraId="0B6D8B96">
      <w:pPr>
        <w:pStyle w:val="5"/>
        <w:ind w:firstLine="482"/>
        <w:rPr>
          <w:color w:val="auto"/>
        </w:rPr>
      </w:pPr>
      <w:bookmarkStart w:id="112" w:name="_Toc24559"/>
      <w:bookmarkStart w:id="113" w:name="_Toc16772"/>
      <w:bookmarkStart w:id="114" w:name="_Toc21781"/>
      <w:bookmarkStart w:id="115" w:name="_Toc35513443"/>
      <w:r>
        <w:rPr>
          <w:color w:val="auto"/>
        </w:rPr>
        <w:t>2.2 招标文件的澄清</w:t>
      </w:r>
      <w:bookmarkEnd w:id="112"/>
      <w:bookmarkEnd w:id="113"/>
      <w:bookmarkEnd w:id="114"/>
      <w:bookmarkEnd w:id="115"/>
    </w:p>
    <w:p w14:paraId="358F7F54">
      <w:pPr>
        <w:ind w:firstLine="480"/>
        <w:rPr>
          <w:color w:val="auto"/>
        </w:rPr>
      </w:pPr>
      <w:r>
        <w:rPr>
          <w:color w:val="auto"/>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1A74EB2">
      <w:pPr>
        <w:ind w:firstLine="480"/>
        <w:rPr>
          <w:color w:val="auto"/>
        </w:rPr>
      </w:pPr>
      <w:r>
        <w:rPr>
          <w:color w:val="auto"/>
        </w:rPr>
        <w:t>2.2.2 招标文件的澄清以投标人须知前附表规定的形式发给所有投标人，但不指明澄清问题的来源。澄清发出的时间距本章第4.2.1项规定的投标</w:t>
      </w:r>
      <w:bookmarkStart w:id="116" w:name="page25"/>
      <w:bookmarkEnd w:id="116"/>
      <w:r>
        <w:rPr>
          <w:color w:val="auto"/>
        </w:rPr>
        <w:t>截止时间不足15日的，并且澄清内容可能影响投标文件编制的，将相应延长投标截止时间。</w:t>
      </w:r>
    </w:p>
    <w:p w14:paraId="39F6A319">
      <w:pPr>
        <w:ind w:firstLine="480"/>
        <w:rPr>
          <w:color w:val="auto"/>
        </w:rPr>
      </w:pPr>
      <w:r>
        <w:rPr>
          <w:color w:val="auto"/>
        </w:rPr>
        <w:t>2.2.3 投标人在收到澄清后，应按投标人须知前附表规定的时间和形式通知招标人，确认已收到该澄清。</w:t>
      </w:r>
    </w:p>
    <w:p w14:paraId="23C1EE4C">
      <w:pPr>
        <w:ind w:firstLine="480"/>
        <w:rPr>
          <w:color w:val="auto"/>
        </w:rPr>
      </w:pPr>
      <w:r>
        <w:rPr>
          <w:color w:val="auto"/>
        </w:rPr>
        <w:t>2.2.4 除非招标人认为确有必要答复，否则，招标人有权拒绝回复投标人在本章第2.2.1项规定的时间后的任何澄清要求。</w:t>
      </w:r>
    </w:p>
    <w:p w14:paraId="2249DD7F">
      <w:pPr>
        <w:pStyle w:val="5"/>
        <w:ind w:firstLine="482"/>
        <w:rPr>
          <w:color w:val="auto"/>
        </w:rPr>
      </w:pPr>
      <w:bookmarkStart w:id="117" w:name="_Toc35513444"/>
      <w:bookmarkStart w:id="118" w:name="_Toc8459"/>
      <w:bookmarkStart w:id="119" w:name="_Toc24650"/>
      <w:bookmarkStart w:id="120" w:name="_Toc7139"/>
      <w:r>
        <w:rPr>
          <w:color w:val="auto"/>
        </w:rPr>
        <w:t>2.3 招标文件的修改</w:t>
      </w:r>
      <w:bookmarkEnd w:id="117"/>
      <w:bookmarkEnd w:id="118"/>
      <w:bookmarkEnd w:id="119"/>
      <w:bookmarkEnd w:id="120"/>
    </w:p>
    <w:p w14:paraId="4B89BB22">
      <w:pPr>
        <w:ind w:firstLine="480"/>
        <w:rPr>
          <w:color w:val="auto"/>
        </w:rPr>
      </w:pPr>
      <w:r>
        <w:rPr>
          <w:color w:val="auto"/>
        </w:rPr>
        <w:t>2.3.1 招标人以投标人须知前附表规定的形式修改招标文件，并通知所有已购买招标文件的投标人。修改招标文件的时间距本章第4.2.1项规定的投标截止时间不足15</w:t>
      </w:r>
      <w:r>
        <w:rPr>
          <w:rFonts w:hint="eastAsia"/>
          <w:color w:val="auto"/>
        </w:rPr>
        <w:t>日</w:t>
      </w:r>
      <w:r>
        <w:rPr>
          <w:color w:val="auto"/>
        </w:rPr>
        <w:t>的，并且修改内容可能影响投标文件编制的，将相应延长投标截止时间。</w:t>
      </w:r>
    </w:p>
    <w:p w14:paraId="4287828B">
      <w:pPr>
        <w:ind w:firstLine="480"/>
        <w:rPr>
          <w:color w:val="auto"/>
        </w:rPr>
      </w:pPr>
      <w:r>
        <w:rPr>
          <w:color w:val="auto"/>
        </w:rPr>
        <w:t xml:space="preserve">2.3.2 </w:t>
      </w:r>
      <w:r>
        <w:rPr>
          <w:rFonts w:hint="eastAsia"/>
          <w:color w:val="auto"/>
          <w:u w:val="singl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p w14:paraId="14CC315A">
      <w:pPr>
        <w:pStyle w:val="5"/>
        <w:ind w:firstLine="482"/>
        <w:rPr>
          <w:color w:val="auto"/>
        </w:rPr>
      </w:pPr>
      <w:bookmarkStart w:id="121" w:name="_Toc4549"/>
      <w:bookmarkStart w:id="122" w:name="_Toc35513445"/>
      <w:bookmarkStart w:id="123" w:name="_Toc531"/>
      <w:bookmarkStart w:id="124" w:name="_Toc11096"/>
      <w:r>
        <w:rPr>
          <w:color w:val="auto"/>
        </w:rPr>
        <w:t>2.4 招标文件的异议</w:t>
      </w:r>
      <w:bookmarkEnd w:id="121"/>
      <w:bookmarkEnd w:id="122"/>
      <w:bookmarkEnd w:id="123"/>
      <w:bookmarkEnd w:id="124"/>
    </w:p>
    <w:p w14:paraId="4850AABB">
      <w:pPr>
        <w:ind w:firstLine="480"/>
        <w:rPr>
          <w:color w:val="auto"/>
        </w:rPr>
      </w:pPr>
      <w:r>
        <w:rPr>
          <w:color w:val="auto"/>
        </w:rPr>
        <w:t>投标人或者其他利害关系人对招标文件有异议的，应当在投标截止时间10日前以书面形式提出。招标人将在收到异议之日起3日内作出答复；作出答复前，将暂停招标投标活动。</w:t>
      </w:r>
    </w:p>
    <w:p w14:paraId="09DD5F20">
      <w:pPr>
        <w:ind w:firstLine="480"/>
        <w:rPr>
          <w:rFonts w:hAnsi="宋体"/>
          <w:color w:val="auto"/>
          <w:szCs w:val="24"/>
        </w:rPr>
      </w:pPr>
    </w:p>
    <w:p w14:paraId="497269C0">
      <w:pPr>
        <w:pStyle w:val="4"/>
        <w:rPr>
          <w:color w:val="auto"/>
        </w:rPr>
      </w:pPr>
      <w:bookmarkStart w:id="125" w:name="_Toc30213"/>
      <w:bookmarkStart w:id="126" w:name="_Toc35513446"/>
      <w:bookmarkStart w:id="127" w:name="_Toc24918"/>
      <w:bookmarkStart w:id="128" w:name="_Toc19873"/>
      <w:r>
        <w:rPr>
          <w:rFonts w:hint="eastAsia"/>
          <w:color w:val="auto"/>
        </w:rPr>
        <w:t>3.</w:t>
      </w:r>
      <w:r>
        <w:rPr>
          <w:color w:val="auto"/>
        </w:rPr>
        <w:t>投标文件</w:t>
      </w:r>
      <w:bookmarkEnd w:id="125"/>
      <w:bookmarkEnd w:id="126"/>
      <w:bookmarkEnd w:id="127"/>
      <w:bookmarkEnd w:id="128"/>
    </w:p>
    <w:p w14:paraId="0C66625E">
      <w:pPr>
        <w:pStyle w:val="5"/>
        <w:ind w:firstLine="482"/>
        <w:rPr>
          <w:color w:val="auto"/>
        </w:rPr>
      </w:pPr>
      <w:bookmarkStart w:id="129" w:name="_Toc31948"/>
      <w:bookmarkStart w:id="130" w:name="_Toc35513447"/>
      <w:bookmarkStart w:id="131" w:name="_Toc24148"/>
      <w:bookmarkStart w:id="132" w:name="_Toc19434"/>
      <w:r>
        <w:rPr>
          <w:color w:val="auto"/>
        </w:rPr>
        <w:t>3.1 投标文件的组成</w:t>
      </w:r>
      <w:bookmarkEnd w:id="129"/>
      <w:bookmarkEnd w:id="130"/>
      <w:bookmarkEnd w:id="131"/>
      <w:bookmarkEnd w:id="132"/>
    </w:p>
    <w:p w14:paraId="73CBC582">
      <w:pPr>
        <w:ind w:firstLine="480"/>
        <w:rPr>
          <w:color w:val="auto"/>
        </w:rPr>
      </w:pPr>
      <w:r>
        <w:rPr>
          <w:color w:val="auto"/>
        </w:rPr>
        <w:t>3.1.1 投标文件应包括下列内容：</w:t>
      </w:r>
    </w:p>
    <w:p w14:paraId="1D5C7FDB">
      <w:pPr>
        <w:ind w:firstLine="480"/>
        <w:rPr>
          <w:rFonts w:hint="eastAsia"/>
          <w:color w:val="auto"/>
          <w:u w:val="single"/>
        </w:rPr>
      </w:pPr>
      <w:r>
        <w:rPr>
          <w:color w:val="auto"/>
          <w:u w:val="single"/>
        </w:rPr>
        <w:t>（1）</w:t>
      </w:r>
      <w:r>
        <w:rPr>
          <w:rFonts w:hint="eastAsia"/>
          <w:color w:val="auto"/>
          <w:u w:val="single"/>
        </w:rPr>
        <w:t>投标函及投标函附录；</w:t>
      </w:r>
    </w:p>
    <w:p w14:paraId="429B35C7">
      <w:pPr>
        <w:ind w:firstLine="480"/>
        <w:rPr>
          <w:rFonts w:hint="eastAsia"/>
          <w:color w:val="auto"/>
          <w:u w:val="single"/>
        </w:rPr>
      </w:pPr>
      <w:r>
        <w:rPr>
          <w:rFonts w:hint="eastAsia"/>
          <w:color w:val="auto"/>
          <w:szCs w:val="22"/>
          <w:u w:val="single"/>
        </w:rPr>
        <w:t>（2）</w:t>
      </w:r>
      <w:r>
        <w:rPr>
          <w:rFonts w:hint="eastAsia"/>
          <w:color w:val="auto"/>
          <w:u w:val="single"/>
        </w:rPr>
        <w:t>法定代表人身份证明书；</w:t>
      </w:r>
    </w:p>
    <w:p w14:paraId="2D59741F">
      <w:pPr>
        <w:ind w:firstLine="480"/>
        <w:rPr>
          <w:rFonts w:hint="eastAsia"/>
          <w:color w:val="auto"/>
          <w:u w:val="single"/>
        </w:rPr>
      </w:pPr>
      <w:r>
        <w:rPr>
          <w:rFonts w:hint="eastAsia"/>
          <w:color w:val="auto"/>
          <w:szCs w:val="22"/>
          <w:u w:val="single"/>
        </w:rPr>
        <w:t>（3）</w:t>
      </w:r>
      <w:r>
        <w:rPr>
          <w:rFonts w:hint="eastAsia"/>
          <w:color w:val="auto"/>
          <w:u w:val="single"/>
        </w:rPr>
        <w:t>法定代表人授权委托书（如有）（适用于有委托代理人的情况）；</w:t>
      </w:r>
    </w:p>
    <w:p w14:paraId="2D623759">
      <w:pPr>
        <w:ind w:firstLine="480"/>
        <w:rPr>
          <w:rFonts w:hint="eastAsia"/>
          <w:color w:val="auto"/>
          <w:u w:val="single"/>
        </w:rPr>
      </w:pPr>
      <w:r>
        <w:rPr>
          <w:rFonts w:hint="eastAsia"/>
          <w:color w:val="auto"/>
          <w:szCs w:val="22"/>
          <w:u w:val="single"/>
        </w:rPr>
        <w:t>（</w:t>
      </w:r>
      <w:r>
        <w:rPr>
          <w:rFonts w:hint="eastAsia"/>
          <w:color w:val="auto"/>
          <w:szCs w:val="22"/>
          <w:u w:val="single"/>
          <w:lang w:val="en-US" w:eastAsia="zh-CN"/>
        </w:rPr>
        <w:t>4</w:t>
      </w:r>
      <w:r>
        <w:rPr>
          <w:rFonts w:hint="eastAsia"/>
          <w:color w:val="auto"/>
          <w:szCs w:val="22"/>
          <w:u w:val="single"/>
        </w:rPr>
        <w:t>）</w:t>
      </w:r>
      <w:r>
        <w:rPr>
          <w:rFonts w:hint="eastAsia"/>
          <w:color w:val="auto"/>
          <w:u w:val="single"/>
        </w:rPr>
        <w:t>投标报价表；</w:t>
      </w:r>
    </w:p>
    <w:p w14:paraId="7021F5EB">
      <w:pPr>
        <w:ind w:firstLine="480"/>
        <w:rPr>
          <w:rFonts w:hint="eastAsia"/>
          <w:color w:val="auto"/>
          <w:u w:val="single"/>
        </w:rPr>
      </w:pPr>
      <w:r>
        <w:rPr>
          <w:rFonts w:hint="eastAsia"/>
          <w:color w:val="auto"/>
          <w:szCs w:val="22"/>
          <w:u w:val="single"/>
        </w:rPr>
        <w:t>（</w:t>
      </w:r>
      <w:r>
        <w:rPr>
          <w:rFonts w:hint="eastAsia"/>
          <w:color w:val="auto"/>
          <w:szCs w:val="22"/>
          <w:u w:val="single"/>
          <w:lang w:val="en-US" w:eastAsia="zh-CN"/>
        </w:rPr>
        <w:t>5</w:t>
      </w:r>
      <w:r>
        <w:rPr>
          <w:rFonts w:hint="eastAsia"/>
          <w:color w:val="auto"/>
          <w:szCs w:val="22"/>
          <w:u w:val="single"/>
        </w:rPr>
        <w:t>）</w:t>
      </w:r>
      <w:r>
        <w:rPr>
          <w:rFonts w:hint="eastAsia"/>
          <w:color w:val="auto"/>
          <w:u w:val="single"/>
        </w:rPr>
        <w:t>资格审查资料；</w:t>
      </w:r>
    </w:p>
    <w:p w14:paraId="7FE91BBA">
      <w:pPr>
        <w:ind w:firstLine="480"/>
        <w:rPr>
          <w:rFonts w:hint="eastAsia"/>
          <w:color w:val="auto"/>
          <w:u w:val="single"/>
        </w:rPr>
      </w:pPr>
      <w:r>
        <w:rPr>
          <w:rFonts w:hint="eastAsia"/>
          <w:color w:val="auto"/>
          <w:szCs w:val="22"/>
          <w:u w:val="single"/>
        </w:rPr>
        <w:t>（</w:t>
      </w:r>
      <w:r>
        <w:rPr>
          <w:rFonts w:hint="eastAsia"/>
          <w:color w:val="auto"/>
          <w:szCs w:val="22"/>
          <w:u w:val="single"/>
          <w:lang w:val="en-US" w:eastAsia="zh-CN"/>
        </w:rPr>
        <w:t>6</w:t>
      </w:r>
      <w:r>
        <w:rPr>
          <w:rFonts w:hint="eastAsia"/>
          <w:color w:val="auto"/>
          <w:szCs w:val="22"/>
          <w:u w:val="single"/>
        </w:rPr>
        <w:t>）</w:t>
      </w:r>
      <w:r>
        <w:rPr>
          <w:rFonts w:hint="eastAsia"/>
          <w:color w:val="auto"/>
          <w:u w:val="single"/>
        </w:rPr>
        <w:t>商务部分；</w:t>
      </w:r>
    </w:p>
    <w:p w14:paraId="65AAD639">
      <w:pPr>
        <w:ind w:firstLine="480"/>
        <w:rPr>
          <w:rFonts w:hint="eastAsia"/>
          <w:color w:val="auto"/>
          <w:u w:val="single"/>
        </w:rPr>
      </w:pPr>
      <w:r>
        <w:rPr>
          <w:rFonts w:hint="eastAsia"/>
          <w:color w:val="auto"/>
          <w:szCs w:val="22"/>
          <w:u w:val="single"/>
        </w:rPr>
        <w:t>（</w:t>
      </w:r>
      <w:r>
        <w:rPr>
          <w:rFonts w:hint="eastAsia"/>
          <w:color w:val="auto"/>
          <w:szCs w:val="22"/>
          <w:u w:val="single"/>
          <w:lang w:val="en-US" w:eastAsia="zh-CN"/>
        </w:rPr>
        <w:t>7</w:t>
      </w:r>
      <w:r>
        <w:rPr>
          <w:rFonts w:hint="eastAsia"/>
          <w:color w:val="auto"/>
          <w:szCs w:val="22"/>
          <w:u w:val="single"/>
        </w:rPr>
        <w:t>）</w:t>
      </w:r>
      <w:r>
        <w:rPr>
          <w:rFonts w:hint="eastAsia"/>
          <w:color w:val="auto"/>
          <w:u w:val="single"/>
        </w:rPr>
        <w:t>技术部分；</w:t>
      </w:r>
    </w:p>
    <w:p w14:paraId="3AD0688E">
      <w:pPr>
        <w:ind w:firstLine="480"/>
        <w:rPr>
          <w:color w:val="auto"/>
          <w:u w:val="single"/>
        </w:rPr>
      </w:pPr>
      <w:r>
        <w:rPr>
          <w:rFonts w:hint="eastAsia"/>
          <w:color w:val="auto"/>
          <w:szCs w:val="22"/>
          <w:u w:val="single"/>
        </w:rPr>
        <w:t>（</w:t>
      </w:r>
      <w:r>
        <w:rPr>
          <w:rFonts w:hint="eastAsia"/>
          <w:color w:val="auto"/>
          <w:szCs w:val="22"/>
          <w:u w:val="single"/>
          <w:lang w:val="en-US" w:eastAsia="zh-CN"/>
        </w:rPr>
        <w:t>8</w:t>
      </w:r>
      <w:r>
        <w:rPr>
          <w:rFonts w:hint="eastAsia"/>
          <w:color w:val="auto"/>
          <w:szCs w:val="22"/>
          <w:u w:val="single"/>
        </w:rPr>
        <w:t>）</w:t>
      </w:r>
      <w:r>
        <w:rPr>
          <w:rFonts w:hint="eastAsia"/>
          <w:color w:val="auto"/>
          <w:u w:val="single"/>
        </w:rPr>
        <w:t>物资投入及配置；</w:t>
      </w:r>
    </w:p>
    <w:p w14:paraId="43DB655E">
      <w:pPr>
        <w:ind w:firstLine="480"/>
        <w:rPr>
          <w:color w:val="auto"/>
          <w:u w:val="single"/>
        </w:rPr>
      </w:pPr>
      <w:r>
        <w:rPr>
          <w:rFonts w:hint="eastAsia"/>
          <w:color w:val="auto"/>
          <w:szCs w:val="22"/>
          <w:u w:val="single"/>
        </w:rPr>
        <w:t>（</w:t>
      </w:r>
      <w:r>
        <w:rPr>
          <w:rFonts w:hint="eastAsia"/>
          <w:color w:val="auto"/>
          <w:szCs w:val="22"/>
          <w:u w:val="single"/>
          <w:lang w:val="en-US" w:eastAsia="zh-CN"/>
        </w:rPr>
        <w:t>9</w:t>
      </w:r>
      <w:r>
        <w:rPr>
          <w:rFonts w:hint="eastAsia"/>
          <w:color w:val="auto"/>
          <w:szCs w:val="22"/>
          <w:u w:val="single"/>
        </w:rPr>
        <w:t>）</w:t>
      </w:r>
      <w:r>
        <w:rPr>
          <w:rFonts w:hint="eastAsia"/>
          <w:color w:val="auto"/>
          <w:u w:val="single"/>
        </w:rPr>
        <w:t>服务质量保证与承诺；</w:t>
      </w:r>
    </w:p>
    <w:p w14:paraId="7CB24002">
      <w:pPr>
        <w:ind w:firstLine="480"/>
        <w:rPr>
          <w:color w:val="auto"/>
          <w:u w:val="single"/>
        </w:rPr>
      </w:pPr>
      <w:r>
        <w:rPr>
          <w:rFonts w:hint="eastAsia"/>
          <w:color w:val="auto"/>
          <w:szCs w:val="22"/>
          <w:u w:val="single"/>
        </w:rPr>
        <w:t>（1</w:t>
      </w:r>
      <w:r>
        <w:rPr>
          <w:rFonts w:hint="eastAsia"/>
          <w:color w:val="auto"/>
          <w:szCs w:val="22"/>
          <w:u w:val="single"/>
          <w:lang w:val="en-US" w:eastAsia="zh-CN"/>
        </w:rPr>
        <w:t>0</w:t>
      </w:r>
      <w:r>
        <w:rPr>
          <w:rFonts w:hint="eastAsia"/>
          <w:color w:val="auto"/>
          <w:szCs w:val="22"/>
          <w:u w:val="single"/>
        </w:rPr>
        <w:t>）</w:t>
      </w:r>
      <w:r>
        <w:rPr>
          <w:rFonts w:hint="eastAsia"/>
          <w:color w:val="auto"/>
          <w:u w:val="single"/>
        </w:rPr>
        <w:t>合同条款的响应一览表；</w:t>
      </w:r>
    </w:p>
    <w:p w14:paraId="5812CD09">
      <w:pPr>
        <w:ind w:firstLine="480"/>
        <w:rPr>
          <w:rFonts w:hint="eastAsia"/>
          <w:color w:val="auto"/>
          <w:u w:val="single"/>
        </w:rPr>
      </w:pPr>
      <w:r>
        <w:rPr>
          <w:rFonts w:hint="eastAsia"/>
          <w:color w:val="auto"/>
          <w:szCs w:val="22"/>
          <w:u w:val="single"/>
        </w:rPr>
        <w:t>（1</w:t>
      </w:r>
      <w:r>
        <w:rPr>
          <w:rFonts w:hint="eastAsia"/>
          <w:color w:val="auto"/>
          <w:szCs w:val="22"/>
          <w:u w:val="single"/>
          <w:lang w:val="en-US" w:eastAsia="zh-CN"/>
        </w:rPr>
        <w:t>1</w:t>
      </w:r>
      <w:r>
        <w:rPr>
          <w:rFonts w:hint="eastAsia"/>
          <w:color w:val="auto"/>
          <w:szCs w:val="22"/>
          <w:u w:val="single"/>
        </w:rPr>
        <w:t>）</w:t>
      </w:r>
      <w:r>
        <w:rPr>
          <w:rFonts w:hint="eastAsia"/>
          <w:color w:val="auto"/>
          <w:u w:val="single"/>
        </w:rPr>
        <w:t>资料档案归档管理承诺书；</w:t>
      </w:r>
    </w:p>
    <w:p w14:paraId="5CDDA079">
      <w:pPr>
        <w:pStyle w:val="10"/>
        <w:rPr>
          <w:rFonts w:hint="eastAsia" w:hAnsi="Times New Roman" w:eastAsia="宋体"/>
          <w:color w:val="auto"/>
          <w:sz w:val="24"/>
          <w:u w:val="single"/>
          <w:lang w:val="en-US" w:eastAsia="zh-CN"/>
        </w:rPr>
      </w:pPr>
      <w:r>
        <w:rPr>
          <w:rFonts w:hint="eastAsia" w:hAnsi="Times New Roman"/>
          <w:color w:val="auto"/>
          <w:sz w:val="24"/>
          <w:u w:val="single"/>
          <w:lang w:eastAsia="zh-CN"/>
        </w:rPr>
        <w:t>（</w:t>
      </w:r>
      <w:r>
        <w:rPr>
          <w:rFonts w:hint="eastAsia" w:hAnsi="Times New Roman"/>
          <w:color w:val="auto"/>
          <w:sz w:val="24"/>
          <w:u w:val="single"/>
          <w:lang w:val="en-US" w:eastAsia="zh-CN"/>
        </w:rPr>
        <w:t>12）</w:t>
      </w:r>
      <w:r>
        <w:rPr>
          <w:rFonts w:hint="eastAsia" w:hAnsi="Times New Roman"/>
          <w:color w:val="auto"/>
          <w:sz w:val="24"/>
          <w:u w:val="single"/>
        </w:rPr>
        <w:t>投标人须提供近三年无围标串标行政处罚的书面承诺</w:t>
      </w:r>
      <w:r>
        <w:rPr>
          <w:rFonts w:hint="eastAsia" w:hAnsi="Times New Roman"/>
          <w:color w:val="auto"/>
          <w:sz w:val="24"/>
          <w:u w:val="single"/>
          <w:lang w:eastAsia="zh-CN"/>
        </w:rPr>
        <w:t>；</w:t>
      </w:r>
    </w:p>
    <w:p w14:paraId="4EE45C3D">
      <w:pPr>
        <w:ind w:firstLine="480"/>
        <w:rPr>
          <w:color w:val="auto"/>
          <w:szCs w:val="22"/>
          <w:u w:val="single"/>
        </w:rPr>
      </w:pPr>
      <w:r>
        <w:rPr>
          <w:rFonts w:hint="eastAsia"/>
          <w:color w:val="auto"/>
          <w:szCs w:val="22"/>
          <w:u w:val="single"/>
        </w:rPr>
        <w:t>（1</w:t>
      </w:r>
      <w:r>
        <w:rPr>
          <w:rFonts w:hint="eastAsia"/>
          <w:color w:val="auto"/>
          <w:szCs w:val="22"/>
          <w:u w:val="single"/>
          <w:lang w:val="en-US" w:eastAsia="zh-CN"/>
        </w:rPr>
        <w:t>3</w:t>
      </w:r>
      <w:r>
        <w:rPr>
          <w:rFonts w:hint="eastAsia"/>
          <w:color w:val="auto"/>
          <w:szCs w:val="22"/>
          <w:u w:val="single"/>
        </w:rPr>
        <w:t>）</w:t>
      </w:r>
      <w:r>
        <w:rPr>
          <w:color w:val="auto"/>
          <w:szCs w:val="22"/>
          <w:u w:val="single"/>
        </w:rPr>
        <w:t>投标人认为有必要的其他资料</w:t>
      </w:r>
      <w:r>
        <w:rPr>
          <w:rFonts w:hint="eastAsia"/>
          <w:color w:val="auto"/>
          <w:szCs w:val="22"/>
          <w:u w:val="single"/>
        </w:rPr>
        <w:t>。</w:t>
      </w:r>
    </w:p>
    <w:p w14:paraId="33C80CF8">
      <w:pPr>
        <w:ind w:firstLine="480"/>
        <w:rPr>
          <w:color w:val="auto"/>
        </w:rPr>
      </w:pPr>
      <w:r>
        <w:rPr>
          <w:color w:val="auto"/>
        </w:rPr>
        <w:t>投标人在评标过程中作出的符合法律法规和招标文件规定</w:t>
      </w:r>
      <w:bookmarkStart w:id="133" w:name="page26"/>
      <w:bookmarkEnd w:id="133"/>
      <w:r>
        <w:rPr>
          <w:color w:val="auto"/>
        </w:rPr>
        <w:t>的澄清确认，构成投标文件的组成部分。</w:t>
      </w:r>
    </w:p>
    <w:p w14:paraId="7512BAA2">
      <w:pPr>
        <w:ind w:left="100" w:right="-20" w:firstLine="480"/>
        <w:jc w:val="left"/>
        <w:rPr>
          <w:strike/>
          <w:color w:val="auto"/>
        </w:rPr>
      </w:pPr>
      <w:r>
        <w:rPr>
          <w:strike/>
          <w:color w:val="auto"/>
        </w:rPr>
        <w:t>3.1.2 投标人须知前附表规定不接受联合体投标的，或投标人没有组成联合体的，投标文件不包括本章第 3.1.1</w:t>
      </w:r>
      <w:r>
        <w:rPr>
          <w:rFonts w:hint="eastAsia"/>
          <w:strike/>
          <w:color w:val="auto"/>
        </w:rPr>
        <w:t>中</w:t>
      </w:r>
      <w:r>
        <w:rPr>
          <w:strike/>
          <w:color w:val="auto"/>
        </w:rPr>
        <w:t>所指的联合体协议书。</w:t>
      </w:r>
    </w:p>
    <w:p w14:paraId="743D9155">
      <w:pPr>
        <w:ind w:firstLine="480"/>
        <w:rPr>
          <w:color w:val="auto"/>
        </w:rPr>
      </w:pPr>
      <w:r>
        <w:rPr>
          <w:rFonts w:hint="eastAsia" w:hAnsi="宋体" w:cs="宋体"/>
          <w:color w:val="auto"/>
        </w:rPr>
        <w:t>3.1.3投标人须知前附表未要求提交投标保证金的，投标文件不包括本章第3.1.1（5）所指的投标保证金。</w:t>
      </w:r>
    </w:p>
    <w:p w14:paraId="5A0E247E">
      <w:pPr>
        <w:pStyle w:val="5"/>
        <w:ind w:firstLine="482"/>
        <w:rPr>
          <w:color w:val="auto"/>
        </w:rPr>
      </w:pPr>
      <w:bookmarkStart w:id="134" w:name="_Toc35513448"/>
      <w:bookmarkStart w:id="135" w:name="_Toc4897"/>
      <w:bookmarkStart w:id="136" w:name="_Toc29046"/>
      <w:bookmarkStart w:id="137" w:name="_Toc32322"/>
      <w:r>
        <w:rPr>
          <w:color w:val="auto"/>
        </w:rPr>
        <w:t>3.2 投标报价</w:t>
      </w:r>
      <w:bookmarkEnd w:id="134"/>
      <w:bookmarkEnd w:id="135"/>
      <w:bookmarkEnd w:id="136"/>
      <w:bookmarkEnd w:id="137"/>
    </w:p>
    <w:p w14:paraId="3EA99C06">
      <w:pPr>
        <w:ind w:firstLine="480"/>
        <w:rPr>
          <w:color w:val="auto"/>
        </w:rPr>
      </w:pPr>
      <w:r>
        <w:rPr>
          <w:color w:val="auto"/>
        </w:rPr>
        <w:t>3.2.1 投标报价应包括国家规定的增值税税金，除投标人须知前</w:t>
      </w:r>
      <w:r>
        <w:rPr>
          <w:rFonts w:hint="eastAsia"/>
          <w:color w:val="auto"/>
        </w:rPr>
        <w:t>附</w:t>
      </w:r>
      <w:r>
        <w:rPr>
          <w:color w:val="auto"/>
        </w:rPr>
        <w:t>表另有规定外，增值税税金按</w:t>
      </w:r>
      <w:r>
        <w:rPr>
          <w:rFonts w:hint="eastAsia" w:hAnsi="宋体" w:cs="宋体"/>
          <w:color w:val="auto"/>
          <w:szCs w:val="24"/>
        </w:rPr>
        <w:t>国家税务机关的规定执行</w:t>
      </w:r>
      <w:r>
        <w:rPr>
          <w:color w:val="auto"/>
        </w:rPr>
        <w:t>。</w:t>
      </w:r>
      <w:r>
        <w:rPr>
          <w:color w:val="auto"/>
          <w:u w:val="single"/>
        </w:rPr>
        <w:t>投标人应按第六章</w:t>
      </w:r>
      <w:r>
        <w:rPr>
          <w:rFonts w:hint="eastAsia"/>
          <w:color w:val="auto"/>
          <w:u w:val="single"/>
        </w:rPr>
        <w:t>“</w:t>
      </w:r>
      <w:r>
        <w:rPr>
          <w:color w:val="auto"/>
          <w:u w:val="single"/>
        </w:rPr>
        <w:t>投标文件格式</w:t>
      </w:r>
      <w:r>
        <w:rPr>
          <w:rFonts w:hint="eastAsia"/>
          <w:color w:val="auto"/>
          <w:u w:val="single"/>
        </w:rPr>
        <w:t>”</w:t>
      </w:r>
      <w:r>
        <w:rPr>
          <w:color w:val="auto"/>
          <w:u w:val="single"/>
        </w:rPr>
        <w:t>的要求</w:t>
      </w:r>
      <w:r>
        <w:rPr>
          <w:rFonts w:hint="eastAsia"/>
          <w:color w:val="auto"/>
          <w:u w:val="single"/>
        </w:rPr>
        <w:t>进行报价。</w:t>
      </w:r>
    </w:p>
    <w:p w14:paraId="00F149F2">
      <w:pPr>
        <w:ind w:firstLine="480"/>
        <w:rPr>
          <w:color w:val="auto"/>
        </w:rPr>
      </w:pPr>
      <w:r>
        <w:rPr>
          <w:color w:val="auto"/>
        </w:rPr>
        <w:t>3.2.2 投标人应充分了解该项目的总体情况以及影响投标报价的其他要素。</w:t>
      </w:r>
    </w:p>
    <w:p w14:paraId="4F2C9B65">
      <w:pPr>
        <w:ind w:firstLine="480"/>
        <w:rPr>
          <w:rFonts w:hint="eastAsia"/>
          <w:color w:val="auto"/>
        </w:rPr>
      </w:pPr>
      <w:r>
        <w:rPr>
          <w:color w:val="auto"/>
        </w:rPr>
        <w:t>3.2.3 本项目的报价方式见投标人须知前附表。</w:t>
      </w:r>
      <w:r>
        <w:rPr>
          <w:strike/>
          <w:color w:val="auto"/>
        </w:rPr>
        <w:t>投标人在投标截止时间前修改投标函</w:t>
      </w:r>
      <w:r>
        <w:rPr>
          <w:rFonts w:hint="eastAsia"/>
          <w:strike/>
          <w:color w:val="auto"/>
        </w:rPr>
        <w:t>及投标报价书</w:t>
      </w:r>
      <w:r>
        <w:rPr>
          <w:strike/>
          <w:color w:val="auto"/>
        </w:rPr>
        <w:t>中的投标报价总额</w:t>
      </w:r>
      <w:r>
        <w:rPr>
          <w:rFonts w:hint="eastAsia"/>
          <w:strike/>
          <w:color w:val="auto"/>
        </w:rPr>
        <w:t>，同时修改投标文件中的相应报价</w:t>
      </w:r>
      <w:r>
        <w:rPr>
          <w:strike/>
          <w:color w:val="auto"/>
        </w:rPr>
        <w:t>。此修改须符合本章第4.3款的有关要求。</w:t>
      </w:r>
    </w:p>
    <w:p w14:paraId="1AAB49C7">
      <w:pPr>
        <w:ind w:firstLine="480"/>
        <w:rPr>
          <w:color w:val="auto"/>
        </w:rPr>
      </w:pPr>
      <w:r>
        <w:rPr>
          <w:color w:val="auto"/>
        </w:rPr>
        <w:t>3.2.4 招标人设有最高投标限价的，投标人的投标报价不得超过最高投标限价，最高投标限价在投标人须知前附表中载明。</w:t>
      </w:r>
    </w:p>
    <w:p w14:paraId="37AB8795">
      <w:pPr>
        <w:ind w:firstLine="480"/>
        <w:rPr>
          <w:color w:val="auto"/>
        </w:rPr>
      </w:pPr>
      <w:r>
        <w:rPr>
          <w:color w:val="auto"/>
        </w:rPr>
        <w:t>3.2.5 投标报价的其他要求见投标人须知前附表。</w:t>
      </w:r>
    </w:p>
    <w:p w14:paraId="4A8D3CF1">
      <w:pPr>
        <w:pStyle w:val="5"/>
        <w:ind w:firstLine="482"/>
        <w:rPr>
          <w:color w:val="auto"/>
        </w:rPr>
      </w:pPr>
      <w:bookmarkStart w:id="138" w:name="_Toc29230"/>
      <w:bookmarkStart w:id="139" w:name="_Toc6641"/>
      <w:bookmarkStart w:id="140" w:name="_Toc2166"/>
      <w:bookmarkStart w:id="141" w:name="_Toc35513449"/>
      <w:r>
        <w:rPr>
          <w:color w:val="auto"/>
        </w:rPr>
        <w:t>3.3 投标有效期</w:t>
      </w:r>
      <w:bookmarkEnd w:id="138"/>
      <w:bookmarkEnd w:id="139"/>
      <w:bookmarkEnd w:id="140"/>
      <w:bookmarkEnd w:id="141"/>
    </w:p>
    <w:p w14:paraId="1DC5BA72">
      <w:pPr>
        <w:ind w:firstLine="480"/>
        <w:rPr>
          <w:color w:val="auto"/>
        </w:rPr>
      </w:pPr>
      <w:r>
        <w:rPr>
          <w:color w:val="auto"/>
        </w:rPr>
        <w:t>3.3.1 除投标人须知前附表另有规定外，投标有效期为90天。</w:t>
      </w:r>
    </w:p>
    <w:p w14:paraId="0736A44D">
      <w:pPr>
        <w:ind w:firstLine="480"/>
        <w:rPr>
          <w:color w:val="auto"/>
        </w:rPr>
      </w:pPr>
      <w:r>
        <w:rPr>
          <w:color w:val="auto"/>
        </w:rPr>
        <w:t>3.3.2 在投标有效期内，投标人撤销投标文件的，应承担招标文件和法律规定的责任。</w:t>
      </w:r>
    </w:p>
    <w:p w14:paraId="7AC2E831">
      <w:pPr>
        <w:ind w:firstLine="480"/>
        <w:rPr>
          <w:rFonts w:hint="eastAsia"/>
          <w:color w:val="auto"/>
        </w:rPr>
      </w:pPr>
      <w:r>
        <w:rPr>
          <w:rFonts w:hint="eastAsia"/>
          <w:color w:val="auto"/>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3753C0C">
      <w:pPr>
        <w:pStyle w:val="5"/>
        <w:ind w:firstLine="482"/>
        <w:rPr>
          <w:rFonts w:hint="eastAsia"/>
          <w:strike/>
          <w:color w:val="auto"/>
        </w:rPr>
      </w:pPr>
      <w:bookmarkStart w:id="142" w:name="_Toc30814"/>
      <w:bookmarkStart w:id="143" w:name="_Toc603"/>
      <w:bookmarkStart w:id="144" w:name="_Toc21501"/>
      <w:r>
        <w:rPr>
          <w:rFonts w:hint="eastAsia"/>
          <w:strike/>
          <w:color w:val="auto"/>
        </w:rPr>
        <w:t>3.4 投标保证金</w:t>
      </w:r>
      <w:bookmarkEnd w:id="142"/>
      <w:bookmarkEnd w:id="143"/>
      <w:bookmarkEnd w:id="144"/>
    </w:p>
    <w:p w14:paraId="7FD42EFB">
      <w:pPr>
        <w:pStyle w:val="19"/>
        <w:widowControl w:val="0"/>
        <w:ind w:firstLine="480"/>
        <w:rPr>
          <w:rFonts w:hint="eastAsia" w:hAnsi="宋体" w:eastAsia="宋体"/>
          <w:color w:val="auto"/>
          <w:sz w:val="24"/>
          <w:szCs w:val="24"/>
        </w:rPr>
      </w:pPr>
      <w:r>
        <w:rPr>
          <w:rFonts w:hint="eastAsia" w:hAnsi="宋体" w:eastAsia="宋体"/>
          <w:strike/>
          <w:color w:val="auto"/>
          <w:sz w:val="24"/>
          <w:szCs w:val="24"/>
        </w:rPr>
        <w:t>3.4.1 投标人在递交投标文件的同时，应按投标人须知前附表规定的金额、形式递交投标保证金，并作为其投标文件的组成部分。</w:t>
      </w:r>
      <w:r>
        <w:rPr>
          <w:rFonts w:hint="eastAsia" w:hAnsi="宋体" w:eastAsia="宋体" w:cs="宋体"/>
          <w:strike/>
          <w:color w:val="auto"/>
          <w:sz w:val="24"/>
          <w:szCs w:val="24"/>
        </w:rPr>
        <w:t>联合体投标的，其投标保证金可以由牵头人递交，并应符合投标人须知前附表的规定</w:t>
      </w:r>
      <w:r>
        <w:rPr>
          <w:rFonts w:hint="eastAsia" w:hAnsi="宋体" w:eastAsia="宋体"/>
          <w:color w:val="auto"/>
          <w:sz w:val="24"/>
          <w:szCs w:val="24"/>
        </w:rPr>
        <w:t>。</w:t>
      </w:r>
    </w:p>
    <w:p w14:paraId="69920816">
      <w:pPr>
        <w:pStyle w:val="19"/>
        <w:ind w:firstLine="480"/>
        <w:rPr>
          <w:rFonts w:hint="eastAsia" w:hAnsi="宋体" w:eastAsia="宋体"/>
          <w:strike/>
          <w:color w:val="auto"/>
          <w:sz w:val="24"/>
          <w:szCs w:val="24"/>
        </w:rPr>
      </w:pPr>
      <w:r>
        <w:rPr>
          <w:rFonts w:hint="eastAsia" w:hAnsi="宋体" w:eastAsia="宋体"/>
          <w:strike/>
          <w:color w:val="auto"/>
          <w:sz w:val="24"/>
          <w:szCs w:val="24"/>
        </w:rPr>
        <w:t>3.4.2 投标人不按本章第3.4.1项要求提交投标保证金的，评标委员会将否决其投标。</w:t>
      </w:r>
    </w:p>
    <w:p w14:paraId="04C49F1D">
      <w:pPr>
        <w:pStyle w:val="19"/>
        <w:ind w:firstLine="480"/>
        <w:rPr>
          <w:rFonts w:hint="eastAsia" w:hAnsi="宋体" w:eastAsia="宋体"/>
          <w:strike/>
          <w:color w:val="auto"/>
          <w:sz w:val="24"/>
          <w:szCs w:val="24"/>
        </w:rPr>
      </w:pPr>
      <w:r>
        <w:rPr>
          <w:rFonts w:hint="eastAsia" w:hAnsi="宋体" w:eastAsia="宋体"/>
          <w:strike/>
          <w:color w:val="auto"/>
          <w:sz w:val="24"/>
          <w:szCs w:val="24"/>
        </w:rPr>
        <w:t>3.4.3招标人最迟将在与中标人签订合同后 5 日内，向未中标的投标人和中标人退还投标保证金。投标保证金以现金或者支票形式递交的，还应退还银行同期存款利息。</w:t>
      </w:r>
    </w:p>
    <w:p w14:paraId="3CC9280E">
      <w:pPr>
        <w:pStyle w:val="19"/>
        <w:ind w:firstLine="480"/>
        <w:rPr>
          <w:rFonts w:hint="eastAsia" w:hAnsi="宋体" w:eastAsia="宋体"/>
          <w:strike/>
          <w:color w:val="auto"/>
          <w:sz w:val="24"/>
          <w:szCs w:val="24"/>
        </w:rPr>
      </w:pPr>
      <w:r>
        <w:rPr>
          <w:rFonts w:hint="eastAsia" w:hAnsi="宋体" w:eastAsia="宋体"/>
          <w:strike/>
          <w:color w:val="auto"/>
          <w:sz w:val="24"/>
          <w:szCs w:val="24"/>
        </w:rPr>
        <w:t>3.4.4 如有下列情况之一的，将不予退还投标保证金：</w:t>
      </w:r>
    </w:p>
    <w:p w14:paraId="0BEC94D3">
      <w:pPr>
        <w:pStyle w:val="19"/>
        <w:ind w:firstLine="480"/>
        <w:rPr>
          <w:rFonts w:hint="eastAsia" w:hAnsi="宋体" w:eastAsia="宋体"/>
          <w:strike/>
          <w:color w:val="auto"/>
          <w:sz w:val="24"/>
          <w:szCs w:val="24"/>
        </w:rPr>
      </w:pPr>
      <w:r>
        <w:rPr>
          <w:rFonts w:hint="eastAsia" w:hAnsi="宋体" w:eastAsia="宋体"/>
          <w:strike/>
          <w:color w:val="auto"/>
          <w:sz w:val="24"/>
          <w:szCs w:val="24"/>
        </w:rPr>
        <w:t>（1）投标人在投标有效期内撤销投标文件；</w:t>
      </w:r>
    </w:p>
    <w:p w14:paraId="354BD488">
      <w:pPr>
        <w:pStyle w:val="19"/>
        <w:ind w:firstLine="480"/>
        <w:rPr>
          <w:rFonts w:hint="eastAsia" w:hAnsi="宋体" w:eastAsia="宋体"/>
          <w:strike/>
          <w:color w:val="auto"/>
          <w:sz w:val="24"/>
          <w:szCs w:val="24"/>
        </w:rPr>
      </w:pPr>
      <w:r>
        <w:rPr>
          <w:rFonts w:hint="eastAsia" w:hAnsi="宋体" w:eastAsia="宋体"/>
          <w:strike/>
          <w:color w:val="auto"/>
          <w:sz w:val="24"/>
          <w:szCs w:val="24"/>
        </w:rPr>
        <w:t>（2）中标人在收到中标通知书后，无正当理由不与招标人订立合同，在签订合同时向招标人提出附加条件，或者不按照招标文件要求提交履约保证金；</w:t>
      </w:r>
    </w:p>
    <w:p w14:paraId="1B4092D8">
      <w:pPr>
        <w:pStyle w:val="19"/>
        <w:ind w:firstLine="480"/>
        <w:rPr>
          <w:rFonts w:hint="eastAsia" w:hAnsi="宋体" w:eastAsia="宋体"/>
          <w:strike/>
          <w:color w:val="auto"/>
          <w:sz w:val="24"/>
          <w:szCs w:val="24"/>
        </w:rPr>
      </w:pPr>
      <w:r>
        <w:rPr>
          <w:rFonts w:hint="eastAsia" w:hAnsi="宋体" w:eastAsia="宋体"/>
          <w:strike/>
          <w:color w:val="auto"/>
          <w:sz w:val="24"/>
          <w:szCs w:val="24"/>
        </w:rPr>
        <w:t>（3）发生投标人须知前附表规定的其他可以不予退还投标保证金的情形。</w:t>
      </w:r>
    </w:p>
    <w:p w14:paraId="28617482">
      <w:pPr>
        <w:pStyle w:val="5"/>
        <w:keepNext w:val="0"/>
        <w:keepLines w:val="0"/>
        <w:ind w:firstLine="482"/>
        <w:jc w:val="both"/>
        <w:rPr>
          <w:rFonts w:hint="eastAsia" w:hAnsi="宋体" w:cs="宋体"/>
          <w:strike/>
          <w:color w:val="auto"/>
        </w:rPr>
      </w:pPr>
      <w:bookmarkStart w:id="145" w:name="_Toc2436"/>
      <w:bookmarkStart w:id="146" w:name="_Toc11076"/>
      <w:bookmarkStart w:id="147" w:name="_Toc939"/>
      <w:bookmarkStart w:id="148" w:name="_Toc26810"/>
      <w:r>
        <w:rPr>
          <w:rFonts w:hint="eastAsia" w:hAnsi="宋体" w:cs="宋体"/>
          <w:strike/>
          <w:color w:val="auto"/>
        </w:rPr>
        <w:t>3.5资格审查资料（适用于已进行资格预审的）</w:t>
      </w:r>
      <w:bookmarkEnd w:id="145"/>
      <w:bookmarkEnd w:id="146"/>
      <w:bookmarkEnd w:id="147"/>
      <w:bookmarkEnd w:id="148"/>
    </w:p>
    <w:p w14:paraId="45DFD89C">
      <w:pPr>
        <w:widowControl w:val="0"/>
        <w:ind w:firstLine="480"/>
        <w:rPr>
          <w:rFonts w:hint="eastAsia" w:hAnsi="宋体"/>
          <w:color w:val="auto"/>
          <w:szCs w:val="24"/>
        </w:rPr>
      </w:pPr>
      <w:r>
        <w:rPr>
          <w:rFonts w:hint="eastAsia" w:hAnsi="宋体" w:cs="宋体"/>
          <w:strike/>
          <w:color w:val="auto"/>
          <w:szCs w:val="22"/>
        </w:rPr>
        <w:t>投标人在递交投标文件前，发生可能影响其投标资格的新情况的，应更新或补充其在申请资格预审时提供的资料，以证实其各项资格条件仍能继续满足资格预审文件的要求，且没有实质性降低。</w:t>
      </w:r>
    </w:p>
    <w:p w14:paraId="6C01BBD5">
      <w:pPr>
        <w:pStyle w:val="5"/>
        <w:ind w:firstLine="482"/>
        <w:rPr>
          <w:color w:val="auto"/>
        </w:rPr>
      </w:pPr>
      <w:bookmarkStart w:id="149" w:name="_Toc35513450"/>
      <w:bookmarkStart w:id="150" w:name="_Toc4235"/>
      <w:bookmarkStart w:id="151" w:name="_Toc18755"/>
      <w:bookmarkStart w:id="152" w:name="_Toc31502"/>
      <w:r>
        <w:rPr>
          <w:color w:val="auto"/>
        </w:rPr>
        <w:t>3.5 资格审查资料（适用于未进行资格预审的）</w:t>
      </w:r>
      <w:bookmarkEnd w:id="149"/>
      <w:bookmarkEnd w:id="150"/>
      <w:bookmarkEnd w:id="151"/>
      <w:bookmarkEnd w:id="152"/>
    </w:p>
    <w:p w14:paraId="4B60C502">
      <w:pPr>
        <w:ind w:firstLine="480"/>
        <w:rPr>
          <w:color w:val="auto"/>
        </w:rPr>
      </w:pPr>
      <w:r>
        <w:rPr>
          <w:color w:val="auto"/>
        </w:rPr>
        <w:t>除投标人须知前附表另有规定外，投标人应按下列规定提供资格审查资料，以证明其满足本章第1.4款规定的资质、</w:t>
      </w:r>
      <w:r>
        <w:rPr>
          <w:strike/>
          <w:color w:val="auto"/>
        </w:rPr>
        <w:t>财务、</w:t>
      </w:r>
      <w:r>
        <w:rPr>
          <w:color w:val="auto"/>
        </w:rPr>
        <w:t>业绩</w:t>
      </w:r>
      <w:r>
        <w:rPr>
          <w:strike/>
          <w:color w:val="auto"/>
        </w:rPr>
        <w:t>、信誉</w:t>
      </w:r>
      <w:r>
        <w:rPr>
          <w:color w:val="auto"/>
        </w:rPr>
        <w:t>等要求。</w:t>
      </w:r>
    </w:p>
    <w:p w14:paraId="03F71123">
      <w:pPr>
        <w:ind w:firstLine="480"/>
        <w:rPr>
          <w:rFonts w:hint="eastAsia"/>
          <w:color w:val="auto"/>
          <w:u w:val="single"/>
        </w:rPr>
      </w:pPr>
      <w:r>
        <w:rPr>
          <w:color w:val="auto"/>
        </w:rPr>
        <w:t xml:space="preserve">3.5.1 </w:t>
      </w:r>
      <w:r>
        <w:rPr>
          <w:rFonts w:hint="eastAsia"/>
          <w:color w:val="auto"/>
          <w:u w:val="single"/>
        </w:rPr>
        <w:t>“</w:t>
      </w:r>
      <w:r>
        <w:rPr>
          <w:color w:val="auto"/>
          <w:u w:val="single"/>
        </w:rPr>
        <w:t>投标人基本情况表</w:t>
      </w:r>
      <w:r>
        <w:rPr>
          <w:rFonts w:hint="eastAsia"/>
          <w:color w:val="auto"/>
          <w:u w:val="single"/>
        </w:rPr>
        <w:t>”</w:t>
      </w:r>
      <w:r>
        <w:rPr>
          <w:color w:val="auto"/>
          <w:u w:val="single"/>
        </w:rPr>
        <w:t>应附投标人</w:t>
      </w:r>
      <w:r>
        <w:rPr>
          <w:rFonts w:hint="eastAsia"/>
          <w:color w:val="auto"/>
          <w:u w:val="single"/>
        </w:rPr>
        <w:t>工商行政管理部门核发的法人营业执照或各级登记管理机关颁发的事业单位法人证书</w:t>
      </w:r>
      <w:r>
        <w:rPr>
          <w:color w:val="auto"/>
          <w:u w:val="single"/>
        </w:rPr>
        <w:t>等材料。</w:t>
      </w:r>
      <w:r>
        <w:rPr>
          <w:rFonts w:hint="eastAsia"/>
          <w:color w:val="auto"/>
          <w:u w:val="single"/>
        </w:rPr>
        <w:t>香港企业参加投标的，须提供在广东省住房和城乡建设主管部门备案且备案的业务范围满足本项目招标文件要求的证明材料。</w:t>
      </w:r>
    </w:p>
    <w:p w14:paraId="76F57746">
      <w:pPr>
        <w:widowControl w:val="0"/>
        <w:ind w:firstLine="480"/>
        <w:rPr>
          <w:rFonts w:hint="eastAsia" w:hAnsi="宋体" w:cs="宋体"/>
          <w:color w:val="auto"/>
        </w:rPr>
      </w:pPr>
      <w:r>
        <w:rPr>
          <w:rFonts w:hint="eastAsia" w:hAnsi="宋体" w:cs="宋体"/>
          <w:strike/>
          <w:color w:val="auto"/>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hint="eastAsia" w:hAnsi="宋体" w:cs="宋体"/>
          <w:color w:val="auto"/>
        </w:rPr>
        <w:t>。</w:t>
      </w:r>
    </w:p>
    <w:p w14:paraId="3CE83D59">
      <w:pPr>
        <w:ind w:firstLine="480"/>
        <w:rPr>
          <w:color w:val="auto"/>
          <w:szCs w:val="22"/>
          <w:u w:val="single"/>
        </w:rPr>
      </w:pPr>
      <w:r>
        <w:rPr>
          <w:rFonts w:hint="eastAsia" w:hAnsi="宋体" w:cs="宋体"/>
          <w:strike/>
          <w:color w:val="auto"/>
        </w:rPr>
        <w:t>3.5.4“正在承接的项目情况表”应附中标通知书和（或）合同协议书。每张表格只填写一个项目，并标明序号。</w:t>
      </w:r>
    </w:p>
    <w:p w14:paraId="70A191AF">
      <w:pPr>
        <w:ind w:firstLine="480"/>
        <w:rPr>
          <w:color w:val="auto"/>
          <w:szCs w:val="22"/>
          <w:u w:val="single"/>
        </w:rPr>
      </w:pPr>
      <w:r>
        <w:rPr>
          <w:color w:val="auto"/>
          <w:szCs w:val="22"/>
          <w:u w:val="single"/>
        </w:rPr>
        <w:t>3.5.</w:t>
      </w:r>
      <w:r>
        <w:rPr>
          <w:rFonts w:hint="eastAsia"/>
          <w:color w:val="auto"/>
          <w:szCs w:val="22"/>
          <w:u w:val="single"/>
        </w:rPr>
        <w:t>3</w:t>
      </w:r>
      <w:r>
        <w:rPr>
          <w:color w:val="auto"/>
          <w:szCs w:val="22"/>
          <w:u w:val="single"/>
        </w:rPr>
        <w:t>拟派项目负责人资料，填报</w:t>
      </w:r>
      <w:r>
        <w:rPr>
          <w:rFonts w:hint="eastAsia"/>
          <w:color w:val="auto"/>
          <w:szCs w:val="22"/>
          <w:u w:val="single"/>
        </w:rPr>
        <w:t>“</w:t>
      </w:r>
      <w:r>
        <w:rPr>
          <w:color w:val="auto"/>
          <w:szCs w:val="22"/>
          <w:u w:val="single"/>
        </w:rPr>
        <w:t>项目负责人简历</w:t>
      </w:r>
      <w:r>
        <w:rPr>
          <w:rFonts w:hint="eastAsia"/>
          <w:color w:val="auto"/>
          <w:szCs w:val="22"/>
          <w:u w:val="single"/>
        </w:rPr>
        <w:t>”</w:t>
      </w:r>
      <w:r>
        <w:rPr>
          <w:color w:val="auto"/>
          <w:szCs w:val="22"/>
          <w:u w:val="single"/>
        </w:rPr>
        <w:t>（格式见招标文件第六章）并附身份证、职称证（如有）、有效的注册造价工程师或注册一级造价工程师注册证，且在本单位注册；若拟委派的项目负责人为香港专业人士，则需已在广东省住房和城乡建设主管部门备案且备案的业务范围相当于注册造价工程师或注册一级造价工程师的香港专业人士。</w:t>
      </w:r>
    </w:p>
    <w:p w14:paraId="540724AF">
      <w:pPr>
        <w:ind w:firstLine="480"/>
        <w:rPr>
          <w:rFonts w:hint="eastAsia" w:hAnsi="宋体" w:cs="宋体"/>
          <w:color w:val="auto"/>
          <w:szCs w:val="24"/>
          <w:u w:val="single"/>
        </w:rPr>
      </w:pPr>
      <w:r>
        <w:rPr>
          <w:rFonts w:hint="eastAsia" w:hAnsi="宋体" w:cs="宋体"/>
          <w:color w:val="auto"/>
          <w:szCs w:val="24"/>
        </w:rPr>
        <w:t>3.5.4</w:t>
      </w:r>
      <w:r>
        <w:rPr>
          <w:rFonts w:hint="eastAsia" w:hAnsi="宋体" w:cs="宋体"/>
          <w:color w:val="auto"/>
          <w:szCs w:val="24"/>
          <w:u w:val="single"/>
        </w:rPr>
        <w:t>投标人已按规定格式提交签名盖章的《投标人声明》</w:t>
      </w:r>
      <w:r>
        <w:rPr>
          <w:rFonts w:hint="eastAsia"/>
          <w:color w:val="auto"/>
          <w:u w:val="single"/>
        </w:rPr>
        <w:t>（格式见招标公告附件一。）</w:t>
      </w:r>
    </w:p>
    <w:p w14:paraId="34A585E0">
      <w:pPr>
        <w:ind w:firstLine="480"/>
        <w:rPr>
          <w:color w:val="auto"/>
          <w:u w:val="single"/>
        </w:rPr>
      </w:pPr>
      <w:r>
        <w:rPr>
          <w:color w:val="auto"/>
          <w:u w:val="single"/>
        </w:rPr>
        <w:t>3.5.</w:t>
      </w:r>
      <w:r>
        <w:rPr>
          <w:rFonts w:hint="eastAsia"/>
          <w:color w:val="auto"/>
          <w:u w:val="single"/>
        </w:rPr>
        <w:t>5资格审查前，投标人须在广州交易集团有限公司（广州公共资源交易中心）办理企业信息登记。</w:t>
      </w:r>
    </w:p>
    <w:p w14:paraId="74E33A39">
      <w:pPr>
        <w:ind w:firstLine="480"/>
        <w:rPr>
          <w:rFonts w:hint="eastAsia"/>
          <w:color w:val="auto"/>
          <w:szCs w:val="22"/>
          <w:u w:val="single"/>
        </w:rPr>
      </w:pPr>
      <w:r>
        <w:rPr>
          <w:rFonts w:hint="eastAsia"/>
          <w:color w:val="auto"/>
          <w:szCs w:val="22"/>
          <w:u w:val="single"/>
        </w:rPr>
        <w:t>3.5.</w:t>
      </w:r>
      <w:r>
        <w:rPr>
          <w:rFonts w:hint="eastAsia"/>
          <w:color w:val="auto"/>
          <w:szCs w:val="22"/>
          <w:u w:val="single"/>
          <w:lang w:val="en-US" w:eastAsia="zh-CN"/>
        </w:rPr>
        <w:t>6</w:t>
      </w:r>
      <w:r>
        <w:rPr>
          <w:rFonts w:hint="eastAsia"/>
          <w:color w:val="auto"/>
          <w:szCs w:val="22"/>
          <w:u w:val="single"/>
        </w:rPr>
        <w:t>其他资料。</w:t>
      </w:r>
    </w:p>
    <w:p w14:paraId="557F66FE">
      <w:pPr>
        <w:pStyle w:val="5"/>
        <w:keepNext w:val="0"/>
        <w:keepLines w:val="0"/>
        <w:ind w:firstLine="482"/>
        <w:rPr>
          <w:color w:val="auto"/>
        </w:rPr>
      </w:pPr>
      <w:bookmarkStart w:id="153" w:name="_Toc5450"/>
      <w:bookmarkStart w:id="154" w:name="_Toc35513451"/>
      <w:bookmarkStart w:id="155" w:name="_Toc28748"/>
      <w:bookmarkStart w:id="156" w:name="_Toc29900"/>
      <w:r>
        <w:rPr>
          <w:color w:val="auto"/>
        </w:rPr>
        <w:t>3.6 备选投标方案</w:t>
      </w:r>
      <w:bookmarkEnd w:id="153"/>
      <w:bookmarkEnd w:id="154"/>
      <w:bookmarkEnd w:id="155"/>
      <w:bookmarkEnd w:id="156"/>
    </w:p>
    <w:p w14:paraId="438554C7">
      <w:pPr>
        <w:widowControl w:val="0"/>
        <w:ind w:firstLine="480"/>
        <w:rPr>
          <w:color w:val="auto"/>
        </w:rPr>
      </w:pPr>
      <w:r>
        <w:rPr>
          <w:color w:val="auto"/>
        </w:rPr>
        <w:t>3.6.1 除投标人须知前附表规定允许外，投标人不得递交备选投标方案，否则其投标将被否决。</w:t>
      </w:r>
    </w:p>
    <w:p w14:paraId="2C009760">
      <w:pPr>
        <w:widowControl w:val="0"/>
        <w:ind w:firstLine="480"/>
        <w:rPr>
          <w:color w:val="auto"/>
        </w:rPr>
      </w:pPr>
      <w:r>
        <w:rPr>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6C52887">
      <w:pPr>
        <w:widowControl w:val="0"/>
        <w:ind w:firstLine="480"/>
        <w:rPr>
          <w:color w:val="auto"/>
        </w:rPr>
      </w:pPr>
      <w:r>
        <w:rPr>
          <w:color w:val="auto"/>
        </w:rPr>
        <w:t>3.6.3 投标人提供两个或两个以上投标报价，或者在投标文件中提供一个报价，但同时提供两个或两个以上</w:t>
      </w:r>
      <w:r>
        <w:rPr>
          <w:rFonts w:hint="eastAsia"/>
          <w:color w:val="auto"/>
        </w:rPr>
        <w:t>服务</w:t>
      </w:r>
      <w:r>
        <w:rPr>
          <w:color w:val="auto"/>
        </w:rPr>
        <w:t>方案的，视为提供备选方案。</w:t>
      </w:r>
    </w:p>
    <w:p w14:paraId="06831B10">
      <w:pPr>
        <w:pStyle w:val="5"/>
        <w:ind w:firstLine="482"/>
        <w:rPr>
          <w:color w:val="auto"/>
        </w:rPr>
      </w:pPr>
      <w:bookmarkStart w:id="157" w:name="_Toc35513452"/>
      <w:bookmarkStart w:id="158" w:name="_Toc19322"/>
      <w:bookmarkStart w:id="159" w:name="_Toc22127"/>
      <w:bookmarkStart w:id="160" w:name="_Toc8350"/>
      <w:r>
        <w:rPr>
          <w:color w:val="auto"/>
        </w:rPr>
        <w:t>3.7 投标文件的编制</w:t>
      </w:r>
      <w:bookmarkEnd w:id="157"/>
      <w:bookmarkEnd w:id="158"/>
      <w:bookmarkEnd w:id="159"/>
      <w:bookmarkEnd w:id="160"/>
    </w:p>
    <w:p w14:paraId="7DFFFECF">
      <w:pPr>
        <w:widowControl w:val="0"/>
        <w:ind w:firstLine="480"/>
        <w:rPr>
          <w:color w:val="auto"/>
        </w:rPr>
      </w:pPr>
      <w:r>
        <w:rPr>
          <w:color w:val="auto"/>
        </w:rPr>
        <w:t>3.7.1 投标文件应按第六章</w:t>
      </w:r>
      <w:r>
        <w:rPr>
          <w:rFonts w:hint="eastAsia"/>
          <w:color w:val="auto"/>
        </w:rPr>
        <w:t>“</w:t>
      </w:r>
      <w:r>
        <w:rPr>
          <w:color w:val="auto"/>
        </w:rPr>
        <w:t>投标文件格式</w:t>
      </w:r>
      <w:r>
        <w:rPr>
          <w:rFonts w:hint="eastAsia"/>
          <w:color w:val="auto"/>
        </w:rPr>
        <w:t>”</w:t>
      </w:r>
      <w:r>
        <w:rPr>
          <w:color w:val="auto"/>
        </w:rPr>
        <w:t>进行编写，如有必要，可以增加附页，作为投标文件的组成部分。其中，投标函附录在满足招标文件实质性要求的基础上，可以提出比招标文件要求更有利于招标人的承诺。</w:t>
      </w:r>
    </w:p>
    <w:p w14:paraId="7545B722">
      <w:pPr>
        <w:ind w:firstLine="480"/>
        <w:rPr>
          <w:color w:val="auto"/>
          <w:szCs w:val="22"/>
        </w:rPr>
      </w:pPr>
      <w:r>
        <w:rPr>
          <w:color w:val="auto"/>
          <w:szCs w:val="22"/>
        </w:rPr>
        <w:t>3.7.2 投标文件应当对招标文件有关该项目服务期限、投标有效期、委托人要求、招标范围等实质性内容作出响应。</w:t>
      </w:r>
    </w:p>
    <w:p w14:paraId="599830A0">
      <w:pPr>
        <w:widowControl w:val="0"/>
        <w:ind w:firstLine="480"/>
        <w:rPr>
          <w:strike/>
          <w:color w:val="auto"/>
          <w:szCs w:val="22"/>
        </w:rPr>
      </w:pPr>
      <w:r>
        <w:rPr>
          <w:strike/>
          <w:color w:val="auto"/>
          <w:szCs w:val="22"/>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656A66E4">
      <w:pPr>
        <w:widowControl w:val="0"/>
        <w:ind w:firstLine="480"/>
        <w:rPr>
          <w:strike/>
          <w:color w:val="auto"/>
          <w:szCs w:val="22"/>
        </w:rPr>
      </w:pPr>
      <w:r>
        <w:rPr>
          <w:strike/>
          <w:color w:val="auto"/>
          <w:szCs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75FBCE0C">
      <w:pPr>
        <w:widowControl w:val="0"/>
        <w:ind w:firstLine="480"/>
        <w:rPr>
          <w:strike/>
          <w:color w:val="auto"/>
          <w:szCs w:val="22"/>
        </w:rPr>
      </w:pPr>
      <w:r>
        <w:rPr>
          <w:strike/>
          <w:color w:val="auto"/>
          <w:szCs w:val="22"/>
        </w:rPr>
        <w:t>（3）投标文件的正本与副本应分别装订，并编制目录，投标文件需分册装订的，具体分册装订要求见投标人须知前附表规定。</w:t>
      </w:r>
    </w:p>
    <w:p w14:paraId="4755B168">
      <w:pPr>
        <w:widowControl w:val="0"/>
        <w:ind w:firstLine="480"/>
        <w:rPr>
          <w:rFonts w:hint="eastAsia"/>
          <w:color w:val="auto"/>
        </w:rPr>
      </w:pPr>
      <w:bookmarkStart w:id="161" w:name="auto_fouce_20"/>
      <w:r>
        <w:rPr>
          <w:color w:val="auto"/>
        </w:rPr>
        <w:t>3.7.3</w:t>
      </w:r>
      <w:r>
        <w:rPr>
          <w:rFonts w:hint="eastAsia"/>
          <w:color w:val="auto"/>
        </w:rPr>
        <w:t>（B）投标文件全部采用电子文档，除投标人须知前附表另有规定外，投标文件所附证书证件均为原件扫描件，并采用单位和个人数字证书，按招标文件要求在相应位置加盖电子印章。</w:t>
      </w:r>
      <w:r>
        <w:rPr>
          <w:rFonts w:hint="eastAsia"/>
          <w:color w:val="auto"/>
          <w:lang w:eastAsia="zh-CN"/>
        </w:rPr>
        <w:t>经电子招标投标交易平台递交的电子文件，</w:t>
      </w:r>
      <w:r>
        <w:rPr>
          <w:rFonts w:hint="eastAsia"/>
          <w:color w:val="auto"/>
          <w:lang w:val="en-US" w:eastAsia="zh-CN"/>
        </w:rPr>
        <w:t>其</w:t>
      </w:r>
      <w:r>
        <w:rPr>
          <w:rFonts w:hint="eastAsia"/>
          <w:color w:val="auto"/>
          <w:lang w:eastAsia="zh-CN"/>
        </w:rPr>
        <w:t>电子签章与实体印章具有同等法律效力。</w:t>
      </w:r>
      <w:bookmarkEnd w:id="161"/>
      <w:r>
        <w:rPr>
          <w:rFonts w:hint="eastAsia"/>
          <w:color w:val="auto"/>
        </w:rPr>
        <w:t>由投标人的法定代表人签字或加盖电子印章的，应附法定代表人身份证明，由代理人签字或加盖电子印章的，应附由法定代表人签署的授权委托书。签字或盖章的具体要求见投标人须知前附表。</w:t>
      </w:r>
    </w:p>
    <w:p w14:paraId="20C45003">
      <w:pPr>
        <w:ind w:firstLine="480"/>
        <w:rPr>
          <w:rFonts w:hAnsi="宋体"/>
          <w:color w:val="auto"/>
          <w:szCs w:val="24"/>
        </w:rPr>
      </w:pPr>
    </w:p>
    <w:p w14:paraId="2B9B0118">
      <w:pPr>
        <w:pStyle w:val="4"/>
        <w:rPr>
          <w:color w:val="auto"/>
        </w:rPr>
      </w:pPr>
      <w:bookmarkStart w:id="162" w:name="_Toc11982"/>
      <w:bookmarkStart w:id="163" w:name="_Toc2623"/>
      <w:bookmarkStart w:id="164" w:name="_Toc35513453"/>
      <w:bookmarkStart w:id="165" w:name="_Toc18297"/>
      <w:r>
        <w:rPr>
          <w:rFonts w:hint="eastAsia"/>
          <w:color w:val="auto"/>
        </w:rPr>
        <w:t>4.</w:t>
      </w:r>
      <w:r>
        <w:rPr>
          <w:color w:val="auto"/>
        </w:rPr>
        <w:t>投标</w:t>
      </w:r>
      <w:bookmarkEnd w:id="162"/>
      <w:bookmarkEnd w:id="163"/>
      <w:bookmarkEnd w:id="164"/>
      <w:bookmarkEnd w:id="165"/>
    </w:p>
    <w:p w14:paraId="0FEAE926">
      <w:pPr>
        <w:pStyle w:val="5"/>
        <w:ind w:firstLine="482"/>
        <w:rPr>
          <w:color w:val="auto"/>
        </w:rPr>
      </w:pPr>
      <w:bookmarkStart w:id="166" w:name="_Toc13208"/>
      <w:bookmarkStart w:id="167" w:name="_Toc5206"/>
      <w:bookmarkStart w:id="168" w:name="_Toc35513454"/>
      <w:bookmarkStart w:id="169" w:name="_Toc14760"/>
      <w:r>
        <w:rPr>
          <w:color w:val="auto"/>
        </w:rPr>
        <w:t>4.1 投标文件的密封和标记</w:t>
      </w:r>
      <w:bookmarkEnd w:id="166"/>
      <w:bookmarkEnd w:id="167"/>
      <w:bookmarkEnd w:id="168"/>
      <w:bookmarkEnd w:id="169"/>
    </w:p>
    <w:p w14:paraId="1A1FBA8E">
      <w:pPr>
        <w:widowControl w:val="0"/>
        <w:ind w:firstLine="480"/>
        <w:rPr>
          <w:color w:val="auto"/>
        </w:rPr>
      </w:pPr>
      <w:r>
        <w:rPr>
          <w:rFonts w:hint="eastAsia" w:hAnsi="宋体" w:cs="宋体"/>
          <w:strike/>
          <w:color w:val="auto"/>
          <w:szCs w:val="22"/>
        </w:rPr>
        <w:t>4.1.1（A）投标文件备用光盘应密封包装，并在封套的封口处加盖投标人单位章或由投标人的法定代表人或其授权的代理人签字。</w:t>
      </w:r>
    </w:p>
    <w:p w14:paraId="470ED0B0">
      <w:pPr>
        <w:ind w:firstLine="480"/>
        <w:rPr>
          <w:color w:val="auto"/>
        </w:rPr>
      </w:pPr>
      <w:r>
        <w:rPr>
          <w:color w:val="auto"/>
        </w:rPr>
        <w:t>4.1.1</w:t>
      </w:r>
      <w:r>
        <w:rPr>
          <w:rFonts w:hint="eastAsia"/>
          <w:color w:val="auto"/>
        </w:rPr>
        <w:t>（B）</w:t>
      </w:r>
      <w:r>
        <w:rPr>
          <w:color w:val="auto"/>
        </w:rPr>
        <w:t>投标人应当按照招标文件和电子招标投标交易平台的要求加密投标文件，具体要求见投标人须知前附表。</w:t>
      </w:r>
    </w:p>
    <w:p w14:paraId="2FBC9327">
      <w:pPr>
        <w:ind w:firstLine="480"/>
        <w:rPr>
          <w:color w:val="auto"/>
        </w:rPr>
      </w:pPr>
      <w:r>
        <w:rPr>
          <w:color w:val="auto"/>
        </w:rPr>
        <w:t>4.1.2 投标文件</w:t>
      </w:r>
      <w:r>
        <w:rPr>
          <w:rFonts w:hint="eastAsia" w:cs="宋体"/>
          <w:color w:val="auto"/>
          <w:szCs w:val="24"/>
          <w:u w:val="single"/>
        </w:rPr>
        <w:t>备用光盘或U盘</w:t>
      </w:r>
      <w:r>
        <w:rPr>
          <w:color w:val="auto"/>
        </w:rPr>
        <w:t>封套上应写明的内容见投标人须知前附表。</w:t>
      </w:r>
    </w:p>
    <w:p w14:paraId="1A4FE26B">
      <w:pPr>
        <w:ind w:firstLine="480"/>
        <w:rPr>
          <w:color w:val="auto"/>
        </w:rPr>
      </w:pPr>
      <w:r>
        <w:rPr>
          <w:color w:val="auto"/>
        </w:rPr>
        <w:t xml:space="preserve">4.1.3 </w:t>
      </w:r>
      <w:r>
        <w:rPr>
          <w:rFonts w:hint="eastAsia"/>
          <w:b w:val="0"/>
          <w:bCs/>
          <w:color w:val="auto"/>
          <w:u w:val="single"/>
        </w:rPr>
        <w:t>投标人在投标截止期后逾期或未在指定地点递交备用投标文件</w:t>
      </w:r>
      <w:r>
        <w:rPr>
          <w:rFonts w:hint="eastAsia" w:cs="宋体"/>
          <w:color w:val="auto"/>
          <w:szCs w:val="24"/>
          <w:u w:val="single"/>
        </w:rPr>
        <w:t>备用光盘或U盘</w:t>
      </w:r>
      <w:r>
        <w:rPr>
          <w:rFonts w:hint="eastAsia"/>
          <w:b w:val="0"/>
          <w:bCs/>
          <w:color w:val="auto"/>
          <w:u w:val="single"/>
        </w:rPr>
        <w:t>的，或投标人递交的备用投标文件</w:t>
      </w:r>
      <w:r>
        <w:rPr>
          <w:rFonts w:hint="eastAsia" w:cs="宋体"/>
          <w:color w:val="auto"/>
          <w:szCs w:val="24"/>
          <w:u w:val="single"/>
        </w:rPr>
        <w:t>备用光盘或U盘</w:t>
      </w:r>
      <w:r>
        <w:rPr>
          <w:rFonts w:hint="eastAsia"/>
          <w:b w:val="0"/>
          <w:bCs/>
          <w:color w:val="auto"/>
          <w:u w:val="single"/>
        </w:rPr>
        <w:t>未按招标文件要求密封或未在密封处盖章或签字的，或投标人代表未凭法定代表人证明书原件、授权委托书原件（仅限于非法定代表人）、本人身份证原件按要求递交备用投标文件</w:t>
      </w:r>
      <w:r>
        <w:rPr>
          <w:rFonts w:hint="eastAsia" w:cs="宋体"/>
          <w:color w:val="auto"/>
          <w:szCs w:val="24"/>
          <w:u w:val="single"/>
        </w:rPr>
        <w:t>备用光盘或U盘</w:t>
      </w:r>
      <w:r>
        <w:rPr>
          <w:rFonts w:hint="eastAsia"/>
          <w:b w:val="0"/>
          <w:bCs/>
          <w:color w:val="auto"/>
          <w:u w:val="single"/>
        </w:rPr>
        <w:t>的，招标人将予以拒收。</w:t>
      </w:r>
    </w:p>
    <w:p w14:paraId="130198F6">
      <w:pPr>
        <w:pStyle w:val="5"/>
        <w:ind w:firstLine="482"/>
        <w:rPr>
          <w:color w:val="auto"/>
        </w:rPr>
      </w:pPr>
      <w:bookmarkStart w:id="170" w:name="_Toc23449"/>
      <w:bookmarkStart w:id="171" w:name="_Toc15596"/>
      <w:bookmarkStart w:id="172" w:name="_Toc35513455"/>
      <w:bookmarkStart w:id="173" w:name="_Toc31178"/>
      <w:r>
        <w:rPr>
          <w:color w:val="auto"/>
        </w:rPr>
        <w:t>4.2 投标文件的递交</w:t>
      </w:r>
      <w:bookmarkEnd w:id="170"/>
      <w:bookmarkEnd w:id="171"/>
      <w:bookmarkEnd w:id="172"/>
      <w:bookmarkEnd w:id="173"/>
    </w:p>
    <w:p w14:paraId="3B5F11C7">
      <w:pPr>
        <w:ind w:firstLine="480"/>
        <w:rPr>
          <w:color w:val="auto"/>
        </w:rPr>
      </w:pPr>
      <w:r>
        <w:rPr>
          <w:color w:val="auto"/>
        </w:rPr>
        <w:t>4.2.1 投标人应在投标人须知前附表规定的投标截止时间前递交投标文件。</w:t>
      </w:r>
    </w:p>
    <w:p w14:paraId="5F2CD06C">
      <w:pPr>
        <w:widowControl w:val="0"/>
        <w:ind w:firstLine="480"/>
        <w:rPr>
          <w:color w:val="auto"/>
        </w:rPr>
      </w:pPr>
      <w:r>
        <w:rPr>
          <w:rFonts w:hint="eastAsia" w:hAnsi="宋体" w:cs="宋体"/>
          <w:strike/>
          <w:color w:val="auto"/>
          <w:szCs w:val="22"/>
        </w:rPr>
        <w:t>4.2.2（A）投标人递交投标文件的地点：见投标人须知前附表。</w:t>
      </w:r>
    </w:p>
    <w:p w14:paraId="740E23E0">
      <w:pPr>
        <w:widowControl w:val="0"/>
        <w:ind w:firstLine="480"/>
        <w:rPr>
          <w:color w:val="auto"/>
        </w:rPr>
      </w:pPr>
      <w:r>
        <w:rPr>
          <w:color w:val="auto"/>
        </w:rPr>
        <w:t>4.2.2 投标人通过下载招标文件的电子招标投标交易平台递交电子投标文件。</w:t>
      </w:r>
    </w:p>
    <w:p w14:paraId="2837D9E0">
      <w:pPr>
        <w:widowControl w:val="0"/>
        <w:ind w:firstLine="480"/>
        <w:rPr>
          <w:color w:val="auto"/>
        </w:rPr>
      </w:pPr>
      <w:r>
        <w:rPr>
          <w:color w:val="auto"/>
        </w:rPr>
        <w:t>4.2.3 除投标人须知前附表另有规定外，投标人所递交的投标文件不予退还。</w:t>
      </w:r>
    </w:p>
    <w:p w14:paraId="109CA450">
      <w:pPr>
        <w:ind w:firstLine="480"/>
        <w:rPr>
          <w:color w:val="auto"/>
        </w:rPr>
      </w:pPr>
      <w:r>
        <w:rPr>
          <w:rFonts w:hint="eastAsia" w:hAnsi="宋体" w:cs="宋体"/>
          <w:strike/>
          <w:color w:val="auto"/>
          <w:szCs w:val="22"/>
        </w:rPr>
        <w:t>4.2.4（A）招标人收到投标文件后，向投标人出具签收凭证。</w:t>
      </w:r>
    </w:p>
    <w:p w14:paraId="482FF67E">
      <w:pPr>
        <w:ind w:firstLine="480"/>
        <w:rPr>
          <w:rFonts w:hint="eastAsia"/>
          <w:color w:val="auto"/>
        </w:rPr>
      </w:pPr>
      <w:r>
        <w:rPr>
          <w:color w:val="auto"/>
        </w:rPr>
        <w:t>4.2.4</w:t>
      </w:r>
      <w:r>
        <w:rPr>
          <w:rFonts w:hint="eastAsia"/>
          <w:color w:val="auto"/>
        </w:rPr>
        <w:t xml:space="preserve"> （B）</w:t>
      </w:r>
      <w:r>
        <w:rPr>
          <w:color w:val="auto"/>
        </w:rPr>
        <w:t>投标人完成电子投标文件上传后，电子招标投标交易平台即时向投标人发出递交回执通知。递交时间以递交回执通知载明的传输完成时间为准。</w:t>
      </w:r>
    </w:p>
    <w:p w14:paraId="7C93E936">
      <w:pPr>
        <w:ind w:firstLine="480"/>
        <w:rPr>
          <w:color w:val="auto"/>
        </w:rPr>
      </w:pPr>
      <w:r>
        <w:rPr>
          <w:rFonts w:hint="eastAsia" w:hAnsi="宋体" w:cs="宋体"/>
          <w:strike/>
          <w:color w:val="auto"/>
          <w:szCs w:val="22"/>
        </w:rPr>
        <w:t>4.2.5（A）逾期送达的投标文件，招标人将予以拒收。</w:t>
      </w:r>
    </w:p>
    <w:p w14:paraId="2F0D60F8">
      <w:pPr>
        <w:ind w:firstLine="480"/>
        <w:rPr>
          <w:color w:val="auto"/>
        </w:rPr>
      </w:pPr>
      <w:r>
        <w:rPr>
          <w:color w:val="auto"/>
        </w:rPr>
        <w:t>4.2.5</w:t>
      </w:r>
      <w:r>
        <w:rPr>
          <w:rFonts w:hint="eastAsia"/>
          <w:color w:val="auto"/>
        </w:rPr>
        <w:t xml:space="preserve"> （B）</w:t>
      </w:r>
      <w:r>
        <w:rPr>
          <w:color w:val="auto"/>
        </w:rPr>
        <w:t>逾期送达的投标</w:t>
      </w:r>
      <w:bookmarkStart w:id="174" w:name="page30"/>
      <w:bookmarkEnd w:id="174"/>
      <w:r>
        <w:rPr>
          <w:color w:val="auto"/>
        </w:rPr>
        <w:t>文件，电子招标投标交易平台将予以拒收。</w:t>
      </w:r>
    </w:p>
    <w:p w14:paraId="4CB03857">
      <w:pPr>
        <w:pStyle w:val="5"/>
        <w:ind w:firstLine="482"/>
        <w:rPr>
          <w:color w:val="auto"/>
        </w:rPr>
      </w:pPr>
      <w:bookmarkStart w:id="175" w:name="_Toc2121"/>
      <w:bookmarkStart w:id="176" w:name="_Toc13101"/>
      <w:bookmarkStart w:id="177" w:name="_Toc35513456"/>
      <w:bookmarkStart w:id="178" w:name="_Toc22986"/>
      <w:r>
        <w:rPr>
          <w:color w:val="auto"/>
        </w:rPr>
        <w:t>4.3 投标文件的修改与撤回</w:t>
      </w:r>
      <w:bookmarkEnd w:id="175"/>
      <w:bookmarkEnd w:id="176"/>
      <w:bookmarkEnd w:id="177"/>
      <w:bookmarkEnd w:id="178"/>
    </w:p>
    <w:p w14:paraId="6009BC67">
      <w:pPr>
        <w:ind w:firstLine="480"/>
        <w:rPr>
          <w:color w:val="auto"/>
        </w:rPr>
      </w:pPr>
      <w:r>
        <w:rPr>
          <w:color w:val="auto"/>
        </w:rPr>
        <w:t>4.3.1 在本章第4.2.1项规定的投标截止时间前，投标人可以修改或撤回已递交的投标文件，</w:t>
      </w:r>
      <w:r>
        <w:rPr>
          <w:rFonts w:hint="eastAsia" w:hAnsi="宋体"/>
          <w:color w:val="auto"/>
          <w:szCs w:val="21"/>
          <w:u w:val="single"/>
        </w:rPr>
        <w:t>但需在</w:t>
      </w:r>
      <w:r>
        <w:rPr>
          <w:rFonts w:hint="eastAsia" w:hAnsi="宋体" w:cs="宋体"/>
          <w:color w:val="auto"/>
          <w:szCs w:val="24"/>
          <w:u w:val="single"/>
        </w:rPr>
        <w:t>广州交易集团有限公司（广州公共资源交易中心）</w:t>
      </w:r>
      <w:r>
        <w:rPr>
          <w:rFonts w:hint="eastAsia" w:hAnsi="宋体"/>
          <w:color w:val="auto"/>
          <w:szCs w:val="21"/>
          <w:u w:val="single"/>
        </w:rPr>
        <w:t>交易平台发出撤回通知</w:t>
      </w:r>
      <w:r>
        <w:rPr>
          <w:rFonts w:hint="eastAsia" w:hAnsi="宋体"/>
          <w:color w:val="auto"/>
          <w:szCs w:val="21"/>
        </w:rPr>
        <w:t>。</w:t>
      </w:r>
    </w:p>
    <w:p w14:paraId="639D24B2">
      <w:pPr>
        <w:ind w:firstLine="480"/>
        <w:rPr>
          <w:color w:val="auto"/>
        </w:rPr>
      </w:pPr>
      <w:r>
        <w:rPr>
          <w:rFonts w:hint="eastAsia" w:hAnsi="宋体" w:cs="宋体"/>
          <w:strike/>
          <w:color w:val="auto"/>
          <w:szCs w:val="22"/>
        </w:rPr>
        <w:t>4.3.2（A）投标人修改或撤回已递交投标文件的书面通知应按照本章第3.7.3（A）项的要求签字或盖章。招标人收到书面通知后，向投标人出具签收凭证。</w:t>
      </w:r>
    </w:p>
    <w:p w14:paraId="7B45A41F">
      <w:pPr>
        <w:ind w:firstLine="480"/>
        <w:rPr>
          <w:color w:val="auto"/>
        </w:rPr>
      </w:pPr>
      <w:r>
        <w:rPr>
          <w:color w:val="auto"/>
        </w:rPr>
        <w:t>4.3.2</w:t>
      </w:r>
      <w:r>
        <w:rPr>
          <w:rFonts w:hint="eastAsia"/>
          <w:color w:val="auto"/>
        </w:rPr>
        <w:t>（B）</w:t>
      </w:r>
      <w:r>
        <w:rPr>
          <w:color w:val="auto"/>
        </w:rPr>
        <w:t>投标人修改或撤回已递交投标文件的通知，应按照本章第3.7.3</w:t>
      </w:r>
      <w:r>
        <w:rPr>
          <w:rFonts w:hint="eastAsia"/>
          <w:color w:val="auto"/>
        </w:rPr>
        <w:t>（B）</w:t>
      </w:r>
      <w:r>
        <w:rPr>
          <w:color w:val="auto"/>
        </w:rPr>
        <w:t>项的要求加盖电子印章。电子招标投标交易平台收到通知后，即时向投标人发出确认回执通知。</w:t>
      </w:r>
    </w:p>
    <w:p w14:paraId="1A38C86C">
      <w:pPr>
        <w:ind w:left="100" w:right="-20" w:firstLine="480"/>
        <w:jc w:val="left"/>
        <w:rPr>
          <w:rFonts w:hint="eastAsia" w:hAnsi="宋体"/>
          <w:color w:val="auto"/>
          <w:szCs w:val="21"/>
        </w:rPr>
      </w:pPr>
      <w:r>
        <w:rPr>
          <w:rFonts w:hint="eastAsia" w:hAnsi="宋体"/>
          <w:strike/>
          <w:color w:val="auto"/>
          <w:szCs w:val="21"/>
        </w:rPr>
        <w:t>4.3.3 投标人撤回投标文件的，招标人自收到投标人书面撤回通知之日起5日内退还已收取的投标保证金。</w:t>
      </w:r>
    </w:p>
    <w:p w14:paraId="5FCA2B69">
      <w:pPr>
        <w:ind w:firstLine="480"/>
        <w:rPr>
          <w:color w:val="auto"/>
        </w:rPr>
      </w:pPr>
      <w:r>
        <w:rPr>
          <w:rFonts w:hint="eastAsia" w:hAnsi="宋体"/>
          <w:color w:val="auto"/>
          <w:szCs w:val="21"/>
        </w:rPr>
        <w:t>4.3.4 修改的内容为投标文件的组成部分修改的投标文件应按照本章第3条、第4条的规定进行</w:t>
      </w:r>
      <w:r>
        <w:rPr>
          <w:rFonts w:hint="eastAsia" w:hAnsi="宋体"/>
          <w:color w:val="auto"/>
          <w:szCs w:val="21"/>
          <w:u w:val="single"/>
        </w:rPr>
        <w:t>编制和递交</w:t>
      </w:r>
      <w:r>
        <w:rPr>
          <w:rFonts w:hint="eastAsia" w:hAnsi="宋体"/>
          <w:color w:val="auto"/>
          <w:szCs w:val="21"/>
        </w:rPr>
        <w:t>。</w:t>
      </w:r>
    </w:p>
    <w:p w14:paraId="133D1178">
      <w:pPr>
        <w:ind w:firstLine="480"/>
        <w:rPr>
          <w:rFonts w:hAnsi="宋体"/>
          <w:color w:val="auto"/>
          <w:szCs w:val="24"/>
        </w:rPr>
      </w:pPr>
    </w:p>
    <w:p w14:paraId="2F2B5673">
      <w:pPr>
        <w:pStyle w:val="4"/>
        <w:rPr>
          <w:color w:val="auto"/>
        </w:rPr>
      </w:pPr>
      <w:bookmarkStart w:id="179" w:name="_Toc20807"/>
      <w:bookmarkStart w:id="180" w:name="_Toc18883"/>
      <w:bookmarkStart w:id="181" w:name="_Toc35513457"/>
      <w:bookmarkStart w:id="182" w:name="_Toc16281"/>
      <w:r>
        <w:rPr>
          <w:rFonts w:hint="eastAsia"/>
          <w:color w:val="auto"/>
        </w:rPr>
        <w:t>5.</w:t>
      </w:r>
      <w:r>
        <w:rPr>
          <w:color w:val="auto"/>
        </w:rPr>
        <w:t>开标</w:t>
      </w:r>
      <w:bookmarkEnd w:id="179"/>
      <w:bookmarkEnd w:id="180"/>
      <w:bookmarkEnd w:id="181"/>
      <w:bookmarkEnd w:id="182"/>
    </w:p>
    <w:p w14:paraId="6B2D35AA">
      <w:pPr>
        <w:pStyle w:val="5"/>
        <w:keepNext w:val="0"/>
        <w:keepLines w:val="0"/>
        <w:ind w:firstLine="482"/>
        <w:jc w:val="both"/>
        <w:rPr>
          <w:rFonts w:hint="eastAsia" w:hAnsi="宋体" w:cs="宋体"/>
          <w:strike/>
          <w:color w:val="auto"/>
        </w:rPr>
      </w:pPr>
      <w:bookmarkStart w:id="183" w:name="_Toc31305"/>
      <w:bookmarkStart w:id="184" w:name="_Toc6922"/>
      <w:bookmarkStart w:id="185" w:name="_Toc469"/>
      <w:bookmarkStart w:id="186" w:name="_Toc18793"/>
      <w:bookmarkStart w:id="187" w:name="_Toc35513458"/>
      <w:r>
        <w:rPr>
          <w:rFonts w:hint="eastAsia" w:hAnsi="宋体" w:cs="宋体"/>
          <w:strike/>
          <w:color w:val="auto"/>
        </w:rPr>
        <w:t>5.1开标时间和地点（A）</w:t>
      </w:r>
      <w:bookmarkEnd w:id="183"/>
      <w:bookmarkEnd w:id="184"/>
      <w:bookmarkEnd w:id="185"/>
      <w:bookmarkEnd w:id="186"/>
    </w:p>
    <w:p w14:paraId="4E00E739">
      <w:pPr>
        <w:pStyle w:val="5"/>
        <w:keepNext w:val="0"/>
        <w:keepLines w:val="0"/>
        <w:ind w:firstLine="480"/>
        <w:rPr>
          <w:rFonts w:hint="eastAsia" w:hAnsi="宋体" w:cs="宋体"/>
          <w:b w:val="0"/>
          <w:bCs w:val="0"/>
          <w:strike/>
          <w:color w:val="auto"/>
          <w:szCs w:val="22"/>
        </w:rPr>
      </w:pPr>
      <w:bookmarkStart w:id="188" w:name="_Toc28304"/>
      <w:bookmarkStart w:id="189" w:name="_Toc3844"/>
      <w:bookmarkStart w:id="190" w:name="_Toc6150"/>
      <w:r>
        <w:rPr>
          <w:rFonts w:hint="eastAsia" w:hAnsi="宋体" w:cs="宋体"/>
          <w:b w:val="0"/>
          <w:bCs w:val="0"/>
          <w:strike/>
          <w:color w:val="auto"/>
          <w:szCs w:val="22"/>
        </w:rPr>
        <w:t>招标人在本章第 4.2.1项规定的投标截止时间（开标时间）和投标人须知前附表规定的地点公开开标，并邀请所有投标人的法定代表人或其委托代理人准时参加。</w:t>
      </w:r>
      <w:bookmarkEnd w:id="188"/>
      <w:bookmarkEnd w:id="189"/>
      <w:bookmarkEnd w:id="190"/>
    </w:p>
    <w:p w14:paraId="2CBC79CD">
      <w:pPr>
        <w:pStyle w:val="5"/>
        <w:keepNext/>
        <w:keepLines/>
        <w:widowControl w:val="0"/>
        <w:ind w:firstLine="482"/>
        <w:rPr>
          <w:rFonts w:hint="eastAsia"/>
          <w:color w:val="auto"/>
        </w:rPr>
      </w:pPr>
      <w:bookmarkStart w:id="191" w:name="_Toc2621"/>
      <w:bookmarkStart w:id="192" w:name="_Toc32471"/>
      <w:bookmarkStart w:id="193" w:name="_Toc9979"/>
      <w:r>
        <w:rPr>
          <w:color w:val="auto"/>
        </w:rPr>
        <w:t>5.1 开标时间和地点</w:t>
      </w:r>
      <w:bookmarkEnd w:id="187"/>
      <w:r>
        <w:rPr>
          <w:rFonts w:hint="eastAsia"/>
          <w:color w:val="auto"/>
        </w:rPr>
        <w:t>（B）</w:t>
      </w:r>
      <w:bookmarkEnd w:id="191"/>
      <w:bookmarkEnd w:id="192"/>
      <w:bookmarkEnd w:id="193"/>
    </w:p>
    <w:p w14:paraId="25A7DDC7">
      <w:pPr>
        <w:ind w:firstLine="480"/>
        <w:rPr>
          <w:rFonts w:hint="eastAsia"/>
          <w:color w:val="auto"/>
        </w:rPr>
      </w:pPr>
      <w:r>
        <w:rPr>
          <w:color w:val="auto"/>
        </w:rPr>
        <w:t>招标人在本章第4.2.1项规定的投标截止时间（开标时间）</w:t>
      </w:r>
      <w:r>
        <w:rPr>
          <w:rFonts w:hint="eastAsia"/>
          <w:color w:val="auto"/>
        </w:rPr>
        <w:t>，</w:t>
      </w:r>
      <w:r>
        <w:rPr>
          <w:rFonts w:hint="eastAsia" w:hAnsi="宋体" w:cs="宋体"/>
          <w:color w:val="auto"/>
        </w:rPr>
        <w:t>通过电子招标投标交易平台公开开标</w:t>
      </w:r>
      <w:r>
        <w:rPr>
          <w:rFonts w:hint="eastAsia" w:hAnsi="宋体"/>
          <w:color w:val="auto"/>
          <w:szCs w:val="21"/>
        </w:rPr>
        <w:t>，开标时，投标人代表有权出席开标会，也可以自主决定不参加开标会，若投标人代表对开标过程提出异议，该投标人代表须同时出示本人身份证原件。</w:t>
      </w:r>
    </w:p>
    <w:p w14:paraId="2E23BF2C">
      <w:pPr>
        <w:pStyle w:val="5"/>
        <w:ind w:firstLine="482"/>
        <w:rPr>
          <w:color w:val="auto"/>
        </w:rPr>
      </w:pPr>
      <w:bookmarkStart w:id="194" w:name="_Toc28553"/>
      <w:bookmarkStart w:id="195" w:name="_Toc35513459"/>
      <w:bookmarkStart w:id="196" w:name="_Toc19981"/>
      <w:bookmarkStart w:id="197" w:name="_Toc3151"/>
      <w:r>
        <w:rPr>
          <w:color w:val="auto"/>
        </w:rPr>
        <w:t>5.2 开标程序</w:t>
      </w:r>
      <w:bookmarkEnd w:id="194"/>
      <w:bookmarkEnd w:id="195"/>
      <w:bookmarkEnd w:id="196"/>
      <w:bookmarkEnd w:id="197"/>
    </w:p>
    <w:p w14:paraId="306FE2EB">
      <w:pPr>
        <w:ind w:firstLine="480"/>
        <w:rPr>
          <w:color w:val="auto"/>
          <w:u w:val="single"/>
        </w:rPr>
      </w:pPr>
      <w:r>
        <w:rPr>
          <w:rFonts w:hint="eastAsia"/>
          <w:color w:val="auto"/>
          <w:u w:val="single"/>
        </w:rPr>
        <w:t>5.2.1</w:t>
      </w:r>
      <w:r>
        <w:rPr>
          <w:color w:val="auto"/>
          <w:u w:val="single"/>
        </w:rPr>
        <w:t>主持人按下列程序进行开标：</w:t>
      </w:r>
    </w:p>
    <w:p w14:paraId="0B1A7452">
      <w:pPr>
        <w:ind w:firstLine="480"/>
        <w:rPr>
          <w:color w:val="auto"/>
          <w:u w:val="single"/>
        </w:rPr>
      </w:pPr>
      <w:r>
        <w:rPr>
          <w:color w:val="auto"/>
          <w:u w:val="single"/>
        </w:rPr>
        <w:t>（1）宣布开标纪律；</w:t>
      </w:r>
    </w:p>
    <w:p w14:paraId="24A37339">
      <w:pPr>
        <w:ind w:firstLine="480"/>
        <w:rPr>
          <w:color w:val="auto"/>
          <w:u w:val="single"/>
        </w:rPr>
      </w:pPr>
      <w:r>
        <w:rPr>
          <w:color w:val="auto"/>
          <w:u w:val="single"/>
        </w:rPr>
        <w:t>（2）公布在投标截止时间前递交投标文件的投标人名称；</w:t>
      </w:r>
    </w:p>
    <w:p w14:paraId="587115B0">
      <w:pPr>
        <w:ind w:firstLine="480"/>
        <w:rPr>
          <w:color w:val="auto"/>
          <w:u w:val="single"/>
        </w:rPr>
      </w:pPr>
      <w:r>
        <w:rPr>
          <w:color w:val="auto"/>
          <w:u w:val="single"/>
        </w:rPr>
        <w:t>（3）宣布开标人</w:t>
      </w:r>
      <w:bookmarkStart w:id="198" w:name="page31"/>
      <w:bookmarkEnd w:id="198"/>
      <w:r>
        <w:rPr>
          <w:color w:val="auto"/>
          <w:u w:val="single"/>
        </w:rPr>
        <w:t>、唱标人、记录人、监标人等有关人员姓名；</w:t>
      </w:r>
    </w:p>
    <w:p w14:paraId="21428EBC">
      <w:pPr>
        <w:ind w:firstLine="480"/>
        <w:rPr>
          <w:color w:val="auto"/>
          <w:u w:val="single"/>
        </w:rPr>
      </w:pPr>
      <w:r>
        <w:rPr>
          <w:color w:val="auto"/>
          <w:u w:val="single"/>
        </w:rPr>
        <w:t>（4）投标人通过电子招标投标交易平台对已递交的电子投标文件进行解密，公布招标项目名称、投标人名称、投标报价、服务期限及其他内容，并记录</w:t>
      </w:r>
      <w:r>
        <w:rPr>
          <w:rFonts w:hint="eastAsia"/>
          <w:color w:val="auto"/>
          <w:u w:val="single"/>
        </w:rPr>
        <w:t>在</w:t>
      </w:r>
      <w:r>
        <w:rPr>
          <w:color w:val="auto"/>
          <w:u w:val="single"/>
        </w:rPr>
        <w:t>案；</w:t>
      </w:r>
    </w:p>
    <w:p w14:paraId="09CE7DBC">
      <w:pPr>
        <w:ind w:firstLine="480"/>
        <w:rPr>
          <w:color w:val="auto"/>
          <w:u w:val="single"/>
        </w:rPr>
      </w:pPr>
      <w:r>
        <w:rPr>
          <w:color w:val="auto"/>
          <w:u w:val="single"/>
        </w:rPr>
        <w:t>（</w:t>
      </w:r>
      <w:r>
        <w:rPr>
          <w:rFonts w:hint="eastAsia"/>
          <w:color w:val="auto"/>
          <w:u w:val="single"/>
        </w:rPr>
        <w:t>5</w:t>
      </w:r>
      <w:r>
        <w:rPr>
          <w:color w:val="auto"/>
          <w:u w:val="single"/>
        </w:rPr>
        <w:t>）</w:t>
      </w:r>
      <w:r>
        <w:rPr>
          <w:rFonts w:hint="eastAsia" w:hAnsi="宋体" w:cs="宋体"/>
          <w:color w:val="auto"/>
          <w:szCs w:val="24"/>
          <w:u w:val="single"/>
        </w:rPr>
        <w:t>投标人代表、招标人代表、监标人、记录人等有关人员在开标记录上签字确认；若有关人员不签字的，不影响开标程序；</w:t>
      </w:r>
    </w:p>
    <w:p w14:paraId="1BDC894E">
      <w:pPr>
        <w:ind w:firstLine="480"/>
        <w:rPr>
          <w:color w:val="auto"/>
        </w:rPr>
      </w:pPr>
      <w:r>
        <w:rPr>
          <w:color w:val="auto"/>
          <w:u w:val="single"/>
        </w:rPr>
        <w:t>（</w:t>
      </w:r>
      <w:r>
        <w:rPr>
          <w:rFonts w:hint="eastAsia"/>
          <w:color w:val="auto"/>
          <w:u w:val="single"/>
        </w:rPr>
        <w:t>6</w:t>
      </w:r>
      <w:r>
        <w:rPr>
          <w:color w:val="auto"/>
          <w:u w:val="single"/>
        </w:rPr>
        <w:t>）开标结束。</w:t>
      </w:r>
    </w:p>
    <w:p w14:paraId="7A138ADF">
      <w:pPr>
        <w:ind w:left="100" w:right="142" w:firstLine="480"/>
        <w:rPr>
          <w:rFonts w:hint="eastAsia" w:hAnsi="宋体" w:cs="宋体"/>
          <w:color w:val="auto"/>
          <w:szCs w:val="24"/>
        </w:rPr>
      </w:pPr>
      <w:r>
        <w:rPr>
          <w:rFonts w:hint="eastAsia" w:hAnsi="宋体" w:cs="宋体"/>
          <w:color w:val="auto"/>
          <w:szCs w:val="24"/>
          <w:u w:val="single"/>
        </w:rPr>
        <w:t>5.2.2投标截止时间前未完成投标文件传输的或因投标人之外的原因造成投标文件未解密，视为投标人撤回其投标文件。因投标人原因造成投标文件未解密的，视为撤销其投标文件。</w:t>
      </w:r>
    </w:p>
    <w:p w14:paraId="7116CF46">
      <w:pPr>
        <w:ind w:left="100" w:right="142" w:firstLine="480"/>
        <w:rPr>
          <w:rFonts w:hint="eastAsia" w:hAnsi="宋体" w:cs="宋体"/>
          <w:color w:val="auto"/>
          <w:szCs w:val="24"/>
        </w:rPr>
      </w:pPr>
      <w:bookmarkStart w:id="199" w:name="auto_fouce_21"/>
      <w:r>
        <w:rPr>
          <w:rFonts w:hint="eastAsia" w:hAnsi="宋体" w:cs="宋体"/>
          <w:color w:val="auto"/>
          <w:szCs w:val="24"/>
          <w:u w:val="single"/>
        </w:rPr>
        <w:t>5.2.3开标时，两个（含两个）以上的投标人加密打包投标文件电脑机器特征码一致的，评标委员会</w:t>
      </w:r>
      <w:r>
        <w:rPr>
          <w:rFonts w:hint="eastAsia" w:hAnsi="宋体" w:cs="宋体"/>
          <w:color w:val="auto"/>
          <w:szCs w:val="24"/>
          <w:u w:val="single"/>
          <w:lang w:eastAsia="zh-CN"/>
        </w:rPr>
        <w:t>应否</w:t>
      </w:r>
      <w:r>
        <w:rPr>
          <w:rFonts w:hint="eastAsia" w:hAnsi="宋体" w:cs="宋体"/>
          <w:color w:val="auto"/>
          <w:szCs w:val="24"/>
          <w:u w:val="single"/>
        </w:rPr>
        <w:t>决其投标。</w:t>
      </w:r>
      <w:bookmarkEnd w:id="199"/>
    </w:p>
    <w:p w14:paraId="20BD7113">
      <w:pPr>
        <w:pStyle w:val="5"/>
        <w:ind w:firstLine="482"/>
        <w:rPr>
          <w:color w:val="auto"/>
        </w:rPr>
      </w:pPr>
      <w:bookmarkStart w:id="200" w:name="_Toc1437"/>
      <w:bookmarkStart w:id="201" w:name="_Toc16033"/>
      <w:bookmarkStart w:id="202" w:name="_Toc15580"/>
      <w:bookmarkStart w:id="203" w:name="_Toc35513460"/>
      <w:r>
        <w:rPr>
          <w:color w:val="auto"/>
        </w:rPr>
        <w:t>5.3 开标异议</w:t>
      </w:r>
      <w:bookmarkEnd w:id="200"/>
      <w:bookmarkEnd w:id="201"/>
      <w:bookmarkEnd w:id="202"/>
      <w:bookmarkEnd w:id="203"/>
    </w:p>
    <w:p w14:paraId="7F52D26A">
      <w:pPr>
        <w:widowControl w:val="0"/>
        <w:ind w:firstLine="480"/>
        <w:rPr>
          <w:rFonts w:hint="eastAsia" w:hAnsi="宋体" w:cs="宋体"/>
          <w:color w:val="auto"/>
          <w:u w:val="single"/>
        </w:rPr>
      </w:pPr>
      <w:r>
        <w:rPr>
          <w:rFonts w:hint="eastAsia" w:hAnsi="宋体" w:cs="宋体"/>
          <w:color w:val="auto"/>
          <w:u w:val="single"/>
        </w:rPr>
        <w:t>5.3.1开标时，投标人代表有权出席开标会，也可以自主决定不参加开标会。</w:t>
      </w:r>
    </w:p>
    <w:p w14:paraId="28E792C4">
      <w:pPr>
        <w:widowControl w:val="0"/>
        <w:ind w:firstLine="480"/>
        <w:rPr>
          <w:rFonts w:hint="eastAsia" w:hAnsi="宋体" w:cs="宋体"/>
          <w:color w:val="auto"/>
          <w:u w:val="single"/>
        </w:rPr>
      </w:pPr>
      <w:r>
        <w:rPr>
          <w:rFonts w:hint="eastAsia" w:hAnsi="宋体" w:cs="宋体"/>
          <w:color w:val="auto"/>
          <w:u w:val="single"/>
        </w:rPr>
        <w:t>5.3.2</w:t>
      </w:r>
      <w:r>
        <w:rPr>
          <w:rFonts w:hint="eastAsia" w:hAnsi="宋体" w:cs="宋体"/>
          <w:color w:val="auto"/>
          <w:u w:val="none"/>
        </w:rPr>
        <w:t>参加在线开标的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未答复的，开标程序不得结束。</w:t>
      </w:r>
    </w:p>
    <w:p w14:paraId="21F39BF0">
      <w:pPr>
        <w:widowControl w:val="0"/>
        <w:ind w:firstLine="480"/>
        <w:rPr>
          <w:rFonts w:hint="eastAsia"/>
          <w:color w:val="auto"/>
          <w:u w:val="single"/>
        </w:rPr>
      </w:pPr>
      <w:r>
        <w:rPr>
          <w:rFonts w:hint="eastAsia" w:hAnsi="宋体" w:cs="宋体"/>
          <w:color w:val="auto"/>
          <w:szCs w:val="22"/>
          <w:u w:val="single"/>
        </w:rPr>
        <w:t>5.3.3投标人未参加开标或在规定的时间内未提出异议的，视为对开标无异议。</w:t>
      </w:r>
    </w:p>
    <w:p w14:paraId="10FA0DE3">
      <w:pPr>
        <w:ind w:firstLine="480"/>
        <w:rPr>
          <w:rFonts w:hint="eastAsia" w:hAnsi="宋体"/>
          <w:color w:val="auto"/>
          <w:szCs w:val="24"/>
        </w:rPr>
      </w:pPr>
      <w:bookmarkStart w:id="204" w:name="_Toc35513461"/>
    </w:p>
    <w:p w14:paraId="2886B567">
      <w:pPr>
        <w:pStyle w:val="4"/>
        <w:keepNext w:val="0"/>
        <w:keepLines w:val="0"/>
        <w:widowControl w:val="0"/>
        <w:rPr>
          <w:color w:val="auto"/>
        </w:rPr>
      </w:pPr>
      <w:bookmarkStart w:id="205" w:name="_Toc10933"/>
      <w:bookmarkStart w:id="206" w:name="_Toc22193"/>
      <w:bookmarkStart w:id="207" w:name="_Toc19206"/>
      <w:r>
        <w:rPr>
          <w:rFonts w:hint="eastAsia"/>
          <w:color w:val="auto"/>
        </w:rPr>
        <w:t>6.</w:t>
      </w:r>
      <w:r>
        <w:rPr>
          <w:color w:val="auto"/>
        </w:rPr>
        <w:t>评标</w:t>
      </w:r>
      <w:bookmarkEnd w:id="204"/>
      <w:bookmarkEnd w:id="205"/>
      <w:bookmarkEnd w:id="206"/>
      <w:bookmarkEnd w:id="207"/>
    </w:p>
    <w:p w14:paraId="660E0DD8">
      <w:pPr>
        <w:pStyle w:val="5"/>
        <w:keepNext w:val="0"/>
        <w:keepLines w:val="0"/>
        <w:ind w:firstLine="482"/>
        <w:rPr>
          <w:color w:val="auto"/>
        </w:rPr>
      </w:pPr>
      <w:bookmarkStart w:id="208" w:name="_Toc8001"/>
      <w:bookmarkStart w:id="209" w:name="_Toc970"/>
      <w:bookmarkStart w:id="210" w:name="_Toc35513462"/>
      <w:bookmarkStart w:id="211" w:name="_Toc14179"/>
      <w:r>
        <w:rPr>
          <w:color w:val="auto"/>
        </w:rPr>
        <w:t>6.1 评标委员会</w:t>
      </w:r>
      <w:bookmarkEnd w:id="208"/>
      <w:bookmarkEnd w:id="209"/>
      <w:bookmarkEnd w:id="210"/>
      <w:bookmarkEnd w:id="211"/>
    </w:p>
    <w:p w14:paraId="519F8325">
      <w:pPr>
        <w:ind w:firstLine="480"/>
        <w:rPr>
          <w:color w:val="auto"/>
        </w:rPr>
      </w:pPr>
      <w:r>
        <w:rPr>
          <w:color w:val="auto"/>
        </w:rPr>
        <w:t xml:space="preserve">6.1.1 </w:t>
      </w:r>
      <w:r>
        <w:rPr>
          <w:rFonts w:hint="eastAsia" w:hAnsi="宋体" w:cs="宋体"/>
          <w:color w:val="auto"/>
          <w:szCs w:val="24"/>
          <w:u w:val="single"/>
        </w:rPr>
        <w:t>由招标人依法组建评标委员会</w:t>
      </w:r>
      <w:r>
        <w:rPr>
          <w:color w:val="auto"/>
          <w:u w:val="single"/>
        </w:rPr>
        <w:t>。</w:t>
      </w:r>
    </w:p>
    <w:p w14:paraId="6D539F25">
      <w:pPr>
        <w:ind w:firstLine="480"/>
        <w:rPr>
          <w:color w:val="auto"/>
        </w:rPr>
      </w:pPr>
      <w:bookmarkStart w:id="212" w:name="auto_fouce_22"/>
      <w:r>
        <w:rPr>
          <w:color w:val="auto"/>
        </w:rPr>
        <w:t>6.1.2 评标委员会成员有下列情形之一的，应当回避：</w:t>
      </w:r>
    </w:p>
    <w:p w14:paraId="344BB547">
      <w:pPr>
        <w:ind w:firstLine="480"/>
        <w:rPr>
          <w:color w:val="auto"/>
        </w:rPr>
      </w:pPr>
      <w:r>
        <w:rPr>
          <w:color w:val="auto"/>
        </w:rPr>
        <w:t>（1）投标人或投标人主要负责人的近亲属；</w:t>
      </w:r>
    </w:p>
    <w:p w14:paraId="0F1E2C3F">
      <w:pPr>
        <w:ind w:firstLine="480"/>
        <w:rPr>
          <w:color w:val="auto"/>
        </w:rPr>
      </w:pPr>
      <w:r>
        <w:rPr>
          <w:color w:val="auto"/>
        </w:rPr>
        <w:t>（2）项目主管部门或者行政监督部门的人员；</w:t>
      </w:r>
    </w:p>
    <w:p w14:paraId="11163A57">
      <w:pPr>
        <w:ind w:firstLine="480"/>
        <w:rPr>
          <w:color w:val="auto"/>
        </w:rPr>
      </w:pPr>
      <w:r>
        <w:rPr>
          <w:color w:val="auto"/>
        </w:rPr>
        <w:t>（3）与投标人有经济利益关系，可能影响对投标公正评审的；</w:t>
      </w:r>
    </w:p>
    <w:p w14:paraId="6FE84A04">
      <w:pPr>
        <w:ind w:firstLine="480"/>
        <w:rPr>
          <w:color w:val="auto"/>
        </w:rPr>
      </w:pPr>
      <w:r>
        <w:rPr>
          <w:color w:val="auto"/>
        </w:rPr>
        <w:t>（4）曾因在招标、评标以及其他与招标投标有关活动中从事违法行为而受过行政处罚或刑事处罚的；</w:t>
      </w:r>
    </w:p>
    <w:p w14:paraId="5CC18B8F">
      <w:pPr>
        <w:ind w:firstLine="480"/>
        <w:rPr>
          <w:rFonts w:hint="eastAsia" w:eastAsia="宋体"/>
          <w:color w:val="auto"/>
          <w:lang w:eastAsia="zh-CN"/>
        </w:rPr>
      </w:pPr>
      <w:r>
        <w:rPr>
          <w:color w:val="auto"/>
        </w:rPr>
        <w:t>（5）与投标人有其他利害关系。</w:t>
      </w:r>
    </w:p>
    <w:bookmarkEnd w:id="212"/>
    <w:p w14:paraId="79278FEC">
      <w:pPr>
        <w:pStyle w:val="10"/>
        <w:rPr>
          <w:rFonts w:hint="default" w:hAnsi="Times New Roman"/>
          <w:color w:val="auto"/>
          <w:sz w:val="24"/>
          <w:lang w:eastAsia="zh-CN"/>
        </w:rPr>
      </w:pPr>
    </w:p>
    <w:p w14:paraId="0FF85259">
      <w:pPr>
        <w:ind w:firstLine="480"/>
        <w:rPr>
          <w:color w:val="auto"/>
        </w:rPr>
      </w:pPr>
      <w:r>
        <w:rPr>
          <w:color w:val="auto"/>
        </w:rPr>
        <w:t>6.1.3 评标过程中，评标委员会成员有回避事由、擅离职守或者因健康等原因不能继续评标的，招标人有权更换。被更换的评标委员会成员作出的评审结论无效，由更换后的评标委员会成员重新进行评审。</w:t>
      </w:r>
    </w:p>
    <w:p w14:paraId="57B03A1B">
      <w:pPr>
        <w:pStyle w:val="5"/>
        <w:ind w:firstLine="482"/>
        <w:rPr>
          <w:color w:val="auto"/>
        </w:rPr>
      </w:pPr>
      <w:bookmarkStart w:id="213" w:name="_Toc19422"/>
      <w:bookmarkStart w:id="214" w:name="_Toc35513463"/>
      <w:bookmarkStart w:id="215" w:name="_Toc18331"/>
      <w:bookmarkStart w:id="216" w:name="_Toc17554"/>
      <w:r>
        <w:rPr>
          <w:color w:val="auto"/>
        </w:rPr>
        <w:t>6.2 评标原则</w:t>
      </w:r>
      <w:bookmarkEnd w:id="213"/>
      <w:bookmarkEnd w:id="214"/>
      <w:bookmarkEnd w:id="215"/>
      <w:bookmarkEnd w:id="216"/>
    </w:p>
    <w:p w14:paraId="4F45C29B">
      <w:pPr>
        <w:ind w:firstLine="480"/>
        <w:rPr>
          <w:color w:val="auto"/>
        </w:rPr>
      </w:pPr>
      <w:r>
        <w:rPr>
          <w:color w:val="auto"/>
        </w:rPr>
        <w:t>评</w:t>
      </w:r>
      <w:bookmarkStart w:id="217" w:name="page32"/>
      <w:bookmarkEnd w:id="217"/>
      <w:r>
        <w:rPr>
          <w:color w:val="auto"/>
        </w:rPr>
        <w:t>标活动遵循公平、公正、科学和择优的原则。</w:t>
      </w:r>
    </w:p>
    <w:p w14:paraId="35B115EE">
      <w:pPr>
        <w:pStyle w:val="5"/>
        <w:ind w:firstLine="482"/>
        <w:rPr>
          <w:color w:val="auto"/>
        </w:rPr>
      </w:pPr>
      <w:bookmarkStart w:id="218" w:name="_Toc241"/>
      <w:bookmarkStart w:id="219" w:name="_Toc2394"/>
      <w:bookmarkStart w:id="220" w:name="_Toc17933"/>
      <w:bookmarkStart w:id="221" w:name="_Toc35513464"/>
      <w:r>
        <w:rPr>
          <w:color w:val="auto"/>
        </w:rPr>
        <w:t>6.3 评标</w:t>
      </w:r>
      <w:bookmarkEnd w:id="218"/>
      <w:bookmarkEnd w:id="219"/>
      <w:bookmarkEnd w:id="220"/>
      <w:bookmarkEnd w:id="221"/>
    </w:p>
    <w:p w14:paraId="6FA7F9C2">
      <w:pPr>
        <w:ind w:firstLine="480"/>
        <w:rPr>
          <w:color w:val="auto"/>
        </w:rPr>
      </w:pPr>
      <w:r>
        <w:rPr>
          <w:color w:val="auto"/>
        </w:rPr>
        <w:t>6.3.1 评标委员会按照第三章</w:t>
      </w:r>
      <w:r>
        <w:rPr>
          <w:rFonts w:hint="eastAsia"/>
          <w:color w:val="auto"/>
        </w:rPr>
        <w:t>“</w:t>
      </w:r>
      <w:r>
        <w:rPr>
          <w:color w:val="auto"/>
        </w:rPr>
        <w:t>评标办法</w:t>
      </w:r>
      <w:r>
        <w:rPr>
          <w:rFonts w:hint="eastAsia"/>
          <w:color w:val="auto"/>
        </w:rPr>
        <w:t>”</w:t>
      </w:r>
      <w:r>
        <w:rPr>
          <w:color w:val="auto"/>
        </w:rPr>
        <w:t>规定的方法、评审因素、标准和程序对投标文件进行评审。</w:t>
      </w:r>
      <w:r>
        <w:rPr>
          <w:color w:val="auto"/>
          <w:szCs w:val="22"/>
        </w:rPr>
        <w:t>第三章</w:t>
      </w:r>
      <w:r>
        <w:rPr>
          <w:rFonts w:hint="eastAsia"/>
          <w:color w:val="auto"/>
          <w:szCs w:val="22"/>
        </w:rPr>
        <w:t>“</w:t>
      </w:r>
      <w:r>
        <w:rPr>
          <w:color w:val="auto"/>
          <w:szCs w:val="22"/>
        </w:rPr>
        <w:t>评标办法</w:t>
      </w:r>
      <w:r>
        <w:rPr>
          <w:rFonts w:hint="eastAsia"/>
          <w:color w:val="auto"/>
          <w:szCs w:val="22"/>
        </w:rPr>
        <w:t>”</w:t>
      </w:r>
      <w:r>
        <w:rPr>
          <w:color w:val="auto"/>
          <w:szCs w:val="22"/>
        </w:rPr>
        <w:t>没有规定的</w:t>
      </w:r>
      <w:r>
        <w:rPr>
          <w:color w:val="auto"/>
        </w:rPr>
        <w:t>方法、评审因素和标准，不作为评标依据。</w:t>
      </w:r>
    </w:p>
    <w:p w14:paraId="4CD2DC4C">
      <w:pPr>
        <w:ind w:firstLine="480"/>
        <w:rPr>
          <w:rFonts w:hint="eastAsia"/>
          <w:color w:val="auto"/>
        </w:rPr>
      </w:pPr>
      <w:r>
        <w:rPr>
          <w:color w:val="auto"/>
        </w:rPr>
        <w:t>6.3.2 评标完成后，评标委员会应当向招标人提交书面评标报告和中标候选人名单。评标委员会推荐中标候选人的人数见投标人须知前附表。</w:t>
      </w:r>
    </w:p>
    <w:p w14:paraId="60A0C0A1">
      <w:pPr>
        <w:ind w:firstLine="364" w:firstLineChars="152"/>
        <w:rPr>
          <w:rFonts w:hAnsi="宋体"/>
          <w:color w:val="auto"/>
          <w:szCs w:val="24"/>
        </w:rPr>
      </w:pPr>
    </w:p>
    <w:p w14:paraId="320B2587">
      <w:pPr>
        <w:pStyle w:val="4"/>
        <w:widowControl w:val="0"/>
        <w:rPr>
          <w:color w:val="auto"/>
        </w:rPr>
      </w:pPr>
      <w:bookmarkStart w:id="222" w:name="_Toc35513465"/>
      <w:bookmarkStart w:id="223" w:name="_Toc9120"/>
      <w:bookmarkStart w:id="224" w:name="_Toc6035"/>
      <w:bookmarkStart w:id="225" w:name="_Toc27995"/>
      <w:r>
        <w:rPr>
          <w:rFonts w:hint="eastAsia"/>
          <w:color w:val="auto"/>
        </w:rPr>
        <w:t>7.</w:t>
      </w:r>
      <w:r>
        <w:rPr>
          <w:color w:val="auto"/>
        </w:rPr>
        <w:t>合同授予</w:t>
      </w:r>
      <w:bookmarkEnd w:id="222"/>
      <w:bookmarkEnd w:id="223"/>
      <w:bookmarkEnd w:id="224"/>
      <w:bookmarkEnd w:id="225"/>
    </w:p>
    <w:p w14:paraId="5CF663FF">
      <w:pPr>
        <w:pStyle w:val="5"/>
        <w:ind w:firstLine="482"/>
        <w:rPr>
          <w:color w:val="auto"/>
        </w:rPr>
      </w:pPr>
      <w:bookmarkStart w:id="226" w:name="_Toc1096"/>
      <w:bookmarkStart w:id="227" w:name="_Toc11738"/>
      <w:bookmarkStart w:id="228" w:name="_Toc502"/>
      <w:bookmarkStart w:id="229" w:name="_Toc35513466"/>
      <w:r>
        <w:rPr>
          <w:color w:val="auto"/>
        </w:rPr>
        <w:t>7.1 中标候选人公示</w:t>
      </w:r>
      <w:bookmarkEnd w:id="226"/>
      <w:bookmarkEnd w:id="227"/>
      <w:bookmarkEnd w:id="228"/>
      <w:bookmarkEnd w:id="229"/>
    </w:p>
    <w:p w14:paraId="21B26ABD">
      <w:pPr>
        <w:widowControl w:val="0"/>
        <w:ind w:firstLine="480"/>
        <w:rPr>
          <w:color w:val="auto"/>
        </w:rPr>
      </w:pPr>
      <w:r>
        <w:rPr>
          <w:color w:val="auto"/>
        </w:rPr>
        <w:t>招标人在收到评标报告之日起</w:t>
      </w:r>
      <w:r>
        <w:rPr>
          <w:bCs/>
          <w:color w:val="auto"/>
        </w:rPr>
        <w:t>3日内</w:t>
      </w:r>
      <w:r>
        <w:rPr>
          <w:color w:val="auto"/>
        </w:rPr>
        <w:t>，按照投标人须知前附表规定的公示媒介和期限公示中标候选人，公示期</w:t>
      </w:r>
      <w:r>
        <w:rPr>
          <w:bCs/>
          <w:color w:val="auto"/>
        </w:rPr>
        <w:t>不得少于3</w:t>
      </w:r>
      <w:r>
        <w:rPr>
          <w:rFonts w:hint="eastAsia"/>
          <w:bCs/>
          <w:color w:val="auto"/>
        </w:rPr>
        <w:t>日</w:t>
      </w:r>
      <w:r>
        <w:rPr>
          <w:color w:val="auto"/>
        </w:rPr>
        <w:t>。</w:t>
      </w:r>
      <w:r>
        <w:rPr>
          <w:rFonts w:hint="eastAsia"/>
          <w:color w:val="auto"/>
          <w:u w:val="single"/>
        </w:rPr>
        <w:t>公示最后一天为工作日。</w:t>
      </w:r>
    </w:p>
    <w:p w14:paraId="3B7CBE41">
      <w:pPr>
        <w:pStyle w:val="5"/>
        <w:ind w:firstLine="482"/>
        <w:rPr>
          <w:color w:val="auto"/>
        </w:rPr>
      </w:pPr>
      <w:bookmarkStart w:id="230" w:name="_Toc31393"/>
      <w:bookmarkStart w:id="231" w:name="_Toc12149"/>
      <w:bookmarkStart w:id="232" w:name="_Toc13233"/>
      <w:bookmarkStart w:id="233" w:name="_Toc35513467"/>
      <w:r>
        <w:rPr>
          <w:color w:val="auto"/>
        </w:rPr>
        <w:t>7.2 评标结果异议</w:t>
      </w:r>
      <w:bookmarkEnd w:id="230"/>
      <w:bookmarkEnd w:id="231"/>
      <w:bookmarkEnd w:id="232"/>
      <w:bookmarkEnd w:id="233"/>
    </w:p>
    <w:p w14:paraId="79D52180">
      <w:pPr>
        <w:widowControl w:val="0"/>
        <w:ind w:firstLine="480"/>
        <w:rPr>
          <w:rFonts w:hint="eastAsia"/>
          <w:color w:val="auto"/>
        </w:rPr>
      </w:pPr>
      <w:r>
        <w:rPr>
          <w:color w:val="auto"/>
        </w:rPr>
        <w:t>投标人或者其他利害关系人对评标结果有异议的，应当在中标候选人公示期间提出。招标人将在收到异议之日起3日内作出答复；作出答复前，将暂停招标投标活动。</w:t>
      </w:r>
    </w:p>
    <w:p w14:paraId="5DAD4687">
      <w:pPr>
        <w:pStyle w:val="5"/>
        <w:ind w:firstLine="482"/>
        <w:rPr>
          <w:color w:val="auto"/>
        </w:rPr>
      </w:pPr>
      <w:bookmarkStart w:id="234" w:name="_Toc1124"/>
      <w:bookmarkStart w:id="235" w:name="_Toc6760"/>
      <w:bookmarkStart w:id="236" w:name="_Toc666"/>
      <w:bookmarkStart w:id="237" w:name="_Toc35513468"/>
      <w:r>
        <w:rPr>
          <w:color w:val="auto"/>
        </w:rPr>
        <w:t>7.3 中标候选人履约能力审查</w:t>
      </w:r>
      <w:bookmarkEnd w:id="234"/>
      <w:bookmarkEnd w:id="235"/>
      <w:bookmarkEnd w:id="236"/>
      <w:bookmarkEnd w:id="237"/>
    </w:p>
    <w:p w14:paraId="768DA773">
      <w:pPr>
        <w:ind w:firstLine="480"/>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14:paraId="7B1056AD">
      <w:pPr>
        <w:pStyle w:val="5"/>
        <w:ind w:firstLine="482"/>
        <w:rPr>
          <w:color w:val="auto"/>
        </w:rPr>
      </w:pPr>
      <w:bookmarkStart w:id="238" w:name="_Toc1353"/>
      <w:bookmarkStart w:id="239" w:name="_Toc22028"/>
      <w:bookmarkStart w:id="240" w:name="_Toc2177"/>
      <w:bookmarkStart w:id="241" w:name="_Toc35513469"/>
      <w:r>
        <w:rPr>
          <w:color w:val="auto"/>
        </w:rPr>
        <w:t>7.4 定标</w:t>
      </w:r>
      <w:bookmarkEnd w:id="238"/>
      <w:bookmarkEnd w:id="239"/>
      <w:bookmarkEnd w:id="240"/>
      <w:bookmarkEnd w:id="241"/>
    </w:p>
    <w:p w14:paraId="12C70048">
      <w:pPr>
        <w:ind w:firstLine="480"/>
        <w:rPr>
          <w:color w:val="auto"/>
        </w:rPr>
      </w:pPr>
      <w:r>
        <w:rPr>
          <w:color w:val="auto"/>
        </w:rPr>
        <w:t>按照投标人须知前附表的规定，招标人或招标人授权的评标委员会依法确定中标人。</w:t>
      </w:r>
    </w:p>
    <w:p w14:paraId="3FC1E2BB">
      <w:pPr>
        <w:pStyle w:val="5"/>
        <w:ind w:firstLine="482"/>
        <w:rPr>
          <w:color w:val="auto"/>
        </w:rPr>
      </w:pPr>
      <w:bookmarkStart w:id="242" w:name="_Toc10211"/>
      <w:bookmarkStart w:id="243" w:name="_Toc35513470"/>
      <w:bookmarkStart w:id="244" w:name="_Toc15594"/>
      <w:bookmarkStart w:id="245" w:name="_Toc25055"/>
      <w:r>
        <w:rPr>
          <w:color w:val="auto"/>
        </w:rPr>
        <w:t>7.5 中标通知</w:t>
      </w:r>
      <w:bookmarkEnd w:id="242"/>
      <w:bookmarkEnd w:id="243"/>
      <w:bookmarkEnd w:id="244"/>
      <w:bookmarkEnd w:id="245"/>
    </w:p>
    <w:p w14:paraId="12E16F3A">
      <w:pPr>
        <w:ind w:firstLine="480"/>
        <w:rPr>
          <w:color w:val="auto"/>
        </w:rPr>
      </w:pPr>
      <w:r>
        <w:rPr>
          <w:rFonts w:hint="eastAsia" w:hAnsi="宋体"/>
          <w:color w:val="auto"/>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w:t>
      </w:r>
    </w:p>
    <w:p w14:paraId="32E16F70">
      <w:pPr>
        <w:pStyle w:val="5"/>
        <w:ind w:firstLine="482"/>
        <w:rPr>
          <w:strike w:val="0"/>
          <w:color w:val="auto"/>
        </w:rPr>
      </w:pPr>
      <w:bookmarkStart w:id="246" w:name="_Toc27944"/>
      <w:bookmarkStart w:id="247" w:name="_Toc35513471"/>
      <w:bookmarkStart w:id="248" w:name="_Toc6485"/>
      <w:bookmarkStart w:id="249" w:name="_Toc25349"/>
      <w:r>
        <w:rPr>
          <w:strike w:val="0"/>
          <w:color w:val="auto"/>
        </w:rPr>
        <w:t>7.6 履约保证金</w:t>
      </w:r>
      <w:bookmarkEnd w:id="246"/>
      <w:bookmarkEnd w:id="247"/>
      <w:bookmarkEnd w:id="248"/>
      <w:bookmarkEnd w:id="249"/>
    </w:p>
    <w:p w14:paraId="468D3B64">
      <w:pPr>
        <w:ind w:firstLine="480"/>
        <w:rPr>
          <w:strike w:val="0"/>
          <w:color w:val="auto"/>
        </w:rPr>
      </w:pPr>
      <w:bookmarkStart w:id="250" w:name="auto_fouce_23"/>
      <w:bookmarkStart w:id="251" w:name="_Toc35513472"/>
      <w:r>
        <w:rPr>
          <w:strike w:val="0"/>
          <w:color w:val="auto"/>
        </w:rPr>
        <w:t>7.6.1 在签订合同前，中标人应按投标人须知</w:t>
      </w:r>
      <w:bookmarkStart w:id="252" w:name="page33"/>
      <w:bookmarkEnd w:id="252"/>
      <w:r>
        <w:rPr>
          <w:strike w:val="0"/>
          <w:color w:val="auto"/>
        </w:rPr>
        <w:t>前附表规定的形式、金额和招标文件第四章</w:t>
      </w:r>
      <w:r>
        <w:rPr>
          <w:rFonts w:hint="eastAsia"/>
          <w:strike w:val="0"/>
          <w:color w:val="auto"/>
        </w:rPr>
        <w:t>“</w:t>
      </w:r>
      <w:r>
        <w:rPr>
          <w:strike w:val="0"/>
          <w:color w:val="auto"/>
        </w:rPr>
        <w:t>合同条款及格式</w:t>
      </w:r>
      <w:r>
        <w:rPr>
          <w:rFonts w:hint="eastAsia"/>
          <w:strike w:val="0"/>
          <w:color w:val="auto"/>
        </w:rPr>
        <w:t>”</w:t>
      </w:r>
      <w:r>
        <w:rPr>
          <w:strike w:val="0"/>
          <w:color w:val="auto"/>
        </w:rPr>
        <w:t>规定的或者事先经过招标人书面认可的履约保证金格式向招标人提交履约保证金。</w:t>
      </w:r>
      <w:bookmarkEnd w:id="250"/>
      <w:r>
        <w:rPr>
          <w:strike w:val="0"/>
          <w:color w:val="auto"/>
        </w:rPr>
        <w:t>除投标人须知前附表另有规定外，履约保证金为中标合同金额的</w:t>
      </w:r>
      <w:r>
        <w:rPr>
          <w:rFonts w:hint="eastAsia"/>
          <w:strike w:val="0"/>
          <w:color w:val="auto"/>
          <w:u w:val="single"/>
        </w:rPr>
        <w:t>10</w:t>
      </w:r>
      <w:r>
        <w:rPr>
          <w:strike w:val="0"/>
          <w:color w:val="auto"/>
        </w:rPr>
        <w:t>%。联合体中标的，其履约保证金以联合体各方或者联合体中牵头人的名义提交。</w:t>
      </w:r>
    </w:p>
    <w:p w14:paraId="60C7E8E5">
      <w:pPr>
        <w:ind w:firstLine="480"/>
        <w:rPr>
          <w:strike w:val="0"/>
          <w:color w:val="auto"/>
        </w:rPr>
      </w:pPr>
      <w:r>
        <w:rPr>
          <w:rFonts w:hint="eastAsia" w:hAnsi="宋体"/>
          <w:strike w:val="0"/>
          <w:color w:val="auto"/>
          <w:szCs w:val="21"/>
        </w:rPr>
        <w:t>7.6.2 中标人不能按本章第7.6.1项要求提交履约保证金的，视为放弃中标</w:t>
      </w:r>
      <w:r>
        <w:rPr>
          <w:rFonts w:hint="eastAsia" w:hAnsi="宋体"/>
          <w:strike/>
          <w:color w:val="auto"/>
          <w:szCs w:val="21"/>
        </w:rPr>
        <w:t>，其投标保证金不予退还，给招标人造成的损失超过投标保证金数额的，中标人还应当对超过部分予以赔偿</w:t>
      </w:r>
      <w:r>
        <w:rPr>
          <w:rFonts w:hint="eastAsia" w:hAnsi="宋体"/>
          <w:strike w:val="0"/>
          <w:color w:val="auto"/>
          <w:szCs w:val="21"/>
        </w:rPr>
        <w:t>。</w:t>
      </w:r>
    </w:p>
    <w:p w14:paraId="75723758">
      <w:pPr>
        <w:pStyle w:val="5"/>
        <w:ind w:firstLine="482"/>
        <w:rPr>
          <w:rFonts w:hint="eastAsia"/>
          <w:color w:val="auto"/>
        </w:rPr>
      </w:pPr>
      <w:bookmarkStart w:id="253" w:name="_Toc2611"/>
      <w:bookmarkStart w:id="254" w:name="_Toc21627"/>
      <w:bookmarkStart w:id="255" w:name="_Toc8922"/>
      <w:r>
        <w:rPr>
          <w:color w:val="auto"/>
        </w:rPr>
        <w:t>7.7 签订合同</w:t>
      </w:r>
      <w:bookmarkEnd w:id="251"/>
      <w:bookmarkEnd w:id="253"/>
      <w:bookmarkEnd w:id="254"/>
      <w:bookmarkEnd w:id="255"/>
    </w:p>
    <w:p w14:paraId="0DE24969">
      <w:pPr>
        <w:widowControl w:val="0"/>
        <w:ind w:firstLine="480"/>
        <w:rPr>
          <w:rFonts w:hint="eastAsia"/>
          <w:color w:val="auto"/>
        </w:rPr>
      </w:pPr>
      <w:bookmarkStart w:id="256" w:name="auto_fouce_24"/>
      <w:r>
        <w:rPr>
          <w:color w:val="auto"/>
        </w:rPr>
        <w:t>7.7.1 招标人和中标人应当在中标通知书发出之日起30日内，根据招标文件和中标人的投标文件订立书面合同。</w:t>
      </w:r>
      <w:bookmarkEnd w:id="256"/>
      <w:r>
        <w:rPr>
          <w:color w:val="auto"/>
        </w:rPr>
        <w:t>中标人无正当理由拒签合同，在签订合同时向招标人提出附加条件</w:t>
      </w:r>
      <w:r>
        <w:rPr>
          <w:rFonts w:hint="eastAsia"/>
          <w:color w:val="auto"/>
        </w:rPr>
        <w:t>，</w:t>
      </w:r>
      <w:r>
        <w:rPr>
          <w:rFonts w:hint="eastAsia" w:hAnsi="Times New Roman" w:eastAsia="宋体"/>
          <w:strike w:val="0"/>
          <w:color w:val="auto"/>
          <w:sz w:val="24"/>
        </w:rPr>
        <w:t>或者不按照招标文件要求提交履约保证金的，</w:t>
      </w:r>
      <w:r>
        <w:rPr>
          <w:color w:val="auto"/>
        </w:rPr>
        <w:t>招标人有权取消其中标资格</w:t>
      </w:r>
      <w:r>
        <w:rPr>
          <w:rFonts w:hint="eastAsia"/>
          <w:strike/>
          <w:color w:val="auto"/>
        </w:rPr>
        <w:t>，其投标保证金不予退还</w:t>
      </w:r>
      <w:r>
        <w:rPr>
          <w:rFonts w:hint="eastAsia"/>
          <w:color w:val="auto"/>
        </w:rPr>
        <w:t>；给招标人造成的损失</w:t>
      </w:r>
      <w:r>
        <w:rPr>
          <w:rFonts w:hint="eastAsia"/>
          <w:strike/>
          <w:color w:val="auto"/>
        </w:rPr>
        <w:t>超过投标保证金数额</w:t>
      </w:r>
      <w:r>
        <w:rPr>
          <w:rFonts w:hint="eastAsia"/>
          <w:color w:val="auto"/>
        </w:rPr>
        <w:t>的，</w:t>
      </w:r>
      <w:r>
        <w:rPr>
          <w:color w:val="auto"/>
        </w:rPr>
        <w:t>中标人还应当</w:t>
      </w:r>
      <w:r>
        <w:rPr>
          <w:rFonts w:hint="eastAsia"/>
          <w:color w:val="auto"/>
        </w:rPr>
        <w:t>对超过部分</w:t>
      </w:r>
      <w:r>
        <w:rPr>
          <w:color w:val="auto"/>
        </w:rPr>
        <w:t>予以赔偿。</w:t>
      </w:r>
    </w:p>
    <w:p w14:paraId="2AFA9BDC">
      <w:pPr>
        <w:widowControl w:val="0"/>
        <w:ind w:firstLine="480"/>
        <w:rPr>
          <w:rFonts w:hint="eastAsia" w:eastAsia="宋体"/>
          <w:color w:val="auto"/>
          <w:lang w:eastAsia="zh-CN"/>
        </w:rPr>
      </w:pPr>
      <w:bookmarkStart w:id="257" w:name="auto_fouce_25"/>
      <w:r>
        <w:rPr>
          <w:color w:val="auto"/>
        </w:rPr>
        <w:t>7.7.2 发出中标通知书后，招标人无正当理由拒签合同，或者在签订合同时向中标人提出附加条件的，</w:t>
      </w:r>
      <w:r>
        <w:rPr>
          <w:rFonts w:hint="eastAsia"/>
          <w:color w:val="auto"/>
        </w:rPr>
        <w:t>招标人向中标人退还投标保证金；</w:t>
      </w:r>
      <w:r>
        <w:rPr>
          <w:color w:val="auto"/>
        </w:rPr>
        <w:t>给中标人造成损失的，还应当赔偿损失。</w:t>
      </w:r>
      <w:bookmarkEnd w:id="257"/>
    </w:p>
    <w:p w14:paraId="7071D729">
      <w:pPr>
        <w:widowControl w:val="0"/>
        <w:ind w:firstLine="480"/>
        <w:rPr>
          <w:strike/>
          <w:color w:val="auto"/>
        </w:rPr>
      </w:pPr>
      <w:r>
        <w:rPr>
          <w:strike/>
          <w:color w:val="auto"/>
        </w:rPr>
        <w:t>7.7.3 联合体中标的，联合体各方应当共同与招标人签订合同，就中标项目向招标人承担连带责任。</w:t>
      </w:r>
    </w:p>
    <w:p w14:paraId="3D2CB43D">
      <w:pPr>
        <w:ind w:firstLine="364" w:firstLineChars="152"/>
        <w:rPr>
          <w:rFonts w:hAnsi="宋体"/>
          <w:color w:val="auto"/>
          <w:szCs w:val="24"/>
        </w:rPr>
      </w:pPr>
    </w:p>
    <w:p w14:paraId="2A78A395">
      <w:pPr>
        <w:pStyle w:val="4"/>
        <w:keepNext/>
        <w:keepLines/>
        <w:widowControl w:val="0"/>
        <w:rPr>
          <w:color w:val="auto"/>
        </w:rPr>
      </w:pPr>
      <w:bookmarkStart w:id="258" w:name="_Toc35513473"/>
      <w:bookmarkStart w:id="259" w:name="_Toc3079"/>
      <w:bookmarkStart w:id="260" w:name="_Toc17947"/>
      <w:bookmarkStart w:id="261" w:name="_Toc32264"/>
      <w:r>
        <w:rPr>
          <w:color w:val="auto"/>
        </w:rPr>
        <w:t>8.纪律和监督</w:t>
      </w:r>
      <w:bookmarkEnd w:id="258"/>
      <w:bookmarkEnd w:id="259"/>
      <w:bookmarkEnd w:id="260"/>
      <w:bookmarkEnd w:id="261"/>
    </w:p>
    <w:p w14:paraId="1B937405">
      <w:pPr>
        <w:pStyle w:val="5"/>
        <w:keepNext/>
        <w:keepLines/>
        <w:ind w:firstLine="482"/>
        <w:rPr>
          <w:color w:val="auto"/>
        </w:rPr>
      </w:pPr>
      <w:bookmarkStart w:id="262" w:name="_Toc35513474"/>
      <w:bookmarkStart w:id="263" w:name="_Toc31409"/>
      <w:bookmarkStart w:id="264" w:name="_Toc19393"/>
      <w:bookmarkStart w:id="265" w:name="_Toc20683"/>
      <w:r>
        <w:rPr>
          <w:color w:val="auto"/>
        </w:rPr>
        <w:t>8.1 对招标人的纪律要求</w:t>
      </w:r>
      <w:bookmarkEnd w:id="262"/>
      <w:bookmarkEnd w:id="263"/>
      <w:bookmarkEnd w:id="264"/>
      <w:bookmarkEnd w:id="265"/>
    </w:p>
    <w:p w14:paraId="1A3EBCD6">
      <w:pPr>
        <w:widowControl w:val="0"/>
        <w:ind w:firstLine="480"/>
        <w:rPr>
          <w:color w:val="auto"/>
        </w:rPr>
      </w:pPr>
      <w:r>
        <w:rPr>
          <w:color w:val="auto"/>
        </w:rPr>
        <w:t>招标人不得泄露招标投标活动中应当保密的情况和资料，不得与投标人串通损害国家利益、社会公共利益或者他人合法权益。</w:t>
      </w:r>
    </w:p>
    <w:p w14:paraId="68886B12">
      <w:pPr>
        <w:pStyle w:val="5"/>
        <w:keepNext/>
        <w:keepLines/>
        <w:ind w:firstLine="482"/>
        <w:rPr>
          <w:rFonts w:hint="eastAsia" w:ascii="宋体" w:eastAsia="宋体" w:cs="Times New Roman"/>
          <w:color w:val="auto"/>
          <w:lang w:eastAsia="zh-CN"/>
        </w:rPr>
      </w:pPr>
      <w:bookmarkStart w:id="266" w:name="_Toc15702"/>
      <w:bookmarkStart w:id="267" w:name="_Toc35513475"/>
      <w:bookmarkStart w:id="268" w:name="_Toc2217"/>
      <w:bookmarkStart w:id="269" w:name="_Toc15856"/>
      <w:r>
        <w:rPr>
          <w:rFonts w:ascii="宋体" w:eastAsia="宋体" w:cs="Times New Roman"/>
          <w:color w:val="auto"/>
        </w:rPr>
        <w:t>8.2 对投标人的纪律要求</w:t>
      </w:r>
      <w:bookmarkEnd w:id="266"/>
      <w:bookmarkEnd w:id="267"/>
      <w:bookmarkEnd w:id="268"/>
      <w:bookmarkEnd w:id="269"/>
      <w:bookmarkStart w:id="270" w:name="auto_fouce_26"/>
    </w:p>
    <w:bookmarkEnd w:id="270"/>
    <w:p w14:paraId="28F00FB2">
      <w:pPr>
        <w:ind w:firstLine="480"/>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E818C12">
      <w:pPr>
        <w:pStyle w:val="5"/>
        <w:ind w:firstLine="482"/>
        <w:rPr>
          <w:color w:val="auto"/>
        </w:rPr>
      </w:pPr>
      <w:bookmarkStart w:id="271" w:name="_Toc21524"/>
      <w:bookmarkStart w:id="272" w:name="_Toc35513476"/>
      <w:bookmarkStart w:id="273" w:name="_Toc17268"/>
      <w:bookmarkStart w:id="274" w:name="_Toc4139"/>
      <w:r>
        <w:rPr>
          <w:color w:val="auto"/>
        </w:rPr>
        <w:t>8.3 对评标委员会成员的纪律要求</w:t>
      </w:r>
      <w:bookmarkEnd w:id="271"/>
      <w:bookmarkEnd w:id="272"/>
      <w:bookmarkEnd w:id="273"/>
      <w:bookmarkEnd w:id="274"/>
    </w:p>
    <w:p w14:paraId="27CAD986">
      <w:pPr>
        <w:ind w:firstLine="480"/>
        <w:rPr>
          <w:color w:val="auto"/>
        </w:rPr>
      </w:pPr>
      <w:r>
        <w:rPr>
          <w:color w:val="auto"/>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w:t>
      </w:r>
      <w:bookmarkStart w:id="275" w:name="page34"/>
      <w:bookmarkEnd w:id="275"/>
      <w:r>
        <w:rPr>
          <w:color w:val="auto"/>
        </w:rPr>
        <w:t>擅离职守，影响评标程序正常进行，不得使用第三章</w:t>
      </w:r>
      <w:r>
        <w:rPr>
          <w:rFonts w:hint="eastAsia"/>
          <w:color w:val="auto"/>
        </w:rPr>
        <w:t>“</w:t>
      </w:r>
      <w:r>
        <w:rPr>
          <w:color w:val="auto"/>
        </w:rPr>
        <w:t>评标办法</w:t>
      </w:r>
      <w:r>
        <w:rPr>
          <w:rFonts w:hint="eastAsia"/>
          <w:color w:val="auto"/>
        </w:rPr>
        <w:t>”</w:t>
      </w:r>
      <w:r>
        <w:rPr>
          <w:color w:val="auto"/>
        </w:rPr>
        <w:t>没有规定的评审因素和标准进行评标。</w:t>
      </w:r>
    </w:p>
    <w:p w14:paraId="446FB334">
      <w:pPr>
        <w:pStyle w:val="5"/>
        <w:ind w:firstLine="482"/>
        <w:rPr>
          <w:color w:val="auto"/>
        </w:rPr>
      </w:pPr>
      <w:bookmarkStart w:id="276" w:name="_Toc28065"/>
      <w:bookmarkStart w:id="277" w:name="_Toc35513477"/>
      <w:bookmarkStart w:id="278" w:name="_Toc3670"/>
      <w:bookmarkStart w:id="279" w:name="_Toc13354"/>
      <w:r>
        <w:rPr>
          <w:color w:val="auto"/>
        </w:rPr>
        <w:t>8.4 对与评标活动有关的工作人员的纪律要求</w:t>
      </w:r>
      <w:bookmarkEnd w:id="276"/>
      <w:bookmarkEnd w:id="277"/>
      <w:bookmarkEnd w:id="278"/>
      <w:bookmarkEnd w:id="279"/>
    </w:p>
    <w:p w14:paraId="7091629F">
      <w:pPr>
        <w:ind w:firstLine="480"/>
        <w:rPr>
          <w:color w:val="auto"/>
        </w:rPr>
      </w:pPr>
      <w:r>
        <w:rPr>
          <w:color w:val="auto"/>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A89D728">
      <w:pPr>
        <w:pStyle w:val="5"/>
        <w:ind w:firstLine="482"/>
        <w:rPr>
          <w:color w:val="auto"/>
        </w:rPr>
      </w:pPr>
      <w:bookmarkStart w:id="280" w:name="_Toc15015"/>
      <w:bookmarkStart w:id="281" w:name="_Toc32723"/>
      <w:bookmarkStart w:id="282" w:name="_Toc11578"/>
      <w:bookmarkStart w:id="283" w:name="_Toc35513478"/>
      <w:r>
        <w:rPr>
          <w:color w:val="auto"/>
        </w:rPr>
        <w:t>8.5 投诉</w:t>
      </w:r>
      <w:bookmarkEnd w:id="280"/>
      <w:bookmarkEnd w:id="281"/>
      <w:bookmarkEnd w:id="282"/>
      <w:bookmarkEnd w:id="283"/>
    </w:p>
    <w:p w14:paraId="00C72354">
      <w:pPr>
        <w:ind w:firstLine="480"/>
        <w:rPr>
          <w:color w:val="auto"/>
        </w:rPr>
      </w:pPr>
      <w:r>
        <w:rPr>
          <w:color w:val="auto"/>
        </w:rPr>
        <w:t>8.5.1 投标人或者其他利害关系人认为招标投标活动不符合法律、行政法规规定的，可以自知道或者应当知道之日起10日内向有关行政监督部门投诉。投诉应当有明确的请求和必要的证明材料。</w:t>
      </w:r>
    </w:p>
    <w:p w14:paraId="53EFF3F1">
      <w:pPr>
        <w:widowControl w:val="0"/>
        <w:ind w:firstLine="480"/>
        <w:rPr>
          <w:color w:val="auto"/>
        </w:rPr>
      </w:pPr>
      <w:r>
        <w:rPr>
          <w:color w:val="auto"/>
        </w:rPr>
        <w:t>8.5.2 投标人或者其他利害关系人对招标文件、开标和评标结果提出投诉的，应当按照投标人须知第2.4款、第5.3款和第7.2款的规定先向招标人提出异议。异议答复期间不计算在第8.5.1项规定的期限内。</w:t>
      </w:r>
    </w:p>
    <w:p w14:paraId="28969600">
      <w:pPr>
        <w:ind w:firstLine="480"/>
        <w:rPr>
          <w:rFonts w:hAnsi="宋体"/>
          <w:color w:val="auto"/>
          <w:szCs w:val="24"/>
        </w:rPr>
      </w:pPr>
    </w:p>
    <w:p w14:paraId="0FA91902">
      <w:pPr>
        <w:pStyle w:val="4"/>
        <w:rPr>
          <w:color w:val="auto"/>
        </w:rPr>
      </w:pPr>
      <w:bookmarkStart w:id="284" w:name="_Toc18333"/>
      <w:bookmarkStart w:id="285" w:name="_Toc14314"/>
      <w:bookmarkStart w:id="286" w:name="_Toc2735"/>
      <w:bookmarkStart w:id="287" w:name="_Toc35513479"/>
      <w:r>
        <w:rPr>
          <w:rFonts w:hint="eastAsia"/>
          <w:color w:val="auto"/>
        </w:rPr>
        <w:t>9.</w:t>
      </w:r>
      <w:r>
        <w:rPr>
          <w:color w:val="auto"/>
        </w:rPr>
        <w:t>是否采用电子招标投标</w:t>
      </w:r>
      <w:bookmarkEnd w:id="284"/>
      <w:bookmarkEnd w:id="285"/>
      <w:bookmarkEnd w:id="286"/>
      <w:bookmarkEnd w:id="287"/>
    </w:p>
    <w:p w14:paraId="69E1E0BF">
      <w:pPr>
        <w:ind w:firstLine="480"/>
        <w:rPr>
          <w:color w:val="auto"/>
        </w:rPr>
      </w:pPr>
      <w:r>
        <w:rPr>
          <w:color w:val="auto"/>
        </w:rPr>
        <w:t>本招标项目是否采用电子招标投标方式，见投标人须知前附表。</w:t>
      </w:r>
    </w:p>
    <w:p w14:paraId="37C2E958">
      <w:pPr>
        <w:ind w:firstLine="480"/>
        <w:rPr>
          <w:rFonts w:hAnsi="宋体"/>
          <w:color w:val="auto"/>
          <w:szCs w:val="24"/>
        </w:rPr>
      </w:pPr>
    </w:p>
    <w:p w14:paraId="71018B9A">
      <w:pPr>
        <w:pStyle w:val="4"/>
        <w:rPr>
          <w:rFonts w:hint="eastAsia"/>
          <w:color w:val="auto"/>
        </w:rPr>
      </w:pPr>
      <w:bookmarkStart w:id="288" w:name="_Toc28934"/>
      <w:bookmarkStart w:id="289" w:name="_Toc16160"/>
      <w:bookmarkStart w:id="290" w:name="_Toc9069"/>
      <w:bookmarkStart w:id="291" w:name="_Toc35513480"/>
      <w:r>
        <w:rPr>
          <w:rFonts w:hint="eastAsia"/>
          <w:color w:val="auto"/>
        </w:rPr>
        <w:t xml:space="preserve">10. </w:t>
      </w:r>
      <w:r>
        <w:rPr>
          <w:color w:val="auto"/>
        </w:rPr>
        <w:t>需要补充的其他内容</w:t>
      </w:r>
      <w:bookmarkEnd w:id="288"/>
      <w:bookmarkEnd w:id="289"/>
      <w:bookmarkEnd w:id="290"/>
      <w:bookmarkEnd w:id="291"/>
    </w:p>
    <w:p w14:paraId="5DDEA41D">
      <w:pPr>
        <w:ind w:firstLine="480"/>
        <w:rPr>
          <w:color w:val="auto"/>
        </w:rPr>
      </w:pPr>
      <w:bookmarkStart w:id="292" w:name="page35"/>
      <w:bookmarkEnd w:id="292"/>
      <w:r>
        <w:rPr>
          <w:color w:val="auto"/>
        </w:rPr>
        <w:t>要补充的其他内容：见投标人须知前附表。</w:t>
      </w:r>
    </w:p>
    <w:p w14:paraId="676F336B">
      <w:pPr>
        <w:pStyle w:val="4"/>
        <w:rPr>
          <w:color w:val="auto"/>
        </w:rPr>
      </w:pPr>
      <w:r>
        <w:rPr>
          <w:b w:val="0"/>
          <w:color w:val="auto"/>
          <w:sz w:val="28"/>
        </w:rPr>
        <w:br w:type="page"/>
      </w:r>
      <w:bookmarkStart w:id="293" w:name="_Toc19884"/>
      <w:bookmarkStart w:id="294" w:name="_Toc7848"/>
      <w:bookmarkStart w:id="295" w:name="_Toc1936"/>
      <w:bookmarkStart w:id="296" w:name="_Toc22766"/>
      <w:bookmarkStart w:id="297" w:name="_Toc534882199"/>
      <w:bookmarkStart w:id="298" w:name="_Toc35513481"/>
      <w:bookmarkStart w:id="299" w:name="_Toc26773"/>
      <w:bookmarkStart w:id="300" w:name="_Toc21827"/>
      <w:r>
        <w:rPr>
          <w:rFonts w:hint="eastAsia"/>
          <w:color w:val="auto"/>
        </w:rPr>
        <w:t>附件一：开标记录表</w:t>
      </w:r>
      <w:bookmarkEnd w:id="293"/>
      <w:bookmarkEnd w:id="294"/>
      <w:bookmarkEnd w:id="295"/>
      <w:bookmarkEnd w:id="296"/>
      <w:bookmarkEnd w:id="297"/>
      <w:bookmarkEnd w:id="298"/>
      <w:bookmarkEnd w:id="299"/>
      <w:bookmarkEnd w:id="300"/>
    </w:p>
    <w:p w14:paraId="6058395B">
      <w:pPr>
        <w:ind w:firstLine="643"/>
        <w:jc w:val="center"/>
        <w:rPr>
          <w:rFonts w:hint="eastAsia" w:hAnsi="宋体"/>
          <w:b/>
          <w:color w:val="auto"/>
          <w:sz w:val="32"/>
          <w:szCs w:val="32"/>
        </w:rPr>
      </w:pPr>
    </w:p>
    <w:p w14:paraId="556E1196">
      <w:pPr>
        <w:ind w:firstLine="643"/>
        <w:jc w:val="center"/>
        <w:rPr>
          <w:rFonts w:hAnsi="宋体"/>
          <w:b/>
          <w:color w:val="auto"/>
          <w:sz w:val="32"/>
          <w:szCs w:val="32"/>
        </w:rPr>
      </w:pPr>
      <w:r>
        <w:rPr>
          <w:rFonts w:hint="eastAsia" w:hAnsi="宋体"/>
          <w:b/>
          <w:color w:val="auto"/>
          <w:sz w:val="32"/>
          <w:szCs w:val="32"/>
        </w:rPr>
        <w:t>开标记录表（以交易中心系统最终导出的为准）</w:t>
      </w:r>
    </w:p>
    <w:p w14:paraId="32D5037D">
      <w:pPr>
        <w:ind w:firstLine="480"/>
        <w:jc w:val="left"/>
        <w:rPr>
          <w:rFonts w:hAnsi="宋体"/>
          <w:color w:val="auto"/>
        </w:rPr>
      </w:pPr>
      <w:r>
        <w:rPr>
          <w:rFonts w:hint="eastAsia" w:hAnsi="宋体"/>
          <w:color w:val="auto"/>
        </w:rPr>
        <w:t>开标时间：</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r>
        <w:rPr>
          <w:rFonts w:hint="eastAsia" w:hAnsi="宋体"/>
          <w:color w:val="auto"/>
          <w:u w:val="single"/>
        </w:rPr>
        <w:t xml:space="preserve">     </w:t>
      </w:r>
      <w:r>
        <w:rPr>
          <w:rFonts w:hint="eastAsia" w:hAnsi="宋体"/>
          <w:color w:val="auto"/>
        </w:rPr>
        <w:t>时</w:t>
      </w:r>
      <w:r>
        <w:rPr>
          <w:rFonts w:hint="eastAsia" w:hAnsi="宋体"/>
          <w:color w:val="auto"/>
          <w:u w:val="single"/>
        </w:rPr>
        <w:t xml:space="preserve">     </w:t>
      </w:r>
      <w:r>
        <w:rPr>
          <w:rFonts w:hint="eastAsia" w:hAnsi="宋体"/>
          <w:color w:val="auto"/>
        </w:rPr>
        <w:t>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2"/>
        <w:gridCol w:w="808"/>
        <w:gridCol w:w="873"/>
        <w:gridCol w:w="993"/>
        <w:gridCol w:w="1552"/>
        <w:gridCol w:w="915"/>
        <w:gridCol w:w="913"/>
        <w:gridCol w:w="1334"/>
      </w:tblGrid>
      <w:tr w14:paraId="47DE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59086D0B">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default" w:hAnsi="宋体" w:cs="Times New Roman"/>
                <w:color w:val="auto"/>
                <w:sz w:val="18"/>
                <w:szCs w:val="24"/>
              </w:rPr>
              <w:t>序号</w:t>
            </w:r>
          </w:p>
        </w:tc>
        <w:tc>
          <w:tcPr>
            <w:tcW w:w="808" w:type="dxa"/>
            <w:noWrap w:val="0"/>
            <w:vAlign w:val="center"/>
          </w:tcPr>
          <w:p w14:paraId="6ABD68F4">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default" w:hAnsi="宋体" w:cs="Times New Roman"/>
                <w:color w:val="auto"/>
                <w:sz w:val="18"/>
                <w:szCs w:val="24"/>
              </w:rPr>
              <w:t>投标人</w:t>
            </w:r>
          </w:p>
        </w:tc>
        <w:tc>
          <w:tcPr>
            <w:tcW w:w="873" w:type="dxa"/>
            <w:noWrap w:val="0"/>
            <w:vAlign w:val="center"/>
          </w:tcPr>
          <w:p w14:paraId="67CCC698">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default" w:hAnsi="宋体" w:cs="Times New Roman"/>
                <w:color w:val="auto"/>
                <w:sz w:val="18"/>
                <w:szCs w:val="18"/>
              </w:rPr>
              <w:t>投标文件递交情况</w:t>
            </w:r>
          </w:p>
        </w:tc>
        <w:tc>
          <w:tcPr>
            <w:tcW w:w="993" w:type="dxa"/>
            <w:noWrap w:val="0"/>
            <w:vAlign w:val="center"/>
          </w:tcPr>
          <w:p w14:paraId="2C54CE29">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default" w:hAnsi="宋体" w:cs="Times New Roman"/>
                <w:color w:val="auto"/>
                <w:sz w:val="18"/>
                <w:szCs w:val="18"/>
              </w:rPr>
              <w:t>投标文件解密情况</w:t>
            </w:r>
          </w:p>
        </w:tc>
        <w:tc>
          <w:tcPr>
            <w:tcW w:w="1552" w:type="dxa"/>
            <w:noWrap w:val="0"/>
            <w:vAlign w:val="center"/>
          </w:tcPr>
          <w:p w14:paraId="694A5C0F">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default" w:hAnsi="宋体" w:cs="Times New Roman"/>
                <w:color w:val="auto"/>
                <w:sz w:val="18"/>
                <w:szCs w:val="24"/>
              </w:rPr>
              <w:t>投标报价（元）</w:t>
            </w:r>
          </w:p>
        </w:tc>
        <w:tc>
          <w:tcPr>
            <w:tcW w:w="915" w:type="dxa"/>
            <w:noWrap w:val="0"/>
            <w:vAlign w:val="center"/>
          </w:tcPr>
          <w:p w14:paraId="530007B3">
            <w:pPr>
              <w:keepNext w:val="0"/>
              <w:keepLines w:val="0"/>
              <w:widowControl/>
              <w:suppressLineNumbers w:val="0"/>
              <w:spacing w:before="0" w:beforeAutospacing="0" w:after="0" w:afterAutospacing="0" w:line="240" w:lineRule="auto"/>
              <w:ind w:left="0" w:right="0" w:firstLine="0" w:firstLineChars="0"/>
              <w:jc w:val="center"/>
              <w:rPr>
                <w:rFonts w:hint="default" w:hAnsi="宋体" w:cs="宋体"/>
                <w:color w:val="auto"/>
                <w:sz w:val="21"/>
                <w:szCs w:val="21"/>
              </w:rPr>
            </w:pPr>
            <w:r>
              <w:rPr>
                <w:rFonts w:hint="eastAsia" w:hAnsi="宋体" w:cs="Times New Roman"/>
                <w:color w:val="auto"/>
                <w:sz w:val="18"/>
                <w:szCs w:val="24"/>
              </w:rPr>
              <w:t>项目负责人</w:t>
            </w:r>
          </w:p>
        </w:tc>
        <w:tc>
          <w:tcPr>
            <w:tcW w:w="913" w:type="dxa"/>
            <w:noWrap w:val="0"/>
            <w:vAlign w:val="center"/>
          </w:tcPr>
          <w:p w14:paraId="0D0EA89A">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default" w:hAnsi="宋体" w:cs="Times New Roman"/>
                <w:color w:val="auto"/>
                <w:sz w:val="18"/>
                <w:szCs w:val="24"/>
              </w:rPr>
              <w:t>服务期限</w:t>
            </w:r>
          </w:p>
        </w:tc>
        <w:tc>
          <w:tcPr>
            <w:tcW w:w="1334" w:type="dxa"/>
            <w:noWrap w:val="0"/>
            <w:vAlign w:val="center"/>
          </w:tcPr>
          <w:p w14:paraId="0B4D3880">
            <w:pPr>
              <w:keepNext w:val="0"/>
              <w:keepLines w:val="0"/>
              <w:widowControl/>
              <w:suppressLineNumbers w:val="0"/>
              <w:spacing w:before="0" w:beforeAutospacing="0" w:after="0" w:afterAutospacing="0" w:line="240" w:lineRule="auto"/>
              <w:ind w:left="0" w:right="0" w:firstLine="0" w:firstLineChars="0"/>
              <w:jc w:val="center"/>
              <w:rPr>
                <w:rFonts w:hint="eastAsia" w:hAnsi="宋体" w:cs="Times New Roman"/>
                <w:color w:val="auto"/>
                <w:sz w:val="18"/>
                <w:szCs w:val="24"/>
              </w:rPr>
            </w:pPr>
            <w:r>
              <w:rPr>
                <w:rFonts w:hint="default" w:hAnsi="宋体" w:cs="Times New Roman"/>
                <w:color w:val="auto"/>
                <w:sz w:val="18"/>
                <w:szCs w:val="24"/>
              </w:rPr>
              <w:t>投标人代表签名</w:t>
            </w:r>
          </w:p>
        </w:tc>
      </w:tr>
      <w:tr w14:paraId="12DE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0926546E">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5BD026C1">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081AA43C">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3792A1E6">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42744A4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75C218FC">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180593EF">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7A59E78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0841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5761CC64">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191E444D">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369A429F">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2FC5832F">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46E91E2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06F08307">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2054B74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27E7C24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514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4F277CE5">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3816B2A4">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45D9556E">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4095D67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43B8D7BE">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23B6269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5E3F841D">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7BFFD8B7">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28A1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2D2E31AC">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0732F32B">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7E923615">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23FA43BD">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3887648C">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5AB2EE41">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0D2FF766">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66DD1BD7">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499A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4958ECD6">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25B7FDD6">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1037FFE5">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4743B944">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7823582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28510F7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79464E98">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1E2B5426">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4943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4AFD3D6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0B4C32AD">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1A3DC5CC">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5CC15DB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11DBA984">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7D557088">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04A4ED47">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0225B84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298F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4C16D17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0C59108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625A50F7">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50A902B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12CA88D4">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390C91F5">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2C3F3EC7">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35CAB9DF">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09DB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4FC452A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019F78F4">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24BB7CCF">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0F217518">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4760DBA0">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4D59980E">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6817C98D">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15EAE0CC">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346C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08B888F3">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38BF6E3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211F806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28246A14">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2BD52841">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20AD967D">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39A64867">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61771E2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0A25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2097AD2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7D3BEC6E">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5407DA5E">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08C4F2B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22BA6410">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0BF228BD">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398128D4">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5D584B14">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7C3E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522" w:type="dxa"/>
            <w:noWrap w:val="0"/>
            <w:vAlign w:val="center"/>
          </w:tcPr>
          <w:p w14:paraId="3C1102B8">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08" w:type="dxa"/>
            <w:noWrap w:val="0"/>
            <w:vAlign w:val="center"/>
          </w:tcPr>
          <w:p w14:paraId="55CCF3BC">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873" w:type="dxa"/>
            <w:noWrap w:val="0"/>
            <w:vAlign w:val="center"/>
          </w:tcPr>
          <w:p w14:paraId="3C0CB4FB">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93" w:type="dxa"/>
            <w:noWrap w:val="0"/>
            <w:vAlign w:val="center"/>
          </w:tcPr>
          <w:p w14:paraId="42DE33F7">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552" w:type="dxa"/>
            <w:noWrap w:val="0"/>
            <w:vAlign w:val="center"/>
          </w:tcPr>
          <w:p w14:paraId="0452F811">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5" w:type="dxa"/>
            <w:noWrap w:val="0"/>
            <w:vAlign w:val="center"/>
          </w:tcPr>
          <w:p w14:paraId="5DC6BB85">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3" w:type="dxa"/>
            <w:noWrap w:val="0"/>
            <w:vAlign w:val="center"/>
          </w:tcPr>
          <w:p w14:paraId="0500DA3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334" w:type="dxa"/>
            <w:noWrap w:val="0"/>
            <w:vAlign w:val="center"/>
          </w:tcPr>
          <w:p w14:paraId="073E9B30">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27BE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jc w:val="center"/>
        </w:trPr>
        <w:tc>
          <w:tcPr>
            <w:tcW w:w="7910" w:type="dxa"/>
            <w:gridSpan w:val="8"/>
            <w:noWrap w:val="0"/>
            <w:vAlign w:val="center"/>
          </w:tcPr>
          <w:p w14:paraId="69EB1809">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eastAsia" w:hAnsi="宋体" w:cs="宋体"/>
                <w:color w:val="auto"/>
                <w:sz w:val="21"/>
                <w:szCs w:val="21"/>
              </w:rPr>
            </w:pPr>
            <w:r>
              <w:rPr>
                <w:rFonts w:hint="eastAsia" w:hAnsi="宋体" w:cs="宋体"/>
                <w:color w:val="auto"/>
                <w:sz w:val="21"/>
                <w:szCs w:val="21"/>
              </w:rPr>
              <w:t>最高投标限价：</w:t>
            </w:r>
          </w:p>
        </w:tc>
      </w:tr>
    </w:tbl>
    <w:p w14:paraId="48A5037E">
      <w:pPr>
        <w:ind w:firstLine="480"/>
        <w:rPr>
          <w:rFonts w:hAnsi="宋体"/>
          <w:color w:val="auto"/>
        </w:rPr>
      </w:pPr>
    </w:p>
    <w:p w14:paraId="74E87A0F">
      <w:pPr>
        <w:ind w:firstLine="0" w:firstLineChars="0"/>
        <w:rPr>
          <w:rFonts w:hAnsi="宋体"/>
          <w:color w:val="auto"/>
        </w:rPr>
      </w:pPr>
      <w:r>
        <w:rPr>
          <w:rFonts w:hint="eastAsia" w:hAnsi="宋体"/>
          <w:color w:val="auto"/>
        </w:rPr>
        <w:t>招标人代表：</w:t>
      </w:r>
      <w:r>
        <w:rPr>
          <w:rFonts w:hint="eastAsia" w:hAnsi="宋体"/>
          <w:color w:val="auto"/>
          <w:u w:val="single"/>
        </w:rPr>
        <w:t xml:space="preserve">         </w:t>
      </w:r>
      <w:r>
        <w:rPr>
          <w:rFonts w:hint="eastAsia" w:hAnsi="宋体"/>
          <w:color w:val="auto"/>
        </w:rPr>
        <w:t xml:space="preserve">    记录人：</w:t>
      </w:r>
      <w:r>
        <w:rPr>
          <w:rFonts w:hint="eastAsia" w:hAnsi="宋体"/>
          <w:color w:val="auto"/>
          <w:u w:val="single"/>
        </w:rPr>
        <w:t xml:space="preserve">         </w:t>
      </w:r>
      <w:r>
        <w:rPr>
          <w:rFonts w:hint="eastAsia" w:hAnsi="宋体"/>
          <w:color w:val="auto"/>
        </w:rPr>
        <w:t xml:space="preserve">     监标人：</w:t>
      </w:r>
      <w:r>
        <w:rPr>
          <w:rFonts w:hint="eastAsia" w:hAnsi="宋体"/>
          <w:color w:val="auto"/>
          <w:u w:val="single"/>
        </w:rPr>
        <w:t xml:space="preserve">          </w:t>
      </w:r>
    </w:p>
    <w:p w14:paraId="623298BD">
      <w:pPr>
        <w:ind w:right="960" w:firstLine="0" w:firstLineChars="0"/>
        <w:rPr>
          <w:rFonts w:hint="eastAsia" w:hAnsi="宋体"/>
          <w:color w:val="auto"/>
          <w:u w:val="single"/>
        </w:rPr>
      </w:pPr>
    </w:p>
    <w:p w14:paraId="1451B0D9">
      <w:pPr>
        <w:ind w:right="960" w:firstLine="0" w:firstLineChars="0"/>
        <w:jc w:val="right"/>
        <w:rPr>
          <w:rFonts w:hAnsi="Calibri"/>
          <w:color w:val="auto"/>
          <w:sz w:val="34"/>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bookmarkStart w:id="301" w:name="_Toc17155"/>
      <w:bookmarkStart w:id="302" w:name="_Toc534882200"/>
      <w:bookmarkStart w:id="303" w:name="_Toc14184"/>
      <w:bookmarkStart w:id="304" w:name="_Toc19316"/>
    </w:p>
    <w:p w14:paraId="6D8BEBC8">
      <w:pPr>
        <w:ind w:right="960" w:firstLine="0" w:firstLineChars="0"/>
        <w:rPr>
          <w:color w:val="auto"/>
        </w:rPr>
      </w:pPr>
    </w:p>
    <w:p w14:paraId="34EEC3C9">
      <w:pPr>
        <w:ind w:right="960" w:firstLine="0" w:firstLineChars="0"/>
        <w:rPr>
          <w:rFonts w:ascii="宋体" w:hAnsi="Times New Roman" w:eastAsia="宋体" w:cs="Times New Roman"/>
          <w:color w:val="auto"/>
        </w:rPr>
      </w:pPr>
    </w:p>
    <w:p w14:paraId="4B7A927A">
      <w:pPr>
        <w:ind w:right="960" w:firstLine="0" w:firstLineChars="0"/>
        <w:rPr>
          <w:rFonts w:ascii="宋体" w:hAnsi="Times New Roman" w:eastAsia="宋体" w:cs="Times New Roman"/>
          <w:color w:val="auto"/>
        </w:rPr>
      </w:pPr>
      <w:r>
        <w:rPr>
          <w:rFonts w:hint="eastAsia" w:hAnsi="宋体"/>
          <w:color w:val="auto"/>
          <w:sz w:val="21"/>
          <w:szCs w:val="21"/>
        </w:rPr>
        <w:t>（注：</w:t>
      </w:r>
      <w:r>
        <w:rPr>
          <w:rFonts w:hint="eastAsia" w:hAnsi="宋体"/>
          <w:color w:val="auto"/>
          <w:sz w:val="21"/>
          <w:szCs w:val="21"/>
          <w:lang w:eastAsia="zh-CN"/>
        </w:rPr>
        <w:t>具体以</w:t>
      </w:r>
      <w:r>
        <w:rPr>
          <w:rFonts w:hint="eastAsia" w:hAnsi="宋体"/>
          <w:color w:val="auto"/>
          <w:sz w:val="21"/>
          <w:szCs w:val="21"/>
        </w:rPr>
        <w:t>广州交易集团有限公司（广州公共资源交易中心）</w:t>
      </w:r>
      <w:r>
        <w:rPr>
          <w:rFonts w:hint="eastAsia" w:hAnsi="宋体"/>
          <w:color w:val="auto"/>
          <w:sz w:val="21"/>
          <w:szCs w:val="21"/>
          <w:lang w:eastAsia="zh-CN"/>
        </w:rPr>
        <w:t>交易平台</w:t>
      </w:r>
      <w:r>
        <w:rPr>
          <w:rFonts w:hint="eastAsia" w:hAnsi="宋体"/>
          <w:color w:val="auto"/>
          <w:sz w:val="21"/>
          <w:szCs w:val="21"/>
        </w:rPr>
        <w:t>格式</w:t>
      </w:r>
      <w:r>
        <w:rPr>
          <w:rFonts w:hint="eastAsia" w:hAnsi="宋体"/>
          <w:color w:val="auto"/>
          <w:sz w:val="21"/>
          <w:szCs w:val="21"/>
          <w:lang w:eastAsia="zh-CN"/>
        </w:rPr>
        <w:t>为准</w:t>
      </w:r>
      <w:r>
        <w:rPr>
          <w:rFonts w:hint="eastAsia" w:hAnsi="宋体"/>
          <w:color w:val="auto"/>
          <w:sz w:val="21"/>
          <w:szCs w:val="21"/>
        </w:rPr>
        <w:t>）</w:t>
      </w:r>
    </w:p>
    <w:p w14:paraId="7D352546">
      <w:pPr>
        <w:pStyle w:val="4"/>
        <w:jc w:val="left"/>
        <w:rPr>
          <w:color w:val="auto"/>
        </w:rPr>
      </w:pPr>
      <w:r>
        <w:rPr>
          <w:color w:val="auto"/>
        </w:rPr>
        <w:br w:type="page"/>
      </w:r>
      <w:bookmarkStart w:id="305" w:name="_Toc22067"/>
      <w:bookmarkStart w:id="306" w:name="_Toc18534"/>
      <w:bookmarkStart w:id="307" w:name="_Toc14309"/>
      <w:bookmarkStart w:id="308" w:name="_Toc35513482"/>
      <w:r>
        <w:rPr>
          <w:rFonts w:hint="eastAsia"/>
          <w:color w:val="auto"/>
        </w:rPr>
        <w:t>附件二：问题澄清通知</w:t>
      </w:r>
      <w:bookmarkEnd w:id="301"/>
      <w:bookmarkEnd w:id="302"/>
      <w:bookmarkEnd w:id="303"/>
      <w:bookmarkEnd w:id="304"/>
      <w:bookmarkEnd w:id="305"/>
      <w:bookmarkEnd w:id="306"/>
      <w:bookmarkEnd w:id="307"/>
      <w:bookmarkEnd w:id="308"/>
    </w:p>
    <w:p w14:paraId="707C2802">
      <w:pPr>
        <w:ind w:firstLine="643"/>
        <w:jc w:val="center"/>
        <w:rPr>
          <w:rFonts w:hAnsi="宋体"/>
          <w:b/>
          <w:color w:val="auto"/>
          <w:sz w:val="32"/>
          <w:szCs w:val="32"/>
        </w:rPr>
      </w:pPr>
      <w:r>
        <w:rPr>
          <w:rFonts w:hint="eastAsia" w:hAnsi="宋体"/>
          <w:b/>
          <w:color w:val="auto"/>
          <w:sz w:val="32"/>
          <w:szCs w:val="32"/>
        </w:rPr>
        <w:t>问题澄清通知</w:t>
      </w:r>
    </w:p>
    <w:p w14:paraId="32DF8506">
      <w:pPr>
        <w:ind w:firstLine="480"/>
        <w:jc w:val="center"/>
        <w:rPr>
          <w:rFonts w:hAnsi="宋体"/>
          <w:color w:val="auto"/>
        </w:rPr>
      </w:pPr>
      <w:r>
        <w:rPr>
          <w:rFonts w:hint="eastAsia" w:hAnsi="宋体"/>
          <w:color w:val="auto"/>
        </w:rPr>
        <w:t>（编号：</w:t>
      </w:r>
      <w:r>
        <w:rPr>
          <w:rFonts w:hint="eastAsia" w:hAnsi="宋体"/>
          <w:color w:val="auto"/>
          <w:u w:val="single"/>
        </w:rPr>
        <w:t xml:space="preserve">              </w:t>
      </w:r>
      <w:r>
        <w:rPr>
          <w:rFonts w:hint="eastAsia" w:hAnsi="宋体"/>
          <w:color w:val="auto"/>
        </w:rPr>
        <w:t>）</w:t>
      </w:r>
    </w:p>
    <w:p w14:paraId="4300425D">
      <w:pPr>
        <w:ind w:firstLine="480"/>
        <w:rPr>
          <w:rFonts w:hAnsi="宋体"/>
          <w:color w:val="auto"/>
        </w:rPr>
      </w:pPr>
    </w:p>
    <w:p w14:paraId="4B6ECFBF">
      <w:pPr>
        <w:ind w:firstLine="480"/>
        <w:rPr>
          <w:rFonts w:hAnsi="宋体"/>
          <w:color w:val="auto"/>
        </w:rPr>
      </w:pPr>
      <w:r>
        <w:rPr>
          <w:rFonts w:hint="eastAsia" w:hAnsi="宋体"/>
          <w:color w:val="auto"/>
          <w:u w:val="single"/>
        </w:rPr>
        <w:t xml:space="preserve">                   </w:t>
      </w:r>
      <w:r>
        <w:rPr>
          <w:rFonts w:hint="eastAsia" w:hAnsi="宋体"/>
          <w:color w:val="auto"/>
        </w:rPr>
        <w:t>（投标人名称）：</w:t>
      </w:r>
    </w:p>
    <w:p w14:paraId="0EB33E4F">
      <w:pPr>
        <w:ind w:firstLine="480"/>
        <w:rPr>
          <w:rFonts w:hAnsi="宋体"/>
          <w:color w:val="auto"/>
        </w:rPr>
      </w:pPr>
    </w:p>
    <w:p w14:paraId="30070CF9">
      <w:pPr>
        <w:ind w:firstLine="480"/>
        <w:rPr>
          <w:rFonts w:hAnsi="宋体"/>
          <w:color w:val="auto"/>
        </w:rPr>
      </w:pPr>
      <w:r>
        <w:rPr>
          <w:rFonts w:hint="eastAsia" w:hAnsi="宋体"/>
          <w:color w:val="auto"/>
        </w:rPr>
        <w:t>评标委员会对你方的投标文件进行了仔细的审查，现需你方对下列问题以书面形式予以澄清、说明或补正：</w:t>
      </w:r>
    </w:p>
    <w:p w14:paraId="0836FB7F">
      <w:pPr>
        <w:ind w:firstLine="480"/>
        <w:rPr>
          <w:rFonts w:hAnsi="宋体"/>
          <w:color w:val="auto"/>
        </w:rPr>
      </w:pPr>
      <w:r>
        <w:rPr>
          <w:rFonts w:hAnsi="宋体"/>
          <w:color w:val="auto"/>
        </w:rPr>
        <w:t>1.</w:t>
      </w:r>
    </w:p>
    <w:p w14:paraId="777BE408">
      <w:pPr>
        <w:ind w:firstLine="480"/>
        <w:rPr>
          <w:rFonts w:hAnsi="宋体"/>
          <w:color w:val="auto"/>
        </w:rPr>
      </w:pPr>
      <w:r>
        <w:rPr>
          <w:rFonts w:hAnsi="宋体"/>
          <w:color w:val="auto"/>
        </w:rPr>
        <w:t>2.</w:t>
      </w:r>
    </w:p>
    <w:p w14:paraId="0E851AF4">
      <w:pPr>
        <w:ind w:firstLine="480"/>
        <w:rPr>
          <w:rFonts w:hAnsi="宋体"/>
          <w:color w:val="auto"/>
        </w:rPr>
      </w:pPr>
      <w:r>
        <w:rPr>
          <w:rFonts w:hAnsi="宋体"/>
          <w:color w:val="auto"/>
        </w:rPr>
        <w:t>......</w:t>
      </w:r>
    </w:p>
    <w:p w14:paraId="33111C89">
      <w:pPr>
        <w:ind w:firstLine="480"/>
        <w:rPr>
          <w:rFonts w:hAnsi="宋体"/>
          <w:color w:val="auto"/>
        </w:rPr>
      </w:pPr>
    </w:p>
    <w:p w14:paraId="31BBC653">
      <w:pPr>
        <w:ind w:firstLine="480"/>
        <w:rPr>
          <w:rFonts w:hAnsi="宋体"/>
          <w:color w:val="auto"/>
        </w:rPr>
      </w:pPr>
      <w:r>
        <w:rPr>
          <w:rFonts w:hint="eastAsia" w:hAnsi="宋体"/>
          <w:color w:val="auto"/>
        </w:rPr>
        <w:t>请将上述问题的澄清、说明或补正于</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r>
        <w:rPr>
          <w:rFonts w:hint="eastAsia" w:hAnsi="宋体"/>
          <w:color w:val="auto"/>
          <w:u w:val="single"/>
        </w:rPr>
        <w:t xml:space="preserve">   </w:t>
      </w:r>
      <w:r>
        <w:rPr>
          <w:rFonts w:hint="eastAsia" w:hAnsi="宋体"/>
          <w:color w:val="auto"/>
        </w:rPr>
        <w:t>时前递交至</w:t>
      </w:r>
      <w:r>
        <w:rPr>
          <w:rFonts w:hint="eastAsia" w:hAnsi="宋体"/>
          <w:color w:val="auto"/>
          <w:u w:val="single"/>
        </w:rPr>
        <w:t xml:space="preserve">   </w:t>
      </w:r>
      <w:r>
        <w:rPr>
          <w:rFonts w:hint="eastAsia" w:hAnsi="宋体"/>
          <w:color w:val="auto"/>
        </w:rPr>
        <w:t>（详细地址）或传真至</w:t>
      </w:r>
      <w:r>
        <w:rPr>
          <w:rFonts w:hint="eastAsia" w:hAnsi="宋体"/>
          <w:color w:val="auto"/>
          <w:u w:val="single"/>
        </w:rPr>
        <w:t xml:space="preserve">                </w:t>
      </w:r>
      <w:r>
        <w:rPr>
          <w:rFonts w:hint="eastAsia" w:hAnsi="宋体"/>
          <w:color w:val="auto"/>
        </w:rPr>
        <w:t>（传真号码）或通过下载招标文件的电子招标交易平台上传。采用传真方式的，应在</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r>
        <w:rPr>
          <w:rFonts w:hint="eastAsia" w:hAnsi="宋体"/>
          <w:color w:val="auto"/>
          <w:u w:val="single"/>
        </w:rPr>
        <w:t xml:space="preserve">    </w:t>
      </w:r>
      <w:r>
        <w:rPr>
          <w:rFonts w:hint="eastAsia" w:hAnsi="宋体"/>
          <w:color w:val="auto"/>
        </w:rPr>
        <w:t>时前将原件递交至</w:t>
      </w:r>
      <w:r>
        <w:rPr>
          <w:rFonts w:hint="eastAsia" w:hAnsi="宋体"/>
          <w:color w:val="auto"/>
          <w:u w:val="single"/>
        </w:rPr>
        <w:t xml:space="preserve">     </w:t>
      </w:r>
      <w:r>
        <w:rPr>
          <w:rFonts w:hint="eastAsia" w:hAnsi="宋体"/>
          <w:color w:val="auto"/>
        </w:rPr>
        <w:t>（详细地址）。</w:t>
      </w:r>
    </w:p>
    <w:p w14:paraId="7348E762">
      <w:pPr>
        <w:ind w:firstLine="480"/>
        <w:rPr>
          <w:rFonts w:hAnsi="宋体"/>
          <w:color w:val="auto"/>
        </w:rPr>
      </w:pPr>
    </w:p>
    <w:p w14:paraId="45FDCAAC">
      <w:pPr>
        <w:ind w:firstLine="480"/>
        <w:rPr>
          <w:rFonts w:hAnsi="宋体"/>
          <w:color w:val="auto"/>
        </w:rPr>
      </w:pPr>
    </w:p>
    <w:p w14:paraId="76993BB5">
      <w:pPr>
        <w:ind w:firstLine="480"/>
        <w:rPr>
          <w:rFonts w:hAnsi="宋体"/>
          <w:color w:val="auto"/>
        </w:rPr>
      </w:pPr>
    </w:p>
    <w:p w14:paraId="4F8D3646">
      <w:pPr>
        <w:ind w:firstLine="480"/>
        <w:rPr>
          <w:rFonts w:hAnsi="宋体"/>
          <w:color w:val="auto"/>
        </w:rPr>
      </w:pPr>
    </w:p>
    <w:p w14:paraId="0D3A76BA">
      <w:pPr>
        <w:ind w:firstLine="1200" w:firstLineChars="500"/>
        <w:rPr>
          <w:rFonts w:hAnsi="宋体"/>
          <w:color w:val="auto"/>
        </w:rPr>
      </w:pPr>
      <w:r>
        <w:rPr>
          <w:rFonts w:hint="eastAsia" w:hAnsi="宋体"/>
          <w:color w:val="auto"/>
        </w:rPr>
        <w:t>评标委员会授权的招标人或招标代理机构：</w:t>
      </w:r>
      <w:r>
        <w:rPr>
          <w:rFonts w:hint="eastAsia" w:hAnsi="宋体"/>
          <w:color w:val="auto"/>
          <w:u w:val="single"/>
        </w:rPr>
        <w:t xml:space="preserve">       </w:t>
      </w:r>
      <w:r>
        <w:rPr>
          <w:rFonts w:hint="eastAsia" w:hAnsi="宋体"/>
          <w:color w:val="auto"/>
        </w:rPr>
        <w:t>（签字或盖章）</w:t>
      </w:r>
    </w:p>
    <w:p w14:paraId="06FF7DF6">
      <w:pPr>
        <w:ind w:firstLine="5400" w:firstLineChars="2250"/>
        <w:rPr>
          <w:rFonts w:hAnsi="宋体"/>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14:paraId="027A0163">
      <w:pPr>
        <w:spacing w:line="320" w:lineRule="exact"/>
        <w:ind w:left="499" w:firstLine="420"/>
        <w:rPr>
          <w:rFonts w:hint="eastAsia" w:hAnsi="宋体"/>
          <w:color w:val="auto"/>
          <w:sz w:val="21"/>
          <w:szCs w:val="21"/>
        </w:rPr>
      </w:pPr>
    </w:p>
    <w:p w14:paraId="2FF4B1FA">
      <w:pPr>
        <w:spacing w:line="320" w:lineRule="exact"/>
        <w:ind w:left="0" w:firstLine="0" w:firstLineChars="0"/>
        <w:rPr>
          <w:rFonts w:hint="eastAsia" w:hAnsi="宋体"/>
          <w:color w:val="auto"/>
          <w:sz w:val="21"/>
          <w:szCs w:val="21"/>
        </w:rPr>
      </w:pPr>
      <w:r>
        <w:rPr>
          <w:rFonts w:hint="eastAsia" w:hAnsi="宋体"/>
          <w:color w:val="auto"/>
          <w:sz w:val="21"/>
          <w:szCs w:val="21"/>
        </w:rPr>
        <w:t>（注：或按广州交易集团有限公司（广州公共资源交易中心）</w:t>
      </w:r>
      <w:r>
        <w:rPr>
          <w:rFonts w:hint="eastAsia" w:hAnsi="宋体"/>
          <w:color w:val="auto"/>
          <w:sz w:val="21"/>
          <w:szCs w:val="21"/>
          <w:lang w:eastAsia="zh-CN"/>
        </w:rPr>
        <w:t>交易平台</w:t>
      </w:r>
      <w:r>
        <w:rPr>
          <w:rFonts w:hint="eastAsia" w:hAnsi="宋体"/>
          <w:color w:val="auto"/>
          <w:sz w:val="21"/>
          <w:szCs w:val="21"/>
        </w:rPr>
        <w:t>格式）</w:t>
      </w:r>
    </w:p>
    <w:p w14:paraId="5822EA79">
      <w:pPr>
        <w:spacing w:line="320" w:lineRule="exact"/>
        <w:ind w:left="499" w:firstLine="562"/>
        <w:rPr>
          <w:rFonts w:hint="eastAsia" w:hAnsi="宋体"/>
          <w:b/>
          <w:color w:val="auto"/>
          <w:sz w:val="28"/>
        </w:rPr>
      </w:pPr>
    </w:p>
    <w:p w14:paraId="08B7E5B1">
      <w:pPr>
        <w:pStyle w:val="4"/>
        <w:rPr>
          <w:color w:val="auto"/>
        </w:rPr>
      </w:pPr>
      <w:bookmarkStart w:id="309" w:name="_Toc534882201"/>
      <w:bookmarkStart w:id="310" w:name="_Toc14969"/>
      <w:bookmarkStart w:id="311" w:name="_Toc31127"/>
      <w:bookmarkStart w:id="312" w:name="_Toc15674"/>
      <w:r>
        <w:rPr>
          <w:color w:val="auto"/>
        </w:rPr>
        <w:br w:type="page"/>
      </w:r>
      <w:bookmarkStart w:id="313" w:name="_Toc35513483"/>
      <w:bookmarkStart w:id="314" w:name="_Toc9906"/>
      <w:bookmarkStart w:id="315" w:name="_Toc25231"/>
      <w:bookmarkStart w:id="316" w:name="_Toc9672"/>
      <w:r>
        <w:rPr>
          <w:rFonts w:hint="eastAsia"/>
          <w:color w:val="auto"/>
        </w:rPr>
        <w:t>附件三：问题的澄清</w:t>
      </w:r>
      <w:bookmarkEnd w:id="309"/>
      <w:bookmarkEnd w:id="310"/>
      <w:bookmarkEnd w:id="311"/>
      <w:bookmarkEnd w:id="312"/>
      <w:bookmarkEnd w:id="313"/>
      <w:bookmarkEnd w:id="314"/>
      <w:bookmarkEnd w:id="315"/>
      <w:bookmarkEnd w:id="316"/>
    </w:p>
    <w:p w14:paraId="4D6C2A87">
      <w:pPr>
        <w:ind w:firstLine="643"/>
        <w:jc w:val="center"/>
        <w:rPr>
          <w:rFonts w:hAnsi="宋体"/>
          <w:b/>
          <w:color w:val="auto"/>
          <w:sz w:val="32"/>
          <w:szCs w:val="32"/>
        </w:rPr>
      </w:pPr>
      <w:r>
        <w:rPr>
          <w:rFonts w:hint="eastAsia" w:hAnsi="宋体"/>
          <w:b/>
          <w:color w:val="auto"/>
          <w:sz w:val="32"/>
          <w:szCs w:val="32"/>
        </w:rPr>
        <w:t>问题的澄清</w:t>
      </w:r>
    </w:p>
    <w:p w14:paraId="12780AD3">
      <w:pPr>
        <w:ind w:firstLine="480"/>
        <w:jc w:val="center"/>
        <w:rPr>
          <w:rFonts w:hAnsi="宋体"/>
          <w:color w:val="auto"/>
        </w:rPr>
      </w:pPr>
      <w:r>
        <w:rPr>
          <w:rFonts w:hint="eastAsia" w:hAnsi="宋体"/>
          <w:color w:val="auto"/>
        </w:rPr>
        <w:t>（编号：</w:t>
      </w:r>
      <w:r>
        <w:rPr>
          <w:rFonts w:hint="eastAsia" w:hAnsi="宋体"/>
          <w:color w:val="auto"/>
          <w:u w:val="single"/>
        </w:rPr>
        <w:t xml:space="preserve">              </w:t>
      </w:r>
      <w:r>
        <w:rPr>
          <w:rFonts w:hint="eastAsia" w:hAnsi="宋体"/>
          <w:color w:val="auto"/>
        </w:rPr>
        <w:t>）</w:t>
      </w:r>
    </w:p>
    <w:p w14:paraId="261E0770">
      <w:pPr>
        <w:ind w:firstLine="480"/>
        <w:rPr>
          <w:rFonts w:hAnsi="宋体"/>
          <w:color w:val="auto"/>
        </w:rPr>
      </w:pPr>
    </w:p>
    <w:p w14:paraId="0A11E133">
      <w:pPr>
        <w:ind w:firstLine="480"/>
        <w:rPr>
          <w:rFonts w:hAnsi="宋体"/>
          <w:color w:val="auto"/>
        </w:rPr>
      </w:pPr>
      <w:r>
        <w:rPr>
          <w:rFonts w:hint="eastAsia" w:hAnsi="宋体"/>
          <w:color w:val="auto"/>
        </w:rPr>
        <w:t>评标委员会：</w:t>
      </w:r>
    </w:p>
    <w:p w14:paraId="7C2A2086">
      <w:pPr>
        <w:ind w:firstLine="480"/>
        <w:rPr>
          <w:rFonts w:hAnsi="宋体"/>
          <w:color w:val="auto"/>
        </w:rPr>
      </w:pPr>
    </w:p>
    <w:p w14:paraId="4493576E">
      <w:pPr>
        <w:ind w:firstLine="480"/>
        <w:rPr>
          <w:rFonts w:hAnsi="宋体"/>
          <w:color w:val="auto"/>
        </w:rPr>
      </w:pPr>
      <w:r>
        <w:rPr>
          <w:rFonts w:hint="eastAsia" w:hAnsi="宋体"/>
          <w:color w:val="auto"/>
        </w:rPr>
        <w:t>问题澄清通知（编号：</w:t>
      </w:r>
      <w:r>
        <w:rPr>
          <w:rFonts w:hint="eastAsia" w:hAnsi="宋体"/>
          <w:color w:val="auto"/>
          <w:u w:val="single"/>
        </w:rPr>
        <w:t xml:space="preserve">             </w:t>
      </w:r>
      <w:r>
        <w:rPr>
          <w:rFonts w:hint="eastAsia" w:hAnsi="宋体"/>
          <w:color w:val="auto"/>
        </w:rPr>
        <w:t>）已收悉，现澄清、说明或补正如下：</w:t>
      </w:r>
    </w:p>
    <w:p w14:paraId="122A6B25">
      <w:pPr>
        <w:ind w:firstLine="960" w:firstLineChars="400"/>
        <w:rPr>
          <w:rFonts w:hAnsi="宋体"/>
          <w:color w:val="auto"/>
        </w:rPr>
      </w:pPr>
      <w:r>
        <w:rPr>
          <w:rFonts w:hAnsi="宋体"/>
          <w:color w:val="auto"/>
        </w:rPr>
        <w:t>1.</w:t>
      </w:r>
    </w:p>
    <w:p w14:paraId="014FE758">
      <w:pPr>
        <w:ind w:firstLine="960" w:firstLineChars="400"/>
        <w:rPr>
          <w:rFonts w:hAnsi="宋体"/>
          <w:color w:val="auto"/>
        </w:rPr>
      </w:pPr>
      <w:r>
        <w:rPr>
          <w:rFonts w:hAnsi="宋体"/>
          <w:color w:val="auto"/>
        </w:rPr>
        <w:t>2.</w:t>
      </w:r>
    </w:p>
    <w:p w14:paraId="3814DD31">
      <w:pPr>
        <w:ind w:firstLine="960" w:firstLineChars="400"/>
        <w:rPr>
          <w:rFonts w:hAnsi="宋体"/>
          <w:color w:val="auto"/>
        </w:rPr>
      </w:pPr>
      <w:r>
        <w:rPr>
          <w:rFonts w:hAnsi="宋体"/>
          <w:color w:val="auto"/>
        </w:rPr>
        <w:t>.....</w:t>
      </w:r>
    </w:p>
    <w:p w14:paraId="60098215">
      <w:pPr>
        <w:ind w:firstLine="480"/>
        <w:rPr>
          <w:rFonts w:hAnsi="宋体"/>
          <w:color w:val="auto"/>
        </w:rPr>
      </w:pPr>
    </w:p>
    <w:p w14:paraId="71C1BC50">
      <w:pPr>
        <w:ind w:firstLine="480"/>
        <w:rPr>
          <w:rFonts w:hAnsi="宋体"/>
          <w:color w:val="auto"/>
        </w:rPr>
      </w:pPr>
      <w:r>
        <w:rPr>
          <w:rFonts w:hint="eastAsia" w:hAnsi="宋体"/>
          <w:color w:val="auto"/>
        </w:rPr>
        <w:t>上述问题澄清、说明或补正，不改变我方投标文件的实质性内容，构成我方投标文件的组成部分。</w:t>
      </w:r>
    </w:p>
    <w:p w14:paraId="598957A6">
      <w:pPr>
        <w:ind w:firstLine="480"/>
        <w:rPr>
          <w:rFonts w:hAnsi="宋体"/>
          <w:color w:val="auto"/>
        </w:rPr>
      </w:pPr>
    </w:p>
    <w:p w14:paraId="1020654A">
      <w:pPr>
        <w:ind w:firstLine="480"/>
        <w:rPr>
          <w:rFonts w:hAnsi="宋体"/>
          <w:color w:val="auto"/>
        </w:rPr>
      </w:pPr>
    </w:p>
    <w:p w14:paraId="4EC8B765">
      <w:pPr>
        <w:ind w:firstLine="480"/>
        <w:rPr>
          <w:rFonts w:hAnsi="宋体"/>
          <w:color w:val="auto"/>
        </w:rPr>
      </w:pPr>
    </w:p>
    <w:p w14:paraId="4360F538">
      <w:pPr>
        <w:ind w:firstLine="480"/>
        <w:rPr>
          <w:rFonts w:hAnsi="宋体"/>
          <w:color w:val="auto"/>
        </w:rPr>
      </w:pPr>
    </w:p>
    <w:p w14:paraId="3A051061">
      <w:pPr>
        <w:ind w:left="3" w:firstLine="3120" w:firstLineChars="1300"/>
        <w:rPr>
          <w:rFonts w:hAnsi="宋体"/>
          <w:color w:val="auto"/>
        </w:rPr>
      </w:pPr>
      <w:r>
        <w:rPr>
          <w:rFonts w:hint="eastAsia" w:hAnsi="宋体"/>
          <w:color w:val="auto"/>
        </w:rPr>
        <w:t>投标人：</w:t>
      </w:r>
      <w:r>
        <w:rPr>
          <w:rFonts w:hint="eastAsia" w:hAnsi="宋体"/>
          <w:color w:val="auto"/>
          <w:u w:val="single"/>
        </w:rPr>
        <w:t xml:space="preserve">                       </w:t>
      </w:r>
      <w:r>
        <w:rPr>
          <w:rFonts w:hint="eastAsia" w:hAnsi="宋体"/>
          <w:color w:val="auto"/>
        </w:rPr>
        <w:t>（盖单位章）</w:t>
      </w:r>
    </w:p>
    <w:p w14:paraId="44AA8604">
      <w:pPr>
        <w:ind w:left="3" w:firstLine="3120" w:firstLineChars="1300"/>
        <w:rPr>
          <w:rFonts w:hAnsi="宋体"/>
          <w:color w:val="auto"/>
        </w:rPr>
      </w:pPr>
      <w:r>
        <w:rPr>
          <w:rFonts w:hint="eastAsia" w:hAnsi="宋体"/>
          <w:color w:val="auto"/>
        </w:rPr>
        <w:t>法定代表人或其委托代理人：</w:t>
      </w:r>
      <w:r>
        <w:rPr>
          <w:rFonts w:hint="eastAsia" w:hAnsi="宋体"/>
          <w:color w:val="auto"/>
          <w:u w:val="single"/>
        </w:rPr>
        <w:t xml:space="preserve">         </w:t>
      </w:r>
      <w:r>
        <w:rPr>
          <w:rFonts w:hint="eastAsia" w:hAnsi="宋体"/>
          <w:color w:val="auto"/>
        </w:rPr>
        <w:t>（签字）</w:t>
      </w:r>
    </w:p>
    <w:p w14:paraId="7D99D538">
      <w:pPr>
        <w:ind w:firstLine="5400" w:firstLineChars="2250"/>
        <w:rPr>
          <w:rFonts w:hint="eastAsia" w:hAnsi="宋体"/>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14:paraId="7D958191">
      <w:pPr>
        <w:ind w:firstLine="0" w:firstLineChars="0"/>
        <w:jc w:val="left"/>
        <w:rPr>
          <w:rFonts w:hint="eastAsia" w:hAnsi="宋体"/>
          <w:color w:val="auto"/>
          <w:sz w:val="21"/>
          <w:szCs w:val="21"/>
        </w:rPr>
      </w:pPr>
    </w:p>
    <w:p w14:paraId="5C94C142">
      <w:pPr>
        <w:ind w:firstLine="0" w:firstLineChars="0"/>
        <w:jc w:val="left"/>
        <w:rPr>
          <w:rFonts w:hAnsi="宋体"/>
          <w:color w:val="auto"/>
          <w:sz w:val="21"/>
          <w:szCs w:val="21"/>
        </w:rPr>
      </w:pPr>
      <w:r>
        <w:rPr>
          <w:rFonts w:hint="eastAsia" w:hAnsi="宋体"/>
          <w:color w:val="auto"/>
          <w:sz w:val="21"/>
          <w:szCs w:val="21"/>
        </w:rPr>
        <w:t>（注：按广州交易集团有限公司（广州公共资源交易中心）</w:t>
      </w:r>
      <w:r>
        <w:rPr>
          <w:rFonts w:hint="eastAsia" w:hAnsi="宋体"/>
          <w:color w:val="auto"/>
          <w:sz w:val="21"/>
          <w:szCs w:val="21"/>
          <w:lang w:eastAsia="zh-CN"/>
        </w:rPr>
        <w:t>交易平台</w:t>
      </w:r>
      <w:r>
        <w:rPr>
          <w:rFonts w:hint="eastAsia" w:hAnsi="宋体"/>
          <w:color w:val="auto"/>
          <w:sz w:val="21"/>
          <w:szCs w:val="21"/>
        </w:rPr>
        <w:t>格式）</w:t>
      </w:r>
    </w:p>
    <w:p w14:paraId="16870D92">
      <w:pPr>
        <w:spacing w:line="200" w:lineRule="exact"/>
        <w:ind w:firstLine="480"/>
        <w:rPr>
          <w:rFonts w:hAnsi="宋体"/>
          <w:color w:val="auto"/>
        </w:rPr>
      </w:pPr>
    </w:p>
    <w:p w14:paraId="501CEF0F">
      <w:pPr>
        <w:spacing w:line="201" w:lineRule="exact"/>
        <w:ind w:firstLine="480"/>
        <w:rPr>
          <w:rFonts w:hAnsi="宋体"/>
          <w:color w:val="auto"/>
        </w:rPr>
      </w:pPr>
      <w:bookmarkStart w:id="317" w:name="page39"/>
      <w:bookmarkEnd w:id="317"/>
    </w:p>
    <w:p w14:paraId="7C66733C">
      <w:pPr>
        <w:spacing w:line="502" w:lineRule="exact"/>
        <w:ind w:firstLine="0" w:firstLineChars="0"/>
        <w:jc w:val="center"/>
        <w:outlineLvl w:val="0"/>
        <w:rPr>
          <w:rFonts w:hAnsi="宋体"/>
          <w:b/>
          <w:color w:val="auto"/>
          <w:sz w:val="44"/>
        </w:rPr>
      </w:pPr>
      <w:bookmarkStart w:id="318" w:name="page41"/>
      <w:bookmarkEnd w:id="318"/>
      <w:bookmarkStart w:id="319" w:name="page40"/>
      <w:bookmarkEnd w:id="319"/>
      <w:r>
        <w:rPr>
          <w:rFonts w:hAnsi="宋体"/>
          <w:b/>
          <w:color w:val="auto"/>
          <w:sz w:val="44"/>
        </w:rPr>
        <w:br w:type="page"/>
      </w:r>
      <w:bookmarkStart w:id="320" w:name="_Toc8239"/>
      <w:bookmarkStart w:id="321" w:name="_Toc20695"/>
      <w:r>
        <w:rPr>
          <w:rFonts w:hAnsi="宋体"/>
          <w:b/>
          <w:color w:val="auto"/>
          <w:sz w:val="44"/>
        </w:rPr>
        <w:t>第三章</w:t>
      </w:r>
      <w:r>
        <w:rPr>
          <w:rFonts w:hint="eastAsia" w:hAnsi="宋体"/>
          <w:b/>
          <w:color w:val="auto"/>
          <w:sz w:val="44"/>
        </w:rPr>
        <w:t xml:space="preserve">  </w:t>
      </w:r>
      <w:r>
        <w:rPr>
          <w:rFonts w:hAnsi="宋体"/>
          <w:b/>
          <w:color w:val="auto"/>
          <w:sz w:val="44"/>
        </w:rPr>
        <w:t>评标办法（综合评估法）</w:t>
      </w:r>
      <w:bookmarkEnd w:id="320"/>
      <w:bookmarkEnd w:id="321"/>
    </w:p>
    <w:p w14:paraId="5FFB0EC6">
      <w:pPr>
        <w:spacing w:line="366" w:lineRule="exact"/>
        <w:ind w:left="357" w:firstLine="643"/>
        <w:jc w:val="center"/>
        <w:outlineLvl w:val="9"/>
        <w:rPr>
          <w:rFonts w:hAnsi="宋体"/>
          <w:b/>
          <w:color w:val="auto"/>
          <w:sz w:val="32"/>
        </w:rPr>
      </w:pPr>
    </w:p>
    <w:p w14:paraId="446C1E60">
      <w:pPr>
        <w:spacing w:line="366" w:lineRule="exact"/>
        <w:ind w:firstLine="0" w:firstLineChars="0"/>
        <w:jc w:val="center"/>
        <w:outlineLvl w:val="1"/>
        <w:rPr>
          <w:rFonts w:hint="eastAsia" w:hAnsi="宋体" w:eastAsia="宋体" w:cs="宋体"/>
          <w:b/>
          <w:color w:val="auto"/>
          <w:sz w:val="32"/>
        </w:rPr>
      </w:pPr>
      <w:bookmarkStart w:id="322" w:name="_Toc1764"/>
      <w:bookmarkStart w:id="323" w:name="_Toc8687"/>
      <w:r>
        <w:rPr>
          <w:rFonts w:hint="eastAsia" w:hAnsi="宋体" w:eastAsia="宋体" w:cs="宋体"/>
          <w:b/>
          <w:color w:val="auto"/>
          <w:sz w:val="32"/>
        </w:rPr>
        <w:t>评标办法前附表</w:t>
      </w:r>
      <w:bookmarkEnd w:id="322"/>
      <w:bookmarkEnd w:id="323"/>
    </w:p>
    <w:tbl>
      <w:tblPr>
        <w:tblStyle w:val="37"/>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
        <w:gridCol w:w="1039"/>
        <w:gridCol w:w="1635"/>
        <w:gridCol w:w="5764"/>
      </w:tblGrid>
      <w:tr w14:paraId="09C2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1977" w:type="dxa"/>
            <w:gridSpan w:val="2"/>
            <w:noWrap w:val="0"/>
            <w:vAlign w:val="center"/>
          </w:tcPr>
          <w:p w14:paraId="1A4E5FE5">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b/>
                <w:color w:val="auto"/>
                <w:sz w:val="21"/>
                <w:szCs w:val="21"/>
              </w:rPr>
            </w:pPr>
            <w:r>
              <w:rPr>
                <w:rFonts w:hint="eastAsia" w:hAnsi="宋体" w:eastAsia="宋体" w:cs="宋体"/>
                <w:b/>
                <w:color w:val="auto"/>
                <w:sz w:val="21"/>
                <w:szCs w:val="21"/>
              </w:rPr>
              <w:t>条款号</w:t>
            </w:r>
          </w:p>
        </w:tc>
        <w:tc>
          <w:tcPr>
            <w:tcW w:w="1635" w:type="dxa"/>
            <w:noWrap w:val="0"/>
            <w:vAlign w:val="center"/>
          </w:tcPr>
          <w:p w14:paraId="295C2CD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b/>
                <w:color w:val="auto"/>
                <w:w w:val="99"/>
                <w:sz w:val="21"/>
                <w:szCs w:val="21"/>
              </w:rPr>
            </w:pPr>
            <w:r>
              <w:rPr>
                <w:rFonts w:hint="eastAsia" w:hAnsi="宋体" w:eastAsia="宋体" w:cs="宋体"/>
                <w:b/>
                <w:color w:val="auto"/>
                <w:w w:val="99"/>
                <w:sz w:val="21"/>
                <w:szCs w:val="21"/>
              </w:rPr>
              <w:t>评审因素</w:t>
            </w:r>
          </w:p>
        </w:tc>
        <w:tc>
          <w:tcPr>
            <w:tcW w:w="5764" w:type="dxa"/>
            <w:noWrap w:val="0"/>
            <w:vAlign w:val="center"/>
          </w:tcPr>
          <w:p w14:paraId="6781D845">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b/>
                <w:color w:val="auto"/>
                <w:sz w:val="21"/>
                <w:szCs w:val="21"/>
              </w:rPr>
            </w:pPr>
            <w:r>
              <w:rPr>
                <w:rFonts w:hint="eastAsia" w:hAnsi="宋体" w:eastAsia="宋体" w:cs="宋体"/>
                <w:b/>
                <w:color w:val="auto"/>
                <w:sz w:val="21"/>
                <w:szCs w:val="21"/>
              </w:rPr>
              <w:t>评审标准</w:t>
            </w:r>
          </w:p>
        </w:tc>
      </w:tr>
      <w:tr w14:paraId="6B28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noWrap w:val="0"/>
            <w:vAlign w:val="center"/>
          </w:tcPr>
          <w:p w14:paraId="3AB396BC">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w w:val="94"/>
                <w:sz w:val="21"/>
                <w:szCs w:val="21"/>
              </w:rPr>
            </w:pPr>
            <w:r>
              <w:rPr>
                <w:rFonts w:hint="eastAsia" w:hAnsi="宋体" w:eastAsia="宋体" w:cs="宋体"/>
                <w:color w:val="auto"/>
                <w:w w:val="94"/>
                <w:sz w:val="21"/>
                <w:szCs w:val="21"/>
              </w:rPr>
              <w:t>1</w:t>
            </w:r>
          </w:p>
        </w:tc>
        <w:tc>
          <w:tcPr>
            <w:tcW w:w="1039" w:type="dxa"/>
            <w:noWrap w:val="0"/>
            <w:vAlign w:val="center"/>
          </w:tcPr>
          <w:p w14:paraId="642F185A">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w w:val="99"/>
                <w:sz w:val="21"/>
                <w:szCs w:val="21"/>
              </w:rPr>
            </w:pPr>
            <w:r>
              <w:rPr>
                <w:rFonts w:hint="eastAsia" w:hAnsi="宋体" w:eastAsia="宋体" w:cs="宋体"/>
                <w:color w:val="auto"/>
                <w:sz w:val="21"/>
                <w:szCs w:val="21"/>
              </w:rPr>
              <w:t>评标方法</w:t>
            </w:r>
          </w:p>
        </w:tc>
        <w:tc>
          <w:tcPr>
            <w:tcW w:w="1635" w:type="dxa"/>
            <w:noWrap w:val="0"/>
            <w:vAlign w:val="center"/>
          </w:tcPr>
          <w:p w14:paraId="0A2986F2">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中标候选人排序方法</w:t>
            </w:r>
          </w:p>
        </w:tc>
        <w:tc>
          <w:tcPr>
            <w:tcW w:w="5764" w:type="dxa"/>
            <w:noWrap w:val="0"/>
            <w:vAlign w:val="bottom"/>
          </w:tcPr>
          <w:p w14:paraId="55850F76">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本次评标采用综合评估法。</w:t>
            </w:r>
          </w:p>
          <w:p w14:paraId="5FA8164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评标委员会对满足招标文件实质性要求的投标文件，按照本章第2.2款规定的评分标准进行打分，并按总得分由高到低顺序推荐中标候选人，排序的前一～三名分别为第一中标候选人、第二中标候选人和第三中标候选人。若总得分相等时，以投标总报价低的优先；投标总报价也相等的，以技术部分得分高的优先；如果技术部分得分也相等，由评标委员会采用记名投票方式，以得票多的优先，确定中标候选人的排序。</w:t>
            </w:r>
          </w:p>
        </w:tc>
      </w:tr>
      <w:tr w14:paraId="678B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restart"/>
            <w:noWrap w:val="0"/>
            <w:vAlign w:val="center"/>
          </w:tcPr>
          <w:p w14:paraId="1FCD337B">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w w:val="99"/>
                <w:sz w:val="21"/>
                <w:szCs w:val="21"/>
              </w:rPr>
              <w:t>2.1.1</w:t>
            </w:r>
          </w:p>
        </w:tc>
        <w:tc>
          <w:tcPr>
            <w:tcW w:w="1039" w:type="dxa"/>
            <w:vMerge w:val="restart"/>
            <w:noWrap w:val="0"/>
            <w:vAlign w:val="center"/>
          </w:tcPr>
          <w:p w14:paraId="606B8DA0">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w w:val="99"/>
                <w:sz w:val="21"/>
                <w:szCs w:val="21"/>
              </w:rPr>
            </w:pPr>
            <w:r>
              <w:rPr>
                <w:rFonts w:hint="eastAsia" w:hAnsi="宋体" w:eastAsia="宋体" w:cs="宋体"/>
                <w:color w:val="auto"/>
                <w:sz w:val="21"/>
                <w:szCs w:val="21"/>
              </w:rPr>
              <w:t>形式评审标准</w:t>
            </w:r>
          </w:p>
        </w:tc>
        <w:tc>
          <w:tcPr>
            <w:tcW w:w="1635" w:type="dxa"/>
            <w:noWrap w:val="0"/>
            <w:vAlign w:val="center"/>
          </w:tcPr>
          <w:p w14:paraId="46E4F910">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投标人名称</w:t>
            </w:r>
          </w:p>
        </w:tc>
        <w:tc>
          <w:tcPr>
            <w:tcW w:w="5764" w:type="dxa"/>
            <w:noWrap w:val="0"/>
            <w:vAlign w:val="center"/>
          </w:tcPr>
          <w:p w14:paraId="65D1E94D">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与营业执照或事业单位法人证书一致。</w:t>
            </w:r>
          </w:p>
        </w:tc>
      </w:tr>
      <w:tr w14:paraId="25AA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0D6E8ADA">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7B96428C">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31EFBF84">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投标函及投标函附录签字盖章</w:t>
            </w:r>
          </w:p>
        </w:tc>
        <w:tc>
          <w:tcPr>
            <w:tcW w:w="5764" w:type="dxa"/>
            <w:noWrap w:val="0"/>
            <w:vAlign w:val="center"/>
          </w:tcPr>
          <w:p w14:paraId="14176E86">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有法定代表人或其委托代理人签字或盖章，及加盖单位章。由法定代表人签字的，应附法定代表人身份证明，由代理人签字的，应附授权委托书，身份证明或授权委托书应符合第六章“投标文件格式”的规定。</w:t>
            </w:r>
          </w:p>
        </w:tc>
      </w:tr>
      <w:tr w14:paraId="55C3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19EF27A1">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03C1B602">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w w:val="99"/>
                <w:sz w:val="21"/>
                <w:szCs w:val="21"/>
              </w:rPr>
            </w:pPr>
          </w:p>
        </w:tc>
        <w:tc>
          <w:tcPr>
            <w:tcW w:w="1635" w:type="dxa"/>
            <w:noWrap w:val="0"/>
            <w:vAlign w:val="center"/>
          </w:tcPr>
          <w:p w14:paraId="466BBFC8">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投标文件格式</w:t>
            </w:r>
          </w:p>
        </w:tc>
        <w:tc>
          <w:tcPr>
            <w:tcW w:w="5764" w:type="dxa"/>
            <w:noWrap w:val="0"/>
            <w:vAlign w:val="center"/>
          </w:tcPr>
          <w:p w14:paraId="2A257606">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符合第六章“投标文件格式”中的规定。</w:t>
            </w:r>
          </w:p>
        </w:tc>
      </w:tr>
      <w:tr w14:paraId="79B3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34291CE5">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492F0E38">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05ACD974">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联合体投标人</w:t>
            </w:r>
          </w:p>
        </w:tc>
        <w:tc>
          <w:tcPr>
            <w:tcW w:w="5764" w:type="dxa"/>
            <w:noWrap w:val="0"/>
            <w:vAlign w:val="center"/>
          </w:tcPr>
          <w:p w14:paraId="54BD687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本次招标不接受联合体投标。</w:t>
            </w:r>
          </w:p>
        </w:tc>
      </w:tr>
      <w:tr w14:paraId="713D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4C9B8587">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5369A03C">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5A425054">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备选投标方案</w:t>
            </w:r>
          </w:p>
        </w:tc>
        <w:tc>
          <w:tcPr>
            <w:tcW w:w="5764" w:type="dxa"/>
            <w:noWrap w:val="0"/>
            <w:vAlign w:val="center"/>
          </w:tcPr>
          <w:p w14:paraId="2AF24665">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不允许。</w:t>
            </w:r>
          </w:p>
        </w:tc>
      </w:tr>
      <w:tr w14:paraId="1056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61B80185">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16426352">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589CB9B3">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投标人机器码</w:t>
            </w:r>
          </w:p>
        </w:tc>
        <w:tc>
          <w:tcPr>
            <w:tcW w:w="5764" w:type="dxa"/>
            <w:noWrap w:val="0"/>
            <w:vAlign w:val="center"/>
          </w:tcPr>
          <w:p w14:paraId="15740947">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投标人与本项目其他投标人加密打包投标文件电脑特征码一致的（以广州交易集团有限公司（广州公共资源交易中心）系统的检索信息为准），其投标将被否决。</w:t>
            </w:r>
          </w:p>
        </w:tc>
      </w:tr>
      <w:tr w14:paraId="2671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restart"/>
            <w:noWrap w:val="0"/>
            <w:vAlign w:val="center"/>
          </w:tcPr>
          <w:p w14:paraId="62743BDB">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w w:val="99"/>
                <w:sz w:val="21"/>
                <w:szCs w:val="21"/>
              </w:rPr>
            </w:pPr>
            <w:r>
              <w:rPr>
                <w:rFonts w:hint="eastAsia" w:hAnsi="宋体" w:eastAsia="宋体" w:cs="宋体"/>
                <w:color w:val="auto"/>
                <w:w w:val="99"/>
                <w:sz w:val="21"/>
                <w:szCs w:val="21"/>
              </w:rPr>
              <w:t>2.1.2</w:t>
            </w:r>
          </w:p>
        </w:tc>
        <w:tc>
          <w:tcPr>
            <w:tcW w:w="1039" w:type="dxa"/>
            <w:vMerge w:val="restart"/>
            <w:noWrap w:val="0"/>
            <w:vAlign w:val="center"/>
          </w:tcPr>
          <w:p w14:paraId="237695DD">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w w:val="99"/>
                <w:sz w:val="21"/>
                <w:szCs w:val="21"/>
              </w:rPr>
            </w:pPr>
            <w:r>
              <w:rPr>
                <w:rFonts w:hint="eastAsia" w:hAnsi="宋体" w:eastAsia="宋体" w:cs="宋体"/>
                <w:color w:val="auto"/>
                <w:sz w:val="21"/>
                <w:szCs w:val="21"/>
              </w:rPr>
              <w:t>资格评审标准</w:t>
            </w:r>
          </w:p>
        </w:tc>
        <w:tc>
          <w:tcPr>
            <w:tcW w:w="1635" w:type="dxa"/>
            <w:noWrap w:val="0"/>
            <w:vAlign w:val="bottom"/>
          </w:tcPr>
          <w:p w14:paraId="23D5D831">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营业执照或事业单位法人证书</w:t>
            </w:r>
          </w:p>
        </w:tc>
        <w:tc>
          <w:tcPr>
            <w:tcW w:w="5764" w:type="dxa"/>
            <w:noWrap w:val="0"/>
            <w:vAlign w:val="center"/>
          </w:tcPr>
          <w:p w14:paraId="1A54EDC9">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符合第二章“投标人须知”第3.5.1项规定；</w:t>
            </w:r>
          </w:p>
        </w:tc>
      </w:tr>
      <w:tr w14:paraId="55FE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38AF7CCA">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3EB973D3">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54E32365">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项目负责人</w:t>
            </w:r>
          </w:p>
        </w:tc>
        <w:tc>
          <w:tcPr>
            <w:tcW w:w="5764" w:type="dxa"/>
            <w:noWrap w:val="0"/>
            <w:vAlign w:val="center"/>
          </w:tcPr>
          <w:p w14:paraId="06A9A08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left"/>
              <w:rPr>
                <w:rFonts w:hint="eastAsia" w:hAnsi="宋体" w:eastAsia="宋体" w:cs="宋体"/>
                <w:color w:val="auto"/>
                <w:sz w:val="21"/>
                <w:szCs w:val="21"/>
              </w:rPr>
            </w:pPr>
            <w:r>
              <w:rPr>
                <w:rFonts w:hint="eastAsia" w:hAnsi="宋体" w:eastAsia="宋体" w:cs="宋体"/>
                <w:color w:val="auto"/>
                <w:sz w:val="21"/>
                <w:szCs w:val="21"/>
              </w:rPr>
              <w:t>符合第二章“投标人须知”第1.4.1项规定；</w:t>
            </w:r>
          </w:p>
        </w:tc>
      </w:tr>
      <w:tr w14:paraId="2187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58766C49">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5033A43B">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7D4FB2F3">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其他要求</w:t>
            </w:r>
          </w:p>
        </w:tc>
        <w:tc>
          <w:tcPr>
            <w:tcW w:w="5764" w:type="dxa"/>
            <w:noWrap w:val="0"/>
            <w:vAlign w:val="center"/>
          </w:tcPr>
          <w:p w14:paraId="18D01D02">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符合第二章“投标人须知”第1.4.1项规定；</w:t>
            </w:r>
          </w:p>
        </w:tc>
      </w:tr>
      <w:tr w14:paraId="5C1E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143E63CB">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5F5650F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78873B4E">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联合体投标人</w:t>
            </w:r>
          </w:p>
        </w:tc>
        <w:tc>
          <w:tcPr>
            <w:tcW w:w="5764" w:type="dxa"/>
            <w:noWrap w:val="0"/>
            <w:vAlign w:val="center"/>
          </w:tcPr>
          <w:p w14:paraId="0C8A871E">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本次招标不接受联合体投标；</w:t>
            </w:r>
          </w:p>
        </w:tc>
      </w:tr>
      <w:tr w14:paraId="0CF2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2B05574D">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1A0D7D53">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4F852168">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不存在禁止投标的情形</w:t>
            </w:r>
          </w:p>
        </w:tc>
        <w:tc>
          <w:tcPr>
            <w:tcW w:w="5764" w:type="dxa"/>
            <w:noWrap w:val="0"/>
            <w:vAlign w:val="center"/>
          </w:tcPr>
          <w:p w14:paraId="063791F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不存在第二章“投标人须知”第1.4.3项规定的任何一种情形。（以投标人声明为评审依据）</w:t>
            </w:r>
          </w:p>
        </w:tc>
      </w:tr>
      <w:tr w14:paraId="085B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1536AE29">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4367550B">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526ABCA4">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失信联合惩戒</w:t>
            </w:r>
          </w:p>
        </w:tc>
        <w:tc>
          <w:tcPr>
            <w:tcW w:w="5764" w:type="dxa"/>
            <w:noWrap w:val="0"/>
            <w:vAlign w:val="center"/>
          </w:tcPr>
          <w:p w14:paraId="1DADD640">
            <w:pPr>
              <w:keepNext w:val="0"/>
              <w:keepLines w:val="0"/>
              <w:widowControl w:val="0"/>
              <w:suppressLineNumbers w:val="0"/>
              <w:wordWrap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投标人未被列入拖欠农民工工资失信联合惩戒对象名单（投标人无需提供资料，按</w:t>
            </w:r>
            <w:r>
              <w:rPr>
                <w:rFonts w:hint="eastAsia" w:hAnsi="宋体" w:cs="宋体"/>
                <w:color w:val="auto"/>
                <w:sz w:val="21"/>
                <w:szCs w:val="21"/>
                <w:lang w:val="en-US" w:eastAsia="zh-CN"/>
              </w:rPr>
              <w:t>投标截止时</w:t>
            </w:r>
            <w:r>
              <w:rPr>
                <w:rFonts w:hint="eastAsia" w:hAnsi="宋体" w:eastAsia="宋体" w:cs="宋体"/>
                <w:color w:val="auto"/>
                <w:sz w:val="21"/>
                <w:szCs w:val="21"/>
              </w:rPr>
              <w:t>交易系统比对的结果进行评审）。</w:t>
            </w:r>
          </w:p>
        </w:tc>
      </w:tr>
      <w:tr w14:paraId="6D97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noWrap w:val="0"/>
            <w:vAlign w:val="bottom"/>
          </w:tcPr>
          <w:p w14:paraId="16A73DAA">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noWrap w:val="0"/>
            <w:vAlign w:val="bottom"/>
          </w:tcPr>
          <w:p w14:paraId="78B7AE0E">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6A95872A">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lang w:eastAsia="zh-CN"/>
              </w:rPr>
            </w:pPr>
            <w:r>
              <w:rPr>
                <w:rFonts w:hint="eastAsia" w:hAnsi="宋体" w:cs="宋体"/>
                <w:color w:val="auto"/>
                <w:sz w:val="21"/>
                <w:szCs w:val="21"/>
                <w:lang w:eastAsia="zh-CN"/>
              </w:rPr>
              <w:t>未有行政处罚承诺及未被</w:t>
            </w:r>
            <w:r>
              <w:rPr>
                <w:rFonts w:hint="eastAsia" w:hAnsi="宋体" w:cs="宋体"/>
                <w:color w:val="auto"/>
                <w:sz w:val="21"/>
                <w:szCs w:val="21"/>
              </w:rPr>
              <w:t>“行业领域重点关注黑名单、严重失信主体名单”</w:t>
            </w:r>
            <w:r>
              <w:rPr>
                <w:rFonts w:hint="eastAsia" w:hAnsi="宋体" w:cs="宋体"/>
                <w:color w:val="auto"/>
                <w:sz w:val="21"/>
                <w:szCs w:val="21"/>
                <w:lang w:eastAsia="zh-CN"/>
              </w:rPr>
              <w:t>截图</w:t>
            </w:r>
          </w:p>
        </w:tc>
        <w:tc>
          <w:tcPr>
            <w:tcW w:w="5764" w:type="dxa"/>
            <w:noWrap w:val="0"/>
            <w:vAlign w:val="center"/>
          </w:tcPr>
          <w:p w14:paraId="403043E6">
            <w:pPr>
              <w:keepNext w:val="0"/>
              <w:keepLines w:val="0"/>
              <w:widowControl w:val="0"/>
              <w:suppressLineNumbers w:val="0"/>
              <w:wordWrap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cs="宋体"/>
                <w:color w:val="auto"/>
                <w:sz w:val="21"/>
                <w:szCs w:val="21"/>
                <w:lang w:val="en-US" w:eastAsia="zh-CN"/>
              </w:rPr>
              <w:t>投</w:t>
            </w:r>
            <w:r>
              <w:rPr>
                <w:rFonts w:hint="eastAsia" w:hAnsi="宋体" w:cs="宋体"/>
                <w:color w:val="auto"/>
                <w:sz w:val="21"/>
                <w:szCs w:val="21"/>
              </w:rPr>
              <w:t>标人须提供近三年无围标串标行政处罚的书面承诺。投标人须提供未被列入信用中国（广东广州）平台的“信用公示”-“红黑名单查询”-“行业领域重点关注黑名单、严重失信主体名单”网页截图。</w:t>
            </w:r>
          </w:p>
        </w:tc>
      </w:tr>
      <w:tr w14:paraId="1065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restart"/>
            <w:noWrap w:val="0"/>
            <w:vAlign w:val="center"/>
          </w:tcPr>
          <w:p w14:paraId="1A83D303">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w w:val="99"/>
                <w:sz w:val="21"/>
                <w:szCs w:val="21"/>
              </w:rPr>
              <w:t>2.1.3</w:t>
            </w:r>
          </w:p>
        </w:tc>
        <w:tc>
          <w:tcPr>
            <w:tcW w:w="1039" w:type="dxa"/>
            <w:vMerge w:val="restart"/>
            <w:noWrap w:val="0"/>
            <w:vAlign w:val="center"/>
          </w:tcPr>
          <w:p w14:paraId="4405C3B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响应性评审标准</w:t>
            </w:r>
          </w:p>
        </w:tc>
        <w:tc>
          <w:tcPr>
            <w:tcW w:w="1635" w:type="dxa"/>
            <w:noWrap w:val="0"/>
            <w:vAlign w:val="center"/>
          </w:tcPr>
          <w:p w14:paraId="30FB07EC">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投标报价</w:t>
            </w:r>
          </w:p>
        </w:tc>
        <w:tc>
          <w:tcPr>
            <w:tcW w:w="5764" w:type="dxa"/>
            <w:noWrap w:val="0"/>
            <w:vAlign w:val="bottom"/>
          </w:tcPr>
          <w:p w14:paraId="262045E9">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符合第二章“投标人须知”第3.2款规定；</w:t>
            </w:r>
            <w:r>
              <w:rPr>
                <w:rFonts w:hint="eastAsia" w:hAnsi="宋体" w:eastAsia="宋体" w:cs="宋体"/>
                <w:color w:val="auto"/>
                <w:sz w:val="21"/>
                <w:szCs w:val="21"/>
                <w:u w:val="single"/>
              </w:rPr>
              <w:t>对同一招标项目没有出现两个或以上的投标报价，且修正无依据。</w:t>
            </w:r>
          </w:p>
        </w:tc>
      </w:tr>
      <w:tr w14:paraId="5FF9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1B4E71D8">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1F5BAB74">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1FAB3F79">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投标内容</w:t>
            </w:r>
          </w:p>
        </w:tc>
        <w:tc>
          <w:tcPr>
            <w:tcW w:w="5764" w:type="dxa"/>
            <w:noWrap w:val="0"/>
            <w:vAlign w:val="bottom"/>
          </w:tcPr>
          <w:p w14:paraId="71038026">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符合第二章“投标人须知”第1.3.1项规定，</w:t>
            </w:r>
            <w:r>
              <w:rPr>
                <w:rFonts w:hint="eastAsia" w:hAnsi="宋体" w:eastAsia="宋体" w:cs="宋体"/>
                <w:color w:val="auto"/>
                <w:sz w:val="21"/>
                <w:szCs w:val="21"/>
                <w:u w:val="single"/>
              </w:rPr>
              <w:t>投标文件按规定的格式填写，内容齐全或关键字迹清晰、容易辩认。</w:t>
            </w:r>
          </w:p>
        </w:tc>
      </w:tr>
      <w:tr w14:paraId="003A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5F440869">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55FA796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7911B979">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服务期限</w:t>
            </w:r>
          </w:p>
        </w:tc>
        <w:tc>
          <w:tcPr>
            <w:tcW w:w="5764" w:type="dxa"/>
            <w:noWrap w:val="0"/>
            <w:vAlign w:val="center"/>
          </w:tcPr>
          <w:p w14:paraId="002D35A0">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符合第二章“投标人须知”第1.3.2项规定</w:t>
            </w:r>
          </w:p>
        </w:tc>
      </w:tr>
      <w:tr w14:paraId="00B1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3549DF33">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3E740C98">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3915549D">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质量标准</w:t>
            </w:r>
          </w:p>
        </w:tc>
        <w:tc>
          <w:tcPr>
            <w:tcW w:w="5764" w:type="dxa"/>
            <w:noWrap w:val="0"/>
            <w:vAlign w:val="center"/>
          </w:tcPr>
          <w:p w14:paraId="0D50E4A2">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符合第二章“投标人须知”第1.3.3项规定</w:t>
            </w:r>
          </w:p>
        </w:tc>
      </w:tr>
      <w:tr w14:paraId="121C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6D1766AD">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7E9C34CB">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w w:val="99"/>
                <w:sz w:val="21"/>
                <w:szCs w:val="21"/>
              </w:rPr>
            </w:pPr>
          </w:p>
        </w:tc>
        <w:tc>
          <w:tcPr>
            <w:tcW w:w="1635" w:type="dxa"/>
            <w:noWrap w:val="0"/>
            <w:vAlign w:val="center"/>
          </w:tcPr>
          <w:p w14:paraId="13F343E3">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投标有效期</w:t>
            </w:r>
          </w:p>
        </w:tc>
        <w:tc>
          <w:tcPr>
            <w:tcW w:w="5764" w:type="dxa"/>
            <w:noWrap w:val="0"/>
            <w:vAlign w:val="center"/>
          </w:tcPr>
          <w:p w14:paraId="2CD47577">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符合第二章“投标人须知”第3.3.1项规定</w:t>
            </w:r>
          </w:p>
        </w:tc>
      </w:tr>
      <w:tr w14:paraId="3B4B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938" w:type="dxa"/>
            <w:vMerge w:val="continue"/>
            <w:noWrap w:val="0"/>
            <w:vAlign w:val="bottom"/>
          </w:tcPr>
          <w:p w14:paraId="3B5B6FE4">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039" w:type="dxa"/>
            <w:vMerge w:val="continue"/>
            <w:noWrap w:val="0"/>
            <w:vAlign w:val="bottom"/>
          </w:tcPr>
          <w:p w14:paraId="3E489D34">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p>
        </w:tc>
        <w:tc>
          <w:tcPr>
            <w:tcW w:w="1635" w:type="dxa"/>
            <w:noWrap w:val="0"/>
            <w:vAlign w:val="center"/>
          </w:tcPr>
          <w:p w14:paraId="7AE1E260">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w w:val="99"/>
                <w:sz w:val="21"/>
                <w:szCs w:val="21"/>
              </w:rPr>
            </w:pPr>
            <w:r>
              <w:rPr>
                <w:rFonts w:hint="eastAsia" w:hAnsi="宋体" w:eastAsia="宋体" w:cs="宋体"/>
                <w:color w:val="auto"/>
                <w:sz w:val="21"/>
                <w:szCs w:val="21"/>
              </w:rPr>
              <w:t>串通投标情形</w:t>
            </w:r>
          </w:p>
        </w:tc>
        <w:tc>
          <w:tcPr>
            <w:tcW w:w="5764" w:type="dxa"/>
            <w:noWrap w:val="0"/>
            <w:vAlign w:val="center"/>
          </w:tcPr>
          <w:p w14:paraId="274A8AB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both"/>
              <w:rPr>
                <w:rFonts w:hint="eastAsia" w:ascii="宋体" w:hAnsi="宋体" w:eastAsia="宋体" w:cs="宋体"/>
                <w:color w:val="auto"/>
                <w:w w:val="100"/>
                <w:sz w:val="21"/>
                <w:szCs w:val="21"/>
              </w:rPr>
            </w:pPr>
            <w:r>
              <w:rPr>
                <w:rFonts w:hint="eastAsia" w:ascii="宋体" w:hAnsi="宋体" w:eastAsia="宋体" w:cs="宋体"/>
                <w:color w:val="auto"/>
                <w:w w:val="100"/>
                <w:sz w:val="21"/>
                <w:szCs w:val="21"/>
              </w:rPr>
              <w:t>投标人之间存在《广东省实施&lt;中华人民共和国招标投标法&gt;办法》第十六条所禁止的情形的</w:t>
            </w:r>
          </w:p>
        </w:tc>
      </w:tr>
      <w:tr w14:paraId="005B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1977" w:type="dxa"/>
            <w:gridSpan w:val="2"/>
            <w:noWrap w:val="0"/>
            <w:vAlign w:val="bottom"/>
          </w:tcPr>
          <w:p w14:paraId="642DDFB9">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b/>
                <w:color w:val="auto"/>
                <w:w w:val="98"/>
                <w:sz w:val="21"/>
                <w:szCs w:val="21"/>
              </w:rPr>
            </w:pPr>
            <w:r>
              <w:rPr>
                <w:rFonts w:hint="eastAsia" w:hAnsi="宋体" w:eastAsia="宋体" w:cs="宋体"/>
                <w:b/>
                <w:color w:val="auto"/>
                <w:w w:val="98"/>
                <w:sz w:val="21"/>
                <w:szCs w:val="21"/>
              </w:rPr>
              <w:t>条款号</w:t>
            </w:r>
          </w:p>
        </w:tc>
        <w:tc>
          <w:tcPr>
            <w:tcW w:w="1635" w:type="dxa"/>
            <w:noWrap w:val="0"/>
            <w:vAlign w:val="bottom"/>
          </w:tcPr>
          <w:p w14:paraId="4FE11D5A">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b/>
                <w:color w:val="auto"/>
                <w:w w:val="99"/>
                <w:sz w:val="21"/>
                <w:szCs w:val="21"/>
              </w:rPr>
            </w:pPr>
            <w:r>
              <w:rPr>
                <w:rFonts w:hint="eastAsia" w:hAnsi="宋体" w:eastAsia="宋体" w:cs="宋体"/>
                <w:b/>
                <w:color w:val="auto"/>
                <w:w w:val="99"/>
                <w:sz w:val="21"/>
                <w:szCs w:val="21"/>
              </w:rPr>
              <w:t>条款内容</w:t>
            </w:r>
          </w:p>
        </w:tc>
        <w:tc>
          <w:tcPr>
            <w:tcW w:w="5764" w:type="dxa"/>
            <w:noWrap w:val="0"/>
            <w:vAlign w:val="bottom"/>
          </w:tcPr>
          <w:p w14:paraId="1F42E947">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b/>
                <w:color w:val="auto"/>
                <w:w w:val="99"/>
                <w:sz w:val="21"/>
                <w:szCs w:val="21"/>
              </w:rPr>
            </w:pPr>
            <w:r>
              <w:rPr>
                <w:rFonts w:hint="eastAsia" w:hAnsi="宋体" w:eastAsia="宋体" w:cs="宋体"/>
                <w:b/>
                <w:color w:val="auto"/>
                <w:w w:val="99"/>
                <w:sz w:val="21"/>
                <w:szCs w:val="21"/>
              </w:rPr>
              <w:t>编列内容</w:t>
            </w:r>
          </w:p>
        </w:tc>
      </w:tr>
      <w:tr w14:paraId="183F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1977" w:type="dxa"/>
            <w:gridSpan w:val="2"/>
            <w:noWrap w:val="0"/>
            <w:vAlign w:val="center"/>
          </w:tcPr>
          <w:p w14:paraId="5A5CB7C6">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w w:val="99"/>
                <w:sz w:val="21"/>
                <w:szCs w:val="21"/>
              </w:rPr>
            </w:pPr>
            <w:r>
              <w:rPr>
                <w:rFonts w:hint="eastAsia" w:hAnsi="宋体" w:eastAsia="宋体" w:cs="宋体"/>
                <w:color w:val="auto"/>
                <w:w w:val="99"/>
                <w:sz w:val="21"/>
                <w:szCs w:val="21"/>
              </w:rPr>
              <w:t>2.2.1</w:t>
            </w:r>
          </w:p>
        </w:tc>
        <w:tc>
          <w:tcPr>
            <w:tcW w:w="1635" w:type="dxa"/>
            <w:noWrap w:val="0"/>
            <w:vAlign w:val="center"/>
          </w:tcPr>
          <w:p w14:paraId="7794033A">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分值构成</w:t>
            </w:r>
          </w:p>
          <w:p w14:paraId="76A8E7A3">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(总分100分)</w:t>
            </w:r>
          </w:p>
        </w:tc>
        <w:tc>
          <w:tcPr>
            <w:tcW w:w="5764" w:type="dxa"/>
            <w:noWrap w:val="0"/>
            <w:vAlign w:val="center"/>
          </w:tcPr>
          <w:p w14:paraId="46546DB5">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商务部分：</w:t>
            </w:r>
            <w:r>
              <w:rPr>
                <w:rFonts w:hint="eastAsia" w:hAnsi="宋体" w:eastAsia="宋体" w:cs="宋体"/>
                <w:color w:val="auto"/>
                <w:sz w:val="21"/>
                <w:szCs w:val="21"/>
                <w:u w:val="single"/>
                <w:lang w:val="en-US" w:eastAsia="zh-CN"/>
              </w:rPr>
              <w:t>6</w:t>
            </w:r>
            <w:r>
              <w:rPr>
                <w:rFonts w:hint="eastAsia" w:hAnsi="宋体" w:eastAsia="宋体" w:cs="宋体"/>
                <w:color w:val="auto"/>
                <w:sz w:val="21"/>
                <w:szCs w:val="21"/>
                <w:u w:val="single"/>
              </w:rPr>
              <w:t>0</w:t>
            </w:r>
            <w:r>
              <w:rPr>
                <w:rFonts w:hint="eastAsia" w:hAnsi="宋体" w:eastAsia="宋体" w:cs="宋体"/>
                <w:color w:val="auto"/>
                <w:sz w:val="21"/>
                <w:szCs w:val="21"/>
              </w:rPr>
              <w:t>分</w:t>
            </w:r>
          </w:p>
          <w:p w14:paraId="72144FBC">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技术部分</w:t>
            </w:r>
            <w:r>
              <w:rPr>
                <w:rFonts w:hint="eastAsia" w:hAnsi="宋体" w:eastAsia="宋体" w:cs="宋体"/>
                <w:color w:val="auto"/>
                <w:w w:val="99"/>
                <w:sz w:val="21"/>
                <w:szCs w:val="21"/>
              </w:rPr>
              <w:t>：</w:t>
            </w:r>
            <w:r>
              <w:rPr>
                <w:rFonts w:hint="eastAsia" w:hAnsi="宋体" w:eastAsia="宋体" w:cs="宋体"/>
                <w:color w:val="auto"/>
                <w:sz w:val="21"/>
                <w:szCs w:val="21"/>
                <w:u w:val="single"/>
                <w:lang w:val="en-US" w:eastAsia="zh-CN"/>
              </w:rPr>
              <w:t>2</w:t>
            </w:r>
            <w:r>
              <w:rPr>
                <w:rFonts w:hint="eastAsia" w:hAnsi="宋体" w:eastAsia="宋体" w:cs="宋体"/>
                <w:color w:val="auto"/>
                <w:sz w:val="21"/>
                <w:szCs w:val="21"/>
                <w:u w:val="single"/>
              </w:rPr>
              <w:t>0</w:t>
            </w:r>
            <w:r>
              <w:rPr>
                <w:rFonts w:hint="eastAsia" w:hAnsi="宋体" w:eastAsia="宋体" w:cs="宋体"/>
                <w:color w:val="auto"/>
                <w:sz w:val="21"/>
                <w:szCs w:val="21"/>
              </w:rPr>
              <w:t>分</w:t>
            </w:r>
          </w:p>
          <w:p w14:paraId="2FBC0B70">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经济部分：</w:t>
            </w:r>
            <w:r>
              <w:rPr>
                <w:rFonts w:hint="eastAsia" w:hAnsi="宋体" w:eastAsia="宋体" w:cs="宋体"/>
                <w:color w:val="auto"/>
                <w:sz w:val="21"/>
                <w:szCs w:val="21"/>
                <w:u w:val="single"/>
                <w:lang w:val="en-US" w:eastAsia="zh-CN"/>
              </w:rPr>
              <w:t>1</w:t>
            </w:r>
            <w:r>
              <w:rPr>
                <w:rFonts w:hint="eastAsia" w:hAnsi="宋体" w:eastAsia="宋体" w:cs="宋体"/>
                <w:color w:val="auto"/>
                <w:sz w:val="21"/>
                <w:szCs w:val="21"/>
                <w:u w:val="single"/>
              </w:rPr>
              <w:t>0</w:t>
            </w:r>
            <w:r>
              <w:rPr>
                <w:rFonts w:hint="eastAsia" w:hAnsi="宋体" w:eastAsia="宋体" w:cs="宋体"/>
                <w:color w:val="auto"/>
                <w:sz w:val="21"/>
                <w:szCs w:val="21"/>
              </w:rPr>
              <w:t>分</w:t>
            </w:r>
          </w:p>
          <w:p w14:paraId="1638029A">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其他评分因素：</w:t>
            </w:r>
            <w:r>
              <w:rPr>
                <w:rFonts w:hint="eastAsia" w:ascii="宋体" w:hAnsi="宋体" w:eastAsia="宋体" w:cs="宋体"/>
                <w:color w:val="auto"/>
                <w:sz w:val="21"/>
                <w:szCs w:val="21"/>
                <w:u w:val="single"/>
              </w:rPr>
              <w:t>诚信综合评价排名得分</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0分</w:t>
            </w:r>
          </w:p>
          <w:p w14:paraId="18C93763">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ascii="宋体" w:hAnsi="宋体" w:eastAsia="宋体" w:cs="宋体"/>
                <w:color w:val="auto"/>
                <w:sz w:val="21"/>
                <w:szCs w:val="21"/>
              </w:rPr>
              <w:t>投标人总得分=</w:t>
            </w:r>
            <w:r>
              <w:rPr>
                <w:rFonts w:hint="eastAsia" w:hAnsi="宋体" w:eastAsia="宋体" w:cs="宋体"/>
                <w:color w:val="auto"/>
                <w:sz w:val="21"/>
                <w:szCs w:val="21"/>
              </w:rPr>
              <w:t>商务部分</w:t>
            </w:r>
            <w:r>
              <w:rPr>
                <w:rFonts w:hint="eastAsia" w:ascii="宋体" w:hAnsi="宋体" w:eastAsia="宋体" w:cs="宋体"/>
                <w:color w:val="auto"/>
                <w:sz w:val="21"/>
                <w:szCs w:val="21"/>
              </w:rPr>
              <w:t>得分+</w:t>
            </w:r>
            <w:r>
              <w:rPr>
                <w:rFonts w:hint="eastAsia" w:hAnsi="宋体" w:eastAsia="宋体" w:cs="宋体"/>
                <w:color w:val="auto"/>
                <w:sz w:val="21"/>
                <w:szCs w:val="21"/>
              </w:rPr>
              <w:t>技术部分</w:t>
            </w:r>
            <w:r>
              <w:rPr>
                <w:rFonts w:hint="eastAsia" w:ascii="宋体" w:hAnsi="宋体" w:eastAsia="宋体" w:cs="宋体"/>
                <w:color w:val="auto"/>
                <w:sz w:val="21"/>
                <w:szCs w:val="21"/>
              </w:rPr>
              <w:t>得分+</w:t>
            </w:r>
            <w:r>
              <w:rPr>
                <w:rFonts w:hint="eastAsia" w:hAnsi="宋体" w:eastAsia="宋体" w:cs="宋体"/>
                <w:color w:val="auto"/>
                <w:sz w:val="21"/>
                <w:szCs w:val="21"/>
              </w:rPr>
              <w:t>经济部分</w:t>
            </w:r>
            <w:r>
              <w:rPr>
                <w:rFonts w:hint="eastAsia" w:ascii="宋体" w:hAnsi="宋体" w:eastAsia="宋体" w:cs="宋体"/>
                <w:color w:val="auto"/>
                <w:sz w:val="21"/>
                <w:szCs w:val="21"/>
              </w:rPr>
              <w:t>得分+诚信综合评价排名得分</w:t>
            </w:r>
          </w:p>
        </w:tc>
      </w:tr>
      <w:tr w14:paraId="031C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1977" w:type="dxa"/>
            <w:gridSpan w:val="2"/>
            <w:noWrap w:val="0"/>
            <w:vAlign w:val="center"/>
          </w:tcPr>
          <w:p w14:paraId="3621AA9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w w:val="99"/>
                <w:sz w:val="21"/>
                <w:szCs w:val="21"/>
              </w:rPr>
            </w:pPr>
            <w:r>
              <w:rPr>
                <w:rFonts w:hint="eastAsia" w:hAnsi="宋体" w:eastAsia="宋体" w:cs="宋体"/>
                <w:color w:val="auto"/>
                <w:w w:val="99"/>
                <w:sz w:val="21"/>
                <w:szCs w:val="21"/>
              </w:rPr>
              <w:t>2.2.2</w:t>
            </w:r>
          </w:p>
        </w:tc>
        <w:tc>
          <w:tcPr>
            <w:tcW w:w="1635" w:type="dxa"/>
            <w:noWrap w:val="0"/>
            <w:vAlign w:val="center"/>
          </w:tcPr>
          <w:p w14:paraId="58044FD6">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评标基准价计算方法</w:t>
            </w:r>
          </w:p>
        </w:tc>
        <w:tc>
          <w:tcPr>
            <w:tcW w:w="5764" w:type="dxa"/>
            <w:noWrap w:val="0"/>
            <w:vAlign w:val="center"/>
          </w:tcPr>
          <w:p w14:paraId="5758FA18">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当通过初步评审在位于[最高投标限价×90%，最高投标限价]区间的投标价中的有效投标人大于5名时，所有入围的有效投标价中去掉一个最高价和一个最低价，取余下有效投标价的算术平均值的作为评标基准价；当通过初步评审在位于[最高投标限价×90%，最高投标限价]区间的投标价中的有效投标人小于或等于5名时，取所有入围的有效投标价的算术平均值的作为评标基准价（小数点后保留2位小数，第3位小数四舍五入）。若通过初步评审没有投标价位于[最高投标限价×90%，最高投标限价]区间的有效投标人，所有投标人的报价得分为0分。</w:t>
            </w:r>
          </w:p>
        </w:tc>
      </w:tr>
      <w:tr w14:paraId="1865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1977" w:type="dxa"/>
            <w:gridSpan w:val="2"/>
            <w:noWrap w:val="0"/>
            <w:vAlign w:val="center"/>
          </w:tcPr>
          <w:p w14:paraId="0F809CB9">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w w:val="99"/>
                <w:sz w:val="21"/>
                <w:szCs w:val="21"/>
              </w:rPr>
            </w:pPr>
            <w:r>
              <w:rPr>
                <w:rFonts w:hint="eastAsia" w:hAnsi="宋体" w:eastAsia="宋体" w:cs="宋体"/>
                <w:color w:val="auto"/>
                <w:w w:val="99"/>
                <w:sz w:val="21"/>
                <w:szCs w:val="21"/>
              </w:rPr>
              <w:t>2.2.3</w:t>
            </w:r>
          </w:p>
        </w:tc>
        <w:tc>
          <w:tcPr>
            <w:tcW w:w="1635" w:type="dxa"/>
            <w:noWrap w:val="0"/>
            <w:vAlign w:val="center"/>
          </w:tcPr>
          <w:p w14:paraId="2D35542E">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jc w:val="center"/>
              <w:rPr>
                <w:rFonts w:hint="eastAsia" w:hAnsi="宋体" w:eastAsia="宋体" w:cs="宋体"/>
                <w:color w:val="auto"/>
                <w:sz w:val="21"/>
                <w:szCs w:val="21"/>
              </w:rPr>
            </w:pPr>
            <w:r>
              <w:rPr>
                <w:rFonts w:hint="eastAsia" w:hAnsi="宋体" w:eastAsia="宋体" w:cs="宋体"/>
                <w:color w:val="auto"/>
                <w:sz w:val="21"/>
                <w:szCs w:val="21"/>
              </w:rPr>
              <w:t>投标报价的偏差率计算公式</w:t>
            </w:r>
          </w:p>
        </w:tc>
        <w:tc>
          <w:tcPr>
            <w:tcW w:w="5764" w:type="dxa"/>
            <w:noWrap w:val="0"/>
            <w:vAlign w:val="bottom"/>
          </w:tcPr>
          <w:p w14:paraId="42725048">
            <w:pPr>
              <w:adjustRightInd w:val="0"/>
              <w:snapToGrid w:val="0"/>
              <w:spacing w:line="360" w:lineRule="exact"/>
              <w:ind w:left="48" w:leftChars="20" w:right="48" w:rightChars="20"/>
              <w:rPr>
                <w:rFonts w:hint="eastAsia" w:hAnsi="宋体" w:cs="宋体"/>
                <w:color w:val="auto"/>
                <w:sz w:val="21"/>
                <w:szCs w:val="21"/>
                <w:lang w:eastAsia="zh-CN"/>
              </w:rPr>
            </w:pPr>
            <w:r>
              <w:rPr>
                <w:rFonts w:hint="eastAsia" w:hAnsi="宋体" w:eastAsia="宋体" w:cs="宋体"/>
                <w:color w:val="auto"/>
                <w:sz w:val="21"/>
                <w:szCs w:val="21"/>
              </w:rPr>
              <w:t>偏差率=100%×︱（有效投标报价 -评标基准价）︱/评标基准价</w:t>
            </w:r>
            <w:bookmarkStart w:id="324" w:name="auto_fouce_27"/>
            <w:r>
              <w:rPr>
                <w:rFonts w:hint="eastAsia" w:hAnsi="宋体" w:cs="宋体"/>
                <w:color w:val="auto"/>
                <w:sz w:val="21"/>
                <w:szCs w:val="21"/>
                <w:lang w:eastAsia="zh-CN"/>
              </w:rPr>
              <w:t>。</w:t>
            </w:r>
            <w:bookmarkEnd w:id="324"/>
          </w:p>
          <w:p w14:paraId="27ED620F">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（偏差率四舍五入保留2位小数，报价偏差率不足1%的</w:t>
            </w:r>
            <w:r>
              <w:rPr>
                <w:rFonts w:hint="eastAsia" w:hAnsi="宋体" w:cs="宋体"/>
                <w:color w:val="auto"/>
                <w:sz w:val="21"/>
                <w:szCs w:val="21"/>
                <w:lang w:val="en-US" w:eastAsia="zh-CN"/>
              </w:rPr>
              <w:t>部分</w:t>
            </w:r>
            <w:r>
              <w:rPr>
                <w:rFonts w:hint="eastAsia" w:hAnsi="宋体" w:eastAsia="宋体" w:cs="宋体"/>
                <w:color w:val="auto"/>
                <w:sz w:val="21"/>
                <w:szCs w:val="21"/>
              </w:rPr>
              <w:t>，按</w:t>
            </w:r>
            <w:r>
              <w:rPr>
                <w:rFonts w:hint="eastAsia" w:hAnsi="宋体" w:cs="宋体"/>
                <w:color w:val="auto"/>
                <w:sz w:val="21"/>
                <w:szCs w:val="21"/>
                <w:lang w:val="en-US" w:eastAsia="zh-CN"/>
              </w:rPr>
              <w:t>比例</w:t>
            </w:r>
            <w:r>
              <w:rPr>
                <w:rFonts w:hint="eastAsia" w:hAnsi="宋体" w:eastAsia="宋体" w:cs="宋体"/>
                <w:color w:val="auto"/>
                <w:sz w:val="21"/>
                <w:szCs w:val="21"/>
              </w:rPr>
              <w:t>内插法计算投标报价得分）</w:t>
            </w:r>
          </w:p>
          <w:p w14:paraId="64A2B7C0">
            <w:pPr>
              <w:keepNext w:val="0"/>
              <w:keepLines w:val="0"/>
              <w:widowControl w:val="0"/>
              <w:suppressLineNumbers w:val="0"/>
              <w:adjustRightInd w:val="0"/>
              <w:snapToGrid w:val="0"/>
              <w:spacing w:before="0" w:beforeAutospacing="0" w:after="0" w:afterAutospacing="0" w:line="360" w:lineRule="exact"/>
              <w:ind w:left="48" w:leftChars="20" w:right="48" w:rightChars="20" w:firstLine="0" w:firstLineChars="0"/>
              <w:rPr>
                <w:rFonts w:hint="eastAsia" w:hAnsi="宋体" w:eastAsia="宋体" w:cs="宋体"/>
                <w:color w:val="auto"/>
                <w:sz w:val="21"/>
                <w:szCs w:val="21"/>
              </w:rPr>
            </w:pPr>
            <w:r>
              <w:rPr>
                <w:rFonts w:hint="eastAsia" w:hAnsi="宋体" w:eastAsia="宋体" w:cs="宋体"/>
                <w:color w:val="auto"/>
                <w:sz w:val="21"/>
                <w:szCs w:val="21"/>
              </w:rPr>
              <w:t>注：有效投标报价为通过初步评审经算术错误修正后的核准报价（投标总报价）。</w:t>
            </w:r>
          </w:p>
        </w:tc>
      </w:tr>
    </w:tbl>
    <w:p w14:paraId="33175396">
      <w:pPr>
        <w:pStyle w:val="75"/>
        <w:ind w:firstLine="0" w:firstLineChars="0"/>
        <w:rPr>
          <w:color w:val="auto"/>
        </w:rPr>
      </w:pPr>
      <w:bookmarkStart w:id="325" w:name="_Toc35513487"/>
    </w:p>
    <w:tbl>
      <w:tblPr>
        <w:tblStyle w:val="37"/>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306"/>
        <w:gridCol w:w="1971"/>
        <w:gridCol w:w="5249"/>
      </w:tblGrid>
      <w:tr w14:paraId="71DA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27"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3905535">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宋体"/>
                <w:b/>
                <w:bCs/>
                <w:color w:val="auto"/>
                <w:kern w:val="2"/>
                <w:sz w:val="21"/>
                <w:szCs w:val="21"/>
              </w:rPr>
            </w:pPr>
            <w:r>
              <w:rPr>
                <w:rFonts w:hint="eastAsia" w:hAnsi="宋体" w:cs="宋体"/>
                <w:b/>
                <w:bCs/>
                <w:color w:val="auto"/>
                <w:kern w:val="2"/>
                <w:sz w:val="21"/>
                <w:szCs w:val="21"/>
              </w:rPr>
              <w:t>条款号</w:t>
            </w:r>
          </w:p>
        </w:tc>
        <w:tc>
          <w:tcPr>
            <w:tcW w:w="197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F4E19AD">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宋体"/>
                <w:b/>
                <w:bCs/>
                <w:color w:val="auto"/>
                <w:kern w:val="2"/>
                <w:sz w:val="21"/>
                <w:szCs w:val="21"/>
              </w:rPr>
            </w:pPr>
            <w:r>
              <w:rPr>
                <w:rFonts w:hint="eastAsia" w:hAnsi="宋体" w:cs="宋体"/>
                <w:b/>
                <w:bCs/>
                <w:color w:val="auto"/>
                <w:kern w:val="2"/>
                <w:sz w:val="21"/>
                <w:szCs w:val="21"/>
              </w:rPr>
              <w:t>评分因素（偏差率）</w:t>
            </w:r>
          </w:p>
        </w:tc>
        <w:tc>
          <w:tcPr>
            <w:tcW w:w="5249" w:type="dxa"/>
            <w:tcBorders>
              <w:top w:val="single" w:color="auto" w:sz="4" w:space="0"/>
              <w:left w:val="single" w:color="auto" w:sz="4" w:space="0"/>
              <w:bottom w:val="single" w:color="auto" w:sz="4" w:space="0"/>
              <w:right w:val="single" w:color="auto" w:sz="4" w:space="0"/>
            </w:tcBorders>
            <w:noWrap w:val="0"/>
            <w:vAlign w:val="center"/>
          </w:tcPr>
          <w:p w14:paraId="2DB93FF2">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宋体"/>
                <w:b/>
                <w:bCs/>
                <w:color w:val="auto"/>
                <w:kern w:val="2"/>
                <w:sz w:val="21"/>
                <w:szCs w:val="21"/>
              </w:rPr>
            </w:pPr>
            <w:r>
              <w:rPr>
                <w:rFonts w:hint="eastAsia" w:hAnsi="宋体" w:cs="宋体"/>
                <w:b/>
                <w:bCs/>
                <w:color w:val="auto"/>
                <w:kern w:val="2"/>
                <w:sz w:val="21"/>
                <w:szCs w:val="21"/>
              </w:rPr>
              <w:t>评分标准</w:t>
            </w:r>
          </w:p>
        </w:tc>
      </w:tr>
      <w:tr w14:paraId="0660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29BA5FF">
            <w:pPr>
              <w:keepNext w:val="0"/>
              <w:keepLines w:val="0"/>
              <w:widowControl w:val="0"/>
              <w:suppressLineNumbers w:val="0"/>
              <w:spacing w:before="0" w:beforeAutospacing="0" w:after="0" w:afterAutospacing="0" w:line="240" w:lineRule="auto"/>
              <w:ind w:left="0" w:right="-20" w:firstLine="0" w:firstLineChars="0"/>
              <w:jc w:val="center"/>
              <w:rPr>
                <w:rFonts w:hint="default" w:hAnsi="宋体" w:cs="Times New Roman"/>
                <w:color w:val="auto"/>
                <w:kern w:val="2"/>
                <w:sz w:val="21"/>
                <w:szCs w:val="21"/>
              </w:rPr>
            </w:pPr>
            <w:r>
              <w:rPr>
                <w:rFonts w:hint="default" w:hAnsi="宋体" w:cs="Times New Roman"/>
                <w:color w:val="auto"/>
                <w:kern w:val="2"/>
                <w:sz w:val="21"/>
                <w:szCs w:val="21"/>
              </w:rPr>
              <w:t>2.2.4</w:t>
            </w:r>
          </w:p>
          <w:p w14:paraId="1AC06A48">
            <w:pPr>
              <w:keepNext w:val="0"/>
              <w:keepLines w:val="0"/>
              <w:widowControl w:val="0"/>
              <w:suppressLineNumbers w:val="0"/>
              <w:spacing w:before="88" w:beforeAutospacing="0" w:after="0" w:afterAutospacing="0" w:line="240" w:lineRule="auto"/>
              <w:ind w:left="0" w:right="-20" w:firstLine="0" w:firstLineChars="0"/>
              <w:jc w:val="center"/>
              <w:rPr>
                <w:rFonts w:hint="default" w:hAnsi="宋体" w:cs="宋体"/>
                <w:color w:val="auto"/>
                <w:kern w:val="2"/>
                <w:sz w:val="21"/>
                <w:szCs w:val="21"/>
              </w:rPr>
            </w:pPr>
            <w:r>
              <w:rPr>
                <w:rFonts w:hint="default" w:hAnsi="宋体" w:cs="Times New Roman"/>
                <w:color w:val="auto"/>
                <w:kern w:val="2"/>
                <w:sz w:val="21"/>
                <w:szCs w:val="21"/>
              </w:rPr>
              <w:t>（1）</w:t>
            </w:r>
          </w:p>
        </w:tc>
        <w:tc>
          <w:tcPr>
            <w:tcW w:w="130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6043CB7">
            <w:pPr>
              <w:keepNext w:val="0"/>
              <w:keepLines w:val="0"/>
              <w:widowControl w:val="0"/>
              <w:suppressLineNumbers w:val="0"/>
              <w:spacing w:before="0" w:beforeAutospacing="0" w:after="0" w:afterAutospacing="0" w:line="240" w:lineRule="auto"/>
              <w:ind w:left="136" w:right="59" w:firstLine="0" w:firstLineChars="0"/>
              <w:jc w:val="center"/>
              <w:rPr>
                <w:rFonts w:hint="eastAsia" w:hAnsi="宋体" w:cs="Times New Roman"/>
                <w:color w:val="auto"/>
                <w:kern w:val="2"/>
                <w:sz w:val="21"/>
                <w:szCs w:val="21"/>
              </w:rPr>
            </w:pPr>
            <w:r>
              <w:rPr>
                <w:rFonts w:hint="eastAsia" w:hAnsi="宋体" w:cs="Times New Roman"/>
                <w:color w:val="auto"/>
                <w:kern w:val="2"/>
                <w:sz w:val="21"/>
                <w:szCs w:val="21"/>
              </w:rPr>
              <w:t>商务部分</w:t>
            </w:r>
            <w:r>
              <w:rPr>
                <w:rFonts w:hint="default" w:hAnsi="宋体" w:cs="Times New Roman"/>
                <w:color w:val="auto"/>
                <w:kern w:val="2"/>
                <w:sz w:val="21"/>
                <w:szCs w:val="21"/>
              </w:rPr>
              <w:t>评分</w:t>
            </w:r>
            <w:r>
              <w:rPr>
                <w:rFonts w:hint="default" w:hAnsi="宋体" w:cs="Times New Roman"/>
                <w:color w:val="auto"/>
                <w:spacing w:val="-2"/>
                <w:kern w:val="2"/>
                <w:sz w:val="21"/>
                <w:szCs w:val="21"/>
              </w:rPr>
              <w:t>标</w:t>
            </w:r>
            <w:r>
              <w:rPr>
                <w:rFonts w:hint="default" w:hAnsi="宋体" w:cs="Times New Roman"/>
                <w:color w:val="auto"/>
                <w:kern w:val="2"/>
                <w:sz w:val="21"/>
                <w:szCs w:val="21"/>
              </w:rPr>
              <w:t>准</w:t>
            </w:r>
          </w:p>
          <w:p w14:paraId="2A41D8EA">
            <w:pPr>
              <w:keepNext w:val="0"/>
              <w:keepLines w:val="0"/>
              <w:widowControl w:val="0"/>
              <w:suppressLineNumbers w:val="0"/>
              <w:spacing w:before="0" w:beforeAutospacing="0" w:after="0" w:afterAutospacing="0" w:line="240" w:lineRule="auto"/>
              <w:ind w:left="136" w:right="59" w:firstLine="0" w:firstLineChars="0"/>
              <w:jc w:val="center"/>
              <w:rPr>
                <w:rFonts w:hint="default" w:hAnsi="宋体" w:cs="宋体"/>
                <w:color w:val="auto"/>
                <w:kern w:val="2"/>
                <w:sz w:val="21"/>
                <w:szCs w:val="21"/>
              </w:rPr>
            </w:pPr>
            <w:r>
              <w:rPr>
                <w:rFonts w:hint="eastAsia" w:hAnsi="宋体" w:cs="Times New Roman"/>
                <w:color w:val="auto"/>
                <w:kern w:val="2"/>
                <w:sz w:val="21"/>
                <w:szCs w:val="21"/>
              </w:rPr>
              <w:t>A</w:t>
            </w:r>
          </w:p>
        </w:tc>
        <w:tc>
          <w:tcPr>
            <w:tcW w:w="1971"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17ED75A5">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宋体"/>
                <w:color w:val="auto"/>
                <w:kern w:val="2"/>
                <w:sz w:val="21"/>
                <w:szCs w:val="21"/>
              </w:rPr>
            </w:pPr>
            <w:r>
              <w:rPr>
                <w:rFonts w:hint="eastAsia" w:hAnsi="宋体" w:cs="Arial"/>
                <w:color w:val="auto"/>
                <w:kern w:val="2"/>
                <w:sz w:val="21"/>
                <w:szCs w:val="21"/>
              </w:rPr>
              <w:t>/</w:t>
            </w:r>
          </w:p>
        </w:tc>
        <w:tc>
          <w:tcPr>
            <w:tcW w:w="5249" w:type="dxa"/>
            <w:tcBorders>
              <w:top w:val="single" w:color="auto" w:sz="4" w:space="0"/>
              <w:left w:val="single" w:color="auto" w:sz="4" w:space="0"/>
              <w:right w:val="single" w:color="auto" w:sz="4" w:space="0"/>
            </w:tcBorders>
            <w:noWrap w:val="0"/>
            <w:vAlign w:val="center"/>
          </w:tcPr>
          <w:p w14:paraId="0629F371">
            <w:pPr>
              <w:keepNext w:val="0"/>
              <w:keepLines w:val="0"/>
              <w:widowControl w:val="0"/>
              <w:suppressLineNumbers w:val="0"/>
              <w:spacing w:before="0" w:beforeAutospacing="0" w:after="0" w:afterAutospacing="0" w:line="240" w:lineRule="auto"/>
              <w:ind w:left="1938" w:right="1113" w:hanging="1938" w:hangingChars="923"/>
              <w:rPr>
                <w:rFonts w:hint="default" w:hAnsi="宋体" w:cs="宋体"/>
                <w:color w:val="auto"/>
                <w:kern w:val="2"/>
                <w:sz w:val="21"/>
                <w:szCs w:val="21"/>
              </w:rPr>
            </w:pPr>
            <w:r>
              <w:rPr>
                <w:rFonts w:hint="eastAsia" w:hAnsi="宋体" w:cs="Times New Roman"/>
                <w:color w:val="auto"/>
                <w:kern w:val="2"/>
                <w:sz w:val="21"/>
                <w:szCs w:val="21"/>
              </w:rPr>
              <w:t>详见本章附表：综合评分表。</w:t>
            </w:r>
          </w:p>
        </w:tc>
      </w:tr>
      <w:tr w14:paraId="4BFB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2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77B174">
            <w:pPr>
              <w:keepNext w:val="0"/>
              <w:keepLines w:val="0"/>
              <w:widowControl w:val="0"/>
              <w:suppressLineNumbers w:val="0"/>
              <w:spacing w:before="0" w:beforeAutospacing="0" w:after="0" w:afterAutospacing="0" w:line="240" w:lineRule="auto"/>
              <w:ind w:left="0" w:right="-20" w:firstLine="0" w:firstLineChars="0"/>
              <w:jc w:val="center"/>
              <w:rPr>
                <w:rFonts w:hint="default" w:hAnsi="宋体" w:cs="Times New Roman"/>
                <w:color w:val="auto"/>
                <w:kern w:val="2"/>
                <w:sz w:val="21"/>
                <w:szCs w:val="21"/>
              </w:rPr>
            </w:pPr>
            <w:r>
              <w:rPr>
                <w:rFonts w:hint="default" w:hAnsi="宋体" w:cs="Times New Roman"/>
                <w:color w:val="auto"/>
                <w:kern w:val="2"/>
                <w:sz w:val="21"/>
                <w:szCs w:val="21"/>
              </w:rPr>
              <w:t>2.</w:t>
            </w:r>
            <w:r>
              <w:rPr>
                <w:rFonts w:hint="eastAsia" w:hAnsi="宋体" w:cs="Times New Roman"/>
                <w:color w:val="auto"/>
                <w:kern w:val="2"/>
                <w:sz w:val="21"/>
                <w:szCs w:val="21"/>
              </w:rPr>
              <w:t>2</w:t>
            </w:r>
            <w:r>
              <w:rPr>
                <w:rFonts w:hint="default" w:hAnsi="宋体" w:cs="Times New Roman"/>
                <w:color w:val="auto"/>
                <w:kern w:val="2"/>
                <w:sz w:val="21"/>
                <w:szCs w:val="21"/>
              </w:rPr>
              <w:t>.4</w:t>
            </w:r>
          </w:p>
          <w:p w14:paraId="2D24CBE3">
            <w:pPr>
              <w:keepNext w:val="0"/>
              <w:keepLines w:val="0"/>
              <w:widowControl w:val="0"/>
              <w:suppressLineNumbers w:val="0"/>
              <w:spacing w:before="86" w:beforeAutospacing="0" w:after="0" w:afterAutospacing="0" w:line="240" w:lineRule="auto"/>
              <w:ind w:left="0" w:right="-20" w:firstLine="0" w:firstLineChars="0"/>
              <w:jc w:val="center"/>
              <w:rPr>
                <w:rFonts w:hint="default" w:hAnsi="宋体" w:cs="宋体"/>
                <w:color w:val="auto"/>
                <w:kern w:val="2"/>
                <w:sz w:val="21"/>
                <w:szCs w:val="21"/>
              </w:rPr>
            </w:pPr>
            <w:r>
              <w:rPr>
                <w:rFonts w:hint="default" w:hAnsi="宋体" w:cs="Times New Roman"/>
                <w:color w:val="auto"/>
                <w:kern w:val="2"/>
                <w:sz w:val="21"/>
                <w:szCs w:val="21"/>
              </w:rPr>
              <w:t>（2）</w:t>
            </w:r>
          </w:p>
        </w:tc>
        <w:tc>
          <w:tcPr>
            <w:tcW w:w="130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C84E957">
            <w:pPr>
              <w:keepNext w:val="0"/>
              <w:keepLines w:val="0"/>
              <w:widowControl w:val="0"/>
              <w:suppressLineNumbers w:val="0"/>
              <w:spacing w:before="0" w:beforeAutospacing="0" w:after="0" w:afterAutospacing="0" w:line="240" w:lineRule="auto"/>
              <w:ind w:left="136" w:right="59" w:firstLine="0" w:firstLineChars="0"/>
              <w:jc w:val="center"/>
              <w:rPr>
                <w:rFonts w:hint="eastAsia" w:hAnsi="宋体" w:cs="Times New Roman"/>
                <w:color w:val="auto"/>
                <w:kern w:val="2"/>
                <w:sz w:val="21"/>
                <w:szCs w:val="21"/>
              </w:rPr>
            </w:pPr>
            <w:r>
              <w:rPr>
                <w:rFonts w:hint="eastAsia" w:hAnsi="宋体" w:cs="Times New Roman"/>
                <w:color w:val="auto"/>
                <w:kern w:val="2"/>
                <w:sz w:val="21"/>
                <w:szCs w:val="21"/>
              </w:rPr>
              <w:t>技术部分</w:t>
            </w:r>
            <w:r>
              <w:rPr>
                <w:rFonts w:hint="default" w:hAnsi="宋体" w:cs="Times New Roman"/>
                <w:color w:val="auto"/>
                <w:kern w:val="2"/>
                <w:sz w:val="21"/>
                <w:szCs w:val="21"/>
              </w:rPr>
              <w:t>评分</w:t>
            </w:r>
            <w:r>
              <w:rPr>
                <w:rFonts w:hint="default" w:hAnsi="宋体" w:cs="Times New Roman"/>
                <w:color w:val="auto"/>
                <w:spacing w:val="-2"/>
                <w:kern w:val="2"/>
                <w:sz w:val="21"/>
                <w:szCs w:val="21"/>
              </w:rPr>
              <w:t>标</w:t>
            </w:r>
            <w:r>
              <w:rPr>
                <w:rFonts w:hint="default" w:hAnsi="宋体" w:cs="Times New Roman"/>
                <w:color w:val="auto"/>
                <w:kern w:val="2"/>
                <w:sz w:val="21"/>
                <w:szCs w:val="21"/>
              </w:rPr>
              <w:t>准</w:t>
            </w:r>
          </w:p>
          <w:p w14:paraId="3E99E862">
            <w:pPr>
              <w:keepNext w:val="0"/>
              <w:keepLines w:val="0"/>
              <w:widowControl w:val="0"/>
              <w:suppressLineNumbers w:val="0"/>
              <w:spacing w:before="0" w:beforeAutospacing="0" w:after="0" w:afterAutospacing="0" w:line="240" w:lineRule="auto"/>
              <w:ind w:left="136" w:right="59" w:firstLine="0" w:firstLineChars="0"/>
              <w:jc w:val="center"/>
              <w:rPr>
                <w:rFonts w:hint="default" w:hAnsi="宋体" w:cs="宋体"/>
                <w:color w:val="auto"/>
                <w:kern w:val="2"/>
                <w:sz w:val="21"/>
                <w:szCs w:val="21"/>
              </w:rPr>
            </w:pPr>
            <w:r>
              <w:rPr>
                <w:rFonts w:hint="eastAsia" w:hAnsi="宋体" w:cs="Times New Roman"/>
                <w:color w:val="auto"/>
                <w:kern w:val="2"/>
                <w:sz w:val="21"/>
                <w:szCs w:val="21"/>
              </w:rPr>
              <w:t>B</w:t>
            </w:r>
          </w:p>
        </w:tc>
        <w:tc>
          <w:tcPr>
            <w:tcW w:w="197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5F19B9">
            <w:pPr>
              <w:keepNext w:val="0"/>
              <w:keepLines w:val="0"/>
              <w:widowControl w:val="0"/>
              <w:suppressLineNumbers w:val="0"/>
              <w:spacing w:before="0" w:beforeAutospacing="0" w:after="0" w:afterAutospacing="0" w:line="240" w:lineRule="auto"/>
              <w:ind w:left="0" w:right="-20" w:firstLine="0" w:firstLineChars="0"/>
              <w:jc w:val="center"/>
              <w:rPr>
                <w:rFonts w:hint="default" w:hAnsi="宋体" w:cs="Times New Roman"/>
                <w:color w:val="auto"/>
                <w:spacing w:val="-2"/>
                <w:kern w:val="2"/>
                <w:position w:val="-2"/>
                <w:sz w:val="21"/>
                <w:szCs w:val="21"/>
              </w:rPr>
            </w:pPr>
            <w:r>
              <w:rPr>
                <w:rFonts w:hint="eastAsia" w:hAnsi="宋体" w:cs="Arial"/>
                <w:color w:val="auto"/>
                <w:kern w:val="2"/>
                <w:sz w:val="21"/>
                <w:szCs w:val="21"/>
              </w:rPr>
              <w:t>/</w:t>
            </w:r>
          </w:p>
        </w:tc>
        <w:tc>
          <w:tcPr>
            <w:tcW w:w="5249" w:type="dxa"/>
            <w:tcBorders>
              <w:top w:val="single" w:color="auto" w:sz="4" w:space="0"/>
              <w:left w:val="single" w:color="auto" w:sz="4" w:space="0"/>
              <w:bottom w:val="single" w:color="auto" w:sz="4" w:space="0"/>
              <w:right w:val="single" w:color="auto" w:sz="4" w:space="0"/>
            </w:tcBorders>
            <w:noWrap w:val="0"/>
            <w:vAlign w:val="center"/>
          </w:tcPr>
          <w:p w14:paraId="56377B31">
            <w:pPr>
              <w:keepNext w:val="0"/>
              <w:keepLines w:val="0"/>
              <w:widowControl w:val="0"/>
              <w:suppressLineNumbers w:val="0"/>
              <w:spacing w:before="0" w:beforeAutospacing="0" w:after="0" w:afterAutospacing="0" w:line="240" w:lineRule="auto"/>
              <w:ind w:left="1938" w:right="1349" w:hanging="1938" w:hangingChars="923"/>
              <w:rPr>
                <w:rFonts w:hint="default" w:hAnsi="宋体" w:cs="宋体"/>
                <w:color w:val="auto"/>
                <w:kern w:val="2"/>
                <w:sz w:val="21"/>
                <w:szCs w:val="21"/>
              </w:rPr>
            </w:pPr>
            <w:r>
              <w:rPr>
                <w:rFonts w:hint="eastAsia" w:hAnsi="宋体" w:cs="Times New Roman"/>
                <w:color w:val="auto"/>
                <w:kern w:val="2"/>
                <w:sz w:val="21"/>
                <w:szCs w:val="21"/>
              </w:rPr>
              <w:t>详见本章附表：综合评分表</w:t>
            </w:r>
          </w:p>
        </w:tc>
      </w:tr>
      <w:tr w14:paraId="14F1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02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C094AF">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宋体"/>
                <w:color w:val="auto"/>
                <w:kern w:val="2"/>
                <w:sz w:val="21"/>
                <w:szCs w:val="21"/>
              </w:rPr>
            </w:pPr>
            <w:r>
              <w:rPr>
                <w:rFonts w:hint="eastAsia" w:hAnsi="宋体" w:cs="宋体"/>
                <w:color w:val="auto"/>
                <w:kern w:val="2"/>
                <w:sz w:val="21"/>
                <w:szCs w:val="21"/>
              </w:rPr>
              <w:t>2.2.4</w:t>
            </w:r>
          </w:p>
          <w:p w14:paraId="57F3509B">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宋体"/>
                <w:color w:val="auto"/>
                <w:kern w:val="2"/>
                <w:sz w:val="21"/>
                <w:szCs w:val="21"/>
              </w:rPr>
            </w:pPr>
            <w:r>
              <w:rPr>
                <w:rFonts w:hint="eastAsia" w:hAnsi="宋体" w:cs="宋体"/>
                <w:color w:val="auto"/>
                <w:kern w:val="2"/>
                <w:sz w:val="21"/>
                <w:szCs w:val="21"/>
              </w:rPr>
              <w:t>（3）</w:t>
            </w:r>
          </w:p>
        </w:tc>
        <w:tc>
          <w:tcPr>
            <w:tcW w:w="130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5492B46">
            <w:pPr>
              <w:keepNext w:val="0"/>
              <w:keepLines w:val="0"/>
              <w:widowControl w:val="0"/>
              <w:suppressLineNumbers w:val="0"/>
              <w:spacing w:before="0" w:beforeAutospacing="0" w:after="0" w:afterAutospacing="0" w:line="240" w:lineRule="auto"/>
              <w:ind w:left="0" w:right="0" w:firstLine="0" w:firstLineChars="0"/>
              <w:jc w:val="center"/>
              <w:rPr>
                <w:rFonts w:hint="eastAsia" w:hAnsi="宋体" w:cs="宋体"/>
                <w:color w:val="auto"/>
                <w:kern w:val="2"/>
                <w:sz w:val="21"/>
                <w:szCs w:val="21"/>
              </w:rPr>
            </w:pPr>
            <w:r>
              <w:rPr>
                <w:rFonts w:hint="eastAsia" w:hAnsi="宋体" w:cs="宋体"/>
                <w:color w:val="auto"/>
                <w:kern w:val="2"/>
                <w:sz w:val="21"/>
                <w:szCs w:val="21"/>
              </w:rPr>
              <w:t>经济部分</w:t>
            </w:r>
          </w:p>
          <w:p w14:paraId="644BD7CB">
            <w:pPr>
              <w:keepNext w:val="0"/>
              <w:keepLines w:val="0"/>
              <w:widowControl w:val="0"/>
              <w:suppressLineNumbers w:val="0"/>
              <w:spacing w:before="0" w:beforeAutospacing="0" w:after="0" w:afterAutospacing="0" w:line="240" w:lineRule="auto"/>
              <w:ind w:left="0" w:right="0" w:firstLine="0" w:firstLineChars="0"/>
              <w:jc w:val="center"/>
              <w:rPr>
                <w:rFonts w:hint="eastAsia" w:hAnsi="宋体" w:cs="宋体"/>
                <w:color w:val="auto"/>
                <w:kern w:val="2"/>
                <w:sz w:val="21"/>
                <w:szCs w:val="21"/>
              </w:rPr>
            </w:pPr>
            <w:r>
              <w:rPr>
                <w:rFonts w:hint="eastAsia" w:hAnsi="宋体" w:cs="宋体"/>
                <w:color w:val="auto"/>
                <w:kern w:val="2"/>
                <w:sz w:val="21"/>
                <w:szCs w:val="21"/>
              </w:rPr>
              <w:t>评分标准</w:t>
            </w:r>
          </w:p>
          <w:p w14:paraId="78E44B0B">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宋体"/>
                <w:color w:val="auto"/>
                <w:kern w:val="2"/>
                <w:sz w:val="21"/>
                <w:szCs w:val="21"/>
              </w:rPr>
            </w:pPr>
            <w:r>
              <w:rPr>
                <w:rFonts w:hint="eastAsia" w:hAnsi="宋体" w:cs="宋体"/>
                <w:color w:val="auto"/>
                <w:kern w:val="2"/>
                <w:sz w:val="21"/>
                <w:szCs w:val="21"/>
              </w:rPr>
              <w:t>C</w:t>
            </w:r>
          </w:p>
        </w:tc>
        <w:tc>
          <w:tcPr>
            <w:tcW w:w="197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A79842F">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宋体"/>
                <w:color w:val="auto"/>
                <w:kern w:val="2"/>
                <w:sz w:val="21"/>
                <w:szCs w:val="21"/>
              </w:rPr>
            </w:pPr>
            <w:r>
              <w:rPr>
                <w:rFonts w:hint="eastAsia" w:hAnsi="宋体" w:cs="Arial"/>
                <w:color w:val="auto"/>
                <w:kern w:val="2"/>
                <w:sz w:val="21"/>
                <w:szCs w:val="21"/>
              </w:rPr>
              <w:t>/</w:t>
            </w:r>
          </w:p>
        </w:tc>
        <w:tc>
          <w:tcPr>
            <w:tcW w:w="5249" w:type="dxa"/>
            <w:tcBorders>
              <w:top w:val="single" w:color="auto" w:sz="4" w:space="0"/>
              <w:left w:val="single" w:color="auto" w:sz="4" w:space="0"/>
              <w:bottom w:val="single" w:color="auto" w:sz="4" w:space="0"/>
              <w:right w:val="single" w:color="auto" w:sz="4" w:space="0"/>
            </w:tcBorders>
            <w:noWrap w:val="0"/>
            <w:vAlign w:val="center"/>
          </w:tcPr>
          <w:p w14:paraId="55385536">
            <w:pPr>
              <w:keepNext w:val="0"/>
              <w:keepLines w:val="0"/>
              <w:widowControl w:val="0"/>
              <w:suppressLineNumbers w:val="0"/>
              <w:spacing w:before="0" w:beforeAutospacing="0" w:after="0" w:afterAutospacing="0" w:line="240" w:lineRule="auto"/>
              <w:ind w:left="0" w:right="0" w:firstLine="0" w:firstLineChars="0"/>
              <w:rPr>
                <w:rFonts w:hint="default" w:hAnsi="宋体" w:cs="宋体"/>
                <w:color w:val="auto"/>
                <w:kern w:val="2"/>
                <w:sz w:val="21"/>
                <w:szCs w:val="21"/>
              </w:rPr>
            </w:pPr>
            <w:r>
              <w:rPr>
                <w:rFonts w:hint="eastAsia" w:hAnsi="宋体" w:cs="Times New Roman"/>
                <w:color w:val="auto"/>
                <w:kern w:val="2"/>
                <w:sz w:val="21"/>
                <w:szCs w:val="21"/>
              </w:rPr>
              <w:t>详见本章附表：综合评分表</w:t>
            </w:r>
          </w:p>
        </w:tc>
      </w:tr>
      <w:tr w14:paraId="7058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02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A35D29E">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宋体"/>
                <w:color w:val="auto"/>
                <w:kern w:val="2"/>
                <w:sz w:val="21"/>
                <w:szCs w:val="21"/>
              </w:rPr>
            </w:pPr>
            <w:r>
              <w:rPr>
                <w:rFonts w:hint="eastAsia" w:hAnsi="宋体" w:cs="宋体"/>
                <w:color w:val="auto"/>
                <w:kern w:val="2"/>
                <w:sz w:val="21"/>
                <w:szCs w:val="21"/>
              </w:rPr>
              <w:t>2.2.4</w:t>
            </w:r>
          </w:p>
          <w:p w14:paraId="2E372CC9">
            <w:pPr>
              <w:keepNext w:val="0"/>
              <w:keepLines w:val="0"/>
              <w:widowControl w:val="0"/>
              <w:suppressLineNumbers w:val="0"/>
              <w:spacing w:before="0" w:beforeAutospacing="0" w:after="0" w:afterAutospacing="0" w:line="240" w:lineRule="auto"/>
              <w:ind w:left="0" w:right="0" w:firstLine="0" w:firstLineChars="0"/>
              <w:jc w:val="center"/>
              <w:rPr>
                <w:rFonts w:hint="eastAsia" w:hAnsi="宋体" w:cs="宋体"/>
                <w:color w:val="auto"/>
                <w:kern w:val="2"/>
                <w:sz w:val="21"/>
                <w:szCs w:val="21"/>
              </w:rPr>
            </w:pPr>
            <w:r>
              <w:rPr>
                <w:rFonts w:hint="eastAsia" w:hAnsi="宋体" w:cs="宋体"/>
                <w:color w:val="auto"/>
                <w:kern w:val="2"/>
                <w:sz w:val="21"/>
                <w:szCs w:val="21"/>
              </w:rPr>
              <w:t>（</w:t>
            </w:r>
            <w:r>
              <w:rPr>
                <w:rFonts w:hint="eastAsia" w:hAnsi="宋体" w:cs="宋体"/>
                <w:color w:val="auto"/>
                <w:kern w:val="2"/>
                <w:sz w:val="21"/>
                <w:szCs w:val="21"/>
                <w:lang w:val="en-US" w:eastAsia="zh-CN"/>
              </w:rPr>
              <w:t>4</w:t>
            </w:r>
            <w:r>
              <w:rPr>
                <w:rFonts w:hint="eastAsia" w:hAnsi="宋体" w:cs="宋体"/>
                <w:color w:val="auto"/>
                <w:kern w:val="2"/>
                <w:sz w:val="21"/>
                <w:szCs w:val="21"/>
              </w:rPr>
              <w:t>）</w:t>
            </w:r>
          </w:p>
        </w:tc>
        <w:tc>
          <w:tcPr>
            <w:tcW w:w="130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272D97D">
            <w:pPr>
              <w:keepNext w:val="0"/>
              <w:keepLines w:val="0"/>
              <w:widowControl w:val="0"/>
              <w:suppressLineNumbers w:val="0"/>
              <w:spacing w:before="0" w:beforeAutospacing="0" w:after="0" w:afterAutospacing="0" w:line="240" w:lineRule="auto"/>
              <w:ind w:left="0" w:right="0" w:firstLine="0" w:firstLineChars="0"/>
              <w:jc w:val="center"/>
              <w:rPr>
                <w:rFonts w:hint="eastAsia" w:hAnsi="宋体" w:cs="宋体"/>
                <w:color w:val="auto"/>
                <w:kern w:val="2"/>
                <w:sz w:val="21"/>
                <w:szCs w:val="21"/>
              </w:rPr>
            </w:pPr>
            <w:r>
              <w:rPr>
                <w:rFonts w:hint="eastAsia" w:hAnsi="宋体" w:cs="宋体"/>
                <w:color w:val="auto"/>
                <w:kern w:val="2"/>
                <w:sz w:val="21"/>
                <w:szCs w:val="21"/>
              </w:rPr>
              <w:t>其他评分因素评分标准</w:t>
            </w:r>
          </w:p>
          <w:p w14:paraId="59330F7D">
            <w:pPr>
              <w:keepNext w:val="0"/>
              <w:keepLines w:val="0"/>
              <w:widowControl w:val="0"/>
              <w:suppressLineNumbers w:val="0"/>
              <w:spacing w:before="0" w:beforeAutospacing="0" w:after="0" w:afterAutospacing="0" w:line="240" w:lineRule="auto"/>
              <w:ind w:left="0" w:right="0" w:firstLine="0" w:firstLineChars="0"/>
              <w:jc w:val="center"/>
              <w:rPr>
                <w:rFonts w:hint="eastAsia" w:hAnsi="宋体" w:cs="宋体"/>
                <w:color w:val="auto"/>
                <w:kern w:val="2"/>
                <w:sz w:val="21"/>
                <w:szCs w:val="21"/>
              </w:rPr>
            </w:pPr>
            <w:r>
              <w:rPr>
                <w:rFonts w:hint="eastAsia" w:hAnsi="宋体" w:cs="宋体"/>
                <w:color w:val="auto"/>
                <w:kern w:val="2"/>
                <w:sz w:val="21"/>
                <w:szCs w:val="21"/>
                <w:lang w:val="en-US" w:eastAsia="zh-CN"/>
              </w:rPr>
              <w:t>D</w:t>
            </w:r>
          </w:p>
        </w:tc>
        <w:tc>
          <w:tcPr>
            <w:tcW w:w="197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24803EC">
            <w:pPr>
              <w:keepNext w:val="0"/>
              <w:keepLines w:val="0"/>
              <w:widowControl w:val="0"/>
              <w:suppressLineNumbers w:val="0"/>
              <w:spacing w:before="0" w:beforeAutospacing="0" w:after="0" w:afterAutospacing="0" w:line="240" w:lineRule="auto"/>
              <w:ind w:left="0" w:right="0" w:firstLine="0" w:firstLineChars="0"/>
              <w:jc w:val="center"/>
              <w:rPr>
                <w:rFonts w:hint="eastAsia" w:hAnsi="宋体" w:eastAsia="宋体" w:cs="Arial"/>
                <w:color w:val="auto"/>
                <w:kern w:val="2"/>
                <w:sz w:val="21"/>
                <w:szCs w:val="21"/>
                <w:lang w:val="en-US" w:eastAsia="zh-CN"/>
              </w:rPr>
            </w:pPr>
            <w:r>
              <w:rPr>
                <w:rFonts w:hint="eastAsia" w:hAnsi="宋体" w:cs="Arial"/>
                <w:color w:val="auto"/>
                <w:kern w:val="2"/>
                <w:sz w:val="21"/>
                <w:szCs w:val="21"/>
                <w:lang w:val="en-US" w:eastAsia="zh-CN"/>
              </w:rPr>
              <w:t>/</w:t>
            </w:r>
          </w:p>
        </w:tc>
        <w:tc>
          <w:tcPr>
            <w:tcW w:w="5249" w:type="dxa"/>
            <w:tcBorders>
              <w:top w:val="single" w:color="auto" w:sz="4" w:space="0"/>
              <w:left w:val="single" w:color="auto" w:sz="4" w:space="0"/>
              <w:bottom w:val="single" w:color="auto" w:sz="4" w:space="0"/>
              <w:right w:val="single" w:color="auto" w:sz="4" w:space="0"/>
            </w:tcBorders>
            <w:noWrap w:val="0"/>
            <w:vAlign w:val="center"/>
          </w:tcPr>
          <w:p w14:paraId="7479E2A1">
            <w:pPr>
              <w:keepNext w:val="0"/>
              <w:keepLines w:val="0"/>
              <w:widowControl w:val="0"/>
              <w:suppressLineNumbers w:val="0"/>
              <w:spacing w:before="0" w:beforeAutospacing="0" w:after="0" w:afterAutospacing="0" w:line="240" w:lineRule="auto"/>
              <w:ind w:left="0" w:right="0" w:firstLine="0" w:firstLineChars="0"/>
              <w:rPr>
                <w:rFonts w:hint="eastAsia" w:hAnsi="宋体" w:cs="Times New Roman"/>
                <w:color w:val="auto"/>
                <w:kern w:val="2"/>
                <w:sz w:val="21"/>
                <w:szCs w:val="21"/>
              </w:rPr>
            </w:pPr>
            <w:r>
              <w:rPr>
                <w:rFonts w:hint="eastAsia" w:hAnsi="宋体" w:cs="Times New Roman"/>
                <w:color w:val="auto"/>
                <w:kern w:val="2"/>
                <w:sz w:val="21"/>
                <w:szCs w:val="21"/>
              </w:rPr>
              <w:t>详见本章附表：综合评分表</w:t>
            </w:r>
          </w:p>
        </w:tc>
      </w:tr>
      <w:tr w14:paraId="75E0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021" w:type="dxa"/>
            <w:noWrap w:val="0"/>
            <w:tcMar>
              <w:top w:w="0" w:type="dxa"/>
              <w:left w:w="57" w:type="dxa"/>
              <w:bottom w:w="0" w:type="dxa"/>
              <w:right w:w="57" w:type="dxa"/>
            </w:tcMar>
            <w:vAlign w:val="center"/>
          </w:tcPr>
          <w:p w14:paraId="6B605A28">
            <w:pPr>
              <w:keepNext w:val="0"/>
              <w:keepLines w:val="0"/>
              <w:widowControl w:val="0"/>
              <w:suppressLineNumbers w:val="0"/>
              <w:spacing w:before="0" w:beforeAutospacing="0" w:after="0" w:afterAutospacing="0" w:line="240" w:lineRule="auto"/>
              <w:ind w:left="0" w:right="0" w:firstLine="0" w:firstLineChars="0"/>
              <w:jc w:val="center"/>
              <w:rPr>
                <w:rFonts w:hint="eastAsia" w:hAnsi="宋体" w:cs="宋体"/>
                <w:color w:val="auto"/>
                <w:kern w:val="2"/>
                <w:sz w:val="21"/>
                <w:szCs w:val="21"/>
              </w:rPr>
            </w:pPr>
            <w:r>
              <w:rPr>
                <w:rFonts w:hint="eastAsia" w:hAnsi="宋体" w:cs="宋体"/>
                <w:color w:val="auto"/>
                <w:kern w:val="2"/>
                <w:sz w:val="21"/>
                <w:szCs w:val="21"/>
              </w:rPr>
              <w:t>2.2.5</w:t>
            </w:r>
          </w:p>
        </w:tc>
        <w:tc>
          <w:tcPr>
            <w:tcW w:w="8526" w:type="dxa"/>
            <w:gridSpan w:val="3"/>
            <w:noWrap w:val="0"/>
            <w:tcMar>
              <w:top w:w="0" w:type="dxa"/>
              <w:left w:w="57" w:type="dxa"/>
              <w:bottom w:w="0" w:type="dxa"/>
              <w:right w:w="57" w:type="dxa"/>
            </w:tcMar>
            <w:vAlign w:val="center"/>
          </w:tcPr>
          <w:p w14:paraId="69F077FD">
            <w:pPr>
              <w:keepNext w:val="0"/>
              <w:keepLines w:val="0"/>
              <w:widowControl w:val="0"/>
              <w:suppressLineNumbers w:val="0"/>
              <w:snapToGrid w:val="0"/>
              <w:spacing w:before="0" w:beforeAutospacing="0" w:after="0" w:afterAutospacing="0" w:line="360" w:lineRule="exact"/>
              <w:ind w:left="0" w:right="0" w:firstLine="0" w:firstLineChars="0"/>
              <w:rPr>
                <w:rFonts w:hint="eastAsia" w:hAnsi="宋体" w:cs="Times New Roman"/>
                <w:color w:val="auto"/>
                <w:kern w:val="2"/>
                <w:sz w:val="21"/>
                <w:szCs w:val="21"/>
              </w:rPr>
            </w:pPr>
            <w:r>
              <w:rPr>
                <w:rFonts w:hint="eastAsia" w:hAnsi="宋体" w:cs="Times New Roman"/>
                <w:color w:val="auto"/>
                <w:kern w:val="2"/>
                <w:sz w:val="21"/>
                <w:szCs w:val="21"/>
              </w:rPr>
              <w:t>1、</w:t>
            </w:r>
            <w:r>
              <w:rPr>
                <w:rFonts w:hint="default" w:hAnsi="宋体" w:cs="Times New Roman"/>
                <w:color w:val="auto"/>
                <w:kern w:val="2"/>
                <w:sz w:val="21"/>
                <w:szCs w:val="21"/>
              </w:rPr>
              <w:t>评分如出现小数点，则保留小数点后两位，第三位四舍五入。</w:t>
            </w:r>
          </w:p>
          <w:p w14:paraId="40A18150">
            <w:pPr>
              <w:keepNext w:val="0"/>
              <w:keepLines w:val="0"/>
              <w:widowControl w:val="0"/>
              <w:suppressLineNumbers w:val="0"/>
              <w:spacing w:before="0" w:beforeAutospacing="0" w:after="0" w:afterAutospacing="0" w:line="360" w:lineRule="exact"/>
              <w:ind w:left="0" w:right="0" w:firstLine="0" w:firstLineChars="0"/>
              <w:rPr>
                <w:rFonts w:hint="eastAsia" w:hAnsi="宋体" w:cs="宋体"/>
                <w:color w:val="auto"/>
                <w:kern w:val="2"/>
                <w:sz w:val="21"/>
                <w:szCs w:val="21"/>
              </w:rPr>
            </w:pPr>
            <w:r>
              <w:rPr>
                <w:rFonts w:hint="eastAsia" w:hAnsi="宋体" w:cs="Times New Roman"/>
                <w:color w:val="auto"/>
                <w:kern w:val="2"/>
                <w:sz w:val="21"/>
                <w:szCs w:val="21"/>
              </w:rPr>
              <w:t>2、投标人的</w:t>
            </w:r>
            <w:r>
              <w:rPr>
                <w:rFonts w:hint="default" w:hAnsi="宋体" w:cs="Times New Roman"/>
                <w:color w:val="auto"/>
                <w:kern w:val="2"/>
                <w:sz w:val="21"/>
                <w:szCs w:val="21"/>
                <w:lang w:val="en-US" w:eastAsia="zh-CN"/>
              </w:rPr>
              <w:t>商务部分</w:t>
            </w:r>
            <w:r>
              <w:rPr>
                <w:rFonts w:hAnsi="宋体"/>
                <w:color w:val="auto"/>
                <w:kern w:val="2"/>
                <w:sz w:val="21"/>
                <w:szCs w:val="21"/>
              </w:rPr>
              <w:t>、</w:t>
            </w:r>
            <w:r>
              <w:rPr>
                <w:rFonts w:hint="default" w:hAnsi="宋体"/>
                <w:color w:val="auto"/>
                <w:kern w:val="2"/>
                <w:sz w:val="21"/>
                <w:szCs w:val="21"/>
                <w:lang w:val="en-US" w:eastAsia="zh-CN"/>
              </w:rPr>
              <w:t>技术部分</w:t>
            </w:r>
            <w:r>
              <w:rPr>
                <w:rFonts w:hint="eastAsia" w:hAnsi="宋体" w:cs="Times New Roman"/>
                <w:color w:val="auto"/>
                <w:kern w:val="2"/>
                <w:sz w:val="21"/>
                <w:szCs w:val="21"/>
              </w:rPr>
              <w:t>得分为各评委的评分去掉一个最高分和一个最低分后计取的算术平均分（分数出现小数点时，保留小数点后二位，第三位小数四舍五入）。</w:t>
            </w:r>
          </w:p>
        </w:tc>
      </w:tr>
    </w:tbl>
    <w:p w14:paraId="34E83451">
      <w:pPr>
        <w:pStyle w:val="75"/>
        <w:ind w:firstLine="400"/>
        <w:rPr>
          <w:color w:val="auto"/>
        </w:rPr>
      </w:pPr>
    </w:p>
    <w:p w14:paraId="2BF2E8DA">
      <w:pPr>
        <w:pStyle w:val="75"/>
        <w:ind w:firstLine="0" w:firstLineChars="0"/>
        <w:rPr>
          <w:color w:val="auto"/>
        </w:rPr>
      </w:pPr>
    </w:p>
    <w:p w14:paraId="6CF00344">
      <w:pPr>
        <w:pStyle w:val="75"/>
        <w:ind w:firstLine="0" w:firstLineChars="0"/>
        <w:rPr>
          <w:color w:val="auto"/>
        </w:rPr>
      </w:pPr>
      <w:r>
        <w:rPr>
          <w:color w:val="auto"/>
        </w:rPr>
        <w:br w:type="page"/>
      </w:r>
    </w:p>
    <w:bookmarkEnd w:id="325"/>
    <w:p w14:paraId="2FB2000A">
      <w:pPr>
        <w:outlineLvl w:val="9"/>
        <w:rPr>
          <w:color w:val="auto"/>
        </w:rPr>
      </w:pPr>
      <w:bookmarkStart w:id="326" w:name="_Toc35513488"/>
    </w:p>
    <w:p w14:paraId="732FA814">
      <w:pPr>
        <w:pStyle w:val="4"/>
        <w:rPr>
          <w:color w:val="auto"/>
        </w:rPr>
      </w:pPr>
      <w:bookmarkStart w:id="327" w:name="_Toc506"/>
      <w:bookmarkStart w:id="328" w:name="_Toc31875"/>
      <w:bookmarkStart w:id="329" w:name="_Toc22724"/>
      <w:r>
        <w:rPr>
          <w:rFonts w:hint="eastAsia"/>
          <w:color w:val="auto"/>
        </w:rPr>
        <w:t>1.</w:t>
      </w:r>
      <w:r>
        <w:rPr>
          <w:color w:val="auto"/>
        </w:rPr>
        <w:t>评标方法</w:t>
      </w:r>
      <w:bookmarkEnd w:id="326"/>
      <w:bookmarkEnd w:id="327"/>
      <w:bookmarkEnd w:id="328"/>
      <w:bookmarkEnd w:id="329"/>
    </w:p>
    <w:p w14:paraId="78767279">
      <w:pPr>
        <w:ind w:firstLine="480"/>
        <w:rPr>
          <w:color w:val="auto"/>
        </w:rPr>
      </w:pPr>
      <w:r>
        <w:rPr>
          <w:rFonts w:hint="eastAsia"/>
          <w:color w:val="auto"/>
        </w:rPr>
        <w:t>本次评标采用综合评估法。评标委员会对满足招标文件实质性要求的投标文件，按照本章第2.2款规定的评分标准进行打分，并按总得分由高到低顺序推荐中标候选人，排序的前一～三名分别为第一中标候选人、第二中标候选人和第三中标候选人。若总得分相等时，以投标总报价低的优先；投标总报价也相等的，以技术部分得分高的优先；如果技术部分得分也相等，由评标委员会采用记名投票方式，以得票多的优先，确定中标候选人的排序。</w:t>
      </w:r>
    </w:p>
    <w:p w14:paraId="636918D3">
      <w:pPr>
        <w:ind w:firstLine="480"/>
        <w:rPr>
          <w:rFonts w:hAnsi="宋体"/>
          <w:color w:val="auto"/>
          <w:szCs w:val="24"/>
        </w:rPr>
      </w:pPr>
    </w:p>
    <w:p w14:paraId="1D39663F">
      <w:pPr>
        <w:pStyle w:val="4"/>
        <w:rPr>
          <w:color w:val="auto"/>
        </w:rPr>
      </w:pPr>
      <w:bookmarkStart w:id="330" w:name="_Toc35513489"/>
      <w:bookmarkStart w:id="331" w:name="_Toc7015"/>
      <w:bookmarkStart w:id="332" w:name="_Toc15161"/>
      <w:bookmarkStart w:id="333" w:name="_Toc17672"/>
      <w:r>
        <w:rPr>
          <w:rFonts w:hint="eastAsia"/>
          <w:color w:val="auto"/>
        </w:rPr>
        <w:t>2.</w:t>
      </w:r>
      <w:r>
        <w:rPr>
          <w:color w:val="auto"/>
        </w:rPr>
        <w:t>评审标准</w:t>
      </w:r>
      <w:bookmarkEnd w:id="330"/>
      <w:bookmarkEnd w:id="331"/>
      <w:bookmarkEnd w:id="332"/>
      <w:bookmarkEnd w:id="333"/>
    </w:p>
    <w:p w14:paraId="53C044CB">
      <w:pPr>
        <w:pStyle w:val="5"/>
        <w:ind w:firstLine="482"/>
        <w:rPr>
          <w:color w:val="auto"/>
        </w:rPr>
      </w:pPr>
      <w:bookmarkStart w:id="334" w:name="_Toc9769"/>
      <w:bookmarkStart w:id="335" w:name="_Toc23872"/>
      <w:bookmarkStart w:id="336" w:name="_Toc35513490"/>
      <w:bookmarkStart w:id="337" w:name="_Toc20778"/>
      <w:r>
        <w:rPr>
          <w:color w:val="auto"/>
        </w:rPr>
        <w:t>2.1 初步评审标准</w:t>
      </w:r>
      <w:bookmarkEnd w:id="334"/>
      <w:bookmarkEnd w:id="335"/>
      <w:bookmarkEnd w:id="336"/>
      <w:bookmarkEnd w:id="337"/>
    </w:p>
    <w:p w14:paraId="4474B0A9">
      <w:pPr>
        <w:ind w:firstLine="480"/>
        <w:rPr>
          <w:color w:val="auto"/>
        </w:rPr>
      </w:pPr>
      <w:r>
        <w:rPr>
          <w:color w:val="auto"/>
        </w:rPr>
        <w:t>2.1.1 形式评审标准：见评标办法前附表。</w:t>
      </w:r>
    </w:p>
    <w:p w14:paraId="6754A5A8">
      <w:pPr>
        <w:ind w:firstLine="480"/>
        <w:rPr>
          <w:color w:val="auto"/>
        </w:rPr>
      </w:pPr>
      <w:r>
        <w:rPr>
          <w:color w:val="auto"/>
        </w:rPr>
        <w:t>2.1.2 资格评审标准：见评标办法前附表。</w:t>
      </w:r>
    </w:p>
    <w:p w14:paraId="1484B446">
      <w:pPr>
        <w:ind w:firstLine="480"/>
        <w:rPr>
          <w:color w:val="auto"/>
        </w:rPr>
      </w:pPr>
      <w:r>
        <w:rPr>
          <w:color w:val="auto"/>
        </w:rPr>
        <w:t>2.1.3 响应性评审标准：见评标办法前附表。</w:t>
      </w:r>
    </w:p>
    <w:p w14:paraId="00722915">
      <w:pPr>
        <w:pStyle w:val="5"/>
        <w:ind w:firstLine="482"/>
        <w:rPr>
          <w:color w:val="auto"/>
        </w:rPr>
      </w:pPr>
      <w:bookmarkStart w:id="338" w:name="_Toc13681"/>
      <w:bookmarkStart w:id="339" w:name="_Toc28698"/>
      <w:bookmarkStart w:id="340" w:name="_Toc13753"/>
      <w:bookmarkStart w:id="341" w:name="_Toc35513491"/>
      <w:r>
        <w:rPr>
          <w:color w:val="auto"/>
        </w:rPr>
        <w:t>2.2 分值构成与评分标准</w:t>
      </w:r>
      <w:bookmarkEnd w:id="338"/>
      <w:bookmarkEnd w:id="339"/>
      <w:bookmarkEnd w:id="340"/>
      <w:bookmarkEnd w:id="341"/>
    </w:p>
    <w:p w14:paraId="03456DB0">
      <w:pPr>
        <w:ind w:firstLine="480"/>
        <w:rPr>
          <w:color w:val="auto"/>
        </w:rPr>
      </w:pPr>
      <w:r>
        <w:rPr>
          <w:color w:val="auto"/>
        </w:rPr>
        <w:t>2.2.1 分值构成</w:t>
      </w:r>
    </w:p>
    <w:p w14:paraId="08395AAA">
      <w:pPr>
        <w:ind w:firstLine="480"/>
        <w:rPr>
          <w:color w:val="auto"/>
        </w:rPr>
      </w:pPr>
      <w:r>
        <w:rPr>
          <w:color w:val="auto"/>
        </w:rPr>
        <w:t>（1）</w:t>
      </w:r>
      <w:r>
        <w:rPr>
          <w:rFonts w:hint="eastAsia"/>
          <w:color w:val="auto"/>
        </w:rPr>
        <w:t>商务</w:t>
      </w:r>
      <w:r>
        <w:rPr>
          <w:color w:val="auto"/>
        </w:rPr>
        <w:t>部分：见评标办法前附表；</w:t>
      </w:r>
    </w:p>
    <w:p w14:paraId="723FD7F3">
      <w:pPr>
        <w:ind w:firstLine="480"/>
        <w:rPr>
          <w:color w:val="auto"/>
        </w:rPr>
      </w:pPr>
      <w:r>
        <w:rPr>
          <w:rFonts w:hint="eastAsia"/>
          <w:color w:val="auto"/>
        </w:rPr>
        <w:t>（2）技术</w:t>
      </w:r>
      <w:r>
        <w:rPr>
          <w:color w:val="auto"/>
        </w:rPr>
        <w:t>部分：见评标办法前附表；</w:t>
      </w:r>
    </w:p>
    <w:p w14:paraId="382DB917">
      <w:pPr>
        <w:ind w:firstLine="480"/>
        <w:rPr>
          <w:color w:val="auto"/>
        </w:rPr>
      </w:pPr>
      <w:r>
        <w:rPr>
          <w:color w:val="auto"/>
        </w:rPr>
        <w:t>（</w:t>
      </w:r>
      <w:r>
        <w:rPr>
          <w:rFonts w:hint="eastAsia"/>
          <w:color w:val="auto"/>
        </w:rPr>
        <w:t>3</w:t>
      </w:r>
      <w:r>
        <w:rPr>
          <w:color w:val="auto"/>
        </w:rPr>
        <w:t>）</w:t>
      </w:r>
      <w:r>
        <w:rPr>
          <w:rFonts w:hint="eastAsia"/>
          <w:color w:val="auto"/>
        </w:rPr>
        <w:t>经济部分</w:t>
      </w:r>
      <w:r>
        <w:rPr>
          <w:color w:val="auto"/>
        </w:rPr>
        <w:t>：见评标办法前附表；</w:t>
      </w:r>
    </w:p>
    <w:p w14:paraId="168BF4D7">
      <w:pPr>
        <w:ind w:firstLine="480"/>
        <w:rPr>
          <w:strike w:val="0"/>
          <w:color w:val="auto"/>
          <w:szCs w:val="22"/>
        </w:rPr>
      </w:pPr>
      <w:r>
        <w:rPr>
          <w:strike w:val="0"/>
          <w:color w:val="auto"/>
          <w:szCs w:val="22"/>
        </w:rPr>
        <w:t>（4）其他评分因素：见评标办法前附表。</w:t>
      </w:r>
    </w:p>
    <w:p w14:paraId="7617C5EB">
      <w:pPr>
        <w:ind w:firstLine="480"/>
        <w:rPr>
          <w:color w:val="auto"/>
        </w:rPr>
      </w:pPr>
      <w:r>
        <w:rPr>
          <w:color w:val="auto"/>
        </w:rPr>
        <w:t>2.2.2 评标基准价计算</w:t>
      </w:r>
    </w:p>
    <w:p w14:paraId="5CB00227">
      <w:pPr>
        <w:ind w:firstLine="480"/>
        <w:rPr>
          <w:color w:val="auto"/>
        </w:rPr>
      </w:pPr>
      <w:r>
        <w:rPr>
          <w:color w:val="auto"/>
        </w:rPr>
        <w:t>评标基准价计算方法：见评标办法前附表。</w:t>
      </w:r>
    </w:p>
    <w:p w14:paraId="0A41AA10">
      <w:pPr>
        <w:ind w:firstLine="480"/>
        <w:rPr>
          <w:color w:val="auto"/>
        </w:rPr>
      </w:pPr>
      <w:r>
        <w:rPr>
          <w:color w:val="auto"/>
        </w:rPr>
        <w:t>2.2.3 投标报价的偏差率计算</w:t>
      </w:r>
    </w:p>
    <w:p w14:paraId="54925FFA">
      <w:pPr>
        <w:ind w:firstLine="480"/>
        <w:rPr>
          <w:color w:val="auto"/>
        </w:rPr>
      </w:pPr>
      <w:r>
        <w:rPr>
          <w:color w:val="auto"/>
        </w:rPr>
        <w:t>投标报价的偏差率计算公式：见评标办法前附表。</w:t>
      </w:r>
    </w:p>
    <w:p w14:paraId="2C5752A6">
      <w:pPr>
        <w:ind w:firstLine="480"/>
        <w:rPr>
          <w:color w:val="auto"/>
        </w:rPr>
      </w:pPr>
      <w:r>
        <w:rPr>
          <w:color w:val="auto"/>
        </w:rPr>
        <w:t>2</w:t>
      </w:r>
      <w:bookmarkStart w:id="342" w:name="auto_fouce_28"/>
      <w:r>
        <w:rPr>
          <w:color w:val="auto"/>
        </w:rPr>
        <w:t>.2</w:t>
      </w:r>
      <w:bookmarkStart w:id="343" w:name="page45"/>
      <w:bookmarkEnd w:id="343"/>
      <w:r>
        <w:rPr>
          <w:color w:val="auto"/>
        </w:rPr>
        <w:t>.4 评分标准</w:t>
      </w:r>
    </w:p>
    <w:p w14:paraId="1248B706">
      <w:pPr>
        <w:ind w:firstLine="480"/>
        <w:rPr>
          <w:color w:val="auto"/>
        </w:rPr>
      </w:pPr>
      <w:r>
        <w:rPr>
          <w:color w:val="auto"/>
        </w:rPr>
        <w:t>（1）</w:t>
      </w:r>
      <w:r>
        <w:rPr>
          <w:rFonts w:hint="eastAsia"/>
          <w:color w:val="auto"/>
        </w:rPr>
        <w:t>商务部分</w:t>
      </w:r>
      <w:r>
        <w:rPr>
          <w:color w:val="auto"/>
        </w:rPr>
        <w:t>评分标准：见评标办法前附表；</w:t>
      </w:r>
    </w:p>
    <w:p w14:paraId="0FC6ACED">
      <w:pPr>
        <w:ind w:firstLine="480"/>
        <w:rPr>
          <w:color w:val="auto"/>
        </w:rPr>
      </w:pPr>
      <w:r>
        <w:rPr>
          <w:rFonts w:hint="eastAsia"/>
          <w:color w:val="auto"/>
        </w:rPr>
        <w:t>（2）技术部分</w:t>
      </w:r>
      <w:r>
        <w:rPr>
          <w:color w:val="auto"/>
        </w:rPr>
        <w:t>评分标准：见评标办法前附表；</w:t>
      </w:r>
    </w:p>
    <w:p w14:paraId="66A2CB49">
      <w:pPr>
        <w:ind w:firstLine="480"/>
        <w:rPr>
          <w:color w:val="auto"/>
        </w:rPr>
      </w:pPr>
      <w:r>
        <w:rPr>
          <w:color w:val="auto"/>
        </w:rPr>
        <w:t>（</w:t>
      </w:r>
      <w:r>
        <w:rPr>
          <w:rFonts w:hint="eastAsia"/>
          <w:color w:val="auto"/>
        </w:rPr>
        <w:t>3</w:t>
      </w:r>
      <w:r>
        <w:rPr>
          <w:color w:val="auto"/>
        </w:rPr>
        <w:t>）</w:t>
      </w:r>
      <w:r>
        <w:rPr>
          <w:rFonts w:hint="eastAsia"/>
          <w:color w:val="auto"/>
        </w:rPr>
        <w:t>经济部分</w:t>
      </w:r>
      <w:r>
        <w:rPr>
          <w:color w:val="auto"/>
        </w:rPr>
        <w:t>评分标准：见评标办法前附表；</w:t>
      </w:r>
    </w:p>
    <w:p w14:paraId="7AB95A66">
      <w:pPr>
        <w:ind w:firstLine="480"/>
        <w:rPr>
          <w:rFonts w:hint="eastAsia" w:eastAsia="宋体"/>
          <w:strike w:val="0"/>
          <w:color w:val="auto"/>
          <w:szCs w:val="22"/>
          <w:lang w:eastAsia="zh-CN"/>
        </w:rPr>
      </w:pPr>
      <w:r>
        <w:rPr>
          <w:strike w:val="0"/>
          <w:color w:val="auto"/>
          <w:szCs w:val="22"/>
        </w:rPr>
        <w:t>（4）其他因素评分标准：见评标办法前附表。</w:t>
      </w:r>
    </w:p>
    <w:bookmarkEnd w:id="342"/>
    <w:p w14:paraId="59A383AE">
      <w:pPr>
        <w:ind w:firstLine="480"/>
        <w:rPr>
          <w:color w:val="auto"/>
          <w:szCs w:val="22"/>
        </w:rPr>
      </w:pPr>
    </w:p>
    <w:p w14:paraId="749B379C">
      <w:pPr>
        <w:pStyle w:val="4"/>
        <w:keepNext w:val="0"/>
        <w:keepLines w:val="0"/>
        <w:widowControl w:val="0"/>
        <w:rPr>
          <w:color w:val="auto"/>
        </w:rPr>
      </w:pPr>
      <w:bookmarkStart w:id="344" w:name="_Toc35513492"/>
      <w:bookmarkStart w:id="345" w:name="_Toc10179"/>
      <w:bookmarkStart w:id="346" w:name="_Toc26348"/>
      <w:bookmarkStart w:id="347" w:name="_Toc6324"/>
      <w:r>
        <w:rPr>
          <w:rFonts w:hint="eastAsia"/>
          <w:color w:val="auto"/>
        </w:rPr>
        <w:t>3.</w:t>
      </w:r>
      <w:r>
        <w:rPr>
          <w:color w:val="auto"/>
        </w:rPr>
        <w:t>评标程序</w:t>
      </w:r>
      <w:bookmarkEnd w:id="344"/>
      <w:bookmarkEnd w:id="345"/>
      <w:bookmarkEnd w:id="346"/>
      <w:bookmarkEnd w:id="347"/>
    </w:p>
    <w:p w14:paraId="51C528BA">
      <w:pPr>
        <w:pStyle w:val="5"/>
        <w:keepNext w:val="0"/>
        <w:keepLines w:val="0"/>
        <w:ind w:firstLine="482"/>
        <w:rPr>
          <w:color w:val="auto"/>
        </w:rPr>
      </w:pPr>
      <w:bookmarkStart w:id="348" w:name="_Toc26050"/>
      <w:bookmarkStart w:id="349" w:name="_Toc5934"/>
      <w:bookmarkStart w:id="350" w:name="_Toc1994"/>
      <w:bookmarkStart w:id="351" w:name="_Toc35513493"/>
      <w:r>
        <w:rPr>
          <w:color w:val="auto"/>
        </w:rPr>
        <w:t>3.1 初步评审</w:t>
      </w:r>
      <w:bookmarkEnd w:id="348"/>
      <w:bookmarkEnd w:id="349"/>
      <w:bookmarkEnd w:id="350"/>
      <w:bookmarkEnd w:id="351"/>
    </w:p>
    <w:p w14:paraId="57A4E987">
      <w:pPr>
        <w:widowControl w:val="0"/>
        <w:ind w:firstLine="480"/>
        <w:rPr>
          <w:color w:val="auto"/>
        </w:rPr>
      </w:pPr>
      <w:r>
        <w:rPr>
          <w:color w:val="auto"/>
        </w:rPr>
        <w:t>3.1.1 评标委员会依据本章第2.1款规定的标准对投标文件进行初步评审。有一项不符合评审标准的，评标委员会应当否决其投标。</w:t>
      </w:r>
    </w:p>
    <w:p w14:paraId="156D1433">
      <w:pPr>
        <w:widowControl w:val="0"/>
        <w:ind w:firstLine="480"/>
        <w:rPr>
          <w:color w:val="auto"/>
        </w:rPr>
      </w:pPr>
      <w:r>
        <w:rPr>
          <w:color w:val="auto"/>
        </w:rPr>
        <w:t>3.1.2 投标人有以下情形之一的，评标委员会应当否决其投标：</w:t>
      </w:r>
    </w:p>
    <w:p w14:paraId="6CF95CC3">
      <w:pPr>
        <w:ind w:firstLine="480"/>
        <w:rPr>
          <w:rFonts w:hint="eastAsia" w:eastAsia="宋体"/>
          <w:color w:val="auto"/>
          <w:lang w:val="en-US" w:eastAsia="zh-CN"/>
        </w:rPr>
      </w:pPr>
      <w:r>
        <w:rPr>
          <w:color w:val="auto"/>
        </w:rPr>
        <w:t>投标文件</w:t>
      </w:r>
      <w:r>
        <w:rPr>
          <w:rFonts w:hint="eastAsia"/>
          <w:color w:val="auto"/>
          <w:lang w:val="en-US" w:eastAsia="zh-CN"/>
        </w:rPr>
        <w:t>不符合</w:t>
      </w:r>
      <w:r>
        <w:rPr>
          <w:color w:val="auto"/>
        </w:rPr>
        <w:t>形式评审</w:t>
      </w:r>
      <w:r>
        <w:rPr>
          <w:color w:val="auto"/>
          <w:szCs w:val="22"/>
        </w:rPr>
        <w:t>、资格评审、响应性评审</w:t>
      </w:r>
      <w:r>
        <w:rPr>
          <w:rFonts w:hint="eastAsia"/>
          <w:color w:val="auto"/>
          <w:szCs w:val="22"/>
          <w:lang w:val="en-US" w:eastAsia="zh-CN"/>
        </w:rPr>
        <w:t>要求的。</w:t>
      </w:r>
    </w:p>
    <w:p w14:paraId="6FA3A93B">
      <w:pPr>
        <w:ind w:firstLine="480"/>
        <w:rPr>
          <w:color w:val="auto"/>
        </w:rPr>
      </w:pPr>
      <w:r>
        <w:rPr>
          <w:color w:val="auto"/>
        </w:rPr>
        <w:t>3.1.3 投标报价有算术错误及其他错误的，评标委员会按以下原则要求投标人对投标报价进行修正，并要求投标人书面澄清确认。投标人拒不澄清确认的，评标委员会应当否决其投标：</w:t>
      </w:r>
    </w:p>
    <w:p w14:paraId="564C2CF2">
      <w:pPr>
        <w:ind w:firstLine="480"/>
        <w:rPr>
          <w:color w:val="auto"/>
        </w:rPr>
      </w:pPr>
      <w:r>
        <w:rPr>
          <w:color w:val="auto"/>
        </w:rPr>
        <w:t>（1）投标文件中的大写金额与小写金额不一致的，以大写金额为准；</w:t>
      </w:r>
    </w:p>
    <w:p w14:paraId="0D5D9E46">
      <w:pPr>
        <w:ind w:firstLine="480"/>
        <w:rPr>
          <w:color w:val="auto"/>
        </w:rPr>
      </w:pPr>
      <w:r>
        <w:rPr>
          <w:color w:val="auto"/>
        </w:rPr>
        <w:t>（2）总价金额与单价金额不一致的，以单价金额为准，但单价金额小数点有明显错误的除外。</w:t>
      </w:r>
    </w:p>
    <w:p w14:paraId="26752F0F">
      <w:pPr>
        <w:ind w:firstLine="480"/>
        <w:rPr>
          <w:color w:val="auto"/>
          <w:szCs w:val="22"/>
        </w:rPr>
      </w:pPr>
      <w:r>
        <w:rPr>
          <w:color w:val="auto"/>
          <w:szCs w:val="22"/>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14:paraId="70A68FD7">
      <w:pPr>
        <w:pStyle w:val="5"/>
        <w:ind w:firstLine="482"/>
        <w:rPr>
          <w:color w:val="auto"/>
        </w:rPr>
      </w:pPr>
      <w:bookmarkStart w:id="352" w:name="_Toc2990"/>
      <w:bookmarkStart w:id="353" w:name="_Toc20528"/>
      <w:bookmarkStart w:id="354" w:name="_Toc25809"/>
      <w:bookmarkStart w:id="355" w:name="_Toc35513494"/>
      <w:r>
        <w:rPr>
          <w:color w:val="auto"/>
        </w:rPr>
        <w:t>3.2 详细评审</w:t>
      </w:r>
      <w:bookmarkEnd w:id="352"/>
      <w:bookmarkEnd w:id="353"/>
      <w:bookmarkEnd w:id="354"/>
      <w:bookmarkEnd w:id="355"/>
    </w:p>
    <w:p w14:paraId="307980D9">
      <w:pPr>
        <w:ind w:firstLine="480"/>
        <w:rPr>
          <w:color w:val="auto"/>
        </w:rPr>
      </w:pPr>
      <w:r>
        <w:rPr>
          <w:color w:val="auto"/>
        </w:rPr>
        <w:t>3.2.1 评标委员会按本章第 2.2 款规定的量化因素和分值进行打分，并计算出综合评估得分。</w:t>
      </w:r>
    </w:p>
    <w:p w14:paraId="449D5190">
      <w:pPr>
        <w:widowControl w:val="0"/>
        <w:ind w:firstLine="480" w:firstLineChars="200"/>
        <w:rPr>
          <w:color w:val="auto"/>
        </w:rPr>
      </w:pPr>
      <w:r>
        <w:rPr>
          <w:color w:val="auto"/>
        </w:rPr>
        <w:t>（1）按本章第 2.2.4（1）目规定的评审因素和分值对</w:t>
      </w:r>
      <w:r>
        <w:rPr>
          <w:rFonts w:hint="default"/>
          <w:color w:val="auto"/>
        </w:rPr>
        <w:t>商务</w:t>
      </w:r>
      <w:r>
        <w:rPr>
          <w:color w:val="auto"/>
        </w:rPr>
        <w:t>部分计算出得分 A；</w:t>
      </w:r>
    </w:p>
    <w:p w14:paraId="4A563421">
      <w:pPr>
        <w:widowControl w:val="0"/>
        <w:ind w:firstLine="480" w:firstLineChars="200"/>
        <w:rPr>
          <w:color w:val="auto"/>
        </w:rPr>
      </w:pPr>
      <w:r>
        <w:rPr>
          <w:color w:val="auto"/>
        </w:rPr>
        <w:t>（2）按本章第 2.2.4（2）目规定的评审因素和分值对</w:t>
      </w:r>
      <w:r>
        <w:rPr>
          <w:rFonts w:hint="default"/>
          <w:color w:val="auto"/>
        </w:rPr>
        <w:t>技术</w:t>
      </w:r>
      <w:r>
        <w:rPr>
          <w:color w:val="auto"/>
        </w:rPr>
        <w:t>部分计算出得分 B；</w:t>
      </w:r>
    </w:p>
    <w:p w14:paraId="5005512C">
      <w:pPr>
        <w:widowControl w:val="0"/>
        <w:ind w:firstLine="480" w:firstLineChars="200"/>
        <w:rPr>
          <w:color w:val="auto"/>
        </w:rPr>
      </w:pPr>
      <w:r>
        <w:rPr>
          <w:color w:val="auto"/>
        </w:rPr>
        <w:t>（3）按本章第 2.2.4（3）目规定的评审因素和分值对</w:t>
      </w:r>
      <w:r>
        <w:rPr>
          <w:rFonts w:hint="default"/>
          <w:color w:val="auto"/>
        </w:rPr>
        <w:t>经济部分</w:t>
      </w:r>
      <w:r>
        <w:rPr>
          <w:color w:val="auto"/>
        </w:rPr>
        <w:t>计算出得分 C；</w:t>
      </w:r>
    </w:p>
    <w:p w14:paraId="0E654B69">
      <w:pPr>
        <w:widowControl w:val="0"/>
        <w:spacing w:line="360" w:lineRule="auto"/>
        <w:ind w:firstLine="480" w:firstLineChars="200"/>
        <w:rPr>
          <w:strike w:val="0"/>
          <w:color w:val="auto"/>
          <w:szCs w:val="22"/>
        </w:rPr>
      </w:pPr>
      <w:r>
        <w:rPr>
          <w:strike w:val="0"/>
          <w:color w:val="auto"/>
          <w:szCs w:val="22"/>
        </w:rPr>
        <w:t>（4）按本章第 2.2.4（4）目规定的评审因素和分值对</w:t>
      </w:r>
      <w:r>
        <w:rPr>
          <w:rFonts w:hint="default" w:ascii="宋体" w:hAnsi="宋体"/>
          <w:color w:val="auto"/>
          <w:sz w:val="24"/>
          <w:szCs w:val="24"/>
        </w:rPr>
        <w:t>其他部分</w:t>
      </w:r>
      <w:r>
        <w:rPr>
          <w:strike w:val="0"/>
          <w:color w:val="auto"/>
          <w:szCs w:val="22"/>
        </w:rPr>
        <w:t>计算出得分 D；</w:t>
      </w:r>
    </w:p>
    <w:p w14:paraId="3637E6E5">
      <w:pPr>
        <w:ind w:firstLine="480"/>
        <w:rPr>
          <w:color w:val="auto"/>
        </w:rPr>
      </w:pPr>
      <w:r>
        <w:rPr>
          <w:color w:val="auto"/>
        </w:rPr>
        <w:t>3.2.2 评分分值计算保留小数点后两位，小数点后第三位</w:t>
      </w:r>
      <w:r>
        <w:rPr>
          <w:rFonts w:hint="eastAsia"/>
          <w:color w:val="auto"/>
        </w:rPr>
        <w:t>“</w:t>
      </w:r>
      <w:r>
        <w:rPr>
          <w:color w:val="auto"/>
        </w:rPr>
        <w:t>四舍五入</w:t>
      </w:r>
      <w:r>
        <w:rPr>
          <w:rFonts w:hint="eastAsia"/>
          <w:color w:val="auto"/>
        </w:rPr>
        <w:t>”</w:t>
      </w:r>
      <w:r>
        <w:rPr>
          <w:color w:val="auto"/>
        </w:rPr>
        <w:t>。</w:t>
      </w:r>
    </w:p>
    <w:p w14:paraId="7C1D5685">
      <w:pPr>
        <w:ind w:firstLine="480"/>
        <w:rPr>
          <w:color w:val="auto"/>
        </w:rPr>
      </w:pPr>
      <w:r>
        <w:rPr>
          <w:color w:val="auto"/>
        </w:rPr>
        <w:t>3.2.3 投标人得分=</w:t>
      </w:r>
      <w:r>
        <w:rPr>
          <w:color w:val="auto"/>
          <w:u w:val="none"/>
        </w:rPr>
        <w:t>A+B+C</w:t>
      </w:r>
      <w:r>
        <w:rPr>
          <w:rFonts w:hint="eastAsia"/>
          <w:color w:val="auto"/>
          <w:u w:val="none"/>
          <w:lang w:val="en-US" w:eastAsia="zh-CN"/>
        </w:rPr>
        <w:t>+D</w:t>
      </w:r>
      <w:r>
        <w:rPr>
          <w:color w:val="auto"/>
        </w:rPr>
        <w:t>。</w:t>
      </w:r>
    </w:p>
    <w:p w14:paraId="4DC16AD6">
      <w:pPr>
        <w:ind w:firstLine="480"/>
        <w:rPr>
          <w:rFonts w:hint="eastAsia" w:eastAsia="宋体"/>
          <w:color w:val="auto"/>
          <w:lang w:eastAsia="zh-CN"/>
        </w:rPr>
      </w:pPr>
      <w:r>
        <w:rPr>
          <w:color w:val="auto"/>
        </w:rPr>
        <w:t>3.2.4 评标委员会发现投标人的报价明显低于其他投标报价，使得其投标报价可能低于其个别成本的，应当要求该投标人作出书面说明并提供相应的证明材料。投标人不能合理</w:t>
      </w:r>
      <w:bookmarkStart w:id="356" w:name="page46"/>
      <w:bookmarkEnd w:id="356"/>
      <w:r>
        <w:rPr>
          <w:color w:val="auto"/>
        </w:rPr>
        <w:t>说明或者不能提供相应证明材料的，评标委员会应当认定该投标人以低于成本报价竞标，并否决其投标。</w:t>
      </w:r>
      <w:bookmarkStart w:id="357" w:name="auto_fouce_29"/>
    </w:p>
    <w:bookmarkEnd w:id="357"/>
    <w:p w14:paraId="1D429CC1">
      <w:pPr>
        <w:pStyle w:val="5"/>
        <w:ind w:firstLine="482"/>
        <w:rPr>
          <w:color w:val="auto"/>
        </w:rPr>
      </w:pPr>
      <w:bookmarkStart w:id="358" w:name="_Toc31052"/>
      <w:bookmarkStart w:id="359" w:name="_Toc17569"/>
      <w:bookmarkStart w:id="360" w:name="_Toc18378"/>
      <w:bookmarkStart w:id="361" w:name="_Toc35513495"/>
      <w:r>
        <w:rPr>
          <w:color w:val="auto"/>
        </w:rPr>
        <w:t>3.3 投标文件的澄清</w:t>
      </w:r>
      <w:bookmarkEnd w:id="358"/>
      <w:bookmarkEnd w:id="359"/>
      <w:bookmarkEnd w:id="360"/>
      <w:bookmarkEnd w:id="361"/>
    </w:p>
    <w:p w14:paraId="35A3A305">
      <w:pPr>
        <w:ind w:firstLine="480"/>
        <w:rPr>
          <w:color w:val="auto"/>
        </w:rPr>
      </w:pPr>
      <w:r>
        <w:rPr>
          <w:color w:val="auto"/>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5C6AB3D">
      <w:pPr>
        <w:ind w:firstLine="480"/>
        <w:rPr>
          <w:color w:val="auto"/>
        </w:rPr>
      </w:pPr>
      <w:r>
        <w:rPr>
          <w:color w:val="auto"/>
        </w:rPr>
        <w:t>3.3.2 澄清、说明或补正不得超出投标文件的范围且不得改变投标文件的实质性内容，并构成投标文件的组成部分。</w:t>
      </w:r>
    </w:p>
    <w:p w14:paraId="485497D5">
      <w:pPr>
        <w:ind w:firstLine="480"/>
        <w:rPr>
          <w:color w:val="auto"/>
        </w:rPr>
      </w:pPr>
      <w:r>
        <w:rPr>
          <w:color w:val="auto"/>
        </w:rPr>
        <w:t>3.3.3 评标委员会对投标人提交的澄清、说明或补正有疑问的，可以要求投标人进一步澄清、说明或补正，直至满足评标委员会的要求。</w:t>
      </w:r>
    </w:p>
    <w:p w14:paraId="0DA452EE">
      <w:pPr>
        <w:pStyle w:val="5"/>
        <w:ind w:firstLine="482"/>
        <w:rPr>
          <w:color w:val="auto"/>
        </w:rPr>
      </w:pPr>
      <w:bookmarkStart w:id="362" w:name="_Toc21765"/>
      <w:bookmarkStart w:id="363" w:name="_Toc31046"/>
      <w:bookmarkStart w:id="364" w:name="_Toc24355"/>
      <w:bookmarkStart w:id="365" w:name="_Toc35513496"/>
      <w:r>
        <w:rPr>
          <w:color w:val="auto"/>
        </w:rPr>
        <w:t>3.4 评标结果</w:t>
      </w:r>
      <w:bookmarkEnd w:id="362"/>
      <w:bookmarkEnd w:id="363"/>
      <w:bookmarkEnd w:id="364"/>
      <w:bookmarkEnd w:id="365"/>
    </w:p>
    <w:p w14:paraId="35E6E55C">
      <w:pPr>
        <w:ind w:firstLine="480"/>
        <w:rPr>
          <w:color w:val="auto"/>
        </w:rPr>
      </w:pPr>
      <w:r>
        <w:rPr>
          <w:color w:val="auto"/>
        </w:rPr>
        <w:t>3.4.1 除第</w:t>
      </w:r>
      <w:bookmarkStart w:id="366" w:name="page47"/>
      <w:bookmarkEnd w:id="366"/>
      <w:bookmarkStart w:id="367" w:name="_Toc14709207"/>
      <w:bookmarkStart w:id="368" w:name="_Toc3515"/>
      <w:bookmarkStart w:id="369" w:name="_Toc26329"/>
      <w:bookmarkStart w:id="370" w:name="_Toc20737"/>
      <w:bookmarkStart w:id="371" w:name="_Toc24899"/>
      <w:r>
        <w:rPr>
          <w:color w:val="auto"/>
        </w:rPr>
        <w:t>二章</w:t>
      </w:r>
      <w:r>
        <w:rPr>
          <w:rFonts w:hint="eastAsia"/>
          <w:color w:val="auto"/>
        </w:rPr>
        <w:t>“</w:t>
      </w:r>
      <w:r>
        <w:rPr>
          <w:color w:val="auto"/>
        </w:rPr>
        <w:t>投标人须知</w:t>
      </w:r>
      <w:r>
        <w:rPr>
          <w:rFonts w:hint="eastAsia"/>
          <w:color w:val="auto"/>
        </w:rPr>
        <w:t>”</w:t>
      </w:r>
      <w:r>
        <w:rPr>
          <w:color w:val="auto"/>
        </w:rPr>
        <w:t>前附表</w:t>
      </w:r>
      <w:bookmarkEnd w:id="367"/>
      <w:r>
        <w:rPr>
          <w:color w:val="auto"/>
        </w:rPr>
        <w:t>授</w:t>
      </w:r>
      <w:bookmarkStart w:id="372" w:name="_Toc14709208"/>
      <w:r>
        <w:rPr>
          <w:color w:val="auto"/>
        </w:rPr>
        <w:t>权直接确定</w:t>
      </w:r>
      <w:bookmarkEnd w:id="368"/>
      <w:bookmarkEnd w:id="369"/>
      <w:bookmarkEnd w:id="370"/>
      <w:bookmarkEnd w:id="371"/>
      <w:bookmarkEnd w:id="372"/>
      <w:r>
        <w:rPr>
          <w:color w:val="auto"/>
        </w:rPr>
        <w:t>中</w:t>
      </w:r>
      <w:bookmarkStart w:id="373" w:name="page69"/>
      <w:bookmarkEnd w:id="373"/>
      <w:r>
        <w:rPr>
          <w:color w:val="auto"/>
        </w:rPr>
        <w:t>标人外，评标委员</w:t>
      </w:r>
      <w:bookmarkStart w:id="374" w:name="_Toc3428"/>
      <w:bookmarkStart w:id="375" w:name="_Toc14709209"/>
      <w:bookmarkStart w:id="376" w:name="_Toc31200"/>
      <w:bookmarkStart w:id="377" w:name="_Toc11273"/>
      <w:bookmarkStart w:id="378" w:name="_Toc30067"/>
      <w:r>
        <w:rPr>
          <w:color w:val="auto"/>
        </w:rPr>
        <w:t>会按照</w:t>
      </w:r>
      <w:bookmarkEnd w:id="374"/>
      <w:bookmarkEnd w:id="375"/>
      <w:bookmarkEnd w:id="376"/>
      <w:bookmarkEnd w:id="377"/>
      <w:bookmarkEnd w:id="378"/>
      <w:bookmarkStart w:id="379" w:name="page70"/>
      <w:bookmarkEnd w:id="379"/>
      <w:r>
        <w:rPr>
          <w:color w:val="auto"/>
        </w:rPr>
        <w:t>得分</w:t>
      </w:r>
      <w:bookmarkStart w:id="380" w:name="_Toc22785"/>
      <w:bookmarkStart w:id="381" w:name="_Toc31259"/>
      <w:bookmarkStart w:id="382" w:name="_Toc9422"/>
      <w:bookmarkStart w:id="383" w:name="_Toc23936"/>
      <w:bookmarkStart w:id="384" w:name="_Toc14709210"/>
      <w:r>
        <w:rPr>
          <w:color w:val="auto"/>
        </w:rPr>
        <w:t>由高到低的顺序推荐</w:t>
      </w:r>
      <w:bookmarkEnd w:id="380"/>
      <w:bookmarkEnd w:id="381"/>
      <w:bookmarkEnd w:id="382"/>
      <w:bookmarkEnd w:id="383"/>
      <w:bookmarkEnd w:id="384"/>
      <w:r>
        <w:rPr>
          <w:color w:val="auto"/>
        </w:rPr>
        <w:t>中</w:t>
      </w:r>
      <w:bookmarkStart w:id="385" w:name="page71"/>
      <w:bookmarkEnd w:id="385"/>
      <w:r>
        <w:rPr>
          <w:color w:val="auto"/>
        </w:rPr>
        <w:t>标候</w:t>
      </w:r>
      <w:bookmarkStart w:id="386" w:name="page74"/>
      <w:bookmarkEnd w:id="386"/>
      <w:bookmarkStart w:id="387" w:name="page72"/>
      <w:bookmarkEnd w:id="387"/>
      <w:bookmarkStart w:id="388" w:name="page73"/>
      <w:bookmarkEnd w:id="388"/>
      <w:r>
        <w:rPr>
          <w:color w:val="auto"/>
        </w:rPr>
        <w:t>选人，并标明排序。</w:t>
      </w:r>
    </w:p>
    <w:p w14:paraId="73DF5A3D">
      <w:pPr>
        <w:ind w:firstLine="480"/>
        <w:rPr>
          <w:color w:val="auto"/>
        </w:rPr>
      </w:pPr>
      <w:r>
        <w:rPr>
          <w:color w:val="auto"/>
        </w:rPr>
        <w:t>3.4.2 评标委员会完成评标后，应当向招标人交书面评标报告和中标候选人名单。</w:t>
      </w:r>
    </w:p>
    <w:p w14:paraId="6B0B8748">
      <w:pPr>
        <w:spacing w:line="200" w:lineRule="exact"/>
        <w:ind w:firstLine="480"/>
        <w:rPr>
          <w:rFonts w:hAnsi="宋体"/>
          <w:color w:val="auto"/>
        </w:rPr>
      </w:pPr>
    </w:p>
    <w:p w14:paraId="44EAE837">
      <w:pPr>
        <w:pStyle w:val="36"/>
        <w:ind w:left="480" w:firstLine="400"/>
        <w:rPr>
          <w:rFonts w:hAnsi="宋体"/>
          <w:color w:val="auto"/>
        </w:rPr>
      </w:pPr>
    </w:p>
    <w:p w14:paraId="58286900">
      <w:pPr>
        <w:pStyle w:val="36"/>
        <w:ind w:left="0" w:leftChars="0" w:firstLine="0" w:firstLineChars="0"/>
        <w:rPr>
          <w:rFonts w:hAnsi="宋体"/>
          <w:color w:val="auto"/>
        </w:rPr>
      </w:pPr>
      <w:r>
        <w:rPr>
          <w:rFonts w:hAnsi="宋体"/>
          <w:color w:val="auto"/>
        </w:rPr>
        <w:br w:type="page"/>
      </w:r>
    </w:p>
    <w:p w14:paraId="6B19F377">
      <w:pPr>
        <w:widowControl w:val="0"/>
        <w:ind w:firstLine="0" w:firstLineChars="0"/>
        <w:rPr>
          <w:rFonts w:hint="eastAsia" w:ascii="黑体" w:hAnsi="黑体" w:eastAsia="黑体" w:cs="宋体"/>
          <w:color w:val="auto"/>
          <w:kern w:val="2"/>
          <w:sz w:val="28"/>
          <w:szCs w:val="28"/>
        </w:rPr>
      </w:pPr>
      <w:r>
        <w:rPr>
          <w:rFonts w:hint="eastAsia" w:ascii="黑体" w:hAnsi="黑体" w:eastAsia="黑体" w:cs="宋体"/>
          <w:color w:val="auto"/>
          <w:kern w:val="2"/>
          <w:sz w:val="28"/>
          <w:szCs w:val="28"/>
        </w:rPr>
        <w:t>附</w:t>
      </w:r>
      <w:r>
        <w:rPr>
          <w:rFonts w:hint="eastAsia" w:ascii="黑体" w:hAnsi="黑体" w:eastAsia="黑体" w:cs="宋体"/>
          <w:color w:val="auto"/>
          <w:kern w:val="2"/>
          <w:sz w:val="28"/>
          <w:szCs w:val="28"/>
          <w:lang w:val="en-US" w:eastAsia="zh-CN"/>
        </w:rPr>
        <w:t>表</w:t>
      </w:r>
      <w:r>
        <w:rPr>
          <w:rFonts w:hint="eastAsia" w:ascii="黑体" w:hAnsi="黑体" w:eastAsia="黑体" w:cs="宋体"/>
          <w:color w:val="auto"/>
          <w:kern w:val="2"/>
          <w:sz w:val="28"/>
          <w:szCs w:val="28"/>
        </w:rPr>
        <w:t>：综合评分表</w:t>
      </w:r>
    </w:p>
    <w:p w14:paraId="5F81DEEB">
      <w:pPr>
        <w:pStyle w:val="75"/>
        <w:ind w:firstLine="0" w:firstLineChars="0"/>
        <w:rPr>
          <w:color w:val="auto"/>
        </w:rPr>
      </w:pPr>
    </w:p>
    <w:tbl>
      <w:tblPr>
        <w:tblStyle w:val="37"/>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1245"/>
        <w:gridCol w:w="600"/>
        <w:gridCol w:w="6347"/>
      </w:tblGrid>
      <w:tr w14:paraId="4633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blHeader/>
          <w:jc w:val="center"/>
        </w:trPr>
        <w:tc>
          <w:tcPr>
            <w:tcW w:w="1067" w:type="dxa"/>
            <w:noWrap w:val="0"/>
            <w:vAlign w:val="center"/>
          </w:tcPr>
          <w:p w14:paraId="02E81876">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b/>
                <w:color w:val="auto"/>
                <w:sz w:val="21"/>
                <w:szCs w:val="21"/>
                <w:lang w:eastAsia="zh-CN"/>
              </w:rPr>
            </w:pPr>
            <w:r>
              <w:rPr>
                <w:rFonts w:hint="eastAsia"/>
                <w:b/>
                <w:color w:val="auto"/>
                <w:sz w:val="21"/>
                <w:szCs w:val="21"/>
                <w:lang w:eastAsia="zh-CN"/>
              </w:rPr>
              <w:t>评审内容</w:t>
            </w:r>
          </w:p>
        </w:tc>
        <w:tc>
          <w:tcPr>
            <w:tcW w:w="1245" w:type="dxa"/>
            <w:noWrap w:val="0"/>
            <w:vAlign w:val="center"/>
          </w:tcPr>
          <w:p w14:paraId="2A8F977B">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b/>
                <w:color w:val="auto"/>
                <w:sz w:val="21"/>
                <w:szCs w:val="21"/>
              </w:rPr>
            </w:pPr>
            <w:r>
              <w:rPr>
                <w:rFonts w:hint="eastAsia"/>
                <w:b/>
                <w:color w:val="auto"/>
                <w:sz w:val="21"/>
                <w:szCs w:val="21"/>
              </w:rPr>
              <w:t>评分因素</w:t>
            </w:r>
          </w:p>
        </w:tc>
        <w:tc>
          <w:tcPr>
            <w:tcW w:w="600" w:type="dxa"/>
            <w:noWrap w:val="0"/>
            <w:vAlign w:val="center"/>
          </w:tcPr>
          <w:p w14:paraId="0DBD77F3">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b/>
                <w:color w:val="auto"/>
                <w:sz w:val="21"/>
                <w:szCs w:val="21"/>
                <w:lang w:eastAsia="zh-CN"/>
              </w:rPr>
            </w:pPr>
            <w:r>
              <w:rPr>
                <w:rFonts w:hint="eastAsia"/>
                <w:b/>
                <w:color w:val="auto"/>
                <w:sz w:val="21"/>
                <w:szCs w:val="21"/>
                <w:lang w:eastAsia="zh-CN"/>
              </w:rPr>
              <w:t>分值</w:t>
            </w:r>
          </w:p>
        </w:tc>
        <w:tc>
          <w:tcPr>
            <w:tcW w:w="6347" w:type="dxa"/>
            <w:noWrap w:val="0"/>
            <w:vAlign w:val="center"/>
          </w:tcPr>
          <w:p w14:paraId="5A38787B">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b/>
                <w:color w:val="auto"/>
                <w:sz w:val="21"/>
                <w:szCs w:val="21"/>
              </w:rPr>
            </w:pPr>
            <w:r>
              <w:rPr>
                <w:rFonts w:hint="eastAsia"/>
                <w:b/>
                <w:color w:val="auto"/>
                <w:sz w:val="21"/>
                <w:szCs w:val="21"/>
              </w:rPr>
              <w:t>评分标准</w:t>
            </w:r>
          </w:p>
        </w:tc>
      </w:tr>
      <w:tr w14:paraId="0671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vMerge w:val="restart"/>
            <w:noWrap w:val="0"/>
            <w:vAlign w:val="center"/>
          </w:tcPr>
          <w:p w14:paraId="1A9B7C6E">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r>
              <w:rPr>
                <w:rFonts w:hint="eastAsia"/>
                <w:color w:val="auto"/>
                <w:sz w:val="21"/>
                <w:szCs w:val="21"/>
                <w:lang w:eastAsia="zh-CN"/>
              </w:rPr>
              <w:t>商务部分</w:t>
            </w:r>
          </w:p>
          <w:p w14:paraId="6EDA6990">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r>
              <w:rPr>
                <w:rFonts w:hint="eastAsia"/>
                <w:color w:val="auto"/>
                <w:sz w:val="21"/>
                <w:szCs w:val="21"/>
                <w:lang w:eastAsia="zh-CN"/>
              </w:rPr>
              <w:t>评分</w:t>
            </w:r>
            <w:r>
              <w:rPr>
                <w:rFonts w:hint="eastAsia"/>
                <w:color w:val="auto"/>
                <w:spacing w:val="-3"/>
                <w:sz w:val="21"/>
                <w:szCs w:val="21"/>
                <w:lang w:eastAsia="zh-CN"/>
              </w:rPr>
              <w:t>标</w:t>
            </w:r>
            <w:r>
              <w:rPr>
                <w:rFonts w:hint="eastAsia"/>
                <w:color w:val="auto"/>
                <w:sz w:val="21"/>
                <w:szCs w:val="21"/>
                <w:lang w:eastAsia="zh-CN"/>
              </w:rPr>
              <w:t>准</w:t>
            </w:r>
          </w:p>
          <w:p w14:paraId="0E136799">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6</w:t>
            </w:r>
            <w:r>
              <w:rPr>
                <w:rFonts w:hint="eastAsia"/>
                <w:color w:val="auto"/>
                <w:sz w:val="21"/>
                <w:szCs w:val="21"/>
                <w:lang w:eastAsia="zh-CN"/>
              </w:rPr>
              <w:t>0分）</w:t>
            </w:r>
          </w:p>
        </w:tc>
        <w:tc>
          <w:tcPr>
            <w:tcW w:w="1245" w:type="dxa"/>
            <w:vMerge w:val="restart"/>
            <w:noWrap w:val="0"/>
            <w:vAlign w:val="center"/>
          </w:tcPr>
          <w:p w14:paraId="0B944936">
            <w:pPr>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r>
              <w:rPr>
                <w:rFonts w:hint="eastAsia" w:hAnsi="宋体" w:cs="宋体"/>
                <w:color w:val="auto"/>
                <w:sz w:val="21"/>
                <w:szCs w:val="21"/>
              </w:rPr>
              <w:t>企业信誉</w:t>
            </w:r>
          </w:p>
          <w:p w14:paraId="44B51F9C">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val="en-US" w:eastAsia="zh-CN"/>
              </w:rPr>
              <w:t>20</w:t>
            </w:r>
            <w:r>
              <w:rPr>
                <w:rFonts w:hint="eastAsia" w:hAnsi="宋体" w:cs="宋体"/>
                <w:color w:val="auto"/>
                <w:sz w:val="21"/>
                <w:szCs w:val="21"/>
              </w:rPr>
              <w:t>分）</w:t>
            </w:r>
          </w:p>
        </w:tc>
        <w:tc>
          <w:tcPr>
            <w:tcW w:w="600" w:type="dxa"/>
            <w:noWrap w:val="0"/>
            <w:vAlign w:val="center"/>
          </w:tcPr>
          <w:p w14:paraId="643C636E">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eastAsia="宋体" w:cs="宋体"/>
                <w:color w:val="auto"/>
                <w:sz w:val="21"/>
                <w:szCs w:val="21"/>
                <w:lang w:eastAsia="zh-CN"/>
              </w:rPr>
            </w:pPr>
            <w:r>
              <w:rPr>
                <w:rFonts w:hint="eastAsia" w:hAnsi="宋体" w:cs="宋体"/>
                <w:color w:val="auto"/>
                <w:sz w:val="21"/>
                <w:szCs w:val="21"/>
                <w:lang w:val="en-US" w:eastAsia="zh-CN"/>
              </w:rPr>
              <w:t>8</w:t>
            </w:r>
          </w:p>
        </w:tc>
        <w:tc>
          <w:tcPr>
            <w:tcW w:w="6347" w:type="dxa"/>
            <w:noWrap w:val="0"/>
            <w:vAlign w:val="center"/>
          </w:tcPr>
          <w:p w14:paraId="0BA54C9D">
            <w:pPr>
              <w:keepNext w:val="0"/>
              <w:keepLines w:val="0"/>
              <w:widowControl w:val="0"/>
              <w:suppressLineNumbers w:val="0"/>
              <w:wordWrap w:val="0"/>
              <w:topLinePunct/>
              <w:spacing w:before="0" w:beforeAutospacing="0" w:after="0" w:afterAutospacing="0" w:line="276" w:lineRule="auto"/>
              <w:ind w:left="72" w:leftChars="30" w:right="72" w:rightChars="30" w:firstLine="0" w:firstLineChars="0"/>
              <w:jc w:val="both"/>
              <w:textAlignment w:val="auto"/>
              <w:rPr>
                <w:rFonts w:hint="eastAsia" w:ascii="宋体" w:hAnsi="宋体" w:cs="宋体"/>
                <w:color w:val="auto"/>
                <w:sz w:val="21"/>
                <w:szCs w:val="21"/>
              </w:rPr>
            </w:pPr>
            <w:r>
              <w:rPr>
                <w:rFonts w:hint="eastAsia" w:ascii="宋体" w:hAnsi="宋体" w:cs="宋体"/>
                <w:color w:val="auto"/>
                <w:sz w:val="21"/>
                <w:szCs w:val="21"/>
              </w:rPr>
              <w:t>投标人至今：</w:t>
            </w:r>
          </w:p>
          <w:p w14:paraId="301C5C17">
            <w:pPr>
              <w:keepNext w:val="0"/>
              <w:keepLines w:val="0"/>
              <w:widowControl w:val="0"/>
              <w:suppressLineNumbers w:val="0"/>
              <w:wordWrap w:val="0"/>
              <w:topLinePunct/>
              <w:spacing w:before="0" w:beforeAutospacing="0" w:after="0" w:afterAutospacing="0" w:line="276" w:lineRule="auto"/>
              <w:ind w:left="72" w:leftChars="30" w:right="72" w:rightChars="30" w:firstLine="63" w:firstLineChars="30"/>
              <w:jc w:val="both"/>
              <w:textAlignment w:val="auto"/>
              <w:rPr>
                <w:rFonts w:hint="eastAsia" w:ascii="宋体" w:hAnsi="宋体" w:cs="宋体"/>
                <w:color w:val="auto"/>
                <w:sz w:val="21"/>
                <w:szCs w:val="21"/>
              </w:rPr>
            </w:pPr>
            <w:r>
              <w:rPr>
                <w:rFonts w:hint="eastAsia" w:ascii="宋体" w:hAnsi="宋体" w:cs="宋体"/>
                <w:color w:val="auto"/>
                <w:sz w:val="21"/>
                <w:szCs w:val="21"/>
              </w:rPr>
              <w:t>1、连续</w:t>
            </w:r>
            <w:r>
              <w:rPr>
                <w:rFonts w:hint="eastAsia" w:hAnsi="宋体" w:cs="宋体"/>
                <w:color w:val="auto"/>
                <w:sz w:val="21"/>
                <w:szCs w:val="21"/>
                <w:lang w:val="en-US" w:eastAsia="zh-CN"/>
              </w:rPr>
              <w:t>10</w:t>
            </w:r>
            <w:r>
              <w:rPr>
                <w:rFonts w:hint="eastAsia" w:ascii="宋体" w:hAnsi="宋体" w:cs="宋体"/>
                <w:color w:val="auto"/>
                <w:sz w:val="21"/>
                <w:szCs w:val="21"/>
              </w:rPr>
              <w:t>年或以上被国家税务主管部门评为年度纳税信用A级的，得</w:t>
            </w:r>
            <w:r>
              <w:rPr>
                <w:rFonts w:hint="eastAsia" w:hAnsi="宋体" w:cs="宋体"/>
                <w:color w:val="auto"/>
                <w:sz w:val="21"/>
                <w:szCs w:val="21"/>
                <w:lang w:val="en-US" w:eastAsia="zh-CN"/>
              </w:rPr>
              <w:t>8</w:t>
            </w:r>
            <w:r>
              <w:rPr>
                <w:rFonts w:hint="eastAsia" w:ascii="宋体" w:hAnsi="宋体" w:cs="宋体"/>
                <w:color w:val="auto"/>
                <w:sz w:val="21"/>
                <w:szCs w:val="21"/>
              </w:rPr>
              <w:t>分；</w:t>
            </w:r>
          </w:p>
          <w:p w14:paraId="52FE97B5">
            <w:pPr>
              <w:keepNext w:val="0"/>
              <w:keepLines w:val="0"/>
              <w:widowControl w:val="0"/>
              <w:suppressLineNumbers w:val="0"/>
              <w:wordWrap w:val="0"/>
              <w:topLinePunct/>
              <w:spacing w:before="0" w:beforeAutospacing="0" w:after="0" w:afterAutospacing="0" w:line="276" w:lineRule="auto"/>
              <w:ind w:left="72" w:leftChars="30" w:right="72" w:rightChars="30" w:firstLine="63" w:firstLineChars="30"/>
              <w:jc w:val="both"/>
              <w:textAlignment w:val="auto"/>
              <w:rPr>
                <w:rFonts w:hint="eastAsia" w:ascii="宋体" w:hAnsi="宋体" w:cs="宋体"/>
                <w:color w:val="auto"/>
                <w:sz w:val="21"/>
                <w:szCs w:val="21"/>
              </w:rPr>
            </w:pPr>
            <w:r>
              <w:rPr>
                <w:rFonts w:hint="eastAsia" w:ascii="宋体" w:hAnsi="宋体" w:cs="宋体"/>
                <w:color w:val="auto"/>
                <w:sz w:val="21"/>
                <w:szCs w:val="21"/>
              </w:rPr>
              <w:t>2、连续</w:t>
            </w:r>
            <w:r>
              <w:rPr>
                <w:rFonts w:hint="eastAsia" w:hAnsi="宋体" w:cs="宋体"/>
                <w:color w:val="auto"/>
                <w:sz w:val="21"/>
                <w:szCs w:val="21"/>
                <w:lang w:val="en-US" w:eastAsia="zh-CN"/>
              </w:rPr>
              <w:t>5-9</w:t>
            </w:r>
            <w:r>
              <w:rPr>
                <w:rFonts w:hint="eastAsia" w:ascii="宋体" w:hAnsi="宋体" w:cs="宋体"/>
                <w:color w:val="auto"/>
                <w:sz w:val="21"/>
                <w:szCs w:val="21"/>
              </w:rPr>
              <w:t>年被国家税务主管部门评为年度纳税信用A级的，得</w:t>
            </w:r>
            <w:r>
              <w:rPr>
                <w:rFonts w:hint="eastAsia" w:hAnsi="宋体" w:cs="宋体"/>
                <w:color w:val="auto"/>
                <w:sz w:val="21"/>
                <w:szCs w:val="21"/>
                <w:lang w:val="en-US" w:eastAsia="zh-CN"/>
              </w:rPr>
              <w:t>4</w:t>
            </w:r>
            <w:r>
              <w:rPr>
                <w:rFonts w:hint="eastAsia" w:ascii="宋体" w:hAnsi="宋体" w:cs="宋体"/>
                <w:color w:val="auto"/>
                <w:sz w:val="21"/>
                <w:szCs w:val="21"/>
              </w:rPr>
              <w:t>分；</w:t>
            </w:r>
          </w:p>
          <w:p w14:paraId="6C793038">
            <w:pPr>
              <w:keepNext w:val="0"/>
              <w:keepLines w:val="0"/>
              <w:widowControl w:val="0"/>
              <w:suppressLineNumbers w:val="0"/>
              <w:wordWrap w:val="0"/>
              <w:topLinePunct/>
              <w:spacing w:before="0" w:beforeAutospacing="0" w:after="0" w:afterAutospacing="0" w:line="276" w:lineRule="auto"/>
              <w:ind w:left="72" w:leftChars="30" w:right="72" w:rightChars="30" w:firstLine="63" w:firstLineChars="30"/>
              <w:jc w:val="both"/>
              <w:textAlignment w:val="auto"/>
              <w:rPr>
                <w:rFonts w:hint="eastAsia" w:ascii="宋体" w:hAnsi="宋体" w:cs="宋体"/>
                <w:color w:val="auto"/>
                <w:sz w:val="21"/>
                <w:szCs w:val="21"/>
              </w:rPr>
            </w:pPr>
            <w:r>
              <w:rPr>
                <w:rFonts w:hint="eastAsia" w:ascii="宋体" w:hAnsi="宋体" w:cs="宋体"/>
                <w:color w:val="auto"/>
                <w:sz w:val="21"/>
                <w:szCs w:val="21"/>
              </w:rPr>
              <w:t>3、连续</w:t>
            </w:r>
            <w:r>
              <w:rPr>
                <w:rFonts w:hint="eastAsia" w:hAnsi="宋体" w:cs="宋体"/>
                <w:color w:val="auto"/>
                <w:sz w:val="21"/>
                <w:szCs w:val="21"/>
                <w:lang w:val="en-US" w:eastAsia="zh-CN"/>
              </w:rPr>
              <w:t>1-4</w:t>
            </w:r>
            <w:r>
              <w:rPr>
                <w:rFonts w:hint="eastAsia" w:ascii="宋体" w:hAnsi="宋体" w:cs="宋体"/>
                <w:color w:val="auto"/>
                <w:sz w:val="21"/>
                <w:szCs w:val="21"/>
              </w:rPr>
              <w:t>年被国家税务主管部门评为年度纳税信用A级的，得1分；</w:t>
            </w:r>
          </w:p>
          <w:p w14:paraId="41780A7D">
            <w:pPr>
              <w:keepNext w:val="0"/>
              <w:keepLines w:val="0"/>
              <w:widowControl w:val="0"/>
              <w:suppressLineNumbers w:val="0"/>
              <w:wordWrap w:val="0"/>
              <w:topLinePunct/>
              <w:spacing w:before="0" w:beforeAutospacing="0" w:after="0" w:afterAutospacing="0" w:line="276" w:lineRule="auto"/>
              <w:ind w:left="72" w:leftChars="30" w:right="72" w:rightChars="30" w:firstLine="63" w:firstLineChars="30"/>
              <w:jc w:val="both"/>
              <w:textAlignment w:val="auto"/>
              <w:rPr>
                <w:rFonts w:hint="eastAsia" w:ascii="宋体" w:hAnsi="宋体" w:cs="宋体"/>
                <w:color w:val="auto"/>
                <w:sz w:val="21"/>
                <w:szCs w:val="21"/>
              </w:rPr>
            </w:pPr>
            <w:r>
              <w:rPr>
                <w:rFonts w:hint="eastAsia" w:ascii="宋体" w:hAnsi="宋体" w:cs="宋体"/>
                <w:color w:val="auto"/>
                <w:sz w:val="21"/>
                <w:szCs w:val="21"/>
              </w:rPr>
              <w:t>4、没有的不得分。</w:t>
            </w:r>
          </w:p>
          <w:p w14:paraId="029DCA78">
            <w:pPr>
              <w:keepNext w:val="0"/>
              <w:keepLines w:val="0"/>
              <w:widowControl w:val="0"/>
              <w:suppressLineNumbers w:val="0"/>
              <w:wordWrap w:val="0"/>
              <w:topLinePunct/>
              <w:spacing w:before="0" w:beforeAutospacing="0" w:after="0" w:afterAutospacing="0" w:line="276" w:lineRule="auto"/>
              <w:ind w:left="72" w:leftChars="30" w:right="72" w:rightChars="30" w:firstLine="63" w:firstLineChars="30"/>
              <w:jc w:val="both"/>
              <w:textAlignment w:val="auto"/>
              <w:rPr>
                <w:rFonts w:hint="eastAsia" w:ascii="宋体" w:hAnsi="宋体" w:cs="宋体"/>
                <w:color w:val="auto"/>
                <w:sz w:val="21"/>
                <w:szCs w:val="21"/>
              </w:rPr>
            </w:pPr>
            <w:r>
              <w:rPr>
                <w:rFonts w:hint="eastAsia" w:ascii="宋体" w:hAnsi="宋体" w:cs="宋体"/>
                <w:color w:val="auto"/>
                <w:sz w:val="21"/>
                <w:szCs w:val="21"/>
              </w:rPr>
              <w:t>本项最多得</w:t>
            </w:r>
            <w:r>
              <w:rPr>
                <w:rFonts w:hint="eastAsia" w:hAnsi="宋体" w:cs="宋体"/>
                <w:color w:val="auto"/>
                <w:sz w:val="21"/>
                <w:szCs w:val="21"/>
                <w:lang w:val="en-US" w:eastAsia="zh-CN"/>
              </w:rPr>
              <w:t>8</w:t>
            </w:r>
            <w:r>
              <w:rPr>
                <w:rFonts w:hint="eastAsia" w:ascii="宋体" w:hAnsi="宋体" w:cs="宋体"/>
                <w:color w:val="auto"/>
                <w:sz w:val="21"/>
                <w:szCs w:val="21"/>
              </w:rPr>
              <w:t>分。</w:t>
            </w:r>
          </w:p>
          <w:p w14:paraId="60B672B5">
            <w:pPr>
              <w:keepNext w:val="0"/>
              <w:keepLines w:val="0"/>
              <w:widowControl w:val="0"/>
              <w:suppressLineNumbers w:val="0"/>
              <w:wordWrap w:val="0"/>
              <w:topLinePunct/>
              <w:spacing w:before="0" w:beforeAutospacing="0" w:after="0" w:afterAutospacing="0" w:line="276" w:lineRule="auto"/>
              <w:ind w:left="72" w:leftChars="30" w:right="72" w:rightChars="30" w:firstLine="0" w:firstLineChars="0"/>
              <w:jc w:val="both"/>
              <w:textAlignment w:val="auto"/>
              <w:rPr>
                <w:rFonts w:hint="eastAsia" w:ascii="宋体" w:hAnsi="宋体" w:cs="宋体"/>
                <w:color w:val="auto"/>
                <w:sz w:val="21"/>
                <w:szCs w:val="21"/>
              </w:rPr>
            </w:pPr>
            <w:r>
              <w:rPr>
                <w:rFonts w:hint="eastAsia" w:ascii="宋体" w:hAnsi="宋体" w:cs="宋体"/>
                <w:color w:val="auto"/>
                <w:sz w:val="21"/>
                <w:szCs w:val="21"/>
              </w:rPr>
              <w:t>注：前述评审均须包含202</w:t>
            </w:r>
            <w:r>
              <w:rPr>
                <w:rFonts w:hint="eastAsia" w:hAnsi="宋体" w:cs="宋体"/>
                <w:color w:val="auto"/>
                <w:sz w:val="21"/>
                <w:szCs w:val="21"/>
                <w:lang w:val="en-US" w:eastAsia="zh-CN"/>
              </w:rPr>
              <w:t>4</w:t>
            </w:r>
            <w:r>
              <w:rPr>
                <w:rFonts w:hint="eastAsia" w:ascii="宋体" w:hAnsi="宋体" w:cs="宋体"/>
                <w:color w:val="auto"/>
                <w:sz w:val="21"/>
                <w:szCs w:val="21"/>
              </w:rPr>
              <w:t>年度</w:t>
            </w:r>
            <w:r>
              <w:rPr>
                <w:rFonts w:hint="eastAsia" w:ascii="宋体" w:hAnsi="宋体" w:cs="宋体"/>
                <w:color w:val="auto"/>
                <w:sz w:val="21"/>
                <w:szCs w:val="21"/>
                <w:lang w:val="en-US" w:eastAsia="zh-CN"/>
              </w:rPr>
              <w:t>；</w:t>
            </w:r>
            <w:r>
              <w:rPr>
                <w:rFonts w:hint="eastAsia" w:ascii="宋体" w:hAnsi="宋体" w:cs="宋体"/>
                <w:color w:val="auto"/>
                <w:sz w:val="21"/>
                <w:szCs w:val="21"/>
              </w:rPr>
              <w:t>符合多项情况的，按最高档次只计取一次得分；需提供税务部门官网查询截图或相关证书扫描件。纳税等级只计算投标人自身，不计算投标人的子公司、分公司及分支机构。</w:t>
            </w:r>
          </w:p>
        </w:tc>
      </w:tr>
      <w:tr w14:paraId="1BC8B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067" w:type="dxa"/>
            <w:vMerge w:val="continue"/>
            <w:noWrap w:val="0"/>
            <w:vAlign w:val="center"/>
          </w:tcPr>
          <w:p w14:paraId="72FEBA0C">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p>
        </w:tc>
        <w:tc>
          <w:tcPr>
            <w:tcW w:w="1245" w:type="dxa"/>
            <w:vMerge w:val="continue"/>
            <w:noWrap w:val="0"/>
            <w:vAlign w:val="center"/>
          </w:tcPr>
          <w:p w14:paraId="5F559E0A">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p>
        </w:tc>
        <w:tc>
          <w:tcPr>
            <w:tcW w:w="600" w:type="dxa"/>
            <w:noWrap w:val="0"/>
            <w:vAlign w:val="center"/>
          </w:tcPr>
          <w:p w14:paraId="6082779D">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eastAsia="宋体" w:cs="宋体"/>
                <w:color w:val="auto"/>
                <w:sz w:val="21"/>
                <w:szCs w:val="21"/>
                <w:lang w:eastAsia="zh-CN"/>
              </w:rPr>
            </w:pPr>
            <w:r>
              <w:rPr>
                <w:rFonts w:hint="eastAsia" w:hAnsi="宋体" w:cs="宋体"/>
                <w:color w:val="auto"/>
                <w:sz w:val="21"/>
                <w:szCs w:val="21"/>
                <w:lang w:val="en-US" w:eastAsia="zh-CN"/>
              </w:rPr>
              <w:t>7</w:t>
            </w:r>
          </w:p>
        </w:tc>
        <w:tc>
          <w:tcPr>
            <w:tcW w:w="6347" w:type="dxa"/>
            <w:noWrap w:val="0"/>
            <w:vAlign w:val="center"/>
          </w:tcPr>
          <w:p w14:paraId="78B96750">
            <w:pPr>
              <w:pStyle w:val="2"/>
              <w:keepNext w:val="0"/>
              <w:keepLines w:val="0"/>
              <w:widowControl w:val="0"/>
              <w:suppressLineNumbers w:val="0"/>
              <w:spacing w:before="0" w:beforeAutospacing="0" w:after="0" w:afterAutospacing="0" w:line="276" w:lineRule="auto"/>
              <w:ind w:left="72" w:leftChars="30" w:right="72" w:rightChars="30" w:firstLine="63" w:firstLineChars="30"/>
              <w:rPr>
                <w:rFonts w:hint="eastAsia" w:hAnsi="宋体" w:eastAsia="宋体" w:cs="宋体"/>
                <w:color w:val="auto"/>
                <w:sz w:val="21"/>
                <w:szCs w:val="21"/>
              </w:rPr>
            </w:pPr>
            <w:r>
              <w:rPr>
                <w:rFonts w:hint="eastAsia" w:hAnsi="宋体" w:cs="宋体"/>
                <w:color w:val="auto"/>
                <w:sz w:val="21"/>
                <w:szCs w:val="21"/>
                <w:lang w:val="en-US" w:eastAsia="zh-CN"/>
              </w:rPr>
              <w:t>1、</w:t>
            </w:r>
            <w:r>
              <w:rPr>
                <w:rFonts w:hint="eastAsia" w:hAnsi="宋体" w:eastAsia="宋体" w:cs="宋体"/>
                <w:color w:val="auto"/>
                <w:sz w:val="21"/>
                <w:szCs w:val="21"/>
              </w:rPr>
              <w:t>202</w:t>
            </w:r>
            <w:r>
              <w:rPr>
                <w:rFonts w:hint="eastAsia" w:hAnsi="宋体" w:cs="宋体"/>
                <w:color w:val="auto"/>
                <w:sz w:val="21"/>
                <w:szCs w:val="21"/>
                <w:lang w:val="en-US" w:eastAsia="zh-CN"/>
              </w:rPr>
              <w:t>0</w:t>
            </w:r>
            <w:r>
              <w:rPr>
                <w:rFonts w:hint="eastAsia" w:hAnsi="宋体" w:eastAsia="宋体" w:cs="宋体"/>
                <w:color w:val="auto"/>
                <w:sz w:val="21"/>
                <w:szCs w:val="21"/>
              </w:rPr>
              <w:t>年1月1日至今，投标人获得过省级（含副省级）或以上优秀工程造价成果奖的，每项得1分，最多得5分。</w:t>
            </w:r>
          </w:p>
          <w:p w14:paraId="040FFC49">
            <w:pPr>
              <w:pStyle w:val="2"/>
              <w:spacing w:after="181" w:afterLines="50" w:line="276" w:lineRule="auto"/>
              <w:ind w:left="72" w:leftChars="30" w:right="72" w:rightChars="30" w:firstLine="63" w:firstLineChars="30"/>
              <w:rPr>
                <w:rFonts w:hint="eastAsia"/>
                <w:color w:val="auto"/>
              </w:rPr>
            </w:pPr>
            <w:r>
              <w:rPr>
                <w:rFonts w:hint="eastAsia" w:hAnsi="宋体" w:eastAsia="宋体" w:cs="宋体"/>
                <w:color w:val="auto"/>
                <w:sz w:val="21"/>
                <w:szCs w:val="21"/>
              </w:rPr>
              <w:t>注：以国家、省、市政府或行业行政主管部门或相关行业协会颁发的获奖证书或获奖正式文件为准，提供相关证书原件扫描件。</w:t>
            </w:r>
          </w:p>
          <w:p w14:paraId="59608BEC">
            <w:pPr>
              <w:pStyle w:val="2"/>
              <w:spacing w:after="181" w:afterLines="50" w:line="276" w:lineRule="auto"/>
              <w:ind w:left="72" w:leftChars="30" w:right="72" w:rightChars="30" w:firstLine="63" w:firstLineChars="30"/>
              <w:rPr>
                <w:rFonts w:hint="eastAsia"/>
                <w:color w:val="auto"/>
              </w:rPr>
            </w:pPr>
            <w:r>
              <w:rPr>
                <w:rFonts w:hint="eastAsia" w:hAnsi="宋体" w:eastAsia="宋体" w:cs="宋体"/>
                <w:color w:val="auto"/>
                <w:sz w:val="21"/>
                <w:szCs w:val="21"/>
              </w:rPr>
              <w:t>如提供相关行业协会颁发的获奖证书或获奖正式文件，则须同时提供该行业协会在“全国社会组织信用信息公示平台”的登记信息查询结果网页截图</w:t>
            </w:r>
            <w:r>
              <w:rPr>
                <w:rFonts w:hint="eastAsia" w:hAnsi="宋体" w:cs="宋体"/>
                <w:color w:val="auto"/>
                <w:sz w:val="21"/>
                <w:szCs w:val="21"/>
                <w:lang w:eastAsia="zh-CN"/>
              </w:rPr>
              <w:t>。</w:t>
            </w:r>
            <w:r>
              <w:rPr>
                <w:rFonts w:hint="eastAsia" w:hAnsi="宋体" w:cs="宋体"/>
                <w:color w:val="auto"/>
                <w:sz w:val="21"/>
                <w:szCs w:val="21"/>
                <w:lang w:val="en-US" w:eastAsia="zh-CN"/>
              </w:rPr>
              <w:t>获奖时间</w:t>
            </w:r>
            <w:r>
              <w:rPr>
                <w:rFonts w:hint="eastAsia" w:hAnsi="宋体" w:eastAsia="宋体" w:cs="宋体"/>
                <w:color w:val="auto"/>
                <w:sz w:val="21"/>
                <w:szCs w:val="21"/>
              </w:rPr>
              <w:t>以证书颁发时间或官方正式文件发布时间或官方网站公布的时间为准。</w:t>
            </w:r>
          </w:p>
          <w:p w14:paraId="1636BEC5">
            <w:pPr>
              <w:pStyle w:val="2"/>
              <w:keepNext w:val="0"/>
              <w:keepLines w:val="0"/>
              <w:pageBreakBefore w:val="0"/>
              <w:wordWrap/>
              <w:overflowPunct/>
              <w:topLinePunct w:val="0"/>
              <w:bidi w:val="0"/>
              <w:spacing w:line="276" w:lineRule="auto"/>
              <w:ind w:left="72" w:leftChars="30" w:right="72" w:rightChars="30" w:firstLine="63" w:firstLineChars="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曾以主编或副主编身份参与过省级</w:t>
            </w:r>
            <w:r>
              <w:rPr>
                <w:rFonts w:hint="eastAsia" w:hAnsi="宋体" w:eastAsia="宋体" w:cs="宋体"/>
                <w:color w:val="auto"/>
                <w:sz w:val="21"/>
                <w:szCs w:val="21"/>
              </w:rPr>
              <w:t>（含副省级）</w:t>
            </w:r>
            <w:r>
              <w:rPr>
                <w:rFonts w:hint="eastAsia" w:ascii="宋体" w:hAnsi="宋体" w:eastAsia="宋体" w:cs="宋体"/>
                <w:color w:val="auto"/>
                <w:sz w:val="21"/>
                <w:szCs w:val="21"/>
                <w:highlight w:val="none"/>
                <w:lang w:val="en-US" w:eastAsia="zh-CN"/>
              </w:rPr>
              <w:t>或以上造价定额编制工作的，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分。 </w:t>
            </w:r>
          </w:p>
          <w:p w14:paraId="0795F5B2">
            <w:pPr>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cs="宋体"/>
                <w:color w:val="auto"/>
                <w:sz w:val="21"/>
                <w:szCs w:val="21"/>
              </w:rPr>
            </w:pPr>
            <w:r>
              <w:rPr>
                <w:rFonts w:ascii="宋体" w:hAnsi="宋体" w:eastAsia="宋体" w:cs="宋体"/>
                <w:color w:val="auto"/>
                <w:spacing w:val="-12"/>
                <w:sz w:val="21"/>
                <w:szCs w:val="21"/>
                <w:highlight w:val="none"/>
              </w:rPr>
              <w:t>注：</w:t>
            </w:r>
            <w:r>
              <w:rPr>
                <w:rFonts w:hint="eastAsia" w:ascii="宋体" w:hAnsi="宋体" w:eastAsia="宋体" w:cs="宋体"/>
                <w:color w:val="auto"/>
                <w:sz w:val="21"/>
                <w:szCs w:val="21"/>
                <w:highlight w:val="none"/>
              </w:rPr>
              <w:t>提供定额书目关键页，包含书目名称、出版或发布时间、显示单位等页的扫描件加盖公章；时间以出版或发布时间为准，没有提供或提供资料不齐全不得分</w:t>
            </w:r>
            <w:r>
              <w:rPr>
                <w:rFonts w:hint="eastAsia" w:ascii="宋体" w:hAnsi="宋体" w:eastAsia="宋体" w:cs="宋体"/>
                <w:color w:val="auto"/>
                <w:sz w:val="21"/>
                <w:szCs w:val="21"/>
                <w:highlight w:val="none"/>
                <w:lang w:eastAsia="zh-CN"/>
              </w:rPr>
              <w:t>。</w:t>
            </w:r>
          </w:p>
        </w:tc>
      </w:tr>
      <w:tr w14:paraId="344AD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vMerge w:val="continue"/>
            <w:noWrap w:val="0"/>
            <w:vAlign w:val="center"/>
          </w:tcPr>
          <w:p w14:paraId="1E522447">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p>
        </w:tc>
        <w:tc>
          <w:tcPr>
            <w:tcW w:w="1245" w:type="dxa"/>
            <w:vMerge w:val="continue"/>
            <w:noWrap w:val="0"/>
            <w:vAlign w:val="center"/>
          </w:tcPr>
          <w:p w14:paraId="76123A78">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p>
        </w:tc>
        <w:tc>
          <w:tcPr>
            <w:tcW w:w="600" w:type="dxa"/>
            <w:noWrap w:val="0"/>
            <w:vAlign w:val="center"/>
          </w:tcPr>
          <w:p w14:paraId="797BF4ED">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eastAsia="宋体" w:cs="宋体"/>
                <w:color w:val="auto"/>
                <w:sz w:val="21"/>
                <w:szCs w:val="21"/>
                <w:lang w:eastAsia="zh-CN"/>
              </w:rPr>
            </w:pPr>
            <w:r>
              <w:rPr>
                <w:rFonts w:hint="eastAsia" w:hAnsi="宋体" w:cs="宋体"/>
                <w:color w:val="auto"/>
                <w:sz w:val="21"/>
                <w:szCs w:val="21"/>
                <w:lang w:val="en-US" w:eastAsia="zh-CN"/>
              </w:rPr>
              <w:t>5</w:t>
            </w:r>
          </w:p>
        </w:tc>
        <w:tc>
          <w:tcPr>
            <w:tcW w:w="6347" w:type="dxa"/>
            <w:noWrap w:val="0"/>
            <w:vAlign w:val="center"/>
          </w:tcPr>
          <w:p w14:paraId="65B46965">
            <w:pPr>
              <w:pStyle w:val="14"/>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eastAsia="宋体" w:cs="宋体"/>
                <w:color w:val="auto"/>
                <w:sz w:val="21"/>
                <w:szCs w:val="21"/>
              </w:rPr>
            </w:pPr>
            <w:r>
              <w:rPr>
                <w:rFonts w:hint="eastAsia" w:hAnsi="宋体" w:eastAsia="宋体" w:cs="宋体"/>
                <w:color w:val="auto"/>
                <w:sz w:val="21"/>
                <w:szCs w:val="21"/>
              </w:rPr>
              <w:t>投标人具备质量管理体系、职业健康安全管理体系认证、环境管理体系认证</w:t>
            </w:r>
            <w:r>
              <w:rPr>
                <w:rFonts w:hint="eastAsia" w:hAnsi="宋体" w:cs="宋体"/>
                <w:color w:val="auto"/>
                <w:sz w:val="21"/>
                <w:szCs w:val="21"/>
                <w:lang w:eastAsia="zh-CN"/>
              </w:rPr>
              <w:t>、</w:t>
            </w:r>
            <w:r>
              <w:rPr>
                <w:rFonts w:hint="eastAsia" w:ascii="宋体" w:hAnsi="宋体" w:eastAsia="宋体" w:cs="宋体"/>
                <w:color w:val="auto"/>
                <w:sz w:val="21"/>
                <w:szCs w:val="21"/>
                <w:highlight w:val="none"/>
              </w:rPr>
              <w:t>信息安全管理体系、知识产权管理体系</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社会责任管理体系认证</w:t>
            </w:r>
            <w:r>
              <w:rPr>
                <w:rFonts w:hint="eastAsia" w:hAnsi="宋体" w:eastAsia="宋体" w:cs="宋体"/>
                <w:color w:val="auto"/>
                <w:sz w:val="21"/>
                <w:szCs w:val="21"/>
              </w:rPr>
              <w:t>证书：</w:t>
            </w:r>
          </w:p>
          <w:p w14:paraId="37C92B75">
            <w:pPr>
              <w:pStyle w:val="14"/>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eastAsia="宋体" w:cs="宋体"/>
                <w:color w:val="auto"/>
                <w:sz w:val="21"/>
                <w:szCs w:val="21"/>
              </w:rPr>
            </w:pPr>
            <w:r>
              <w:rPr>
                <w:rFonts w:hint="eastAsia" w:hAnsi="宋体" w:eastAsia="宋体" w:cs="宋体"/>
                <w:color w:val="auto"/>
                <w:sz w:val="21"/>
                <w:szCs w:val="21"/>
              </w:rPr>
              <w:t>具有上述</w:t>
            </w:r>
            <w:r>
              <w:rPr>
                <w:rFonts w:hint="eastAsia" w:hAnsi="宋体" w:cs="宋体"/>
                <w:color w:val="auto"/>
                <w:sz w:val="21"/>
                <w:szCs w:val="21"/>
                <w:lang w:val="en-US" w:eastAsia="zh-CN"/>
              </w:rPr>
              <w:t>6</w:t>
            </w:r>
            <w:r>
              <w:rPr>
                <w:rFonts w:hint="eastAsia" w:hAnsi="宋体" w:eastAsia="宋体" w:cs="宋体"/>
                <w:color w:val="auto"/>
                <w:sz w:val="21"/>
                <w:szCs w:val="21"/>
              </w:rPr>
              <w:t>个认证证书且在有效期内得5分；</w:t>
            </w:r>
          </w:p>
          <w:p w14:paraId="7323CB4F">
            <w:pPr>
              <w:pStyle w:val="14"/>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eastAsia="宋体" w:cs="宋体"/>
                <w:color w:val="auto"/>
                <w:sz w:val="21"/>
                <w:szCs w:val="21"/>
              </w:rPr>
            </w:pPr>
            <w:r>
              <w:rPr>
                <w:rFonts w:hint="eastAsia" w:hAnsi="宋体" w:eastAsia="宋体" w:cs="宋体"/>
                <w:color w:val="auto"/>
                <w:sz w:val="21"/>
                <w:szCs w:val="21"/>
              </w:rPr>
              <w:t>具有上述任意</w:t>
            </w:r>
            <w:r>
              <w:rPr>
                <w:rFonts w:hint="eastAsia" w:hAnsi="宋体" w:cs="宋体"/>
                <w:color w:val="auto"/>
                <w:sz w:val="21"/>
                <w:szCs w:val="21"/>
                <w:lang w:val="en-US" w:eastAsia="zh-CN"/>
              </w:rPr>
              <w:t>5</w:t>
            </w:r>
            <w:r>
              <w:rPr>
                <w:rFonts w:hint="eastAsia" w:hAnsi="宋体" w:eastAsia="宋体" w:cs="宋体"/>
                <w:color w:val="auto"/>
                <w:sz w:val="21"/>
                <w:szCs w:val="21"/>
              </w:rPr>
              <w:t>个认证证书且在有效期内得3分；</w:t>
            </w:r>
          </w:p>
          <w:p w14:paraId="632A3B85">
            <w:pPr>
              <w:pStyle w:val="14"/>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eastAsia="宋体" w:cs="宋体"/>
                <w:color w:val="auto"/>
                <w:sz w:val="21"/>
                <w:szCs w:val="21"/>
              </w:rPr>
            </w:pPr>
            <w:r>
              <w:rPr>
                <w:rFonts w:hint="eastAsia" w:hAnsi="宋体" w:eastAsia="宋体" w:cs="宋体"/>
                <w:color w:val="auto"/>
                <w:sz w:val="21"/>
                <w:szCs w:val="21"/>
              </w:rPr>
              <w:t>具有上述任意</w:t>
            </w:r>
            <w:r>
              <w:rPr>
                <w:rFonts w:hint="eastAsia" w:hAnsi="宋体" w:cs="宋体"/>
                <w:color w:val="auto"/>
                <w:sz w:val="21"/>
                <w:szCs w:val="21"/>
                <w:lang w:val="en-US" w:eastAsia="zh-CN"/>
              </w:rPr>
              <w:t>1-4</w:t>
            </w:r>
            <w:r>
              <w:rPr>
                <w:rFonts w:hint="eastAsia" w:hAnsi="宋体" w:eastAsia="宋体" w:cs="宋体"/>
                <w:color w:val="auto"/>
                <w:sz w:val="21"/>
                <w:szCs w:val="21"/>
              </w:rPr>
              <w:t>个认证证书且在有效期内得1分；</w:t>
            </w:r>
          </w:p>
          <w:p w14:paraId="2EBD67AF">
            <w:pPr>
              <w:pStyle w:val="14"/>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cs="宋体"/>
                <w:color w:val="auto"/>
                <w:sz w:val="21"/>
                <w:szCs w:val="21"/>
              </w:rPr>
            </w:pPr>
            <w:r>
              <w:rPr>
                <w:rFonts w:hint="eastAsia" w:hAnsi="宋体" w:eastAsia="宋体" w:cs="宋体"/>
                <w:color w:val="auto"/>
                <w:sz w:val="21"/>
                <w:szCs w:val="21"/>
              </w:rPr>
              <w:t>注：提供认证证书原件扫描件。不具备或不在有效期内的不得分。</w:t>
            </w:r>
          </w:p>
        </w:tc>
      </w:tr>
      <w:tr w14:paraId="50C18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vMerge w:val="continue"/>
            <w:noWrap w:val="0"/>
            <w:vAlign w:val="center"/>
          </w:tcPr>
          <w:p w14:paraId="2FEE499C">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p>
        </w:tc>
        <w:tc>
          <w:tcPr>
            <w:tcW w:w="1245" w:type="dxa"/>
            <w:noWrap w:val="0"/>
            <w:vAlign w:val="center"/>
          </w:tcPr>
          <w:p w14:paraId="46828ED9">
            <w:pPr>
              <w:keepNext w:val="0"/>
              <w:keepLines w:val="0"/>
              <w:widowControl w:val="0"/>
              <w:suppressLineNumbers w:val="0"/>
              <w:adjustRightInd w:val="0"/>
              <w:snapToGrid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r>
              <w:rPr>
                <w:rFonts w:hint="eastAsia" w:hAnsi="宋体" w:cs="宋体"/>
                <w:color w:val="auto"/>
                <w:sz w:val="21"/>
                <w:szCs w:val="21"/>
              </w:rPr>
              <w:t>工程造价咨询业绩</w:t>
            </w:r>
          </w:p>
          <w:p w14:paraId="0DC00379">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r>
              <w:rPr>
                <w:rFonts w:hint="eastAsia" w:hAnsi="宋体" w:cs="宋体"/>
                <w:color w:val="auto"/>
                <w:sz w:val="21"/>
                <w:szCs w:val="21"/>
              </w:rPr>
              <w:t>（1</w:t>
            </w:r>
            <w:r>
              <w:rPr>
                <w:rFonts w:hint="eastAsia" w:hAnsi="宋体" w:cs="宋体"/>
                <w:color w:val="auto"/>
                <w:sz w:val="21"/>
                <w:szCs w:val="21"/>
                <w:lang w:val="en-US" w:eastAsia="zh-CN"/>
              </w:rPr>
              <w:t>6</w:t>
            </w:r>
            <w:r>
              <w:rPr>
                <w:rFonts w:hint="eastAsia" w:hAnsi="宋体" w:cs="宋体"/>
                <w:color w:val="auto"/>
                <w:sz w:val="21"/>
                <w:szCs w:val="21"/>
              </w:rPr>
              <w:t>分）</w:t>
            </w:r>
          </w:p>
        </w:tc>
        <w:tc>
          <w:tcPr>
            <w:tcW w:w="600" w:type="dxa"/>
            <w:noWrap w:val="0"/>
            <w:vAlign w:val="center"/>
          </w:tcPr>
          <w:p w14:paraId="445646AC">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eastAsia="宋体" w:cs="宋体"/>
                <w:color w:val="auto"/>
                <w:sz w:val="21"/>
                <w:szCs w:val="21"/>
                <w:lang w:eastAsia="zh-CN"/>
              </w:rPr>
            </w:pPr>
            <w:r>
              <w:rPr>
                <w:rFonts w:hint="eastAsia" w:hAnsi="宋体" w:cs="宋体"/>
                <w:color w:val="auto"/>
                <w:sz w:val="21"/>
                <w:szCs w:val="21"/>
              </w:rPr>
              <w:t>1</w:t>
            </w:r>
            <w:r>
              <w:rPr>
                <w:rFonts w:hint="eastAsia" w:hAnsi="宋体" w:cs="宋体"/>
                <w:color w:val="auto"/>
                <w:sz w:val="21"/>
                <w:szCs w:val="21"/>
                <w:lang w:val="en-US" w:eastAsia="zh-CN"/>
              </w:rPr>
              <w:t>6</w:t>
            </w:r>
          </w:p>
        </w:tc>
        <w:tc>
          <w:tcPr>
            <w:tcW w:w="6347" w:type="dxa"/>
            <w:noWrap w:val="0"/>
            <w:vAlign w:val="center"/>
          </w:tcPr>
          <w:p w14:paraId="142E5E07">
            <w:pPr>
              <w:pStyle w:val="14"/>
              <w:keepNext w:val="0"/>
              <w:keepLines w:val="0"/>
              <w:widowControl w:val="0"/>
              <w:suppressLineNumbers w:val="0"/>
              <w:spacing w:before="0" w:beforeAutospacing="0" w:after="0" w:afterAutospacing="0" w:line="276" w:lineRule="auto"/>
              <w:ind w:left="72" w:leftChars="30" w:right="72" w:rightChars="30" w:firstLine="63" w:firstLineChars="30"/>
              <w:rPr>
                <w:rFonts w:hint="eastAsia" w:hAnsi="宋体" w:eastAsia="宋体" w:cs="宋体"/>
                <w:color w:val="auto"/>
                <w:sz w:val="21"/>
                <w:szCs w:val="21"/>
              </w:rPr>
            </w:pPr>
            <w:r>
              <w:rPr>
                <w:rFonts w:hint="eastAsia" w:hAnsi="宋体" w:eastAsia="宋体" w:cs="宋体"/>
                <w:color w:val="auto"/>
                <w:sz w:val="21"/>
                <w:szCs w:val="21"/>
              </w:rPr>
              <w:t>投标人自2020年1月1日起至今承接过：</w:t>
            </w:r>
          </w:p>
          <w:p w14:paraId="5A45F3E3">
            <w:pPr>
              <w:pStyle w:val="14"/>
              <w:keepNext w:val="0"/>
              <w:keepLines w:val="0"/>
              <w:widowControl w:val="0"/>
              <w:suppressLineNumbers w:val="0"/>
              <w:spacing w:before="0" w:beforeAutospacing="0" w:after="0" w:afterAutospacing="0" w:line="276" w:lineRule="auto"/>
              <w:ind w:left="72" w:leftChars="30" w:right="72" w:rightChars="30" w:firstLine="63" w:firstLineChars="30"/>
              <w:rPr>
                <w:rFonts w:hint="eastAsia" w:hAnsi="宋体" w:eastAsia="宋体" w:cs="宋体"/>
                <w:color w:val="auto"/>
                <w:sz w:val="21"/>
                <w:szCs w:val="21"/>
              </w:rPr>
            </w:pPr>
            <w:r>
              <w:rPr>
                <w:rFonts w:hint="eastAsia" w:hAnsi="宋体" w:eastAsia="宋体" w:cs="宋体"/>
                <w:color w:val="auto"/>
                <w:sz w:val="21"/>
                <w:szCs w:val="21"/>
              </w:rPr>
              <w:t>1、工程投资额或建安费10亿元（含）以上的房屋建筑类工程全过程造价咨询服务项目的，每项得2分，本小项最多得10分。</w:t>
            </w:r>
          </w:p>
          <w:p w14:paraId="701E963B">
            <w:pPr>
              <w:pStyle w:val="14"/>
              <w:keepNext w:val="0"/>
              <w:keepLines w:val="0"/>
              <w:widowControl w:val="0"/>
              <w:suppressLineNumbers w:val="0"/>
              <w:spacing w:before="0" w:beforeAutospacing="0" w:after="0" w:afterAutospacing="0" w:line="276" w:lineRule="auto"/>
              <w:ind w:left="72" w:leftChars="30" w:right="72" w:rightChars="30" w:firstLine="63" w:firstLineChars="30"/>
              <w:rPr>
                <w:rFonts w:hint="eastAsia" w:hAnsi="宋体" w:eastAsia="宋体" w:cs="宋体"/>
                <w:color w:val="auto"/>
                <w:sz w:val="21"/>
                <w:szCs w:val="21"/>
              </w:rPr>
            </w:pPr>
            <w:r>
              <w:rPr>
                <w:rFonts w:hint="eastAsia" w:hAnsi="宋体" w:eastAsia="宋体" w:cs="宋体"/>
                <w:color w:val="auto"/>
                <w:sz w:val="21"/>
                <w:szCs w:val="21"/>
              </w:rPr>
              <w:t>2、工程投资额或建安费5-10亿元的房屋建筑类工程全过程造价咨询服务项目的，每项得1分，本小项最多得6分。</w:t>
            </w:r>
          </w:p>
          <w:p w14:paraId="2636E106">
            <w:pPr>
              <w:pStyle w:val="14"/>
              <w:keepNext w:val="0"/>
              <w:keepLines w:val="0"/>
              <w:widowControl w:val="0"/>
              <w:suppressLineNumbers w:val="0"/>
              <w:spacing w:before="0" w:beforeAutospacing="0" w:after="0" w:afterAutospacing="0" w:line="276" w:lineRule="auto"/>
              <w:ind w:left="72" w:leftChars="30" w:right="72" w:rightChars="30" w:firstLine="63" w:firstLineChars="30"/>
              <w:rPr>
                <w:rFonts w:hint="eastAsia" w:hAnsi="宋体" w:eastAsia="宋体" w:cs="宋体"/>
                <w:color w:val="auto"/>
                <w:sz w:val="21"/>
                <w:szCs w:val="21"/>
              </w:rPr>
            </w:pPr>
            <w:r>
              <w:rPr>
                <w:rFonts w:hint="eastAsia" w:hAnsi="宋体" w:eastAsia="宋体" w:cs="宋体"/>
                <w:color w:val="auto"/>
                <w:sz w:val="21"/>
                <w:szCs w:val="21"/>
              </w:rPr>
              <w:t>以上合计最多得16分。</w:t>
            </w:r>
          </w:p>
          <w:p w14:paraId="395F9AC8">
            <w:pPr>
              <w:pStyle w:val="14"/>
              <w:keepNext w:val="0"/>
              <w:keepLines w:val="0"/>
              <w:widowControl w:val="0"/>
              <w:suppressLineNumbers w:val="0"/>
              <w:spacing w:before="0" w:beforeAutospacing="0" w:after="0" w:afterAutospacing="0" w:line="276" w:lineRule="auto"/>
              <w:ind w:left="72" w:leftChars="30" w:right="72" w:rightChars="30" w:firstLine="63" w:firstLineChars="30"/>
              <w:rPr>
                <w:rFonts w:hint="eastAsia" w:hAnsi="宋体" w:eastAsia="宋体" w:cs="宋体"/>
                <w:color w:val="auto"/>
                <w:sz w:val="21"/>
                <w:szCs w:val="21"/>
              </w:rPr>
            </w:pPr>
            <w:r>
              <w:rPr>
                <w:rFonts w:hint="eastAsia" w:hAnsi="宋体" w:eastAsia="宋体" w:cs="宋体"/>
                <w:color w:val="auto"/>
                <w:sz w:val="21"/>
                <w:szCs w:val="21"/>
              </w:rPr>
              <w:t>注：1.“全过程造价咨询服务”指造价咨询服务内容至少包括但不限于以下阶段：设计阶段、施工阶段、结算阶段。</w:t>
            </w:r>
          </w:p>
          <w:p w14:paraId="7C2651DB">
            <w:pPr>
              <w:pStyle w:val="14"/>
              <w:keepNext w:val="0"/>
              <w:keepLines w:val="0"/>
              <w:widowControl w:val="0"/>
              <w:suppressLineNumbers w:val="0"/>
              <w:spacing w:before="0" w:beforeAutospacing="0" w:after="0" w:afterAutospacing="0" w:line="276" w:lineRule="auto"/>
              <w:ind w:left="72" w:leftChars="30" w:right="72" w:rightChars="30" w:firstLine="63" w:firstLineChars="30"/>
              <w:rPr>
                <w:rFonts w:hint="eastAsia" w:hAnsi="宋体" w:cs="宋体"/>
                <w:color w:val="auto"/>
                <w:sz w:val="21"/>
                <w:szCs w:val="21"/>
              </w:rPr>
            </w:pPr>
            <w:r>
              <w:rPr>
                <w:rFonts w:hint="eastAsia" w:hAnsi="宋体" w:eastAsia="宋体" w:cs="宋体"/>
                <w:color w:val="auto"/>
                <w:sz w:val="21"/>
                <w:szCs w:val="21"/>
              </w:rPr>
              <w:t>2.提供咨询合同原件扫描件。业绩时间及金额均以咨询合同为准，证明材料不能反映项目金额和工作内容的需要另提供相关的证明文件，没有提供的不得分。</w:t>
            </w:r>
          </w:p>
        </w:tc>
      </w:tr>
      <w:tr w14:paraId="2251D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vMerge w:val="continue"/>
            <w:noWrap w:val="0"/>
            <w:vAlign w:val="center"/>
          </w:tcPr>
          <w:p w14:paraId="5B5A6CD7">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p>
        </w:tc>
        <w:tc>
          <w:tcPr>
            <w:tcW w:w="1245" w:type="dxa"/>
            <w:noWrap w:val="0"/>
            <w:vAlign w:val="center"/>
          </w:tcPr>
          <w:p w14:paraId="1A1EBAD8">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r>
              <w:rPr>
                <w:rFonts w:hint="eastAsia" w:hAnsi="宋体" w:cs="宋体"/>
                <w:color w:val="auto"/>
                <w:sz w:val="21"/>
                <w:szCs w:val="21"/>
              </w:rPr>
              <w:t>项目负责人水平</w:t>
            </w:r>
          </w:p>
          <w:p w14:paraId="4472D51B">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val="en-US" w:eastAsia="zh-CN"/>
              </w:rPr>
              <w:t>10</w:t>
            </w:r>
            <w:r>
              <w:rPr>
                <w:rFonts w:hint="eastAsia" w:hAnsi="宋体" w:cs="宋体"/>
                <w:color w:val="auto"/>
                <w:sz w:val="21"/>
                <w:szCs w:val="21"/>
              </w:rPr>
              <w:t>分）</w:t>
            </w:r>
          </w:p>
        </w:tc>
        <w:tc>
          <w:tcPr>
            <w:tcW w:w="600" w:type="dxa"/>
            <w:noWrap w:val="0"/>
            <w:vAlign w:val="center"/>
          </w:tcPr>
          <w:p w14:paraId="19E5AA32">
            <w:pPr>
              <w:pStyle w:val="14"/>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10</w:t>
            </w:r>
          </w:p>
        </w:tc>
        <w:tc>
          <w:tcPr>
            <w:tcW w:w="6347" w:type="dxa"/>
            <w:noWrap w:val="0"/>
            <w:vAlign w:val="center"/>
          </w:tcPr>
          <w:p w14:paraId="7FFAE8ED">
            <w:pPr>
              <w:pStyle w:val="14"/>
              <w:keepNext w:val="0"/>
              <w:keepLines w:val="0"/>
              <w:widowControl w:val="0"/>
              <w:suppressLineNumbers w:val="0"/>
              <w:spacing w:before="0" w:beforeAutospacing="0" w:after="0" w:afterAutospacing="0" w:line="276" w:lineRule="auto"/>
              <w:ind w:left="72" w:leftChars="30" w:right="72" w:rightChars="30" w:firstLine="63" w:firstLineChars="30"/>
              <w:rPr>
                <w:rFonts w:hint="eastAsia" w:hAnsi="宋体" w:eastAsia="宋体" w:cs="宋体"/>
                <w:color w:val="auto"/>
                <w:sz w:val="21"/>
                <w:szCs w:val="21"/>
              </w:rPr>
            </w:pPr>
            <w:r>
              <w:rPr>
                <w:rFonts w:hint="eastAsia" w:hAnsi="宋体" w:eastAsia="宋体" w:cs="宋体"/>
                <w:color w:val="auto"/>
                <w:sz w:val="21"/>
                <w:szCs w:val="21"/>
              </w:rPr>
              <w:t>1、</w:t>
            </w:r>
            <w:r>
              <w:rPr>
                <w:rFonts w:hint="eastAsia" w:hAnsi="宋体" w:cs="宋体"/>
                <w:color w:val="auto"/>
                <w:sz w:val="21"/>
                <w:szCs w:val="21"/>
                <w:lang w:val="en-US" w:eastAsia="zh-CN"/>
              </w:rPr>
              <w:t>同时</w:t>
            </w:r>
            <w:r>
              <w:rPr>
                <w:rFonts w:hint="eastAsia" w:hAnsi="宋体" w:eastAsia="宋体" w:cs="宋体"/>
                <w:color w:val="auto"/>
                <w:sz w:val="21"/>
                <w:szCs w:val="21"/>
              </w:rPr>
              <w:t>具有工程类专业高级工程师职称</w:t>
            </w:r>
            <w:r>
              <w:rPr>
                <w:rFonts w:hint="eastAsia" w:hAnsi="宋体" w:cs="宋体"/>
                <w:color w:val="auto"/>
                <w:sz w:val="21"/>
                <w:szCs w:val="21"/>
                <w:lang w:val="en-US" w:eastAsia="zh-CN"/>
              </w:rPr>
              <w:t>及</w:t>
            </w:r>
            <w:r>
              <w:rPr>
                <w:rFonts w:ascii="宋体" w:hAnsi="宋体" w:eastAsia="宋体" w:cs="宋体"/>
                <w:color w:val="auto"/>
                <w:sz w:val="21"/>
                <w:szCs w:val="21"/>
                <w:highlight w:val="none"/>
              </w:rPr>
              <w:t>注册造价工程师资格 (或注</w:t>
            </w:r>
            <w:r>
              <w:rPr>
                <w:rFonts w:ascii="宋体" w:hAnsi="宋体" w:eastAsia="宋体" w:cs="宋体"/>
                <w:color w:val="auto"/>
                <w:spacing w:val="-16"/>
                <w:sz w:val="21"/>
                <w:szCs w:val="21"/>
                <w:highlight w:val="none"/>
              </w:rPr>
              <w:t>册一</w:t>
            </w:r>
            <w:r>
              <w:rPr>
                <w:rFonts w:ascii="宋体" w:hAnsi="宋体" w:eastAsia="宋体" w:cs="宋体"/>
                <w:color w:val="auto"/>
                <w:spacing w:val="-8"/>
                <w:sz w:val="21"/>
                <w:szCs w:val="21"/>
                <w:highlight w:val="none"/>
              </w:rPr>
              <w:t>级造价工程师)</w:t>
            </w:r>
            <w:r>
              <w:rPr>
                <w:rFonts w:hint="eastAsia" w:hAnsi="宋体" w:eastAsia="宋体" w:cs="宋体"/>
                <w:color w:val="auto"/>
                <w:sz w:val="21"/>
                <w:szCs w:val="21"/>
              </w:rPr>
              <w:t>的得</w:t>
            </w:r>
            <w:r>
              <w:rPr>
                <w:rFonts w:hint="eastAsia" w:hAnsi="宋体" w:cs="宋体"/>
                <w:color w:val="auto"/>
                <w:sz w:val="21"/>
                <w:szCs w:val="21"/>
                <w:lang w:val="en-US" w:eastAsia="zh-CN"/>
              </w:rPr>
              <w:t>2</w:t>
            </w:r>
            <w:r>
              <w:rPr>
                <w:rFonts w:hint="eastAsia" w:hAnsi="宋体" w:eastAsia="宋体" w:cs="宋体"/>
                <w:color w:val="auto"/>
                <w:sz w:val="21"/>
                <w:szCs w:val="21"/>
              </w:rPr>
              <w:t>分；具有工程类专业</w:t>
            </w:r>
            <w:r>
              <w:rPr>
                <w:rFonts w:hint="eastAsia" w:hAnsi="宋体" w:cs="宋体"/>
                <w:color w:val="auto"/>
                <w:sz w:val="21"/>
                <w:szCs w:val="21"/>
                <w:lang w:val="en-US" w:eastAsia="zh-CN"/>
              </w:rPr>
              <w:t>中</w:t>
            </w:r>
            <w:r>
              <w:rPr>
                <w:rFonts w:hint="eastAsia" w:hAnsi="宋体" w:eastAsia="宋体" w:cs="宋体"/>
                <w:color w:val="auto"/>
                <w:sz w:val="21"/>
                <w:szCs w:val="21"/>
              </w:rPr>
              <w:t>级工程师技术职称</w:t>
            </w:r>
            <w:r>
              <w:rPr>
                <w:rFonts w:hint="eastAsia" w:hAnsi="宋体" w:cs="宋体"/>
                <w:color w:val="auto"/>
                <w:sz w:val="21"/>
                <w:szCs w:val="21"/>
                <w:lang w:val="en-US" w:eastAsia="zh-CN"/>
              </w:rPr>
              <w:t>及</w:t>
            </w:r>
            <w:r>
              <w:rPr>
                <w:rFonts w:ascii="宋体" w:hAnsi="宋体" w:eastAsia="宋体" w:cs="宋体"/>
                <w:color w:val="auto"/>
                <w:sz w:val="21"/>
                <w:szCs w:val="21"/>
                <w:highlight w:val="none"/>
              </w:rPr>
              <w:t>注册造价工程师资格(或注</w:t>
            </w:r>
            <w:r>
              <w:rPr>
                <w:rFonts w:ascii="宋体" w:hAnsi="宋体" w:eastAsia="宋体" w:cs="宋体"/>
                <w:color w:val="auto"/>
                <w:spacing w:val="-16"/>
                <w:sz w:val="21"/>
                <w:szCs w:val="21"/>
                <w:highlight w:val="none"/>
              </w:rPr>
              <w:t>册一</w:t>
            </w:r>
            <w:r>
              <w:rPr>
                <w:rFonts w:ascii="宋体" w:hAnsi="宋体" w:eastAsia="宋体" w:cs="宋体"/>
                <w:color w:val="auto"/>
                <w:spacing w:val="-8"/>
                <w:sz w:val="21"/>
                <w:szCs w:val="21"/>
                <w:highlight w:val="none"/>
              </w:rPr>
              <w:t>级造价工程师)</w:t>
            </w:r>
            <w:r>
              <w:rPr>
                <w:rFonts w:hint="eastAsia" w:hAnsi="宋体" w:eastAsia="宋体" w:cs="宋体"/>
                <w:color w:val="auto"/>
                <w:sz w:val="21"/>
                <w:szCs w:val="21"/>
              </w:rPr>
              <w:t>的得1分；其他不得分；本小项最高得</w:t>
            </w:r>
            <w:r>
              <w:rPr>
                <w:rFonts w:hint="eastAsia" w:hAnsi="宋体" w:cs="宋体"/>
                <w:color w:val="auto"/>
                <w:sz w:val="21"/>
                <w:szCs w:val="21"/>
                <w:lang w:val="en-US" w:eastAsia="zh-CN"/>
              </w:rPr>
              <w:t>2</w:t>
            </w:r>
            <w:r>
              <w:rPr>
                <w:rFonts w:hint="eastAsia" w:hAnsi="宋体" w:eastAsia="宋体" w:cs="宋体"/>
                <w:color w:val="auto"/>
                <w:sz w:val="21"/>
                <w:szCs w:val="21"/>
              </w:rPr>
              <w:t>分。</w:t>
            </w:r>
          </w:p>
          <w:p w14:paraId="0FC20625">
            <w:pPr>
              <w:pStyle w:val="14"/>
              <w:keepNext w:val="0"/>
              <w:keepLines w:val="0"/>
              <w:widowControl w:val="0"/>
              <w:suppressLineNumbers w:val="0"/>
              <w:spacing w:before="0" w:beforeAutospacing="0" w:after="0" w:afterAutospacing="0" w:line="276" w:lineRule="auto"/>
              <w:ind w:left="72" w:leftChars="30" w:right="72" w:rightChars="30" w:firstLine="63" w:firstLineChars="30"/>
              <w:rPr>
                <w:rFonts w:hint="eastAsia" w:hAnsi="宋体" w:eastAsia="宋体" w:cs="宋体"/>
                <w:color w:val="auto"/>
                <w:sz w:val="21"/>
                <w:szCs w:val="21"/>
              </w:rPr>
            </w:pPr>
            <w:r>
              <w:rPr>
                <w:rFonts w:hint="eastAsia" w:hAnsi="宋体" w:eastAsia="宋体" w:cs="宋体"/>
                <w:color w:val="auto"/>
                <w:sz w:val="21"/>
                <w:szCs w:val="21"/>
              </w:rPr>
              <w:t>2、</w:t>
            </w:r>
            <w:r>
              <w:rPr>
                <w:rFonts w:ascii="宋体" w:hAnsi="宋体" w:eastAsia="宋体" w:cs="宋体"/>
                <w:color w:val="auto"/>
                <w:spacing w:val="7"/>
                <w:sz w:val="21"/>
                <w:szCs w:val="21"/>
                <w:highlight w:val="none"/>
              </w:rPr>
              <w:t>取得注册造价工程师资格(或注册一级造价工程师)</w:t>
            </w:r>
            <w:r>
              <w:rPr>
                <w:rFonts w:hint="eastAsia" w:ascii="宋体" w:hAnsi="宋体" w:eastAsia="宋体" w:cs="宋体"/>
                <w:color w:val="auto"/>
                <w:spacing w:val="7"/>
                <w:sz w:val="21"/>
                <w:szCs w:val="21"/>
                <w:highlight w:val="none"/>
                <w:lang w:val="en-US" w:eastAsia="zh-CN"/>
              </w:rPr>
              <w:t>20</w:t>
            </w:r>
            <w:r>
              <w:rPr>
                <w:rFonts w:ascii="宋体" w:hAnsi="宋体" w:eastAsia="宋体" w:cs="宋体"/>
                <w:color w:val="auto"/>
                <w:spacing w:val="7"/>
                <w:sz w:val="21"/>
                <w:szCs w:val="21"/>
                <w:highlight w:val="none"/>
              </w:rPr>
              <w:t>年(含)或以</w:t>
            </w:r>
            <w:r>
              <w:rPr>
                <w:rFonts w:ascii="宋体" w:hAnsi="宋体" w:eastAsia="宋体" w:cs="宋体"/>
                <w:color w:val="auto"/>
                <w:spacing w:val="-9"/>
                <w:sz w:val="21"/>
                <w:szCs w:val="21"/>
                <w:highlight w:val="none"/>
              </w:rPr>
              <w:t>上得</w:t>
            </w:r>
            <w:r>
              <w:rPr>
                <w:rFonts w:hint="eastAsia" w:ascii="宋体" w:hAnsi="宋体" w:eastAsia="宋体" w:cs="宋体"/>
                <w:color w:val="auto"/>
                <w:spacing w:val="-9"/>
                <w:sz w:val="21"/>
                <w:szCs w:val="21"/>
                <w:highlight w:val="none"/>
                <w:lang w:val="en-US" w:eastAsia="zh-CN"/>
              </w:rPr>
              <w:t>2</w:t>
            </w:r>
            <w:r>
              <w:rPr>
                <w:rFonts w:ascii="宋体" w:hAnsi="宋体" w:eastAsia="宋体" w:cs="宋体"/>
                <w:color w:val="auto"/>
                <w:spacing w:val="-9"/>
                <w:sz w:val="21"/>
                <w:szCs w:val="21"/>
                <w:highlight w:val="none"/>
              </w:rPr>
              <w:t xml:space="preserve"> 分，10-1</w:t>
            </w:r>
            <w:r>
              <w:rPr>
                <w:rFonts w:hint="eastAsia" w:ascii="宋体" w:hAnsi="宋体" w:eastAsia="宋体" w:cs="宋体"/>
                <w:color w:val="auto"/>
                <w:spacing w:val="-9"/>
                <w:sz w:val="21"/>
                <w:szCs w:val="21"/>
                <w:highlight w:val="none"/>
                <w:lang w:val="en-US" w:eastAsia="zh-CN"/>
              </w:rPr>
              <w:t>9</w:t>
            </w:r>
            <w:r>
              <w:rPr>
                <w:rFonts w:ascii="宋体" w:hAnsi="宋体" w:eastAsia="宋体" w:cs="宋体"/>
                <w:color w:val="auto"/>
                <w:spacing w:val="-9"/>
                <w:sz w:val="21"/>
                <w:szCs w:val="21"/>
                <w:highlight w:val="none"/>
              </w:rPr>
              <w:t xml:space="preserve"> 年(含)得</w:t>
            </w:r>
            <w:r>
              <w:rPr>
                <w:rFonts w:hint="eastAsia" w:ascii="宋体" w:hAnsi="宋体" w:eastAsia="宋体" w:cs="宋体"/>
                <w:color w:val="auto"/>
                <w:spacing w:val="-9"/>
                <w:sz w:val="21"/>
                <w:szCs w:val="21"/>
                <w:highlight w:val="none"/>
                <w:lang w:val="en-US" w:eastAsia="zh-CN"/>
              </w:rPr>
              <w:t>1</w:t>
            </w:r>
            <w:r>
              <w:rPr>
                <w:rFonts w:ascii="宋体" w:hAnsi="宋体" w:eastAsia="宋体" w:cs="宋体"/>
                <w:color w:val="auto"/>
                <w:spacing w:val="-9"/>
                <w:sz w:val="21"/>
                <w:szCs w:val="21"/>
                <w:highlight w:val="none"/>
              </w:rPr>
              <w:t>分，5-9 年(含) 得</w:t>
            </w:r>
            <w:r>
              <w:rPr>
                <w:rFonts w:hint="eastAsia" w:ascii="宋体" w:hAnsi="宋体" w:eastAsia="宋体" w:cs="宋体"/>
                <w:color w:val="auto"/>
                <w:spacing w:val="-9"/>
                <w:sz w:val="21"/>
                <w:szCs w:val="21"/>
                <w:highlight w:val="none"/>
                <w:lang w:val="en-US" w:eastAsia="zh-CN"/>
              </w:rPr>
              <w:t>0.5</w:t>
            </w:r>
            <w:r>
              <w:rPr>
                <w:rFonts w:ascii="宋体" w:hAnsi="宋体" w:eastAsia="宋体" w:cs="宋体"/>
                <w:color w:val="auto"/>
                <w:spacing w:val="-9"/>
                <w:sz w:val="21"/>
                <w:szCs w:val="21"/>
                <w:highlight w:val="none"/>
              </w:rPr>
              <w:t>分，其他不得</w:t>
            </w:r>
            <w:r>
              <w:rPr>
                <w:rFonts w:ascii="宋体" w:hAnsi="宋体" w:eastAsia="宋体" w:cs="宋体"/>
                <w:color w:val="auto"/>
                <w:sz w:val="21"/>
                <w:szCs w:val="21"/>
                <w:highlight w:val="none"/>
              </w:rPr>
              <w:t>分</w:t>
            </w:r>
            <w:r>
              <w:rPr>
                <w:rFonts w:ascii="宋体" w:hAnsi="宋体" w:eastAsia="宋体" w:cs="宋体"/>
                <w:color w:val="auto"/>
                <w:spacing w:val="2"/>
                <w:sz w:val="21"/>
                <w:szCs w:val="21"/>
                <w:highlight w:val="none"/>
              </w:rPr>
              <w:t>(取得注册造价工程师注册证书时间以初始</w:t>
            </w:r>
            <w:r>
              <w:rPr>
                <w:rFonts w:ascii="宋体" w:hAnsi="宋体" w:eastAsia="宋体" w:cs="宋体"/>
                <w:color w:val="auto"/>
                <w:spacing w:val="1"/>
                <w:sz w:val="21"/>
                <w:szCs w:val="21"/>
                <w:highlight w:val="none"/>
              </w:rPr>
              <w:t>注册日期开始计算)；</w:t>
            </w:r>
            <w:r>
              <w:rPr>
                <w:rFonts w:hint="eastAsia" w:hAnsi="宋体" w:eastAsia="宋体" w:cs="宋体"/>
                <w:color w:val="auto"/>
                <w:sz w:val="21"/>
                <w:szCs w:val="21"/>
              </w:rPr>
              <w:t>本小项最高得</w:t>
            </w:r>
            <w:r>
              <w:rPr>
                <w:rFonts w:hint="eastAsia" w:hAnsi="宋体" w:cs="宋体"/>
                <w:color w:val="auto"/>
                <w:sz w:val="21"/>
                <w:szCs w:val="21"/>
                <w:lang w:val="en-US" w:eastAsia="zh-CN"/>
              </w:rPr>
              <w:t>2</w:t>
            </w:r>
            <w:r>
              <w:rPr>
                <w:rFonts w:hint="eastAsia" w:hAnsi="宋体" w:eastAsia="宋体" w:cs="宋体"/>
                <w:color w:val="auto"/>
                <w:sz w:val="21"/>
                <w:szCs w:val="21"/>
              </w:rPr>
              <w:t>分。</w:t>
            </w:r>
          </w:p>
          <w:p w14:paraId="0521317A">
            <w:pPr>
              <w:spacing w:line="276" w:lineRule="auto"/>
              <w:ind w:left="72" w:leftChars="30" w:right="72" w:rightChars="30" w:firstLine="72" w:firstLineChars="30"/>
              <w:rPr>
                <w:color w:val="auto"/>
              </w:rPr>
            </w:pPr>
            <w:r>
              <w:rPr>
                <w:rFonts w:hint="eastAsia"/>
                <w:color w:val="auto"/>
                <w:lang w:val="en-US" w:eastAsia="zh-CN"/>
              </w:rPr>
              <w:t>3、</w:t>
            </w:r>
            <w:r>
              <w:rPr>
                <w:rFonts w:hint="eastAsia" w:ascii="宋体" w:hAnsi="宋体" w:eastAsia="宋体" w:cs="宋体"/>
                <w:color w:val="auto"/>
                <w:spacing w:val="-14"/>
                <w:sz w:val="21"/>
                <w:szCs w:val="21"/>
                <w:highlight w:val="none"/>
              </w:rPr>
              <w:t>获得省级</w:t>
            </w:r>
            <w:r>
              <w:rPr>
                <w:rFonts w:hint="eastAsia" w:hAnsi="宋体" w:eastAsia="宋体" w:cs="宋体"/>
                <w:color w:val="auto"/>
                <w:sz w:val="21"/>
                <w:szCs w:val="21"/>
              </w:rPr>
              <w:t>（含副省级）</w:t>
            </w:r>
            <w:r>
              <w:rPr>
                <w:rFonts w:hint="eastAsia" w:ascii="宋体" w:hAnsi="宋体" w:eastAsia="宋体" w:cs="宋体"/>
                <w:color w:val="auto"/>
                <w:spacing w:val="-14"/>
                <w:sz w:val="21"/>
                <w:szCs w:val="21"/>
                <w:highlight w:val="none"/>
              </w:rPr>
              <w:t>或以上造价协会颁发的优秀</w:t>
            </w:r>
            <w:r>
              <w:rPr>
                <w:rFonts w:hint="eastAsia" w:ascii="宋体" w:hAnsi="宋体" w:eastAsia="宋体" w:cs="宋体"/>
                <w:color w:val="auto"/>
                <w:spacing w:val="-14"/>
                <w:sz w:val="21"/>
                <w:szCs w:val="21"/>
                <w:highlight w:val="none"/>
                <w:lang w:val="en-US" w:eastAsia="zh-CN"/>
              </w:rPr>
              <w:t>造价工程师</w:t>
            </w:r>
            <w:r>
              <w:rPr>
                <w:rFonts w:hint="eastAsia" w:ascii="宋体" w:hAnsi="宋体" w:eastAsia="宋体" w:cs="宋体"/>
                <w:color w:val="auto"/>
                <w:spacing w:val="-14"/>
                <w:sz w:val="21"/>
                <w:szCs w:val="21"/>
                <w:highlight w:val="none"/>
              </w:rPr>
              <w:t>荣誉的，得</w:t>
            </w:r>
            <w:r>
              <w:rPr>
                <w:rFonts w:hint="eastAsia" w:ascii="宋体" w:hAnsi="宋体" w:eastAsia="宋体" w:cs="宋体"/>
                <w:color w:val="auto"/>
                <w:spacing w:val="-14"/>
                <w:sz w:val="21"/>
                <w:szCs w:val="21"/>
                <w:highlight w:val="none"/>
                <w:lang w:val="en-US" w:eastAsia="zh-CN"/>
              </w:rPr>
              <w:t>1</w:t>
            </w:r>
            <w:r>
              <w:rPr>
                <w:rFonts w:hint="eastAsia" w:ascii="宋体" w:hAnsi="宋体" w:eastAsia="宋体" w:cs="宋体"/>
                <w:color w:val="auto"/>
                <w:spacing w:val="-14"/>
                <w:sz w:val="21"/>
                <w:szCs w:val="21"/>
                <w:highlight w:val="none"/>
              </w:rPr>
              <w:t>分</w:t>
            </w:r>
            <w:r>
              <w:rPr>
                <w:rFonts w:hint="eastAsia" w:ascii="宋体" w:hAnsi="宋体" w:eastAsia="宋体" w:cs="宋体"/>
                <w:color w:val="auto"/>
                <w:spacing w:val="-14"/>
                <w:sz w:val="21"/>
                <w:szCs w:val="21"/>
                <w:highlight w:val="none"/>
                <w:lang w:eastAsia="zh-CN"/>
              </w:rPr>
              <w:t>；</w:t>
            </w:r>
          </w:p>
          <w:p w14:paraId="31B0D48E">
            <w:pPr>
              <w:spacing w:line="240" w:lineRule="auto"/>
              <w:ind w:firstLine="0" w:firstLineChars="0"/>
              <w:rPr>
                <w:color w:val="auto"/>
              </w:rPr>
            </w:pPr>
            <w:r>
              <w:rPr>
                <w:rFonts w:hint="eastAsia" w:ascii="宋体" w:hAnsi="宋体" w:eastAsia="宋体" w:cs="宋体"/>
                <w:color w:val="auto"/>
                <w:spacing w:val="-14"/>
                <w:sz w:val="21"/>
                <w:szCs w:val="21"/>
                <w:highlight w:val="none"/>
                <w:lang w:val="en-US" w:eastAsia="zh-CN"/>
              </w:rPr>
              <w:t>4、自2020年 1 月 1 日至今曾作为项目负责人参与过的房屋建筑工程全过程造价咨询服务业绩：工程投资额或建安费10亿元（含）以上的得5分；工程投资额或建安费5-10亿元的得2分，本小项最多得5分。</w:t>
            </w:r>
          </w:p>
          <w:p w14:paraId="70A6C07C">
            <w:pPr>
              <w:pStyle w:val="14"/>
              <w:keepNext w:val="0"/>
              <w:keepLines w:val="0"/>
              <w:widowControl w:val="0"/>
              <w:suppressLineNumbers w:val="0"/>
              <w:spacing w:before="0" w:beforeAutospacing="0" w:after="0" w:afterAutospacing="0" w:line="276" w:lineRule="auto"/>
              <w:ind w:left="72" w:leftChars="30" w:right="72" w:rightChars="30" w:firstLine="62" w:firstLineChars="30"/>
              <w:rPr>
                <w:rFonts w:hint="eastAsia" w:hAnsi="宋体" w:eastAsia="宋体" w:cs="宋体"/>
                <w:color w:val="auto"/>
                <w:sz w:val="21"/>
                <w:szCs w:val="21"/>
              </w:rPr>
            </w:pPr>
            <w:r>
              <w:rPr>
                <w:rFonts w:ascii="宋体" w:hAnsi="宋体" w:eastAsia="宋体" w:cs="宋体"/>
                <w:color w:val="auto"/>
                <w:spacing w:val="-1"/>
                <w:sz w:val="21"/>
                <w:szCs w:val="21"/>
                <w:highlight w:val="none"/>
              </w:rPr>
              <w:t>注：</w:t>
            </w:r>
            <w:r>
              <w:rPr>
                <w:rFonts w:ascii="宋体" w:hAnsi="宋体" w:eastAsia="宋体" w:cs="宋体"/>
                <w:color w:val="auto"/>
                <w:sz w:val="21"/>
                <w:szCs w:val="21"/>
                <w:highlight w:val="none"/>
              </w:rPr>
              <w:t>提供业绩合同</w:t>
            </w:r>
            <w:r>
              <w:rPr>
                <w:rFonts w:hint="eastAsia" w:ascii="宋体" w:hAnsi="宋体" w:eastAsia="宋体" w:cs="宋体"/>
                <w:color w:val="auto"/>
                <w:sz w:val="21"/>
                <w:szCs w:val="21"/>
                <w:highlight w:val="none"/>
                <w:lang w:val="en-US" w:eastAsia="zh-CN"/>
              </w:rPr>
              <w:t>扫描</w:t>
            </w:r>
            <w:r>
              <w:rPr>
                <w:rFonts w:ascii="宋体" w:hAnsi="宋体" w:eastAsia="宋体" w:cs="宋体"/>
                <w:color w:val="auto"/>
                <w:sz w:val="21"/>
                <w:szCs w:val="21"/>
                <w:highlight w:val="none"/>
              </w:rPr>
              <w:t>件</w:t>
            </w:r>
            <w:r>
              <w:rPr>
                <w:rFonts w:hint="eastAsia" w:ascii="宋体" w:hAnsi="宋体" w:eastAsia="宋体" w:cs="宋体"/>
                <w:color w:val="auto"/>
                <w:sz w:val="21"/>
                <w:szCs w:val="21"/>
                <w:highlight w:val="none"/>
                <w:lang w:val="en-US" w:eastAsia="zh-CN"/>
              </w:rPr>
              <w:t>或中标通知书</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合同需体现项目负责人，否则</w:t>
            </w:r>
            <w:r>
              <w:rPr>
                <w:rFonts w:ascii="宋体" w:hAnsi="宋体" w:eastAsia="宋体" w:cs="宋体"/>
                <w:color w:val="auto"/>
                <w:sz w:val="21"/>
                <w:szCs w:val="21"/>
                <w:highlight w:val="none"/>
              </w:rPr>
              <w:t>须提交能体现项目负责人业绩的证明材</w:t>
            </w:r>
            <w:r>
              <w:rPr>
                <w:rFonts w:ascii="宋体" w:hAnsi="宋体" w:eastAsia="宋体" w:cs="宋体"/>
                <w:color w:val="auto"/>
                <w:spacing w:val="-1"/>
                <w:sz w:val="21"/>
                <w:szCs w:val="21"/>
                <w:highlight w:val="none"/>
              </w:rPr>
              <w:t>料</w:t>
            </w:r>
            <w:r>
              <w:rPr>
                <w:rFonts w:hint="eastAsia" w:ascii="宋体" w:hAnsi="宋体" w:eastAsia="宋体" w:cs="宋体"/>
                <w:color w:val="auto"/>
                <w:sz w:val="21"/>
                <w:szCs w:val="21"/>
                <w:highlight w:val="none"/>
                <w:lang w:val="en-US" w:eastAsia="zh-CN"/>
              </w:rPr>
              <w:t>扫描件</w:t>
            </w:r>
            <w:r>
              <w:rPr>
                <w:rFonts w:ascii="宋体" w:hAnsi="宋体" w:eastAsia="宋体" w:cs="宋体"/>
                <w:color w:val="auto"/>
                <w:sz w:val="21"/>
                <w:szCs w:val="21"/>
                <w:highlight w:val="none"/>
              </w:rPr>
              <w:t>。全过程</w:t>
            </w:r>
            <w:r>
              <w:rPr>
                <w:rFonts w:hint="eastAsia" w:hAnsi="宋体" w:eastAsia="宋体" w:cs="宋体"/>
                <w:color w:val="auto"/>
                <w:sz w:val="21"/>
                <w:szCs w:val="21"/>
              </w:rPr>
              <w:t>至少包括但不限于以下阶段：</w:t>
            </w:r>
            <w:r>
              <w:rPr>
                <w:rFonts w:hint="eastAsia" w:hAnsi="宋体" w:cs="宋体"/>
                <w:color w:val="auto"/>
                <w:sz w:val="21"/>
                <w:szCs w:val="21"/>
                <w:lang w:val="en-US" w:eastAsia="zh-CN"/>
              </w:rPr>
              <w:t>设计</w:t>
            </w:r>
            <w:r>
              <w:rPr>
                <w:rFonts w:hint="eastAsia" w:hAnsi="宋体" w:eastAsia="宋体" w:cs="宋体"/>
                <w:color w:val="auto"/>
                <w:sz w:val="21"/>
                <w:szCs w:val="21"/>
              </w:rPr>
              <w:t>阶段、施工阶段、结算阶段。</w:t>
            </w:r>
          </w:p>
          <w:p w14:paraId="7E86439E">
            <w:pPr>
              <w:numPr>
                <w:ilvl w:val="0"/>
                <w:numId w:val="0"/>
              </w:numPr>
              <w:kinsoku w:val="0"/>
              <w:autoSpaceDE w:val="0"/>
              <w:autoSpaceDN w:val="0"/>
              <w:adjustRightInd w:val="0"/>
              <w:snapToGrid w:val="0"/>
              <w:spacing w:line="276" w:lineRule="auto"/>
              <w:ind w:left="72" w:leftChars="30" w:right="72" w:rightChars="30" w:firstLine="63" w:firstLineChars="30"/>
              <w:textAlignment w:val="baseline"/>
              <w:rPr>
                <w:rFonts w:hint="default" w:ascii="宋体" w:hAnsi="宋体" w:eastAsia="宋体" w:cs="宋体"/>
                <w:color w:val="auto"/>
                <w:spacing w:val="-14"/>
                <w:sz w:val="21"/>
                <w:szCs w:val="21"/>
                <w:highlight w:val="none"/>
                <w:lang w:val="en-US" w:eastAsia="zh-CN"/>
              </w:rPr>
            </w:pPr>
            <w:r>
              <w:rPr>
                <w:rFonts w:ascii="宋体" w:hAnsi="宋体" w:eastAsia="宋体" w:cs="宋体"/>
                <w:color w:val="auto"/>
                <w:sz w:val="21"/>
                <w:szCs w:val="21"/>
                <w:highlight w:val="none"/>
              </w:rPr>
              <w:t>同一合同分为不同标段的只作一项计算。同一项目只计算一次</w:t>
            </w:r>
            <w:r>
              <w:rPr>
                <w:rFonts w:ascii="宋体" w:hAnsi="宋体" w:eastAsia="宋体" w:cs="宋体"/>
                <w:color w:val="auto"/>
                <w:spacing w:val="-16"/>
                <w:sz w:val="21"/>
                <w:szCs w:val="21"/>
                <w:highlight w:val="none"/>
              </w:rPr>
              <w:t>得</w:t>
            </w:r>
            <w:r>
              <w:rPr>
                <w:rFonts w:ascii="宋体" w:hAnsi="宋体" w:eastAsia="宋体" w:cs="宋体"/>
                <w:color w:val="auto"/>
                <w:spacing w:val="-12"/>
                <w:sz w:val="21"/>
                <w:szCs w:val="21"/>
                <w:highlight w:val="none"/>
              </w:rPr>
              <w:t>分，不重复计算。</w:t>
            </w:r>
          </w:p>
          <w:p w14:paraId="54DC1996">
            <w:pPr>
              <w:pStyle w:val="14"/>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cs="宋体"/>
                <w:color w:val="auto"/>
                <w:sz w:val="21"/>
                <w:szCs w:val="21"/>
              </w:rPr>
            </w:pPr>
            <w:r>
              <w:rPr>
                <w:rFonts w:hint="eastAsia" w:hAnsi="宋体" w:eastAsia="宋体" w:cs="宋体"/>
                <w:color w:val="auto"/>
                <w:sz w:val="21"/>
                <w:szCs w:val="21"/>
              </w:rPr>
              <w:t>注：提供项目负责人的职称证书、注册造价工程师注册证、执业资格证书、荣誉证书扫描件</w:t>
            </w:r>
            <w:r>
              <w:rPr>
                <w:rFonts w:hint="eastAsia" w:hAnsi="宋体" w:cs="宋体"/>
                <w:color w:val="auto"/>
                <w:sz w:val="21"/>
                <w:szCs w:val="21"/>
                <w:lang w:eastAsia="zh-CN"/>
              </w:rPr>
              <w:t>，</w:t>
            </w:r>
            <w:r>
              <w:rPr>
                <w:rFonts w:hint="eastAsia" w:hAnsi="宋体" w:cs="宋体"/>
                <w:color w:val="auto"/>
                <w:sz w:val="21"/>
                <w:szCs w:val="21"/>
                <w:lang w:val="en-US" w:eastAsia="zh-CN"/>
              </w:rPr>
              <w:t>业绩证明材料</w:t>
            </w:r>
            <w:r>
              <w:rPr>
                <w:rFonts w:hint="eastAsia" w:hAnsi="宋体" w:eastAsia="宋体" w:cs="宋体"/>
                <w:color w:val="auto"/>
                <w:sz w:val="21"/>
                <w:szCs w:val="21"/>
              </w:rPr>
              <w:t>。</w:t>
            </w:r>
          </w:p>
        </w:tc>
      </w:tr>
      <w:tr w14:paraId="30C7A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vMerge w:val="continue"/>
            <w:noWrap w:val="0"/>
            <w:vAlign w:val="top"/>
          </w:tcPr>
          <w:p w14:paraId="573D5EF0">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p>
        </w:tc>
        <w:tc>
          <w:tcPr>
            <w:tcW w:w="1245" w:type="dxa"/>
            <w:noWrap w:val="0"/>
            <w:vAlign w:val="center"/>
          </w:tcPr>
          <w:p w14:paraId="27ED9A29">
            <w:pPr>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r>
              <w:rPr>
                <w:rFonts w:hint="eastAsia" w:hAnsi="宋体" w:cs="宋体"/>
                <w:color w:val="auto"/>
                <w:sz w:val="21"/>
                <w:szCs w:val="21"/>
              </w:rPr>
              <w:t>项目团队</w:t>
            </w:r>
          </w:p>
          <w:p w14:paraId="2B3971BE">
            <w:pPr>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eastAsia"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val="en-US" w:eastAsia="zh-CN"/>
              </w:rPr>
              <w:t>14</w:t>
            </w:r>
            <w:r>
              <w:rPr>
                <w:rFonts w:hint="eastAsia" w:hAnsi="宋体" w:cs="宋体"/>
                <w:color w:val="auto"/>
                <w:sz w:val="21"/>
                <w:szCs w:val="21"/>
              </w:rPr>
              <w:t>分）</w:t>
            </w:r>
          </w:p>
        </w:tc>
        <w:tc>
          <w:tcPr>
            <w:tcW w:w="600" w:type="dxa"/>
            <w:noWrap w:val="0"/>
            <w:vAlign w:val="center"/>
          </w:tcPr>
          <w:p w14:paraId="35BF78D0">
            <w:pPr>
              <w:keepNext w:val="0"/>
              <w:keepLines w:val="0"/>
              <w:widowControl w:val="0"/>
              <w:suppressLineNumbers w:val="0"/>
              <w:spacing w:before="0" w:beforeAutospacing="0" w:after="0" w:afterAutospacing="0" w:line="340" w:lineRule="exact"/>
              <w:ind w:left="72" w:leftChars="30" w:right="72" w:rightChars="30" w:firstLine="0" w:firstLineChars="0"/>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14</w:t>
            </w:r>
          </w:p>
        </w:tc>
        <w:tc>
          <w:tcPr>
            <w:tcW w:w="6347" w:type="dxa"/>
            <w:noWrap w:val="0"/>
            <w:vAlign w:val="center"/>
          </w:tcPr>
          <w:p w14:paraId="09B010E0">
            <w:pPr>
              <w:keepNext w:val="0"/>
              <w:keepLines w:val="0"/>
              <w:pageBreakBefore w:val="0"/>
              <w:widowControl/>
              <w:kinsoku w:val="0"/>
              <w:wordWrap/>
              <w:overflowPunct/>
              <w:topLinePunct w:val="0"/>
              <w:autoSpaceDE w:val="0"/>
              <w:autoSpaceDN w:val="0"/>
              <w:bidi w:val="0"/>
              <w:adjustRightInd w:val="0"/>
              <w:snapToGrid w:val="0"/>
              <w:spacing w:line="276" w:lineRule="auto"/>
              <w:ind w:left="72" w:leftChars="30" w:right="72" w:rightChars="30" w:firstLine="51" w:firstLineChars="30"/>
              <w:textAlignment w:val="baseline"/>
              <w:rPr>
                <w:rFonts w:ascii="宋体" w:hAnsi="宋体" w:eastAsia="宋体" w:cs="宋体"/>
                <w:color w:val="auto"/>
                <w:spacing w:val="-10"/>
                <w:sz w:val="21"/>
                <w:szCs w:val="21"/>
                <w:highlight w:val="none"/>
              </w:rPr>
            </w:pPr>
            <w:r>
              <w:rPr>
                <w:rFonts w:ascii="宋体" w:hAnsi="宋体" w:eastAsia="宋体" w:cs="宋体"/>
                <w:color w:val="auto"/>
                <w:spacing w:val="-20"/>
                <w:sz w:val="21"/>
                <w:szCs w:val="21"/>
                <w:highlight w:val="none"/>
              </w:rPr>
              <w:t>1</w:t>
            </w:r>
            <w:r>
              <w:rPr>
                <w:rFonts w:ascii="宋体" w:hAnsi="宋体" w:eastAsia="宋体" w:cs="宋体"/>
                <w:color w:val="auto"/>
                <w:spacing w:val="-10"/>
                <w:sz w:val="21"/>
                <w:szCs w:val="21"/>
                <w:highlight w:val="none"/>
              </w:rPr>
              <w:t>.除项目负责人外，本项目拟配备服务人员至少为</w:t>
            </w:r>
            <w:r>
              <w:rPr>
                <w:rFonts w:hint="eastAsia" w:ascii="宋体" w:hAnsi="宋体" w:eastAsia="宋体" w:cs="宋体"/>
                <w:color w:val="auto"/>
                <w:spacing w:val="-10"/>
                <w:sz w:val="21"/>
                <w:szCs w:val="21"/>
                <w:highlight w:val="none"/>
                <w:lang w:val="en-US" w:eastAsia="zh-CN"/>
              </w:rPr>
              <w:t>7</w:t>
            </w:r>
            <w:r>
              <w:rPr>
                <w:rFonts w:ascii="宋体" w:hAnsi="宋体" w:eastAsia="宋体" w:cs="宋体"/>
                <w:color w:val="auto"/>
                <w:spacing w:val="-10"/>
                <w:sz w:val="21"/>
                <w:szCs w:val="21"/>
                <w:highlight w:val="none"/>
              </w:rPr>
              <w:t>名，其中不少于</w:t>
            </w:r>
            <w:r>
              <w:rPr>
                <w:rFonts w:hint="eastAsia" w:ascii="宋体" w:hAnsi="宋体" w:eastAsia="宋体" w:cs="宋体"/>
                <w:color w:val="auto"/>
                <w:spacing w:val="-10"/>
                <w:sz w:val="21"/>
                <w:szCs w:val="21"/>
                <w:highlight w:val="none"/>
                <w:lang w:val="en-US" w:eastAsia="zh-CN"/>
              </w:rPr>
              <w:t>6</w:t>
            </w:r>
            <w:r>
              <w:rPr>
                <w:rFonts w:ascii="宋体" w:hAnsi="宋体" w:eastAsia="宋体" w:cs="宋体"/>
                <w:color w:val="auto"/>
                <w:spacing w:val="-10"/>
                <w:sz w:val="21"/>
                <w:szCs w:val="21"/>
                <w:highlight w:val="none"/>
              </w:rPr>
              <w:t>名注册造价工程师</w:t>
            </w:r>
            <w:r>
              <w:rPr>
                <w:rFonts w:hint="default" w:ascii="宋体" w:hAnsi="宋体" w:eastAsia="宋体" w:cs="宋体"/>
                <w:color w:val="auto"/>
                <w:spacing w:val="-10"/>
                <w:sz w:val="21"/>
                <w:szCs w:val="21"/>
                <w:highlight w:val="none"/>
              </w:rPr>
              <w:t>（或注册一级造价工程师）</w:t>
            </w:r>
            <w:r>
              <w:rPr>
                <w:rFonts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3</w:t>
            </w:r>
            <w:r>
              <w:rPr>
                <w:rFonts w:ascii="宋体" w:hAnsi="宋体" w:eastAsia="宋体" w:cs="宋体"/>
                <w:color w:val="auto"/>
                <w:spacing w:val="-10"/>
                <w:sz w:val="21"/>
                <w:szCs w:val="21"/>
                <w:highlight w:val="none"/>
              </w:rPr>
              <w:t>名土建专业、</w:t>
            </w:r>
            <w:r>
              <w:rPr>
                <w:rFonts w:hint="eastAsia" w:ascii="宋体" w:hAnsi="宋体" w:eastAsia="宋体" w:cs="宋体"/>
                <w:color w:val="auto"/>
                <w:spacing w:val="-10"/>
                <w:sz w:val="21"/>
                <w:szCs w:val="21"/>
                <w:highlight w:val="none"/>
                <w:lang w:val="en-US" w:eastAsia="zh-CN"/>
              </w:rPr>
              <w:t>3</w:t>
            </w:r>
            <w:r>
              <w:rPr>
                <w:rFonts w:ascii="宋体" w:hAnsi="宋体" w:eastAsia="宋体" w:cs="宋体"/>
                <w:color w:val="auto"/>
                <w:spacing w:val="-10"/>
                <w:sz w:val="21"/>
                <w:szCs w:val="21"/>
                <w:highlight w:val="none"/>
              </w:rPr>
              <w:t>名安装专业)；其他为</w:t>
            </w:r>
            <w:r>
              <w:rPr>
                <w:rFonts w:hint="default" w:ascii="宋体" w:hAnsi="宋体" w:eastAsia="宋体" w:cs="宋体"/>
                <w:color w:val="auto"/>
                <w:spacing w:val="-10"/>
                <w:sz w:val="21"/>
                <w:szCs w:val="21"/>
                <w:highlight w:val="none"/>
                <w:lang w:val="en-US" w:eastAsia="zh-CN"/>
              </w:rPr>
              <w:t>二级</w:t>
            </w:r>
            <w:r>
              <w:rPr>
                <w:rFonts w:hint="eastAsia" w:hAnsi="宋体" w:cs="宋体"/>
                <w:color w:val="auto"/>
                <w:spacing w:val="-10"/>
                <w:sz w:val="21"/>
                <w:szCs w:val="21"/>
                <w:highlight w:val="none"/>
                <w:lang w:val="en-US" w:eastAsia="zh-CN"/>
              </w:rPr>
              <w:t>或以上</w:t>
            </w:r>
            <w:r>
              <w:rPr>
                <w:rFonts w:hint="default" w:ascii="宋体" w:hAnsi="宋体" w:eastAsia="宋体" w:cs="宋体"/>
                <w:color w:val="auto"/>
                <w:spacing w:val="-10"/>
                <w:sz w:val="21"/>
                <w:szCs w:val="21"/>
                <w:highlight w:val="none"/>
                <w:lang w:val="en-US" w:eastAsia="zh-CN"/>
              </w:rPr>
              <w:t>造价工程师</w:t>
            </w:r>
            <w:r>
              <w:rPr>
                <w:rFonts w:ascii="宋体" w:hAnsi="宋体" w:eastAsia="宋体" w:cs="宋体"/>
                <w:color w:val="auto"/>
                <w:spacing w:val="-10"/>
                <w:sz w:val="21"/>
                <w:szCs w:val="21"/>
                <w:highlight w:val="none"/>
              </w:rPr>
              <w:t>。在满足以上条件的前提下：</w:t>
            </w:r>
          </w:p>
          <w:p w14:paraId="14C2F428">
            <w:pPr>
              <w:keepNext w:val="0"/>
              <w:keepLines w:val="0"/>
              <w:pageBreakBefore w:val="0"/>
              <w:widowControl/>
              <w:kinsoku w:val="0"/>
              <w:wordWrap/>
              <w:overflowPunct/>
              <w:topLinePunct w:val="0"/>
              <w:autoSpaceDE w:val="0"/>
              <w:autoSpaceDN w:val="0"/>
              <w:bidi w:val="0"/>
              <w:adjustRightInd w:val="0"/>
              <w:snapToGrid w:val="0"/>
              <w:spacing w:line="276" w:lineRule="auto"/>
              <w:ind w:left="72" w:leftChars="30" w:right="72" w:rightChars="30" w:firstLine="57" w:firstLineChars="30"/>
              <w:textAlignment w:val="baseline"/>
              <w:rPr>
                <w:rFonts w:hint="default" w:ascii="宋体" w:hAnsi="宋体" w:eastAsia="宋体" w:cs="宋体"/>
                <w:color w:val="auto"/>
                <w:spacing w:val="-10"/>
                <w:sz w:val="21"/>
                <w:szCs w:val="21"/>
                <w:highlight w:val="none"/>
                <w:lang w:eastAsia="zh-CN"/>
              </w:rPr>
            </w:pPr>
            <w:r>
              <w:rPr>
                <w:rFonts w:ascii="宋体" w:hAnsi="宋体" w:eastAsia="宋体" w:cs="宋体"/>
                <w:color w:val="auto"/>
                <w:spacing w:val="-10"/>
                <w:sz w:val="21"/>
                <w:szCs w:val="21"/>
                <w:highlight w:val="none"/>
              </w:rPr>
              <w:t>(1)每增加</w:t>
            </w:r>
            <w:r>
              <w:rPr>
                <w:rFonts w:hint="default" w:ascii="宋体" w:hAnsi="宋体" w:eastAsia="宋体" w:cs="宋体"/>
                <w:color w:val="auto"/>
                <w:spacing w:val="-10"/>
                <w:sz w:val="21"/>
                <w:szCs w:val="21"/>
                <w:highlight w:val="none"/>
                <w:lang w:val="en-US" w:eastAsia="zh-CN"/>
              </w:rPr>
              <w:t>1</w:t>
            </w:r>
            <w:r>
              <w:rPr>
                <w:rFonts w:ascii="宋体" w:hAnsi="宋体" w:eastAsia="宋体" w:cs="宋体"/>
                <w:color w:val="auto"/>
                <w:spacing w:val="-10"/>
                <w:sz w:val="21"/>
                <w:szCs w:val="21"/>
                <w:highlight w:val="none"/>
              </w:rPr>
              <w:t>名注册造价工程师</w:t>
            </w:r>
            <w:r>
              <w:rPr>
                <w:rFonts w:hint="default" w:ascii="宋体" w:hAnsi="宋体" w:eastAsia="宋体" w:cs="宋体"/>
                <w:color w:val="auto"/>
                <w:spacing w:val="-10"/>
                <w:sz w:val="21"/>
                <w:szCs w:val="21"/>
                <w:highlight w:val="none"/>
              </w:rPr>
              <w:t>（或注册一级造价工程师）</w:t>
            </w:r>
            <w:r>
              <w:rPr>
                <w:rFonts w:ascii="宋体" w:hAnsi="宋体" w:eastAsia="宋体" w:cs="宋体"/>
                <w:color w:val="auto"/>
                <w:spacing w:val="-10"/>
                <w:sz w:val="21"/>
                <w:szCs w:val="21"/>
                <w:highlight w:val="none"/>
              </w:rPr>
              <w:t>加</w:t>
            </w:r>
            <w:r>
              <w:rPr>
                <w:rFonts w:hint="default" w:ascii="宋体" w:hAnsi="宋体" w:eastAsia="宋体" w:cs="宋体"/>
                <w:color w:val="auto"/>
                <w:spacing w:val="-10"/>
                <w:sz w:val="21"/>
                <w:szCs w:val="21"/>
                <w:highlight w:val="none"/>
                <w:lang w:val="en-US" w:eastAsia="zh-CN"/>
              </w:rPr>
              <w:t>0.3</w:t>
            </w:r>
            <w:r>
              <w:rPr>
                <w:rFonts w:ascii="宋体" w:hAnsi="宋体" w:eastAsia="宋体" w:cs="宋体"/>
                <w:color w:val="auto"/>
                <w:spacing w:val="-10"/>
                <w:sz w:val="21"/>
                <w:szCs w:val="21"/>
                <w:highlight w:val="none"/>
              </w:rPr>
              <w:t>分</w:t>
            </w:r>
            <w:r>
              <w:rPr>
                <w:rFonts w:hint="default"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最多</w:t>
            </w:r>
            <w:r>
              <w:rPr>
                <w:rFonts w:hint="eastAsia" w:hAnsi="宋体" w:cs="宋体"/>
                <w:color w:val="auto"/>
                <w:spacing w:val="-10"/>
                <w:sz w:val="21"/>
                <w:szCs w:val="21"/>
                <w:highlight w:val="none"/>
                <w:lang w:val="en-US" w:eastAsia="zh-CN"/>
              </w:rPr>
              <w:t>加</w:t>
            </w:r>
            <w:r>
              <w:rPr>
                <w:rFonts w:hint="default" w:ascii="宋体" w:hAnsi="宋体" w:eastAsia="宋体" w:cs="宋体"/>
                <w:color w:val="auto"/>
                <w:spacing w:val="-10"/>
                <w:sz w:val="21"/>
                <w:szCs w:val="21"/>
                <w:highlight w:val="none"/>
                <w:lang w:val="en-US" w:eastAsia="zh-CN"/>
              </w:rPr>
              <w:t>3</w:t>
            </w:r>
            <w:r>
              <w:rPr>
                <w:rFonts w:ascii="宋体" w:hAnsi="宋体" w:eastAsia="宋体" w:cs="宋体"/>
                <w:color w:val="auto"/>
                <w:spacing w:val="-10"/>
                <w:sz w:val="21"/>
                <w:szCs w:val="21"/>
                <w:highlight w:val="none"/>
              </w:rPr>
              <w:t>分</w:t>
            </w:r>
            <w:r>
              <w:rPr>
                <w:rFonts w:hint="default" w:ascii="宋体" w:hAnsi="宋体" w:eastAsia="宋体" w:cs="宋体"/>
                <w:color w:val="auto"/>
                <w:spacing w:val="-10"/>
                <w:sz w:val="21"/>
                <w:szCs w:val="21"/>
                <w:highlight w:val="none"/>
                <w:lang w:eastAsia="zh-CN"/>
              </w:rPr>
              <w:t>；</w:t>
            </w:r>
          </w:p>
          <w:p w14:paraId="5BEF3D71">
            <w:pPr>
              <w:keepNext w:val="0"/>
              <w:keepLines w:val="0"/>
              <w:pageBreakBefore w:val="0"/>
              <w:widowControl/>
              <w:kinsoku w:val="0"/>
              <w:wordWrap/>
              <w:overflowPunct/>
              <w:topLinePunct w:val="0"/>
              <w:autoSpaceDE w:val="0"/>
              <w:autoSpaceDN w:val="0"/>
              <w:bidi w:val="0"/>
              <w:adjustRightInd w:val="0"/>
              <w:snapToGrid w:val="0"/>
              <w:spacing w:line="276" w:lineRule="auto"/>
              <w:ind w:left="72" w:leftChars="30" w:right="72" w:rightChars="30" w:firstLine="57" w:firstLineChars="30"/>
              <w:textAlignment w:val="baseline"/>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(2) 每增加 1 名</w:t>
            </w:r>
            <w:r>
              <w:rPr>
                <w:rFonts w:hint="default" w:ascii="宋体" w:hAnsi="宋体" w:eastAsia="宋体" w:cs="宋体"/>
                <w:color w:val="auto"/>
                <w:spacing w:val="-10"/>
                <w:sz w:val="21"/>
                <w:szCs w:val="21"/>
                <w:highlight w:val="none"/>
                <w:lang w:val="en-US" w:eastAsia="zh-CN"/>
              </w:rPr>
              <w:t>二级造价工程师</w:t>
            </w:r>
            <w:r>
              <w:rPr>
                <w:rFonts w:ascii="宋体" w:hAnsi="宋体" w:eastAsia="宋体" w:cs="宋体"/>
                <w:color w:val="auto"/>
                <w:spacing w:val="-10"/>
                <w:sz w:val="21"/>
                <w:szCs w:val="21"/>
                <w:highlight w:val="none"/>
              </w:rPr>
              <w:t>加</w:t>
            </w:r>
            <w:r>
              <w:rPr>
                <w:rFonts w:hint="default" w:ascii="宋体" w:hAnsi="宋体" w:eastAsia="宋体" w:cs="宋体"/>
                <w:color w:val="auto"/>
                <w:spacing w:val="-10"/>
                <w:sz w:val="21"/>
                <w:szCs w:val="21"/>
                <w:highlight w:val="none"/>
                <w:lang w:val="en-US" w:eastAsia="zh-CN"/>
              </w:rPr>
              <w:t>0.2</w:t>
            </w:r>
            <w:r>
              <w:rPr>
                <w:rFonts w:ascii="宋体" w:hAnsi="宋体" w:eastAsia="宋体" w:cs="宋体"/>
                <w:color w:val="auto"/>
                <w:spacing w:val="-10"/>
                <w:sz w:val="21"/>
                <w:szCs w:val="21"/>
                <w:highlight w:val="none"/>
              </w:rPr>
              <w:t>分，最多</w:t>
            </w:r>
            <w:r>
              <w:rPr>
                <w:rFonts w:hint="eastAsia" w:hAnsi="宋体" w:cs="宋体"/>
                <w:color w:val="auto"/>
                <w:spacing w:val="-10"/>
                <w:sz w:val="21"/>
                <w:szCs w:val="21"/>
                <w:highlight w:val="none"/>
                <w:lang w:val="en-US" w:eastAsia="zh-CN"/>
              </w:rPr>
              <w:t>加</w:t>
            </w:r>
            <w:r>
              <w:rPr>
                <w:rFonts w:hint="default" w:ascii="宋体" w:hAnsi="宋体" w:eastAsia="宋体" w:cs="宋体"/>
                <w:color w:val="auto"/>
                <w:spacing w:val="-10"/>
                <w:sz w:val="21"/>
                <w:szCs w:val="21"/>
                <w:highlight w:val="none"/>
                <w:lang w:val="en-US" w:eastAsia="zh-CN"/>
              </w:rPr>
              <w:t>2</w:t>
            </w:r>
            <w:r>
              <w:rPr>
                <w:rFonts w:ascii="宋体" w:hAnsi="宋体" w:eastAsia="宋体" w:cs="宋体"/>
                <w:color w:val="auto"/>
                <w:spacing w:val="-10"/>
                <w:sz w:val="21"/>
                <w:szCs w:val="21"/>
                <w:highlight w:val="none"/>
              </w:rPr>
              <w:t>分；                   2.除项目负责人外，本项目拟配备服务人员，具有工程造价类高级或以上职称的，每人另加 1 分；本</w:t>
            </w:r>
            <w:r>
              <w:rPr>
                <w:rFonts w:hint="default" w:ascii="宋体" w:hAnsi="宋体" w:eastAsia="宋体" w:cs="宋体"/>
                <w:color w:val="auto"/>
                <w:spacing w:val="-10"/>
                <w:sz w:val="21"/>
                <w:szCs w:val="21"/>
                <w:highlight w:val="none"/>
              </w:rPr>
              <w:t>小</w:t>
            </w:r>
            <w:r>
              <w:rPr>
                <w:rFonts w:ascii="宋体" w:hAnsi="宋体" w:eastAsia="宋体" w:cs="宋体"/>
                <w:color w:val="auto"/>
                <w:spacing w:val="-10"/>
                <w:sz w:val="21"/>
                <w:szCs w:val="21"/>
                <w:highlight w:val="none"/>
              </w:rPr>
              <w:t>项最多</w:t>
            </w:r>
            <w:r>
              <w:rPr>
                <w:rFonts w:hint="eastAsia" w:hAnsi="宋体" w:cs="宋体"/>
                <w:color w:val="auto"/>
                <w:spacing w:val="-10"/>
                <w:sz w:val="21"/>
                <w:szCs w:val="21"/>
                <w:highlight w:val="none"/>
                <w:lang w:val="en-US" w:eastAsia="zh-CN"/>
              </w:rPr>
              <w:t>加</w:t>
            </w:r>
            <w:r>
              <w:rPr>
                <w:rFonts w:hint="default" w:ascii="宋体" w:hAnsi="宋体" w:eastAsia="宋体" w:cs="宋体"/>
                <w:color w:val="auto"/>
                <w:spacing w:val="-10"/>
                <w:sz w:val="21"/>
                <w:szCs w:val="21"/>
                <w:highlight w:val="none"/>
                <w:lang w:val="en-US" w:eastAsia="zh-CN"/>
              </w:rPr>
              <w:t>4</w:t>
            </w:r>
            <w:r>
              <w:rPr>
                <w:rFonts w:ascii="宋体" w:hAnsi="宋体" w:eastAsia="宋体" w:cs="宋体"/>
                <w:color w:val="auto"/>
                <w:spacing w:val="-10"/>
                <w:sz w:val="21"/>
                <w:szCs w:val="21"/>
                <w:highlight w:val="none"/>
              </w:rPr>
              <w:t>分；</w:t>
            </w:r>
          </w:p>
          <w:p w14:paraId="0951EF2E">
            <w:pPr>
              <w:keepNext w:val="0"/>
              <w:keepLines w:val="0"/>
              <w:pageBreakBefore w:val="0"/>
              <w:widowControl/>
              <w:kinsoku w:val="0"/>
              <w:wordWrap/>
              <w:overflowPunct/>
              <w:topLinePunct w:val="0"/>
              <w:autoSpaceDE w:val="0"/>
              <w:autoSpaceDN w:val="0"/>
              <w:bidi w:val="0"/>
              <w:adjustRightInd w:val="0"/>
              <w:snapToGrid w:val="0"/>
              <w:spacing w:line="276" w:lineRule="auto"/>
              <w:ind w:left="72" w:leftChars="30" w:right="72" w:rightChars="30" w:firstLine="57" w:firstLineChars="30"/>
              <w:textAlignment w:val="baseline"/>
              <w:rPr>
                <w:rFonts w:hint="default" w:ascii="宋体" w:hAnsi="宋体" w:eastAsia="宋体" w:cs="宋体"/>
                <w:color w:val="auto"/>
                <w:spacing w:val="-10"/>
                <w:sz w:val="21"/>
                <w:szCs w:val="21"/>
                <w:highlight w:val="none"/>
                <w:lang w:val="en-US" w:eastAsia="zh-CN"/>
              </w:rPr>
            </w:pPr>
            <w:r>
              <w:rPr>
                <w:rFonts w:hint="default" w:ascii="宋体" w:hAnsi="宋体" w:eastAsia="宋体" w:cs="宋体"/>
                <w:color w:val="auto"/>
                <w:spacing w:val="-10"/>
                <w:sz w:val="21"/>
                <w:szCs w:val="21"/>
                <w:highlight w:val="none"/>
              </w:rPr>
              <w:t>3.投入的</w:t>
            </w:r>
            <w:r>
              <w:rPr>
                <w:rFonts w:hint="default" w:ascii="宋体" w:hAnsi="宋体" w:eastAsia="宋体" w:cs="宋体"/>
                <w:color w:val="auto"/>
                <w:spacing w:val="-10"/>
                <w:sz w:val="21"/>
                <w:szCs w:val="21"/>
                <w:highlight w:val="none"/>
                <w:lang w:val="en-US" w:eastAsia="zh-CN"/>
              </w:rPr>
              <w:t>专业</w:t>
            </w:r>
            <w:r>
              <w:rPr>
                <w:rFonts w:hint="default" w:ascii="宋体" w:hAnsi="宋体" w:eastAsia="宋体" w:cs="宋体"/>
                <w:color w:val="auto"/>
                <w:spacing w:val="-10"/>
                <w:sz w:val="21"/>
                <w:szCs w:val="21"/>
                <w:highlight w:val="none"/>
              </w:rPr>
              <w:t>人员中，自</w:t>
            </w:r>
            <w:r>
              <w:rPr>
                <w:rFonts w:hint="default" w:ascii="宋体" w:hAnsi="宋体" w:eastAsia="宋体" w:cs="宋体"/>
                <w:color w:val="auto"/>
                <w:spacing w:val="-10"/>
                <w:sz w:val="21"/>
                <w:szCs w:val="21"/>
                <w:highlight w:val="none"/>
                <w:lang w:val="en-US" w:eastAsia="zh-CN"/>
              </w:rPr>
              <w:t>202</w:t>
            </w:r>
            <w:r>
              <w:rPr>
                <w:rFonts w:hint="eastAsia" w:ascii="宋体" w:hAnsi="宋体" w:eastAsia="宋体" w:cs="宋体"/>
                <w:color w:val="auto"/>
                <w:spacing w:val="-10"/>
                <w:sz w:val="21"/>
                <w:szCs w:val="21"/>
                <w:highlight w:val="none"/>
                <w:lang w:val="en-US" w:eastAsia="zh-CN"/>
              </w:rPr>
              <w:t>0</w:t>
            </w:r>
            <w:r>
              <w:rPr>
                <w:rFonts w:hint="default" w:ascii="宋体" w:hAnsi="宋体" w:eastAsia="宋体" w:cs="宋体"/>
                <w:color w:val="auto"/>
                <w:spacing w:val="-10"/>
                <w:sz w:val="21"/>
                <w:szCs w:val="21"/>
                <w:highlight w:val="none"/>
                <w:lang w:val="en-US" w:eastAsia="zh-CN"/>
              </w:rPr>
              <w:t xml:space="preserve"> </w:t>
            </w:r>
            <w:r>
              <w:rPr>
                <w:rFonts w:hint="default" w:ascii="宋体" w:hAnsi="宋体" w:eastAsia="宋体" w:cs="宋体"/>
                <w:color w:val="auto"/>
                <w:spacing w:val="-10"/>
                <w:sz w:val="21"/>
                <w:szCs w:val="21"/>
                <w:highlight w:val="none"/>
              </w:rPr>
              <w:t>年1月1日至今获得市级或以上造价协</w:t>
            </w:r>
            <w:r>
              <w:rPr>
                <w:rFonts w:hint="default" w:ascii="宋体" w:hAnsi="宋体" w:eastAsia="宋体" w:cs="宋体"/>
                <w:color w:val="auto"/>
                <w:spacing w:val="-10"/>
                <w:sz w:val="21"/>
                <w:szCs w:val="21"/>
                <w:highlight w:val="none"/>
                <w:lang w:val="en-US" w:eastAsia="zh-CN"/>
              </w:rPr>
              <w:t>会颁发的优秀造价工程师</w:t>
            </w:r>
            <w:r>
              <w:rPr>
                <w:rFonts w:hint="eastAsia" w:hAnsi="宋体" w:cs="宋体"/>
                <w:color w:val="auto"/>
                <w:spacing w:val="-10"/>
                <w:sz w:val="21"/>
                <w:szCs w:val="21"/>
                <w:highlight w:val="none"/>
                <w:lang w:val="en-US" w:eastAsia="zh-CN"/>
              </w:rPr>
              <w:t>（含</w:t>
            </w:r>
            <w:r>
              <w:rPr>
                <w:rFonts w:hint="default" w:ascii="宋体" w:hAnsi="宋体" w:eastAsia="宋体" w:cs="宋体"/>
                <w:color w:val="auto"/>
                <w:spacing w:val="-10"/>
                <w:sz w:val="21"/>
                <w:szCs w:val="21"/>
                <w:highlight w:val="none"/>
                <w:lang w:val="en-US" w:eastAsia="zh-CN"/>
              </w:rPr>
              <w:t>一级或二级</w:t>
            </w:r>
            <w:r>
              <w:rPr>
                <w:rFonts w:hint="eastAsia" w:hAnsi="宋体" w:cs="宋体"/>
                <w:color w:val="auto"/>
                <w:spacing w:val="-10"/>
                <w:sz w:val="21"/>
                <w:szCs w:val="21"/>
                <w:highlight w:val="none"/>
                <w:lang w:val="en-US" w:eastAsia="zh-CN"/>
              </w:rPr>
              <w:t>）</w:t>
            </w:r>
            <w:r>
              <w:rPr>
                <w:rFonts w:hint="default" w:ascii="宋体" w:hAnsi="宋体" w:eastAsia="宋体" w:cs="宋体"/>
                <w:color w:val="auto"/>
                <w:spacing w:val="-10"/>
                <w:sz w:val="21"/>
                <w:szCs w:val="21"/>
                <w:highlight w:val="none"/>
                <w:lang w:val="en-US" w:eastAsia="zh-CN"/>
              </w:rPr>
              <w:t>荣誉的，每人得0.3分，本小项最多得2分。</w:t>
            </w:r>
          </w:p>
          <w:p w14:paraId="19B7E3DC">
            <w:pPr>
              <w:keepNext w:val="0"/>
              <w:keepLines w:val="0"/>
              <w:pageBreakBefore w:val="0"/>
              <w:widowControl/>
              <w:kinsoku w:val="0"/>
              <w:wordWrap/>
              <w:overflowPunct/>
              <w:topLinePunct w:val="0"/>
              <w:autoSpaceDE w:val="0"/>
              <w:autoSpaceDN w:val="0"/>
              <w:bidi w:val="0"/>
              <w:adjustRightInd w:val="0"/>
              <w:snapToGrid w:val="0"/>
              <w:spacing w:line="276" w:lineRule="auto"/>
              <w:ind w:left="72" w:leftChars="30" w:right="72" w:rightChars="30" w:firstLine="63" w:firstLineChars="3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4.拟投入本项目的人员：曾以主编或副主编身份参与过省级</w:t>
            </w:r>
            <w:r>
              <w:rPr>
                <w:rFonts w:hint="eastAsia" w:hAnsi="宋体" w:eastAsia="宋体" w:cs="宋体"/>
                <w:color w:val="auto"/>
                <w:sz w:val="21"/>
                <w:szCs w:val="21"/>
              </w:rPr>
              <w:t>（含副省级）</w:t>
            </w:r>
            <w:r>
              <w:rPr>
                <w:rFonts w:hint="eastAsia" w:ascii="宋体" w:hAnsi="宋体" w:eastAsia="宋体" w:cs="宋体"/>
                <w:color w:val="auto"/>
                <w:sz w:val="21"/>
                <w:szCs w:val="21"/>
                <w:highlight w:val="none"/>
                <w:lang w:val="en-US" w:eastAsia="zh-CN"/>
              </w:rPr>
              <w:t>或以上定额编制的，每人得1分；曾以编制人员或技术专家身份参与过省级</w:t>
            </w:r>
            <w:r>
              <w:rPr>
                <w:rFonts w:hint="eastAsia" w:hAnsi="宋体" w:eastAsia="宋体" w:cs="宋体"/>
                <w:color w:val="auto"/>
                <w:sz w:val="21"/>
                <w:szCs w:val="21"/>
              </w:rPr>
              <w:t>（含副省级）</w:t>
            </w:r>
            <w:r>
              <w:rPr>
                <w:rFonts w:hint="eastAsia" w:ascii="宋体" w:hAnsi="宋体" w:eastAsia="宋体" w:cs="宋体"/>
                <w:color w:val="auto"/>
                <w:sz w:val="21"/>
                <w:szCs w:val="21"/>
                <w:highlight w:val="none"/>
                <w:lang w:val="en-US" w:eastAsia="zh-CN"/>
              </w:rPr>
              <w:t>或以上定额编制的，每人得0.5分；同一人员只按最高等级计算一次，本小项最多得3分。</w:t>
            </w:r>
          </w:p>
          <w:p w14:paraId="7F55F9CF">
            <w:pPr>
              <w:keepNext w:val="0"/>
              <w:keepLines w:val="0"/>
              <w:pageBreakBefore w:val="0"/>
              <w:widowControl/>
              <w:kinsoku w:val="0"/>
              <w:wordWrap/>
              <w:overflowPunct/>
              <w:topLinePunct w:val="0"/>
              <w:autoSpaceDE w:val="0"/>
              <w:autoSpaceDN w:val="0"/>
              <w:bidi w:val="0"/>
              <w:adjustRightInd w:val="0"/>
              <w:snapToGrid w:val="0"/>
              <w:spacing w:line="276" w:lineRule="auto"/>
              <w:ind w:left="72" w:leftChars="30" w:right="72" w:rightChars="30" w:firstLine="63" w:firstLineChars="3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本项总分最高得 14 分。</w:t>
            </w:r>
          </w:p>
          <w:p w14:paraId="08883EB8">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ascii="宋体" w:hAnsi="宋体" w:eastAsia="宋体" w:cs="宋体"/>
                <w:color w:val="auto"/>
                <w:spacing w:val="-12"/>
                <w:sz w:val="21"/>
                <w:szCs w:val="21"/>
                <w:highlight w:val="none"/>
              </w:rPr>
              <w:t>注：</w:t>
            </w:r>
            <w:r>
              <w:rPr>
                <w:rFonts w:hint="eastAsia" w:ascii="宋体" w:hAnsi="宋体" w:eastAsia="宋体" w:cs="宋体"/>
                <w:color w:val="auto"/>
                <w:spacing w:val="-12"/>
                <w:sz w:val="21"/>
                <w:szCs w:val="21"/>
                <w:highlight w:val="none"/>
                <w:lang w:val="en-US" w:eastAsia="zh-CN"/>
              </w:rPr>
              <w:t>1）</w:t>
            </w:r>
            <w:r>
              <w:rPr>
                <w:rFonts w:ascii="宋体" w:hAnsi="宋体" w:eastAsia="宋体" w:cs="宋体"/>
                <w:color w:val="auto"/>
                <w:spacing w:val="-12"/>
                <w:sz w:val="21"/>
                <w:szCs w:val="21"/>
                <w:highlight w:val="none"/>
              </w:rPr>
              <w:t>提供相关证书</w:t>
            </w:r>
            <w:r>
              <w:rPr>
                <w:rFonts w:hint="eastAsia" w:hAnsi="宋体" w:cs="宋体"/>
                <w:color w:val="auto"/>
                <w:spacing w:val="-12"/>
                <w:sz w:val="21"/>
                <w:szCs w:val="21"/>
                <w:highlight w:val="none"/>
                <w:lang w:val="en-US" w:eastAsia="zh-CN"/>
              </w:rPr>
              <w:t>扫描</w:t>
            </w:r>
            <w:r>
              <w:rPr>
                <w:rFonts w:ascii="宋体" w:hAnsi="宋体" w:eastAsia="宋体" w:cs="宋体"/>
                <w:color w:val="auto"/>
                <w:spacing w:val="-12"/>
                <w:sz w:val="21"/>
                <w:szCs w:val="21"/>
                <w:highlight w:val="none"/>
              </w:rPr>
              <w:t>件并加盖公章，</w:t>
            </w:r>
            <w:r>
              <w:rPr>
                <w:rFonts w:hint="eastAsia" w:ascii="宋体" w:hAnsi="宋体" w:eastAsia="宋体" w:cs="宋体"/>
                <w:color w:val="auto"/>
                <w:spacing w:val="-12"/>
                <w:sz w:val="21"/>
                <w:szCs w:val="21"/>
                <w:highlight w:val="none"/>
                <w:lang w:val="en-US" w:eastAsia="zh-CN"/>
              </w:rPr>
              <w:t>2）</w:t>
            </w:r>
            <w:r>
              <w:rPr>
                <w:rFonts w:ascii="宋体" w:hAnsi="宋体" w:eastAsia="宋体" w:cs="宋体"/>
                <w:color w:val="auto"/>
                <w:spacing w:val="-12"/>
                <w:sz w:val="21"/>
                <w:szCs w:val="21"/>
                <w:highlight w:val="none"/>
              </w:rPr>
              <w:t>提供</w:t>
            </w:r>
            <w:r>
              <w:rPr>
                <w:rFonts w:hint="eastAsia" w:ascii="宋体" w:hAnsi="宋体" w:eastAsia="宋体" w:cs="宋体"/>
                <w:color w:val="auto"/>
                <w:spacing w:val="-12"/>
                <w:sz w:val="21"/>
                <w:szCs w:val="21"/>
                <w:highlight w:val="none"/>
                <w:lang w:val="en-US" w:eastAsia="zh-CN"/>
              </w:rPr>
              <w:t>以上人员</w:t>
            </w:r>
            <w:r>
              <w:rPr>
                <w:rFonts w:hint="eastAsia" w:ascii="宋体" w:hAnsi="宋体" w:eastAsia="宋体" w:cs="宋体"/>
                <w:color w:val="auto"/>
                <w:sz w:val="21"/>
                <w:szCs w:val="21"/>
                <w:highlight w:val="none"/>
                <w:lang w:eastAsia="zh-CN"/>
              </w:rPr>
              <w:t>近</w:t>
            </w:r>
            <w:r>
              <w:rPr>
                <w:rFonts w:hint="eastAsia" w:ascii="宋体" w:hAnsi="宋体" w:eastAsia="宋体" w:cs="宋体"/>
                <w:color w:val="auto"/>
                <w:sz w:val="21"/>
                <w:szCs w:val="21"/>
                <w:highlight w:val="none"/>
                <w:lang w:val="en-US" w:eastAsia="zh-CN"/>
              </w:rPr>
              <w:t>6个月</w:t>
            </w:r>
            <w:r>
              <w:rPr>
                <w:rFonts w:hint="eastAsia" w:hAnsi="宋体" w:cs="宋体"/>
                <w:color w:val="auto"/>
                <w:sz w:val="21"/>
                <w:szCs w:val="21"/>
                <w:highlight w:val="none"/>
                <w:lang w:val="en-US" w:eastAsia="zh-CN"/>
              </w:rPr>
              <w:t>（2025年3-8月）</w:t>
            </w:r>
            <w:r>
              <w:rPr>
                <w:rFonts w:ascii="宋体" w:hAnsi="宋体" w:eastAsia="宋体" w:cs="宋体"/>
                <w:color w:val="auto"/>
                <w:spacing w:val="-5"/>
                <w:sz w:val="21"/>
                <w:szCs w:val="21"/>
                <w:highlight w:val="none"/>
              </w:rPr>
              <w:t>在</w:t>
            </w:r>
            <w:r>
              <w:rPr>
                <w:rFonts w:hint="eastAsia" w:ascii="宋体" w:hAnsi="宋体" w:eastAsia="宋体" w:cs="宋体"/>
                <w:color w:val="auto"/>
                <w:spacing w:val="-5"/>
                <w:sz w:val="21"/>
                <w:szCs w:val="21"/>
                <w:highlight w:val="none"/>
              </w:rPr>
              <w:t>本单位参保的社会保险证明文件。</w:t>
            </w:r>
            <w:r>
              <w:rPr>
                <w:rFonts w:hint="eastAsia" w:ascii="宋体" w:hAnsi="宋体" w:eastAsia="宋体" w:cs="宋体"/>
                <w:color w:val="auto"/>
                <w:spacing w:val="-5"/>
                <w:sz w:val="21"/>
                <w:szCs w:val="21"/>
                <w:highlight w:val="none"/>
                <w:lang w:val="en-US" w:eastAsia="zh-CN"/>
              </w:rPr>
              <w:t>3）</w:t>
            </w:r>
            <w:r>
              <w:rPr>
                <w:rFonts w:hint="eastAsia" w:ascii="宋体" w:hAnsi="宋体" w:eastAsia="宋体" w:cs="宋体"/>
                <w:color w:val="auto"/>
                <w:sz w:val="21"/>
                <w:szCs w:val="21"/>
                <w:highlight w:val="none"/>
                <w:lang w:val="en-US" w:eastAsia="zh-CN"/>
              </w:rPr>
              <w:t>需提供定额书目关键页，包含书目名称、编制时间、显示参与人员相关证明页的扫描件加盖公章。4）</w:t>
            </w:r>
            <w:r>
              <w:rPr>
                <w:rFonts w:hint="eastAsia" w:ascii="宋体" w:hAnsi="宋体" w:eastAsia="宋体" w:cs="宋体"/>
                <w:color w:val="auto"/>
                <w:spacing w:val="-5"/>
                <w:sz w:val="21"/>
                <w:szCs w:val="21"/>
                <w:highlight w:val="none"/>
              </w:rPr>
              <w:t>注册造价工程师证书如没有注明专业的需提供建设部的造价工程师注册管理系统网页打印页，专业以注册网页“所学专业”栏为准。其他服务本项目人员每人只计一次，不得重复。</w:t>
            </w:r>
          </w:p>
        </w:tc>
      </w:tr>
      <w:tr w14:paraId="59B9D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vMerge w:val="restart"/>
            <w:noWrap w:val="0"/>
            <w:vAlign w:val="center"/>
          </w:tcPr>
          <w:p w14:paraId="3AF4EFAF">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r>
              <w:rPr>
                <w:rFonts w:hint="eastAsia"/>
                <w:color w:val="auto"/>
                <w:sz w:val="21"/>
                <w:szCs w:val="21"/>
                <w:lang w:eastAsia="zh-CN"/>
              </w:rPr>
              <w:t>技术部分</w:t>
            </w:r>
          </w:p>
          <w:p w14:paraId="49118158">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r>
              <w:rPr>
                <w:rFonts w:hint="eastAsia"/>
                <w:color w:val="auto"/>
                <w:sz w:val="21"/>
                <w:szCs w:val="21"/>
                <w:lang w:eastAsia="zh-CN"/>
              </w:rPr>
              <w:t>评分</w:t>
            </w:r>
            <w:r>
              <w:rPr>
                <w:rFonts w:hint="eastAsia"/>
                <w:color w:val="auto"/>
                <w:spacing w:val="-3"/>
                <w:sz w:val="21"/>
                <w:szCs w:val="21"/>
                <w:lang w:eastAsia="zh-CN"/>
              </w:rPr>
              <w:t>标</w:t>
            </w:r>
            <w:r>
              <w:rPr>
                <w:rFonts w:hint="eastAsia"/>
                <w:color w:val="auto"/>
                <w:sz w:val="21"/>
                <w:szCs w:val="21"/>
                <w:lang w:eastAsia="zh-CN"/>
              </w:rPr>
              <w:t>准</w:t>
            </w:r>
          </w:p>
          <w:p w14:paraId="2E2E8B55">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r>
              <w:rPr>
                <w:rFonts w:hint="eastAsia"/>
                <w:color w:val="auto"/>
                <w:sz w:val="21"/>
                <w:szCs w:val="21"/>
                <w:lang w:eastAsia="zh-CN"/>
              </w:rPr>
              <w:t>（20分）</w:t>
            </w:r>
          </w:p>
        </w:tc>
        <w:tc>
          <w:tcPr>
            <w:tcW w:w="1245" w:type="dxa"/>
            <w:noWrap w:val="0"/>
            <w:vAlign w:val="center"/>
          </w:tcPr>
          <w:p w14:paraId="291FFF33">
            <w:pPr>
              <w:keepNext w:val="0"/>
              <w:keepLines w:val="0"/>
              <w:widowControl w:val="0"/>
              <w:suppressLineNumbers w:val="0"/>
              <w:adjustRightInd w:val="0"/>
              <w:snapToGrid w:val="0"/>
              <w:spacing w:before="0" w:beforeAutospacing="0" w:after="0" w:afterAutospacing="0" w:line="276" w:lineRule="auto"/>
              <w:ind w:left="72" w:leftChars="30" w:right="72" w:rightChars="30" w:firstLine="0" w:firstLineChars="0"/>
              <w:jc w:val="center"/>
              <w:rPr>
                <w:rFonts w:hint="eastAsia" w:hAnsi="宋体" w:cs="宋体"/>
                <w:strike/>
                <w:color w:val="auto"/>
                <w:sz w:val="21"/>
                <w:szCs w:val="21"/>
              </w:rPr>
            </w:pPr>
            <w:r>
              <w:rPr>
                <w:rFonts w:hint="eastAsia" w:hAnsi="宋体" w:cs="宋体"/>
                <w:strike w:val="0"/>
                <w:color w:val="auto"/>
                <w:sz w:val="21"/>
                <w:szCs w:val="21"/>
              </w:rPr>
              <w:t>对项目造价控制的重点、难点的理解及分析</w:t>
            </w:r>
          </w:p>
        </w:tc>
        <w:tc>
          <w:tcPr>
            <w:tcW w:w="600" w:type="dxa"/>
            <w:noWrap w:val="0"/>
            <w:vAlign w:val="center"/>
          </w:tcPr>
          <w:p w14:paraId="7084002D">
            <w:pPr>
              <w:keepNext w:val="0"/>
              <w:keepLines w:val="0"/>
              <w:widowControl w:val="0"/>
              <w:suppressLineNumbers w:val="0"/>
              <w:adjustRightInd w:val="0"/>
              <w:snapToGrid w:val="0"/>
              <w:spacing w:before="0" w:beforeAutospacing="0" w:after="0" w:afterAutospacing="0" w:line="276" w:lineRule="auto"/>
              <w:ind w:left="72" w:leftChars="30" w:right="72" w:rightChars="30" w:firstLine="0" w:firstLineChars="0"/>
              <w:jc w:val="center"/>
              <w:rPr>
                <w:rFonts w:hint="eastAsia" w:hAnsi="宋体" w:cs="宋体"/>
                <w:color w:val="auto"/>
                <w:sz w:val="21"/>
                <w:szCs w:val="21"/>
              </w:rPr>
            </w:pPr>
            <w:r>
              <w:rPr>
                <w:rFonts w:hint="eastAsia" w:hAnsi="宋体" w:cs="宋体"/>
                <w:color w:val="auto"/>
                <w:sz w:val="21"/>
                <w:szCs w:val="21"/>
              </w:rPr>
              <w:t>5</w:t>
            </w:r>
          </w:p>
        </w:tc>
        <w:tc>
          <w:tcPr>
            <w:tcW w:w="6347" w:type="dxa"/>
            <w:noWrap w:val="0"/>
            <w:vAlign w:val="center"/>
          </w:tcPr>
          <w:p w14:paraId="3D43D186">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优：针对本项目的工程特点，对本项目造价咨询服务各阶段的造价控制的重点难点剖析到位，造价控制技术性合理化切实可行，得[5，4]分；</w:t>
            </w:r>
          </w:p>
          <w:p w14:paraId="52758ABD">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良：对本项目的造价咨询服务管理重点难点分析一般，合理化建议有一定的可行性，得（4，2]分；</w:t>
            </w:r>
          </w:p>
          <w:p w14:paraId="1541C202">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中：对本项目的造价咨询服务管理重点难点有基本认识，无合理化建议或建议不可行，得（2，1]分</w:t>
            </w:r>
            <w:r>
              <w:rPr>
                <w:rFonts w:hint="eastAsia" w:hAnsi="宋体" w:cs="宋体"/>
                <w:color w:val="auto"/>
                <w:sz w:val="21"/>
                <w:szCs w:val="21"/>
                <w:lang w:eastAsia="zh-CN"/>
              </w:rPr>
              <w:t>；</w:t>
            </w:r>
          </w:p>
          <w:p w14:paraId="68B51F3D">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差或没有提供的不得分。</w:t>
            </w:r>
          </w:p>
        </w:tc>
      </w:tr>
      <w:tr w14:paraId="1D939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vMerge w:val="continue"/>
            <w:noWrap w:val="0"/>
            <w:vAlign w:val="center"/>
          </w:tcPr>
          <w:p w14:paraId="7A52B5AD">
            <w:pPr>
              <w:pStyle w:val="19"/>
              <w:keepNext w:val="0"/>
              <w:keepLines w:val="0"/>
              <w:widowControl w:val="0"/>
              <w:suppressLineNumbers w:val="0"/>
              <w:spacing w:before="0" w:beforeAutospacing="0" w:after="0" w:afterAutospacing="0" w:line="340" w:lineRule="exact"/>
              <w:ind w:left="0" w:right="0" w:firstLine="0" w:firstLineChars="0"/>
              <w:rPr>
                <w:rFonts w:hint="eastAsia" w:hAnsi="宋体" w:eastAsia="宋体" w:cs="宋体"/>
                <w:color w:val="auto"/>
                <w:sz w:val="21"/>
                <w:szCs w:val="21"/>
              </w:rPr>
            </w:pPr>
          </w:p>
        </w:tc>
        <w:tc>
          <w:tcPr>
            <w:tcW w:w="1245" w:type="dxa"/>
            <w:noWrap w:val="0"/>
            <w:vAlign w:val="center"/>
          </w:tcPr>
          <w:p w14:paraId="31828379">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宋体" w:cs="宋体"/>
                <w:color w:val="auto"/>
                <w:sz w:val="21"/>
                <w:szCs w:val="21"/>
              </w:rPr>
            </w:pPr>
            <w:r>
              <w:rPr>
                <w:rFonts w:hint="eastAsia" w:hAnsi="宋体" w:cs="宋体"/>
                <w:color w:val="auto"/>
                <w:sz w:val="21"/>
                <w:szCs w:val="21"/>
              </w:rPr>
              <w:t>造价咨询工作实施方案</w:t>
            </w:r>
          </w:p>
        </w:tc>
        <w:tc>
          <w:tcPr>
            <w:tcW w:w="600" w:type="dxa"/>
            <w:noWrap w:val="0"/>
            <w:vAlign w:val="center"/>
          </w:tcPr>
          <w:p w14:paraId="3B51FBA5">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宋体" w:cs="宋体"/>
                <w:color w:val="auto"/>
                <w:sz w:val="21"/>
                <w:szCs w:val="21"/>
              </w:rPr>
            </w:pPr>
            <w:r>
              <w:rPr>
                <w:rFonts w:hint="eastAsia" w:hAnsi="宋体" w:cs="宋体"/>
                <w:color w:val="auto"/>
                <w:sz w:val="21"/>
                <w:szCs w:val="21"/>
              </w:rPr>
              <w:t>5</w:t>
            </w:r>
          </w:p>
        </w:tc>
        <w:tc>
          <w:tcPr>
            <w:tcW w:w="6347" w:type="dxa"/>
            <w:noWrap w:val="0"/>
            <w:vAlign w:val="center"/>
          </w:tcPr>
          <w:p w14:paraId="5C3A30E6">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优：工作实施方案思路清晰，操作性强，组织协调能力强，能有效把握关键节点工作，得[5，4]分；</w:t>
            </w:r>
          </w:p>
          <w:p w14:paraId="3EBC416D">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良：工作方案思路比较清晰，操作性较强，组织协调能力较强，较能把握关键节点工作，得（4，2]分；</w:t>
            </w:r>
          </w:p>
          <w:p w14:paraId="7C0A8A30">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eastAsia="宋体" w:cs="宋体"/>
                <w:color w:val="auto"/>
                <w:sz w:val="21"/>
                <w:szCs w:val="21"/>
                <w:lang w:eastAsia="zh-CN"/>
              </w:rPr>
            </w:pPr>
            <w:r>
              <w:rPr>
                <w:rFonts w:hint="eastAsia" w:hAnsi="宋体" w:cs="宋体"/>
                <w:color w:val="auto"/>
                <w:sz w:val="21"/>
                <w:szCs w:val="21"/>
              </w:rPr>
              <w:t>中：工作方案思路一般，操作性一般，组织协调能力一般，但能基本把握关键节点工作，得（2，1]分</w:t>
            </w:r>
            <w:r>
              <w:rPr>
                <w:rFonts w:hint="eastAsia" w:hAnsi="宋体" w:cs="宋体"/>
                <w:color w:val="auto"/>
                <w:sz w:val="21"/>
                <w:szCs w:val="21"/>
                <w:lang w:eastAsia="zh-CN"/>
              </w:rPr>
              <w:t>；</w:t>
            </w:r>
          </w:p>
          <w:p w14:paraId="049D53B5">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差或没有提供的不得分。</w:t>
            </w:r>
          </w:p>
        </w:tc>
      </w:tr>
      <w:tr w14:paraId="4C2B4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vMerge w:val="continue"/>
            <w:noWrap w:val="0"/>
            <w:vAlign w:val="center"/>
          </w:tcPr>
          <w:p w14:paraId="5DEB2371">
            <w:pPr>
              <w:pStyle w:val="19"/>
              <w:keepNext w:val="0"/>
              <w:keepLines w:val="0"/>
              <w:widowControl w:val="0"/>
              <w:suppressLineNumbers w:val="0"/>
              <w:spacing w:before="0" w:beforeAutospacing="0" w:after="0" w:afterAutospacing="0" w:line="340" w:lineRule="exact"/>
              <w:ind w:left="0" w:right="0" w:firstLine="0" w:firstLineChars="0"/>
              <w:rPr>
                <w:rFonts w:hint="eastAsia" w:hAnsi="宋体" w:eastAsia="宋体" w:cs="宋体"/>
                <w:strike/>
                <w:color w:val="auto"/>
                <w:sz w:val="21"/>
                <w:szCs w:val="21"/>
              </w:rPr>
            </w:pPr>
          </w:p>
        </w:tc>
        <w:tc>
          <w:tcPr>
            <w:tcW w:w="1245" w:type="dxa"/>
            <w:noWrap w:val="0"/>
            <w:vAlign w:val="center"/>
          </w:tcPr>
          <w:p w14:paraId="6050B8AF">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宋体" w:cs="宋体"/>
                <w:color w:val="auto"/>
                <w:sz w:val="21"/>
                <w:szCs w:val="21"/>
              </w:rPr>
            </w:pPr>
            <w:r>
              <w:rPr>
                <w:rFonts w:hint="eastAsia" w:hAnsi="宋体" w:cs="宋体"/>
                <w:color w:val="auto"/>
                <w:sz w:val="21"/>
                <w:szCs w:val="21"/>
              </w:rPr>
              <w:t>造价咨询质量及进度保证措施</w:t>
            </w:r>
          </w:p>
        </w:tc>
        <w:tc>
          <w:tcPr>
            <w:tcW w:w="600" w:type="dxa"/>
            <w:noWrap w:val="0"/>
            <w:vAlign w:val="center"/>
          </w:tcPr>
          <w:p w14:paraId="5384E096">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宋体" w:cs="宋体"/>
                <w:color w:val="auto"/>
                <w:sz w:val="21"/>
                <w:szCs w:val="21"/>
              </w:rPr>
            </w:pPr>
            <w:r>
              <w:rPr>
                <w:rFonts w:hint="eastAsia" w:hAnsi="宋体" w:cs="宋体"/>
                <w:color w:val="auto"/>
                <w:sz w:val="21"/>
                <w:szCs w:val="21"/>
              </w:rPr>
              <w:t>5</w:t>
            </w:r>
          </w:p>
        </w:tc>
        <w:tc>
          <w:tcPr>
            <w:tcW w:w="6347" w:type="dxa"/>
            <w:noWrap w:val="0"/>
            <w:vAlign w:val="center"/>
          </w:tcPr>
          <w:p w14:paraId="5D81E4A4">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优：质量及进度的保证方法及措施完善，对造价咨询服务工作能提出具体、有效、可行的保证措施，且保证措施全面，得[5，4]分；</w:t>
            </w:r>
          </w:p>
          <w:p w14:paraId="6567D817">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良：质量及进度的保证方法及措施较完善，对造价咨询服务工作能提出较有效、可行的保证措施，且保证措施为中等，得（4，2]分；</w:t>
            </w:r>
          </w:p>
          <w:p w14:paraId="7825694D">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中：质量及进度的保证方法及措施一般，对造价咨询服务工作能提出基本有效、可行的保证措施，但不够具体、全面，得（2，1]分</w:t>
            </w:r>
            <w:r>
              <w:rPr>
                <w:rFonts w:hint="eastAsia" w:hAnsi="宋体" w:cs="宋体"/>
                <w:color w:val="auto"/>
                <w:sz w:val="21"/>
                <w:szCs w:val="21"/>
                <w:lang w:eastAsia="zh-CN"/>
              </w:rPr>
              <w:t>；</w:t>
            </w:r>
          </w:p>
          <w:p w14:paraId="269D986C">
            <w:pPr>
              <w:keepNext w:val="0"/>
              <w:keepLines w:val="0"/>
              <w:widowControl w:val="0"/>
              <w:suppressLineNumbers w:val="0"/>
              <w:spacing w:before="0" w:beforeAutospacing="0" w:after="0" w:afterAutospacing="0" w:line="276" w:lineRule="auto"/>
              <w:ind w:left="72" w:leftChars="30" w:right="72" w:rightChars="30" w:firstLine="0" w:firstLineChars="0"/>
              <w:textAlignment w:val="center"/>
              <w:rPr>
                <w:rFonts w:hint="eastAsia" w:hAnsi="宋体" w:cs="宋体"/>
                <w:color w:val="auto"/>
                <w:sz w:val="21"/>
                <w:szCs w:val="21"/>
              </w:rPr>
            </w:pPr>
            <w:r>
              <w:rPr>
                <w:rFonts w:hint="eastAsia" w:hAnsi="宋体" w:cs="宋体"/>
                <w:color w:val="auto"/>
                <w:sz w:val="21"/>
                <w:szCs w:val="21"/>
              </w:rPr>
              <w:t>差或没有提供的不得分。</w:t>
            </w:r>
          </w:p>
        </w:tc>
      </w:tr>
      <w:tr w14:paraId="0800A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vMerge w:val="continue"/>
            <w:noWrap w:val="0"/>
            <w:vAlign w:val="center"/>
          </w:tcPr>
          <w:p w14:paraId="6AA16DD3">
            <w:pPr>
              <w:pStyle w:val="19"/>
              <w:keepNext w:val="0"/>
              <w:keepLines w:val="0"/>
              <w:widowControl w:val="0"/>
              <w:suppressLineNumbers w:val="0"/>
              <w:spacing w:before="0" w:beforeAutospacing="0" w:after="0" w:afterAutospacing="0" w:line="340" w:lineRule="exact"/>
              <w:ind w:left="0" w:right="0" w:firstLine="0" w:firstLineChars="0"/>
              <w:rPr>
                <w:rFonts w:hint="eastAsia" w:hAnsi="宋体" w:eastAsia="宋体" w:cs="宋体"/>
                <w:strike/>
                <w:color w:val="auto"/>
                <w:sz w:val="21"/>
                <w:szCs w:val="21"/>
              </w:rPr>
            </w:pPr>
          </w:p>
        </w:tc>
        <w:tc>
          <w:tcPr>
            <w:tcW w:w="1245" w:type="dxa"/>
            <w:noWrap w:val="0"/>
            <w:vAlign w:val="center"/>
          </w:tcPr>
          <w:p w14:paraId="162DC0CB">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宋体" w:cs="宋体"/>
                <w:color w:val="auto"/>
                <w:sz w:val="21"/>
                <w:szCs w:val="21"/>
              </w:rPr>
            </w:pPr>
            <w:r>
              <w:rPr>
                <w:rFonts w:hint="eastAsia" w:hAnsi="宋体" w:cs="宋体"/>
                <w:color w:val="auto"/>
                <w:sz w:val="21"/>
                <w:szCs w:val="21"/>
              </w:rPr>
              <w:t>企业管理制度及承诺</w:t>
            </w:r>
          </w:p>
        </w:tc>
        <w:tc>
          <w:tcPr>
            <w:tcW w:w="600" w:type="dxa"/>
            <w:noWrap w:val="0"/>
            <w:vAlign w:val="center"/>
          </w:tcPr>
          <w:p w14:paraId="7A1D2D9F">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宋体" w:cs="宋体"/>
                <w:color w:val="auto"/>
                <w:sz w:val="21"/>
                <w:szCs w:val="21"/>
              </w:rPr>
            </w:pPr>
            <w:r>
              <w:rPr>
                <w:rFonts w:hint="eastAsia" w:hAnsi="宋体" w:cs="宋体"/>
                <w:color w:val="auto"/>
                <w:sz w:val="21"/>
                <w:szCs w:val="21"/>
              </w:rPr>
              <w:t>5</w:t>
            </w:r>
          </w:p>
        </w:tc>
        <w:tc>
          <w:tcPr>
            <w:tcW w:w="6347" w:type="dxa"/>
            <w:noWrap w:val="0"/>
            <w:vAlign w:val="center"/>
          </w:tcPr>
          <w:p w14:paraId="0EBDFA71">
            <w:pPr>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cs="宋体"/>
                <w:color w:val="auto"/>
                <w:sz w:val="21"/>
                <w:szCs w:val="21"/>
              </w:rPr>
            </w:pPr>
            <w:r>
              <w:rPr>
                <w:rFonts w:hint="eastAsia" w:hAnsi="宋体" w:cs="宋体"/>
                <w:color w:val="auto"/>
                <w:sz w:val="21"/>
                <w:szCs w:val="21"/>
              </w:rPr>
              <w:t>优:企业规章制度完善并承诺在本项目造价咨询中贯彻执行，对本项目造价控制的服务质量保证和承诺充分合理，有人力、物力资源保证承诺，质量保证承诺，公正诚信服务承诺，造价咨询工作质量保证措施承诺，工作进度保证措施承诺，服务响应承诺，违约责任、经济赔偿大小的承诺，保密承诺，得[5，4]分；</w:t>
            </w:r>
          </w:p>
          <w:p w14:paraId="04E30805">
            <w:pPr>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cs="宋体"/>
                <w:color w:val="auto"/>
                <w:sz w:val="21"/>
                <w:szCs w:val="21"/>
              </w:rPr>
            </w:pPr>
            <w:r>
              <w:rPr>
                <w:rFonts w:hint="eastAsia" w:hAnsi="宋体" w:cs="宋体"/>
                <w:color w:val="auto"/>
                <w:sz w:val="21"/>
                <w:szCs w:val="21"/>
              </w:rPr>
              <w:t>良：企业规章制度较完善，对本项目造价控制的服务质量保证和承诺较充分，有关于保证明按时按质按量完成委托的咨询业务，对咨询服务的真实性、准确性负责，违约责任，经济赔偿大小的承诺书，得（4，2]分；</w:t>
            </w:r>
          </w:p>
          <w:p w14:paraId="06662C7F">
            <w:pPr>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cs="宋体"/>
                <w:color w:val="auto"/>
                <w:sz w:val="21"/>
                <w:szCs w:val="21"/>
              </w:rPr>
            </w:pPr>
            <w:r>
              <w:rPr>
                <w:rFonts w:hint="eastAsia" w:hAnsi="宋体" w:cs="宋体"/>
                <w:color w:val="auto"/>
                <w:sz w:val="21"/>
                <w:szCs w:val="21"/>
              </w:rPr>
              <w:t>中：企业规章制度不完善，没有对本项目造价控制的服务质量保证和承诺书或承诺书的阐述不明确、不符合招标文件要求的，得（2，1]分</w:t>
            </w:r>
            <w:r>
              <w:rPr>
                <w:rFonts w:hint="eastAsia" w:hAnsi="宋体" w:cs="宋体"/>
                <w:color w:val="auto"/>
                <w:sz w:val="21"/>
                <w:szCs w:val="21"/>
                <w:lang w:eastAsia="zh-CN"/>
              </w:rPr>
              <w:t>；</w:t>
            </w:r>
          </w:p>
          <w:p w14:paraId="4FABD1E7">
            <w:pPr>
              <w:keepNext w:val="0"/>
              <w:keepLines w:val="0"/>
              <w:widowControl w:val="0"/>
              <w:suppressLineNumbers w:val="0"/>
              <w:spacing w:before="0" w:beforeAutospacing="0" w:after="0" w:afterAutospacing="0" w:line="276" w:lineRule="auto"/>
              <w:ind w:left="72" w:leftChars="30" w:right="72" w:rightChars="30" w:firstLine="0" w:firstLineChars="0"/>
              <w:rPr>
                <w:rFonts w:hint="eastAsia" w:hAnsi="宋体" w:cs="宋体"/>
                <w:color w:val="auto"/>
                <w:sz w:val="21"/>
                <w:szCs w:val="21"/>
              </w:rPr>
            </w:pPr>
            <w:r>
              <w:rPr>
                <w:rFonts w:hint="eastAsia" w:hAnsi="宋体" w:cs="宋体"/>
                <w:color w:val="auto"/>
                <w:sz w:val="21"/>
                <w:szCs w:val="21"/>
              </w:rPr>
              <w:t>差或没有提供的不得分。</w:t>
            </w:r>
          </w:p>
        </w:tc>
      </w:tr>
      <w:tr w14:paraId="08A7C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noWrap w:val="0"/>
            <w:vAlign w:val="center"/>
          </w:tcPr>
          <w:p w14:paraId="1BF3F3B2">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r>
              <w:rPr>
                <w:rFonts w:hint="eastAsia"/>
                <w:color w:val="auto"/>
                <w:sz w:val="21"/>
                <w:szCs w:val="21"/>
                <w:lang w:eastAsia="zh-CN"/>
              </w:rPr>
              <w:t>经济部分</w:t>
            </w:r>
          </w:p>
          <w:p w14:paraId="08BEEC86">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r>
              <w:rPr>
                <w:rFonts w:hint="eastAsia"/>
                <w:color w:val="auto"/>
                <w:sz w:val="21"/>
                <w:szCs w:val="21"/>
                <w:lang w:eastAsia="zh-CN"/>
              </w:rPr>
              <w:t>评分</w:t>
            </w:r>
            <w:r>
              <w:rPr>
                <w:rFonts w:hint="eastAsia"/>
                <w:color w:val="auto"/>
                <w:spacing w:val="-3"/>
                <w:sz w:val="21"/>
                <w:szCs w:val="21"/>
                <w:lang w:eastAsia="zh-CN"/>
              </w:rPr>
              <w:t>标</w:t>
            </w:r>
            <w:r>
              <w:rPr>
                <w:rFonts w:hint="eastAsia"/>
                <w:color w:val="auto"/>
                <w:sz w:val="21"/>
                <w:szCs w:val="21"/>
                <w:lang w:eastAsia="zh-CN"/>
              </w:rPr>
              <w:t>准</w:t>
            </w:r>
          </w:p>
          <w:p w14:paraId="793F3046">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0分）</w:t>
            </w:r>
          </w:p>
        </w:tc>
        <w:tc>
          <w:tcPr>
            <w:tcW w:w="1245" w:type="dxa"/>
            <w:noWrap w:val="0"/>
            <w:vAlign w:val="center"/>
          </w:tcPr>
          <w:p w14:paraId="1116B155">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rPr>
            </w:pPr>
            <w:r>
              <w:rPr>
                <w:rFonts w:hint="eastAsia"/>
                <w:color w:val="auto"/>
                <w:sz w:val="21"/>
                <w:szCs w:val="21"/>
              </w:rPr>
              <w:t>报价得分</w:t>
            </w:r>
          </w:p>
          <w:p w14:paraId="5A0D01FE">
            <w:pPr>
              <w:pStyle w:val="88"/>
              <w:keepNext w:val="0"/>
              <w:keepLines w:val="0"/>
              <w:suppressLineNumbers w:val="0"/>
              <w:kinsoku w:val="0"/>
              <w:overflowPunct w:val="0"/>
              <w:adjustRightInd w:val="0"/>
              <w:snapToGrid w:val="0"/>
              <w:spacing w:before="0" w:beforeAutospacing="0" w:after="0" w:afterAutospacing="0" w:line="340" w:lineRule="exact"/>
              <w:ind w:left="0" w:right="0" w:firstLine="0" w:firstLineChars="0"/>
              <w:jc w:val="center"/>
              <w:rPr>
                <w:rFonts w:hint="eastAsia"/>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0分）</w:t>
            </w:r>
          </w:p>
        </w:tc>
        <w:tc>
          <w:tcPr>
            <w:tcW w:w="600" w:type="dxa"/>
            <w:noWrap w:val="0"/>
            <w:vAlign w:val="center"/>
          </w:tcPr>
          <w:p w14:paraId="4B9A3DF8">
            <w:pPr>
              <w:pStyle w:val="88"/>
              <w:keepNext w:val="0"/>
              <w:keepLines w:val="0"/>
              <w:suppressLineNumbers w:val="0"/>
              <w:kinsoku w:val="0"/>
              <w:overflowPunct w:val="0"/>
              <w:adjustRightInd w:val="0"/>
              <w:snapToGrid w:val="0"/>
              <w:spacing w:before="0" w:beforeAutospacing="0" w:after="0" w:afterAutospacing="0" w:line="276" w:lineRule="auto"/>
              <w:ind w:left="0" w:right="0" w:firstLine="0" w:firstLineChars="0"/>
              <w:jc w:val="center"/>
              <w:rPr>
                <w:rFonts w:hint="default"/>
                <w:color w:val="auto"/>
                <w:sz w:val="21"/>
                <w:szCs w:val="21"/>
                <w:lang w:eastAsia="zh-CN"/>
              </w:rPr>
            </w:pPr>
            <w:r>
              <w:rPr>
                <w:rFonts w:hint="eastAsia"/>
                <w:color w:val="auto"/>
                <w:sz w:val="21"/>
                <w:szCs w:val="21"/>
                <w:lang w:val="en-US" w:eastAsia="zh-CN"/>
              </w:rPr>
              <w:t>1</w:t>
            </w:r>
            <w:r>
              <w:rPr>
                <w:rFonts w:hint="eastAsia"/>
                <w:color w:val="auto"/>
                <w:sz w:val="21"/>
                <w:szCs w:val="21"/>
                <w:lang w:eastAsia="zh-CN"/>
              </w:rPr>
              <w:t>0</w:t>
            </w:r>
          </w:p>
        </w:tc>
        <w:tc>
          <w:tcPr>
            <w:tcW w:w="6347" w:type="dxa"/>
            <w:noWrap w:val="0"/>
            <w:vAlign w:val="center"/>
          </w:tcPr>
          <w:p w14:paraId="74140B6A">
            <w:pPr>
              <w:pStyle w:val="88"/>
              <w:keepNext w:val="0"/>
              <w:keepLines w:val="0"/>
              <w:suppressLineNumbers w:val="0"/>
              <w:kinsoku w:val="0"/>
              <w:overflowPunct w:val="0"/>
              <w:adjustRightInd w:val="0"/>
              <w:snapToGrid w:val="0"/>
              <w:spacing w:before="0" w:beforeAutospacing="0" w:after="0" w:afterAutospacing="0" w:line="276" w:lineRule="auto"/>
              <w:ind w:left="72" w:leftChars="30" w:right="72" w:rightChars="30" w:firstLine="0" w:firstLineChars="0"/>
              <w:rPr>
                <w:rFonts w:hint="eastAsia"/>
                <w:color w:val="auto"/>
                <w:spacing w:val="-3"/>
                <w:sz w:val="21"/>
                <w:szCs w:val="21"/>
                <w:lang w:eastAsia="zh-CN"/>
              </w:rPr>
            </w:pPr>
            <w:r>
              <w:rPr>
                <w:rFonts w:hint="eastAsia"/>
                <w:color w:val="auto"/>
                <w:sz w:val="21"/>
                <w:szCs w:val="21"/>
                <w:lang w:eastAsia="zh-CN"/>
              </w:rPr>
              <w:t>投标报价得分以评标基准价作为计算各有效投标报价得分的基础，当有效投标报价等于评标基准价时得10分；有效投标报价每高出评标参考价1%扣0.3分，每低于评标参考价1%扣0.2分，</w:t>
            </w:r>
            <w:r>
              <w:rPr>
                <w:rFonts w:hint="eastAsia" w:hAnsi="宋体" w:eastAsia="宋体" w:cs="宋体"/>
                <w:color w:val="auto"/>
                <w:sz w:val="21"/>
                <w:szCs w:val="21"/>
              </w:rPr>
              <w:t>报价偏差率不足1%的</w:t>
            </w:r>
            <w:r>
              <w:rPr>
                <w:rFonts w:hint="eastAsia" w:hAnsi="宋体" w:cs="宋体"/>
                <w:color w:val="auto"/>
                <w:sz w:val="21"/>
                <w:szCs w:val="21"/>
                <w:lang w:val="en-US" w:eastAsia="zh-CN"/>
              </w:rPr>
              <w:t>部分</w:t>
            </w:r>
            <w:r>
              <w:rPr>
                <w:rFonts w:hint="eastAsia" w:hAnsi="宋体" w:eastAsia="宋体" w:cs="宋体"/>
                <w:color w:val="auto"/>
                <w:sz w:val="21"/>
                <w:szCs w:val="21"/>
              </w:rPr>
              <w:t>，按</w:t>
            </w:r>
            <w:r>
              <w:rPr>
                <w:rFonts w:hint="eastAsia" w:hAnsi="宋体" w:cs="宋体"/>
                <w:color w:val="auto"/>
                <w:sz w:val="21"/>
                <w:szCs w:val="21"/>
                <w:lang w:val="en-US" w:eastAsia="zh-CN"/>
              </w:rPr>
              <w:t>比例</w:t>
            </w:r>
            <w:r>
              <w:rPr>
                <w:rFonts w:hint="eastAsia" w:hAnsi="宋体" w:eastAsia="宋体" w:cs="宋体"/>
                <w:color w:val="auto"/>
                <w:sz w:val="21"/>
                <w:szCs w:val="21"/>
              </w:rPr>
              <w:t>内插法计算投标报价得分</w:t>
            </w:r>
            <w:r>
              <w:rPr>
                <w:rFonts w:hint="eastAsia"/>
                <w:color w:val="auto"/>
                <w:sz w:val="21"/>
                <w:szCs w:val="21"/>
                <w:lang w:eastAsia="zh-CN"/>
              </w:rPr>
              <w:t>，最多扣至0分止，计算出报价得分。报价得分四舍五入保留2位小数。</w:t>
            </w:r>
          </w:p>
        </w:tc>
      </w:tr>
      <w:tr w14:paraId="79A4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067" w:type="dxa"/>
            <w:noWrap w:val="0"/>
            <w:vAlign w:val="center"/>
          </w:tcPr>
          <w:p w14:paraId="4FF64A7B">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default" w:hAnsi="宋体" w:cs="宋体"/>
                <w:color w:val="auto"/>
                <w:sz w:val="21"/>
                <w:szCs w:val="21"/>
              </w:rPr>
            </w:pPr>
            <w:r>
              <w:rPr>
                <w:rFonts w:hint="eastAsia" w:hAnsi="宋体" w:cs="宋体"/>
                <w:color w:val="auto"/>
                <w:sz w:val="21"/>
                <w:szCs w:val="21"/>
              </w:rPr>
              <w:t>其他</w:t>
            </w:r>
            <w:r>
              <w:rPr>
                <w:rFonts w:hint="eastAsia" w:hAnsi="宋体" w:cs="宋体"/>
                <w:color w:val="auto"/>
                <w:sz w:val="21"/>
                <w:szCs w:val="21"/>
                <w:lang w:val="en-US" w:eastAsia="zh-CN"/>
              </w:rPr>
              <w:t>评分</w:t>
            </w:r>
            <w:r>
              <w:rPr>
                <w:rFonts w:hint="eastAsia" w:hAnsi="宋体" w:cs="宋体"/>
                <w:color w:val="auto"/>
                <w:sz w:val="21"/>
                <w:szCs w:val="21"/>
              </w:rPr>
              <w:t>因素评分标准</w:t>
            </w:r>
          </w:p>
          <w:p w14:paraId="17E7E86F">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Times New Roman" w:cs="Times New Roman"/>
                <w:color w:val="auto"/>
                <w:sz w:val="21"/>
                <w:szCs w:val="21"/>
                <w:lang w:eastAsia="zh-CN"/>
              </w:rPr>
            </w:pPr>
            <w:r>
              <w:rPr>
                <w:rFonts w:hint="eastAsia" w:hAnsi="宋体" w:cs="宋体"/>
                <w:color w:val="auto"/>
                <w:sz w:val="21"/>
                <w:szCs w:val="21"/>
              </w:rPr>
              <w:t>（10</w:t>
            </w:r>
            <w:r>
              <w:rPr>
                <w:rFonts w:hint="eastAsia" w:hAnsi="宋体" w:cs="宋体"/>
                <w:color w:val="auto"/>
                <w:sz w:val="21"/>
                <w:szCs w:val="21"/>
                <w:lang w:val="en-US" w:eastAsia="zh-CN"/>
              </w:rPr>
              <w:t>分</w:t>
            </w:r>
            <w:r>
              <w:rPr>
                <w:rFonts w:hint="eastAsia" w:hAnsi="宋体" w:cs="宋体"/>
                <w:color w:val="auto"/>
                <w:sz w:val="21"/>
                <w:szCs w:val="21"/>
              </w:rPr>
              <w:t>）</w:t>
            </w:r>
          </w:p>
        </w:tc>
        <w:tc>
          <w:tcPr>
            <w:tcW w:w="1245" w:type="dxa"/>
            <w:noWrap w:val="0"/>
            <w:vAlign w:val="center"/>
          </w:tcPr>
          <w:p w14:paraId="4E98B491">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宋体" w:cs="宋体"/>
                <w:color w:val="auto"/>
                <w:sz w:val="21"/>
                <w:szCs w:val="21"/>
              </w:rPr>
            </w:pPr>
            <w:r>
              <w:rPr>
                <w:rFonts w:hint="eastAsia" w:hAnsi="宋体" w:cs="宋体"/>
                <w:color w:val="auto"/>
                <w:sz w:val="21"/>
                <w:szCs w:val="21"/>
              </w:rPr>
              <w:t>诚信综合</w:t>
            </w:r>
          </w:p>
          <w:p w14:paraId="6B2A70D2">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宋体" w:cs="宋体"/>
                <w:color w:val="auto"/>
                <w:sz w:val="21"/>
                <w:szCs w:val="21"/>
              </w:rPr>
            </w:pPr>
            <w:r>
              <w:rPr>
                <w:rFonts w:hint="eastAsia" w:hAnsi="宋体" w:cs="宋体"/>
                <w:color w:val="auto"/>
                <w:sz w:val="21"/>
                <w:szCs w:val="21"/>
              </w:rPr>
              <w:t>评价得分</w:t>
            </w:r>
          </w:p>
          <w:p w14:paraId="5666440B">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Times New Roman" w:cs="Times New Roman"/>
                <w:color w:val="auto"/>
                <w:sz w:val="21"/>
                <w:szCs w:val="21"/>
                <w:lang w:eastAsia="zh-CN"/>
              </w:rPr>
            </w:pPr>
            <w:r>
              <w:rPr>
                <w:rFonts w:hint="eastAsia" w:hAnsi="宋体" w:cs="宋体"/>
                <w:color w:val="auto"/>
                <w:sz w:val="21"/>
                <w:szCs w:val="21"/>
              </w:rPr>
              <w:t>（1</w:t>
            </w:r>
            <w:r>
              <w:rPr>
                <w:rFonts w:hint="default" w:hAnsi="宋体" w:cs="宋体"/>
                <w:color w:val="auto"/>
                <w:sz w:val="21"/>
                <w:szCs w:val="21"/>
              </w:rPr>
              <w:t>0</w:t>
            </w:r>
            <w:r>
              <w:rPr>
                <w:rFonts w:hint="eastAsia" w:hAnsi="宋体" w:cs="宋体"/>
                <w:color w:val="auto"/>
                <w:sz w:val="21"/>
                <w:szCs w:val="21"/>
              </w:rPr>
              <w:t>分）</w:t>
            </w:r>
          </w:p>
        </w:tc>
        <w:tc>
          <w:tcPr>
            <w:tcW w:w="600" w:type="dxa"/>
            <w:noWrap w:val="0"/>
            <w:vAlign w:val="center"/>
          </w:tcPr>
          <w:p w14:paraId="73AB50A9">
            <w:pPr>
              <w:keepNext w:val="0"/>
              <w:keepLines w:val="0"/>
              <w:widowControl w:val="0"/>
              <w:suppressLineNumbers w:val="0"/>
              <w:spacing w:before="0" w:beforeAutospacing="0" w:after="0" w:afterAutospacing="0" w:line="276" w:lineRule="auto"/>
              <w:ind w:left="72" w:leftChars="30" w:right="72" w:rightChars="30" w:firstLine="0" w:firstLineChars="0"/>
              <w:jc w:val="center"/>
              <w:textAlignment w:val="center"/>
              <w:rPr>
                <w:rFonts w:hint="eastAsia" w:hAnsi="Times New Roman" w:cs="Times New Roman"/>
                <w:color w:val="auto"/>
                <w:sz w:val="21"/>
                <w:szCs w:val="21"/>
                <w:lang w:eastAsia="zh-CN"/>
              </w:rPr>
            </w:pPr>
            <w:r>
              <w:rPr>
                <w:rFonts w:hint="eastAsia" w:hAnsi="宋体" w:cs="宋体"/>
                <w:color w:val="auto"/>
                <w:sz w:val="21"/>
                <w:szCs w:val="21"/>
              </w:rPr>
              <w:t>10</w:t>
            </w:r>
          </w:p>
        </w:tc>
        <w:tc>
          <w:tcPr>
            <w:tcW w:w="6347" w:type="dxa"/>
            <w:noWrap w:val="0"/>
            <w:vAlign w:val="center"/>
          </w:tcPr>
          <w:p w14:paraId="269B1B97">
            <w:pPr>
              <w:keepNext w:val="0"/>
              <w:keepLines w:val="0"/>
              <w:widowControl w:val="0"/>
              <w:suppressLineNumbers w:val="0"/>
              <w:spacing w:before="0" w:beforeAutospacing="0" w:after="0" w:afterAutospacing="0" w:line="276" w:lineRule="auto"/>
              <w:ind w:left="72" w:leftChars="30" w:right="72" w:rightChars="30" w:firstLine="0" w:firstLineChars="0"/>
              <w:jc w:val="left"/>
              <w:textAlignment w:val="center"/>
              <w:rPr>
                <w:rFonts w:hint="default" w:hAnsi="宋体" w:cs="宋体"/>
                <w:color w:val="auto"/>
                <w:sz w:val="21"/>
                <w:szCs w:val="21"/>
              </w:rPr>
            </w:pPr>
            <w:r>
              <w:rPr>
                <w:rFonts w:hint="eastAsia" w:hAnsi="宋体" w:cs="宋体"/>
                <w:color w:val="auto"/>
                <w:sz w:val="21"/>
                <w:szCs w:val="21"/>
              </w:rPr>
              <w:t>根据投标企业在广州市住房和城乡建设局诚信综合评价专栏投标截止当日公布的“造价咨询企业综合诚信评价排名”表中的“60日诚信分”排名比较</w:t>
            </w:r>
            <w:r>
              <w:rPr>
                <w:rFonts w:hint="eastAsia" w:hAnsi="宋体" w:cs="宋体"/>
                <w:color w:val="auto"/>
                <w:sz w:val="21"/>
                <w:szCs w:val="21"/>
                <w:lang w:eastAsia="zh-CN"/>
              </w:rPr>
              <w:t>，</w:t>
            </w:r>
            <w:r>
              <w:rPr>
                <w:rFonts w:hint="eastAsia" w:hAnsi="宋体" w:cs="宋体"/>
                <w:color w:val="auto"/>
                <w:sz w:val="21"/>
                <w:szCs w:val="21"/>
              </w:rPr>
              <w:t>第1</w:t>
            </w:r>
            <w:r>
              <w:rPr>
                <w:rFonts w:hint="eastAsia" w:hAnsi="宋体" w:cs="宋体"/>
                <w:color w:val="auto"/>
                <w:sz w:val="21"/>
                <w:szCs w:val="21"/>
                <w:lang w:val="en-US" w:eastAsia="zh-CN"/>
              </w:rPr>
              <w:t>-10</w:t>
            </w:r>
            <w:r>
              <w:rPr>
                <w:rFonts w:hint="eastAsia" w:hAnsi="宋体" w:cs="宋体"/>
                <w:color w:val="auto"/>
                <w:sz w:val="21"/>
                <w:szCs w:val="21"/>
              </w:rPr>
              <w:t>名得10分，第</w:t>
            </w:r>
            <w:r>
              <w:rPr>
                <w:rFonts w:hint="eastAsia" w:hAnsi="宋体" w:cs="宋体"/>
                <w:color w:val="auto"/>
                <w:sz w:val="21"/>
                <w:szCs w:val="21"/>
                <w:lang w:val="en-US" w:eastAsia="zh-CN"/>
              </w:rPr>
              <w:t>11-2</w:t>
            </w:r>
            <w:r>
              <w:rPr>
                <w:rFonts w:hint="eastAsia" w:hAnsi="宋体" w:cs="宋体"/>
                <w:color w:val="auto"/>
                <w:sz w:val="21"/>
                <w:szCs w:val="21"/>
              </w:rPr>
              <w:t>0名得7分，第</w:t>
            </w:r>
            <w:r>
              <w:rPr>
                <w:rFonts w:hint="eastAsia" w:hAnsi="宋体" w:cs="宋体"/>
                <w:color w:val="auto"/>
                <w:sz w:val="21"/>
                <w:szCs w:val="21"/>
                <w:lang w:val="en-US" w:eastAsia="zh-CN"/>
              </w:rPr>
              <w:t>2</w:t>
            </w:r>
            <w:r>
              <w:rPr>
                <w:rFonts w:hint="eastAsia" w:hAnsi="宋体" w:cs="宋体"/>
                <w:color w:val="auto"/>
                <w:sz w:val="21"/>
                <w:szCs w:val="21"/>
              </w:rPr>
              <w:t>1</w:t>
            </w:r>
            <w:r>
              <w:rPr>
                <w:rFonts w:hint="eastAsia" w:hAnsi="宋体" w:cs="宋体"/>
                <w:color w:val="auto"/>
                <w:sz w:val="21"/>
                <w:szCs w:val="21"/>
                <w:lang w:val="en-US" w:eastAsia="zh-CN"/>
              </w:rPr>
              <w:t>-30</w:t>
            </w:r>
            <w:r>
              <w:rPr>
                <w:rFonts w:hint="eastAsia" w:hAnsi="宋体" w:cs="宋体"/>
                <w:color w:val="auto"/>
                <w:sz w:val="21"/>
                <w:szCs w:val="21"/>
              </w:rPr>
              <w:t>名得4分，第</w:t>
            </w:r>
            <w:r>
              <w:rPr>
                <w:rFonts w:hint="eastAsia" w:hAnsi="宋体" w:cs="宋体"/>
                <w:color w:val="auto"/>
                <w:sz w:val="21"/>
                <w:szCs w:val="21"/>
                <w:lang w:val="en-US" w:eastAsia="zh-CN"/>
              </w:rPr>
              <w:t>31</w:t>
            </w:r>
            <w:r>
              <w:rPr>
                <w:rFonts w:hint="eastAsia" w:hAnsi="宋体" w:cs="宋体"/>
                <w:color w:val="auto"/>
                <w:sz w:val="21"/>
                <w:szCs w:val="21"/>
              </w:rPr>
              <w:t>名及以后得1分，未获</w:t>
            </w:r>
            <w:r>
              <w:rPr>
                <w:rFonts w:hint="eastAsia" w:hAnsi="宋体" w:cs="宋体"/>
                <w:color w:val="auto"/>
                <w:sz w:val="21"/>
                <w:szCs w:val="21"/>
                <w:lang w:val="en-US" w:eastAsia="zh-CN"/>
              </w:rPr>
              <w:t>得</w:t>
            </w:r>
            <w:r>
              <w:rPr>
                <w:rFonts w:hint="eastAsia" w:hAnsi="宋体" w:cs="宋体"/>
                <w:color w:val="auto"/>
                <w:sz w:val="21"/>
                <w:szCs w:val="21"/>
              </w:rPr>
              <w:t>造价咨询企业综合诚信评价的不得分。</w:t>
            </w:r>
          </w:p>
          <w:p w14:paraId="0C07008B">
            <w:pPr>
              <w:keepNext w:val="0"/>
              <w:keepLines w:val="0"/>
              <w:widowControl w:val="0"/>
              <w:suppressLineNumbers w:val="0"/>
              <w:spacing w:before="0" w:beforeAutospacing="0" w:after="0" w:afterAutospacing="0" w:line="276" w:lineRule="auto"/>
              <w:ind w:left="72" w:leftChars="30" w:right="72" w:rightChars="30" w:firstLine="0" w:firstLineChars="0"/>
              <w:jc w:val="left"/>
              <w:textAlignment w:val="center"/>
              <w:rPr>
                <w:rFonts w:hint="eastAsia" w:hAnsi="Times New Roman" w:cs="Times New Roman"/>
                <w:color w:val="auto"/>
                <w:sz w:val="21"/>
                <w:szCs w:val="21"/>
                <w:lang w:eastAsia="zh-CN"/>
              </w:rPr>
            </w:pPr>
            <w:r>
              <w:rPr>
                <w:rFonts w:hint="eastAsia" w:hAnsi="宋体" w:cs="宋体"/>
                <w:color w:val="auto"/>
                <w:sz w:val="21"/>
                <w:szCs w:val="21"/>
                <w:lang w:val="en-US" w:eastAsia="zh-CN"/>
              </w:rPr>
              <w:t>注：企业的诚信综合评价排名以</w:t>
            </w:r>
            <w:r>
              <w:rPr>
                <w:rFonts w:hint="eastAsia" w:hAnsi="宋体" w:cs="宋体"/>
                <w:color w:val="auto"/>
                <w:sz w:val="21"/>
                <w:szCs w:val="21"/>
              </w:rPr>
              <w:t>投标截止当日</w:t>
            </w:r>
            <w:r>
              <w:rPr>
                <w:rFonts w:hint="eastAsia" w:hAnsi="宋体" w:cs="宋体"/>
                <w:color w:val="auto"/>
                <w:sz w:val="21"/>
                <w:szCs w:val="21"/>
                <w:lang w:val="en-US" w:eastAsia="zh-CN"/>
              </w:rPr>
              <w:t>评价</w:t>
            </w:r>
            <w:r>
              <w:rPr>
                <w:rFonts w:hint="eastAsia" w:hAnsi="宋体" w:cs="宋体"/>
                <w:color w:val="auto"/>
                <w:sz w:val="21"/>
                <w:szCs w:val="21"/>
              </w:rPr>
              <w:t>系统上公布的造价咨询企业60日诚信分排名数据为准，如“60日诚信分”得分</w:t>
            </w:r>
            <w:r>
              <w:rPr>
                <w:rFonts w:hint="eastAsia" w:hAnsi="宋体" w:cs="宋体"/>
                <w:color w:val="auto"/>
                <w:sz w:val="21"/>
                <w:szCs w:val="21"/>
                <w:lang w:val="en-US" w:eastAsia="zh-CN"/>
              </w:rPr>
              <w:t>相同</w:t>
            </w:r>
            <w:r>
              <w:rPr>
                <w:rFonts w:hint="eastAsia" w:hAnsi="宋体" w:cs="宋体"/>
                <w:color w:val="auto"/>
                <w:sz w:val="21"/>
                <w:szCs w:val="21"/>
              </w:rPr>
              <w:t>，则以“当日诚信分”较高者排序优先。广州市住房和城乡建设局诚信评价专栏造价咨询企业综合诚信评价排名查询路径：https://113.108.174.239:8080/JianGuan/honesty2.do?method=honesty2RankListDetail （若该网址有变化，以最新网址为准。）</w:t>
            </w:r>
          </w:p>
        </w:tc>
      </w:tr>
      <w:tr w14:paraId="50BD6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2312" w:type="dxa"/>
            <w:gridSpan w:val="2"/>
            <w:noWrap w:val="0"/>
            <w:vAlign w:val="center"/>
          </w:tcPr>
          <w:p w14:paraId="2B071BCF">
            <w:pPr>
              <w:keepNext w:val="0"/>
              <w:keepLines w:val="0"/>
              <w:pageBreakBefore w:val="0"/>
              <w:widowControl w:val="0"/>
              <w:suppressLineNumbers w:val="0"/>
              <w:kinsoku/>
              <w:wordWrap/>
              <w:overflowPunct/>
              <w:topLinePunct w:val="0"/>
              <w:autoSpaceDE/>
              <w:autoSpaceDN/>
              <w:bidi w:val="0"/>
              <w:spacing w:before="0" w:beforeAutospacing="0" w:after="0" w:afterAutospacing="0" w:line="276" w:lineRule="auto"/>
              <w:ind w:left="72" w:leftChars="30" w:right="72" w:rightChars="30" w:firstLine="0" w:firstLineChars="0"/>
              <w:jc w:val="center"/>
              <w:textAlignment w:val="center"/>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rPr>
              <w:t>总分</w:t>
            </w:r>
          </w:p>
        </w:tc>
        <w:tc>
          <w:tcPr>
            <w:tcW w:w="600" w:type="dxa"/>
            <w:noWrap w:val="0"/>
            <w:vAlign w:val="center"/>
          </w:tcPr>
          <w:p w14:paraId="3F9A712D">
            <w:pPr>
              <w:keepNext w:val="0"/>
              <w:keepLines w:val="0"/>
              <w:pageBreakBefore w:val="0"/>
              <w:widowControl w:val="0"/>
              <w:suppressLineNumbers w:val="0"/>
              <w:kinsoku/>
              <w:wordWrap/>
              <w:overflowPunct/>
              <w:topLinePunct w:val="0"/>
              <w:autoSpaceDE/>
              <w:autoSpaceDN/>
              <w:bidi w:val="0"/>
              <w:spacing w:before="0" w:beforeAutospacing="0" w:after="0" w:afterAutospacing="0" w:line="276" w:lineRule="auto"/>
              <w:ind w:left="72" w:leftChars="30" w:right="72" w:rightChars="30" w:firstLine="0" w:firstLineChars="0"/>
              <w:jc w:val="center"/>
              <w:textAlignment w:val="center"/>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rPr>
              <w:t>100</w:t>
            </w:r>
          </w:p>
        </w:tc>
        <w:tc>
          <w:tcPr>
            <w:tcW w:w="6347" w:type="dxa"/>
            <w:noWrap w:val="0"/>
            <w:vAlign w:val="center"/>
          </w:tcPr>
          <w:p w14:paraId="628724B9">
            <w:pPr>
              <w:keepNext w:val="0"/>
              <w:keepLines w:val="0"/>
              <w:widowControl w:val="0"/>
              <w:suppressLineNumbers w:val="0"/>
              <w:spacing w:before="0" w:beforeAutospacing="0" w:after="0" w:afterAutospacing="0" w:line="276" w:lineRule="auto"/>
              <w:ind w:left="72" w:leftChars="30" w:right="72" w:rightChars="30" w:firstLine="0" w:firstLineChars="0"/>
              <w:jc w:val="both"/>
              <w:textAlignment w:val="center"/>
              <w:rPr>
                <w:rFonts w:hint="eastAsia" w:ascii="宋体" w:hAnsi="宋体" w:eastAsia="宋体" w:cs="宋体"/>
                <w:color w:val="auto"/>
                <w:sz w:val="21"/>
                <w:szCs w:val="21"/>
                <w:lang w:val="en-US" w:eastAsia="zh-CN"/>
              </w:rPr>
            </w:pPr>
          </w:p>
        </w:tc>
      </w:tr>
    </w:tbl>
    <w:p w14:paraId="5C27A38A">
      <w:pPr>
        <w:snapToGrid w:val="0"/>
        <w:ind w:firstLine="420"/>
        <w:rPr>
          <w:rFonts w:hint="eastAsia" w:hAnsi="宋体" w:cs="宋体"/>
          <w:b/>
          <w:bCs/>
          <w:color w:val="auto"/>
          <w:sz w:val="21"/>
          <w:szCs w:val="21"/>
        </w:rPr>
      </w:pPr>
      <w:r>
        <w:rPr>
          <w:rFonts w:hint="eastAsia" w:hAnsi="宋体" w:cs="宋体"/>
          <w:b/>
          <w:bCs/>
          <w:color w:val="auto"/>
          <w:sz w:val="21"/>
          <w:szCs w:val="21"/>
        </w:rPr>
        <w:t>说明：</w:t>
      </w:r>
    </w:p>
    <w:p w14:paraId="0C539D00">
      <w:pPr>
        <w:widowControl w:val="0"/>
        <w:numPr>
          <w:ilvl w:val="0"/>
          <w:numId w:val="0"/>
        </w:numPr>
        <w:wordWrap w:val="0"/>
        <w:snapToGrid w:val="0"/>
        <w:spacing w:line="360" w:lineRule="auto"/>
        <w:ind w:leftChars="0" w:firstLine="420" w:firstLineChars="200"/>
        <w:rPr>
          <w:rFonts w:hint="eastAsia" w:hAnsi="宋体" w:cs="宋体"/>
          <w:color w:val="auto"/>
          <w:sz w:val="21"/>
          <w:szCs w:val="21"/>
        </w:rPr>
      </w:pPr>
      <w:r>
        <w:rPr>
          <w:rFonts w:hint="eastAsia" w:hAnsi="宋体" w:cs="宋体"/>
          <w:color w:val="auto"/>
          <w:sz w:val="21"/>
          <w:szCs w:val="21"/>
        </w:rPr>
        <w:t>1.项目团队人员配置情况：</w:t>
      </w:r>
    </w:p>
    <w:p w14:paraId="6EDFBD86">
      <w:pPr>
        <w:widowControl w:val="0"/>
        <w:numPr>
          <w:ilvl w:val="0"/>
          <w:numId w:val="0"/>
        </w:numPr>
        <w:wordWrap w:val="0"/>
        <w:snapToGrid w:val="0"/>
        <w:spacing w:line="360" w:lineRule="auto"/>
        <w:ind w:leftChars="0" w:firstLine="420" w:firstLineChars="200"/>
        <w:rPr>
          <w:rFonts w:hint="eastAsia" w:hAnsi="宋体" w:eastAsia="宋体" w:cs="宋体"/>
          <w:color w:val="auto"/>
          <w:sz w:val="21"/>
          <w:szCs w:val="21"/>
          <w:lang w:eastAsia="zh-CN"/>
        </w:rPr>
      </w:pPr>
      <w:r>
        <w:rPr>
          <w:rFonts w:hint="eastAsia" w:hAnsi="宋体" w:cs="宋体"/>
          <w:color w:val="auto"/>
          <w:sz w:val="21"/>
          <w:szCs w:val="21"/>
        </w:rPr>
        <w:t>1.1项目团队人员仅指注册在本公司人员，不含子公司人员，如投标申请人为集团公司，则不含其集团下属的子公司人员。</w:t>
      </w:r>
      <w:bookmarkStart w:id="389" w:name="auto_fouce_32"/>
    </w:p>
    <w:bookmarkEnd w:id="389"/>
    <w:p w14:paraId="7F1DE6E6">
      <w:pPr>
        <w:widowControl w:val="0"/>
        <w:numPr>
          <w:ilvl w:val="0"/>
          <w:numId w:val="0"/>
        </w:numPr>
        <w:wordWrap w:val="0"/>
        <w:snapToGrid w:val="0"/>
        <w:spacing w:line="360" w:lineRule="auto"/>
        <w:ind w:leftChars="0" w:firstLine="420" w:firstLineChars="200"/>
        <w:rPr>
          <w:rFonts w:hint="eastAsia" w:hAnsi="宋体" w:cs="宋体"/>
          <w:color w:val="auto"/>
          <w:sz w:val="21"/>
          <w:szCs w:val="21"/>
        </w:rPr>
      </w:pPr>
      <w:r>
        <w:rPr>
          <w:rFonts w:hint="eastAsia" w:hAnsi="宋体" w:cs="宋体"/>
          <w:color w:val="auto"/>
          <w:sz w:val="21"/>
          <w:szCs w:val="21"/>
        </w:rPr>
        <w:t>1.2人员须相对应提供身份证、职称证、资格证、注册证等证书。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部分年份注册造价师执业资格证书或注册证书中未注明专业的，以全国建筑市场监管公共服务平台网页查询结果为准，需提供网页截图。</w:t>
      </w:r>
    </w:p>
    <w:p w14:paraId="31C557B5">
      <w:pPr>
        <w:widowControl w:val="0"/>
        <w:numPr>
          <w:ilvl w:val="0"/>
          <w:numId w:val="0"/>
        </w:numPr>
        <w:wordWrap w:val="0"/>
        <w:snapToGrid w:val="0"/>
        <w:spacing w:line="360" w:lineRule="auto"/>
        <w:ind w:leftChars="0" w:firstLine="420" w:firstLineChars="200"/>
        <w:rPr>
          <w:rFonts w:hint="eastAsia" w:hAnsi="宋体" w:eastAsia="宋体" w:cs="宋体"/>
          <w:color w:val="auto"/>
          <w:sz w:val="21"/>
          <w:szCs w:val="21"/>
          <w:lang w:eastAsia="zh-CN"/>
        </w:rPr>
      </w:pPr>
      <w:r>
        <w:rPr>
          <w:rFonts w:hint="eastAsia" w:hAnsi="宋体" w:cs="宋体"/>
          <w:color w:val="auto"/>
          <w:sz w:val="21"/>
          <w:szCs w:val="21"/>
        </w:rPr>
        <w:t>1.3人员须提供</w:t>
      </w:r>
      <w:r>
        <w:rPr>
          <w:rFonts w:hint="eastAsia" w:hAnsi="宋体" w:cs="宋体"/>
          <w:color w:val="auto"/>
          <w:sz w:val="21"/>
          <w:szCs w:val="21"/>
          <w:u w:val="none"/>
        </w:rPr>
        <w:t>近6个月</w:t>
      </w:r>
      <w:r>
        <w:rPr>
          <w:rFonts w:hint="eastAsia" w:hAnsi="宋体" w:cs="宋体"/>
          <w:color w:val="auto"/>
          <w:sz w:val="21"/>
          <w:szCs w:val="21"/>
          <w:highlight w:val="none"/>
          <w:lang w:val="en-US" w:eastAsia="zh-CN"/>
        </w:rPr>
        <w:t>（2025年3-8月）</w:t>
      </w:r>
      <w:r>
        <w:rPr>
          <w:rFonts w:hint="eastAsia" w:hAnsi="宋体" w:cs="宋体"/>
          <w:color w:val="auto"/>
          <w:sz w:val="21"/>
          <w:szCs w:val="21"/>
          <w:u w:val="none"/>
        </w:rPr>
        <w:t>在本单位参保的社会保险证明文件</w:t>
      </w:r>
      <w:r>
        <w:rPr>
          <w:rFonts w:hint="eastAsia" w:hAnsi="宋体" w:cs="宋体"/>
          <w:color w:val="auto"/>
          <w:sz w:val="21"/>
          <w:szCs w:val="21"/>
          <w:lang w:eastAsia="zh-CN"/>
        </w:rPr>
        <w:t>。</w:t>
      </w:r>
    </w:p>
    <w:p w14:paraId="23D4F789">
      <w:pPr>
        <w:widowControl w:val="0"/>
        <w:numPr>
          <w:ilvl w:val="0"/>
          <w:numId w:val="0"/>
        </w:numPr>
        <w:wordWrap w:val="0"/>
        <w:snapToGrid w:val="0"/>
        <w:spacing w:line="360" w:lineRule="auto"/>
        <w:ind w:leftChars="0" w:firstLine="420" w:firstLineChars="200"/>
        <w:rPr>
          <w:rFonts w:hint="eastAsia" w:hAnsi="宋体" w:cs="宋体"/>
          <w:color w:val="auto"/>
          <w:sz w:val="21"/>
          <w:szCs w:val="21"/>
        </w:rPr>
      </w:pPr>
      <w:r>
        <w:rPr>
          <w:rFonts w:hint="eastAsia" w:hAnsi="宋体" w:cs="宋体"/>
          <w:color w:val="auto"/>
          <w:sz w:val="21"/>
          <w:szCs w:val="21"/>
        </w:rPr>
        <w:t>2.得（*，*]分，分值范围的解释：方括号为含此数</w:t>
      </w:r>
      <w:r>
        <w:rPr>
          <w:rFonts w:hint="eastAsia" w:hAnsi="宋体" w:cs="宋体"/>
          <w:color w:val="auto"/>
          <w:sz w:val="21"/>
          <w:szCs w:val="21"/>
          <w:lang w:eastAsia="zh-CN"/>
        </w:rPr>
        <w:t>，</w:t>
      </w:r>
      <w:r>
        <w:rPr>
          <w:rFonts w:hint="eastAsia" w:hAnsi="宋体" w:cs="宋体"/>
          <w:color w:val="auto"/>
          <w:sz w:val="21"/>
          <w:szCs w:val="21"/>
        </w:rPr>
        <w:t>圆括号为不含此分数。</w:t>
      </w:r>
    </w:p>
    <w:p w14:paraId="078D32B5">
      <w:pPr>
        <w:widowControl w:val="0"/>
        <w:numPr>
          <w:ilvl w:val="0"/>
          <w:numId w:val="0"/>
        </w:numPr>
        <w:wordWrap w:val="0"/>
        <w:snapToGrid w:val="0"/>
        <w:spacing w:line="360" w:lineRule="auto"/>
        <w:ind w:leftChars="0" w:firstLine="420" w:firstLineChars="200"/>
        <w:rPr>
          <w:rFonts w:hint="eastAsia" w:hAnsi="宋体" w:cs="宋体"/>
          <w:color w:val="auto"/>
          <w:sz w:val="21"/>
          <w:szCs w:val="21"/>
        </w:rPr>
      </w:pPr>
      <w:r>
        <w:rPr>
          <w:rFonts w:hint="eastAsia" w:hAnsi="宋体" w:cs="宋体"/>
          <w:color w:val="auto"/>
          <w:sz w:val="21"/>
          <w:szCs w:val="21"/>
        </w:rPr>
        <w:t>3.投标人满足多个档次的，按最高档次只计取一次得分。</w:t>
      </w:r>
    </w:p>
    <w:p w14:paraId="5906BEC4">
      <w:pPr>
        <w:widowControl w:val="0"/>
        <w:numPr>
          <w:ilvl w:val="0"/>
          <w:numId w:val="0"/>
        </w:numPr>
        <w:wordWrap w:val="0"/>
        <w:snapToGrid w:val="0"/>
        <w:spacing w:line="360" w:lineRule="auto"/>
        <w:ind w:leftChars="0" w:firstLine="420" w:firstLineChars="200"/>
        <w:rPr>
          <w:rFonts w:hint="eastAsia" w:hAnsi="宋体" w:eastAsia="宋体" w:cs="宋体"/>
          <w:color w:val="auto"/>
          <w:sz w:val="21"/>
          <w:szCs w:val="21"/>
          <w:lang w:eastAsia="zh-CN"/>
        </w:rPr>
      </w:pPr>
      <w:r>
        <w:rPr>
          <w:rFonts w:hint="eastAsia" w:hAnsi="宋体" w:cs="宋体"/>
          <w:color w:val="auto"/>
          <w:sz w:val="21"/>
          <w:szCs w:val="21"/>
        </w:rPr>
        <w:t>4.</w:t>
      </w:r>
      <w:bookmarkStart w:id="390" w:name="auto_fouce_34"/>
      <w:r>
        <w:rPr>
          <w:rFonts w:hint="eastAsia" w:hAnsi="宋体" w:cs="宋体"/>
          <w:color w:val="auto"/>
          <w:sz w:val="21"/>
          <w:szCs w:val="21"/>
        </w:rPr>
        <w:t>综合评分表中要求提供的证明文件如无特别说明，投标人提供的扫描件或网页信息打印页或网页信息截图内容等证明材料必须清晰可辨，如因扫描件或网页信息打印页或网页信息截图内容模糊导致评标时无法判断的，后果由投标人自负。上述证明资料不提供或提供不完整或提供不符合要求的不得分。</w:t>
      </w:r>
      <w:bookmarkEnd w:id="390"/>
    </w:p>
    <w:p w14:paraId="769162EF">
      <w:pPr>
        <w:widowControl w:val="0"/>
        <w:numPr>
          <w:ilvl w:val="0"/>
          <w:numId w:val="0"/>
        </w:numPr>
        <w:wordWrap w:val="0"/>
        <w:snapToGrid w:val="0"/>
        <w:ind w:firstLine="420" w:firstLineChars="200"/>
        <w:rPr>
          <w:rFonts w:hint="eastAsia" w:ascii="宋体" w:hAnsi="宋体" w:cs="宋体"/>
          <w:color w:val="auto"/>
          <w:sz w:val="21"/>
          <w:szCs w:val="21"/>
        </w:rPr>
      </w:pPr>
      <w:r>
        <w:rPr>
          <w:rFonts w:hint="eastAsia" w:hAnsi="宋体" w:cs="宋体"/>
          <w:color w:val="auto"/>
          <w:sz w:val="21"/>
          <w:szCs w:val="21"/>
          <w:lang w:val="en-US" w:eastAsia="zh-CN"/>
        </w:rPr>
        <w:t>5.</w:t>
      </w:r>
      <w:r>
        <w:rPr>
          <w:rFonts w:hint="eastAsia" w:hAnsi="宋体" w:cs="宋体"/>
          <w:color w:val="auto"/>
          <w:sz w:val="21"/>
          <w:szCs w:val="21"/>
        </w:rPr>
        <w:t>关于高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或该人员在人社部门职称管理系统登记的获得该职称的信息记录网页或截图打印件。</w:t>
      </w:r>
    </w:p>
    <w:p w14:paraId="2FB1DF68">
      <w:pPr>
        <w:pStyle w:val="75"/>
        <w:ind w:firstLine="400"/>
        <w:rPr>
          <w:color w:val="auto"/>
        </w:rPr>
      </w:pPr>
    </w:p>
    <w:p w14:paraId="51AD15D7">
      <w:pPr>
        <w:pStyle w:val="75"/>
        <w:ind w:firstLine="400"/>
        <w:rPr>
          <w:color w:val="auto"/>
        </w:rPr>
      </w:pPr>
    </w:p>
    <w:p w14:paraId="37B22704">
      <w:pPr>
        <w:pStyle w:val="75"/>
        <w:ind w:firstLine="400"/>
        <w:rPr>
          <w:color w:val="auto"/>
        </w:rPr>
      </w:pPr>
    </w:p>
    <w:p w14:paraId="5DA4FDAB">
      <w:pPr>
        <w:pStyle w:val="75"/>
        <w:ind w:firstLine="400"/>
        <w:rPr>
          <w:color w:val="auto"/>
        </w:rPr>
      </w:pPr>
    </w:p>
    <w:p w14:paraId="489679C6">
      <w:pPr>
        <w:pStyle w:val="75"/>
        <w:ind w:firstLine="400"/>
        <w:rPr>
          <w:color w:val="auto"/>
        </w:rPr>
      </w:pPr>
    </w:p>
    <w:p w14:paraId="07C5C54B">
      <w:pPr>
        <w:pStyle w:val="75"/>
        <w:ind w:firstLine="400"/>
        <w:rPr>
          <w:color w:val="auto"/>
        </w:rPr>
      </w:pPr>
    </w:p>
    <w:p w14:paraId="416AD91B">
      <w:pPr>
        <w:pStyle w:val="75"/>
        <w:ind w:firstLine="400"/>
        <w:rPr>
          <w:color w:val="auto"/>
        </w:rPr>
      </w:pPr>
    </w:p>
    <w:p w14:paraId="4B88CA03">
      <w:pPr>
        <w:pStyle w:val="75"/>
        <w:ind w:firstLine="400"/>
        <w:rPr>
          <w:color w:val="auto"/>
        </w:rPr>
      </w:pPr>
    </w:p>
    <w:p w14:paraId="5052401B">
      <w:pPr>
        <w:pStyle w:val="75"/>
        <w:ind w:firstLine="400"/>
        <w:rPr>
          <w:color w:val="auto"/>
        </w:rPr>
      </w:pPr>
    </w:p>
    <w:p w14:paraId="26C4DEE6">
      <w:pPr>
        <w:pStyle w:val="75"/>
        <w:ind w:firstLine="400"/>
        <w:rPr>
          <w:color w:val="auto"/>
        </w:rPr>
      </w:pPr>
    </w:p>
    <w:p w14:paraId="221A84F0">
      <w:pPr>
        <w:pStyle w:val="75"/>
        <w:ind w:firstLine="400"/>
        <w:rPr>
          <w:color w:val="auto"/>
        </w:rPr>
      </w:pPr>
    </w:p>
    <w:p w14:paraId="27726774">
      <w:pPr>
        <w:pStyle w:val="75"/>
        <w:ind w:firstLine="400"/>
        <w:rPr>
          <w:color w:val="auto"/>
        </w:rPr>
      </w:pPr>
    </w:p>
    <w:p w14:paraId="7D4A293C">
      <w:pPr>
        <w:pStyle w:val="75"/>
        <w:ind w:firstLine="400"/>
        <w:rPr>
          <w:color w:val="auto"/>
        </w:rPr>
      </w:pPr>
    </w:p>
    <w:p w14:paraId="4F6E5E3B">
      <w:pPr>
        <w:pStyle w:val="75"/>
        <w:ind w:firstLine="400"/>
        <w:rPr>
          <w:color w:val="auto"/>
        </w:rPr>
      </w:pPr>
    </w:p>
    <w:p w14:paraId="64E6A58F">
      <w:pPr>
        <w:pStyle w:val="75"/>
        <w:ind w:firstLine="400"/>
        <w:rPr>
          <w:color w:val="auto"/>
        </w:rPr>
      </w:pPr>
    </w:p>
    <w:p w14:paraId="0D2E34CA">
      <w:pPr>
        <w:pStyle w:val="75"/>
        <w:ind w:firstLine="400"/>
        <w:rPr>
          <w:color w:val="auto"/>
        </w:rPr>
      </w:pPr>
    </w:p>
    <w:p w14:paraId="215BCDE6">
      <w:pPr>
        <w:pStyle w:val="75"/>
        <w:ind w:firstLine="400"/>
        <w:rPr>
          <w:color w:val="auto"/>
        </w:rPr>
      </w:pPr>
    </w:p>
    <w:p w14:paraId="2C05D38E">
      <w:pPr>
        <w:pStyle w:val="75"/>
        <w:ind w:firstLine="400"/>
        <w:rPr>
          <w:color w:val="auto"/>
        </w:rPr>
      </w:pPr>
    </w:p>
    <w:p w14:paraId="2E04CC18">
      <w:pPr>
        <w:pStyle w:val="75"/>
        <w:ind w:firstLine="400"/>
        <w:rPr>
          <w:color w:val="auto"/>
        </w:rPr>
      </w:pPr>
    </w:p>
    <w:p w14:paraId="47861CAC">
      <w:pPr>
        <w:pStyle w:val="75"/>
        <w:ind w:firstLine="400"/>
        <w:rPr>
          <w:color w:val="auto"/>
        </w:rPr>
      </w:pPr>
    </w:p>
    <w:p w14:paraId="0AA61A05">
      <w:pPr>
        <w:pStyle w:val="75"/>
        <w:ind w:firstLine="400"/>
        <w:rPr>
          <w:color w:val="auto"/>
        </w:rPr>
      </w:pPr>
    </w:p>
    <w:p w14:paraId="097E2688">
      <w:pPr>
        <w:pStyle w:val="75"/>
        <w:ind w:firstLine="400"/>
        <w:rPr>
          <w:color w:val="auto"/>
        </w:rPr>
      </w:pPr>
    </w:p>
    <w:p w14:paraId="65B8D36E">
      <w:pPr>
        <w:spacing w:line="240" w:lineRule="auto"/>
        <w:ind w:firstLine="480"/>
        <w:jc w:val="left"/>
        <w:rPr>
          <w:color w:val="auto"/>
        </w:rPr>
      </w:pPr>
    </w:p>
    <w:p w14:paraId="14A73CE7">
      <w:pPr>
        <w:spacing w:line="502" w:lineRule="exact"/>
        <w:ind w:firstLine="0" w:firstLineChars="0"/>
        <w:jc w:val="center"/>
        <w:outlineLvl w:val="0"/>
        <w:rPr>
          <w:rFonts w:hint="eastAsia" w:hAnsi="宋体"/>
          <w:b/>
          <w:color w:val="auto"/>
          <w:sz w:val="44"/>
        </w:rPr>
      </w:pPr>
      <w:bookmarkStart w:id="391" w:name="_Toc21235"/>
      <w:bookmarkStart w:id="392" w:name="_Toc27269"/>
      <w:r>
        <w:rPr>
          <w:rFonts w:hAnsi="宋体"/>
          <w:b/>
          <w:color w:val="auto"/>
          <w:sz w:val="44"/>
        </w:rPr>
        <w:t>第四章</w:t>
      </w:r>
      <w:bookmarkStart w:id="393" w:name="_Toc25584"/>
      <w:r>
        <w:rPr>
          <w:rFonts w:hint="eastAsia" w:hAnsi="宋体"/>
          <w:b/>
          <w:color w:val="auto"/>
          <w:sz w:val="44"/>
        </w:rPr>
        <w:t xml:space="preserve">  </w:t>
      </w:r>
      <w:r>
        <w:rPr>
          <w:rFonts w:hAnsi="宋体"/>
          <w:b/>
          <w:color w:val="auto"/>
          <w:sz w:val="44"/>
        </w:rPr>
        <w:t>合</w:t>
      </w:r>
      <w:bookmarkEnd w:id="393"/>
      <w:bookmarkStart w:id="394" w:name="_Toc31019"/>
      <w:r>
        <w:rPr>
          <w:rFonts w:hAnsi="宋体"/>
          <w:b/>
          <w:color w:val="auto"/>
          <w:sz w:val="44"/>
        </w:rPr>
        <w:t>同条款及格式</w:t>
      </w:r>
      <w:bookmarkEnd w:id="391"/>
      <w:bookmarkEnd w:id="392"/>
    </w:p>
    <w:p w14:paraId="4156FD2A">
      <w:pPr>
        <w:spacing w:line="502" w:lineRule="exact"/>
        <w:ind w:firstLine="883"/>
        <w:jc w:val="center"/>
        <w:rPr>
          <w:rFonts w:hint="eastAsia" w:hAnsi="宋体"/>
          <w:b/>
          <w:color w:val="auto"/>
          <w:sz w:val="44"/>
        </w:rPr>
      </w:pPr>
    </w:p>
    <w:p w14:paraId="2E03040C">
      <w:pPr>
        <w:pStyle w:val="75"/>
        <w:ind w:firstLine="400"/>
        <w:rPr>
          <w:rFonts w:hint="eastAsia" w:eastAsia="宋体"/>
          <w:color w:val="auto"/>
          <w:lang w:eastAsia="zh-CN"/>
        </w:rPr>
      </w:pPr>
    </w:p>
    <w:p w14:paraId="0C73CDD5">
      <w:pPr>
        <w:pStyle w:val="75"/>
        <w:ind w:firstLine="0" w:firstLineChars="0"/>
        <w:jc w:val="center"/>
        <w:rPr>
          <w:rFonts w:hint="eastAsia"/>
          <w:color w:val="auto"/>
          <w:sz w:val="28"/>
          <w:szCs w:val="28"/>
        </w:rPr>
      </w:pPr>
      <w:r>
        <w:rPr>
          <w:rFonts w:hint="eastAsia"/>
          <w:color w:val="auto"/>
          <w:sz w:val="28"/>
          <w:szCs w:val="28"/>
          <w:lang w:eastAsia="zh-CN"/>
        </w:rPr>
        <w:t>（另册）</w:t>
      </w:r>
    </w:p>
    <w:p w14:paraId="7D7C0060">
      <w:pPr>
        <w:pStyle w:val="75"/>
        <w:ind w:firstLine="400"/>
        <w:rPr>
          <w:rFonts w:hint="eastAsia"/>
          <w:color w:val="auto"/>
        </w:rPr>
      </w:pPr>
    </w:p>
    <w:p w14:paraId="7682D2B8">
      <w:pPr>
        <w:pStyle w:val="75"/>
        <w:ind w:firstLine="400"/>
        <w:rPr>
          <w:rFonts w:hint="eastAsia"/>
          <w:color w:val="auto"/>
        </w:rPr>
      </w:pPr>
    </w:p>
    <w:p w14:paraId="135C1623">
      <w:pPr>
        <w:pStyle w:val="75"/>
        <w:ind w:firstLine="400"/>
        <w:rPr>
          <w:rFonts w:hint="eastAsia"/>
          <w:color w:val="auto"/>
        </w:rPr>
        <w:sectPr>
          <w:headerReference r:id="rId14" w:type="default"/>
          <w:footerReference r:id="rId15" w:type="default"/>
          <w:pgSz w:w="11906" w:h="16838"/>
          <w:pgMar w:top="1440" w:right="1800" w:bottom="1440" w:left="1800" w:header="851" w:footer="992" w:gutter="0"/>
          <w:cols w:space="720" w:num="1"/>
          <w:docGrid w:type="lines" w:linePitch="312" w:charSpace="0"/>
        </w:sectPr>
      </w:pPr>
    </w:p>
    <w:p w14:paraId="117A2233">
      <w:pPr>
        <w:pStyle w:val="75"/>
        <w:ind w:firstLine="0" w:firstLineChars="0"/>
        <w:rPr>
          <w:rFonts w:hint="eastAsia"/>
          <w:color w:val="auto"/>
        </w:rPr>
      </w:pPr>
    </w:p>
    <w:p w14:paraId="3EF0D280">
      <w:pPr>
        <w:spacing w:line="491" w:lineRule="exact"/>
        <w:ind w:firstLine="0" w:firstLineChars="0"/>
        <w:jc w:val="center"/>
        <w:outlineLvl w:val="0"/>
        <w:rPr>
          <w:rFonts w:hAnsi="宋体"/>
          <w:b/>
          <w:color w:val="auto"/>
          <w:sz w:val="43"/>
          <w:szCs w:val="22"/>
        </w:rPr>
      </w:pPr>
      <w:bookmarkStart w:id="395" w:name="_Toc19821"/>
      <w:bookmarkStart w:id="396" w:name="_Toc17496"/>
      <w:r>
        <w:rPr>
          <w:rFonts w:hAnsi="宋体"/>
          <w:b/>
          <w:color w:val="auto"/>
          <w:sz w:val="43"/>
          <w:szCs w:val="22"/>
        </w:rPr>
        <w:t>第五章  委托人要求</w:t>
      </w:r>
      <w:bookmarkEnd w:id="395"/>
      <w:bookmarkEnd w:id="396"/>
    </w:p>
    <w:p w14:paraId="3FC0808A">
      <w:pPr>
        <w:spacing w:line="491" w:lineRule="exact"/>
        <w:ind w:firstLine="480"/>
        <w:jc w:val="center"/>
        <w:outlineLvl w:val="9"/>
        <w:rPr>
          <w:rFonts w:hint="eastAsia" w:hAnsi="宋体"/>
          <w:color w:val="auto"/>
        </w:rPr>
      </w:pPr>
    </w:p>
    <w:p w14:paraId="31B7C258">
      <w:pPr>
        <w:ind w:firstLine="480"/>
        <w:rPr>
          <w:color w:val="auto"/>
        </w:rPr>
      </w:pPr>
    </w:p>
    <w:p w14:paraId="52783085">
      <w:pPr>
        <w:widowControl w:val="0"/>
        <w:ind w:firstLine="482"/>
        <w:outlineLvl w:val="9"/>
        <w:rPr>
          <w:rFonts w:hint="eastAsia" w:hAnsi="宋体" w:cs="宋体"/>
          <w:b/>
          <w:color w:val="auto"/>
          <w:szCs w:val="24"/>
        </w:rPr>
      </w:pPr>
      <w:bookmarkStart w:id="397" w:name="_Toc12556"/>
      <w:bookmarkStart w:id="398" w:name="_Toc18912"/>
      <w:r>
        <w:rPr>
          <w:rFonts w:hint="eastAsia" w:hAnsi="宋体" w:cs="宋体"/>
          <w:b/>
          <w:color w:val="auto"/>
          <w:szCs w:val="24"/>
        </w:rPr>
        <w:t>一、项目概况</w:t>
      </w:r>
      <w:bookmarkEnd w:id="397"/>
      <w:bookmarkEnd w:id="398"/>
    </w:p>
    <w:p w14:paraId="1366CAD2">
      <w:pPr>
        <w:widowControl w:val="0"/>
        <w:ind w:firstLine="480"/>
        <w:rPr>
          <w:rFonts w:hint="eastAsia" w:hAnsi="宋体" w:cs="宋体"/>
          <w:color w:val="auto"/>
          <w:szCs w:val="24"/>
        </w:rPr>
      </w:pPr>
      <w:r>
        <w:rPr>
          <w:rFonts w:hint="eastAsia" w:hAnsi="宋体" w:cs="宋体"/>
          <w:color w:val="auto"/>
          <w:szCs w:val="24"/>
          <w:lang w:val="en-US" w:eastAsia="zh-CN"/>
        </w:rPr>
        <w:t>1、</w:t>
      </w:r>
      <w:r>
        <w:rPr>
          <w:rFonts w:hint="eastAsia" w:hAnsi="宋体" w:cs="宋体"/>
          <w:color w:val="auto"/>
          <w:szCs w:val="24"/>
        </w:rPr>
        <w:t>工程名称：</w:t>
      </w:r>
      <w:r>
        <w:rPr>
          <w:rFonts w:hint="eastAsia" w:hAnsi="宋体" w:cs="宋体"/>
          <w:color w:val="auto"/>
          <w:szCs w:val="24"/>
          <w:lang w:eastAsia="zh-CN"/>
        </w:rPr>
        <w:t>广东省财经职业技术学校新校区建设项目全过程造价咨询服务</w:t>
      </w:r>
    </w:p>
    <w:p w14:paraId="36CC12C0">
      <w:pPr>
        <w:spacing w:line="360" w:lineRule="auto"/>
        <w:jc w:val="left"/>
        <w:rPr>
          <w:rFonts w:hint="eastAsia" w:hAnsi="宋体" w:eastAsia="宋体" w:cs="黑体"/>
          <w:color w:val="auto"/>
          <w:szCs w:val="24"/>
          <w:u w:val="single"/>
          <w:lang w:val="en-US" w:eastAsia="zh-CN"/>
        </w:rPr>
      </w:pPr>
      <w:r>
        <w:rPr>
          <w:rFonts w:hint="eastAsia" w:hAnsi="宋体" w:cs="宋体"/>
          <w:color w:val="auto"/>
          <w:szCs w:val="24"/>
          <w:lang w:val="en-US" w:eastAsia="zh-CN"/>
        </w:rPr>
        <w:t>2、建设地点：</w:t>
      </w:r>
      <w:r>
        <w:rPr>
          <w:rFonts w:hint="eastAsia" w:hAnsi="宋体" w:cs="黑体"/>
          <w:color w:val="auto"/>
          <w:szCs w:val="24"/>
          <w:u w:val="single"/>
        </w:rPr>
        <w:t>广州市增城区中新镇五联村</w:t>
      </w:r>
    </w:p>
    <w:p w14:paraId="1BE98D1B">
      <w:pPr>
        <w:widowControl w:val="0"/>
        <w:ind w:firstLine="480"/>
        <w:rPr>
          <w:rFonts w:hint="eastAsia" w:hAnsi="宋体" w:cs="宋体"/>
          <w:color w:val="auto"/>
          <w:szCs w:val="24"/>
          <w:u w:val="none"/>
        </w:rPr>
      </w:pPr>
      <w:r>
        <w:rPr>
          <w:rFonts w:hint="eastAsia" w:hAnsi="宋体" w:cs="宋体"/>
          <w:color w:val="auto"/>
          <w:szCs w:val="24"/>
        </w:rPr>
        <w:t>3、建设规模及内容：本项目占地面积约300亩（不含留用地），总建筑面积为242953㎡，其中地上建筑面积225038㎡，地下建筑面积17915㎡。建设内容包括1#行政综合楼地上建筑面积22440㎡；2#专业教室及实训用房地上建筑面积63500㎡；3#综合实训楼建筑面积15190㎡；4#图书馆建筑面积11650㎡；5#食堂1及大学生活动中心建筑面积15000㎡；6#食堂2及后勤用房建筑面积10500㎡；7#高职学生宿舍及教师公寓建筑面积60100㎡；8#中职学生宿舍建筑面积15750㎡；9#室内体育用房建筑面积8810㎡；风雨连廊建筑面积2098㎡；地下室（含人防）建筑面积17915㎡，配套建设室外运动场、室外停车场、道路广场、绿地、挡土墙及护坡、截洪沟、外电工程、充电桩、围墙、校门、标识等工程（教学设备及家具教具不包含在内）。</w:t>
      </w:r>
      <w:r>
        <w:rPr>
          <w:rFonts w:hint="eastAsia" w:ascii="宋体" w:hAnsi="宋体" w:cs="宋体"/>
          <w:color w:val="auto"/>
          <w:sz w:val="24"/>
          <w:szCs w:val="24"/>
          <w:highlight w:val="none"/>
          <w:u w:val="none"/>
        </w:rPr>
        <w:t>其中最大单体建筑面积为63500㎡，最高建筑为地上10层、地下1层，建筑高度为42.8米。（最终以规划行政部门和报批报建批复为准）</w:t>
      </w:r>
      <w:r>
        <w:rPr>
          <w:rFonts w:hint="eastAsia" w:hAnsi="宋体" w:cs="宋体"/>
          <w:color w:val="auto"/>
          <w:szCs w:val="24"/>
          <w:u w:val="none"/>
        </w:rPr>
        <w:t>。</w:t>
      </w:r>
    </w:p>
    <w:p w14:paraId="541815D1">
      <w:pPr>
        <w:widowControl/>
        <w:ind w:firstLine="480"/>
        <w:jc w:val="left"/>
        <w:rPr>
          <w:rFonts w:hint="eastAsia" w:hAnsi="宋体" w:eastAsia="宋体" w:cs="宋体"/>
          <w:color w:val="auto"/>
          <w:szCs w:val="24"/>
          <w:u w:val="none"/>
          <w:lang w:eastAsia="zh-CN"/>
        </w:rPr>
      </w:pPr>
      <w:r>
        <w:rPr>
          <w:rFonts w:hint="eastAsia" w:hAnsi="宋体" w:cs="宋体"/>
          <w:color w:val="auto"/>
          <w:szCs w:val="24"/>
          <w:u w:val="none"/>
        </w:rPr>
        <w:t>项目总投资估算</w:t>
      </w:r>
      <w:bookmarkStart w:id="399" w:name="_Toc419045059"/>
      <w:bookmarkStart w:id="400" w:name="_Toc523854846"/>
      <w:bookmarkStart w:id="401" w:name="_Toc7132"/>
      <w:bookmarkStart w:id="402" w:name="_Toc29882"/>
      <w:bookmarkStart w:id="403" w:name="_Toc80361512"/>
      <w:r>
        <w:rPr>
          <w:rFonts w:hint="eastAsia" w:ascii="宋体" w:hAnsi="宋体" w:cs="宋体"/>
          <w:color w:val="auto"/>
          <w:sz w:val="24"/>
          <w:szCs w:val="24"/>
          <w:highlight w:val="none"/>
          <w:u w:val="none"/>
        </w:rPr>
        <w:t>约</w:t>
      </w:r>
      <w:r>
        <w:rPr>
          <w:rFonts w:hint="eastAsia" w:hAnsi="宋体" w:cs="宋体"/>
          <w:color w:val="auto"/>
          <w:sz w:val="24"/>
          <w:szCs w:val="24"/>
          <w:highlight w:val="none"/>
          <w:u w:val="none"/>
          <w:lang w:val="en-US" w:eastAsia="zh-CN"/>
        </w:rPr>
        <w:t>为</w:t>
      </w:r>
      <w:r>
        <w:rPr>
          <w:rFonts w:hint="eastAsia" w:ascii="宋体" w:hAnsi="宋体" w:cs="宋体"/>
          <w:color w:val="auto"/>
          <w:sz w:val="24"/>
          <w:szCs w:val="24"/>
          <w:highlight w:val="none"/>
          <w:u w:val="none"/>
        </w:rPr>
        <w:t>人民币</w:t>
      </w:r>
      <w:r>
        <w:rPr>
          <w:rFonts w:hint="eastAsia" w:ascii="宋体" w:hAnsi="宋体" w:cs="宋体"/>
          <w:color w:val="auto"/>
          <w:sz w:val="24"/>
          <w:szCs w:val="24"/>
          <w:highlight w:val="none"/>
          <w:u w:val="none"/>
          <w:lang w:val="en-US" w:eastAsia="zh-CN"/>
        </w:rPr>
        <w:t>136280.69</w:t>
      </w:r>
      <w:r>
        <w:rPr>
          <w:rFonts w:hint="eastAsia" w:ascii="宋体" w:hAnsi="宋体" w:cs="宋体"/>
          <w:color w:val="auto"/>
          <w:sz w:val="24"/>
          <w:szCs w:val="24"/>
          <w:highlight w:val="none"/>
          <w:u w:val="none"/>
        </w:rPr>
        <w:t>万元。其中，工程费用104175.57万元。（最终以概算批复为准）</w:t>
      </w:r>
    </w:p>
    <w:p w14:paraId="42DEDA67">
      <w:pPr>
        <w:widowControl w:val="0"/>
        <w:tabs>
          <w:tab w:val="left" w:pos="7513"/>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4、招标范围</w:t>
      </w:r>
    </w:p>
    <w:p w14:paraId="5DD25F14">
      <w:pPr>
        <w:widowControl w:val="0"/>
        <w:tabs>
          <w:tab w:val="left" w:pos="7513"/>
        </w:tabs>
        <w:spacing w:line="360" w:lineRule="auto"/>
        <w:ind w:firstLine="480" w:firstLineChars="200"/>
        <w:rPr>
          <w:rFonts w:ascii="宋体" w:hAnsi="宋体" w:cs="宋体"/>
          <w:color w:val="auto"/>
          <w:sz w:val="24"/>
          <w:szCs w:val="24"/>
        </w:rPr>
      </w:pPr>
      <w:bookmarkStart w:id="404" w:name="_Toc27945"/>
      <w:r>
        <w:rPr>
          <w:rFonts w:hint="eastAsia" w:ascii="宋体" w:hAnsi="宋体" w:cs="宋体"/>
          <w:color w:val="auto"/>
          <w:sz w:val="24"/>
          <w:szCs w:val="24"/>
        </w:rPr>
        <w:t>4.1标段划分：本项目共划分1个标段</w:t>
      </w:r>
      <w:bookmarkEnd w:id="404"/>
    </w:p>
    <w:p w14:paraId="44E4A506">
      <w:pPr>
        <w:widowControl w:val="0"/>
        <w:spacing w:line="360" w:lineRule="auto"/>
        <w:ind w:firstLine="480" w:firstLineChars="200"/>
        <w:rPr>
          <w:rFonts w:hint="eastAsia" w:ascii="宋体" w:hAnsi="宋体" w:eastAsia="宋体"/>
          <w:color w:val="auto"/>
          <w:sz w:val="24"/>
          <w:szCs w:val="24"/>
          <w:u w:val="single"/>
          <w:lang w:eastAsia="zh-CN"/>
        </w:rPr>
      </w:pPr>
      <w:bookmarkStart w:id="405" w:name="_Toc27021"/>
      <w:bookmarkStart w:id="406" w:name="auto_fouce_35"/>
      <w:r>
        <w:rPr>
          <w:rFonts w:hint="eastAsia" w:ascii="宋体" w:hAnsi="宋体" w:cs="宋体"/>
          <w:color w:val="auto"/>
          <w:sz w:val="24"/>
          <w:szCs w:val="24"/>
        </w:rPr>
        <w:t>4.2服务范围：</w:t>
      </w:r>
      <w:bookmarkEnd w:id="405"/>
      <w:r>
        <w:rPr>
          <w:rFonts w:hint="eastAsia" w:ascii="宋体" w:hAnsi="宋体" w:cs="宋体"/>
          <w:color w:val="auto"/>
          <w:sz w:val="24"/>
          <w:szCs w:val="24"/>
          <w:u w:val="single"/>
          <w:shd w:val="clear" w:color="auto" w:fill="FFFFFF"/>
          <w:lang w:eastAsia="zh-CN"/>
        </w:rPr>
        <w:t>广东省财经职业技术学校新校区建设项目全过程造价咨询服务</w:t>
      </w:r>
      <w:r>
        <w:rPr>
          <w:rFonts w:hint="eastAsia" w:ascii="宋体" w:hAnsi="宋体" w:cs="宋体"/>
          <w:color w:val="auto"/>
          <w:sz w:val="24"/>
          <w:szCs w:val="24"/>
          <w:u w:val="single"/>
          <w:shd w:val="clear" w:color="auto" w:fill="FFFFFF"/>
        </w:rPr>
        <w:t>，依据国家有关法律、法规、建设行政主管部门和省、市相关职能部门的有关规定，通过对建设项目（概算、预算、结算</w:t>
      </w:r>
      <w:r>
        <w:rPr>
          <w:rFonts w:hint="eastAsia" w:cs="宋体"/>
          <w:color w:val="auto"/>
          <w:sz w:val="24"/>
          <w:szCs w:val="24"/>
          <w:u w:val="single"/>
          <w:shd w:val="clear" w:color="auto" w:fill="FFFFFF"/>
          <w:lang w:val="en-US" w:eastAsia="zh-CN"/>
        </w:rPr>
        <w:t>等</w:t>
      </w:r>
      <w:r>
        <w:rPr>
          <w:rFonts w:hint="eastAsia" w:ascii="宋体" w:hAnsi="宋体" w:cs="宋体"/>
          <w:color w:val="auto"/>
          <w:sz w:val="24"/>
          <w:szCs w:val="24"/>
          <w:u w:val="single"/>
          <w:shd w:val="clear" w:color="auto" w:fill="FFFFFF"/>
        </w:rPr>
        <w:t>）各阶段工程的计量计价编制或审核工作，实施以工程造价管理为核心的项目管理，实现整个建设项目工程造价的有效控制，确保工程造价控制目标的实现</w:t>
      </w:r>
      <w:r>
        <w:rPr>
          <w:rFonts w:hint="eastAsia" w:ascii="宋体" w:hAnsi="宋体" w:cs="宋体"/>
          <w:color w:val="auto"/>
          <w:sz w:val="24"/>
          <w:szCs w:val="24"/>
          <w:u w:val="single"/>
          <w:shd w:val="clear" w:color="auto" w:fill="FFFFFF"/>
          <w:lang w:eastAsia="zh-CN"/>
        </w:rPr>
        <w:t>。</w:t>
      </w:r>
      <w:r>
        <w:rPr>
          <w:rFonts w:hint="eastAsia" w:ascii="宋体" w:hAnsi="宋体"/>
          <w:color w:val="auto"/>
          <w:sz w:val="24"/>
          <w:szCs w:val="24"/>
          <w:u w:val="single"/>
        </w:rPr>
        <w:t>包括（但不限于）</w:t>
      </w:r>
      <w:r>
        <w:rPr>
          <w:rFonts w:hint="eastAsia"/>
          <w:color w:val="auto"/>
          <w:sz w:val="24"/>
          <w:szCs w:val="24"/>
          <w:u w:val="single"/>
          <w:lang w:val="en-US" w:eastAsia="zh-CN"/>
        </w:rPr>
        <w:t>设计</w:t>
      </w:r>
      <w:r>
        <w:rPr>
          <w:rFonts w:hint="eastAsia" w:ascii="宋体" w:hAnsi="宋体"/>
          <w:color w:val="auto"/>
          <w:sz w:val="24"/>
          <w:szCs w:val="24"/>
          <w:u w:val="single"/>
        </w:rPr>
        <w:t>阶段、</w:t>
      </w:r>
      <w:r>
        <w:rPr>
          <w:rFonts w:hint="eastAsia" w:hAnsi="宋体"/>
          <w:color w:val="auto"/>
          <w:sz w:val="24"/>
          <w:szCs w:val="24"/>
          <w:u w:val="single"/>
          <w:lang w:val="en-US" w:eastAsia="zh-CN"/>
        </w:rPr>
        <w:t>施工</w:t>
      </w:r>
      <w:r>
        <w:rPr>
          <w:rFonts w:hint="eastAsia" w:ascii="宋体" w:hAnsi="宋体"/>
          <w:color w:val="auto"/>
          <w:sz w:val="24"/>
          <w:szCs w:val="24"/>
          <w:u w:val="single"/>
        </w:rPr>
        <w:t>阶段、工程结（决）算阶段、审计阶段等工程造价控制咨询服务、投资控制工作</w:t>
      </w:r>
      <w:r>
        <w:rPr>
          <w:rFonts w:hint="eastAsia" w:hAnsi="宋体"/>
          <w:color w:val="auto"/>
          <w:sz w:val="24"/>
          <w:szCs w:val="24"/>
          <w:u w:val="single"/>
          <w:lang w:eastAsia="zh-CN"/>
        </w:rPr>
        <w:t>。如招标人对服务范围或内容进行调整，须提前书面通知咨询单位，并明确调整内容、调整程序及相应费用调整机制。若调整导致服务工作量明显增加或减少，双方应协商合理调整服务费用。</w:t>
      </w:r>
      <w:r>
        <w:rPr>
          <w:rFonts w:hint="eastAsia" w:ascii="宋体" w:hAnsi="宋体"/>
          <w:color w:val="auto"/>
          <w:sz w:val="24"/>
          <w:szCs w:val="24"/>
          <w:u w:val="single"/>
        </w:rPr>
        <w:t>每个阶段具体的工作内容详见下表（招标人有权对本项目的服务范围和工作内容进行适当调整）。</w:t>
      </w:r>
      <w:bookmarkEnd w:id="406"/>
    </w:p>
    <w:tbl>
      <w:tblPr>
        <w:tblStyle w:val="37"/>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77"/>
        <w:gridCol w:w="6413"/>
        <w:gridCol w:w="720"/>
        <w:gridCol w:w="417"/>
      </w:tblGrid>
      <w:tr w14:paraId="145B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558" w:hRule="atLeast"/>
          <w:jc w:val="center"/>
        </w:trPr>
        <w:tc>
          <w:tcPr>
            <w:tcW w:w="845" w:type="dxa"/>
            <w:noWrap w:val="0"/>
            <w:vAlign w:val="center"/>
          </w:tcPr>
          <w:p w14:paraId="0C3FA7D0">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Times New Roman"/>
                <w:b/>
                <w:bCs/>
                <w:color w:val="auto"/>
                <w:sz w:val="24"/>
                <w:szCs w:val="24"/>
              </w:rPr>
            </w:pPr>
            <w:bookmarkStart w:id="407" w:name="_Toc523854847"/>
            <w:bookmarkStart w:id="408" w:name="_Toc15584"/>
            <w:bookmarkStart w:id="409" w:name="_Toc28921"/>
            <w:r>
              <w:rPr>
                <w:rFonts w:hint="eastAsia" w:ascii="宋体" w:hAnsi="宋体" w:cs="Times New Roman"/>
                <w:b/>
                <w:bCs/>
                <w:color w:val="auto"/>
                <w:sz w:val="24"/>
                <w:szCs w:val="24"/>
              </w:rPr>
              <w:t>序号</w:t>
            </w:r>
          </w:p>
        </w:tc>
        <w:tc>
          <w:tcPr>
            <w:tcW w:w="1277" w:type="dxa"/>
            <w:noWrap w:val="0"/>
            <w:vAlign w:val="center"/>
          </w:tcPr>
          <w:p w14:paraId="773A8EB1">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Times New Roman"/>
                <w:b/>
                <w:bCs/>
                <w:color w:val="auto"/>
                <w:sz w:val="24"/>
                <w:szCs w:val="24"/>
              </w:rPr>
            </w:pPr>
            <w:r>
              <w:rPr>
                <w:rFonts w:hint="eastAsia" w:ascii="宋体" w:hAnsi="宋体" w:cs="Times New Roman"/>
                <w:b/>
                <w:bCs/>
                <w:color w:val="auto"/>
                <w:sz w:val="24"/>
                <w:szCs w:val="24"/>
              </w:rPr>
              <w:t>控制阶段</w:t>
            </w:r>
          </w:p>
        </w:tc>
        <w:tc>
          <w:tcPr>
            <w:tcW w:w="6413" w:type="dxa"/>
            <w:noWrap w:val="0"/>
            <w:vAlign w:val="center"/>
          </w:tcPr>
          <w:p w14:paraId="406EC3E9">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Times New Roman"/>
                <w:b/>
                <w:bCs/>
                <w:color w:val="auto"/>
                <w:sz w:val="24"/>
                <w:szCs w:val="24"/>
              </w:rPr>
            </w:pPr>
            <w:r>
              <w:rPr>
                <w:rFonts w:hint="eastAsia" w:ascii="宋体" w:hAnsi="宋体" w:cs="Times New Roman"/>
                <w:b/>
                <w:bCs/>
                <w:color w:val="auto"/>
                <w:sz w:val="24"/>
                <w:szCs w:val="24"/>
              </w:rPr>
              <w:t>各阶段的造价控制工作内容</w:t>
            </w:r>
          </w:p>
        </w:tc>
        <w:tc>
          <w:tcPr>
            <w:tcW w:w="720" w:type="dxa"/>
            <w:noWrap w:val="0"/>
            <w:vAlign w:val="center"/>
          </w:tcPr>
          <w:p w14:paraId="6643B38B">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Times New Roman"/>
                <w:b/>
                <w:bCs/>
                <w:color w:val="auto"/>
                <w:sz w:val="24"/>
                <w:szCs w:val="24"/>
              </w:rPr>
            </w:pPr>
            <w:r>
              <w:rPr>
                <w:rFonts w:hint="eastAsia" w:ascii="宋体" w:hAnsi="宋体" w:cs="Times New Roman"/>
                <w:b/>
                <w:bCs/>
                <w:color w:val="auto"/>
                <w:sz w:val="24"/>
                <w:szCs w:val="24"/>
              </w:rPr>
              <w:t>备注</w:t>
            </w:r>
          </w:p>
        </w:tc>
      </w:tr>
      <w:tr w14:paraId="1D62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jc w:val="center"/>
        </w:trPr>
        <w:tc>
          <w:tcPr>
            <w:tcW w:w="845" w:type="dxa"/>
            <w:noWrap w:val="0"/>
            <w:vAlign w:val="center"/>
          </w:tcPr>
          <w:p w14:paraId="17622BD7">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1</w:t>
            </w:r>
          </w:p>
        </w:tc>
        <w:tc>
          <w:tcPr>
            <w:tcW w:w="1277" w:type="dxa"/>
            <w:noWrap w:val="0"/>
            <w:vAlign w:val="center"/>
          </w:tcPr>
          <w:p w14:paraId="3CF2EDB3">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cs="宋体"/>
                <w:b w:val="0"/>
                <w:bCs w:val="0"/>
                <w:color w:val="auto"/>
                <w:kern w:val="0"/>
                <w:sz w:val="24"/>
                <w:szCs w:val="24"/>
                <w:shd w:val="clear" w:color="auto" w:fill="auto"/>
                <w:lang w:val="en-US" w:eastAsia="zh-CN"/>
              </w:rPr>
              <w:t>设计</w:t>
            </w:r>
            <w:r>
              <w:rPr>
                <w:rFonts w:hint="eastAsia" w:ascii="宋体" w:hAnsi="宋体" w:eastAsia="宋体" w:cs="宋体"/>
                <w:b w:val="0"/>
                <w:bCs w:val="0"/>
                <w:color w:val="auto"/>
                <w:kern w:val="0"/>
                <w:sz w:val="24"/>
                <w:szCs w:val="24"/>
                <w:shd w:val="clear" w:color="auto" w:fill="auto"/>
              </w:rPr>
              <w:t>阶段</w:t>
            </w:r>
          </w:p>
        </w:tc>
        <w:tc>
          <w:tcPr>
            <w:tcW w:w="6413" w:type="dxa"/>
            <w:noWrap w:val="0"/>
            <w:vAlign w:val="top"/>
          </w:tcPr>
          <w:p w14:paraId="501F9B91">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1.按照项目设计初步文件及相关资料对照设计单位编报的初步设计概算汇总表、工程量计算书、算量模型等概算资料开展对照审核工作，出具审核报告，重点审核建安工程费用有无错漏项、工程量计算有无偏差，取费标准是否合理等内容。</w:t>
            </w:r>
          </w:p>
          <w:p w14:paraId="5CDF3121">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2.负责对设计中采用的主材、设备等提供市场信息，进行方案比较，提出优化建议。</w:t>
            </w:r>
          </w:p>
          <w:p w14:paraId="2764800C">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3.负责参加设计方案论证会议、工程图纸会审、变更论证等专题会，提出造价专业意见。</w:t>
            </w:r>
          </w:p>
          <w:p w14:paraId="33BBB020">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4.若初步设计图纸未能达到限额设计时，依据经济数据分析数据对设计内容进行可行的优化方案建议，供</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参考；</w:t>
            </w:r>
          </w:p>
          <w:p w14:paraId="255F06DA">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5.负责审核工程建设其他费用的合同价及报价方案。</w:t>
            </w:r>
          </w:p>
          <w:p w14:paraId="4E8E5894">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hAnsi="宋体" w:cs="宋体"/>
                <w:b w:val="0"/>
                <w:bCs w:val="0"/>
                <w:color w:val="auto"/>
                <w:kern w:val="0"/>
                <w:sz w:val="24"/>
                <w:szCs w:val="24"/>
                <w:shd w:val="clear" w:color="auto" w:fill="auto"/>
                <w:lang w:val="en-US" w:eastAsia="zh-CN"/>
              </w:rPr>
              <w:t>6</w:t>
            </w:r>
            <w:r>
              <w:rPr>
                <w:rFonts w:hint="eastAsia" w:ascii="宋体" w:hAnsi="宋体" w:eastAsia="宋体" w:cs="宋体"/>
                <w:b w:val="0"/>
                <w:bCs w:val="0"/>
                <w:color w:val="auto"/>
                <w:kern w:val="0"/>
                <w:sz w:val="24"/>
                <w:szCs w:val="24"/>
                <w:shd w:val="clear" w:color="auto" w:fill="auto"/>
              </w:rPr>
              <w:t>.对设计单位报送省发改委初步设计概算终稿进行复核，15天内完成复核并提交复核意见供</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参考。</w:t>
            </w:r>
          </w:p>
          <w:p w14:paraId="7AE23685">
            <w:pPr>
              <w:keepNext w:val="0"/>
              <w:keepLines w:val="0"/>
              <w:widowControl w:val="0"/>
              <w:numPr>
                <w:ilvl w:val="0"/>
                <w:numId w:val="0"/>
              </w:numPr>
              <w:suppressLineNumbers w:val="0"/>
              <w:shd w:val="clear" w:color="auto" w:fill="auto"/>
              <w:tabs>
                <w:tab w:val="left" w:pos="312"/>
              </w:tabs>
              <w:autoSpaceDN/>
              <w:snapToGrid/>
              <w:spacing w:before="0" w:beforeAutospacing="0" w:after="0" w:afterAutospacing="0" w:line="370" w:lineRule="exact"/>
              <w:ind w:left="0" w:right="0" w:firstLine="0" w:firstLineChars="0"/>
              <w:rPr>
                <w:rFonts w:hint="eastAsia" w:hAnsi="宋体" w:cs="宋体"/>
                <w:b w:val="0"/>
                <w:bCs w:val="0"/>
                <w:color w:val="auto"/>
                <w:kern w:val="0"/>
                <w:sz w:val="24"/>
                <w:szCs w:val="24"/>
                <w:shd w:val="clear" w:color="auto" w:fill="auto"/>
                <w:lang w:val="en-US" w:eastAsia="zh-CN"/>
              </w:rPr>
            </w:pPr>
            <w:r>
              <w:rPr>
                <w:rFonts w:hint="eastAsia" w:hAnsi="宋体" w:cs="宋体"/>
                <w:b w:val="0"/>
                <w:bCs w:val="0"/>
                <w:color w:val="auto"/>
                <w:kern w:val="0"/>
                <w:sz w:val="24"/>
                <w:szCs w:val="24"/>
                <w:shd w:val="clear" w:color="auto" w:fill="auto"/>
                <w:lang w:val="en-US" w:eastAsia="zh-CN"/>
              </w:rPr>
              <w:t>7</w:t>
            </w:r>
            <w:r>
              <w:rPr>
                <w:rFonts w:hint="eastAsia" w:ascii="宋体" w:hAnsi="宋体" w:eastAsia="宋体" w:cs="宋体"/>
                <w:b w:val="0"/>
                <w:bCs w:val="0"/>
                <w:color w:val="auto"/>
                <w:kern w:val="0"/>
                <w:sz w:val="24"/>
                <w:szCs w:val="24"/>
                <w:shd w:val="clear" w:color="auto" w:fill="auto"/>
              </w:rPr>
              <w:t>.</w:t>
            </w:r>
            <w:r>
              <w:rPr>
                <w:rFonts w:hint="eastAsia" w:hAnsi="宋体" w:cs="宋体"/>
                <w:b w:val="0"/>
                <w:bCs w:val="0"/>
                <w:color w:val="auto"/>
                <w:kern w:val="0"/>
                <w:sz w:val="24"/>
                <w:szCs w:val="24"/>
                <w:shd w:val="clear" w:color="auto" w:fill="auto"/>
                <w:lang w:val="en-US" w:eastAsia="zh-CN"/>
              </w:rPr>
              <w:t>审核施工图预算。</w:t>
            </w:r>
          </w:p>
          <w:p w14:paraId="61CE6499">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kern w:val="0"/>
                <w:sz w:val="24"/>
                <w:szCs w:val="24"/>
                <w:shd w:val="clear" w:color="auto" w:fill="auto"/>
                <w:lang w:val="en-US" w:eastAsia="zh-CN"/>
              </w:rPr>
              <w:t>8.</w:t>
            </w:r>
            <w:r>
              <w:rPr>
                <w:rFonts w:hint="eastAsia" w:ascii="宋体" w:hAnsi="宋体" w:eastAsia="宋体" w:cs="宋体"/>
                <w:b w:val="0"/>
                <w:bCs w:val="0"/>
                <w:color w:val="auto"/>
                <w:kern w:val="0"/>
                <w:sz w:val="24"/>
                <w:szCs w:val="24"/>
                <w:shd w:val="clear" w:color="auto" w:fill="auto"/>
              </w:rPr>
              <w:t>参加</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组织召开的造价相关问题协调会或讨论会。</w:t>
            </w:r>
          </w:p>
        </w:tc>
        <w:tc>
          <w:tcPr>
            <w:tcW w:w="720" w:type="dxa"/>
            <w:noWrap w:val="0"/>
            <w:vAlign w:val="center"/>
          </w:tcPr>
          <w:p w14:paraId="26D3AADC">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627B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jc w:val="center"/>
        </w:trPr>
        <w:tc>
          <w:tcPr>
            <w:tcW w:w="845" w:type="dxa"/>
            <w:noWrap w:val="0"/>
            <w:vAlign w:val="center"/>
          </w:tcPr>
          <w:p w14:paraId="0A0D8E65">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lang w:eastAsia="zh-CN"/>
              </w:rPr>
            </w:pPr>
            <w:r>
              <w:rPr>
                <w:rFonts w:hint="eastAsia" w:cs="宋体"/>
                <w:b w:val="0"/>
                <w:bCs w:val="0"/>
                <w:color w:val="auto"/>
                <w:kern w:val="0"/>
                <w:sz w:val="24"/>
                <w:szCs w:val="24"/>
                <w:shd w:val="clear" w:color="auto" w:fill="auto"/>
                <w:lang w:val="en-US" w:eastAsia="zh-CN"/>
              </w:rPr>
              <w:t>2</w:t>
            </w:r>
          </w:p>
        </w:tc>
        <w:tc>
          <w:tcPr>
            <w:tcW w:w="1277" w:type="dxa"/>
            <w:noWrap w:val="0"/>
            <w:vAlign w:val="center"/>
          </w:tcPr>
          <w:p w14:paraId="09C8FBB8">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cs="宋体"/>
                <w:b w:val="0"/>
                <w:bCs w:val="0"/>
                <w:color w:val="auto"/>
                <w:kern w:val="0"/>
                <w:sz w:val="24"/>
                <w:szCs w:val="24"/>
                <w:shd w:val="clear" w:color="auto" w:fill="auto"/>
                <w:lang w:val="en-US" w:eastAsia="zh-CN"/>
              </w:rPr>
              <w:t>施工</w:t>
            </w:r>
            <w:r>
              <w:rPr>
                <w:rFonts w:hint="eastAsia" w:ascii="宋体" w:hAnsi="宋体" w:eastAsia="宋体" w:cs="宋体"/>
                <w:b w:val="0"/>
                <w:bCs w:val="0"/>
                <w:color w:val="auto"/>
                <w:kern w:val="0"/>
                <w:sz w:val="24"/>
                <w:szCs w:val="24"/>
                <w:shd w:val="clear" w:color="auto" w:fill="auto"/>
              </w:rPr>
              <w:t>阶段</w:t>
            </w:r>
          </w:p>
        </w:tc>
        <w:tc>
          <w:tcPr>
            <w:tcW w:w="6413" w:type="dxa"/>
            <w:noWrap w:val="0"/>
            <w:vAlign w:val="center"/>
          </w:tcPr>
          <w:p w14:paraId="0C19107F">
            <w:pPr>
              <w:rPr>
                <w:color w:val="auto"/>
              </w:rPr>
            </w:pPr>
          </w:p>
          <w:p w14:paraId="4A617B9E">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lang w:eastAsia="zh-CN"/>
              </w:rPr>
            </w:pPr>
            <w:r>
              <w:rPr>
                <w:rFonts w:hint="eastAsia" w:cs="宋体"/>
                <w:b w:val="0"/>
                <w:bCs w:val="0"/>
                <w:color w:val="auto"/>
                <w:kern w:val="0"/>
                <w:sz w:val="24"/>
                <w:szCs w:val="24"/>
                <w:shd w:val="clear" w:color="auto" w:fill="auto"/>
                <w:lang w:val="en-US" w:eastAsia="zh-CN"/>
              </w:rPr>
              <w:t>1</w:t>
            </w:r>
            <w:r>
              <w:rPr>
                <w:rFonts w:hint="eastAsia" w:ascii="宋体" w:hAnsi="宋体" w:eastAsia="宋体" w:cs="宋体"/>
                <w:b w:val="0"/>
                <w:bCs w:val="0"/>
                <w:color w:val="auto"/>
                <w:kern w:val="0"/>
                <w:sz w:val="24"/>
                <w:szCs w:val="24"/>
                <w:shd w:val="clear" w:color="auto" w:fill="auto"/>
              </w:rPr>
              <w:t>.负责施工过程造价控制（含编制方案及实施计划），审核工程量与进度款，7个日历天内完成。</w:t>
            </w:r>
          </w:p>
          <w:p w14:paraId="27D01BC3">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cs="宋体"/>
                <w:b w:val="0"/>
                <w:bCs w:val="0"/>
                <w:color w:val="auto"/>
                <w:kern w:val="0"/>
                <w:sz w:val="24"/>
                <w:szCs w:val="24"/>
                <w:shd w:val="clear" w:color="auto" w:fill="auto"/>
                <w:lang w:val="en-US" w:eastAsia="zh-CN"/>
              </w:rPr>
              <w:t>2</w:t>
            </w:r>
            <w:r>
              <w:rPr>
                <w:rFonts w:hint="eastAsia" w:ascii="宋体" w:hAnsi="宋体" w:eastAsia="宋体" w:cs="宋体"/>
                <w:b w:val="0"/>
                <w:bCs w:val="0"/>
                <w:color w:val="auto"/>
                <w:kern w:val="0"/>
                <w:sz w:val="24"/>
                <w:szCs w:val="24"/>
                <w:shd w:val="clear" w:color="auto" w:fill="auto"/>
              </w:rPr>
              <w:t>.</w:t>
            </w:r>
            <w:r>
              <w:rPr>
                <w:rFonts w:hint="eastAsia" w:ascii="宋体" w:hAnsi="宋体" w:eastAsia="宋体" w:cs="宋体"/>
                <w:b w:val="0"/>
                <w:bCs w:val="0"/>
                <w:color w:val="auto"/>
                <w:sz w:val="24"/>
                <w:szCs w:val="24"/>
              </w:rPr>
              <w:t>根据经验主动地、有预见性地提醒</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节约费用，防范工期索赔，</w:t>
            </w:r>
            <w:r>
              <w:rPr>
                <w:rFonts w:hint="eastAsia" w:ascii="宋体" w:hAnsi="宋体" w:eastAsia="宋体" w:cs="宋体"/>
                <w:b w:val="0"/>
                <w:bCs w:val="0"/>
                <w:color w:val="auto"/>
                <w:kern w:val="0"/>
                <w:sz w:val="24"/>
                <w:szCs w:val="24"/>
                <w:shd w:val="clear" w:color="auto" w:fill="auto"/>
              </w:rPr>
              <w:t>负责协助</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合同索赔处理，参加合同变更谈判，负责处理合同变更，向</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提供专业评估意见及估算书，维护</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的合法权益。</w:t>
            </w:r>
          </w:p>
          <w:p w14:paraId="70EC0EE2">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lang w:eastAsia="zh-CN"/>
              </w:rPr>
            </w:pPr>
            <w:r>
              <w:rPr>
                <w:rFonts w:hint="eastAsia" w:cs="宋体"/>
                <w:b w:val="0"/>
                <w:bCs w:val="0"/>
                <w:color w:val="auto"/>
                <w:kern w:val="0"/>
                <w:sz w:val="24"/>
                <w:szCs w:val="24"/>
                <w:shd w:val="clear" w:color="auto" w:fill="auto"/>
                <w:lang w:val="en-US" w:eastAsia="zh-CN"/>
              </w:rPr>
              <w:t>3</w:t>
            </w:r>
            <w:r>
              <w:rPr>
                <w:rFonts w:hint="eastAsia" w:ascii="宋体" w:hAnsi="宋体" w:eastAsia="宋体" w:cs="宋体"/>
                <w:b w:val="0"/>
                <w:bCs w:val="0"/>
                <w:color w:val="auto"/>
                <w:kern w:val="0"/>
                <w:sz w:val="24"/>
                <w:szCs w:val="24"/>
                <w:shd w:val="clear" w:color="auto" w:fill="auto"/>
              </w:rPr>
              <w:t>.负责编制或审核每月项目建安费用资金计划，建立合同台账、支付台账、工程变更管理等相关台账（按变更原因分类）、动态投资台账，负责每个季度月底前提交工程项目整体结算价预估分析、动态成本（须与目标成本对比分析偏差原因及解决方案），统计分析工程投资情况，定期向</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汇报，为投资控制提供依据，确保工程总投资控制在合理范围内。</w:t>
            </w:r>
          </w:p>
          <w:p w14:paraId="25605133">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cs="宋体"/>
                <w:b w:val="0"/>
                <w:bCs w:val="0"/>
                <w:color w:val="auto"/>
                <w:kern w:val="0"/>
                <w:sz w:val="24"/>
                <w:szCs w:val="24"/>
                <w:shd w:val="clear" w:color="auto" w:fill="auto"/>
                <w:lang w:val="en-US" w:eastAsia="zh-CN"/>
              </w:rPr>
              <w:t>4</w:t>
            </w:r>
            <w:r>
              <w:rPr>
                <w:rFonts w:hint="eastAsia" w:ascii="宋体" w:hAnsi="宋体" w:eastAsia="宋体" w:cs="宋体"/>
                <w:b w:val="0"/>
                <w:bCs w:val="0"/>
                <w:color w:val="auto"/>
                <w:kern w:val="0"/>
                <w:sz w:val="24"/>
                <w:szCs w:val="24"/>
                <w:shd w:val="clear" w:color="auto" w:fill="auto"/>
              </w:rPr>
              <w:t>.负责定期召开造价控制会议，参与选择技术经济性最佳的方案，控制好技术设计和施工图设计的不合理变更，集中会审现场签证、工程变更的工程量和造价预算，确认变更价款。负责每月提交工程变更（包括：图纸会审、图纸修改、工程洽商等）对造价影响分析，及成本控制报告。</w:t>
            </w:r>
          </w:p>
          <w:p w14:paraId="2AFBF621">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rPr>
              <w:t>.负责定期收集和整理有关设备材料的市场价格动态信息，对施工方案、材料选用提供成本控制建议。提交人工机械主材设备价格造价影响分析。</w:t>
            </w:r>
          </w:p>
          <w:p w14:paraId="3DC305F5">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sz w:val="24"/>
                <w:szCs w:val="24"/>
                <w:shd w:val="clear" w:color="auto" w:fill="auto"/>
                <w:lang w:val="en-US" w:eastAsia="zh-CN"/>
              </w:rPr>
              <w:t>6</w:t>
            </w:r>
            <w:r>
              <w:rPr>
                <w:rFonts w:hint="eastAsia" w:ascii="宋体" w:hAnsi="宋体" w:eastAsia="宋体" w:cs="宋体"/>
                <w:b w:val="0"/>
                <w:bCs w:val="0"/>
                <w:color w:val="auto"/>
                <w:sz w:val="24"/>
                <w:szCs w:val="24"/>
                <w:shd w:val="clear" w:color="auto" w:fill="auto"/>
              </w:rPr>
              <w:t>.施工过程中，参与工程量计量及工程进度款支付的复核工作。</w:t>
            </w:r>
          </w:p>
          <w:p w14:paraId="69AABD52">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sz w:val="24"/>
                <w:szCs w:val="24"/>
                <w:shd w:val="clear" w:color="auto" w:fill="auto"/>
                <w:lang w:val="en-US" w:eastAsia="zh-CN"/>
              </w:rPr>
              <w:t>7</w:t>
            </w:r>
            <w:r>
              <w:rPr>
                <w:rFonts w:hint="eastAsia" w:ascii="宋体" w:hAnsi="宋体" w:eastAsia="宋体" w:cs="宋体"/>
                <w:b w:val="0"/>
                <w:bCs w:val="0"/>
                <w:color w:val="auto"/>
                <w:sz w:val="24"/>
                <w:szCs w:val="24"/>
                <w:shd w:val="clear" w:color="auto" w:fill="auto"/>
              </w:rPr>
              <w:t>.</w:t>
            </w:r>
            <w:r>
              <w:rPr>
                <w:rFonts w:hint="eastAsia" w:ascii="宋体" w:hAnsi="宋体" w:eastAsia="宋体" w:cs="宋体"/>
                <w:b w:val="0"/>
                <w:bCs w:val="0"/>
                <w:color w:val="auto"/>
                <w:sz w:val="24"/>
                <w:szCs w:val="24"/>
              </w:rPr>
              <w:t>根据</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的需要参与合同谈判、合同价款修正及调整的审核。</w:t>
            </w:r>
          </w:p>
          <w:p w14:paraId="0DEC9FAE">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sz w:val="24"/>
                <w:szCs w:val="24"/>
                <w:lang w:val="en-US" w:eastAsia="zh-CN"/>
              </w:rPr>
              <w:t>8</w:t>
            </w:r>
            <w:r>
              <w:rPr>
                <w:rFonts w:hint="eastAsia" w:ascii="宋体" w:hAnsi="宋体" w:eastAsia="宋体" w:cs="宋体"/>
                <w:b w:val="0"/>
                <w:bCs w:val="0"/>
                <w:color w:val="auto"/>
                <w:sz w:val="24"/>
                <w:szCs w:val="24"/>
              </w:rPr>
              <w:t>.工程建设其他费用合同的审核以及报价方案的审核。</w:t>
            </w:r>
          </w:p>
          <w:p w14:paraId="7C2FE9AC">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cs="宋体"/>
                <w:b w:val="0"/>
                <w:bCs w:val="0"/>
                <w:color w:val="auto"/>
                <w:sz w:val="24"/>
                <w:szCs w:val="24"/>
                <w:shd w:val="clear" w:color="auto" w:fill="auto"/>
                <w:lang w:val="en-US" w:eastAsia="zh-CN"/>
              </w:rPr>
              <w:t>9</w:t>
            </w:r>
            <w:r>
              <w:rPr>
                <w:rFonts w:hint="eastAsia" w:ascii="宋体" w:hAnsi="宋体" w:eastAsia="宋体" w:cs="宋体"/>
                <w:b w:val="0"/>
                <w:bCs w:val="0"/>
                <w:color w:val="auto"/>
                <w:sz w:val="24"/>
                <w:szCs w:val="24"/>
                <w:shd w:val="clear" w:color="auto" w:fill="auto"/>
              </w:rPr>
              <w:t>.按需要与</w:t>
            </w:r>
            <w:r>
              <w:rPr>
                <w:rFonts w:hint="eastAsia" w:cs="宋体"/>
                <w:b w:val="0"/>
                <w:bCs w:val="0"/>
                <w:color w:val="auto"/>
                <w:sz w:val="24"/>
                <w:szCs w:val="24"/>
                <w:shd w:val="clear" w:color="auto" w:fill="auto"/>
                <w:lang w:eastAsia="zh-CN"/>
              </w:rPr>
              <w:t>委托人</w:t>
            </w:r>
            <w:r>
              <w:rPr>
                <w:rFonts w:hint="eastAsia" w:ascii="宋体" w:hAnsi="宋体" w:eastAsia="宋体" w:cs="宋体"/>
                <w:b w:val="0"/>
                <w:bCs w:val="0"/>
                <w:color w:val="auto"/>
                <w:sz w:val="24"/>
                <w:szCs w:val="24"/>
                <w:shd w:val="clear" w:color="auto" w:fill="auto"/>
              </w:rPr>
              <w:t>一起到工地现场解决有关造价事宜；全过程成本控制，主动、及时地发现并向</w:t>
            </w:r>
            <w:r>
              <w:rPr>
                <w:rFonts w:hint="eastAsia" w:cs="宋体"/>
                <w:b w:val="0"/>
                <w:bCs w:val="0"/>
                <w:color w:val="auto"/>
                <w:sz w:val="24"/>
                <w:szCs w:val="24"/>
                <w:shd w:val="clear" w:color="auto" w:fill="auto"/>
                <w:lang w:eastAsia="zh-CN"/>
              </w:rPr>
              <w:t>委托人</w:t>
            </w:r>
            <w:r>
              <w:rPr>
                <w:rFonts w:hint="eastAsia" w:ascii="宋体" w:hAnsi="宋体" w:eastAsia="宋体" w:cs="宋体"/>
                <w:b w:val="0"/>
                <w:bCs w:val="0"/>
                <w:color w:val="auto"/>
                <w:sz w:val="24"/>
                <w:szCs w:val="24"/>
                <w:shd w:val="clear" w:color="auto" w:fill="auto"/>
              </w:rPr>
              <w:t>汇报任何可能影响成本的事项，提出相关改善建议。</w:t>
            </w:r>
          </w:p>
          <w:p w14:paraId="770B1FE6">
            <w:pPr>
              <w:keepNext w:val="0"/>
              <w:keepLines w:val="0"/>
              <w:widowControl w:val="0"/>
              <w:suppressLineNumbers w:val="0"/>
              <w:spacing w:before="0" w:beforeAutospacing="0" w:after="0" w:afterAutospacing="0" w:line="370" w:lineRule="exact"/>
              <w:ind w:left="0" w:right="0" w:firstLine="0" w:firstLineChars="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cs="宋体"/>
                <w:b w:val="0"/>
                <w:bCs w:val="0"/>
                <w:color w:val="auto"/>
                <w:sz w:val="24"/>
                <w:szCs w:val="24"/>
                <w:lang w:val="en-US" w:eastAsia="zh-CN"/>
              </w:rPr>
              <w:t>0</w:t>
            </w:r>
            <w:r>
              <w:rPr>
                <w:rFonts w:hint="eastAsia" w:ascii="宋体" w:hAnsi="宋体" w:eastAsia="宋体" w:cs="宋体"/>
                <w:b w:val="0"/>
                <w:bCs w:val="0"/>
                <w:color w:val="auto"/>
                <w:sz w:val="24"/>
                <w:szCs w:val="24"/>
              </w:rPr>
              <w:t>.</w:t>
            </w:r>
            <w:r>
              <w:rPr>
                <w:rFonts w:hint="eastAsia" w:cs="宋体"/>
                <w:b w:val="0"/>
                <w:bCs w:val="0"/>
                <w:color w:val="auto"/>
                <w:sz w:val="24"/>
                <w:szCs w:val="24"/>
                <w:lang w:eastAsia="zh-CN"/>
              </w:rPr>
              <w:t>咨询人</w:t>
            </w:r>
            <w:r>
              <w:rPr>
                <w:rFonts w:hint="eastAsia" w:ascii="宋体" w:hAnsi="宋体" w:eastAsia="宋体" w:cs="宋体"/>
                <w:b w:val="0"/>
                <w:bCs w:val="0"/>
                <w:color w:val="auto"/>
                <w:sz w:val="24"/>
                <w:szCs w:val="24"/>
              </w:rPr>
              <w:t>应每季度向</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提供项目变更、签证等审核信息台账。</w:t>
            </w:r>
          </w:p>
          <w:p w14:paraId="22D1940D">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cs="宋体"/>
                <w:b w:val="0"/>
                <w:bCs w:val="0"/>
                <w:color w:val="auto"/>
                <w:sz w:val="24"/>
                <w:szCs w:val="24"/>
                <w:lang w:val="en-US" w:eastAsia="zh-CN"/>
              </w:rPr>
              <w:t>1</w:t>
            </w:r>
            <w:r>
              <w:rPr>
                <w:rFonts w:hint="eastAsia" w:ascii="宋体" w:hAnsi="宋体" w:eastAsia="宋体" w:cs="宋体"/>
                <w:b w:val="0"/>
                <w:bCs w:val="0"/>
                <w:color w:val="auto"/>
                <w:sz w:val="24"/>
                <w:szCs w:val="24"/>
              </w:rPr>
              <w:t>.安排技术负责人每月至少参加一次项目现场例会，针对项目造价情况提出专业意见。</w:t>
            </w:r>
          </w:p>
        </w:tc>
        <w:tc>
          <w:tcPr>
            <w:tcW w:w="720" w:type="dxa"/>
            <w:noWrap w:val="0"/>
            <w:vAlign w:val="center"/>
          </w:tcPr>
          <w:p w14:paraId="517ADB54">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5C2F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554" w:hRule="atLeast"/>
          <w:jc w:val="center"/>
        </w:trPr>
        <w:tc>
          <w:tcPr>
            <w:tcW w:w="845" w:type="dxa"/>
            <w:noWrap w:val="0"/>
            <w:vAlign w:val="center"/>
          </w:tcPr>
          <w:p w14:paraId="16FEC423">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lang w:eastAsia="zh-CN"/>
              </w:rPr>
            </w:pPr>
            <w:r>
              <w:rPr>
                <w:rFonts w:hint="eastAsia" w:hAnsi="宋体" w:cs="宋体"/>
                <w:b w:val="0"/>
                <w:bCs w:val="0"/>
                <w:color w:val="auto"/>
                <w:kern w:val="0"/>
                <w:sz w:val="24"/>
                <w:szCs w:val="24"/>
                <w:shd w:val="clear" w:color="auto" w:fill="auto"/>
                <w:lang w:val="en-US" w:eastAsia="zh-CN"/>
              </w:rPr>
              <w:t>3</w:t>
            </w:r>
          </w:p>
        </w:tc>
        <w:tc>
          <w:tcPr>
            <w:tcW w:w="1277" w:type="dxa"/>
            <w:noWrap w:val="0"/>
            <w:vAlign w:val="center"/>
          </w:tcPr>
          <w:p w14:paraId="31047D5C">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结（决）算阶段</w:t>
            </w:r>
          </w:p>
        </w:tc>
        <w:tc>
          <w:tcPr>
            <w:tcW w:w="6413" w:type="dxa"/>
            <w:noWrap w:val="0"/>
            <w:vAlign w:val="center"/>
          </w:tcPr>
          <w:p w14:paraId="45698570">
            <w:pPr>
              <w:keepNext w:val="0"/>
              <w:keepLines w:val="0"/>
              <w:widowControl w:val="0"/>
              <w:suppressLineNumbers w:val="0"/>
              <w:spacing w:before="0" w:beforeAutospacing="0" w:after="0" w:afterAutospacing="0" w:line="370" w:lineRule="exact"/>
              <w:ind w:left="0" w:right="0" w:firstLine="0" w:firstLineChars="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1.</w:t>
            </w:r>
            <w:r>
              <w:rPr>
                <w:rFonts w:hint="eastAsia" w:ascii="宋体" w:hAnsi="宋体" w:eastAsia="宋体" w:cs="宋体"/>
                <w:b w:val="0"/>
                <w:bCs w:val="0"/>
                <w:color w:val="auto"/>
                <w:sz w:val="24"/>
                <w:szCs w:val="24"/>
              </w:rPr>
              <w:t>负责按</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要求</w:t>
            </w:r>
            <w:r>
              <w:rPr>
                <w:rFonts w:hint="eastAsia" w:hAnsi="宋体" w:cs="宋体"/>
                <w:b w:val="0"/>
                <w:bCs w:val="0"/>
                <w:color w:val="auto"/>
                <w:sz w:val="24"/>
                <w:szCs w:val="24"/>
                <w:lang w:val="en-US" w:eastAsia="zh-CN"/>
              </w:rPr>
              <w:t>审核施工单位</w:t>
            </w:r>
            <w:r>
              <w:rPr>
                <w:rFonts w:hint="eastAsia" w:ascii="宋体" w:hAnsi="宋体" w:eastAsia="宋体" w:cs="宋体"/>
                <w:b w:val="0"/>
                <w:bCs w:val="0"/>
                <w:color w:val="auto"/>
                <w:sz w:val="24"/>
                <w:szCs w:val="24"/>
              </w:rPr>
              <w:t>编制</w:t>
            </w:r>
            <w:r>
              <w:rPr>
                <w:rFonts w:hint="eastAsia" w:hAnsi="宋体" w:cs="宋体"/>
                <w:b w:val="0"/>
                <w:bCs w:val="0"/>
                <w:color w:val="auto"/>
                <w:sz w:val="24"/>
                <w:szCs w:val="24"/>
                <w:lang w:eastAsia="zh-CN"/>
              </w:rPr>
              <w:t>的</w:t>
            </w:r>
            <w:r>
              <w:rPr>
                <w:rFonts w:hint="eastAsia" w:ascii="宋体" w:hAnsi="宋体" w:eastAsia="宋体" w:cs="宋体"/>
                <w:b w:val="0"/>
                <w:bCs w:val="0"/>
                <w:color w:val="auto"/>
                <w:sz w:val="24"/>
                <w:szCs w:val="24"/>
              </w:rPr>
              <w:t>结算文件，配合</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开展过程结算，完成工程结算审核工作，并与施工单位完成对数</w:t>
            </w:r>
            <w:r>
              <w:rPr>
                <w:rFonts w:hint="eastAsia" w:hAnsi="宋体" w:cs="宋体"/>
                <w:b w:val="0"/>
                <w:bCs w:val="0"/>
                <w:color w:val="auto"/>
                <w:sz w:val="24"/>
                <w:szCs w:val="24"/>
                <w:lang w:val="en-US" w:eastAsia="zh-CN"/>
              </w:rPr>
              <w:t>后1</w:t>
            </w:r>
            <w:r>
              <w:rPr>
                <w:rFonts w:hint="eastAsia" w:ascii="宋体" w:hAnsi="宋体" w:eastAsia="宋体" w:cs="宋体"/>
                <w:b w:val="0"/>
                <w:bCs w:val="0"/>
                <w:color w:val="auto"/>
                <w:sz w:val="24"/>
                <w:szCs w:val="24"/>
              </w:rPr>
              <w:t>0个工作日内出具结算审核报告。</w:t>
            </w:r>
          </w:p>
          <w:p w14:paraId="385A6767">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kern w:val="0"/>
                <w:sz w:val="24"/>
                <w:szCs w:val="24"/>
                <w:shd w:val="clear" w:color="auto" w:fill="auto"/>
              </w:rPr>
              <w:t>2.负责收集和整理结（决）算依据资料，收集有关工程费用方面的签证资料，核对单据并及时归档。</w:t>
            </w:r>
          </w:p>
          <w:p w14:paraId="3D2CE5D5">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kern w:val="0"/>
                <w:sz w:val="24"/>
                <w:szCs w:val="24"/>
                <w:shd w:val="clear" w:color="auto" w:fill="auto"/>
              </w:rPr>
              <w:t>3.负责施工类、服务类、货物类</w:t>
            </w:r>
            <w:r>
              <w:rPr>
                <w:rFonts w:hint="eastAsia" w:cs="宋体"/>
                <w:b w:val="0"/>
                <w:bCs w:val="0"/>
                <w:color w:val="auto"/>
                <w:kern w:val="0"/>
                <w:sz w:val="24"/>
                <w:szCs w:val="24"/>
                <w:shd w:val="clear" w:color="auto" w:fill="auto"/>
                <w:lang w:eastAsia="zh-CN"/>
              </w:rPr>
              <w:t>（</w:t>
            </w:r>
            <w:r>
              <w:rPr>
                <w:rFonts w:hint="eastAsia" w:cs="宋体"/>
                <w:b w:val="0"/>
                <w:bCs w:val="0"/>
                <w:color w:val="auto"/>
                <w:kern w:val="0"/>
                <w:sz w:val="24"/>
                <w:szCs w:val="24"/>
                <w:shd w:val="clear" w:color="auto" w:fill="auto"/>
                <w:lang w:val="en-US" w:eastAsia="zh-CN"/>
              </w:rPr>
              <w:t>如有</w:t>
            </w:r>
            <w:r>
              <w:rPr>
                <w:rFonts w:hint="eastAsia" w:cs="宋体"/>
                <w:b w:val="0"/>
                <w:bCs w:val="0"/>
                <w:color w:val="auto"/>
                <w:kern w:val="0"/>
                <w:sz w:val="24"/>
                <w:szCs w:val="24"/>
                <w:shd w:val="clear" w:color="auto" w:fill="auto"/>
                <w:lang w:eastAsia="zh-CN"/>
              </w:rPr>
              <w:t>）</w:t>
            </w:r>
            <w:r>
              <w:rPr>
                <w:rFonts w:hint="eastAsia" w:ascii="宋体" w:hAnsi="宋体" w:eastAsia="宋体" w:cs="宋体"/>
                <w:b w:val="0"/>
                <w:bCs w:val="0"/>
                <w:color w:val="auto"/>
                <w:kern w:val="0"/>
                <w:sz w:val="24"/>
                <w:szCs w:val="24"/>
                <w:shd w:val="clear" w:color="auto" w:fill="auto"/>
              </w:rPr>
              <w:t>等合同结算审核工作并出具审核报告；负责工程结算初审工作，提交合同管理及执行情况的专题报告。</w:t>
            </w:r>
          </w:p>
          <w:p w14:paraId="7FAAC3AD">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kern w:val="0"/>
                <w:sz w:val="24"/>
                <w:szCs w:val="24"/>
                <w:shd w:val="clear" w:color="auto" w:fill="auto"/>
              </w:rPr>
              <w:t>4.审核建设工程其他费用，出具审核报告。</w:t>
            </w:r>
          </w:p>
          <w:p w14:paraId="77A54E43">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5.配合建设单位实施决算工作。</w:t>
            </w:r>
          </w:p>
          <w:p w14:paraId="41439A05">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6.</w:t>
            </w:r>
            <w:r>
              <w:rPr>
                <w:rFonts w:hint="eastAsia" w:ascii="宋体" w:hAnsi="宋体" w:eastAsia="宋体" w:cs="宋体"/>
                <w:b w:val="0"/>
                <w:bCs w:val="0"/>
                <w:color w:val="auto"/>
                <w:sz w:val="24"/>
                <w:szCs w:val="24"/>
              </w:rPr>
              <w:t>结算后进行资料汇总、提交结算后评估分析，包括对项目及实施过程的描述、估算、概算、预算、合同价及结算价进行比较，编制单体、各项各专业等工程建筑技术经济指标，对产生偏差的原因及投资控制的效果进行分析，提交合同管理及执行情况的专题报告。</w:t>
            </w:r>
          </w:p>
          <w:p w14:paraId="6C696701">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auto"/>
              </w:rPr>
              <w:t>7.协助</w:t>
            </w:r>
            <w:r>
              <w:rPr>
                <w:rFonts w:hint="eastAsia" w:cs="宋体"/>
                <w:b w:val="0"/>
                <w:bCs w:val="0"/>
                <w:color w:val="auto"/>
                <w:sz w:val="24"/>
                <w:szCs w:val="24"/>
                <w:shd w:val="clear" w:color="auto" w:fill="auto"/>
                <w:lang w:eastAsia="zh-CN"/>
              </w:rPr>
              <w:t>委托人</w:t>
            </w:r>
            <w:r>
              <w:rPr>
                <w:rFonts w:hint="eastAsia" w:ascii="宋体" w:hAnsi="宋体" w:eastAsia="宋体" w:cs="宋体"/>
                <w:b w:val="0"/>
                <w:bCs w:val="0"/>
                <w:color w:val="auto"/>
                <w:sz w:val="24"/>
                <w:szCs w:val="24"/>
                <w:shd w:val="clear" w:color="auto" w:fill="auto"/>
              </w:rPr>
              <w:t>完成竣工财务决算上报工作。</w:t>
            </w:r>
          </w:p>
        </w:tc>
        <w:tc>
          <w:tcPr>
            <w:tcW w:w="720" w:type="dxa"/>
            <w:noWrap w:val="0"/>
            <w:vAlign w:val="center"/>
          </w:tcPr>
          <w:p w14:paraId="78FF0AED">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4782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554" w:hRule="atLeast"/>
          <w:jc w:val="center"/>
        </w:trPr>
        <w:tc>
          <w:tcPr>
            <w:tcW w:w="845" w:type="dxa"/>
            <w:noWrap w:val="0"/>
            <w:vAlign w:val="center"/>
          </w:tcPr>
          <w:p w14:paraId="4D56DC4C">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kern w:val="0"/>
                <w:sz w:val="24"/>
                <w:szCs w:val="24"/>
                <w:shd w:val="clear" w:color="auto" w:fill="auto"/>
                <w:lang w:eastAsia="zh-CN"/>
              </w:rPr>
            </w:pPr>
            <w:r>
              <w:rPr>
                <w:rFonts w:hint="eastAsia" w:hAnsi="宋体" w:cs="宋体"/>
                <w:b w:val="0"/>
                <w:bCs w:val="0"/>
                <w:color w:val="auto"/>
                <w:kern w:val="0"/>
                <w:sz w:val="24"/>
                <w:szCs w:val="24"/>
                <w:shd w:val="clear" w:color="auto" w:fill="auto"/>
                <w:lang w:val="en-US" w:eastAsia="zh-CN"/>
              </w:rPr>
              <w:t>4</w:t>
            </w:r>
          </w:p>
        </w:tc>
        <w:tc>
          <w:tcPr>
            <w:tcW w:w="1277" w:type="dxa"/>
            <w:noWrap w:val="0"/>
            <w:vAlign w:val="center"/>
          </w:tcPr>
          <w:p w14:paraId="1FA30AB7">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审计阶段</w:t>
            </w:r>
          </w:p>
        </w:tc>
        <w:tc>
          <w:tcPr>
            <w:tcW w:w="6413" w:type="dxa"/>
            <w:noWrap w:val="0"/>
            <w:vAlign w:val="center"/>
          </w:tcPr>
          <w:p w14:paraId="2DB2C24F">
            <w:pPr>
              <w:shd w:val="clear" w:color="auto" w:fill="auto"/>
              <w:spacing w:line="370" w:lineRule="exact"/>
              <w:ind w:firstLine="0" w:firstLineChars="0"/>
              <w:rPr>
                <w:rFonts w:hint="eastAsia"/>
                <w:color w:val="auto"/>
                <w:lang w:eastAsia="zh-CN"/>
              </w:rPr>
            </w:pPr>
            <w:r>
              <w:rPr>
                <w:rFonts w:hint="eastAsia" w:ascii="宋体" w:hAnsi="宋体" w:eastAsia="宋体" w:cs="宋体"/>
                <w:b w:val="0"/>
                <w:bCs w:val="0"/>
                <w:color w:val="auto"/>
                <w:kern w:val="0"/>
                <w:sz w:val="24"/>
                <w:szCs w:val="24"/>
                <w:shd w:val="clear" w:color="auto" w:fill="auto"/>
              </w:rPr>
              <w:t>配合审计部门的工程造价审计工作以及其他相关配合服务等。</w:t>
            </w:r>
          </w:p>
        </w:tc>
        <w:tc>
          <w:tcPr>
            <w:tcW w:w="720" w:type="dxa"/>
            <w:noWrap w:val="0"/>
            <w:vAlign w:val="center"/>
          </w:tcPr>
          <w:p w14:paraId="636C55C7">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1E71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jc w:val="center"/>
        </w:trPr>
        <w:tc>
          <w:tcPr>
            <w:tcW w:w="845" w:type="dxa"/>
            <w:noWrap w:val="0"/>
            <w:vAlign w:val="center"/>
          </w:tcPr>
          <w:p w14:paraId="37A63C6B">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lang w:eastAsia="zh-CN"/>
              </w:rPr>
            </w:pPr>
            <w:r>
              <w:rPr>
                <w:rFonts w:hint="eastAsia" w:hAnsi="宋体" w:cs="宋体"/>
                <w:b w:val="0"/>
                <w:bCs w:val="0"/>
                <w:color w:val="auto"/>
                <w:kern w:val="0"/>
                <w:sz w:val="24"/>
                <w:szCs w:val="24"/>
                <w:shd w:val="clear" w:color="auto" w:fill="auto"/>
                <w:lang w:val="en-US" w:eastAsia="zh-CN"/>
              </w:rPr>
              <w:t>5</w:t>
            </w:r>
          </w:p>
        </w:tc>
        <w:tc>
          <w:tcPr>
            <w:tcW w:w="1277" w:type="dxa"/>
            <w:noWrap w:val="0"/>
            <w:vAlign w:val="center"/>
          </w:tcPr>
          <w:p w14:paraId="6A47760C">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其他</w:t>
            </w:r>
          </w:p>
        </w:tc>
        <w:tc>
          <w:tcPr>
            <w:tcW w:w="6413" w:type="dxa"/>
            <w:noWrap w:val="0"/>
            <w:vAlign w:val="center"/>
          </w:tcPr>
          <w:p w14:paraId="1334299B">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1.负责组织相关造价控制评审会议，包括邀请相应的经济专家。</w:t>
            </w:r>
          </w:p>
          <w:p w14:paraId="092116E7">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2.视情况邀请高级经济顾问对造价问题进行咨询把关。</w:t>
            </w:r>
          </w:p>
          <w:p w14:paraId="35969B01">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3.</w:t>
            </w:r>
            <w:r>
              <w:rPr>
                <w:rFonts w:hint="eastAsia" w:ascii="宋体" w:hAnsi="宋体" w:eastAsia="宋体" w:cs="宋体"/>
                <w:b w:val="0"/>
                <w:bCs w:val="0"/>
                <w:color w:val="auto"/>
                <w:sz w:val="24"/>
                <w:szCs w:val="24"/>
              </w:rPr>
              <w:t>向</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提出专业性建议并提供相关的服务，协助</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解决与第三方的合同。</w:t>
            </w:r>
          </w:p>
          <w:p w14:paraId="45F1F215">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sz w:val="24"/>
                <w:szCs w:val="24"/>
              </w:rPr>
              <w:t>4、根据工程实际情况独立编制所有工程造价成果文件，并按工程进度、</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要求及时上报</w:t>
            </w:r>
            <w:r>
              <w:rPr>
                <w:rFonts w:hint="eastAsia" w:hAnsi="宋体" w:cs="宋体"/>
                <w:b w:val="0"/>
                <w:bCs w:val="0"/>
                <w:color w:val="auto"/>
                <w:sz w:val="24"/>
                <w:szCs w:val="24"/>
                <w:lang w:eastAsia="zh-CN"/>
              </w:rPr>
              <w:t>。所有成果文件须符合国家及广东省相关标准，内容完整、格式规范，并满足</w:t>
            </w:r>
            <w:r>
              <w:rPr>
                <w:rFonts w:hint="eastAsia" w:cs="宋体"/>
                <w:b w:val="0"/>
                <w:bCs w:val="0"/>
                <w:color w:val="auto"/>
                <w:sz w:val="24"/>
                <w:szCs w:val="24"/>
                <w:lang w:eastAsia="zh-CN"/>
              </w:rPr>
              <w:t>委托人</w:t>
            </w:r>
            <w:r>
              <w:rPr>
                <w:rFonts w:hint="eastAsia" w:hAnsi="宋体" w:cs="宋体"/>
                <w:b w:val="0"/>
                <w:bCs w:val="0"/>
                <w:color w:val="auto"/>
                <w:sz w:val="24"/>
                <w:szCs w:val="24"/>
                <w:lang w:eastAsia="zh-CN"/>
              </w:rPr>
              <w:t>对成果交付时间、格式、内容的具体要求。未按要求交付的，</w:t>
            </w:r>
            <w:r>
              <w:rPr>
                <w:rFonts w:hint="eastAsia" w:cs="宋体"/>
                <w:b w:val="0"/>
                <w:bCs w:val="0"/>
                <w:color w:val="auto"/>
                <w:sz w:val="24"/>
                <w:szCs w:val="24"/>
                <w:lang w:eastAsia="zh-CN"/>
              </w:rPr>
              <w:t>委托人</w:t>
            </w:r>
            <w:r>
              <w:rPr>
                <w:rFonts w:hint="eastAsia" w:hAnsi="宋体" w:cs="宋体"/>
                <w:b w:val="0"/>
                <w:bCs w:val="0"/>
                <w:color w:val="auto"/>
                <w:sz w:val="24"/>
                <w:szCs w:val="24"/>
                <w:lang w:eastAsia="zh-CN"/>
              </w:rPr>
              <w:t>有权要求限期整改，逾期未整改的，视为未完成服务。</w:t>
            </w:r>
          </w:p>
          <w:p w14:paraId="24D36AD0">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5、委派项目负责人或项目主要专业人员出席委托召开的专业会议。</w:t>
            </w:r>
          </w:p>
          <w:p w14:paraId="4B6D8420">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6、</w:t>
            </w:r>
            <w:r>
              <w:rPr>
                <w:rFonts w:hint="eastAsia" w:ascii="宋体" w:hAnsi="宋体" w:eastAsia="宋体" w:cs="宋体"/>
                <w:b w:val="0"/>
                <w:bCs w:val="0"/>
                <w:color w:val="auto"/>
                <w:sz w:val="24"/>
                <w:szCs w:val="24"/>
              </w:rPr>
              <w:t>在</w:t>
            </w:r>
            <w:r>
              <w:rPr>
                <w:rFonts w:hint="eastAsia" w:cs="宋体"/>
                <w:b w:val="0"/>
                <w:bCs w:val="0"/>
                <w:color w:val="auto"/>
                <w:sz w:val="24"/>
                <w:szCs w:val="24"/>
                <w:lang w:val="en-US" w:eastAsia="zh-CN"/>
              </w:rPr>
              <w:t>概算</w:t>
            </w:r>
            <w:r>
              <w:rPr>
                <w:rFonts w:hint="eastAsia" w:ascii="宋体" w:hAnsi="宋体" w:eastAsia="宋体" w:cs="宋体"/>
                <w:b w:val="0"/>
                <w:bCs w:val="0"/>
                <w:color w:val="auto"/>
                <w:sz w:val="24"/>
                <w:szCs w:val="24"/>
              </w:rPr>
              <w:t>、</w:t>
            </w:r>
            <w:r>
              <w:rPr>
                <w:rFonts w:hint="eastAsia" w:cs="宋体"/>
                <w:b w:val="0"/>
                <w:bCs w:val="0"/>
                <w:color w:val="auto"/>
                <w:sz w:val="24"/>
                <w:szCs w:val="24"/>
                <w:lang w:val="en-US" w:eastAsia="zh-CN"/>
              </w:rPr>
              <w:t>预算、</w:t>
            </w:r>
            <w:r>
              <w:rPr>
                <w:rFonts w:hint="eastAsia" w:ascii="宋体" w:hAnsi="宋体" w:eastAsia="宋体" w:cs="宋体"/>
                <w:b w:val="0"/>
                <w:bCs w:val="0"/>
                <w:color w:val="auto"/>
                <w:sz w:val="24"/>
                <w:szCs w:val="24"/>
              </w:rPr>
              <w:t>结算等关键节点审核时，应及时合理安排能满足以上各关键节点的造价团队，专业配置齐全，确保按</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要求时间完成相关审核工作，出具审核报告</w:t>
            </w:r>
            <w:r>
              <w:rPr>
                <w:rFonts w:hint="eastAsia" w:hAnsi="宋体" w:cs="宋体"/>
                <w:b w:val="0"/>
                <w:bCs w:val="0"/>
                <w:color w:val="auto"/>
                <w:sz w:val="24"/>
                <w:szCs w:val="24"/>
                <w:lang w:eastAsia="zh-CN"/>
              </w:rPr>
              <w:t>。</w:t>
            </w:r>
          </w:p>
          <w:p w14:paraId="5DE8F43D">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sz w:val="24"/>
                <w:szCs w:val="24"/>
              </w:rPr>
              <w:t>7、项目推进过程中，协助委托完成相关的专业评审工作，评审的相关费用已包含在合同价款内。</w:t>
            </w:r>
          </w:p>
          <w:p w14:paraId="594B1258">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default" w:ascii="宋体" w:hAnsi="宋体" w:eastAsia="宋体" w:cs="宋体"/>
                <w:b w:val="0"/>
                <w:bCs w:val="0"/>
                <w:color w:val="auto"/>
                <w:kern w:val="0"/>
                <w:sz w:val="24"/>
                <w:szCs w:val="24"/>
                <w:shd w:val="clear" w:color="auto" w:fill="auto"/>
                <w:lang w:val="en-US"/>
              </w:rPr>
            </w:pPr>
            <w:r>
              <w:rPr>
                <w:rFonts w:hint="eastAsia" w:ascii="宋体" w:hAnsi="宋体" w:eastAsia="宋体" w:cs="宋体"/>
                <w:b w:val="0"/>
                <w:bCs w:val="0"/>
                <w:color w:val="auto"/>
                <w:kern w:val="0"/>
                <w:sz w:val="24"/>
                <w:szCs w:val="24"/>
                <w:shd w:val="clear" w:color="auto" w:fill="auto"/>
              </w:rPr>
              <w:t>8、</w:t>
            </w:r>
            <w:r>
              <w:rPr>
                <w:rFonts w:hint="eastAsia" w:ascii="宋体" w:hAnsi="宋体" w:cs="宋体"/>
                <w:color w:val="auto"/>
                <w:kern w:val="0"/>
                <w:sz w:val="24"/>
                <w:szCs w:val="24"/>
                <w:shd w:val="clear" w:color="auto" w:fill="FFFFFF"/>
                <w:lang w:val="en-US" w:eastAsia="zh-CN"/>
              </w:rPr>
              <w:t>按委托人需要安排人员</w:t>
            </w:r>
            <w:r>
              <w:rPr>
                <w:rFonts w:hint="eastAsia" w:cs="宋体"/>
                <w:color w:val="auto"/>
                <w:kern w:val="0"/>
                <w:sz w:val="24"/>
                <w:szCs w:val="24"/>
                <w:shd w:val="clear" w:color="auto" w:fill="FFFFFF"/>
                <w:lang w:val="en-US" w:eastAsia="zh-CN"/>
              </w:rPr>
              <w:t>到项目现场配合造价咨询相关工作。</w:t>
            </w:r>
          </w:p>
          <w:p w14:paraId="2B35029A">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kern w:val="0"/>
                <w:sz w:val="24"/>
                <w:szCs w:val="24"/>
                <w:shd w:val="clear" w:color="auto" w:fill="auto"/>
                <w:lang w:val="en-US" w:eastAsia="zh-CN"/>
              </w:rPr>
              <w:t>9、</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安排的其他造价管理工作。</w:t>
            </w:r>
          </w:p>
        </w:tc>
        <w:tc>
          <w:tcPr>
            <w:tcW w:w="720" w:type="dxa"/>
            <w:noWrap w:val="0"/>
            <w:vAlign w:val="center"/>
          </w:tcPr>
          <w:p w14:paraId="3932A396">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4547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2" w:type="dxa"/>
            <w:gridSpan w:val="5"/>
            <w:noWrap w:val="0"/>
            <w:vAlign w:val="center"/>
          </w:tcPr>
          <w:p w14:paraId="246FA648">
            <w:pPr>
              <w:pStyle w:val="87"/>
              <w:spacing w:line="360" w:lineRule="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备注：</w:t>
            </w:r>
          </w:p>
          <w:p w14:paraId="70411C75">
            <w:pPr>
              <w:pStyle w:val="87"/>
              <w:spacing w:line="360" w:lineRule="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1、为实现项目的投资控制目标，由</w:t>
            </w:r>
            <w:r>
              <w:rPr>
                <w:rFonts w:hint="eastAsia" w:ascii="宋体" w:hAnsi="宋体" w:cs="宋体"/>
                <w:color w:val="auto"/>
                <w:kern w:val="0"/>
                <w:sz w:val="24"/>
                <w:szCs w:val="24"/>
                <w:shd w:val="clear" w:color="auto" w:fill="FFFFFF"/>
                <w:lang w:eastAsia="zh-CN"/>
              </w:rPr>
              <w:t>咨询人</w:t>
            </w:r>
            <w:r>
              <w:rPr>
                <w:rFonts w:hint="eastAsia" w:ascii="宋体" w:hAnsi="宋体" w:eastAsia="宋体" w:cs="宋体"/>
                <w:color w:val="auto"/>
                <w:kern w:val="0"/>
                <w:sz w:val="24"/>
                <w:szCs w:val="24"/>
                <w:shd w:val="clear" w:color="auto" w:fill="FFFFFF"/>
              </w:rPr>
              <w:t>安排有类似的项目管理经验的工程造价专业人员为本项目服务，组成项目组，人员配备见招标文件中</w:t>
            </w:r>
            <w:r>
              <w:rPr>
                <w:rFonts w:hint="eastAsia" w:ascii="宋体" w:hAnsi="宋体" w:cs="宋体"/>
                <w:color w:val="auto"/>
                <w:kern w:val="0"/>
                <w:sz w:val="24"/>
                <w:szCs w:val="24"/>
                <w:shd w:val="clear" w:color="auto" w:fill="FFFFFF"/>
                <w:lang w:eastAsia="zh-CN"/>
              </w:rPr>
              <w:t>委托人</w:t>
            </w:r>
            <w:r>
              <w:rPr>
                <w:rFonts w:hint="eastAsia" w:ascii="宋体" w:hAnsi="宋体" w:eastAsia="宋体" w:cs="宋体"/>
                <w:color w:val="auto"/>
                <w:kern w:val="0"/>
                <w:sz w:val="24"/>
                <w:szCs w:val="24"/>
                <w:shd w:val="clear" w:color="auto" w:fill="FFFFFF"/>
              </w:rPr>
              <w:t>要求的《造价咨询服务人员配备要求表》，如需更换</w:t>
            </w:r>
            <w:r>
              <w:rPr>
                <w:rFonts w:hint="eastAsia" w:hAnsi="宋体" w:cs="宋体"/>
                <w:color w:val="auto"/>
                <w:kern w:val="0"/>
                <w:sz w:val="24"/>
                <w:szCs w:val="24"/>
                <w:shd w:val="clear" w:color="auto" w:fill="FFFFFF"/>
                <w:lang w:eastAsia="zh-CN"/>
              </w:rPr>
              <w:t>核心团队成</w:t>
            </w:r>
            <w:r>
              <w:rPr>
                <w:rFonts w:hint="eastAsia" w:ascii="宋体" w:hAnsi="宋体" w:eastAsia="宋体" w:cs="宋体"/>
                <w:color w:val="auto"/>
                <w:kern w:val="0"/>
                <w:sz w:val="24"/>
                <w:szCs w:val="24"/>
                <w:shd w:val="clear" w:color="auto" w:fill="FFFFFF"/>
              </w:rPr>
              <w:t>员</w:t>
            </w:r>
            <w:r>
              <w:rPr>
                <w:rFonts w:hint="eastAsia" w:hAnsi="宋体" w:cs="宋体"/>
                <w:color w:val="auto"/>
                <w:kern w:val="0"/>
                <w:sz w:val="24"/>
                <w:szCs w:val="24"/>
                <w:shd w:val="clear" w:color="auto" w:fill="FFFFFF"/>
                <w:lang w:eastAsia="zh-CN"/>
              </w:rPr>
              <w:t>，咨询单位须</w:t>
            </w:r>
            <w:r>
              <w:rPr>
                <w:rFonts w:hint="eastAsia" w:ascii="宋体" w:hAnsi="宋体" w:eastAsia="宋体" w:cs="宋体"/>
                <w:color w:val="auto"/>
                <w:kern w:val="0"/>
                <w:sz w:val="24"/>
                <w:szCs w:val="24"/>
                <w:shd w:val="clear" w:color="auto" w:fill="FFFFFF"/>
              </w:rPr>
              <w:t>提前</w:t>
            </w:r>
            <w:r>
              <w:rPr>
                <w:rFonts w:hint="eastAsia" w:hAnsi="宋体" w:cs="宋体"/>
                <w:color w:val="auto"/>
                <w:kern w:val="0"/>
                <w:sz w:val="24"/>
                <w:szCs w:val="24"/>
                <w:shd w:val="clear" w:color="auto" w:fill="FFFFFF"/>
                <w:lang w:eastAsia="zh-CN"/>
              </w:rPr>
              <w:t>15日向委托人提交书面申请，</w:t>
            </w:r>
            <w:r>
              <w:rPr>
                <w:rFonts w:hint="eastAsia" w:ascii="宋体" w:hAnsi="宋体" w:eastAsia="宋体" w:cs="宋体"/>
                <w:color w:val="auto"/>
                <w:kern w:val="0"/>
                <w:sz w:val="24"/>
                <w:szCs w:val="24"/>
                <w:shd w:val="clear" w:color="auto" w:fill="FFFFFF"/>
              </w:rPr>
              <w:t>并取得</w:t>
            </w:r>
            <w:r>
              <w:rPr>
                <w:rFonts w:hint="eastAsia" w:ascii="宋体" w:hAnsi="宋体" w:cs="宋体"/>
                <w:color w:val="auto"/>
                <w:kern w:val="0"/>
                <w:sz w:val="24"/>
                <w:szCs w:val="24"/>
                <w:shd w:val="clear" w:color="auto" w:fill="FFFFFF"/>
                <w:lang w:eastAsia="zh-CN"/>
              </w:rPr>
              <w:t>委托人</w:t>
            </w:r>
            <w:r>
              <w:rPr>
                <w:rFonts w:hint="eastAsia" w:hAnsi="宋体" w:cs="宋体"/>
                <w:color w:val="auto"/>
                <w:kern w:val="0"/>
                <w:sz w:val="24"/>
                <w:szCs w:val="24"/>
                <w:shd w:val="clear" w:color="auto" w:fill="FFFFFF"/>
                <w:lang w:eastAsia="zh-CN"/>
              </w:rPr>
              <w:t>书面</w:t>
            </w:r>
            <w:r>
              <w:rPr>
                <w:rFonts w:hint="eastAsia" w:ascii="宋体" w:hAnsi="宋体" w:eastAsia="宋体" w:cs="宋体"/>
                <w:color w:val="auto"/>
                <w:kern w:val="0"/>
                <w:sz w:val="24"/>
                <w:szCs w:val="24"/>
                <w:shd w:val="clear" w:color="auto" w:fill="FFFFFF"/>
              </w:rPr>
              <w:t>同意</w:t>
            </w:r>
            <w:r>
              <w:rPr>
                <w:rFonts w:hint="eastAsia" w:ascii="宋体" w:hAnsi="宋体" w:cs="宋体"/>
                <w:color w:val="auto"/>
                <w:kern w:val="0"/>
                <w:sz w:val="24"/>
                <w:szCs w:val="24"/>
                <w:shd w:val="clear" w:color="auto" w:fill="FFFFFF"/>
                <w:lang w:eastAsia="zh-CN"/>
              </w:rPr>
              <w:t>，</w:t>
            </w:r>
            <w:r>
              <w:rPr>
                <w:rFonts w:hint="eastAsia" w:hAnsi="宋体" w:cs="宋体"/>
                <w:color w:val="auto"/>
                <w:sz w:val="24"/>
                <w:szCs w:val="24"/>
                <w:u w:val="single"/>
                <w:lang w:eastAsia="zh-CN"/>
              </w:rPr>
              <w:t>替</w:t>
            </w:r>
            <w:r>
              <w:rPr>
                <w:rFonts w:hint="eastAsia" w:ascii="宋体" w:hAnsi="宋体" w:eastAsia="宋体" w:cs="宋体"/>
                <w:color w:val="auto"/>
                <w:sz w:val="24"/>
                <w:szCs w:val="24"/>
                <w:u w:val="single"/>
              </w:rPr>
              <w:t>换人员</w:t>
            </w:r>
            <w:r>
              <w:rPr>
                <w:rFonts w:hint="eastAsia" w:hAnsi="宋体" w:cs="宋体"/>
                <w:color w:val="auto"/>
                <w:sz w:val="24"/>
                <w:szCs w:val="24"/>
                <w:u w:val="single"/>
                <w:lang w:eastAsia="zh-CN"/>
              </w:rPr>
              <w:t>的</w:t>
            </w:r>
            <w:r>
              <w:rPr>
                <w:rFonts w:hint="eastAsia" w:ascii="宋体" w:hAnsi="宋体" w:eastAsia="宋体" w:cs="宋体"/>
                <w:color w:val="auto"/>
                <w:sz w:val="24"/>
                <w:szCs w:val="24"/>
                <w:u w:val="single"/>
              </w:rPr>
              <w:t>资</w:t>
            </w:r>
            <w:r>
              <w:rPr>
                <w:rFonts w:hint="eastAsia" w:hAnsi="宋体" w:cs="宋体"/>
                <w:color w:val="auto"/>
                <w:sz w:val="24"/>
                <w:szCs w:val="24"/>
                <w:u w:val="single"/>
                <w:lang w:eastAsia="zh-CN"/>
              </w:rPr>
              <w:t>质和</w:t>
            </w:r>
            <w:r>
              <w:rPr>
                <w:rFonts w:hint="eastAsia" w:ascii="宋体" w:hAnsi="宋体" w:eastAsia="宋体" w:cs="宋体"/>
                <w:color w:val="auto"/>
                <w:sz w:val="24"/>
                <w:szCs w:val="24"/>
                <w:u w:val="single"/>
              </w:rPr>
              <w:t>经验不</w:t>
            </w:r>
            <w:r>
              <w:rPr>
                <w:rFonts w:hint="eastAsia" w:hAnsi="宋体" w:cs="宋体"/>
                <w:color w:val="auto"/>
                <w:sz w:val="24"/>
                <w:szCs w:val="24"/>
                <w:u w:val="single"/>
                <w:lang w:eastAsia="zh-CN"/>
              </w:rPr>
              <w:t>得</w:t>
            </w:r>
            <w:r>
              <w:rPr>
                <w:rFonts w:hint="eastAsia" w:ascii="宋体" w:hAnsi="宋体" w:eastAsia="宋体" w:cs="宋体"/>
                <w:color w:val="auto"/>
                <w:sz w:val="24"/>
                <w:szCs w:val="24"/>
                <w:u w:val="single"/>
              </w:rPr>
              <w:t>低于</w:t>
            </w:r>
            <w:r>
              <w:rPr>
                <w:rFonts w:hint="eastAsia" w:hAnsi="宋体" w:cs="宋体"/>
                <w:color w:val="auto"/>
                <w:sz w:val="24"/>
                <w:szCs w:val="24"/>
                <w:u w:val="single"/>
                <w:lang w:eastAsia="zh-CN"/>
              </w:rPr>
              <w:t>原承诺条件，且应提供相应证明材料。未经委托人书面同意擅自</w:t>
            </w:r>
            <w:r>
              <w:rPr>
                <w:rFonts w:hint="eastAsia" w:ascii="宋体" w:hAnsi="宋体" w:eastAsia="宋体" w:cs="宋体"/>
                <w:color w:val="auto"/>
                <w:sz w:val="24"/>
                <w:szCs w:val="24"/>
                <w:u w:val="single"/>
              </w:rPr>
              <w:t>更换</w:t>
            </w:r>
            <w:r>
              <w:rPr>
                <w:rFonts w:hint="eastAsia" w:hAnsi="宋体" w:cs="宋体"/>
                <w:color w:val="auto"/>
                <w:sz w:val="24"/>
                <w:szCs w:val="24"/>
                <w:u w:val="single"/>
                <w:lang w:eastAsia="zh-CN"/>
              </w:rPr>
              <w:t>的，委托人有权要求恢复原人</w:t>
            </w:r>
            <w:r>
              <w:rPr>
                <w:rFonts w:hint="eastAsia" w:ascii="宋体" w:hAnsi="宋体" w:eastAsia="宋体" w:cs="宋体"/>
                <w:color w:val="auto"/>
                <w:sz w:val="24"/>
                <w:szCs w:val="24"/>
                <w:u w:val="single"/>
              </w:rPr>
              <w:t>员</w:t>
            </w:r>
            <w:r>
              <w:rPr>
                <w:rFonts w:hint="eastAsia" w:hAnsi="宋体" w:cs="宋体"/>
                <w:color w:val="auto"/>
                <w:sz w:val="24"/>
                <w:szCs w:val="24"/>
                <w:u w:val="single"/>
                <w:lang w:eastAsia="zh-CN"/>
              </w:rPr>
              <w:t>或追究违约责任</w:t>
            </w:r>
            <w:r>
              <w:rPr>
                <w:rFonts w:hint="eastAsia" w:ascii="宋体" w:hAnsi="宋体" w:eastAsia="宋体" w:cs="宋体"/>
                <w:color w:val="auto"/>
                <w:kern w:val="0"/>
                <w:sz w:val="24"/>
                <w:szCs w:val="24"/>
                <w:shd w:val="clear" w:color="auto" w:fill="FFFFFF"/>
              </w:rPr>
              <w:t>。办公设备、办公用品、就餐、住宿、现场踏勘、差旅费、税费等一切支出由</w:t>
            </w:r>
            <w:r>
              <w:rPr>
                <w:rFonts w:hint="eastAsia" w:ascii="宋体" w:hAnsi="宋体" w:cs="宋体"/>
                <w:color w:val="auto"/>
                <w:kern w:val="0"/>
                <w:sz w:val="24"/>
                <w:szCs w:val="24"/>
                <w:shd w:val="clear" w:color="auto" w:fill="FFFFFF"/>
                <w:lang w:eastAsia="zh-CN"/>
              </w:rPr>
              <w:t>咨询人</w:t>
            </w:r>
            <w:r>
              <w:rPr>
                <w:rFonts w:hint="eastAsia" w:ascii="宋体" w:hAnsi="宋体" w:eastAsia="宋体" w:cs="宋体"/>
                <w:color w:val="auto"/>
                <w:kern w:val="0"/>
                <w:sz w:val="24"/>
                <w:szCs w:val="24"/>
                <w:shd w:val="clear" w:color="auto" w:fill="FFFFFF"/>
              </w:rPr>
              <w:t>自行解决，费用已包含在合同价款内。</w:t>
            </w:r>
          </w:p>
          <w:p w14:paraId="52E5216B">
            <w:pPr>
              <w:spacing w:line="360" w:lineRule="auto"/>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2、</w:t>
            </w:r>
            <w:r>
              <w:rPr>
                <w:rFonts w:hint="eastAsia" w:ascii="宋体" w:hAnsi="宋体" w:cs="宋体"/>
                <w:color w:val="auto"/>
                <w:kern w:val="0"/>
                <w:sz w:val="24"/>
                <w:szCs w:val="24"/>
                <w:shd w:val="clear" w:color="auto" w:fill="FFFFFF"/>
                <w:lang w:eastAsia="zh-CN"/>
              </w:rPr>
              <w:t>咨询人</w:t>
            </w:r>
            <w:r>
              <w:rPr>
                <w:rFonts w:hint="eastAsia" w:ascii="宋体" w:hAnsi="宋体" w:eastAsia="宋体" w:cs="宋体"/>
                <w:color w:val="auto"/>
                <w:kern w:val="0"/>
                <w:sz w:val="24"/>
                <w:szCs w:val="24"/>
                <w:shd w:val="clear" w:color="auto" w:fill="FFFFFF"/>
              </w:rPr>
              <w:t>需在</w:t>
            </w:r>
            <w:r>
              <w:rPr>
                <w:rFonts w:hint="eastAsia" w:ascii="宋体" w:hAnsi="宋体" w:cs="宋体"/>
                <w:color w:val="auto"/>
                <w:kern w:val="0"/>
                <w:sz w:val="24"/>
                <w:szCs w:val="24"/>
                <w:shd w:val="clear" w:color="auto" w:fill="FFFFFF"/>
                <w:lang w:eastAsia="zh-CN"/>
              </w:rPr>
              <w:t>委托人</w:t>
            </w:r>
            <w:r>
              <w:rPr>
                <w:rFonts w:hint="eastAsia" w:ascii="宋体" w:hAnsi="宋体" w:eastAsia="宋体" w:cs="宋体"/>
                <w:color w:val="auto"/>
                <w:kern w:val="0"/>
                <w:sz w:val="24"/>
                <w:szCs w:val="24"/>
                <w:shd w:val="clear" w:color="auto" w:fill="FFFFFF"/>
              </w:rPr>
              <w:t>要求的期限内完成各项工作内容，如未按要求完成的，</w:t>
            </w:r>
            <w:r>
              <w:rPr>
                <w:rFonts w:hint="eastAsia" w:ascii="宋体" w:hAnsi="宋体" w:cs="宋体"/>
                <w:color w:val="auto"/>
                <w:kern w:val="0"/>
                <w:sz w:val="24"/>
                <w:szCs w:val="24"/>
                <w:shd w:val="clear" w:color="auto" w:fill="FFFFFF"/>
                <w:lang w:eastAsia="zh-CN"/>
              </w:rPr>
              <w:t>委托人</w:t>
            </w:r>
            <w:r>
              <w:rPr>
                <w:rFonts w:hint="eastAsia" w:ascii="宋体" w:hAnsi="宋体" w:eastAsia="宋体" w:cs="宋体"/>
                <w:color w:val="auto"/>
                <w:kern w:val="0"/>
                <w:sz w:val="24"/>
                <w:szCs w:val="24"/>
                <w:shd w:val="clear" w:color="auto" w:fill="FFFFFF"/>
              </w:rPr>
              <w:t>有权进行相应处理。</w:t>
            </w:r>
          </w:p>
          <w:p w14:paraId="62153E85">
            <w:pPr>
              <w:pStyle w:val="87"/>
              <w:spacing w:line="360" w:lineRule="auto"/>
              <w:rPr>
                <w:rFonts w:hint="eastAsia" w:ascii="宋体" w:hAnsi="宋体" w:eastAsia="宋体" w:cs="宋体"/>
                <w:color w:val="auto"/>
                <w:kern w:val="0"/>
                <w:sz w:val="24"/>
                <w:szCs w:val="24"/>
                <w:shd w:val="clear" w:color="auto" w:fill="FFFFFF"/>
                <w:lang w:eastAsia="zh-CN"/>
              </w:rPr>
            </w:pPr>
            <w:r>
              <w:rPr>
                <w:rFonts w:hint="eastAsia" w:hAnsi="宋体" w:cs="宋体"/>
                <w:color w:val="auto"/>
                <w:kern w:val="0"/>
                <w:sz w:val="24"/>
                <w:szCs w:val="24"/>
                <w:shd w:val="clear" w:color="auto" w:fill="FFFFFF"/>
                <w:lang w:eastAsia="zh-CN"/>
              </w:rPr>
              <w:t>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未按合同及委托人要求完成服务内容，或存在延误、质量不合格、资料丢失、擅自更换人员、拒不配合等违约行为，委托人有权要求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支付违约金，违约金标准为合同总价的10%，并有权要求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赔偿全部实际损失，且有权单方解除合同。</w:t>
            </w:r>
            <w:r>
              <w:rPr>
                <w:rFonts w:hint="eastAsia" w:hAnsi="宋体" w:cs="宋体"/>
                <w:color w:val="auto"/>
                <w:kern w:val="0"/>
                <w:sz w:val="24"/>
                <w:szCs w:val="24"/>
                <w:shd w:val="clear" w:color="auto" w:fill="FFFFFF"/>
                <w:lang w:eastAsia="zh-CN"/>
              </w:rPr>
              <w:t xml:space="preserve"> </w:t>
            </w:r>
          </w:p>
          <w:p w14:paraId="5F875994">
            <w:pPr>
              <w:pStyle w:val="87"/>
              <w:spacing w:line="360" w:lineRule="auto"/>
              <w:rPr>
                <w:rFonts w:hint="eastAsia" w:ascii="宋体" w:hAnsi="宋体" w:eastAsia="宋体" w:cs="宋体"/>
                <w:color w:val="auto"/>
                <w:kern w:val="0"/>
                <w:sz w:val="24"/>
                <w:szCs w:val="24"/>
                <w:shd w:val="clear" w:color="auto" w:fill="FFFFFF"/>
                <w:lang w:eastAsia="zh-CN"/>
              </w:rPr>
            </w:pPr>
            <w:r>
              <w:rPr>
                <w:rFonts w:hint="eastAsia" w:hAnsi="宋体" w:cs="宋体"/>
                <w:color w:val="auto"/>
                <w:kern w:val="0"/>
                <w:sz w:val="24"/>
                <w:szCs w:val="24"/>
                <w:shd w:val="clear" w:color="auto" w:fill="FFFFFF"/>
                <w:lang w:eastAsia="zh-CN"/>
              </w:rPr>
              <w:t>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存在重大违约、服务质量不达标、人员更换不合规、拒不配合管理办法或审计检查、资料归档不合格等情形，委托人有权单方解除合同，并有权要求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赔偿全部实际损失。</w:t>
            </w:r>
            <w:r>
              <w:rPr>
                <w:rFonts w:hint="eastAsia" w:hAnsi="宋体" w:cs="宋体"/>
                <w:color w:val="auto"/>
                <w:kern w:val="0"/>
                <w:sz w:val="24"/>
                <w:szCs w:val="24"/>
                <w:shd w:val="clear" w:color="auto" w:fill="FFFFFF"/>
                <w:lang w:eastAsia="zh-CN"/>
              </w:rPr>
              <w:t xml:space="preserve"> </w:t>
            </w:r>
            <w:r>
              <w:rPr>
                <w:rFonts w:hint="eastAsia" w:hAnsi="宋体" w:cs="宋体"/>
                <w:color w:val="auto"/>
                <w:kern w:val="0"/>
                <w:sz w:val="24"/>
                <w:szCs w:val="24"/>
                <w:shd w:val="clear" w:color="auto" w:fill="FFFFFF"/>
                <w:lang w:eastAsia="zh-CN"/>
              </w:rPr>
              <w:t>每月开展服务绩效考核，连续两月评分低于80分，委托人有权启动核心人员更换程序。处理措施包括但不限于扣减服务费用、要求限期整改、暂停支付、直至解除合同并追究违约责任。因咨询单位原因导致项目损失的，咨询单位应承担相应赔偿责任。</w:t>
            </w:r>
          </w:p>
          <w:p w14:paraId="691B69E1">
            <w:pPr>
              <w:pStyle w:val="87"/>
              <w:rPr>
                <w:rFonts w:hint="eastAsia" w:hAnsi="宋体" w:cs="宋体"/>
                <w:color w:val="auto"/>
                <w:kern w:val="0"/>
                <w:sz w:val="24"/>
                <w:szCs w:val="24"/>
                <w:shd w:val="clear" w:color="auto" w:fill="FFFFFF"/>
                <w:lang w:val="en-US" w:eastAsia="zh-CN"/>
              </w:rPr>
            </w:pPr>
            <w:r>
              <w:rPr>
                <w:rFonts w:hint="eastAsia" w:hAnsi="宋体" w:cs="宋体"/>
                <w:color w:val="auto"/>
                <w:kern w:val="0"/>
                <w:sz w:val="24"/>
                <w:szCs w:val="24"/>
                <w:shd w:val="clear" w:color="auto" w:fill="FFFFFF"/>
                <w:lang w:val="en-US" w:eastAsia="zh-CN"/>
              </w:rPr>
              <w:t>所有造价成果文件形成后，</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val="en-US" w:eastAsia="zh-CN"/>
              </w:rPr>
              <w:t>必须同步提交广联达/斯维尔等主流计量计价软件的原始算量模型文件，连同PDF或Excel成果一同备份至委托人指定系统/平台。未提交模型文件视为成果不完整，影响结算或验收。模型文件必须可溯源、可调取、可供后续审计复检使用。</w:t>
            </w:r>
          </w:p>
          <w:p w14:paraId="2E7D88B6">
            <w:pPr>
              <w:pStyle w:val="87"/>
              <w:rPr>
                <w:rFonts w:hint="eastAsia" w:hAnsi="宋体" w:cs="宋体"/>
                <w:color w:val="auto"/>
                <w:kern w:val="0"/>
                <w:sz w:val="24"/>
                <w:szCs w:val="24"/>
                <w:shd w:val="clear" w:color="auto" w:fill="FFFFFF"/>
                <w:lang w:val="en-US" w:eastAsia="zh-CN"/>
              </w:rPr>
            </w:pPr>
            <w:r>
              <w:rPr>
                <w:rFonts w:hint="eastAsia" w:hAnsi="宋体" w:cs="宋体"/>
                <w:color w:val="auto"/>
                <w:kern w:val="0"/>
                <w:sz w:val="24"/>
                <w:szCs w:val="24"/>
                <w:shd w:val="clear" w:color="auto" w:fill="FFFFFF"/>
                <w:lang w:val="en-US" w:eastAsia="zh-CN"/>
              </w:rPr>
              <w:t>4、</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val="en-US" w:eastAsia="zh-CN"/>
              </w:rPr>
              <w:t>的造价成果必须采用三维建模的方式开展图形算量，并负责配合项目工作的开展，优先使用造价行业领先的图形算量和计价软件。</w:t>
            </w:r>
          </w:p>
          <w:p w14:paraId="2CF09D6D">
            <w:pPr>
              <w:pStyle w:val="87"/>
              <w:widowControl w:val="0"/>
              <w:spacing w:line="360" w:lineRule="auto"/>
              <w:rPr>
                <w:rFonts w:hint="eastAsia" w:hAnsi="宋体" w:cs="宋体"/>
                <w:color w:val="auto"/>
                <w:kern w:val="0"/>
                <w:sz w:val="24"/>
                <w:szCs w:val="24"/>
                <w:shd w:val="clear" w:color="auto" w:fill="FFFFFF"/>
                <w:lang w:val="en-US" w:eastAsia="zh-CN"/>
              </w:rPr>
            </w:pPr>
            <w:r>
              <w:rPr>
                <w:rFonts w:hint="eastAsia" w:ascii="宋体" w:hAnsi="宋体" w:cs="宋体"/>
                <w:b/>
                <w:bCs/>
                <w:color w:val="auto"/>
                <w:sz w:val="24"/>
                <w:szCs w:val="24"/>
                <w:lang w:val="en-US" w:eastAsia="zh-CN"/>
              </w:rPr>
              <w:t>5、</w:t>
            </w:r>
            <w:r>
              <w:rPr>
                <w:rFonts w:hint="eastAsia" w:hAnsi="宋体" w:cs="宋体"/>
                <w:color w:val="auto"/>
                <w:kern w:val="0"/>
                <w:sz w:val="24"/>
                <w:szCs w:val="24"/>
                <w:shd w:val="clear" w:color="auto" w:fill="FFFFFF"/>
                <w:lang w:val="en-US" w:eastAsia="zh-CN"/>
              </w:rPr>
              <w:t>咨询人应妥善保管与本项目相关的全部电子数据和资料。</w:t>
            </w:r>
          </w:p>
          <w:p w14:paraId="48619346">
            <w:pPr>
              <w:pStyle w:val="87"/>
              <w:rPr>
                <w:rFonts w:hint="eastAsia" w:hAnsi="宋体" w:cs="宋体"/>
                <w:color w:val="auto"/>
                <w:kern w:val="0"/>
                <w:sz w:val="24"/>
                <w:szCs w:val="24"/>
                <w:shd w:val="clear" w:color="auto" w:fill="FFFFFF"/>
                <w:lang w:val="en-US" w:eastAsia="zh-CN"/>
              </w:rPr>
            </w:pPr>
          </w:p>
        </w:tc>
      </w:tr>
    </w:tbl>
    <w:p w14:paraId="70A5F0DA">
      <w:pPr>
        <w:pStyle w:val="87"/>
        <w:spacing w:line="360" w:lineRule="auto"/>
        <w:rPr>
          <w:rFonts w:ascii="宋体" w:hAnsi="宋体" w:cs="宋体"/>
          <w:b/>
          <w:bCs/>
          <w:color w:val="auto"/>
          <w:sz w:val="24"/>
          <w:szCs w:val="24"/>
        </w:rPr>
      </w:pPr>
    </w:p>
    <w:p w14:paraId="2D21F14F">
      <w:pPr>
        <w:pStyle w:val="87"/>
        <w:widowControl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二、造价咨询服务质量标准</w:t>
      </w:r>
      <w:bookmarkEnd w:id="407"/>
      <w:bookmarkEnd w:id="408"/>
      <w:bookmarkEnd w:id="409"/>
    </w:p>
    <w:p w14:paraId="0D6981BF">
      <w:pPr>
        <w:pStyle w:val="87"/>
        <w:widowControl w:val="0"/>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按国家、省、市颁布的法律、法规及造价标准、定额、规范的规定，结合本项目的相关造价管理文件及甲方的相关要求。各标准、文件要求不一致的，以要求较高者为准。</w:t>
      </w:r>
      <w:r>
        <w:rPr>
          <w:rFonts w:hint="eastAsia" w:ascii="宋体" w:hAnsi="宋体" w:eastAsia="宋体" w:cs="宋体"/>
          <w:color w:val="auto"/>
          <w:kern w:val="0"/>
          <w:sz w:val="24"/>
          <w:szCs w:val="24"/>
          <w:shd w:val="clear" w:color="auto" w:fill="FFFFFF"/>
        </w:rPr>
        <w:t>造价咨询单位</w:t>
      </w:r>
      <w:r>
        <w:rPr>
          <w:rFonts w:hint="eastAsia" w:ascii="宋体" w:hAnsi="宋体" w:eastAsia="宋体" w:cs="宋体"/>
          <w:color w:val="auto"/>
          <w:sz w:val="24"/>
          <w:szCs w:val="24"/>
        </w:rPr>
        <w:t>对造价成果的真实性、完整性、合法性等负全部责任。</w:t>
      </w:r>
      <w:bookmarkStart w:id="410" w:name="auto_fouce_55"/>
    </w:p>
    <w:p w14:paraId="6E7A4810">
      <w:pPr>
        <w:pStyle w:val="87"/>
        <w:widowControl w:val="0"/>
        <w:spacing w:line="360" w:lineRule="auto"/>
        <w:ind w:firstLine="48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如</w:t>
      </w:r>
      <w:r>
        <w:rPr>
          <w:rFonts w:hint="eastAsia" w:ascii="宋体" w:hAnsi="宋体" w:eastAsia="宋体" w:cs="宋体"/>
          <w:color w:val="auto"/>
          <w:kern w:val="0"/>
          <w:sz w:val="24"/>
          <w:szCs w:val="24"/>
          <w:shd w:val="clear" w:color="auto" w:fill="FFFFFF"/>
        </w:rPr>
        <w:t>造价咨询单位</w:t>
      </w:r>
      <w:r>
        <w:rPr>
          <w:rFonts w:hint="eastAsia" w:ascii="宋体" w:hAnsi="宋体" w:cs="宋体"/>
          <w:color w:val="auto"/>
          <w:sz w:val="24"/>
          <w:szCs w:val="24"/>
          <w:lang w:eastAsia="zh-CN"/>
        </w:rPr>
        <w:t>提交的造价成果存在虚假、遗漏、错误、延误或不符合国家及招标人相关标准的情形，招标人有权要求</w:t>
      </w:r>
      <w:r>
        <w:rPr>
          <w:rFonts w:hint="eastAsia" w:ascii="宋体" w:hAnsi="宋体" w:eastAsia="宋体" w:cs="宋体"/>
          <w:color w:val="auto"/>
          <w:kern w:val="0"/>
          <w:sz w:val="24"/>
          <w:szCs w:val="24"/>
          <w:shd w:val="clear" w:color="auto" w:fill="FFFFFF"/>
        </w:rPr>
        <w:t>造价咨询单位</w:t>
      </w:r>
      <w:r>
        <w:rPr>
          <w:rFonts w:hint="eastAsia" w:ascii="宋体" w:hAnsi="宋体" w:cs="宋体"/>
          <w:color w:val="auto"/>
          <w:sz w:val="24"/>
          <w:szCs w:val="24"/>
          <w:lang w:eastAsia="zh-CN"/>
        </w:rPr>
        <w:t>限期整改，逾期未整改或整改后仍不合格的，招标人有权单方解除合同，并有权要求</w:t>
      </w:r>
      <w:r>
        <w:rPr>
          <w:rFonts w:hint="eastAsia" w:ascii="宋体" w:hAnsi="宋体" w:eastAsia="宋体" w:cs="宋体"/>
          <w:color w:val="auto"/>
          <w:kern w:val="0"/>
          <w:sz w:val="24"/>
          <w:szCs w:val="24"/>
          <w:shd w:val="clear" w:color="auto" w:fill="FFFFFF"/>
        </w:rPr>
        <w:t>造价咨询单位</w:t>
      </w:r>
      <w:r>
        <w:rPr>
          <w:rFonts w:hint="eastAsia" w:ascii="宋体" w:hAnsi="宋体" w:cs="宋体"/>
          <w:color w:val="auto"/>
          <w:sz w:val="24"/>
          <w:szCs w:val="24"/>
          <w:lang w:eastAsia="zh-CN"/>
        </w:rPr>
        <w:t>赔偿由此造成的全部损失，包括但不限于因成果不合格导致的审计、决算、项目延误、行政处罚等直接或间接损失。</w:t>
      </w:r>
      <w:bookmarkEnd w:id="410"/>
    </w:p>
    <w:p w14:paraId="539BC0DC">
      <w:pPr>
        <w:pStyle w:val="87"/>
        <w:widowControl w:val="0"/>
        <w:spacing w:line="360" w:lineRule="auto"/>
        <w:rPr>
          <w:rFonts w:hint="eastAsia" w:ascii="宋体" w:hAnsi="宋体" w:eastAsia="宋体" w:cs="宋体"/>
          <w:b/>
          <w:bCs/>
          <w:color w:val="auto"/>
          <w:sz w:val="24"/>
          <w:szCs w:val="24"/>
        </w:rPr>
      </w:pPr>
      <w:bookmarkStart w:id="411" w:name="_Toc7486"/>
      <w:bookmarkStart w:id="412" w:name="_Toc23846"/>
      <w:bookmarkStart w:id="413" w:name="_Toc523854848"/>
      <w:r>
        <w:rPr>
          <w:rFonts w:hint="eastAsia" w:ascii="宋体" w:hAnsi="宋体" w:eastAsia="宋体" w:cs="宋体"/>
          <w:b/>
          <w:bCs/>
          <w:color w:val="auto"/>
          <w:sz w:val="24"/>
          <w:szCs w:val="24"/>
        </w:rPr>
        <w:t>三、造价咨询服务目标</w:t>
      </w:r>
      <w:bookmarkEnd w:id="411"/>
      <w:bookmarkEnd w:id="412"/>
      <w:bookmarkEnd w:id="413"/>
    </w:p>
    <w:p w14:paraId="2325AB16">
      <w:pPr>
        <w:pStyle w:val="87"/>
        <w:widowControl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总投资建安费不超过</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招标控制价；设计概算、预算、过程审核、结算审核等精度须在甲方控制目标范围以内，概算控制预算，预算控制结算；过程控制准确，杜绝出现进度款超付现象；项目按期、高质完成，同时能取得良好的社会效益、环境效益和经济效益。</w:t>
      </w:r>
    </w:p>
    <w:p w14:paraId="5697E3DF">
      <w:pPr>
        <w:widowControl w:val="0"/>
        <w:snapToGrid/>
        <w:spacing w:line="360" w:lineRule="auto"/>
        <w:ind w:firstLine="482"/>
        <w:jc w:val="left"/>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四、服务期限</w:t>
      </w:r>
    </w:p>
    <w:p w14:paraId="2069AA6C">
      <w:pPr>
        <w:widowControl w:val="0"/>
        <w:snapToGrid w:val="0"/>
        <w:spacing w:line="360" w:lineRule="auto"/>
        <w:ind w:firstLine="480" w:firstLineChars="200"/>
        <w:jc w:val="left"/>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u w:val="single"/>
        </w:rPr>
        <w:t>自</w:t>
      </w:r>
      <w:bookmarkStart w:id="414" w:name="OLE_LINK3"/>
      <w:r>
        <w:rPr>
          <w:rFonts w:hint="eastAsia" w:ascii="宋体" w:hAnsi="宋体" w:eastAsia="宋体" w:cs="宋体"/>
          <w:color w:val="auto"/>
          <w:sz w:val="24"/>
          <w:szCs w:val="24"/>
          <w:u w:val="single"/>
        </w:rPr>
        <w:t>本招标项目造价咨询服务合同签订之日起至完成全部服务内容之日止</w:t>
      </w:r>
      <w:r>
        <w:rPr>
          <w:rFonts w:hint="eastAsia" w:ascii="宋体" w:hAnsi="宋体" w:eastAsia="宋体" w:cs="宋体"/>
          <w:color w:val="auto"/>
          <w:spacing w:val="-2"/>
          <w:sz w:val="24"/>
          <w:szCs w:val="24"/>
        </w:rPr>
        <w:t>。</w:t>
      </w:r>
      <w:bookmarkEnd w:id="414"/>
      <w:bookmarkStart w:id="415" w:name="auto_fouce_57"/>
    </w:p>
    <w:p w14:paraId="36221995">
      <w:pPr>
        <w:widowControl w:val="0"/>
        <w:snapToGrid w:val="0"/>
        <w:spacing w:line="360" w:lineRule="auto"/>
        <w:ind w:firstLine="472" w:firstLineChars="200"/>
        <w:jc w:val="left"/>
        <w:rPr>
          <w:rFonts w:hint="eastAsia" w:ascii="宋体" w:hAnsi="宋体" w:eastAsia="宋体" w:cs="宋体"/>
          <w:color w:val="auto"/>
          <w:spacing w:val="-2"/>
          <w:sz w:val="24"/>
          <w:szCs w:val="24"/>
          <w:lang w:eastAsia="zh-CN"/>
        </w:rPr>
      </w:pPr>
      <w:r>
        <w:rPr>
          <w:rFonts w:hint="eastAsia" w:hAnsi="宋体" w:cs="宋体"/>
          <w:color w:val="auto"/>
          <w:spacing w:val="-2"/>
          <w:sz w:val="24"/>
          <w:szCs w:val="24"/>
          <w:lang w:eastAsia="zh-CN"/>
        </w:rPr>
        <w:t>因政府审计部门延长审计期限，不构成</w:t>
      </w:r>
      <w:r>
        <w:rPr>
          <w:rFonts w:hint="eastAsia" w:ascii="宋体" w:hAnsi="宋体" w:eastAsia="宋体" w:cs="宋体"/>
          <w:color w:val="auto"/>
          <w:kern w:val="0"/>
          <w:sz w:val="24"/>
          <w:szCs w:val="24"/>
          <w:shd w:val="clear" w:color="auto" w:fill="FFFFFF"/>
        </w:rPr>
        <w:t>造价咨询单位</w:t>
      </w:r>
      <w:r>
        <w:rPr>
          <w:rFonts w:hint="eastAsia" w:hAnsi="宋体" w:cs="宋体"/>
          <w:color w:val="auto"/>
          <w:spacing w:val="-2"/>
          <w:sz w:val="24"/>
          <w:szCs w:val="24"/>
          <w:lang w:eastAsia="zh-CN"/>
        </w:rPr>
        <w:t>延期履行本合同义务的理由，</w:t>
      </w:r>
      <w:r>
        <w:rPr>
          <w:rFonts w:hint="eastAsia" w:ascii="宋体" w:hAnsi="宋体" w:eastAsia="宋体" w:cs="宋体"/>
          <w:color w:val="auto"/>
          <w:kern w:val="0"/>
          <w:sz w:val="24"/>
          <w:szCs w:val="24"/>
          <w:shd w:val="clear" w:color="auto" w:fill="FFFFFF"/>
        </w:rPr>
        <w:t>造价咨询单位</w:t>
      </w:r>
      <w:r>
        <w:rPr>
          <w:rFonts w:hint="eastAsia" w:hAnsi="宋体" w:cs="宋体"/>
          <w:color w:val="auto"/>
          <w:spacing w:val="-2"/>
          <w:sz w:val="24"/>
          <w:szCs w:val="24"/>
          <w:lang w:eastAsia="zh-CN"/>
        </w:rPr>
        <w:t>应按合同约定时间节点完成全部服务内容。</w:t>
      </w:r>
      <w:bookmarkEnd w:id="415"/>
      <w:r>
        <w:rPr>
          <w:rFonts w:hint="eastAsia" w:hAnsi="宋体" w:cs="宋体"/>
          <w:color w:val="auto"/>
          <w:spacing w:val="-2"/>
          <w:sz w:val="24"/>
          <w:szCs w:val="24"/>
          <w:lang w:eastAsia="zh-CN"/>
        </w:rPr>
        <w:t xml:space="preserve"> </w:t>
      </w:r>
      <w:bookmarkStart w:id="416" w:name="auto_fouce_56"/>
    </w:p>
    <w:p w14:paraId="408DAEC4">
      <w:pPr>
        <w:pStyle w:val="10"/>
        <w:rPr>
          <w:rFonts w:hint="eastAsia"/>
          <w:color w:val="auto"/>
          <w:lang w:eastAsia="zh-CN"/>
        </w:rPr>
      </w:pPr>
      <w:r>
        <w:rPr>
          <w:rFonts w:hint="eastAsia" w:hAnsi="宋体" w:cs="宋体"/>
          <w:color w:val="auto"/>
          <w:spacing w:val="-2"/>
          <w:sz w:val="24"/>
          <w:szCs w:val="24"/>
          <w:lang w:eastAsia="zh-CN"/>
        </w:rPr>
        <w:t>服务终止以招标人书面验收合格并出具验收意见为准。因招标人原因导致服务无法按期完成的，服务期限相应顺延，</w:t>
      </w:r>
      <w:r>
        <w:rPr>
          <w:rFonts w:hint="eastAsia" w:ascii="宋体" w:hAnsi="宋体" w:eastAsia="宋体" w:cs="宋体"/>
          <w:color w:val="auto"/>
          <w:kern w:val="0"/>
          <w:sz w:val="24"/>
          <w:szCs w:val="24"/>
          <w:shd w:val="clear" w:color="auto" w:fill="FFFFFF"/>
        </w:rPr>
        <w:t>造价咨询单位</w:t>
      </w:r>
      <w:r>
        <w:rPr>
          <w:rFonts w:hint="eastAsia" w:hAnsi="宋体" w:cs="宋体"/>
          <w:color w:val="auto"/>
          <w:spacing w:val="-2"/>
          <w:sz w:val="24"/>
          <w:szCs w:val="24"/>
          <w:lang w:eastAsia="zh-CN"/>
        </w:rPr>
        <w:t>应配合完成后续服务。因</w:t>
      </w:r>
      <w:r>
        <w:rPr>
          <w:rFonts w:hint="eastAsia" w:ascii="宋体" w:hAnsi="宋体" w:eastAsia="宋体" w:cs="宋体"/>
          <w:color w:val="auto"/>
          <w:kern w:val="0"/>
          <w:sz w:val="24"/>
          <w:szCs w:val="24"/>
          <w:shd w:val="clear" w:color="auto" w:fill="FFFFFF"/>
        </w:rPr>
        <w:t>造价咨询单位</w:t>
      </w:r>
      <w:r>
        <w:rPr>
          <w:rFonts w:hint="eastAsia" w:hAnsi="宋体" w:cs="宋体"/>
          <w:color w:val="auto"/>
          <w:spacing w:val="-2"/>
          <w:sz w:val="24"/>
          <w:szCs w:val="24"/>
          <w:lang w:eastAsia="zh-CN"/>
        </w:rPr>
        <w:t>原因导致服务延误的，招标人有权追究违约责任。</w:t>
      </w:r>
      <w:bookmarkEnd w:id="416"/>
    </w:p>
    <w:p w14:paraId="60E3F5DC">
      <w:pPr>
        <w:widowControl w:val="0"/>
        <w:tabs>
          <w:tab w:val="left" w:pos="7513"/>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五、本项目造价咨询服务费</w:t>
      </w:r>
    </w:p>
    <w:p w14:paraId="4E69BA2B">
      <w:pPr>
        <w:widowControl w:val="0"/>
        <w:tabs>
          <w:tab w:val="left" w:pos="7513"/>
        </w:tabs>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312.53万</w:t>
      </w:r>
      <w:r>
        <w:rPr>
          <w:rFonts w:hint="eastAsia" w:ascii="宋体" w:hAnsi="宋体" w:eastAsia="宋体" w:cs="宋体"/>
          <w:color w:val="auto"/>
          <w:sz w:val="24"/>
          <w:szCs w:val="24"/>
          <w:highlight w:val="none"/>
          <w:u w:val="single"/>
        </w:rPr>
        <w:t>元</w:t>
      </w:r>
      <w:r>
        <w:rPr>
          <w:rFonts w:hint="eastAsia" w:ascii="宋体" w:hAnsi="宋体" w:eastAsia="宋体" w:cs="宋体"/>
          <w:color w:val="auto"/>
          <w:spacing w:val="-2"/>
          <w:sz w:val="24"/>
          <w:szCs w:val="24"/>
          <w:highlight w:val="none"/>
        </w:rPr>
        <w:t>。</w:t>
      </w:r>
    </w:p>
    <w:p w14:paraId="3D4C688F">
      <w:pPr>
        <w:widowControl w:val="0"/>
        <w:tabs>
          <w:tab w:val="left" w:pos="7513"/>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六、报价方式</w:t>
      </w:r>
    </w:p>
    <w:p w14:paraId="394C86EA">
      <w:pPr>
        <w:widowControl w:val="0"/>
        <w:tabs>
          <w:tab w:val="left" w:pos="7513"/>
        </w:tabs>
        <w:spacing w:line="360" w:lineRule="auto"/>
        <w:ind w:firstLine="480" w:firstLineChars="200"/>
        <w:rPr>
          <w:rFonts w:hint="eastAsia" w:ascii="宋体" w:hAnsi="宋体" w:eastAsia="宋体" w:cs="宋体"/>
          <w:color w:val="auto"/>
          <w:spacing w:val="-2"/>
          <w:sz w:val="24"/>
          <w:szCs w:val="24"/>
          <w:u w:val="single"/>
        </w:rPr>
      </w:pPr>
      <w:r>
        <w:rPr>
          <w:rFonts w:hint="eastAsia" w:ascii="宋体" w:hAnsi="宋体" w:eastAsia="宋体" w:cs="宋体"/>
          <w:color w:val="auto"/>
          <w:sz w:val="24"/>
          <w:szCs w:val="24"/>
        </w:rPr>
        <w:t>投标人以本项目最高投标限价下浮报价。投标报价以“元”为计算单位，保留小数点后两位，小数点后第三位“四舍五入”。浮动幅度值若出现小数，则小数点后第三位“四舍五入”。</w:t>
      </w:r>
    </w:p>
    <w:bookmarkEnd w:id="399"/>
    <w:bookmarkEnd w:id="400"/>
    <w:bookmarkEnd w:id="401"/>
    <w:bookmarkEnd w:id="402"/>
    <w:bookmarkEnd w:id="403"/>
    <w:p w14:paraId="1D085CAB">
      <w:pPr>
        <w:widowControl w:val="0"/>
        <w:ind w:firstLine="482"/>
        <w:outlineLvl w:val="9"/>
        <w:rPr>
          <w:rFonts w:hint="eastAsia" w:ascii="宋体" w:hAnsi="宋体" w:eastAsia="宋体" w:cs="宋体"/>
          <w:b/>
          <w:color w:val="auto"/>
          <w:szCs w:val="24"/>
        </w:rPr>
      </w:pPr>
      <w:bookmarkStart w:id="417" w:name="_Toc32396"/>
      <w:bookmarkStart w:id="418" w:name="_Toc13130"/>
      <w:r>
        <w:rPr>
          <w:rFonts w:hint="eastAsia" w:ascii="宋体" w:hAnsi="宋体" w:eastAsia="宋体" w:cs="宋体"/>
          <w:b/>
          <w:color w:val="auto"/>
          <w:szCs w:val="24"/>
          <w:lang w:eastAsia="zh-CN"/>
        </w:rPr>
        <w:t>七</w:t>
      </w:r>
      <w:r>
        <w:rPr>
          <w:rFonts w:hint="eastAsia" w:ascii="宋体" w:hAnsi="宋体" w:eastAsia="宋体" w:cs="宋体"/>
          <w:b/>
          <w:color w:val="auto"/>
          <w:szCs w:val="24"/>
        </w:rPr>
        <w:t>、对造价咨询单位投入本项目的人员要求</w:t>
      </w:r>
      <w:bookmarkEnd w:id="417"/>
      <w:bookmarkEnd w:id="418"/>
    </w:p>
    <w:p w14:paraId="6F505264">
      <w:pPr>
        <w:widowControl w:val="0"/>
        <w:autoSpaceDE w:val="0"/>
        <w:autoSpaceDN w:val="0"/>
        <w:adjustRightInd w:val="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投标人提交的造价咨询专业服务人员要求应满足或优于下表：</w:t>
      </w:r>
    </w:p>
    <w:p w14:paraId="200C4730">
      <w:pPr>
        <w:autoSpaceDE w:val="0"/>
        <w:autoSpaceDN w:val="0"/>
        <w:adjustRightInd w:val="0"/>
        <w:spacing w:line="240" w:lineRule="auto"/>
        <w:ind w:left="65" w:leftChars="27" w:right="142" w:firstLine="518" w:firstLineChars="215"/>
        <w:jc w:val="center"/>
        <w:rPr>
          <w:rFonts w:hint="eastAsia" w:hAnsi="宋体" w:cs="宋体"/>
          <w:b/>
          <w:bCs/>
          <w:color w:val="auto"/>
        </w:rPr>
      </w:pPr>
      <w:r>
        <w:rPr>
          <w:rFonts w:hint="eastAsia" w:hAnsi="宋体" w:cs="宋体"/>
          <w:b/>
          <w:bCs/>
          <w:color w:val="auto"/>
        </w:rPr>
        <w:t>《造价咨询服务人员配备要求表》</w:t>
      </w:r>
    </w:p>
    <w:tbl>
      <w:tblPr>
        <w:tblStyle w:val="37"/>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67"/>
        <w:gridCol w:w="816"/>
        <w:gridCol w:w="3625"/>
        <w:gridCol w:w="1779"/>
        <w:gridCol w:w="864"/>
      </w:tblGrid>
      <w:tr w14:paraId="359F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0F048262">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67" w:type="dxa"/>
            <w:tcBorders>
              <w:top w:val="single" w:color="auto" w:sz="4" w:space="0"/>
              <w:left w:val="single" w:color="auto" w:sz="4" w:space="0"/>
              <w:bottom w:val="single" w:color="auto" w:sz="4" w:space="0"/>
              <w:right w:val="single" w:color="auto" w:sz="4" w:space="0"/>
            </w:tcBorders>
            <w:noWrap w:val="0"/>
            <w:vAlign w:val="center"/>
          </w:tcPr>
          <w:p w14:paraId="1E784953">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本项目担任职务</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D062FC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00167FCE">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基本要求</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634C4A9B">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提供证明资料</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3BD4541">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4798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9FF0627">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67" w:type="dxa"/>
            <w:tcBorders>
              <w:top w:val="single" w:color="auto" w:sz="4" w:space="0"/>
              <w:left w:val="single" w:color="auto" w:sz="4" w:space="0"/>
              <w:bottom w:val="single" w:color="auto" w:sz="4" w:space="0"/>
              <w:right w:val="single" w:color="auto" w:sz="4" w:space="0"/>
            </w:tcBorders>
            <w:noWrap w:val="0"/>
            <w:vAlign w:val="center"/>
          </w:tcPr>
          <w:p w14:paraId="7340A22C">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E61D03B">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138B28AD">
            <w:pPr>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w:t>
            </w:r>
            <w:r>
              <w:rPr>
                <w:rFonts w:hint="eastAsia" w:hAnsi="宋体" w:cs="宋体"/>
                <w:color w:val="auto"/>
                <w:sz w:val="21"/>
                <w:szCs w:val="21"/>
                <w:lang w:val="en-US" w:eastAsia="zh-CN"/>
              </w:rPr>
              <w:t>高级工程师</w:t>
            </w:r>
            <w:r>
              <w:rPr>
                <w:rFonts w:hint="eastAsia" w:hAnsi="宋体" w:cs="宋体"/>
                <w:color w:val="auto"/>
                <w:sz w:val="21"/>
                <w:szCs w:val="21"/>
                <w:lang w:val="en-US" w:eastAsia="zh-CN"/>
              </w:rPr>
              <w:t>及</w:t>
            </w:r>
            <w:r>
              <w:rPr>
                <w:rFonts w:hint="eastAsia" w:ascii="宋体" w:hAnsi="宋体" w:eastAsia="宋体" w:cs="宋体"/>
                <w:color w:val="auto"/>
                <w:sz w:val="21"/>
                <w:szCs w:val="21"/>
              </w:rPr>
              <w:t>一级造价工程师资格。</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6DDD57EC">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rPr>
            </w:pPr>
            <w:r>
              <w:rPr>
                <w:rFonts w:hint="eastAsia" w:hAnsi="宋体" w:cs="宋体"/>
                <w:color w:val="auto"/>
                <w:sz w:val="21"/>
                <w:szCs w:val="21"/>
                <w:lang w:val="en-US" w:eastAsia="zh-CN"/>
              </w:rPr>
              <w:t>职称证、</w:t>
            </w:r>
            <w:r>
              <w:rPr>
                <w:rFonts w:hint="eastAsia" w:ascii="宋体" w:hAnsi="宋体" w:eastAsia="宋体" w:cs="宋体"/>
                <w:color w:val="auto"/>
                <w:sz w:val="21"/>
                <w:szCs w:val="21"/>
              </w:rPr>
              <w:t>注册证</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6C4A5113">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r>
      <w:tr w14:paraId="1501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5C451EC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967" w:type="dxa"/>
            <w:tcBorders>
              <w:top w:val="single" w:color="auto" w:sz="4" w:space="0"/>
              <w:left w:val="single" w:color="auto" w:sz="4" w:space="0"/>
              <w:bottom w:val="single" w:color="auto" w:sz="4" w:space="0"/>
              <w:right w:val="single" w:color="auto" w:sz="4" w:space="0"/>
            </w:tcBorders>
            <w:noWrap w:val="0"/>
            <w:vAlign w:val="center"/>
          </w:tcPr>
          <w:p w14:paraId="29899EF5">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土建主管</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B94A855">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79B8B4FB">
            <w:pPr>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w:t>
            </w:r>
            <w:r>
              <w:rPr>
                <w:rFonts w:hint="eastAsia" w:hAnsi="宋体" w:cs="宋体"/>
                <w:color w:val="auto"/>
                <w:sz w:val="21"/>
                <w:szCs w:val="21"/>
                <w:lang w:val="en-US" w:eastAsia="zh-CN"/>
              </w:rPr>
              <w:t>高级工程师</w:t>
            </w:r>
            <w:r>
              <w:rPr>
                <w:rFonts w:hint="eastAsia" w:hAnsi="宋体" w:cs="宋体"/>
                <w:color w:val="auto"/>
                <w:sz w:val="21"/>
                <w:szCs w:val="21"/>
                <w:lang w:val="en-US" w:eastAsia="zh-CN"/>
              </w:rPr>
              <w:t>及</w:t>
            </w:r>
            <w:r>
              <w:rPr>
                <w:rFonts w:hint="eastAsia" w:ascii="宋体" w:hAnsi="宋体" w:eastAsia="宋体" w:cs="宋体"/>
                <w:color w:val="auto"/>
                <w:sz w:val="21"/>
                <w:szCs w:val="21"/>
              </w:rPr>
              <w:t>一级造价工程师资格，注册专业为土建，注册执业单位须与投标人名称一致。</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09555303">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rPr>
            </w:pPr>
            <w:r>
              <w:rPr>
                <w:rFonts w:hint="eastAsia" w:hAnsi="宋体" w:cs="宋体"/>
                <w:color w:val="auto"/>
                <w:sz w:val="21"/>
                <w:szCs w:val="21"/>
                <w:lang w:val="en-US" w:eastAsia="zh-CN"/>
              </w:rPr>
              <w:t>职称证、</w:t>
            </w:r>
            <w:r>
              <w:rPr>
                <w:rFonts w:hint="eastAsia" w:ascii="宋体" w:hAnsi="宋体" w:eastAsia="宋体" w:cs="宋体"/>
                <w:color w:val="auto"/>
                <w:sz w:val="21"/>
                <w:szCs w:val="21"/>
              </w:rPr>
              <w:t>注册证</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6F8358E">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r>
      <w:tr w14:paraId="3A71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76EBAEBC">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967" w:type="dxa"/>
            <w:tcBorders>
              <w:top w:val="single" w:color="auto" w:sz="4" w:space="0"/>
              <w:left w:val="single" w:color="auto" w:sz="4" w:space="0"/>
              <w:bottom w:val="single" w:color="auto" w:sz="4" w:space="0"/>
              <w:right w:val="single" w:color="auto" w:sz="4" w:space="0"/>
            </w:tcBorders>
            <w:noWrap w:val="0"/>
            <w:vAlign w:val="center"/>
          </w:tcPr>
          <w:p w14:paraId="4438D9C7">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安装主管</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0B10A96">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2BE58BD9">
            <w:pPr>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w:t>
            </w:r>
            <w:r>
              <w:rPr>
                <w:rFonts w:hint="eastAsia" w:hAnsi="宋体" w:cs="宋体"/>
                <w:color w:val="auto"/>
                <w:sz w:val="21"/>
                <w:szCs w:val="21"/>
                <w:lang w:val="en-US" w:eastAsia="zh-CN"/>
              </w:rPr>
              <w:t>高级工程师</w:t>
            </w:r>
            <w:r>
              <w:rPr>
                <w:rFonts w:hint="eastAsia" w:hAnsi="宋体" w:cs="宋体"/>
                <w:color w:val="auto"/>
                <w:sz w:val="21"/>
                <w:szCs w:val="21"/>
                <w:lang w:val="en-US" w:eastAsia="zh-CN"/>
              </w:rPr>
              <w:t>及</w:t>
            </w:r>
            <w:r>
              <w:rPr>
                <w:rFonts w:hint="eastAsia" w:ascii="宋体" w:hAnsi="宋体" w:eastAsia="宋体" w:cs="宋体"/>
                <w:color w:val="auto"/>
                <w:sz w:val="21"/>
                <w:szCs w:val="21"/>
              </w:rPr>
              <w:t>一级造价工程师资格，注册专业为安装，注册执业单位须与投标人名称一致。</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7D4758C6">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rPr>
            </w:pPr>
            <w:r>
              <w:rPr>
                <w:rFonts w:hint="eastAsia" w:hAnsi="宋体" w:cs="宋体"/>
                <w:color w:val="auto"/>
                <w:sz w:val="21"/>
                <w:szCs w:val="21"/>
                <w:lang w:val="en-US" w:eastAsia="zh-CN"/>
              </w:rPr>
              <w:t>职称证、</w:t>
            </w:r>
            <w:r>
              <w:rPr>
                <w:rFonts w:hint="eastAsia" w:ascii="宋体" w:hAnsi="宋体" w:eastAsia="宋体" w:cs="宋体"/>
                <w:color w:val="auto"/>
                <w:sz w:val="21"/>
                <w:szCs w:val="21"/>
              </w:rPr>
              <w:t>注册证</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2B2D30A">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r>
      <w:tr w14:paraId="0BCA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6AA88B7">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967" w:type="dxa"/>
            <w:tcBorders>
              <w:top w:val="single" w:color="auto" w:sz="4" w:space="0"/>
              <w:left w:val="single" w:color="auto" w:sz="4" w:space="0"/>
              <w:bottom w:val="single" w:color="auto" w:sz="4" w:space="0"/>
              <w:right w:val="single" w:color="auto" w:sz="4" w:space="0"/>
            </w:tcBorders>
            <w:noWrap w:val="0"/>
            <w:vAlign w:val="center"/>
          </w:tcPr>
          <w:p w14:paraId="7C5B0980">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土建工程师</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CD3DCE2">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48B5679E">
            <w:pPr>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具有一级造价工程师资格，注册专业为土建，注册执业单位须与投标人名称一致。</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25ABF199">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注册证</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6D4DCD0B">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r>
      <w:tr w14:paraId="0409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936081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967" w:type="dxa"/>
            <w:tcBorders>
              <w:top w:val="single" w:color="auto" w:sz="4" w:space="0"/>
              <w:left w:val="single" w:color="auto" w:sz="4" w:space="0"/>
              <w:bottom w:val="single" w:color="auto" w:sz="4" w:space="0"/>
              <w:right w:val="single" w:color="auto" w:sz="4" w:space="0"/>
            </w:tcBorders>
            <w:noWrap w:val="0"/>
            <w:vAlign w:val="center"/>
          </w:tcPr>
          <w:p w14:paraId="6E924D1D">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安装工程师</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973F2B9">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059261C9">
            <w:pPr>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具有一级造价工程师资格，注册专业为安装，注册执业单位须与投标人名称一致。</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1844BC87">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注册证</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14B4A6B">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r>
      <w:tr w14:paraId="1CC7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DA6B91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967" w:type="dxa"/>
            <w:tcBorders>
              <w:top w:val="single" w:color="auto" w:sz="4" w:space="0"/>
              <w:left w:val="single" w:color="auto" w:sz="4" w:space="0"/>
              <w:bottom w:val="single" w:color="auto" w:sz="4" w:space="0"/>
              <w:right w:val="single" w:color="auto" w:sz="4" w:space="0"/>
            </w:tcBorders>
            <w:noWrap w:val="0"/>
            <w:vAlign w:val="center"/>
          </w:tcPr>
          <w:p w14:paraId="6F869188">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资料员、信息联络员</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F388D63">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6AE5F10D">
            <w:pPr>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具有工程相关的中级或以上技术职称</w:t>
            </w:r>
            <w:r>
              <w:rPr>
                <w:rFonts w:hint="eastAsia" w:hAnsi="宋体" w:cs="宋体"/>
                <w:color w:val="auto"/>
                <w:sz w:val="21"/>
                <w:szCs w:val="21"/>
                <w:lang w:val="en-US" w:eastAsia="zh-CN"/>
              </w:rPr>
              <w:t>或</w:t>
            </w:r>
            <w:r>
              <w:rPr>
                <w:rFonts w:hint="eastAsia" w:ascii="宋体" w:hAnsi="宋体" w:eastAsia="宋体" w:cs="宋体"/>
                <w:color w:val="auto"/>
                <w:sz w:val="21"/>
                <w:szCs w:val="21"/>
              </w:rPr>
              <w:t>二级造价工程师</w:t>
            </w:r>
            <w:r>
              <w:rPr>
                <w:rFonts w:hint="eastAsia" w:ascii="宋体" w:hAnsi="宋体" w:eastAsia="宋体" w:cs="宋体"/>
                <w:color w:val="auto"/>
                <w:kern w:val="0"/>
                <w:sz w:val="21"/>
                <w:szCs w:val="21"/>
                <w:lang w:bidi="ar"/>
              </w:rPr>
              <w:t>或以上</w:t>
            </w:r>
            <w:r>
              <w:rPr>
                <w:rFonts w:hint="eastAsia" w:ascii="宋体" w:hAnsi="宋体" w:eastAsia="宋体" w:cs="宋体"/>
                <w:color w:val="auto"/>
                <w:kern w:val="0"/>
                <w:sz w:val="21"/>
                <w:szCs w:val="21"/>
                <w:lang w:val="en-US" w:eastAsia="zh-CN" w:bidi="ar"/>
              </w:rPr>
              <w:t>资格</w:t>
            </w:r>
            <w:r>
              <w:rPr>
                <w:rFonts w:hint="eastAsia" w:hAnsi="宋体" w:cs="宋体"/>
                <w:color w:val="auto"/>
                <w:sz w:val="21"/>
                <w:szCs w:val="21"/>
                <w:lang w:eastAsia="zh-CN"/>
              </w:rPr>
              <w:t>，</w:t>
            </w:r>
            <w:r>
              <w:rPr>
                <w:rFonts w:hint="eastAsia" w:ascii="宋体" w:hAnsi="宋体" w:eastAsia="宋体" w:cs="宋体"/>
                <w:color w:val="auto"/>
                <w:sz w:val="21"/>
                <w:szCs w:val="21"/>
              </w:rPr>
              <w:t>熟悉应用各类日常办公软件。</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5C64653">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职称</w:t>
            </w:r>
            <w:r>
              <w:rPr>
                <w:rFonts w:hint="eastAsia" w:ascii="宋体" w:hAnsi="宋体" w:eastAsia="宋体" w:cs="宋体"/>
                <w:color w:val="auto"/>
                <w:sz w:val="21"/>
                <w:szCs w:val="21"/>
              </w:rPr>
              <w:t>证</w:t>
            </w:r>
            <w:r>
              <w:rPr>
                <w:rFonts w:hint="eastAsia" w:hAnsi="宋体" w:cs="宋体"/>
                <w:color w:val="auto"/>
                <w:sz w:val="21"/>
                <w:szCs w:val="21"/>
                <w:lang w:val="en-US" w:eastAsia="zh-CN"/>
              </w:rPr>
              <w:t>或注册证</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352EC81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r>
      <w:tr w14:paraId="70CD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731C1582">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967" w:type="dxa"/>
            <w:tcBorders>
              <w:top w:val="single" w:color="auto" w:sz="4" w:space="0"/>
              <w:left w:val="single" w:color="auto" w:sz="4" w:space="0"/>
              <w:bottom w:val="single" w:color="auto" w:sz="4" w:space="0"/>
              <w:right w:val="single" w:color="auto" w:sz="4" w:space="0"/>
            </w:tcBorders>
            <w:noWrap w:val="0"/>
            <w:vAlign w:val="center"/>
          </w:tcPr>
          <w:p w14:paraId="27363BB3">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1F72C2C">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6EB3E64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14:paraId="7C154D66">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9F57B47">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r>
    </w:tbl>
    <w:p w14:paraId="42B893B7">
      <w:pPr>
        <w:widowControl w:val="0"/>
        <w:autoSpaceDE w:val="0"/>
        <w:autoSpaceDN w:val="0"/>
        <w:adjustRightInd w:val="0"/>
        <w:spacing w:line="240" w:lineRule="exact"/>
        <w:ind w:firstLine="0" w:firstLineChars="0"/>
        <w:rPr>
          <w:rFonts w:hint="eastAsia" w:hAnsi="宋体" w:cs="宋体"/>
          <w:b/>
          <w:bCs/>
          <w:color w:val="auto"/>
          <w:szCs w:val="24"/>
        </w:rPr>
      </w:pPr>
    </w:p>
    <w:p w14:paraId="722A1ACB">
      <w:pPr>
        <w:widowControl w:val="0"/>
        <w:autoSpaceDE w:val="0"/>
        <w:autoSpaceDN w:val="0"/>
        <w:adjustRightInd w:val="0"/>
        <w:spacing w:line="400" w:lineRule="exact"/>
        <w:ind w:firstLine="0" w:firstLineChars="0"/>
        <w:rPr>
          <w:rFonts w:hint="eastAsia" w:hAnsi="宋体" w:cs="宋体"/>
          <w:b w:val="0"/>
          <w:bCs w:val="0"/>
          <w:color w:val="auto"/>
          <w:sz w:val="21"/>
          <w:szCs w:val="21"/>
        </w:rPr>
      </w:pPr>
      <w:r>
        <w:rPr>
          <w:rFonts w:hint="eastAsia" w:hAnsi="宋体" w:cs="宋体"/>
          <w:b w:val="0"/>
          <w:bCs w:val="0"/>
          <w:color w:val="auto"/>
          <w:sz w:val="21"/>
          <w:szCs w:val="21"/>
        </w:rPr>
        <w:t>备注：</w:t>
      </w:r>
    </w:p>
    <w:p w14:paraId="69E1F42A">
      <w:pPr>
        <w:widowControl w:val="0"/>
        <w:autoSpaceDE w:val="0"/>
        <w:autoSpaceDN w:val="0"/>
        <w:adjustRightInd w:val="0"/>
        <w:spacing w:line="400" w:lineRule="exact"/>
        <w:ind w:firstLine="420" w:firstLineChars="200"/>
        <w:rPr>
          <w:rFonts w:hint="eastAsia" w:hAnsi="宋体" w:eastAsia="宋体" w:cs="宋体"/>
          <w:b w:val="0"/>
          <w:bCs w:val="0"/>
          <w:color w:val="auto"/>
          <w:sz w:val="21"/>
          <w:szCs w:val="21"/>
          <w:lang w:eastAsia="zh-CN"/>
        </w:rPr>
      </w:pPr>
      <w:bookmarkStart w:id="419" w:name="auto_fouce_58"/>
      <w:r>
        <w:rPr>
          <w:rFonts w:hint="eastAsia" w:hAnsi="宋体" w:cs="宋体"/>
          <w:b w:val="0"/>
          <w:bCs w:val="0"/>
          <w:color w:val="auto"/>
          <w:sz w:val="21"/>
          <w:szCs w:val="21"/>
        </w:rPr>
        <w:t>（1）以上项目组成人员资历证明材料为满足基本要求的相关证明资料，按要求提供评审资料，并提供</w:t>
      </w:r>
      <w:r>
        <w:rPr>
          <w:rFonts w:hint="eastAsia" w:hAnsi="宋体" w:cs="宋体"/>
          <w:color w:val="auto"/>
          <w:sz w:val="21"/>
          <w:szCs w:val="21"/>
        </w:rPr>
        <w:t>近6个月</w:t>
      </w:r>
      <w:r>
        <w:rPr>
          <w:rFonts w:hint="eastAsia" w:hAnsi="宋体" w:cs="宋体"/>
          <w:color w:val="auto"/>
          <w:sz w:val="21"/>
          <w:szCs w:val="21"/>
          <w:highlight w:val="none"/>
          <w:lang w:val="en-US" w:eastAsia="zh-CN"/>
        </w:rPr>
        <w:t>（2025年3-8月）</w:t>
      </w:r>
      <w:r>
        <w:rPr>
          <w:rFonts w:hint="eastAsia" w:hAnsi="宋体" w:cs="宋体"/>
          <w:color w:val="auto"/>
          <w:sz w:val="21"/>
          <w:szCs w:val="21"/>
        </w:rPr>
        <w:t>在本单位参保的社会保险证明文件</w:t>
      </w:r>
      <w:r>
        <w:rPr>
          <w:rFonts w:hint="eastAsia" w:hAnsi="宋体" w:cs="宋体"/>
          <w:b w:val="0"/>
          <w:bCs w:val="0"/>
          <w:color w:val="auto"/>
          <w:sz w:val="21"/>
          <w:szCs w:val="21"/>
        </w:rPr>
        <w:t>等。</w:t>
      </w:r>
      <w:r>
        <w:rPr>
          <w:rFonts w:hint="eastAsia" w:hAnsi="宋体" w:cs="宋体"/>
          <w:b w:val="0"/>
          <w:bCs w:val="0"/>
          <w:color w:val="auto"/>
          <w:sz w:val="21"/>
          <w:szCs w:val="21"/>
          <w:lang w:eastAsia="zh-CN"/>
        </w:rPr>
        <w:t>所有拟派人员须为本单位正式员工。</w:t>
      </w:r>
      <w:bookmarkEnd w:id="419"/>
    </w:p>
    <w:p w14:paraId="57EF96FF">
      <w:pPr>
        <w:widowControl w:val="0"/>
        <w:autoSpaceDE w:val="0"/>
        <w:autoSpaceDN w:val="0"/>
        <w:adjustRightInd w:val="0"/>
        <w:spacing w:line="400" w:lineRule="exact"/>
        <w:ind w:firstLine="420" w:firstLineChars="200"/>
        <w:rPr>
          <w:rFonts w:hint="eastAsia" w:hAnsi="宋体" w:cs="宋体"/>
          <w:b w:val="0"/>
          <w:bCs w:val="0"/>
          <w:color w:val="auto"/>
          <w:sz w:val="21"/>
          <w:szCs w:val="21"/>
        </w:rPr>
      </w:pPr>
      <w:r>
        <w:rPr>
          <w:rFonts w:hint="eastAsia" w:hAnsi="宋体" w:cs="宋体"/>
          <w:b w:val="0"/>
          <w:bCs w:val="0"/>
          <w:color w:val="auto"/>
          <w:sz w:val="21"/>
          <w:szCs w:val="21"/>
        </w:rPr>
        <w:t>（2）一级注册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实施分级前的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http://zaojiasys.jianshe99.com造价师注册信息查询”查询网页信息截图打印件，注册单位需是本单位，且状态为“正常”。</w:t>
      </w:r>
    </w:p>
    <w:p w14:paraId="6AFC176A">
      <w:pPr>
        <w:widowControl w:val="0"/>
        <w:autoSpaceDE w:val="0"/>
        <w:autoSpaceDN w:val="0"/>
        <w:adjustRightInd w:val="0"/>
        <w:spacing w:line="400" w:lineRule="exact"/>
        <w:ind w:firstLine="420" w:firstLineChars="200"/>
        <w:rPr>
          <w:rFonts w:hint="eastAsia" w:hAnsi="宋体" w:cs="宋体"/>
          <w:b w:val="0"/>
          <w:bCs w:val="0"/>
          <w:color w:val="auto"/>
          <w:sz w:val="21"/>
          <w:szCs w:val="21"/>
        </w:rPr>
      </w:pPr>
      <w:r>
        <w:rPr>
          <w:rFonts w:hint="eastAsia" w:hAnsi="宋体" w:cs="宋体"/>
          <w:b w:val="0"/>
          <w:bCs w:val="0"/>
          <w:color w:val="auto"/>
          <w:sz w:val="21"/>
          <w:szCs w:val="21"/>
        </w:rPr>
        <w:t>（3）以上人员数量为满足招标人服务要求的最低数量标准，投标人可以提供更多数量的专业人员，但专业技术水平和资历要求必须满足或高于招标人所要求的条件。</w:t>
      </w:r>
    </w:p>
    <w:p w14:paraId="3A59C4EB">
      <w:pPr>
        <w:widowControl w:val="0"/>
        <w:ind w:firstLine="0" w:firstLineChars="0"/>
        <w:rPr>
          <w:color w:val="auto"/>
        </w:rPr>
      </w:pPr>
      <w:r>
        <w:rPr>
          <w:rFonts w:hint="eastAsia" w:hAnsi="宋体" w:cs="宋体"/>
          <w:snapToGrid w:val="0"/>
          <w:color w:val="auto"/>
          <w:szCs w:val="24"/>
        </w:rPr>
        <w:br w:type="page"/>
      </w:r>
      <w:bookmarkEnd w:id="394"/>
    </w:p>
    <w:p w14:paraId="3FB1E0C0">
      <w:pPr>
        <w:pStyle w:val="82"/>
        <w:rPr>
          <w:color w:val="auto"/>
        </w:rPr>
      </w:pPr>
    </w:p>
    <w:p w14:paraId="32C1FEF0">
      <w:pPr>
        <w:pStyle w:val="82"/>
        <w:rPr>
          <w:color w:val="auto"/>
        </w:rPr>
      </w:pPr>
    </w:p>
    <w:p w14:paraId="541FA1EE">
      <w:pPr>
        <w:spacing w:line="491" w:lineRule="exact"/>
        <w:ind w:firstLine="0" w:firstLineChars="0"/>
        <w:jc w:val="center"/>
        <w:outlineLvl w:val="0"/>
        <w:rPr>
          <w:rFonts w:hAnsi="宋体"/>
          <w:b/>
          <w:color w:val="auto"/>
          <w:sz w:val="43"/>
        </w:rPr>
      </w:pPr>
      <w:bookmarkStart w:id="420" w:name="_Toc5995"/>
      <w:bookmarkStart w:id="421" w:name="_Toc21601"/>
      <w:r>
        <w:rPr>
          <w:rFonts w:hAnsi="宋体"/>
          <w:b/>
          <w:color w:val="auto"/>
          <w:sz w:val="43"/>
        </w:rPr>
        <w:t>第六章</w:t>
      </w:r>
      <w:r>
        <w:rPr>
          <w:rFonts w:hint="eastAsia" w:hAnsi="宋体"/>
          <w:b/>
          <w:color w:val="auto"/>
          <w:sz w:val="43"/>
        </w:rPr>
        <w:t xml:space="preserve">  </w:t>
      </w:r>
      <w:r>
        <w:rPr>
          <w:rFonts w:hAnsi="宋体"/>
          <w:b/>
          <w:color w:val="auto"/>
          <w:sz w:val="43"/>
        </w:rPr>
        <w:t>投标文件格式</w:t>
      </w:r>
      <w:bookmarkEnd w:id="420"/>
      <w:bookmarkEnd w:id="421"/>
    </w:p>
    <w:p w14:paraId="32766DA8">
      <w:pPr>
        <w:ind w:firstLine="480"/>
        <w:rPr>
          <w:color w:val="auto"/>
        </w:rPr>
      </w:pPr>
    </w:p>
    <w:p w14:paraId="7EC6B57A">
      <w:pPr>
        <w:spacing w:line="400" w:lineRule="exact"/>
        <w:ind w:firstLine="480"/>
        <w:rPr>
          <w:rFonts w:hint="eastAsia" w:hAnsi="宋体" w:cs="宋体"/>
          <w:color w:val="auto"/>
        </w:rPr>
      </w:pPr>
      <w:r>
        <w:rPr>
          <w:rFonts w:hint="eastAsia" w:hAnsi="宋体" w:cs="宋体"/>
          <w:color w:val="auto"/>
        </w:rPr>
        <w:br w:type="page"/>
      </w:r>
    </w:p>
    <w:p w14:paraId="4939EAEE">
      <w:pPr>
        <w:ind w:firstLine="480"/>
        <w:rPr>
          <w:rFonts w:hint="eastAsia"/>
          <w:color w:val="auto"/>
        </w:rPr>
      </w:pPr>
    </w:p>
    <w:p w14:paraId="3696EDCC">
      <w:pPr>
        <w:widowControl w:val="0"/>
        <w:spacing w:line="480" w:lineRule="auto"/>
        <w:ind w:firstLine="0" w:firstLineChars="0"/>
        <w:jc w:val="center"/>
        <w:rPr>
          <w:rFonts w:hint="eastAsia" w:hAnsi="宋体" w:cs="宋体"/>
          <w:b/>
          <w:bCs/>
          <w:color w:val="auto"/>
          <w:sz w:val="32"/>
          <w:szCs w:val="32"/>
        </w:rPr>
      </w:pPr>
      <w:r>
        <w:rPr>
          <w:rFonts w:hint="eastAsia" w:hAnsi="宋体" w:cs="宋体"/>
          <w:b/>
          <w:bCs/>
          <w:color w:val="auto"/>
          <w:sz w:val="32"/>
          <w:szCs w:val="32"/>
          <w:lang w:eastAsia="zh-CN"/>
        </w:rPr>
        <w:t>广东省财经职业技术学校新校区建设项目全过程造价咨询服务</w:t>
      </w:r>
    </w:p>
    <w:p w14:paraId="331C35AF">
      <w:pPr>
        <w:ind w:firstLine="400"/>
        <w:rPr>
          <w:rFonts w:hint="eastAsia" w:hAnsi="宋体" w:cs="宋体"/>
          <w:color w:val="auto"/>
          <w:sz w:val="20"/>
        </w:rPr>
      </w:pPr>
    </w:p>
    <w:p w14:paraId="2D1C9D89">
      <w:pPr>
        <w:ind w:firstLine="400"/>
        <w:rPr>
          <w:rFonts w:hint="eastAsia" w:hAnsi="宋体" w:cs="宋体"/>
          <w:color w:val="auto"/>
          <w:sz w:val="20"/>
        </w:rPr>
      </w:pPr>
    </w:p>
    <w:p w14:paraId="67425B1E">
      <w:pPr>
        <w:ind w:firstLine="400"/>
        <w:rPr>
          <w:rFonts w:hint="eastAsia" w:hAnsi="宋体" w:cs="宋体"/>
          <w:color w:val="auto"/>
          <w:sz w:val="20"/>
        </w:rPr>
      </w:pPr>
    </w:p>
    <w:p w14:paraId="61B4C5F8">
      <w:pPr>
        <w:ind w:firstLine="400"/>
        <w:rPr>
          <w:rFonts w:hint="eastAsia" w:hAnsi="宋体" w:cs="宋体"/>
          <w:color w:val="auto"/>
          <w:sz w:val="20"/>
        </w:rPr>
      </w:pPr>
    </w:p>
    <w:p w14:paraId="42D55392">
      <w:pPr>
        <w:pStyle w:val="82"/>
        <w:rPr>
          <w:rFonts w:hint="eastAsia" w:ascii="宋体" w:hAnsi="宋体" w:cs="宋体"/>
          <w:color w:val="auto"/>
          <w:sz w:val="20"/>
        </w:rPr>
      </w:pPr>
    </w:p>
    <w:p w14:paraId="5533153C">
      <w:pPr>
        <w:pStyle w:val="82"/>
        <w:rPr>
          <w:rFonts w:hint="eastAsia" w:ascii="宋体" w:hAnsi="宋体" w:cs="宋体"/>
          <w:color w:val="auto"/>
          <w:sz w:val="20"/>
        </w:rPr>
      </w:pPr>
    </w:p>
    <w:p w14:paraId="4FF97B54">
      <w:pPr>
        <w:pStyle w:val="82"/>
        <w:rPr>
          <w:rFonts w:hint="eastAsia"/>
          <w:color w:val="auto"/>
        </w:rPr>
      </w:pPr>
    </w:p>
    <w:p w14:paraId="6B74B4E8">
      <w:pPr>
        <w:ind w:firstLine="400"/>
        <w:rPr>
          <w:rFonts w:hint="eastAsia" w:hAnsi="宋体" w:cs="宋体"/>
          <w:color w:val="auto"/>
          <w:sz w:val="20"/>
        </w:rPr>
      </w:pPr>
    </w:p>
    <w:p w14:paraId="1DE9C03A">
      <w:pPr>
        <w:ind w:firstLine="400"/>
        <w:rPr>
          <w:rFonts w:hint="eastAsia" w:hAnsi="宋体" w:cs="宋体"/>
          <w:color w:val="auto"/>
          <w:sz w:val="20"/>
        </w:rPr>
      </w:pPr>
    </w:p>
    <w:p w14:paraId="6E0A1D2F">
      <w:pPr>
        <w:ind w:firstLine="0" w:firstLineChars="0"/>
        <w:jc w:val="center"/>
        <w:rPr>
          <w:rFonts w:hint="eastAsia" w:hAnsi="宋体" w:cs="宋体"/>
          <w:b/>
          <w:bCs/>
          <w:color w:val="auto"/>
          <w:sz w:val="48"/>
          <w:szCs w:val="48"/>
        </w:rPr>
      </w:pPr>
      <w:r>
        <w:rPr>
          <w:rFonts w:hint="eastAsia" w:hAnsi="宋体" w:cs="宋体"/>
          <w:b/>
          <w:bCs/>
          <w:color w:val="auto"/>
          <w:sz w:val="48"/>
          <w:szCs w:val="48"/>
        </w:rPr>
        <w:t>投 标 文 件</w:t>
      </w:r>
    </w:p>
    <w:p w14:paraId="03803DE3">
      <w:pPr>
        <w:ind w:firstLine="880"/>
        <w:jc w:val="center"/>
        <w:rPr>
          <w:rFonts w:hint="eastAsia" w:hAnsi="宋体" w:cs="宋体"/>
          <w:color w:val="auto"/>
          <w:sz w:val="44"/>
        </w:rPr>
      </w:pPr>
    </w:p>
    <w:p w14:paraId="0387D9EB">
      <w:pPr>
        <w:ind w:firstLine="560"/>
        <w:rPr>
          <w:rFonts w:hint="eastAsia" w:hAnsi="宋体" w:cs="宋体"/>
          <w:color w:val="auto"/>
          <w:sz w:val="28"/>
        </w:rPr>
      </w:pPr>
    </w:p>
    <w:p w14:paraId="6FF02782">
      <w:pPr>
        <w:ind w:firstLine="560"/>
        <w:rPr>
          <w:rFonts w:hint="eastAsia" w:hAnsi="宋体" w:cs="宋体"/>
          <w:color w:val="auto"/>
          <w:sz w:val="28"/>
        </w:rPr>
      </w:pPr>
    </w:p>
    <w:p w14:paraId="59EE7274">
      <w:pPr>
        <w:pStyle w:val="82"/>
        <w:rPr>
          <w:rFonts w:hint="eastAsia"/>
          <w:color w:val="auto"/>
        </w:rPr>
      </w:pPr>
    </w:p>
    <w:p w14:paraId="124729AC">
      <w:pPr>
        <w:pStyle w:val="82"/>
        <w:rPr>
          <w:rFonts w:hint="eastAsia" w:ascii="宋体" w:hAnsi="宋体" w:cs="宋体"/>
          <w:color w:val="auto"/>
          <w:sz w:val="28"/>
        </w:rPr>
      </w:pPr>
    </w:p>
    <w:p w14:paraId="2FA7CCD7">
      <w:pPr>
        <w:pStyle w:val="82"/>
        <w:rPr>
          <w:rFonts w:hint="eastAsia" w:ascii="宋体" w:hAnsi="宋体" w:cs="宋体"/>
          <w:color w:val="auto"/>
          <w:sz w:val="28"/>
        </w:rPr>
      </w:pPr>
    </w:p>
    <w:p w14:paraId="15CC75D6">
      <w:pPr>
        <w:ind w:firstLine="560"/>
        <w:rPr>
          <w:rFonts w:hint="eastAsia" w:hAnsi="宋体" w:cs="宋体"/>
          <w:color w:val="auto"/>
          <w:sz w:val="28"/>
        </w:rPr>
      </w:pPr>
    </w:p>
    <w:p w14:paraId="16AC515B">
      <w:pPr>
        <w:ind w:firstLine="560"/>
        <w:rPr>
          <w:rFonts w:hint="eastAsia" w:hAnsi="宋体" w:cs="宋体"/>
          <w:color w:val="auto"/>
          <w:sz w:val="28"/>
        </w:rPr>
      </w:pPr>
    </w:p>
    <w:p w14:paraId="2422CDDB">
      <w:pPr>
        <w:ind w:firstLine="478" w:firstLineChars="171"/>
        <w:rPr>
          <w:rFonts w:hint="eastAsia" w:hAnsi="宋体" w:cs="宋体"/>
          <w:color w:val="auto"/>
          <w:sz w:val="28"/>
          <w:u w:val="single"/>
        </w:rPr>
      </w:pPr>
      <w:r>
        <w:rPr>
          <w:rFonts w:hint="eastAsia" w:hAnsi="宋体" w:cs="宋体"/>
          <w:color w:val="auto"/>
          <w:sz w:val="28"/>
        </w:rPr>
        <w:t>投标人：</w:t>
      </w:r>
      <w:r>
        <w:rPr>
          <w:rFonts w:hint="eastAsia" w:hAnsi="宋体" w:cs="宋体"/>
          <w:color w:val="auto"/>
          <w:u w:val="single"/>
        </w:rPr>
        <w:t xml:space="preserve">                                </w:t>
      </w:r>
      <w:r>
        <w:rPr>
          <w:rFonts w:hint="eastAsia" w:hAnsi="宋体" w:cs="宋体"/>
          <w:color w:val="auto"/>
          <w:sz w:val="28"/>
        </w:rPr>
        <w:t>（盖单位公章）</w:t>
      </w:r>
    </w:p>
    <w:p w14:paraId="3C44473B">
      <w:pPr>
        <w:ind w:firstLine="478" w:firstLineChars="171"/>
        <w:jc w:val="left"/>
        <w:rPr>
          <w:rFonts w:hint="eastAsia" w:hAnsi="宋体" w:cs="宋体"/>
          <w:color w:val="auto"/>
          <w:sz w:val="28"/>
        </w:rPr>
      </w:pPr>
      <w:r>
        <w:rPr>
          <w:rFonts w:hint="eastAsia" w:hAnsi="宋体" w:cs="宋体"/>
          <w:color w:val="auto"/>
          <w:sz w:val="28"/>
        </w:rPr>
        <w:t>法定代表人或其委托代理人：</w:t>
      </w:r>
      <w:r>
        <w:rPr>
          <w:rFonts w:hint="eastAsia" w:hAnsi="宋体" w:cs="宋体"/>
          <w:color w:val="auto"/>
          <w:u w:val="single"/>
        </w:rPr>
        <w:t xml:space="preserve">           </w:t>
      </w:r>
      <w:r>
        <w:rPr>
          <w:rFonts w:hint="eastAsia" w:hAnsi="宋体" w:cs="宋体"/>
          <w:color w:val="auto"/>
          <w:sz w:val="28"/>
        </w:rPr>
        <w:t>（签字或盖章或签章）</w:t>
      </w:r>
    </w:p>
    <w:p w14:paraId="0BD4CE3C">
      <w:pPr>
        <w:ind w:firstLine="480"/>
        <w:jc w:val="left"/>
        <w:rPr>
          <w:color w:val="auto"/>
        </w:rPr>
      </w:pPr>
    </w:p>
    <w:p w14:paraId="2A5A0D74">
      <w:pPr>
        <w:spacing w:line="400" w:lineRule="exact"/>
        <w:ind w:firstLine="480"/>
        <w:jc w:val="center"/>
        <w:rPr>
          <w:rFonts w:hint="eastAsia" w:hAnsi="宋体" w:cs="宋体"/>
          <w:color w:val="auto"/>
          <w:sz w:val="28"/>
        </w:rPr>
      </w:pP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08284F6B">
      <w:pPr>
        <w:spacing w:line="400" w:lineRule="exact"/>
        <w:ind w:firstLine="0" w:firstLineChars="0"/>
        <w:rPr>
          <w:rFonts w:hint="eastAsia" w:hAnsi="宋体" w:cs="宋体"/>
          <w:color w:val="auto"/>
        </w:rPr>
      </w:pPr>
      <w:r>
        <w:rPr>
          <w:rFonts w:hint="eastAsia" w:hAnsi="宋体" w:cs="宋体"/>
          <w:color w:val="auto"/>
        </w:rPr>
        <w:br w:type="page"/>
      </w:r>
      <w:bookmarkStart w:id="422" w:name="_Toc99720484"/>
    </w:p>
    <w:p w14:paraId="767ED007">
      <w:pPr>
        <w:spacing w:line="400" w:lineRule="exact"/>
        <w:ind w:firstLine="0" w:firstLineChars="0"/>
        <w:rPr>
          <w:rFonts w:hint="eastAsia" w:hAnsi="宋体" w:cs="宋体"/>
          <w:color w:val="auto"/>
        </w:rPr>
      </w:pPr>
    </w:p>
    <w:p w14:paraId="1F646CCA">
      <w:pPr>
        <w:spacing w:line="400" w:lineRule="exact"/>
        <w:ind w:firstLine="0" w:firstLineChars="0"/>
        <w:jc w:val="center"/>
        <w:rPr>
          <w:rFonts w:hint="eastAsia" w:hAnsi="宋体" w:cs="宋体"/>
          <w:color w:val="auto"/>
        </w:rPr>
      </w:pPr>
      <w:r>
        <w:rPr>
          <w:rFonts w:hint="eastAsia" w:hAnsi="宋体" w:cs="宋体"/>
          <w:b/>
          <w:bCs/>
          <w:color w:val="auto"/>
        </w:rPr>
        <w:t>目  录</w:t>
      </w:r>
      <w:bookmarkEnd w:id="422"/>
    </w:p>
    <w:p w14:paraId="3E126700">
      <w:pPr>
        <w:spacing w:line="540" w:lineRule="exact"/>
        <w:ind w:firstLine="480"/>
        <w:rPr>
          <w:rFonts w:hint="eastAsia" w:hAnsi="宋体" w:cs="宋体"/>
          <w:color w:val="auto"/>
        </w:rPr>
      </w:pPr>
    </w:p>
    <w:p w14:paraId="06B508FB">
      <w:pPr>
        <w:ind w:firstLine="480"/>
        <w:rPr>
          <w:rFonts w:hint="eastAsia"/>
          <w:color w:val="auto"/>
          <w:u w:val="single"/>
        </w:rPr>
      </w:pPr>
      <w:r>
        <w:rPr>
          <w:color w:val="auto"/>
          <w:u w:val="single"/>
        </w:rPr>
        <w:t>（1）</w:t>
      </w:r>
      <w:r>
        <w:rPr>
          <w:rFonts w:hint="eastAsia"/>
          <w:color w:val="auto"/>
          <w:u w:val="single"/>
        </w:rPr>
        <w:t>投标函及投标函附录；</w:t>
      </w:r>
    </w:p>
    <w:p w14:paraId="5BB070B2">
      <w:pPr>
        <w:ind w:firstLine="480"/>
        <w:rPr>
          <w:rFonts w:hint="eastAsia"/>
          <w:color w:val="auto"/>
          <w:u w:val="single"/>
        </w:rPr>
      </w:pPr>
      <w:r>
        <w:rPr>
          <w:rFonts w:hint="eastAsia"/>
          <w:color w:val="auto"/>
          <w:szCs w:val="22"/>
          <w:u w:val="single"/>
        </w:rPr>
        <w:t>（2）</w:t>
      </w:r>
      <w:r>
        <w:rPr>
          <w:rFonts w:hint="eastAsia"/>
          <w:color w:val="auto"/>
          <w:u w:val="single"/>
        </w:rPr>
        <w:t>法定代表人身份证明书；</w:t>
      </w:r>
    </w:p>
    <w:p w14:paraId="787F6099">
      <w:pPr>
        <w:ind w:firstLine="480"/>
        <w:rPr>
          <w:rFonts w:hint="eastAsia"/>
          <w:color w:val="auto"/>
          <w:u w:val="single"/>
        </w:rPr>
      </w:pPr>
      <w:r>
        <w:rPr>
          <w:rFonts w:hint="eastAsia"/>
          <w:color w:val="auto"/>
          <w:szCs w:val="22"/>
          <w:u w:val="single"/>
        </w:rPr>
        <w:t>（3）</w:t>
      </w:r>
      <w:r>
        <w:rPr>
          <w:rFonts w:hint="eastAsia"/>
          <w:color w:val="auto"/>
          <w:u w:val="single"/>
        </w:rPr>
        <w:t>法定代表人授权委托书（如有）（适用于有委托代理人的情况）；</w:t>
      </w:r>
    </w:p>
    <w:p w14:paraId="50B98EE5">
      <w:pPr>
        <w:ind w:firstLine="480"/>
        <w:rPr>
          <w:rFonts w:hint="eastAsia"/>
          <w:color w:val="auto"/>
          <w:u w:val="single"/>
        </w:rPr>
      </w:pPr>
      <w:r>
        <w:rPr>
          <w:rFonts w:hint="eastAsia"/>
          <w:color w:val="auto"/>
          <w:szCs w:val="22"/>
          <w:u w:val="single"/>
        </w:rPr>
        <w:t>（</w:t>
      </w:r>
      <w:r>
        <w:rPr>
          <w:rFonts w:hint="eastAsia"/>
          <w:color w:val="auto"/>
          <w:szCs w:val="22"/>
          <w:u w:val="single"/>
          <w:lang w:val="en-US" w:eastAsia="zh-CN"/>
        </w:rPr>
        <w:t>4</w:t>
      </w:r>
      <w:r>
        <w:rPr>
          <w:rFonts w:hint="eastAsia"/>
          <w:color w:val="auto"/>
          <w:szCs w:val="22"/>
          <w:u w:val="single"/>
        </w:rPr>
        <w:t>）</w:t>
      </w:r>
      <w:r>
        <w:rPr>
          <w:rFonts w:hint="eastAsia"/>
          <w:color w:val="auto"/>
          <w:u w:val="single"/>
        </w:rPr>
        <w:t>投标报价表；</w:t>
      </w:r>
    </w:p>
    <w:p w14:paraId="18BB0655">
      <w:pPr>
        <w:ind w:firstLine="480"/>
        <w:rPr>
          <w:rFonts w:hint="eastAsia"/>
          <w:color w:val="auto"/>
          <w:u w:val="single"/>
        </w:rPr>
      </w:pPr>
      <w:r>
        <w:rPr>
          <w:rFonts w:hint="eastAsia"/>
          <w:color w:val="auto"/>
          <w:szCs w:val="22"/>
          <w:u w:val="single"/>
        </w:rPr>
        <w:t>（</w:t>
      </w:r>
      <w:r>
        <w:rPr>
          <w:rFonts w:hint="eastAsia"/>
          <w:color w:val="auto"/>
          <w:szCs w:val="22"/>
          <w:u w:val="single"/>
          <w:lang w:val="en-US" w:eastAsia="zh-CN"/>
        </w:rPr>
        <w:t>5</w:t>
      </w:r>
      <w:r>
        <w:rPr>
          <w:rFonts w:hint="eastAsia"/>
          <w:color w:val="auto"/>
          <w:szCs w:val="22"/>
          <w:u w:val="single"/>
        </w:rPr>
        <w:t>）</w:t>
      </w:r>
      <w:r>
        <w:rPr>
          <w:rFonts w:hint="eastAsia"/>
          <w:color w:val="auto"/>
          <w:u w:val="single"/>
        </w:rPr>
        <w:t>资格审查资料；</w:t>
      </w:r>
    </w:p>
    <w:p w14:paraId="21351603">
      <w:pPr>
        <w:ind w:firstLine="480"/>
        <w:rPr>
          <w:rFonts w:hint="eastAsia"/>
          <w:color w:val="auto"/>
          <w:u w:val="single"/>
        </w:rPr>
      </w:pPr>
      <w:r>
        <w:rPr>
          <w:rFonts w:hint="eastAsia"/>
          <w:color w:val="auto"/>
          <w:szCs w:val="22"/>
          <w:u w:val="single"/>
        </w:rPr>
        <w:t>（</w:t>
      </w:r>
      <w:r>
        <w:rPr>
          <w:rFonts w:hint="eastAsia"/>
          <w:color w:val="auto"/>
          <w:szCs w:val="22"/>
          <w:u w:val="single"/>
          <w:lang w:val="en-US" w:eastAsia="zh-CN"/>
        </w:rPr>
        <w:t>6</w:t>
      </w:r>
      <w:r>
        <w:rPr>
          <w:rFonts w:hint="eastAsia"/>
          <w:color w:val="auto"/>
          <w:szCs w:val="22"/>
          <w:u w:val="single"/>
        </w:rPr>
        <w:t>）</w:t>
      </w:r>
      <w:r>
        <w:rPr>
          <w:rFonts w:hint="eastAsia"/>
          <w:color w:val="auto"/>
          <w:u w:val="single"/>
        </w:rPr>
        <w:t>商务部分；</w:t>
      </w:r>
    </w:p>
    <w:p w14:paraId="2C21F7F3">
      <w:pPr>
        <w:ind w:firstLine="480"/>
        <w:rPr>
          <w:rFonts w:hint="eastAsia"/>
          <w:color w:val="auto"/>
          <w:u w:val="single"/>
        </w:rPr>
      </w:pPr>
      <w:r>
        <w:rPr>
          <w:rFonts w:hint="eastAsia"/>
          <w:color w:val="auto"/>
          <w:szCs w:val="22"/>
          <w:u w:val="single"/>
        </w:rPr>
        <w:t>（</w:t>
      </w:r>
      <w:r>
        <w:rPr>
          <w:rFonts w:hint="eastAsia"/>
          <w:color w:val="auto"/>
          <w:szCs w:val="22"/>
          <w:u w:val="single"/>
          <w:lang w:val="en-US" w:eastAsia="zh-CN"/>
        </w:rPr>
        <w:t>7</w:t>
      </w:r>
      <w:r>
        <w:rPr>
          <w:rFonts w:hint="eastAsia"/>
          <w:color w:val="auto"/>
          <w:szCs w:val="22"/>
          <w:u w:val="single"/>
        </w:rPr>
        <w:t>）</w:t>
      </w:r>
      <w:r>
        <w:rPr>
          <w:rFonts w:hint="eastAsia"/>
          <w:color w:val="auto"/>
          <w:u w:val="single"/>
        </w:rPr>
        <w:t>技术部分；</w:t>
      </w:r>
    </w:p>
    <w:p w14:paraId="210F7403">
      <w:pPr>
        <w:ind w:firstLine="480"/>
        <w:rPr>
          <w:color w:val="auto"/>
          <w:u w:val="single"/>
        </w:rPr>
      </w:pPr>
      <w:r>
        <w:rPr>
          <w:rFonts w:hint="eastAsia"/>
          <w:color w:val="auto"/>
          <w:szCs w:val="22"/>
          <w:u w:val="single"/>
        </w:rPr>
        <w:t>（</w:t>
      </w:r>
      <w:r>
        <w:rPr>
          <w:rFonts w:hint="eastAsia"/>
          <w:color w:val="auto"/>
          <w:szCs w:val="22"/>
          <w:u w:val="single"/>
          <w:lang w:val="en-US" w:eastAsia="zh-CN"/>
        </w:rPr>
        <w:t>8</w:t>
      </w:r>
      <w:r>
        <w:rPr>
          <w:rFonts w:hint="eastAsia"/>
          <w:color w:val="auto"/>
          <w:szCs w:val="22"/>
          <w:u w:val="single"/>
        </w:rPr>
        <w:t>）</w:t>
      </w:r>
      <w:r>
        <w:rPr>
          <w:rFonts w:hint="eastAsia"/>
          <w:color w:val="auto"/>
          <w:u w:val="single"/>
        </w:rPr>
        <w:t>物资投入及配置；</w:t>
      </w:r>
    </w:p>
    <w:p w14:paraId="33E44598">
      <w:pPr>
        <w:ind w:firstLine="480"/>
        <w:rPr>
          <w:color w:val="auto"/>
          <w:u w:val="single"/>
        </w:rPr>
      </w:pPr>
      <w:r>
        <w:rPr>
          <w:rFonts w:hint="eastAsia"/>
          <w:color w:val="auto"/>
          <w:szCs w:val="22"/>
          <w:u w:val="single"/>
        </w:rPr>
        <w:t>（</w:t>
      </w:r>
      <w:r>
        <w:rPr>
          <w:rFonts w:hint="eastAsia"/>
          <w:color w:val="auto"/>
          <w:szCs w:val="22"/>
          <w:u w:val="single"/>
          <w:lang w:val="en-US" w:eastAsia="zh-CN"/>
        </w:rPr>
        <w:t>9</w:t>
      </w:r>
      <w:r>
        <w:rPr>
          <w:rFonts w:hint="eastAsia"/>
          <w:color w:val="auto"/>
          <w:szCs w:val="22"/>
          <w:u w:val="single"/>
        </w:rPr>
        <w:t>）</w:t>
      </w:r>
      <w:r>
        <w:rPr>
          <w:rFonts w:hint="eastAsia"/>
          <w:color w:val="auto"/>
          <w:u w:val="single"/>
        </w:rPr>
        <w:t>服务质量保证与承诺；</w:t>
      </w:r>
    </w:p>
    <w:p w14:paraId="6F653E9D">
      <w:pPr>
        <w:ind w:firstLine="480"/>
        <w:rPr>
          <w:color w:val="auto"/>
          <w:u w:val="single"/>
        </w:rPr>
      </w:pPr>
      <w:r>
        <w:rPr>
          <w:rFonts w:hint="eastAsia"/>
          <w:color w:val="auto"/>
          <w:szCs w:val="22"/>
          <w:u w:val="single"/>
        </w:rPr>
        <w:t>（1</w:t>
      </w:r>
      <w:r>
        <w:rPr>
          <w:rFonts w:hint="eastAsia"/>
          <w:color w:val="auto"/>
          <w:szCs w:val="22"/>
          <w:u w:val="single"/>
          <w:lang w:val="en-US" w:eastAsia="zh-CN"/>
        </w:rPr>
        <w:t>0</w:t>
      </w:r>
      <w:r>
        <w:rPr>
          <w:rFonts w:hint="eastAsia"/>
          <w:color w:val="auto"/>
          <w:szCs w:val="22"/>
          <w:u w:val="single"/>
        </w:rPr>
        <w:t>）</w:t>
      </w:r>
      <w:r>
        <w:rPr>
          <w:rFonts w:hint="eastAsia"/>
          <w:color w:val="auto"/>
          <w:u w:val="single"/>
        </w:rPr>
        <w:t>合同条款的响应一览表；</w:t>
      </w:r>
    </w:p>
    <w:p w14:paraId="1C79F876">
      <w:pPr>
        <w:ind w:firstLine="480"/>
        <w:rPr>
          <w:rFonts w:hint="eastAsia"/>
          <w:color w:val="auto"/>
          <w:u w:val="single"/>
        </w:rPr>
      </w:pPr>
      <w:r>
        <w:rPr>
          <w:rFonts w:hint="eastAsia"/>
          <w:color w:val="auto"/>
          <w:szCs w:val="22"/>
          <w:u w:val="single"/>
        </w:rPr>
        <w:t>（1</w:t>
      </w:r>
      <w:r>
        <w:rPr>
          <w:rFonts w:hint="eastAsia"/>
          <w:color w:val="auto"/>
          <w:szCs w:val="22"/>
          <w:u w:val="single"/>
          <w:lang w:val="en-US" w:eastAsia="zh-CN"/>
        </w:rPr>
        <w:t>1</w:t>
      </w:r>
      <w:r>
        <w:rPr>
          <w:rFonts w:hint="eastAsia"/>
          <w:color w:val="auto"/>
          <w:szCs w:val="22"/>
          <w:u w:val="single"/>
        </w:rPr>
        <w:t>）</w:t>
      </w:r>
      <w:r>
        <w:rPr>
          <w:rFonts w:hint="eastAsia"/>
          <w:color w:val="auto"/>
          <w:u w:val="single"/>
        </w:rPr>
        <w:t>资料档案归档管理承诺书；</w:t>
      </w:r>
    </w:p>
    <w:p w14:paraId="7ED70234">
      <w:pPr>
        <w:pStyle w:val="10"/>
        <w:rPr>
          <w:rFonts w:hint="eastAsia" w:hAnsi="Times New Roman" w:eastAsia="宋体"/>
          <w:color w:val="auto"/>
          <w:sz w:val="24"/>
          <w:u w:val="single"/>
          <w:lang w:val="en-US" w:eastAsia="zh-CN"/>
        </w:rPr>
      </w:pPr>
      <w:r>
        <w:rPr>
          <w:rFonts w:hint="eastAsia" w:hAnsi="Times New Roman"/>
          <w:color w:val="auto"/>
          <w:sz w:val="24"/>
          <w:u w:val="single"/>
          <w:lang w:eastAsia="zh-CN"/>
        </w:rPr>
        <w:t>（</w:t>
      </w:r>
      <w:r>
        <w:rPr>
          <w:rFonts w:hint="eastAsia" w:hAnsi="Times New Roman"/>
          <w:color w:val="auto"/>
          <w:sz w:val="24"/>
          <w:u w:val="single"/>
          <w:lang w:val="en-US" w:eastAsia="zh-CN"/>
        </w:rPr>
        <w:t>12）</w:t>
      </w:r>
      <w:r>
        <w:rPr>
          <w:rFonts w:hint="eastAsia" w:hAnsi="Times New Roman"/>
          <w:color w:val="auto"/>
          <w:sz w:val="24"/>
          <w:u w:val="single"/>
        </w:rPr>
        <w:t>投标人须提供近三年无围标串标行政处罚的书面承诺</w:t>
      </w:r>
      <w:r>
        <w:rPr>
          <w:rFonts w:hint="eastAsia" w:hAnsi="Times New Roman"/>
          <w:color w:val="auto"/>
          <w:sz w:val="24"/>
          <w:u w:val="single"/>
          <w:lang w:eastAsia="zh-CN"/>
        </w:rPr>
        <w:t>；</w:t>
      </w:r>
    </w:p>
    <w:p w14:paraId="7EC747C1">
      <w:pPr>
        <w:ind w:firstLine="480"/>
        <w:rPr>
          <w:color w:val="auto"/>
          <w:szCs w:val="22"/>
          <w:u w:val="single"/>
        </w:rPr>
      </w:pPr>
      <w:r>
        <w:rPr>
          <w:rFonts w:hint="eastAsia"/>
          <w:color w:val="auto"/>
          <w:szCs w:val="22"/>
          <w:u w:val="single"/>
        </w:rPr>
        <w:t>（1</w:t>
      </w:r>
      <w:r>
        <w:rPr>
          <w:rFonts w:hint="eastAsia"/>
          <w:color w:val="auto"/>
          <w:szCs w:val="22"/>
          <w:u w:val="single"/>
          <w:lang w:val="en-US" w:eastAsia="zh-CN"/>
        </w:rPr>
        <w:t>3</w:t>
      </w:r>
      <w:r>
        <w:rPr>
          <w:rFonts w:hint="eastAsia"/>
          <w:color w:val="auto"/>
          <w:szCs w:val="22"/>
          <w:u w:val="single"/>
        </w:rPr>
        <w:t>）</w:t>
      </w:r>
      <w:r>
        <w:rPr>
          <w:color w:val="auto"/>
          <w:szCs w:val="22"/>
          <w:u w:val="single"/>
        </w:rPr>
        <w:t>投标人认为有必要的其他资料</w:t>
      </w:r>
      <w:r>
        <w:rPr>
          <w:rFonts w:hint="eastAsia"/>
          <w:color w:val="auto"/>
          <w:szCs w:val="22"/>
          <w:u w:val="single"/>
        </w:rPr>
        <w:t>。</w:t>
      </w:r>
    </w:p>
    <w:p w14:paraId="50909B21">
      <w:pPr>
        <w:outlineLvl w:val="9"/>
        <w:rPr>
          <w:rFonts w:hint="eastAsia" w:hAnsi="宋体" w:cs="宋体"/>
          <w:color w:val="auto"/>
        </w:rPr>
      </w:pPr>
    </w:p>
    <w:p w14:paraId="701FDF22">
      <w:pPr>
        <w:widowControl w:val="0"/>
        <w:ind w:firstLine="0" w:firstLineChars="0"/>
        <w:rPr>
          <w:rFonts w:hAnsi="Cambria"/>
          <w:color w:val="auto"/>
        </w:rPr>
      </w:pPr>
      <w:r>
        <w:rPr>
          <w:rFonts w:hAnsi="Cambria"/>
          <w:color w:val="auto"/>
        </w:rPr>
        <w:br w:type="page"/>
      </w:r>
      <w:bookmarkStart w:id="423" w:name="_Toc99720485"/>
    </w:p>
    <w:bookmarkEnd w:id="423"/>
    <w:p w14:paraId="6930BF45">
      <w:pPr>
        <w:pStyle w:val="4"/>
        <w:keepNext w:val="0"/>
        <w:keepLines w:val="0"/>
        <w:widowControl w:val="0"/>
        <w:jc w:val="center"/>
        <w:rPr>
          <w:rFonts w:hint="eastAsia" w:hAnsi="宋体" w:cs="宋体"/>
          <w:bCs w:val="0"/>
          <w:color w:val="auto"/>
          <w:sz w:val="28"/>
          <w:szCs w:val="28"/>
        </w:rPr>
      </w:pPr>
      <w:bookmarkStart w:id="424" w:name="_Toc8761"/>
      <w:bookmarkStart w:id="425" w:name="_Toc19539"/>
      <w:bookmarkStart w:id="426" w:name="_Toc99720486"/>
      <w:r>
        <w:rPr>
          <w:rFonts w:hint="eastAsia" w:hAnsi="宋体" w:cs="宋体"/>
          <w:bCs w:val="0"/>
          <w:color w:val="auto"/>
          <w:sz w:val="28"/>
          <w:szCs w:val="28"/>
        </w:rPr>
        <w:t>一、投标函及投标函附录</w:t>
      </w:r>
      <w:bookmarkEnd w:id="424"/>
      <w:bookmarkEnd w:id="425"/>
      <w:bookmarkEnd w:id="426"/>
    </w:p>
    <w:p w14:paraId="0FE55CD7">
      <w:pPr>
        <w:pStyle w:val="35"/>
        <w:widowControl w:val="0"/>
        <w:spacing w:after="0"/>
        <w:ind w:firstLine="0" w:firstLineChars="0"/>
        <w:jc w:val="center"/>
        <w:rPr>
          <w:rFonts w:hint="eastAsia" w:hAnsi="宋体" w:cs="宋体"/>
          <w:b/>
          <w:color w:val="auto"/>
          <w:szCs w:val="24"/>
        </w:rPr>
      </w:pPr>
      <w:r>
        <w:rPr>
          <w:rFonts w:hint="eastAsia" w:hAnsi="宋体" w:cs="宋体"/>
          <w:b/>
          <w:color w:val="auto"/>
          <w:szCs w:val="24"/>
        </w:rPr>
        <w:t>（一）投标函</w:t>
      </w:r>
    </w:p>
    <w:p w14:paraId="42F158B7">
      <w:pPr>
        <w:widowControl w:val="0"/>
        <w:spacing w:line="240" w:lineRule="exact"/>
        <w:ind w:firstLine="0" w:firstLineChars="0"/>
        <w:rPr>
          <w:color w:val="auto"/>
        </w:rPr>
      </w:pPr>
    </w:p>
    <w:p w14:paraId="0C863E37">
      <w:pPr>
        <w:ind w:firstLine="0" w:firstLineChars="0"/>
        <w:rPr>
          <w:rFonts w:hint="eastAsia" w:hAnsi="宋体" w:cs="宋体"/>
          <w:b/>
          <w:bCs/>
          <w:color w:val="auto"/>
          <w:kern w:val="28"/>
        </w:rPr>
      </w:pPr>
      <w:r>
        <w:rPr>
          <w:rFonts w:hint="eastAsia" w:hAnsi="宋体"/>
          <w:snapToGrid w:val="0"/>
          <w:color w:val="auto"/>
          <w:sz w:val="24"/>
          <w:szCs w:val="24"/>
          <w:u w:val="single"/>
          <w:shd w:val="clear" w:color="auto" w:fill="FFFFFF"/>
          <w:lang w:eastAsia="zh-CN"/>
        </w:rPr>
        <w:t>广东省财经职业技术学校</w:t>
      </w:r>
      <w:r>
        <w:rPr>
          <w:rFonts w:hint="eastAsia" w:hAnsi="宋体" w:cs="宋体"/>
          <w:b/>
          <w:bCs/>
          <w:color w:val="auto"/>
          <w:kern w:val="28"/>
        </w:rPr>
        <w:t>：</w:t>
      </w:r>
    </w:p>
    <w:p w14:paraId="597C0E53">
      <w:pPr>
        <w:ind w:firstLine="480"/>
        <w:jc w:val="left"/>
        <w:rPr>
          <w:rFonts w:hint="eastAsia" w:hAnsi="宋体" w:cs="宋体"/>
          <w:color w:val="auto"/>
        </w:rPr>
      </w:pPr>
      <w:r>
        <w:rPr>
          <w:rFonts w:hint="eastAsia" w:hAnsi="宋体" w:cs="宋体"/>
          <w:color w:val="auto"/>
        </w:rPr>
        <w:t>1．我方已仔细研究了</w:t>
      </w:r>
      <w:r>
        <w:rPr>
          <w:rFonts w:hint="eastAsia" w:hAnsi="宋体"/>
          <w:color w:val="auto"/>
          <w:u w:val="single"/>
          <w:lang w:eastAsia="zh-CN"/>
        </w:rPr>
        <w:t>广东省财经职业技术学校新校区建设项目全过程造价咨询服务</w:t>
      </w:r>
      <w:r>
        <w:rPr>
          <w:rFonts w:hint="eastAsia" w:hAnsi="宋体" w:cs="宋体"/>
          <w:color w:val="auto"/>
        </w:rPr>
        <w:t>招标文件的全部内容，愿意以¥</w:t>
      </w:r>
      <w:r>
        <w:rPr>
          <w:rFonts w:hint="eastAsia" w:hAnsi="宋体" w:cs="宋体"/>
          <w:color w:val="auto"/>
          <w:u w:val="single"/>
        </w:rPr>
        <w:t xml:space="preserve">         </w:t>
      </w:r>
      <w:r>
        <w:rPr>
          <w:rFonts w:hint="eastAsia" w:hAnsi="宋体" w:cs="宋体"/>
          <w:color w:val="auto"/>
        </w:rPr>
        <w:t>元（大写：人民币</w:t>
      </w:r>
      <w:r>
        <w:rPr>
          <w:rFonts w:hint="eastAsia" w:hAnsi="宋体" w:cs="宋体"/>
          <w:color w:val="auto"/>
          <w:u w:val="single"/>
        </w:rPr>
        <w:t xml:space="preserve">          </w:t>
      </w:r>
      <w:r>
        <w:rPr>
          <w:rFonts w:hint="eastAsia" w:hAnsi="宋体" w:cs="宋体"/>
          <w:color w:val="auto"/>
        </w:rPr>
        <w:t>），投标下浮率</w:t>
      </w:r>
      <w:r>
        <w:rPr>
          <w:rFonts w:hint="eastAsia" w:hAnsi="宋体" w:cs="宋体"/>
          <w:color w:val="auto"/>
          <w:u w:val="single"/>
        </w:rPr>
        <w:t xml:space="preserve">    %</w:t>
      </w:r>
      <w:r>
        <w:rPr>
          <w:rFonts w:hint="eastAsia" w:hAnsi="宋体" w:cs="宋体"/>
          <w:color w:val="auto"/>
        </w:rPr>
        <w:t>的投标报价，按合同约定完成造价咨询服务工作（以上报价包括咨询服务过程中的所有费用）。</w:t>
      </w:r>
    </w:p>
    <w:p w14:paraId="28BBD71A">
      <w:pPr>
        <w:ind w:firstLine="480"/>
        <w:jc w:val="left"/>
        <w:rPr>
          <w:rFonts w:hint="eastAsia" w:hAnsi="宋体" w:cs="宋体"/>
          <w:color w:val="auto"/>
        </w:rPr>
      </w:pPr>
      <w:r>
        <w:rPr>
          <w:rFonts w:hint="eastAsia" w:hAnsi="宋体" w:cs="宋体"/>
          <w:color w:val="auto"/>
        </w:rPr>
        <w:t>2．我方承诺在投标有效期内不修改、不撤销投标文件。</w:t>
      </w:r>
    </w:p>
    <w:p w14:paraId="2195F3F0">
      <w:pPr>
        <w:ind w:firstLine="480"/>
        <w:rPr>
          <w:rFonts w:hint="eastAsia" w:hAnsi="宋体" w:cs="宋体"/>
          <w:color w:val="auto"/>
        </w:rPr>
      </w:pPr>
      <w:r>
        <w:rPr>
          <w:rFonts w:hint="eastAsia" w:hAnsi="宋体" w:cs="宋体"/>
          <w:color w:val="auto"/>
        </w:rPr>
        <w:t>3．如我方中标：</w:t>
      </w:r>
    </w:p>
    <w:p w14:paraId="36E549DA">
      <w:pPr>
        <w:ind w:firstLine="480"/>
        <w:rPr>
          <w:rFonts w:hint="eastAsia" w:hAnsi="宋体" w:cs="宋体"/>
          <w:color w:val="auto"/>
        </w:rPr>
      </w:pPr>
      <w:r>
        <w:rPr>
          <w:rFonts w:hint="eastAsia" w:hAnsi="宋体" w:cs="宋体"/>
          <w:color w:val="auto"/>
        </w:rPr>
        <w:t>(1)我方承诺在收到中标通知书后，在本招标文件规定的期限内与贵</w:t>
      </w:r>
      <w:r>
        <w:rPr>
          <w:rFonts w:hint="eastAsia" w:hAnsi="宋体" w:cs="宋体"/>
          <w:color w:val="auto"/>
          <w:lang w:eastAsia="zh-CN"/>
        </w:rPr>
        <w:t>单位</w:t>
      </w:r>
      <w:r>
        <w:rPr>
          <w:rFonts w:hint="eastAsia" w:hAnsi="宋体" w:cs="宋体"/>
          <w:color w:val="auto"/>
        </w:rPr>
        <w:t>签订合同。</w:t>
      </w:r>
    </w:p>
    <w:p w14:paraId="7B9E7587">
      <w:pPr>
        <w:ind w:firstLine="480"/>
        <w:rPr>
          <w:rFonts w:hint="eastAsia" w:hAnsi="宋体" w:cs="宋体"/>
          <w:color w:val="auto"/>
        </w:rPr>
      </w:pPr>
      <w:r>
        <w:rPr>
          <w:rFonts w:hint="eastAsia" w:hAnsi="宋体" w:cs="宋体"/>
          <w:color w:val="auto"/>
        </w:rPr>
        <w:t>(2)我方承诺在合同约定的期限内完成全部合同项目。</w:t>
      </w:r>
    </w:p>
    <w:p w14:paraId="706C760D">
      <w:pPr>
        <w:ind w:firstLine="480"/>
        <w:rPr>
          <w:rFonts w:hint="eastAsia" w:hAnsi="宋体" w:cs="宋体"/>
          <w:color w:val="auto"/>
        </w:rPr>
      </w:pPr>
      <w:r>
        <w:rPr>
          <w:rFonts w:hint="eastAsia" w:hAnsi="宋体" w:cs="宋体"/>
          <w:color w:val="auto"/>
        </w:rPr>
        <w:t>(3)我方在此声明，所递交的投标文件及有关资料内容完整、真实和准确。</w:t>
      </w:r>
    </w:p>
    <w:p w14:paraId="6BFDF283">
      <w:pPr>
        <w:ind w:firstLine="480"/>
        <w:rPr>
          <w:rFonts w:hint="eastAsia" w:hAnsi="宋体" w:cs="宋体"/>
          <w:color w:val="auto"/>
        </w:rPr>
      </w:pPr>
      <w:r>
        <w:rPr>
          <w:rFonts w:hint="eastAsia" w:hAnsi="宋体" w:cs="宋体"/>
          <w:color w:val="auto"/>
        </w:rPr>
        <w:t>(4)在未正式签订合同前，本招标项目的招标文件、中标通知书和本投标文件将构成约束我们双方的法律文书。</w:t>
      </w:r>
    </w:p>
    <w:p w14:paraId="608788AB">
      <w:pPr>
        <w:ind w:firstLine="480"/>
        <w:rPr>
          <w:rFonts w:hint="eastAsia" w:hAnsi="宋体" w:cs="宋体"/>
          <w:color w:val="auto"/>
        </w:rPr>
      </w:pPr>
      <w:r>
        <w:rPr>
          <w:rFonts w:hint="eastAsia" w:hAnsi="宋体" w:cs="宋体"/>
          <w:color w:val="auto"/>
        </w:rPr>
        <w:t>(5)我方理解，贵单位不一定接受最低标价的投标文件或可能接受任何的投标文件。同时也理解，不论结果如何，贵单位不承担我方的任何投标费用。</w:t>
      </w:r>
    </w:p>
    <w:p w14:paraId="2BE085A6">
      <w:pPr>
        <w:ind w:firstLine="480"/>
        <w:rPr>
          <w:rFonts w:hint="eastAsia" w:hAnsi="宋体" w:cs="宋体"/>
          <w:color w:val="auto"/>
        </w:rPr>
      </w:pPr>
      <w:r>
        <w:rPr>
          <w:rFonts w:hint="eastAsia" w:hAnsi="宋体" w:cs="宋体"/>
          <w:color w:val="auto"/>
        </w:rPr>
        <w:t>(6)如果我方在投标有效期内撤回投标文件，或收到中标通知书后未能按招标文件规定的期限签署或拒绝签署合同，或未能或拒绝提交履约担保，贵单位有权视为我方自动放弃中标资格。</w:t>
      </w:r>
    </w:p>
    <w:p w14:paraId="4D16BA0A">
      <w:pPr>
        <w:pStyle w:val="75"/>
        <w:spacing w:line="360" w:lineRule="auto"/>
        <w:ind w:firstLine="400"/>
        <w:rPr>
          <w:rFonts w:hint="eastAsia" w:ascii="宋体" w:hAnsi="宋体" w:cs="宋体"/>
          <w:color w:val="auto"/>
        </w:rPr>
      </w:pPr>
    </w:p>
    <w:p w14:paraId="169AEEFF">
      <w:pPr>
        <w:ind w:firstLine="480"/>
        <w:rPr>
          <w:rFonts w:hint="eastAsia" w:hAnsi="宋体" w:cs="宋体"/>
          <w:color w:val="auto"/>
        </w:rPr>
      </w:pPr>
      <w:r>
        <w:rPr>
          <w:rFonts w:hint="eastAsia" w:hAnsi="宋体" w:cs="宋体"/>
          <w:color w:val="auto"/>
        </w:rPr>
        <w:t>投标人（盖单位公章）：</w:t>
      </w:r>
      <w:r>
        <w:rPr>
          <w:rFonts w:hint="eastAsia" w:hAnsi="宋体" w:cs="宋体"/>
          <w:color w:val="auto"/>
          <w:u w:val="single"/>
        </w:rPr>
        <w:t xml:space="preserve">                              </w:t>
      </w:r>
    </w:p>
    <w:p w14:paraId="767A4BDF">
      <w:pPr>
        <w:ind w:firstLine="480"/>
        <w:rPr>
          <w:rFonts w:hint="eastAsia" w:hAnsi="宋体" w:cs="宋体"/>
          <w:color w:val="auto"/>
        </w:rPr>
      </w:pPr>
      <w:r>
        <w:rPr>
          <w:rFonts w:hint="eastAsia" w:hAnsi="宋体" w:cs="宋体"/>
          <w:color w:val="auto"/>
        </w:rPr>
        <w:t>单位地址：</w:t>
      </w:r>
      <w:r>
        <w:rPr>
          <w:rFonts w:hint="eastAsia" w:hAnsi="宋体" w:cs="宋体"/>
          <w:color w:val="auto"/>
          <w:u w:val="single"/>
        </w:rPr>
        <w:t xml:space="preserve">                          </w:t>
      </w:r>
    </w:p>
    <w:p w14:paraId="28432EB8">
      <w:pPr>
        <w:ind w:firstLine="480"/>
        <w:rPr>
          <w:rFonts w:hint="eastAsia" w:hAnsi="宋体" w:cs="宋体"/>
          <w:color w:val="auto"/>
        </w:rPr>
      </w:pPr>
      <w:r>
        <w:rPr>
          <w:rFonts w:hint="eastAsia" w:hAnsi="宋体" w:cs="宋体"/>
          <w:color w:val="auto"/>
        </w:rPr>
        <w:t>法定代表人或其委托代理人（签字或盖章或签章）：</w:t>
      </w:r>
      <w:r>
        <w:rPr>
          <w:rFonts w:hint="eastAsia" w:hAnsi="宋体" w:cs="宋体"/>
          <w:color w:val="auto"/>
          <w:u w:val="single"/>
        </w:rPr>
        <w:t xml:space="preserve">                    </w:t>
      </w:r>
    </w:p>
    <w:p w14:paraId="6AA7B75E">
      <w:pPr>
        <w:pStyle w:val="35"/>
        <w:spacing w:after="0"/>
        <w:ind w:firstLine="480" w:firstLineChars="200"/>
        <w:rPr>
          <w:rFonts w:hint="eastAsia" w:hAnsi="宋体" w:cs="宋体"/>
          <w:color w:val="auto"/>
          <w:szCs w:val="24"/>
        </w:rPr>
      </w:pPr>
      <w:r>
        <w:rPr>
          <w:rFonts w:hint="eastAsia" w:hAnsi="宋体" w:cs="宋体"/>
          <w:color w:val="auto"/>
          <w:szCs w:val="24"/>
        </w:rPr>
        <w:t>电话：</w:t>
      </w:r>
      <w:r>
        <w:rPr>
          <w:rFonts w:hint="eastAsia" w:hAnsi="宋体" w:cs="宋体"/>
          <w:color w:val="auto"/>
          <w:szCs w:val="24"/>
          <w:u w:val="single"/>
        </w:rPr>
        <w:t xml:space="preserve">                               </w:t>
      </w:r>
    </w:p>
    <w:p w14:paraId="19C04442">
      <w:pPr>
        <w:pStyle w:val="35"/>
        <w:spacing w:after="0"/>
        <w:ind w:firstLine="480" w:firstLineChars="200"/>
        <w:rPr>
          <w:rFonts w:hint="eastAsia" w:hAnsi="宋体" w:cs="宋体"/>
          <w:color w:val="auto"/>
          <w:szCs w:val="24"/>
        </w:rPr>
      </w:pPr>
      <w:r>
        <w:rPr>
          <w:rFonts w:hint="eastAsia" w:hAnsi="宋体" w:cs="宋体"/>
          <w:color w:val="auto"/>
          <w:szCs w:val="24"/>
        </w:rPr>
        <w:t>日期：_______年_______月______日</w:t>
      </w:r>
    </w:p>
    <w:p w14:paraId="7145719E">
      <w:pPr>
        <w:pStyle w:val="35"/>
        <w:spacing w:after="0"/>
        <w:ind w:firstLine="0" w:firstLineChars="0"/>
        <w:rPr>
          <w:rFonts w:hint="eastAsia" w:hAnsi="宋体" w:cs="宋体"/>
          <w:color w:val="auto"/>
          <w:szCs w:val="24"/>
        </w:rPr>
      </w:pPr>
      <w:r>
        <w:rPr>
          <w:rFonts w:hint="eastAsia" w:hAnsi="宋体" w:cs="宋体"/>
          <w:color w:val="auto"/>
          <w:szCs w:val="24"/>
        </w:rPr>
        <w:br w:type="page"/>
      </w:r>
    </w:p>
    <w:p w14:paraId="6F7F9F89">
      <w:pPr>
        <w:pStyle w:val="35"/>
        <w:spacing w:after="0" w:line="276" w:lineRule="auto"/>
        <w:ind w:left="550" w:leftChars="229" w:firstLine="777" w:firstLineChars="324"/>
        <w:rPr>
          <w:rFonts w:hint="eastAsia" w:hAnsi="宋体" w:cs="宋体"/>
          <w:color w:val="auto"/>
          <w:szCs w:val="24"/>
        </w:rPr>
      </w:pPr>
    </w:p>
    <w:p w14:paraId="3D72E5F7">
      <w:pPr>
        <w:pStyle w:val="35"/>
        <w:widowControl w:val="0"/>
        <w:spacing w:after="0"/>
        <w:ind w:firstLine="0" w:firstLineChars="0"/>
        <w:jc w:val="center"/>
        <w:rPr>
          <w:rFonts w:hint="eastAsia" w:hAnsi="宋体" w:cs="宋体"/>
          <w:b/>
          <w:color w:val="auto"/>
          <w:szCs w:val="24"/>
        </w:rPr>
      </w:pPr>
      <w:r>
        <w:rPr>
          <w:rFonts w:hint="eastAsia" w:hAnsi="宋体" w:cs="宋体"/>
          <w:b/>
          <w:color w:val="auto"/>
          <w:szCs w:val="24"/>
        </w:rPr>
        <w:t>（二）投标函附录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262"/>
        <w:gridCol w:w="4245"/>
        <w:gridCol w:w="1100"/>
      </w:tblGrid>
      <w:tr w14:paraId="096B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3" w:type="dxa"/>
            <w:noWrap w:val="0"/>
            <w:vAlign w:val="center"/>
          </w:tcPr>
          <w:p w14:paraId="583B667D">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
                <w:color w:val="auto"/>
                <w:szCs w:val="24"/>
              </w:rPr>
            </w:pPr>
            <w:r>
              <w:rPr>
                <w:rFonts w:hint="eastAsia" w:hAnsi="宋体" w:cs="宋体"/>
                <w:b/>
                <w:color w:val="auto"/>
                <w:szCs w:val="24"/>
              </w:rPr>
              <w:t>序号</w:t>
            </w:r>
          </w:p>
        </w:tc>
        <w:tc>
          <w:tcPr>
            <w:tcW w:w="2262" w:type="dxa"/>
            <w:noWrap w:val="0"/>
            <w:vAlign w:val="center"/>
          </w:tcPr>
          <w:p w14:paraId="295F37AE">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
                <w:color w:val="auto"/>
                <w:szCs w:val="24"/>
              </w:rPr>
            </w:pPr>
            <w:r>
              <w:rPr>
                <w:rFonts w:hint="eastAsia" w:hAnsi="宋体" w:cs="宋体"/>
                <w:b/>
                <w:color w:val="auto"/>
                <w:szCs w:val="24"/>
              </w:rPr>
              <w:t>条款名称</w:t>
            </w:r>
          </w:p>
        </w:tc>
        <w:tc>
          <w:tcPr>
            <w:tcW w:w="4245" w:type="dxa"/>
            <w:noWrap w:val="0"/>
            <w:vAlign w:val="center"/>
          </w:tcPr>
          <w:p w14:paraId="7286349F">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
                <w:color w:val="auto"/>
                <w:szCs w:val="24"/>
              </w:rPr>
            </w:pPr>
            <w:r>
              <w:rPr>
                <w:rFonts w:hint="eastAsia" w:hAnsi="宋体" w:cs="宋体"/>
                <w:b/>
                <w:color w:val="auto"/>
                <w:szCs w:val="24"/>
              </w:rPr>
              <w:t>约定内容</w:t>
            </w:r>
          </w:p>
        </w:tc>
        <w:tc>
          <w:tcPr>
            <w:tcW w:w="1100" w:type="dxa"/>
            <w:noWrap w:val="0"/>
            <w:vAlign w:val="center"/>
          </w:tcPr>
          <w:p w14:paraId="25A5BFD7">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
                <w:color w:val="auto"/>
                <w:szCs w:val="24"/>
              </w:rPr>
            </w:pPr>
            <w:r>
              <w:rPr>
                <w:rFonts w:hint="eastAsia" w:hAnsi="宋体" w:cs="宋体"/>
                <w:b/>
                <w:color w:val="auto"/>
                <w:szCs w:val="24"/>
              </w:rPr>
              <w:t>备注</w:t>
            </w:r>
          </w:p>
        </w:tc>
      </w:tr>
      <w:tr w14:paraId="5359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3" w:type="dxa"/>
            <w:noWrap w:val="0"/>
            <w:vAlign w:val="center"/>
          </w:tcPr>
          <w:p w14:paraId="42D0BAC0">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1</w:t>
            </w:r>
          </w:p>
        </w:tc>
        <w:tc>
          <w:tcPr>
            <w:tcW w:w="2262" w:type="dxa"/>
            <w:noWrap w:val="0"/>
            <w:vAlign w:val="center"/>
          </w:tcPr>
          <w:p w14:paraId="00ADBF45">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项目负责人</w:t>
            </w:r>
          </w:p>
        </w:tc>
        <w:tc>
          <w:tcPr>
            <w:tcW w:w="4245" w:type="dxa"/>
            <w:noWrap w:val="0"/>
            <w:vAlign w:val="center"/>
          </w:tcPr>
          <w:p w14:paraId="0C726644">
            <w:pPr>
              <w:keepNext w:val="0"/>
              <w:keepLines w:val="0"/>
              <w:widowControl/>
              <w:suppressLineNumbers w:val="0"/>
              <w:topLinePunct/>
              <w:spacing w:before="0" w:beforeAutospacing="0" w:after="0" w:afterAutospacing="0" w:line="240" w:lineRule="auto"/>
              <w:ind w:left="0" w:right="0" w:firstLine="0" w:firstLineChars="0"/>
              <w:jc w:val="left"/>
              <w:rPr>
                <w:rFonts w:hint="eastAsia" w:hAnsi="Times New Roman" w:cs="Times New Roman"/>
                <w:color w:val="auto"/>
                <w:szCs w:val="24"/>
              </w:rPr>
            </w:pPr>
            <w:r>
              <w:rPr>
                <w:rFonts w:hint="eastAsia" w:hAnsi="Times New Roman" w:cs="Times New Roman"/>
                <w:color w:val="auto"/>
                <w:szCs w:val="24"/>
              </w:rPr>
              <w:t>姓名：</w:t>
            </w:r>
          </w:p>
          <w:p w14:paraId="5D885665">
            <w:pPr>
              <w:keepNext w:val="0"/>
              <w:keepLines w:val="0"/>
              <w:widowControl/>
              <w:suppressLineNumbers w:val="0"/>
              <w:topLinePunct/>
              <w:spacing w:before="0" w:beforeAutospacing="0" w:after="0" w:afterAutospacing="0" w:line="240" w:lineRule="auto"/>
              <w:ind w:left="0" w:right="0" w:firstLine="0" w:firstLineChars="0"/>
              <w:jc w:val="left"/>
              <w:rPr>
                <w:rFonts w:hint="eastAsia" w:hAnsi="Times New Roman" w:cs="Times New Roman"/>
                <w:color w:val="auto"/>
                <w:szCs w:val="24"/>
              </w:rPr>
            </w:pPr>
          </w:p>
          <w:p w14:paraId="13701C0F">
            <w:pPr>
              <w:keepNext w:val="0"/>
              <w:keepLines w:val="0"/>
              <w:widowControl/>
              <w:suppressLineNumbers w:val="0"/>
              <w:topLinePunct/>
              <w:spacing w:before="0" w:beforeAutospacing="0" w:after="0" w:afterAutospacing="0" w:line="240" w:lineRule="auto"/>
              <w:ind w:left="0" w:right="0" w:firstLine="0" w:firstLineChars="0"/>
              <w:jc w:val="left"/>
              <w:rPr>
                <w:rFonts w:hint="eastAsia" w:hAnsi="Times New Roman" w:cs="Times New Roman"/>
                <w:color w:val="auto"/>
                <w:szCs w:val="24"/>
              </w:rPr>
            </w:pPr>
            <w:r>
              <w:rPr>
                <w:rFonts w:hint="eastAsia" w:hAnsi="Times New Roman" w:cs="Times New Roman"/>
                <w:color w:val="auto"/>
                <w:szCs w:val="24"/>
              </w:rPr>
              <w:t>注册证号：</w:t>
            </w:r>
          </w:p>
          <w:p w14:paraId="37D333B7">
            <w:pPr>
              <w:keepNext w:val="0"/>
              <w:keepLines w:val="0"/>
              <w:widowControl/>
              <w:suppressLineNumbers w:val="0"/>
              <w:topLinePunct/>
              <w:spacing w:before="0" w:beforeAutospacing="0" w:after="0" w:afterAutospacing="0" w:line="240" w:lineRule="auto"/>
              <w:ind w:left="0" w:right="0" w:firstLine="0" w:firstLineChars="0"/>
              <w:jc w:val="left"/>
              <w:rPr>
                <w:rFonts w:hint="eastAsia" w:hAnsi="Times New Roman" w:cs="Times New Roman"/>
                <w:color w:val="auto"/>
                <w:szCs w:val="24"/>
              </w:rPr>
            </w:pPr>
          </w:p>
          <w:p w14:paraId="5B157B25">
            <w:pPr>
              <w:keepNext w:val="0"/>
              <w:keepLines w:val="0"/>
              <w:widowControl/>
              <w:suppressLineNumbers w:val="0"/>
              <w:topLinePunct/>
              <w:spacing w:before="0" w:beforeAutospacing="0" w:after="0" w:afterAutospacing="0" w:line="240" w:lineRule="auto"/>
              <w:ind w:left="0" w:right="0" w:firstLine="0" w:firstLineChars="0"/>
              <w:jc w:val="left"/>
              <w:rPr>
                <w:rFonts w:hint="eastAsia" w:hAnsi="Times New Roman" w:cs="Times New Roman"/>
                <w:color w:val="auto"/>
                <w:szCs w:val="24"/>
              </w:rPr>
            </w:pPr>
            <w:r>
              <w:rPr>
                <w:rFonts w:hint="eastAsia" w:hAnsi="宋体" w:cs="Times New Roman"/>
                <w:color w:val="auto"/>
                <w:szCs w:val="24"/>
              </w:rPr>
              <w:t>技术职称</w:t>
            </w:r>
            <w:r>
              <w:rPr>
                <w:rFonts w:hint="eastAsia" w:hAnsi="Times New Roman" w:cs="Times New Roman"/>
                <w:color w:val="auto"/>
                <w:szCs w:val="24"/>
              </w:rPr>
              <w:t>：</w:t>
            </w:r>
          </w:p>
          <w:p w14:paraId="4674D7C4">
            <w:pPr>
              <w:keepNext w:val="0"/>
              <w:keepLines w:val="0"/>
              <w:widowControl/>
              <w:suppressLineNumbers w:val="0"/>
              <w:topLinePunct/>
              <w:spacing w:before="0" w:beforeAutospacing="0" w:after="0" w:afterAutospacing="0" w:line="240" w:lineRule="auto"/>
              <w:ind w:left="0" w:right="0" w:firstLine="0" w:firstLineChars="0"/>
              <w:jc w:val="left"/>
              <w:rPr>
                <w:rFonts w:hint="eastAsia" w:hAnsi="Times New Roman" w:cs="Times New Roman"/>
                <w:color w:val="auto"/>
                <w:szCs w:val="24"/>
              </w:rPr>
            </w:pPr>
          </w:p>
          <w:p w14:paraId="54071AFF">
            <w:pPr>
              <w:keepNext w:val="0"/>
              <w:keepLines w:val="0"/>
              <w:widowControl/>
              <w:suppressLineNumbers w:val="0"/>
              <w:topLinePunct/>
              <w:spacing w:before="0" w:beforeAutospacing="0" w:after="0" w:afterAutospacing="0" w:line="240" w:lineRule="auto"/>
              <w:ind w:left="0" w:right="0" w:firstLine="0" w:firstLineChars="0"/>
              <w:jc w:val="left"/>
              <w:rPr>
                <w:rFonts w:hint="eastAsia" w:hAnsi="Times New Roman" w:cs="Times New Roman"/>
                <w:color w:val="auto"/>
                <w:szCs w:val="24"/>
              </w:rPr>
            </w:pPr>
            <w:r>
              <w:rPr>
                <w:rFonts w:hint="eastAsia" w:hAnsi="Times New Roman" w:cs="Times New Roman"/>
                <w:color w:val="auto"/>
                <w:szCs w:val="24"/>
              </w:rPr>
              <w:t>身份证号码：</w:t>
            </w:r>
          </w:p>
        </w:tc>
        <w:tc>
          <w:tcPr>
            <w:tcW w:w="1100" w:type="dxa"/>
            <w:noWrap w:val="0"/>
            <w:vAlign w:val="center"/>
          </w:tcPr>
          <w:p w14:paraId="196D0B97">
            <w:pPr>
              <w:keepNext w:val="0"/>
              <w:keepLines w:val="0"/>
              <w:widowControl/>
              <w:suppressLineNumbers w:val="0"/>
              <w:spacing w:before="0" w:beforeAutospacing="0" w:after="0" w:afterAutospacing="0"/>
              <w:ind w:left="0" w:right="0" w:firstLine="0" w:firstLineChars="0"/>
              <w:rPr>
                <w:rFonts w:hint="eastAsia" w:hAnsi="宋体" w:cs="宋体"/>
                <w:color w:val="auto"/>
                <w:szCs w:val="24"/>
              </w:rPr>
            </w:pPr>
          </w:p>
        </w:tc>
      </w:tr>
      <w:tr w14:paraId="2AFE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3" w:type="dxa"/>
            <w:noWrap w:val="0"/>
            <w:vAlign w:val="center"/>
          </w:tcPr>
          <w:p w14:paraId="2A27CDF2">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2</w:t>
            </w:r>
          </w:p>
        </w:tc>
        <w:tc>
          <w:tcPr>
            <w:tcW w:w="2262" w:type="dxa"/>
            <w:noWrap w:val="0"/>
            <w:vAlign w:val="center"/>
          </w:tcPr>
          <w:p w14:paraId="09238249">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服务期限</w:t>
            </w:r>
          </w:p>
        </w:tc>
        <w:tc>
          <w:tcPr>
            <w:tcW w:w="4245" w:type="dxa"/>
            <w:noWrap w:val="0"/>
            <w:vAlign w:val="center"/>
          </w:tcPr>
          <w:p w14:paraId="53695328">
            <w:pPr>
              <w:keepNext w:val="0"/>
              <w:keepLines w:val="0"/>
              <w:widowControl/>
              <w:suppressLineNumbers w:val="0"/>
              <w:topLinePunct/>
              <w:spacing w:before="0" w:beforeAutospacing="0" w:after="0" w:afterAutospacing="0" w:line="240" w:lineRule="auto"/>
              <w:ind w:left="0" w:right="0" w:firstLine="0" w:firstLineChars="0"/>
              <w:jc w:val="left"/>
              <w:rPr>
                <w:rFonts w:hint="eastAsia" w:hAnsi="宋体" w:cs="宋体"/>
                <w:color w:val="auto"/>
                <w:szCs w:val="24"/>
              </w:rPr>
            </w:pPr>
            <w:r>
              <w:rPr>
                <w:rFonts w:hint="eastAsia" w:hAnsi="宋体" w:cs="宋体"/>
                <w:color w:val="auto"/>
                <w:szCs w:val="24"/>
              </w:rPr>
              <w:t>按招标文件要求</w:t>
            </w:r>
          </w:p>
        </w:tc>
        <w:tc>
          <w:tcPr>
            <w:tcW w:w="1100" w:type="dxa"/>
            <w:noWrap w:val="0"/>
            <w:vAlign w:val="center"/>
          </w:tcPr>
          <w:p w14:paraId="1BD59218">
            <w:pPr>
              <w:keepNext w:val="0"/>
              <w:keepLines w:val="0"/>
              <w:widowControl/>
              <w:suppressLineNumbers w:val="0"/>
              <w:spacing w:before="0" w:beforeAutospacing="0" w:after="0" w:afterAutospacing="0"/>
              <w:ind w:left="0" w:right="0" w:firstLine="0" w:firstLineChars="0"/>
              <w:rPr>
                <w:rFonts w:hint="eastAsia" w:hAnsi="宋体" w:cs="宋体"/>
                <w:color w:val="auto"/>
                <w:szCs w:val="24"/>
              </w:rPr>
            </w:pPr>
          </w:p>
        </w:tc>
      </w:tr>
      <w:tr w14:paraId="517D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3" w:type="dxa"/>
            <w:noWrap w:val="0"/>
            <w:vAlign w:val="center"/>
          </w:tcPr>
          <w:p w14:paraId="1014A911">
            <w:pPr>
              <w:keepNext w:val="0"/>
              <w:keepLines w:val="0"/>
              <w:widowControl/>
              <w:suppressLineNumbers w:val="0"/>
              <w:tabs>
                <w:tab w:val="left" w:pos="360"/>
              </w:tabs>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3</w:t>
            </w:r>
          </w:p>
        </w:tc>
        <w:tc>
          <w:tcPr>
            <w:tcW w:w="2262" w:type="dxa"/>
            <w:noWrap w:val="0"/>
            <w:vAlign w:val="center"/>
          </w:tcPr>
          <w:p w14:paraId="1E015FB5">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投标有效期</w:t>
            </w:r>
          </w:p>
        </w:tc>
        <w:tc>
          <w:tcPr>
            <w:tcW w:w="4245" w:type="dxa"/>
            <w:noWrap w:val="0"/>
            <w:vAlign w:val="center"/>
          </w:tcPr>
          <w:p w14:paraId="75100B92">
            <w:pPr>
              <w:keepNext w:val="0"/>
              <w:keepLines w:val="0"/>
              <w:widowControl/>
              <w:suppressLineNumbers w:val="0"/>
              <w:spacing w:before="0" w:beforeAutospacing="0" w:after="0" w:afterAutospacing="0" w:line="240" w:lineRule="auto"/>
              <w:ind w:left="0" w:right="0" w:firstLine="0" w:firstLineChars="0"/>
              <w:jc w:val="left"/>
              <w:rPr>
                <w:rFonts w:hint="eastAsia" w:hAnsi="宋体" w:cs="宋体"/>
                <w:color w:val="auto"/>
                <w:szCs w:val="24"/>
              </w:rPr>
            </w:pPr>
            <w:r>
              <w:rPr>
                <w:rFonts w:hint="eastAsia" w:hAnsi="宋体" w:cs="宋体"/>
                <w:color w:val="auto"/>
                <w:szCs w:val="24"/>
              </w:rPr>
              <w:t>按招标文件要求</w:t>
            </w:r>
          </w:p>
        </w:tc>
        <w:tc>
          <w:tcPr>
            <w:tcW w:w="1100" w:type="dxa"/>
            <w:noWrap w:val="0"/>
            <w:vAlign w:val="center"/>
          </w:tcPr>
          <w:p w14:paraId="7131A6F5">
            <w:pPr>
              <w:keepNext w:val="0"/>
              <w:keepLines w:val="0"/>
              <w:widowControl/>
              <w:suppressLineNumbers w:val="0"/>
              <w:tabs>
                <w:tab w:val="left" w:pos="360"/>
              </w:tabs>
              <w:spacing w:before="0" w:beforeAutospacing="0" w:after="0" w:afterAutospacing="0"/>
              <w:ind w:left="0" w:right="0" w:firstLine="0" w:firstLineChars="0"/>
              <w:rPr>
                <w:rFonts w:hint="eastAsia" w:hAnsi="宋体" w:cs="宋体"/>
                <w:color w:val="auto"/>
                <w:szCs w:val="24"/>
              </w:rPr>
            </w:pPr>
          </w:p>
        </w:tc>
      </w:tr>
      <w:tr w14:paraId="63B4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3" w:type="dxa"/>
            <w:noWrap w:val="0"/>
            <w:vAlign w:val="center"/>
          </w:tcPr>
          <w:p w14:paraId="10CCD4FD">
            <w:pPr>
              <w:keepNext w:val="0"/>
              <w:keepLines w:val="0"/>
              <w:widowControl/>
              <w:suppressLineNumbers w:val="0"/>
              <w:tabs>
                <w:tab w:val="left" w:pos="360"/>
              </w:tabs>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4</w:t>
            </w:r>
          </w:p>
        </w:tc>
        <w:tc>
          <w:tcPr>
            <w:tcW w:w="2262" w:type="dxa"/>
            <w:noWrap w:val="0"/>
            <w:vAlign w:val="center"/>
          </w:tcPr>
          <w:p w14:paraId="410056C8">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质量标准</w:t>
            </w:r>
          </w:p>
        </w:tc>
        <w:tc>
          <w:tcPr>
            <w:tcW w:w="4245" w:type="dxa"/>
            <w:noWrap w:val="0"/>
            <w:vAlign w:val="center"/>
          </w:tcPr>
          <w:p w14:paraId="6B7CC76E">
            <w:pPr>
              <w:keepNext w:val="0"/>
              <w:keepLines w:val="0"/>
              <w:widowControl/>
              <w:suppressLineNumbers w:val="0"/>
              <w:spacing w:before="0" w:beforeAutospacing="0" w:after="0" w:afterAutospacing="0" w:line="240" w:lineRule="auto"/>
              <w:ind w:left="0" w:right="0" w:firstLine="0" w:firstLineChars="0"/>
              <w:jc w:val="left"/>
              <w:rPr>
                <w:rFonts w:hint="eastAsia" w:hAnsi="宋体" w:cs="宋体"/>
                <w:color w:val="auto"/>
                <w:szCs w:val="24"/>
              </w:rPr>
            </w:pPr>
            <w:r>
              <w:rPr>
                <w:rFonts w:hint="eastAsia" w:hAnsi="宋体" w:cs="宋体"/>
                <w:color w:val="auto"/>
                <w:szCs w:val="24"/>
              </w:rPr>
              <w:t>按招标文件要求</w:t>
            </w:r>
          </w:p>
        </w:tc>
        <w:tc>
          <w:tcPr>
            <w:tcW w:w="1100" w:type="dxa"/>
            <w:noWrap w:val="0"/>
            <w:vAlign w:val="center"/>
          </w:tcPr>
          <w:p w14:paraId="72437564">
            <w:pPr>
              <w:keepNext w:val="0"/>
              <w:keepLines w:val="0"/>
              <w:widowControl/>
              <w:suppressLineNumbers w:val="0"/>
              <w:tabs>
                <w:tab w:val="left" w:pos="360"/>
              </w:tabs>
              <w:spacing w:before="0" w:beforeAutospacing="0" w:after="0" w:afterAutospacing="0"/>
              <w:ind w:left="0" w:right="0" w:firstLine="0" w:firstLineChars="0"/>
              <w:rPr>
                <w:rFonts w:hint="eastAsia" w:hAnsi="宋体" w:cs="宋体"/>
                <w:color w:val="auto"/>
                <w:szCs w:val="24"/>
              </w:rPr>
            </w:pPr>
          </w:p>
        </w:tc>
      </w:tr>
      <w:tr w14:paraId="1570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3" w:type="dxa"/>
            <w:noWrap w:val="0"/>
            <w:vAlign w:val="center"/>
          </w:tcPr>
          <w:p w14:paraId="2CB1F524">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Times New Roman"/>
                <w:color w:val="auto"/>
                <w:szCs w:val="24"/>
              </w:rPr>
              <w:t>5</w:t>
            </w:r>
          </w:p>
        </w:tc>
        <w:tc>
          <w:tcPr>
            <w:tcW w:w="2262" w:type="dxa"/>
            <w:noWrap w:val="0"/>
            <w:vAlign w:val="center"/>
          </w:tcPr>
          <w:p w14:paraId="6B9B140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投标内容</w:t>
            </w:r>
          </w:p>
        </w:tc>
        <w:tc>
          <w:tcPr>
            <w:tcW w:w="4245" w:type="dxa"/>
            <w:noWrap w:val="0"/>
            <w:vAlign w:val="center"/>
          </w:tcPr>
          <w:p w14:paraId="684E97FF">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szCs w:val="24"/>
              </w:rPr>
            </w:pPr>
            <w:r>
              <w:rPr>
                <w:rFonts w:hint="eastAsia" w:ascii="宋体" w:hAnsi="宋体" w:eastAsia="宋体" w:cs="宋体"/>
                <w:color w:val="auto"/>
                <w:szCs w:val="24"/>
              </w:rPr>
              <w:t>符合第二章“投标人须知”第1.3.1项规定</w:t>
            </w:r>
          </w:p>
        </w:tc>
        <w:tc>
          <w:tcPr>
            <w:tcW w:w="1100" w:type="dxa"/>
            <w:noWrap w:val="0"/>
            <w:vAlign w:val="center"/>
          </w:tcPr>
          <w:p w14:paraId="385B101E">
            <w:pPr>
              <w:keepNext w:val="0"/>
              <w:keepLines w:val="0"/>
              <w:widowControl/>
              <w:suppressLineNumbers w:val="0"/>
              <w:tabs>
                <w:tab w:val="left" w:pos="360"/>
              </w:tabs>
              <w:spacing w:before="0" w:beforeAutospacing="0" w:after="0" w:afterAutospacing="0"/>
              <w:ind w:left="0" w:right="0" w:firstLine="0" w:firstLineChars="0"/>
              <w:rPr>
                <w:rFonts w:hint="eastAsia" w:hAnsi="宋体" w:cs="宋体"/>
                <w:color w:val="auto"/>
                <w:szCs w:val="24"/>
              </w:rPr>
            </w:pPr>
          </w:p>
        </w:tc>
      </w:tr>
      <w:tr w14:paraId="4B69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80" w:type="dxa"/>
            <w:gridSpan w:val="4"/>
            <w:noWrap w:val="0"/>
            <w:vAlign w:val="center"/>
          </w:tcPr>
          <w:p w14:paraId="2B8238F9">
            <w:pPr>
              <w:keepNext w:val="0"/>
              <w:keepLines w:val="0"/>
              <w:widowControl/>
              <w:suppressLineNumbers w:val="0"/>
              <w:spacing w:before="0" w:beforeAutospacing="0" w:after="0" w:afterAutospacing="0" w:line="400" w:lineRule="exact"/>
              <w:ind w:left="0" w:right="0" w:firstLine="480" w:firstLineChars="200"/>
              <w:jc w:val="both"/>
              <w:rPr>
                <w:rFonts w:hint="eastAsia" w:ascii="宋体" w:hAnsi="宋体" w:eastAsia="宋体" w:cs="宋体"/>
                <w:color w:val="auto"/>
                <w:szCs w:val="24"/>
              </w:rPr>
            </w:pPr>
            <w:r>
              <w:rPr>
                <w:rFonts w:hint="eastAsia" w:ascii="宋体" w:hAnsi="宋体" w:eastAsia="宋体" w:cs="宋体"/>
                <w:color w:val="auto"/>
                <w:szCs w:val="24"/>
              </w:rPr>
              <w:t>我单位不存在串通投标情形，不存在《广东省实施&lt;中华人民共和国招标投标法&gt;》第十六条所禁止的情形，我单位属于非联合体投标。</w:t>
            </w:r>
          </w:p>
        </w:tc>
      </w:tr>
    </w:tbl>
    <w:p w14:paraId="12238F53">
      <w:pPr>
        <w:ind w:firstLine="480"/>
        <w:rPr>
          <w:rFonts w:hAnsi="宋体" w:cs="宋体"/>
          <w:color w:val="auto"/>
          <w:szCs w:val="21"/>
        </w:rPr>
      </w:pPr>
    </w:p>
    <w:p w14:paraId="7197F974">
      <w:pPr>
        <w:pStyle w:val="75"/>
        <w:ind w:firstLine="400"/>
        <w:rPr>
          <w:color w:val="auto"/>
        </w:rPr>
      </w:pPr>
    </w:p>
    <w:p w14:paraId="1F0A6601">
      <w:pPr>
        <w:ind w:firstLine="480"/>
        <w:rPr>
          <w:rFonts w:hint="eastAsia" w:hAnsi="宋体" w:cs="宋体"/>
          <w:color w:val="auto"/>
          <w:szCs w:val="24"/>
        </w:rPr>
      </w:pPr>
    </w:p>
    <w:p w14:paraId="51C9439A">
      <w:pPr>
        <w:ind w:firstLine="480"/>
        <w:rPr>
          <w:rFonts w:hint="eastAsia" w:hAnsi="宋体" w:cs="宋体"/>
          <w:color w:val="auto"/>
        </w:rPr>
      </w:pPr>
      <w:r>
        <w:rPr>
          <w:rFonts w:hint="eastAsia" w:hAnsi="宋体" w:cs="宋体"/>
          <w:color w:val="auto"/>
        </w:rPr>
        <w:t>投标人（盖单位公章）：</w:t>
      </w:r>
      <w:r>
        <w:rPr>
          <w:rFonts w:hint="eastAsia" w:hAnsi="宋体" w:cs="宋体"/>
          <w:color w:val="auto"/>
          <w:u w:val="single"/>
        </w:rPr>
        <w:t xml:space="preserve">                              </w:t>
      </w:r>
    </w:p>
    <w:p w14:paraId="5D671D49">
      <w:pPr>
        <w:ind w:firstLine="480"/>
        <w:rPr>
          <w:rFonts w:hint="eastAsia" w:hAnsi="宋体" w:cs="宋体"/>
          <w:color w:val="auto"/>
        </w:rPr>
      </w:pPr>
      <w:r>
        <w:rPr>
          <w:rFonts w:hint="eastAsia" w:hAnsi="宋体" w:cs="宋体"/>
          <w:color w:val="auto"/>
        </w:rPr>
        <w:t>法定代表人或其委托代理人（签字或盖章或签章）：</w:t>
      </w:r>
      <w:r>
        <w:rPr>
          <w:rFonts w:hint="eastAsia" w:hAnsi="宋体" w:cs="宋体"/>
          <w:color w:val="auto"/>
          <w:u w:val="single"/>
        </w:rPr>
        <w:t xml:space="preserve">               </w:t>
      </w:r>
    </w:p>
    <w:p w14:paraId="55C59647">
      <w:pPr>
        <w:pStyle w:val="35"/>
        <w:spacing w:after="0"/>
        <w:ind w:firstLine="480" w:firstLineChars="200"/>
        <w:rPr>
          <w:rFonts w:hint="eastAsia" w:hAnsi="宋体" w:cs="宋体"/>
          <w:color w:val="auto"/>
          <w:szCs w:val="24"/>
        </w:rPr>
      </w:pPr>
      <w:r>
        <w:rPr>
          <w:rFonts w:hint="eastAsia" w:hAnsi="宋体" w:cs="宋体"/>
          <w:color w:val="auto"/>
          <w:szCs w:val="24"/>
        </w:rPr>
        <w:t>日期：_______年_______月______日</w:t>
      </w:r>
    </w:p>
    <w:p w14:paraId="5FE5AB5D">
      <w:pPr>
        <w:pStyle w:val="35"/>
        <w:spacing w:after="0"/>
        <w:ind w:firstLine="0" w:firstLineChars="0"/>
        <w:jc w:val="left"/>
        <w:rPr>
          <w:rFonts w:hint="eastAsia" w:hAnsi="宋体" w:cs="宋体"/>
          <w:color w:val="auto"/>
        </w:rPr>
      </w:pPr>
      <w:r>
        <w:rPr>
          <w:rFonts w:hint="eastAsia" w:hAnsi="宋体" w:cs="宋体"/>
          <w:color w:val="auto"/>
        </w:rPr>
        <w:br w:type="page"/>
      </w:r>
    </w:p>
    <w:p w14:paraId="52EE9DE0">
      <w:pPr>
        <w:pStyle w:val="35"/>
        <w:spacing w:after="0"/>
        <w:ind w:firstLine="0" w:firstLineChars="0"/>
        <w:rPr>
          <w:rFonts w:hint="eastAsia" w:hAnsi="宋体" w:cs="宋体"/>
          <w:color w:val="auto"/>
          <w:szCs w:val="24"/>
        </w:rPr>
      </w:pPr>
    </w:p>
    <w:p w14:paraId="35E112E4">
      <w:pPr>
        <w:pStyle w:val="4"/>
        <w:keepNext w:val="0"/>
        <w:keepLines w:val="0"/>
        <w:widowControl w:val="0"/>
        <w:jc w:val="center"/>
        <w:rPr>
          <w:rFonts w:hint="eastAsia" w:hAnsi="宋体" w:cs="宋体"/>
          <w:bCs w:val="0"/>
          <w:color w:val="auto"/>
          <w:sz w:val="28"/>
          <w:szCs w:val="28"/>
        </w:rPr>
      </w:pPr>
      <w:bookmarkStart w:id="427" w:name="_Toc17578"/>
      <w:bookmarkStart w:id="428" w:name="_Toc10313"/>
      <w:r>
        <w:rPr>
          <w:rFonts w:hint="eastAsia" w:hAnsi="宋体" w:cs="宋体"/>
          <w:bCs w:val="0"/>
          <w:color w:val="auto"/>
          <w:sz w:val="28"/>
          <w:szCs w:val="28"/>
        </w:rPr>
        <w:t>二、法定代表人身份证明书</w:t>
      </w:r>
      <w:bookmarkEnd w:id="427"/>
      <w:bookmarkEnd w:id="428"/>
    </w:p>
    <w:p w14:paraId="3477E0DB">
      <w:pPr>
        <w:ind w:firstLine="480"/>
        <w:rPr>
          <w:rFonts w:hint="eastAsia" w:hAnsi="宋体" w:cs="宋体"/>
          <w:color w:val="auto"/>
          <w:szCs w:val="24"/>
        </w:rPr>
      </w:pPr>
    </w:p>
    <w:p w14:paraId="29877C33">
      <w:pPr>
        <w:ind w:firstLine="480"/>
        <w:rPr>
          <w:rFonts w:hint="eastAsia" w:hAnsi="宋体" w:cs="宋体"/>
          <w:color w:val="auto"/>
          <w:szCs w:val="24"/>
        </w:rPr>
      </w:pPr>
    </w:p>
    <w:p w14:paraId="142E1D13">
      <w:pPr>
        <w:ind w:firstLine="480"/>
        <w:rPr>
          <w:rFonts w:hint="eastAsia" w:hAnsi="宋体" w:cs="宋体"/>
          <w:color w:val="auto"/>
          <w:szCs w:val="24"/>
        </w:rPr>
      </w:pPr>
      <w:r>
        <w:rPr>
          <w:rFonts w:hint="eastAsia" w:hAnsi="宋体" w:cs="宋体"/>
          <w:color w:val="auto"/>
          <w:szCs w:val="24"/>
        </w:rPr>
        <w:t>投标人名称：</w:t>
      </w:r>
      <w:r>
        <w:rPr>
          <w:rFonts w:hint="eastAsia" w:hAnsi="宋体" w:cs="宋体"/>
          <w:color w:val="auto"/>
          <w:szCs w:val="24"/>
          <w:u w:val="single"/>
        </w:rPr>
        <w:t xml:space="preserve">                        </w:t>
      </w:r>
    </w:p>
    <w:p w14:paraId="591C5C4A">
      <w:pPr>
        <w:ind w:firstLine="480"/>
        <w:rPr>
          <w:rFonts w:hint="eastAsia" w:hAnsi="宋体" w:cs="宋体"/>
          <w:color w:val="auto"/>
          <w:szCs w:val="24"/>
          <w:u w:val="single"/>
        </w:rPr>
      </w:pPr>
      <w:r>
        <w:rPr>
          <w:rFonts w:hint="eastAsia" w:hAnsi="宋体" w:cs="宋体"/>
          <w:color w:val="auto"/>
          <w:szCs w:val="24"/>
        </w:rPr>
        <w:t>姓名：</w:t>
      </w:r>
      <w:r>
        <w:rPr>
          <w:rFonts w:hint="eastAsia" w:hAnsi="宋体" w:cs="宋体"/>
          <w:color w:val="auto"/>
          <w:szCs w:val="24"/>
          <w:u w:val="single"/>
        </w:rPr>
        <w:t xml:space="preserve">           </w:t>
      </w:r>
      <w:r>
        <w:rPr>
          <w:rFonts w:hint="eastAsia" w:hAnsi="宋体" w:cs="宋体"/>
          <w:color w:val="auto"/>
          <w:szCs w:val="24"/>
        </w:rPr>
        <w:t>性别：</w:t>
      </w:r>
      <w:r>
        <w:rPr>
          <w:rFonts w:hint="eastAsia" w:hAnsi="宋体" w:cs="宋体"/>
          <w:color w:val="auto"/>
          <w:szCs w:val="24"/>
          <w:u w:val="single"/>
        </w:rPr>
        <w:t xml:space="preserve">        </w:t>
      </w:r>
      <w:r>
        <w:rPr>
          <w:rFonts w:hint="eastAsia" w:hAnsi="宋体" w:cs="宋体"/>
          <w:color w:val="auto"/>
          <w:szCs w:val="24"/>
        </w:rPr>
        <w:t>年龄：</w:t>
      </w:r>
      <w:r>
        <w:rPr>
          <w:rFonts w:hint="eastAsia" w:hAnsi="宋体" w:cs="宋体"/>
          <w:color w:val="auto"/>
          <w:szCs w:val="24"/>
          <w:u w:val="single"/>
        </w:rPr>
        <w:t xml:space="preserve">        </w:t>
      </w:r>
      <w:r>
        <w:rPr>
          <w:rFonts w:hint="eastAsia" w:hAnsi="宋体" w:cs="宋体"/>
          <w:color w:val="auto"/>
          <w:szCs w:val="24"/>
        </w:rPr>
        <w:t>职务：</w:t>
      </w:r>
      <w:r>
        <w:rPr>
          <w:rFonts w:hint="eastAsia" w:hAnsi="宋体" w:cs="宋体"/>
          <w:color w:val="auto"/>
          <w:szCs w:val="24"/>
          <w:u w:val="single"/>
        </w:rPr>
        <w:t xml:space="preserve">        </w:t>
      </w:r>
    </w:p>
    <w:p w14:paraId="405ADA1B">
      <w:pPr>
        <w:ind w:firstLine="0" w:firstLineChars="0"/>
        <w:rPr>
          <w:rFonts w:hint="eastAsia" w:hAnsi="宋体" w:cs="宋体"/>
          <w:color w:val="auto"/>
          <w:szCs w:val="24"/>
        </w:rPr>
      </w:pPr>
      <w:r>
        <w:rPr>
          <w:rFonts w:hint="eastAsia" w:hAnsi="宋体" w:cs="宋体"/>
          <w:color w:val="auto"/>
          <w:szCs w:val="24"/>
        </w:rPr>
        <w:t>系</w:t>
      </w:r>
      <w:r>
        <w:rPr>
          <w:rFonts w:hint="eastAsia" w:hAnsi="宋体" w:cs="宋体"/>
          <w:color w:val="auto"/>
          <w:szCs w:val="24"/>
          <w:u w:val="single"/>
        </w:rPr>
        <w:t xml:space="preserve">      （投标人名称）     </w:t>
      </w:r>
      <w:r>
        <w:rPr>
          <w:rFonts w:hint="eastAsia" w:hAnsi="宋体" w:cs="宋体"/>
          <w:color w:val="auto"/>
          <w:szCs w:val="24"/>
        </w:rPr>
        <w:t>的法定代表人。</w:t>
      </w:r>
    </w:p>
    <w:p w14:paraId="14028396">
      <w:pPr>
        <w:ind w:firstLine="480"/>
        <w:rPr>
          <w:rFonts w:hint="eastAsia" w:hAnsi="宋体" w:cs="宋体"/>
          <w:color w:val="auto"/>
          <w:szCs w:val="24"/>
        </w:rPr>
      </w:pPr>
      <w:r>
        <w:rPr>
          <w:rFonts w:hint="eastAsia" w:hAnsi="宋体" w:cs="宋体"/>
          <w:color w:val="auto"/>
          <w:szCs w:val="24"/>
        </w:rPr>
        <w:t>特此证明。</w:t>
      </w:r>
    </w:p>
    <w:p w14:paraId="73F1C3C4">
      <w:pPr>
        <w:ind w:firstLine="480"/>
        <w:rPr>
          <w:rFonts w:hint="eastAsia" w:hAnsi="宋体" w:cs="宋体"/>
          <w:color w:val="auto"/>
          <w:szCs w:val="24"/>
        </w:rPr>
      </w:pPr>
    </w:p>
    <w:p w14:paraId="58DAD132">
      <w:pPr>
        <w:ind w:firstLine="480"/>
        <w:rPr>
          <w:rFonts w:hint="eastAsia" w:hAnsi="宋体" w:cs="宋体"/>
          <w:color w:val="auto"/>
          <w:szCs w:val="24"/>
        </w:rPr>
      </w:pPr>
      <w:r>
        <w:rPr>
          <w:rFonts w:hint="eastAsia" w:hAnsi="宋体" w:cs="宋体"/>
          <w:color w:val="auto"/>
          <w:szCs w:val="24"/>
        </w:rPr>
        <w:t>附：法定代表人身份证原件扫描件。</w:t>
      </w:r>
    </w:p>
    <w:p w14:paraId="7990933C">
      <w:pPr>
        <w:ind w:firstLine="480"/>
        <w:rPr>
          <w:rFonts w:hint="eastAsia" w:hAnsi="宋体" w:cs="宋体"/>
          <w:color w:val="auto"/>
          <w:szCs w:val="24"/>
        </w:rPr>
      </w:pPr>
    </w:p>
    <w:p w14:paraId="40F1F413">
      <w:pPr>
        <w:ind w:firstLine="480"/>
        <w:rPr>
          <w:rFonts w:hint="eastAsia" w:hAnsi="宋体" w:cs="宋体"/>
          <w:color w:val="auto"/>
          <w:szCs w:val="24"/>
        </w:rPr>
      </w:pPr>
    </w:p>
    <w:p w14:paraId="438996FF">
      <w:pPr>
        <w:ind w:firstLine="480"/>
        <w:rPr>
          <w:rFonts w:hint="eastAsia" w:hAnsi="宋体" w:cs="宋体"/>
          <w:color w:val="auto"/>
          <w:szCs w:val="24"/>
        </w:rPr>
      </w:pPr>
    </w:p>
    <w:p w14:paraId="73FCD8A4">
      <w:pPr>
        <w:ind w:firstLine="480"/>
        <w:jc w:val="left"/>
        <w:rPr>
          <w:rFonts w:hint="eastAsia" w:hAnsi="宋体" w:cs="宋体"/>
          <w:color w:val="auto"/>
          <w:szCs w:val="24"/>
        </w:rPr>
      </w:pPr>
      <w:r>
        <w:rPr>
          <w:rFonts w:hint="eastAsia" w:hAnsi="宋体" w:cs="宋体"/>
          <w:color w:val="auto"/>
          <w:szCs w:val="24"/>
        </w:rPr>
        <w:t>投标人：</w:t>
      </w:r>
      <w:r>
        <w:rPr>
          <w:rFonts w:hint="eastAsia" w:hAnsi="宋体" w:cs="宋体"/>
          <w:color w:val="auto"/>
          <w:szCs w:val="24"/>
          <w:u w:val="single"/>
        </w:rPr>
        <w:t xml:space="preserve">          </w:t>
      </w:r>
      <w:r>
        <w:rPr>
          <w:rFonts w:hint="eastAsia" w:hAnsi="宋体" w:cs="宋体"/>
          <w:color w:val="auto"/>
          <w:szCs w:val="24"/>
          <w:u w:val="single"/>
        </w:rPr>
        <w:tab/>
      </w:r>
      <w:r>
        <w:rPr>
          <w:rFonts w:hint="eastAsia" w:hAnsi="宋体" w:cs="宋体"/>
          <w:color w:val="auto"/>
          <w:szCs w:val="24"/>
        </w:rPr>
        <w:t>（盖单位公章）</w:t>
      </w:r>
    </w:p>
    <w:p w14:paraId="2BED3209">
      <w:pPr>
        <w:ind w:firstLine="480"/>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rPr>
        <w:t xml:space="preserve">      </w:t>
      </w:r>
      <w:r>
        <w:rPr>
          <w:rFonts w:hint="eastAsia" w:hAnsi="宋体" w:cs="宋体"/>
          <w:color w:val="auto"/>
          <w:szCs w:val="24"/>
        </w:rPr>
        <w:t>日</w:t>
      </w:r>
    </w:p>
    <w:p w14:paraId="525383C0">
      <w:pPr>
        <w:ind w:firstLine="480"/>
        <w:rPr>
          <w:rFonts w:hint="eastAsia" w:hAnsi="宋体" w:cs="宋体"/>
          <w:color w:val="auto"/>
          <w:szCs w:val="24"/>
        </w:rPr>
      </w:pPr>
    </w:p>
    <w:p w14:paraId="399810DE">
      <w:pPr>
        <w:pStyle w:val="82"/>
        <w:rPr>
          <w:rFonts w:hint="eastAsia" w:ascii="宋体" w:hAnsi="宋体" w:cs="宋体"/>
          <w:color w:val="auto"/>
        </w:rPr>
      </w:pPr>
    </w:p>
    <w:p w14:paraId="0D0078C4">
      <w:pPr>
        <w:pStyle w:val="35"/>
        <w:spacing w:after="0"/>
        <w:ind w:firstLine="482" w:firstLineChars="200"/>
        <w:rPr>
          <w:rFonts w:hint="eastAsia" w:hAnsi="宋体" w:cs="宋体"/>
          <w:b/>
          <w:bCs/>
          <w:color w:val="auto"/>
        </w:rPr>
      </w:pPr>
      <w:r>
        <w:rPr>
          <w:rFonts w:hint="eastAsia" w:hAnsi="宋体"/>
          <w:b/>
          <w:bCs/>
          <w:color w:val="auto"/>
          <w:szCs w:val="24"/>
        </w:rPr>
        <w:t>备注：也可以采用工商行政管理局统一印制的格式。</w:t>
      </w:r>
    </w:p>
    <w:p w14:paraId="33D3D3D7">
      <w:pPr>
        <w:pStyle w:val="35"/>
        <w:widowControl w:val="0"/>
        <w:spacing w:after="0"/>
        <w:ind w:firstLine="0" w:firstLineChars="0"/>
        <w:rPr>
          <w:rFonts w:hint="eastAsia" w:hAnsi="宋体" w:cs="宋体"/>
          <w:b/>
          <w:bCs/>
          <w:color w:val="auto"/>
        </w:rPr>
      </w:pPr>
      <w:r>
        <w:rPr>
          <w:rFonts w:hint="eastAsia" w:hAnsi="宋体" w:cs="宋体"/>
          <w:b/>
          <w:bCs/>
          <w:color w:val="auto"/>
        </w:rPr>
        <w:br w:type="page"/>
      </w:r>
    </w:p>
    <w:p w14:paraId="7B20D2D0">
      <w:pPr>
        <w:pStyle w:val="35"/>
        <w:widowControl w:val="0"/>
        <w:spacing w:after="0"/>
        <w:ind w:firstLine="0" w:firstLineChars="0"/>
        <w:rPr>
          <w:rFonts w:hint="eastAsia" w:hAnsi="宋体" w:cs="宋体"/>
          <w:b/>
          <w:bCs/>
          <w:color w:val="auto"/>
        </w:rPr>
      </w:pPr>
    </w:p>
    <w:p w14:paraId="736BBC1D">
      <w:pPr>
        <w:pStyle w:val="4"/>
        <w:keepNext w:val="0"/>
        <w:keepLines w:val="0"/>
        <w:widowControl w:val="0"/>
        <w:jc w:val="center"/>
        <w:rPr>
          <w:rFonts w:hint="eastAsia" w:hAnsi="宋体" w:cs="宋体"/>
          <w:bCs w:val="0"/>
          <w:color w:val="auto"/>
          <w:sz w:val="28"/>
          <w:szCs w:val="28"/>
        </w:rPr>
      </w:pPr>
      <w:bookmarkStart w:id="429" w:name="_Toc26614"/>
      <w:bookmarkStart w:id="430" w:name="_Toc2228"/>
      <w:r>
        <w:rPr>
          <w:rFonts w:hint="eastAsia" w:hAnsi="宋体" w:cs="宋体"/>
          <w:bCs w:val="0"/>
          <w:color w:val="auto"/>
          <w:sz w:val="28"/>
          <w:szCs w:val="28"/>
        </w:rPr>
        <w:t>三、法定代表人授权委托书（如有）</w:t>
      </w:r>
      <w:bookmarkEnd w:id="429"/>
      <w:bookmarkEnd w:id="430"/>
    </w:p>
    <w:p w14:paraId="1610DA73">
      <w:pPr>
        <w:pStyle w:val="82"/>
        <w:rPr>
          <w:rFonts w:hint="eastAsia"/>
          <w:color w:val="auto"/>
        </w:rPr>
      </w:pPr>
    </w:p>
    <w:p w14:paraId="6E87FF32">
      <w:pPr>
        <w:pStyle w:val="82"/>
        <w:rPr>
          <w:rFonts w:hint="eastAsia"/>
          <w:color w:val="auto"/>
        </w:rPr>
      </w:pPr>
    </w:p>
    <w:p w14:paraId="4C1DFE29">
      <w:pPr>
        <w:topLinePunct/>
        <w:ind w:firstLine="480"/>
        <w:rPr>
          <w:rFonts w:hint="eastAsia" w:hAnsi="宋体" w:cs="宋体"/>
          <w:color w:val="auto"/>
          <w:szCs w:val="24"/>
        </w:rPr>
      </w:pPr>
      <w:r>
        <w:rPr>
          <w:rFonts w:hint="eastAsia" w:hAnsi="宋体" w:cs="宋体"/>
          <w:color w:val="auto"/>
          <w:szCs w:val="24"/>
        </w:rPr>
        <w:t>本人</w:t>
      </w:r>
      <w:r>
        <w:rPr>
          <w:rFonts w:hint="eastAsia" w:hAnsi="宋体" w:cs="宋体"/>
          <w:color w:val="auto"/>
          <w:szCs w:val="24"/>
          <w:u w:val="single"/>
        </w:rPr>
        <w:t xml:space="preserve">              </w:t>
      </w:r>
      <w:r>
        <w:rPr>
          <w:rFonts w:hint="eastAsia" w:hAnsi="宋体" w:cs="宋体"/>
          <w:color w:val="auto"/>
          <w:szCs w:val="24"/>
        </w:rPr>
        <w:t>（姓名）系</w:t>
      </w:r>
      <w:r>
        <w:rPr>
          <w:rFonts w:hint="eastAsia" w:hAnsi="宋体" w:cs="宋体"/>
          <w:color w:val="auto"/>
          <w:szCs w:val="24"/>
          <w:u w:val="single"/>
        </w:rPr>
        <w:t xml:space="preserve">                    </w:t>
      </w:r>
      <w:r>
        <w:rPr>
          <w:rFonts w:hint="eastAsia" w:hAnsi="宋体" w:cs="宋体"/>
          <w:color w:val="auto"/>
          <w:szCs w:val="24"/>
        </w:rPr>
        <w:t>（投标人名称）的法定代表人，现委托</w:t>
      </w:r>
      <w:r>
        <w:rPr>
          <w:rFonts w:hint="eastAsia" w:hAnsi="宋体" w:cs="宋体"/>
          <w:color w:val="auto"/>
          <w:szCs w:val="24"/>
          <w:u w:val="single"/>
        </w:rPr>
        <w:t xml:space="preserve">            </w:t>
      </w:r>
      <w:r>
        <w:rPr>
          <w:rFonts w:hint="eastAsia" w:hAnsi="宋体" w:cs="宋体"/>
          <w:color w:val="auto"/>
          <w:szCs w:val="24"/>
        </w:rPr>
        <w:t>（姓名）为我方代理人。代理人根据授权，以我方名义签署、澄清确认、递交、撤回、修改</w:t>
      </w:r>
      <w:r>
        <w:rPr>
          <w:rFonts w:hint="eastAsia" w:hAnsi="宋体" w:cs="宋体"/>
          <w:color w:val="auto"/>
          <w:szCs w:val="24"/>
          <w:u w:val="single"/>
        </w:rPr>
        <w:t xml:space="preserve">        （招标项目名称）       </w:t>
      </w:r>
      <w:r>
        <w:rPr>
          <w:rFonts w:hint="eastAsia" w:hAnsi="宋体" w:cs="宋体"/>
          <w:color w:val="auto"/>
          <w:szCs w:val="24"/>
        </w:rPr>
        <w:t>投标文件、签订合同和处理有关事宜，其法律后果由我方承担。</w:t>
      </w:r>
    </w:p>
    <w:p w14:paraId="441A520C">
      <w:pPr>
        <w:ind w:firstLine="480"/>
        <w:rPr>
          <w:rFonts w:hint="eastAsia" w:hAnsi="宋体" w:cs="宋体"/>
          <w:color w:val="auto"/>
          <w:szCs w:val="24"/>
        </w:rPr>
      </w:pPr>
      <w:r>
        <w:rPr>
          <w:rFonts w:hint="eastAsia" w:hAnsi="宋体" w:cs="宋体"/>
          <w:color w:val="auto"/>
          <w:szCs w:val="24"/>
        </w:rPr>
        <w:t>委托期限：</w:t>
      </w:r>
      <w:r>
        <w:rPr>
          <w:rFonts w:hint="eastAsia" w:hAnsi="宋体" w:cs="宋体"/>
          <w:color w:val="auto"/>
          <w:szCs w:val="24"/>
          <w:u w:val="single"/>
        </w:rPr>
        <w:t xml:space="preserve">                       </w:t>
      </w:r>
      <w:r>
        <w:rPr>
          <w:rFonts w:hint="eastAsia" w:hAnsi="宋体" w:cs="宋体"/>
          <w:color w:val="auto"/>
          <w:szCs w:val="24"/>
        </w:rPr>
        <w:t>。</w:t>
      </w:r>
    </w:p>
    <w:p w14:paraId="371AD73B">
      <w:pPr>
        <w:ind w:firstLine="480"/>
        <w:rPr>
          <w:rFonts w:hint="eastAsia" w:hAnsi="宋体" w:cs="宋体"/>
          <w:color w:val="auto"/>
          <w:szCs w:val="24"/>
        </w:rPr>
      </w:pPr>
      <w:r>
        <w:rPr>
          <w:rFonts w:hint="eastAsia" w:hAnsi="宋体" w:cs="宋体"/>
          <w:color w:val="auto"/>
          <w:szCs w:val="24"/>
        </w:rPr>
        <w:t>代理人无转委托权。</w:t>
      </w:r>
    </w:p>
    <w:p w14:paraId="463E3073">
      <w:pPr>
        <w:ind w:firstLine="480"/>
        <w:rPr>
          <w:rFonts w:hint="eastAsia" w:hAnsi="宋体" w:cs="宋体"/>
          <w:color w:val="auto"/>
          <w:szCs w:val="24"/>
        </w:rPr>
      </w:pPr>
    </w:p>
    <w:p w14:paraId="3AD66354">
      <w:pPr>
        <w:ind w:firstLine="480"/>
        <w:rPr>
          <w:rFonts w:hint="eastAsia" w:hAnsi="宋体" w:cs="宋体"/>
          <w:color w:val="auto"/>
          <w:szCs w:val="24"/>
        </w:rPr>
      </w:pPr>
      <w:r>
        <w:rPr>
          <w:rFonts w:hint="eastAsia" w:hAnsi="宋体" w:cs="宋体"/>
          <w:color w:val="auto"/>
          <w:szCs w:val="24"/>
        </w:rPr>
        <w:t>附：委托代理人身份证原件扫描件</w:t>
      </w:r>
    </w:p>
    <w:p w14:paraId="23A716CF">
      <w:pPr>
        <w:ind w:firstLine="480"/>
        <w:rPr>
          <w:rFonts w:hint="eastAsia" w:hAnsi="宋体" w:cs="宋体"/>
          <w:color w:val="auto"/>
          <w:szCs w:val="24"/>
        </w:rPr>
      </w:pPr>
    </w:p>
    <w:p w14:paraId="2D9BD7E4">
      <w:pPr>
        <w:ind w:firstLine="480"/>
        <w:rPr>
          <w:rFonts w:hint="eastAsia" w:hAnsi="宋体" w:cs="宋体"/>
          <w:color w:val="auto"/>
          <w:szCs w:val="24"/>
        </w:rPr>
      </w:pPr>
    </w:p>
    <w:p w14:paraId="02F431EA">
      <w:pPr>
        <w:ind w:firstLine="480"/>
        <w:rPr>
          <w:rFonts w:hint="eastAsia" w:hAnsi="宋体" w:cs="宋体"/>
          <w:color w:val="auto"/>
          <w:szCs w:val="24"/>
        </w:rPr>
      </w:pPr>
      <w:r>
        <w:rPr>
          <w:rFonts w:hint="eastAsia" w:hAnsi="宋体" w:cs="宋体"/>
          <w:color w:val="auto"/>
          <w:szCs w:val="24"/>
        </w:rPr>
        <w:t>投  标  人：</w:t>
      </w:r>
      <w:r>
        <w:rPr>
          <w:rFonts w:hint="eastAsia" w:hAnsi="宋体" w:cs="宋体"/>
          <w:color w:val="auto"/>
          <w:szCs w:val="24"/>
          <w:u w:val="single"/>
        </w:rPr>
        <w:t xml:space="preserve">                 </w:t>
      </w:r>
      <w:r>
        <w:rPr>
          <w:rFonts w:hint="eastAsia" w:hAnsi="宋体" w:cs="宋体"/>
          <w:color w:val="auto"/>
          <w:szCs w:val="24"/>
        </w:rPr>
        <w:t>（盖单位公章）</w:t>
      </w:r>
    </w:p>
    <w:p w14:paraId="6C0BDE16">
      <w:pPr>
        <w:ind w:firstLine="480"/>
        <w:rPr>
          <w:rFonts w:hint="eastAsia" w:hAnsi="宋体" w:cs="宋体"/>
          <w:color w:val="auto"/>
          <w:szCs w:val="24"/>
        </w:rPr>
      </w:pPr>
      <w:r>
        <w:rPr>
          <w:rFonts w:hint="eastAsia" w:hAnsi="宋体" w:cs="宋体"/>
          <w:color w:val="auto"/>
          <w:szCs w:val="24"/>
        </w:rPr>
        <w:t>法定代表人：</w:t>
      </w:r>
      <w:r>
        <w:rPr>
          <w:rFonts w:hint="eastAsia" w:hAnsi="宋体" w:cs="宋体"/>
          <w:color w:val="auto"/>
          <w:szCs w:val="24"/>
          <w:u w:val="single"/>
        </w:rPr>
        <w:t xml:space="preserve">        </w:t>
      </w:r>
      <w:r>
        <w:rPr>
          <w:rFonts w:hint="eastAsia" w:hAnsi="宋体" w:cs="宋体"/>
          <w:color w:val="auto"/>
          <w:szCs w:val="24"/>
          <w:u w:val="single"/>
        </w:rPr>
        <w:tab/>
      </w:r>
      <w:r>
        <w:rPr>
          <w:rFonts w:hint="eastAsia" w:hAnsi="宋体" w:cs="宋体"/>
          <w:color w:val="auto"/>
          <w:szCs w:val="24"/>
        </w:rPr>
        <w:t>（签字或盖章</w:t>
      </w:r>
      <w:r>
        <w:rPr>
          <w:rFonts w:hint="eastAsia" w:hAnsi="宋体" w:cs="宋体"/>
          <w:color w:val="auto"/>
        </w:rPr>
        <w:t>或签章</w:t>
      </w:r>
      <w:r>
        <w:rPr>
          <w:rFonts w:hint="eastAsia" w:hAnsi="宋体" w:cs="宋体"/>
          <w:color w:val="auto"/>
          <w:szCs w:val="24"/>
        </w:rPr>
        <w:t>）</w:t>
      </w:r>
    </w:p>
    <w:p w14:paraId="507FB0BD">
      <w:pPr>
        <w:ind w:firstLine="480"/>
        <w:rPr>
          <w:rFonts w:hint="eastAsia" w:hAnsi="宋体" w:cs="宋体"/>
          <w:color w:val="auto"/>
          <w:szCs w:val="24"/>
        </w:rPr>
      </w:pPr>
      <w:r>
        <w:rPr>
          <w:rFonts w:hint="eastAsia" w:hAnsi="宋体" w:cs="宋体"/>
          <w:color w:val="auto"/>
          <w:szCs w:val="24"/>
        </w:rPr>
        <w:t>身份证号码：</w:t>
      </w:r>
      <w:r>
        <w:rPr>
          <w:rFonts w:hint="eastAsia" w:hAnsi="宋体" w:cs="宋体"/>
          <w:color w:val="auto"/>
          <w:szCs w:val="24"/>
          <w:u w:val="single"/>
        </w:rPr>
        <w:t xml:space="preserve">                         </w:t>
      </w:r>
      <w:r>
        <w:rPr>
          <w:rFonts w:hint="eastAsia" w:hAnsi="宋体" w:cs="宋体"/>
          <w:color w:val="auto"/>
          <w:szCs w:val="24"/>
          <w:u w:val="single"/>
        </w:rPr>
        <w:tab/>
      </w:r>
    </w:p>
    <w:p w14:paraId="4C32B6B0">
      <w:pPr>
        <w:ind w:firstLine="480"/>
        <w:rPr>
          <w:rFonts w:hint="eastAsia" w:hAnsi="宋体" w:cs="宋体"/>
          <w:color w:val="auto"/>
          <w:szCs w:val="24"/>
        </w:rPr>
      </w:pPr>
      <w:r>
        <w:rPr>
          <w:rFonts w:hint="eastAsia" w:hAnsi="宋体" w:cs="宋体"/>
          <w:color w:val="auto"/>
          <w:szCs w:val="24"/>
        </w:rPr>
        <w:t>委托代理人：</w:t>
      </w:r>
      <w:r>
        <w:rPr>
          <w:rFonts w:hint="eastAsia" w:hAnsi="宋体" w:cs="宋体"/>
          <w:color w:val="auto"/>
          <w:szCs w:val="24"/>
          <w:u w:val="single"/>
        </w:rPr>
        <w:t xml:space="preserve">                    </w:t>
      </w:r>
      <w:r>
        <w:rPr>
          <w:rFonts w:hint="eastAsia" w:hAnsi="宋体" w:cs="宋体"/>
          <w:color w:val="auto"/>
          <w:szCs w:val="24"/>
        </w:rPr>
        <w:t>（签字或盖章</w:t>
      </w:r>
      <w:r>
        <w:rPr>
          <w:rFonts w:hint="eastAsia" w:hAnsi="宋体" w:cs="宋体"/>
          <w:color w:val="auto"/>
        </w:rPr>
        <w:t>或签章</w:t>
      </w:r>
      <w:r>
        <w:rPr>
          <w:rFonts w:hint="eastAsia" w:hAnsi="宋体" w:cs="宋体"/>
          <w:color w:val="auto"/>
          <w:szCs w:val="24"/>
        </w:rPr>
        <w:t>）</w:t>
      </w:r>
    </w:p>
    <w:p w14:paraId="681128C0">
      <w:pPr>
        <w:ind w:firstLine="480"/>
        <w:rPr>
          <w:rFonts w:hint="eastAsia" w:hAnsi="宋体" w:cs="宋体"/>
          <w:color w:val="auto"/>
          <w:szCs w:val="24"/>
        </w:rPr>
      </w:pPr>
      <w:r>
        <w:rPr>
          <w:rFonts w:hint="eastAsia" w:hAnsi="宋体" w:cs="宋体"/>
          <w:color w:val="auto"/>
          <w:szCs w:val="24"/>
        </w:rPr>
        <w:t>身份证号码：</w:t>
      </w:r>
      <w:r>
        <w:rPr>
          <w:rFonts w:hint="eastAsia" w:hAnsi="宋体" w:cs="宋体"/>
          <w:color w:val="auto"/>
          <w:szCs w:val="24"/>
          <w:u w:val="single"/>
        </w:rPr>
        <w:t xml:space="preserve">                           </w:t>
      </w:r>
    </w:p>
    <w:p w14:paraId="7DEBA9DC">
      <w:pPr>
        <w:ind w:firstLine="480"/>
        <w:jc w:val="left"/>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rPr>
        <w:t xml:space="preserve">       </w:t>
      </w:r>
      <w:r>
        <w:rPr>
          <w:rFonts w:hint="eastAsia" w:hAnsi="宋体" w:cs="宋体"/>
          <w:color w:val="auto"/>
          <w:szCs w:val="24"/>
        </w:rPr>
        <w:t>日</w:t>
      </w:r>
    </w:p>
    <w:p w14:paraId="4FF5CFD2">
      <w:pPr>
        <w:spacing w:line="440" w:lineRule="exact"/>
        <w:ind w:firstLine="4636" w:firstLineChars="1932"/>
        <w:jc w:val="right"/>
        <w:rPr>
          <w:rFonts w:hint="eastAsia" w:hAnsi="宋体" w:cs="宋体"/>
          <w:color w:val="auto"/>
        </w:rPr>
      </w:pPr>
    </w:p>
    <w:p w14:paraId="6E564FF9">
      <w:pPr>
        <w:pStyle w:val="82"/>
        <w:rPr>
          <w:rFonts w:hint="eastAsia" w:ascii="宋体" w:hAnsi="宋体" w:cs="宋体"/>
          <w:color w:val="auto"/>
        </w:rPr>
      </w:pPr>
    </w:p>
    <w:p w14:paraId="04DD3F7D">
      <w:pPr>
        <w:pStyle w:val="82"/>
        <w:rPr>
          <w:rFonts w:hint="eastAsia" w:ascii="宋体" w:hAnsi="宋体" w:cs="宋体"/>
          <w:color w:val="auto"/>
        </w:rPr>
      </w:pPr>
      <w:r>
        <w:rPr>
          <w:rFonts w:hint="eastAsia" w:hAnsi="宋体"/>
          <w:b/>
          <w:bCs/>
          <w:color w:val="auto"/>
        </w:rPr>
        <w:t>备注：也可以采用工商行政管理局统一印制的格式</w:t>
      </w:r>
      <w:r>
        <w:rPr>
          <w:rFonts w:hint="eastAsia" w:hAnsi="宋体"/>
          <w:color w:val="auto"/>
        </w:rPr>
        <w:t>。</w:t>
      </w:r>
    </w:p>
    <w:p w14:paraId="336C5FEC">
      <w:pPr>
        <w:pStyle w:val="82"/>
        <w:rPr>
          <w:rFonts w:hint="eastAsia" w:ascii="宋体" w:hAnsi="宋体" w:cs="宋体"/>
          <w:color w:val="auto"/>
        </w:rPr>
      </w:pPr>
    </w:p>
    <w:p w14:paraId="0127B9C0">
      <w:pPr>
        <w:pStyle w:val="82"/>
        <w:rPr>
          <w:rFonts w:hint="eastAsia" w:ascii="宋体" w:hAnsi="宋体" w:cs="宋体"/>
          <w:color w:val="auto"/>
        </w:rPr>
      </w:pPr>
      <w:r>
        <w:rPr>
          <w:rFonts w:hint="eastAsia" w:ascii="宋体" w:hAnsi="宋体" w:cs="宋体"/>
          <w:color w:val="auto"/>
        </w:rPr>
        <w:t>本授权书适用于有委托代理人的情况，如</w:t>
      </w:r>
      <w:r>
        <w:rPr>
          <w:rFonts w:ascii="宋体" w:hAnsi="宋体"/>
          <w:color w:val="auto"/>
          <w:spacing w:val="-2"/>
        </w:rPr>
        <w:t>法</w:t>
      </w:r>
      <w:r>
        <w:rPr>
          <w:rFonts w:ascii="宋体" w:hAnsi="宋体"/>
          <w:color w:val="auto"/>
        </w:rPr>
        <w:t>定</w:t>
      </w:r>
      <w:r>
        <w:rPr>
          <w:rFonts w:ascii="宋体" w:hAnsi="宋体"/>
          <w:color w:val="auto"/>
          <w:spacing w:val="-2"/>
        </w:rPr>
        <w:t>代</w:t>
      </w:r>
      <w:r>
        <w:rPr>
          <w:rFonts w:ascii="宋体" w:hAnsi="宋体"/>
          <w:color w:val="auto"/>
        </w:rPr>
        <w:t>表</w:t>
      </w:r>
      <w:r>
        <w:rPr>
          <w:rFonts w:ascii="宋体" w:hAnsi="宋体"/>
          <w:color w:val="auto"/>
          <w:spacing w:val="-2"/>
        </w:rPr>
        <w:t>人</w:t>
      </w:r>
      <w:r>
        <w:rPr>
          <w:rFonts w:hint="eastAsia" w:ascii="宋体" w:hAnsi="宋体"/>
          <w:color w:val="auto"/>
          <w:spacing w:val="-2"/>
        </w:rPr>
        <w:t>亲自办理，则不适用</w:t>
      </w:r>
      <w:r>
        <w:rPr>
          <w:rFonts w:hint="eastAsia" w:ascii="宋体" w:hAnsi="宋体" w:cs="宋体"/>
          <w:color w:val="auto"/>
        </w:rPr>
        <w:t>。</w:t>
      </w:r>
    </w:p>
    <w:p w14:paraId="54663CC2">
      <w:pPr>
        <w:pStyle w:val="82"/>
        <w:rPr>
          <w:rFonts w:hint="eastAsia" w:ascii="宋体" w:hAnsi="宋体" w:cs="宋体"/>
          <w:color w:val="auto"/>
        </w:rPr>
      </w:pPr>
    </w:p>
    <w:p w14:paraId="5E190D1F">
      <w:pPr>
        <w:pStyle w:val="82"/>
        <w:rPr>
          <w:rFonts w:hint="eastAsia" w:ascii="宋体" w:hAnsi="宋体" w:cs="宋体"/>
          <w:color w:val="auto"/>
        </w:rPr>
      </w:pPr>
    </w:p>
    <w:p w14:paraId="664B9714">
      <w:pPr>
        <w:pStyle w:val="82"/>
        <w:rPr>
          <w:rFonts w:hint="eastAsia" w:ascii="宋体" w:hAnsi="宋体" w:cs="宋体"/>
          <w:color w:val="auto"/>
        </w:rPr>
      </w:pPr>
      <w:r>
        <w:rPr>
          <w:rFonts w:hint="eastAsia" w:ascii="宋体" w:hAnsi="宋体" w:cs="宋体"/>
          <w:color w:val="auto"/>
        </w:rPr>
        <w:br w:type="page"/>
      </w:r>
    </w:p>
    <w:p w14:paraId="2D7A0AB8">
      <w:pPr>
        <w:pStyle w:val="4"/>
        <w:keepNext w:val="0"/>
        <w:keepLines w:val="0"/>
        <w:widowControl w:val="0"/>
        <w:jc w:val="center"/>
        <w:rPr>
          <w:rFonts w:hint="eastAsia" w:hAnsi="宋体" w:cs="宋体"/>
          <w:bCs w:val="0"/>
          <w:color w:val="auto"/>
          <w:sz w:val="28"/>
          <w:szCs w:val="28"/>
        </w:rPr>
      </w:pPr>
      <w:bookmarkStart w:id="431" w:name="_Toc21543"/>
      <w:bookmarkStart w:id="432" w:name="_Toc9382"/>
      <w:r>
        <w:rPr>
          <w:rFonts w:hint="eastAsia" w:hAnsi="宋体" w:cs="宋体"/>
          <w:bCs w:val="0"/>
          <w:color w:val="auto"/>
          <w:sz w:val="28"/>
          <w:szCs w:val="28"/>
          <w:lang w:eastAsia="zh-CN"/>
        </w:rPr>
        <w:t>四</w:t>
      </w:r>
      <w:r>
        <w:rPr>
          <w:rFonts w:hint="eastAsia" w:hAnsi="宋体" w:cs="宋体"/>
          <w:bCs w:val="0"/>
          <w:color w:val="auto"/>
          <w:sz w:val="28"/>
          <w:szCs w:val="28"/>
        </w:rPr>
        <w:t>、投标报价表</w:t>
      </w:r>
      <w:bookmarkEnd w:id="431"/>
      <w:bookmarkEnd w:id="432"/>
    </w:p>
    <w:p w14:paraId="0A422309">
      <w:pPr>
        <w:pStyle w:val="82"/>
        <w:rPr>
          <w:rFonts w:hint="eastAsia" w:ascii="宋体" w:hAnsi="宋体" w:cs="宋体"/>
          <w:color w:val="auto"/>
        </w:rPr>
      </w:pPr>
    </w:p>
    <w:tbl>
      <w:tblPr>
        <w:tblStyle w:val="3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04"/>
        <w:gridCol w:w="2550"/>
        <w:gridCol w:w="1753"/>
        <w:gridCol w:w="1424"/>
      </w:tblGrid>
      <w:tr w14:paraId="1276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59" w:type="dxa"/>
            <w:noWrap w:val="0"/>
            <w:vAlign w:val="center"/>
          </w:tcPr>
          <w:p w14:paraId="3834B197">
            <w:pPr>
              <w:keepNext w:val="0"/>
              <w:keepLines w:val="0"/>
              <w:widowControl w:val="0"/>
              <w:suppressLineNumbers w:val="0"/>
              <w:spacing w:before="0" w:beforeAutospacing="0" w:after="0" w:afterAutospacing="0" w:line="240" w:lineRule="auto"/>
              <w:ind w:left="0" w:right="0" w:firstLine="0" w:firstLineChars="0"/>
              <w:jc w:val="center"/>
              <w:rPr>
                <w:rFonts w:hint="eastAsia" w:hAnsi="宋体" w:eastAsia="宋体" w:cs="Times New Roman"/>
                <w:b/>
                <w:color w:val="auto"/>
                <w:szCs w:val="24"/>
                <w:lang w:eastAsia="zh-CN"/>
              </w:rPr>
            </w:pPr>
            <w:r>
              <w:rPr>
                <w:rFonts w:hint="eastAsia" w:hAnsi="宋体" w:cs="Times New Roman"/>
                <w:b/>
                <w:color w:val="auto"/>
                <w:szCs w:val="24"/>
                <w:lang w:eastAsia="zh-CN"/>
              </w:rPr>
              <w:t>序号</w:t>
            </w:r>
          </w:p>
        </w:tc>
        <w:tc>
          <w:tcPr>
            <w:tcW w:w="2604" w:type="dxa"/>
            <w:noWrap w:val="0"/>
            <w:vAlign w:val="center"/>
          </w:tcPr>
          <w:p w14:paraId="74551F9F">
            <w:pPr>
              <w:keepNext w:val="0"/>
              <w:keepLines w:val="0"/>
              <w:widowControl w:val="0"/>
              <w:suppressLineNumbers w:val="0"/>
              <w:spacing w:before="0" w:beforeAutospacing="0" w:after="0" w:afterAutospacing="0" w:line="240" w:lineRule="auto"/>
              <w:ind w:left="0" w:right="0" w:firstLine="0" w:firstLineChars="0"/>
              <w:jc w:val="center"/>
              <w:rPr>
                <w:rFonts w:hint="default" w:hAnsi="Times New Roman" w:cs="Times New Roman"/>
                <w:b/>
                <w:color w:val="auto"/>
                <w:szCs w:val="24"/>
              </w:rPr>
            </w:pPr>
            <w:r>
              <w:rPr>
                <w:rFonts w:hint="default" w:hAnsi="宋体" w:cs="Times New Roman"/>
                <w:b/>
                <w:color w:val="auto"/>
                <w:szCs w:val="24"/>
              </w:rPr>
              <w:t>项目名称</w:t>
            </w:r>
          </w:p>
        </w:tc>
        <w:tc>
          <w:tcPr>
            <w:tcW w:w="2550" w:type="dxa"/>
            <w:noWrap w:val="0"/>
            <w:vAlign w:val="center"/>
          </w:tcPr>
          <w:p w14:paraId="4746FED7">
            <w:pPr>
              <w:keepNext w:val="0"/>
              <w:keepLines w:val="0"/>
              <w:widowControl w:val="0"/>
              <w:suppressLineNumbers w:val="0"/>
              <w:spacing w:before="0" w:beforeAutospacing="0" w:after="0" w:afterAutospacing="0" w:line="240" w:lineRule="auto"/>
              <w:ind w:left="0" w:right="0" w:firstLine="0" w:firstLineChars="0"/>
              <w:jc w:val="center"/>
              <w:rPr>
                <w:rFonts w:hint="eastAsia" w:hAnsi="Times New Roman" w:cs="Times New Roman"/>
                <w:b/>
                <w:color w:val="auto"/>
                <w:szCs w:val="24"/>
              </w:rPr>
            </w:pPr>
            <w:r>
              <w:rPr>
                <w:rFonts w:hint="eastAsia" w:hAnsi="Times New Roman" w:cs="Times New Roman"/>
                <w:b/>
                <w:color w:val="auto"/>
                <w:szCs w:val="24"/>
              </w:rPr>
              <w:t>投标</w:t>
            </w:r>
            <w:r>
              <w:rPr>
                <w:rFonts w:hint="eastAsia" w:hAnsi="Times New Roman" w:cs="Times New Roman"/>
                <w:b/>
                <w:color w:val="auto"/>
                <w:szCs w:val="24"/>
                <w:lang w:eastAsia="zh-CN"/>
              </w:rPr>
              <w:t>总</w:t>
            </w:r>
            <w:r>
              <w:rPr>
                <w:rFonts w:hint="eastAsia" w:hAnsi="Times New Roman" w:cs="Times New Roman"/>
                <w:b/>
                <w:color w:val="auto"/>
                <w:szCs w:val="24"/>
              </w:rPr>
              <w:t>报价</w:t>
            </w:r>
          </w:p>
          <w:p w14:paraId="4E1C5622">
            <w:pPr>
              <w:keepNext w:val="0"/>
              <w:keepLines w:val="0"/>
              <w:widowControl w:val="0"/>
              <w:suppressLineNumbers w:val="0"/>
              <w:spacing w:before="0" w:beforeAutospacing="0" w:after="0" w:afterAutospacing="0" w:line="240" w:lineRule="auto"/>
              <w:ind w:left="0" w:right="0" w:firstLine="0" w:firstLineChars="0"/>
              <w:jc w:val="center"/>
              <w:rPr>
                <w:rFonts w:hint="eastAsia" w:hAnsi="Times New Roman" w:cs="Times New Roman"/>
                <w:b/>
                <w:color w:val="auto"/>
                <w:szCs w:val="24"/>
              </w:rPr>
            </w:pPr>
            <w:r>
              <w:rPr>
                <w:rFonts w:hint="eastAsia" w:hAnsi="宋体" w:cs="Times New Roman"/>
                <w:b/>
                <w:color w:val="auto"/>
                <w:szCs w:val="24"/>
              </w:rPr>
              <w:t>（含税）</w:t>
            </w:r>
            <w:r>
              <w:rPr>
                <w:rFonts w:hint="default" w:hAnsi="宋体" w:cs="Times New Roman"/>
                <w:b/>
                <w:color w:val="auto"/>
                <w:szCs w:val="24"/>
              </w:rPr>
              <w:t>（元）</w:t>
            </w:r>
          </w:p>
        </w:tc>
        <w:tc>
          <w:tcPr>
            <w:tcW w:w="1753" w:type="dxa"/>
            <w:noWrap w:val="0"/>
            <w:vAlign w:val="center"/>
          </w:tcPr>
          <w:p w14:paraId="05479EF7">
            <w:pPr>
              <w:keepNext w:val="0"/>
              <w:keepLines w:val="0"/>
              <w:widowControl w:val="0"/>
              <w:suppressLineNumbers w:val="0"/>
              <w:spacing w:before="0" w:beforeAutospacing="0" w:after="0" w:afterAutospacing="0" w:line="240" w:lineRule="auto"/>
              <w:ind w:left="0" w:right="0" w:firstLine="0" w:firstLineChars="0"/>
              <w:jc w:val="center"/>
              <w:rPr>
                <w:rFonts w:hint="default" w:hAnsi="宋体" w:cs="Times New Roman"/>
                <w:b/>
                <w:color w:val="auto"/>
                <w:szCs w:val="24"/>
              </w:rPr>
            </w:pPr>
            <w:r>
              <w:rPr>
                <w:rFonts w:hint="eastAsia" w:hAnsi="宋体" w:cs="Times New Roman"/>
                <w:b/>
                <w:color w:val="auto"/>
                <w:szCs w:val="24"/>
              </w:rPr>
              <w:t>下浮率（%）</w:t>
            </w:r>
          </w:p>
        </w:tc>
        <w:tc>
          <w:tcPr>
            <w:tcW w:w="1424" w:type="dxa"/>
            <w:noWrap w:val="0"/>
            <w:vAlign w:val="center"/>
          </w:tcPr>
          <w:p w14:paraId="3F7B3DB0">
            <w:pPr>
              <w:keepNext w:val="0"/>
              <w:keepLines w:val="0"/>
              <w:widowControl w:val="0"/>
              <w:suppressLineNumbers w:val="0"/>
              <w:spacing w:before="0" w:beforeAutospacing="0" w:after="0" w:afterAutospacing="0" w:line="240" w:lineRule="auto"/>
              <w:ind w:left="0" w:right="0" w:firstLine="0" w:firstLineChars="0"/>
              <w:jc w:val="center"/>
              <w:rPr>
                <w:rFonts w:hint="eastAsia" w:hAnsi="宋体" w:cs="Times New Roman"/>
                <w:b/>
                <w:color w:val="auto"/>
                <w:szCs w:val="24"/>
              </w:rPr>
            </w:pPr>
            <w:r>
              <w:rPr>
                <w:rFonts w:hint="eastAsia" w:hAnsi="宋体" w:cs="Times New Roman"/>
                <w:b/>
                <w:color w:val="auto"/>
                <w:szCs w:val="24"/>
              </w:rPr>
              <w:t>备注</w:t>
            </w:r>
          </w:p>
        </w:tc>
      </w:tr>
      <w:tr w14:paraId="1117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59" w:type="dxa"/>
            <w:noWrap w:val="0"/>
            <w:vAlign w:val="center"/>
          </w:tcPr>
          <w:p w14:paraId="4AB9A864">
            <w:pPr>
              <w:keepNext w:val="0"/>
              <w:keepLines w:val="0"/>
              <w:widowControl/>
              <w:suppressLineNumbers w:val="0"/>
              <w:spacing w:before="0" w:beforeAutospacing="0" w:after="0" w:afterAutospacing="0"/>
              <w:ind w:left="0" w:right="0" w:firstLine="0" w:firstLineChars="0"/>
              <w:jc w:val="center"/>
              <w:rPr>
                <w:rFonts w:hint="default" w:hAnsi="宋体" w:cs="Times New Roman"/>
                <w:color w:val="auto"/>
                <w:szCs w:val="24"/>
                <w:lang w:val="en-US" w:eastAsia="zh-CN"/>
              </w:rPr>
            </w:pPr>
            <w:r>
              <w:rPr>
                <w:rFonts w:hint="eastAsia" w:hAnsi="宋体" w:cs="Times New Roman"/>
                <w:color w:val="auto"/>
                <w:szCs w:val="24"/>
                <w:lang w:val="en-US" w:eastAsia="zh-CN"/>
              </w:rPr>
              <w:t>1</w:t>
            </w:r>
          </w:p>
        </w:tc>
        <w:tc>
          <w:tcPr>
            <w:tcW w:w="2604" w:type="dxa"/>
            <w:noWrap w:val="0"/>
            <w:vAlign w:val="center"/>
          </w:tcPr>
          <w:p w14:paraId="2FD81A05">
            <w:pPr>
              <w:keepNext w:val="0"/>
              <w:keepLines w:val="0"/>
              <w:widowControl/>
              <w:suppressLineNumbers w:val="0"/>
              <w:spacing w:before="0" w:beforeAutospacing="0" w:after="0" w:afterAutospacing="0"/>
              <w:ind w:left="0" w:right="0" w:firstLine="0" w:firstLineChars="0"/>
              <w:rPr>
                <w:rFonts w:hint="eastAsia" w:hAnsi="宋体" w:cs="Times New Roman"/>
                <w:color w:val="auto"/>
                <w:szCs w:val="24"/>
              </w:rPr>
            </w:pPr>
            <w:r>
              <w:rPr>
                <w:rFonts w:hint="eastAsia" w:hAnsi="宋体" w:cs="Times New Roman"/>
                <w:color w:val="auto"/>
                <w:szCs w:val="24"/>
                <w:lang w:eastAsia="zh-CN"/>
              </w:rPr>
              <w:t>广东省财经职业技术学校新校区建设项目全过程造价咨询服务</w:t>
            </w:r>
          </w:p>
        </w:tc>
        <w:tc>
          <w:tcPr>
            <w:tcW w:w="2550" w:type="dxa"/>
            <w:noWrap w:val="0"/>
            <w:vAlign w:val="center"/>
          </w:tcPr>
          <w:p w14:paraId="14649833">
            <w:pPr>
              <w:keepNext w:val="0"/>
              <w:keepLines w:val="0"/>
              <w:widowControl/>
              <w:suppressLineNumbers w:val="0"/>
              <w:spacing w:before="0" w:beforeAutospacing="0" w:after="0" w:afterAutospacing="0"/>
              <w:ind w:left="0" w:right="0" w:firstLine="0" w:firstLineChars="0"/>
              <w:jc w:val="center"/>
              <w:rPr>
                <w:rFonts w:hint="eastAsia" w:hAnsi="Times New Roman" w:cs="Times New Roman"/>
                <w:b/>
                <w:color w:val="auto"/>
                <w:szCs w:val="24"/>
              </w:rPr>
            </w:pPr>
          </w:p>
        </w:tc>
        <w:tc>
          <w:tcPr>
            <w:tcW w:w="1753" w:type="dxa"/>
            <w:noWrap w:val="0"/>
            <w:vAlign w:val="center"/>
          </w:tcPr>
          <w:p w14:paraId="4A3ACBF2">
            <w:pPr>
              <w:keepNext w:val="0"/>
              <w:keepLines w:val="0"/>
              <w:widowControl/>
              <w:suppressLineNumbers w:val="0"/>
              <w:spacing w:before="0" w:beforeAutospacing="0" w:after="0" w:afterAutospacing="0"/>
              <w:ind w:left="0" w:right="0" w:firstLine="0" w:firstLineChars="0"/>
              <w:jc w:val="center"/>
              <w:rPr>
                <w:rFonts w:hint="eastAsia" w:hAnsi="宋体" w:cs="Times New Roman"/>
                <w:b/>
                <w:color w:val="auto"/>
                <w:szCs w:val="24"/>
              </w:rPr>
            </w:pPr>
          </w:p>
        </w:tc>
        <w:tc>
          <w:tcPr>
            <w:tcW w:w="1424" w:type="dxa"/>
            <w:noWrap w:val="0"/>
            <w:vAlign w:val="center"/>
          </w:tcPr>
          <w:p w14:paraId="50CADD86">
            <w:pPr>
              <w:keepNext w:val="0"/>
              <w:keepLines w:val="0"/>
              <w:widowControl/>
              <w:suppressLineNumbers w:val="0"/>
              <w:spacing w:before="0" w:beforeAutospacing="0" w:after="0" w:afterAutospacing="0"/>
              <w:ind w:left="0" w:right="0" w:firstLine="0" w:firstLineChars="0"/>
              <w:rPr>
                <w:rFonts w:hint="eastAsia" w:hAnsi="宋体" w:cs="Times New Roman"/>
                <w:b/>
                <w:color w:val="auto"/>
                <w:szCs w:val="24"/>
              </w:rPr>
            </w:pPr>
            <w:r>
              <w:rPr>
                <w:rFonts w:hint="eastAsia" w:hAnsi="宋体" w:cs="宋体"/>
                <w:color w:val="auto"/>
                <w:szCs w:val="24"/>
              </w:rPr>
              <w:t>以“元”为单位，精确到小数点后2位。</w:t>
            </w:r>
          </w:p>
        </w:tc>
      </w:tr>
      <w:tr w14:paraId="3D23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9" w:type="dxa"/>
            <w:noWrap w:val="0"/>
            <w:vAlign w:val="center"/>
          </w:tcPr>
          <w:p w14:paraId="1AF5C70F">
            <w:pPr>
              <w:keepNext w:val="0"/>
              <w:keepLines w:val="0"/>
              <w:widowControl/>
              <w:suppressLineNumbers w:val="0"/>
              <w:spacing w:before="0" w:beforeAutospacing="0" w:after="0" w:afterAutospacing="0"/>
              <w:ind w:left="0" w:right="0" w:firstLine="0" w:firstLineChars="0"/>
              <w:jc w:val="center"/>
              <w:rPr>
                <w:rFonts w:hint="default" w:hAnsi="宋体" w:cs="Times New Roman"/>
                <w:color w:val="auto"/>
                <w:szCs w:val="24"/>
                <w:lang w:val="en-US" w:eastAsia="zh-CN"/>
              </w:rPr>
            </w:pPr>
            <w:r>
              <w:rPr>
                <w:rFonts w:hint="eastAsia" w:hAnsi="宋体" w:cs="Times New Roman"/>
                <w:color w:val="auto"/>
                <w:szCs w:val="24"/>
                <w:lang w:val="en-US" w:eastAsia="zh-CN"/>
              </w:rPr>
              <w:t>2</w:t>
            </w:r>
          </w:p>
        </w:tc>
        <w:tc>
          <w:tcPr>
            <w:tcW w:w="8331" w:type="dxa"/>
            <w:gridSpan w:val="4"/>
            <w:noWrap w:val="0"/>
            <w:vAlign w:val="center"/>
          </w:tcPr>
          <w:p w14:paraId="5CF2B863">
            <w:pPr>
              <w:keepNext w:val="0"/>
              <w:keepLines w:val="0"/>
              <w:widowControl/>
              <w:suppressLineNumbers w:val="0"/>
              <w:spacing w:before="0" w:beforeAutospacing="0" w:after="0" w:afterAutospacing="0"/>
              <w:ind w:left="0" w:right="0" w:firstLine="0" w:firstLineChars="0"/>
              <w:rPr>
                <w:rFonts w:hint="eastAsia" w:hAnsi="宋体" w:cs="宋体"/>
                <w:color w:val="auto"/>
                <w:szCs w:val="24"/>
              </w:rPr>
            </w:pPr>
            <w:r>
              <w:rPr>
                <w:rFonts w:hint="default" w:hAnsi="宋体" w:cs="宋体"/>
                <w:color w:val="auto"/>
                <w:szCs w:val="24"/>
              </w:rPr>
              <w:t>投标总</w:t>
            </w:r>
            <w:r>
              <w:rPr>
                <w:rFonts w:hint="eastAsia" w:hAnsi="宋体" w:cs="宋体"/>
                <w:color w:val="auto"/>
                <w:szCs w:val="24"/>
                <w:lang w:eastAsia="zh-CN"/>
              </w:rPr>
              <w:t>报</w:t>
            </w:r>
            <w:r>
              <w:rPr>
                <w:rFonts w:hint="default" w:hAnsi="宋体" w:cs="宋体"/>
                <w:color w:val="auto"/>
                <w:szCs w:val="24"/>
              </w:rPr>
              <w:t>价（含税）：</w:t>
            </w:r>
            <w:r>
              <w:rPr>
                <w:rFonts w:hint="eastAsia" w:hAnsi="宋体" w:cs="宋体"/>
                <w:color w:val="auto"/>
                <w:szCs w:val="24"/>
              </w:rPr>
              <w:t>大写</w:t>
            </w:r>
            <w:r>
              <w:rPr>
                <w:rFonts w:hint="default" w:hAnsi="宋体" w:cs="宋体"/>
                <w:color w:val="auto"/>
                <w:szCs w:val="24"/>
                <w:u w:val="single"/>
              </w:rPr>
              <w:t xml:space="preserve">     </w:t>
            </w:r>
            <w:r>
              <w:rPr>
                <w:rFonts w:hint="eastAsia" w:hAnsi="宋体" w:cs="宋体"/>
                <w:color w:val="auto"/>
                <w:szCs w:val="24"/>
                <w:u w:val="single"/>
                <w:lang w:val="en-US" w:eastAsia="zh-CN"/>
              </w:rPr>
              <w:t xml:space="preserve">         </w:t>
            </w:r>
            <w:r>
              <w:rPr>
                <w:rFonts w:hint="default" w:hAnsi="宋体" w:cs="宋体"/>
                <w:color w:val="auto"/>
                <w:szCs w:val="24"/>
                <w:u w:val="single"/>
              </w:rPr>
              <w:t xml:space="preserve">  </w:t>
            </w:r>
            <w:r>
              <w:rPr>
                <w:rFonts w:hint="eastAsia" w:hAnsi="宋体" w:cs="宋体"/>
                <w:color w:val="auto"/>
                <w:szCs w:val="24"/>
              </w:rPr>
              <w:t>，税率</w:t>
            </w:r>
            <w:r>
              <w:rPr>
                <w:rFonts w:hint="eastAsia" w:hAnsi="宋体" w:cs="宋体"/>
                <w:color w:val="auto"/>
                <w:szCs w:val="24"/>
                <w:u w:val="single"/>
              </w:rPr>
              <w:t xml:space="preserve">  </w:t>
            </w:r>
            <w:r>
              <w:rPr>
                <w:rFonts w:hint="eastAsia" w:hAnsi="宋体" w:cs="宋体"/>
                <w:color w:val="auto"/>
                <w:szCs w:val="24"/>
                <w:u w:val="single"/>
                <w:lang w:val="en-US" w:eastAsia="zh-CN"/>
              </w:rPr>
              <w:t xml:space="preserve"> </w:t>
            </w:r>
            <w:r>
              <w:rPr>
                <w:rFonts w:hint="eastAsia" w:hAnsi="宋体" w:cs="宋体"/>
                <w:color w:val="auto"/>
                <w:szCs w:val="24"/>
                <w:u w:val="single"/>
              </w:rPr>
              <w:t xml:space="preserve">   </w:t>
            </w:r>
            <w:r>
              <w:rPr>
                <w:rFonts w:hint="eastAsia" w:hAnsi="宋体" w:cs="宋体"/>
                <w:color w:val="auto"/>
                <w:szCs w:val="24"/>
              </w:rPr>
              <w:t>%</w:t>
            </w:r>
          </w:p>
        </w:tc>
      </w:tr>
    </w:tbl>
    <w:p w14:paraId="68F58018">
      <w:pPr>
        <w:tabs>
          <w:tab w:val="left" w:pos="3828"/>
          <w:tab w:val="left" w:pos="8364"/>
        </w:tabs>
        <w:snapToGrid w:val="0"/>
        <w:spacing w:line="240" w:lineRule="auto"/>
        <w:ind w:left="480" w:right="-57" w:hanging="480" w:hangingChars="200"/>
        <w:rPr>
          <w:rFonts w:hint="eastAsia" w:hAnsi="宋体" w:cs="宋体"/>
          <w:bCs/>
          <w:color w:val="auto"/>
          <w:szCs w:val="24"/>
        </w:rPr>
      </w:pPr>
    </w:p>
    <w:p w14:paraId="04EC2142">
      <w:pPr>
        <w:tabs>
          <w:tab w:val="left" w:pos="3828"/>
          <w:tab w:val="left" w:pos="8364"/>
        </w:tabs>
        <w:snapToGrid w:val="0"/>
        <w:ind w:left="480" w:right="-57" w:hanging="480" w:hangingChars="200"/>
        <w:rPr>
          <w:rFonts w:hint="eastAsia" w:hAnsi="宋体" w:cs="宋体"/>
          <w:bCs/>
          <w:color w:val="auto"/>
          <w:szCs w:val="24"/>
        </w:rPr>
      </w:pPr>
      <w:r>
        <w:rPr>
          <w:rFonts w:hint="eastAsia" w:hAnsi="宋体" w:cs="宋体"/>
          <w:bCs/>
          <w:color w:val="auto"/>
          <w:szCs w:val="24"/>
        </w:rPr>
        <w:t>注：</w:t>
      </w:r>
    </w:p>
    <w:p w14:paraId="03509587">
      <w:pPr>
        <w:pStyle w:val="36"/>
        <w:widowControl w:val="0"/>
        <w:spacing w:after="0"/>
        <w:ind w:left="0" w:leftChars="0" w:firstLine="480" w:firstLineChars="200"/>
        <w:rPr>
          <w:rFonts w:hint="eastAsia" w:ascii="宋体" w:hAnsi="宋体" w:cs="宋体"/>
          <w:color w:val="auto"/>
          <w:sz w:val="24"/>
        </w:rPr>
      </w:pPr>
      <w:r>
        <w:rPr>
          <w:rFonts w:hint="eastAsia" w:ascii="宋体" w:hAnsi="宋体" w:cs="宋体"/>
          <w:color w:val="auto"/>
          <w:sz w:val="24"/>
        </w:rPr>
        <w:t>1、投标报价总价的</w:t>
      </w:r>
      <w:r>
        <w:rPr>
          <w:rFonts w:hint="eastAsia" w:ascii="宋体" w:hAnsi="宋体" w:cs="宋体"/>
          <w:color w:val="auto"/>
          <w:sz w:val="24"/>
          <w:highlight w:val="none"/>
        </w:rPr>
        <w:t>最高投标限价为</w:t>
      </w:r>
      <w:r>
        <w:rPr>
          <w:rFonts w:hint="eastAsia" w:ascii="宋体" w:hAnsi="宋体" w:cs="宋体"/>
          <w:color w:val="auto"/>
          <w:sz w:val="24"/>
          <w:szCs w:val="24"/>
          <w:highlight w:val="none"/>
          <w:u w:val="single"/>
          <w:shd w:val="clear" w:color="auto" w:fill="FFFFFF"/>
          <w:lang w:val="en-US" w:eastAsia="zh-CN"/>
        </w:rPr>
        <w:t>3125300.00</w:t>
      </w:r>
      <w:r>
        <w:rPr>
          <w:rFonts w:hint="eastAsia" w:ascii="宋体" w:hAnsi="宋体" w:cs="宋体"/>
          <w:color w:val="auto"/>
          <w:sz w:val="24"/>
          <w:highlight w:val="none"/>
        </w:rPr>
        <w:t>元</w:t>
      </w:r>
      <w:r>
        <w:rPr>
          <w:rFonts w:hint="eastAsia" w:ascii="宋体" w:hAnsi="宋体" w:cs="宋体"/>
          <w:color w:val="auto"/>
          <w:sz w:val="24"/>
        </w:rPr>
        <w:t>。投标人须按招标文件要求进行投标报价，否则由评标委员按否决其投标处理。</w:t>
      </w:r>
    </w:p>
    <w:p w14:paraId="4F3E65CB">
      <w:pPr>
        <w:pStyle w:val="36"/>
        <w:widowControl w:val="0"/>
        <w:spacing w:after="0"/>
        <w:ind w:left="0" w:leftChars="0" w:firstLine="480" w:firstLineChars="200"/>
        <w:rPr>
          <w:rFonts w:hint="eastAsia" w:ascii="宋体" w:hAnsi="宋体" w:cs="宋体"/>
          <w:color w:val="auto"/>
          <w:sz w:val="24"/>
        </w:rPr>
      </w:pPr>
      <w:r>
        <w:rPr>
          <w:rFonts w:hint="eastAsia" w:ascii="宋体" w:hAnsi="宋体" w:cs="宋体"/>
          <w:color w:val="auto"/>
          <w:sz w:val="24"/>
        </w:rPr>
        <w:t>2、投标报价总价与下浮率所算出的价格不一致的，以投标报价总价为准，修正下浮率=1-投标报价总价/最高投标限价（以%为单位，精确到小数点后2位）。评标委员会按上述修正错误的原则及方法修正投标文件的下浮率，调整后的下浮率对投标人起约束作用。如果投标人不接受修正后的下浮率，则取消其中标资格。</w:t>
      </w:r>
    </w:p>
    <w:p w14:paraId="77C48FC1">
      <w:pPr>
        <w:pStyle w:val="36"/>
        <w:widowControl w:val="0"/>
        <w:spacing w:after="0"/>
        <w:ind w:left="0" w:leftChars="0" w:firstLine="480" w:firstLineChars="200"/>
        <w:rPr>
          <w:rFonts w:hint="eastAsia" w:ascii="宋体" w:hAnsi="宋体" w:cs="宋体"/>
          <w:color w:val="auto"/>
          <w:sz w:val="24"/>
        </w:rPr>
      </w:pPr>
      <w:r>
        <w:rPr>
          <w:rFonts w:hint="eastAsia" w:ascii="宋体" w:hAnsi="宋体" w:cs="宋体"/>
          <w:color w:val="auto"/>
          <w:sz w:val="24"/>
        </w:rPr>
        <w:t>3、投标报价总价及下浮率精确到小数点后二位小数，第三位小数四舍五入。</w:t>
      </w:r>
    </w:p>
    <w:p w14:paraId="79138562">
      <w:pPr>
        <w:pStyle w:val="82"/>
        <w:rPr>
          <w:rFonts w:hint="eastAsia" w:ascii="宋体" w:hAnsi="宋体" w:cs="宋体"/>
          <w:color w:val="auto"/>
        </w:rPr>
      </w:pPr>
    </w:p>
    <w:p w14:paraId="1CBF9D60">
      <w:pPr>
        <w:pStyle w:val="82"/>
        <w:rPr>
          <w:rFonts w:hint="eastAsia" w:ascii="宋体" w:hAnsi="宋体" w:cs="宋体"/>
          <w:color w:val="auto"/>
        </w:rPr>
      </w:pPr>
    </w:p>
    <w:p w14:paraId="31E5207B">
      <w:pPr>
        <w:pStyle w:val="82"/>
        <w:rPr>
          <w:rFonts w:hint="eastAsia" w:ascii="宋体" w:hAnsi="宋体" w:cs="宋体"/>
          <w:color w:val="auto"/>
        </w:rPr>
      </w:pPr>
    </w:p>
    <w:p w14:paraId="1ED757F2">
      <w:pPr>
        <w:ind w:firstLine="480"/>
        <w:rPr>
          <w:rFonts w:hint="eastAsia" w:hAnsi="宋体" w:cs="宋体"/>
          <w:color w:val="auto"/>
        </w:rPr>
      </w:pPr>
      <w:r>
        <w:rPr>
          <w:rFonts w:hint="eastAsia" w:hAnsi="宋体" w:cs="宋体"/>
          <w:color w:val="auto"/>
        </w:rPr>
        <w:t>投标人（盖单位公章）：</w:t>
      </w:r>
      <w:r>
        <w:rPr>
          <w:rFonts w:hint="eastAsia" w:hAnsi="宋体" w:cs="宋体"/>
          <w:color w:val="auto"/>
          <w:u w:val="single"/>
        </w:rPr>
        <w:t xml:space="preserve">                              </w:t>
      </w:r>
    </w:p>
    <w:p w14:paraId="2AB62290">
      <w:pPr>
        <w:ind w:firstLine="480"/>
        <w:rPr>
          <w:rFonts w:hint="eastAsia" w:hAnsi="宋体" w:cs="宋体"/>
          <w:color w:val="auto"/>
        </w:rPr>
      </w:pPr>
      <w:r>
        <w:rPr>
          <w:rFonts w:hint="eastAsia" w:hAnsi="宋体" w:cs="宋体"/>
          <w:color w:val="auto"/>
        </w:rPr>
        <w:t>法定代表人或其委托代理人（签字或盖章或签章）：</w:t>
      </w:r>
      <w:r>
        <w:rPr>
          <w:rFonts w:hint="eastAsia" w:hAnsi="宋体" w:cs="宋体"/>
          <w:color w:val="auto"/>
          <w:u w:val="single"/>
        </w:rPr>
        <w:t xml:space="preserve">                 </w:t>
      </w:r>
    </w:p>
    <w:p w14:paraId="6CB7A082">
      <w:pPr>
        <w:pStyle w:val="35"/>
        <w:spacing w:after="0"/>
        <w:ind w:firstLine="480" w:firstLineChars="200"/>
        <w:rPr>
          <w:rFonts w:hint="eastAsia" w:hAnsi="宋体" w:cs="宋体"/>
          <w:color w:val="auto"/>
          <w:szCs w:val="24"/>
        </w:rPr>
      </w:pPr>
      <w:r>
        <w:rPr>
          <w:rFonts w:hint="eastAsia" w:hAnsi="宋体" w:cs="宋体"/>
          <w:color w:val="auto"/>
          <w:szCs w:val="24"/>
        </w:rPr>
        <w:t>日期：_______年_______月______日</w:t>
      </w:r>
    </w:p>
    <w:p w14:paraId="715EB20F">
      <w:pPr>
        <w:pStyle w:val="82"/>
        <w:rPr>
          <w:rFonts w:hint="eastAsia" w:ascii="宋体" w:hAnsi="宋体" w:cs="宋体"/>
          <w:color w:val="auto"/>
        </w:rPr>
      </w:pPr>
    </w:p>
    <w:p w14:paraId="2D787E03">
      <w:pPr>
        <w:pStyle w:val="82"/>
        <w:rPr>
          <w:rFonts w:hint="eastAsia" w:ascii="宋体" w:hAnsi="宋体" w:cs="宋体"/>
          <w:color w:val="auto"/>
        </w:rPr>
      </w:pPr>
      <w:r>
        <w:rPr>
          <w:rFonts w:hint="eastAsia" w:ascii="宋体" w:hAnsi="宋体" w:cs="宋体"/>
          <w:color w:val="auto"/>
        </w:rPr>
        <w:br w:type="page"/>
      </w:r>
    </w:p>
    <w:p w14:paraId="2FD482B9">
      <w:pPr>
        <w:pStyle w:val="82"/>
        <w:rPr>
          <w:rFonts w:hint="eastAsia" w:ascii="宋体" w:hAnsi="宋体" w:cs="宋体"/>
          <w:color w:val="auto"/>
        </w:rPr>
      </w:pPr>
    </w:p>
    <w:p w14:paraId="4D397A70">
      <w:pPr>
        <w:pStyle w:val="4"/>
        <w:keepNext w:val="0"/>
        <w:keepLines w:val="0"/>
        <w:widowControl w:val="0"/>
        <w:jc w:val="center"/>
        <w:rPr>
          <w:rFonts w:hint="eastAsia" w:hAnsi="宋体" w:cs="宋体"/>
          <w:bCs w:val="0"/>
          <w:color w:val="auto"/>
          <w:sz w:val="28"/>
          <w:szCs w:val="28"/>
        </w:rPr>
      </w:pPr>
      <w:bookmarkStart w:id="433" w:name="_Toc24326"/>
      <w:bookmarkStart w:id="434" w:name="_Toc26508"/>
      <w:bookmarkStart w:id="435" w:name="_Toc28222"/>
      <w:bookmarkStart w:id="436" w:name="_Toc9305"/>
      <w:bookmarkStart w:id="437" w:name="_Toc3977"/>
      <w:bookmarkStart w:id="438" w:name="_Toc9603"/>
      <w:r>
        <w:rPr>
          <w:rFonts w:hint="eastAsia" w:hAnsi="宋体" w:cs="宋体"/>
          <w:bCs w:val="0"/>
          <w:color w:val="auto"/>
          <w:sz w:val="28"/>
          <w:szCs w:val="28"/>
          <w:lang w:eastAsia="zh-CN"/>
        </w:rPr>
        <w:t>五</w:t>
      </w:r>
      <w:r>
        <w:rPr>
          <w:rFonts w:hint="eastAsia" w:hAnsi="宋体" w:cs="宋体"/>
          <w:bCs w:val="0"/>
          <w:color w:val="auto"/>
          <w:sz w:val="28"/>
          <w:szCs w:val="28"/>
        </w:rPr>
        <w:t>、资格审查资料</w:t>
      </w:r>
      <w:bookmarkEnd w:id="433"/>
      <w:bookmarkEnd w:id="434"/>
      <w:bookmarkEnd w:id="435"/>
      <w:bookmarkEnd w:id="436"/>
      <w:bookmarkEnd w:id="437"/>
      <w:bookmarkEnd w:id="438"/>
    </w:p>
    <w:p w14:paraId="08CFC8B4">
      <w:pPr>
        <w:pStyle w:val="5"/>
        <w:keepNext w:val="0"/>
        <w:keepLines w:val="0"/>
        <w:ind w:firstLine="0" w:firstLineChars="0"/>
        <w:jc w:val="center"/>
        <w:rPr>
          <w:rFonts w:hint="eastAsia" w:hAnsi="宋体" w:cs="宋体"/>
          <w:color w:val="auto"/>
        </w:rPr>
      </w:pPr>
      <w:bookmarkStart w:id="439" w:name="_Toc17412"/>
      <w:bookmarkStart w:id="440" w:name="_Toc12471"/>
      <w:bookmarkStart w:id="441" w:name="_Toc25779"/>
      <w:bookmarkStart w:id="442" w:name="_Toc11753"/>
      <w:bookmarkStart w:id="443" w:name="_Toc8916"/>
      <w:r>
        <w:rPr>
          <w:rFonts w:hint="eastAsia" w:hAnsi="宋体" w:cs="宋体"/>
          <w:color w:val="auto"/>
        </w:rPr>
        <w:t>（一）基本情况表</w:t>
      </w:r>
      <w:bookmarkEnd w:id="439"/>
      <w:bookmarkEnd w:id="440"/>
      <w:bookmarkEnd w:id="441"/>
      <w:bookmarkEnd w:id="442"/>
      <w:bookmarkEnd w:id="443"/>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640FB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CB83B3D">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投标人名称</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17F7F1FB">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25A15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909779A">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22990B7D">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4AD0E657">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9E99BC9">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104C2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14:paraId="57C5EEBF">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4415267">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3BFD73BE">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4B476A5">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2A89113">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3914B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14:paraId="408B2977">
            <w:pPr>
              <w:keepNext w:val="0"/>
              <w:keepLines w:val="0"/>
              <w:widowControl w:val="0"/>
              <w:suppressLineNumbers w:val="0"/>
              <w:spacing w:before="0" w:beforeAutospacing="0" w:after="0" w:afterAutospacing="0" w:line="360" w:lineRule="exact"/>
              <w:ind w:left="0" w:right="0" w:firstLine="420"/>
              <w:jc w:val="center"/>
              <w:rPr>
                <w:rFonts w:hint="eastAsia" w:hAnsi="宋体" w:cs="宋体"/>
                <w:color w:val="auto"/>
                <w:sz w:val="21"/>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4D1D06EC">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256DE583">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1635D247">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eastAsia="宋体" w:cs="宋体"/>
                <w:color w:val="auto"/>
                <w:sz w:val="21"/>
                <w:szCs w:val="21"/>
                <w:lang w:eastAsia="zh-CN"/>
              </w:rPr>
            </w:pPr>
            <w:r>
              <w:rPr>
                <w:rFonts w:hint="eastAsia" w:hAnsi="宋体" w:cs="宋体"/>
                <w:color w:val="auto"/>
                <w:sz w:val="21"/>
                <w:szCs w:val="21"/>
                <w:lang w:eastAsia="zh-CN"/>
              </w:rPr>
              <w:t>邮</w:t>
            </w:r>
            <w:r>
              <w:rPr>
                <w:rFonts w:hint="eastAsia" w:hAnsi="宋体" w:cs="宋体"/>
                <w:color w:val="auto"/>
                <w:sz w:val="21"/>
                <w:szCs w:val="21"/>
                <w:lang w:val="en-US" w:eastAsia="zh-CN"/>
              </w:rPr>
              <w:t xml:space="preserve"> </w:t>
            </w:r>
            <w:r>
              <w:rPr>
                <w:rFonts w:hint="eastAsia" w:hAnsi="宋体" w:cs="宋体"/>
                <w:color w:val="auto"/>
                <w:sz w:val="21"/>
                <w:szCs w:val="21"/>
                <w:lang w:eastAsia="zh-CN"/>
              </w:rPr>
              <w:t>箱</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8705A7B">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37745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6D358E1">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E93160A">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A5E3582">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5B9F7817">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6116898">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6DC7A88F">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4553F18">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3FB57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AD62F5F">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16F0BF0">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9F9A1C0">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C91E75E">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4D2453D7">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50DCBD93">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9B7138D">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056CB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1628C16">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244E7F15">
            <w:pPr>
              <w:keepNext w:val="0"/>
              <w:keepLines w:val="0"/>
              <w:widowControl w:val="0"/>
              <w:suppressLineNumbers w:val="0"/>
              <w:topLinePunct/>
              <w:spacing w:before="0" w:beforeAutospacing="0" w:after="0" w:afterAutospacing="0" w:line="360" w:lineRule="exact"/>
              <w:ind w:left="0" w:right="0" w:firstLine="105" w:firstLineChars="50"/>
              <w:jc w:val="center"/>
              <w:rPr>
                <w:rFonts w:hint="eastAsia" w:hAnsi="宋体" w:cs="宋体"/>
                <w:color w:val="auto"/>
                <w:sz w:val="21"/>
                <w:szCs w:val="21"/>
              </w:rPr>
            </w:pPr>
            <w:r>
              <w:rPr>
                <w:rFonts w:hint="eastAsia" w:hAnsi="宋体" w:cs="宋体"/>
                <w:color w:val="auto"/>
                <w:sz w:val="21"/>
                <w:szCs w:val="21"/>
              </w:rPr>
              <w:t>类型：                    等级：      证书号：</w:t>
            </w:r>
          </w:p>
        </w:tc>
      </w:tr>
      <w:tr w14:paraId="3E501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7F4FD5E5">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营业执照（或事业单位法人证书）号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10ACF9DE">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3629" w:type="dxa"/>
            <w:gridSpan w:val="5"/>
            <w:tcBorders>
              <w:top w:val="single" w:color="auto" w:sz="4" w:space="0"/>
              <w:left w:val="single" w:color="auto" w:sz="4" w:space="0"/>
              <w:bottom w:val="single" w:color="auto" w:sz="4" w:space="0"/>
              <w:right w:val="single" w:color="auto" w:sz="4" w:space="0"/>
            </w:tcBorders>
            <w:noWrap w:val="0"/>
            <w:vAlign w:val="center"/>
          </w:tcPr>
          <w:p w14:paraId="46BA7F0D">
            <w:pPr>
              <w:keepNext w:val="0"/>
              <w:keepLines w:val="0"/>
              <w:widowControl w:val="0"/>
              <w:suppressLineNumbers w:val="0"/>
              <w:topLinePunct/>
              <w:spacing w:before="0" w:beforeAutospacing="0" w:after="0" w:afterAutospacing="0" w:line="360" w:lineRule="exact"/>
              <w:ind w:left="0" w:right="0" w:firstLine="0" w:firstLineChars="0"/>
              <w:jc w:val="both"/>
              <w:rPr>
                <w:rFonts w:hint="eastAsia" w:hAnsi="宋体" w:cs="宋体"/>
                <w:color w:val="auto"/>
                <w:sz w:val="21"/>
                <w:szCs w:val="21"/>
              </w:rPr>
            </w:pPr>
            <w:r>
              <w:rPr>
                <w:rFonts w:hint="eastAsia" w:hAnsi="宋体" w:cs="宋体"/>
                <w:color w:val="auto"/>
                <w:sz w:val="21"/>
                <w:szCs w:val="21"/>
              </w:rPr>
              <w:t>员工总人数：</w:t>
            </w:r>
          </w:p>
        </w:tc>
      </w:tr>
      <w:tr w14:paraId="25248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50F5988">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7953A68A">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414" w:type="dxa"/>
            <w:vMerge w:val="restart"/>
            <w:tcBorders>
              <w:top w:val="single" w:color="auto" w:sz="4" w:space="0"/>
              <w:left w:val="single" w:color="auto" w:sz="4" w:space="0"/>
              <w:right w:val="single" w:color="auto" w:sz="4" w:space="0"/>
            </w:tcBorders>
            <w:noWrap w:val="0"/>
            <w:vAlign w:val="center"/>
          </w:tcPr>
          <w:p w14:paraId="764572D8">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60FA77E1">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FFF12F5">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03159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0CD9033">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742A274D">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414" w:type="dxa"/>
            <w:vMerge w:val="continue"/>
            <w:tcBorders>
              <w:left w:val="single" w:color="auto" w:sz="4" w:space="0"/>
              <w:right w:val="single" w:color="auto" w:sz="4" w:space="0"/>
            </w:tcBorders>
            <w:noWrap w:val="0"/>
            <w:vAlign w:val="center"/>
          </w:tcPr>
          <w:p w14:paraId="12CDFA18">
            <w:pPr>
              <w:keepNext w:val="0"/>
              <w:keepLines w:val="0"/>
              <w:widowControl w:val="0"/>
              <w:suppressLineNumbers w:val="0"/>
              <w:spacing w:before="0" w:beforeAutospacing="0" w:after="0" w:afterAutospacing="0" w:line="360" w:lineRule="exact"/>
              <w:ind w:left="0" w:right="0" w:firstLine="420"/>
              <w:jc w:val="center"/>
              <w:rPr>
                <w:rFonts w:hint="eastAsia" w:hAnsi="宋体" w:cs="宋体"/>
                <w:color w:val="auto"/>
                <w:sz w:val="21"/>
                <w:szCs w:val="21"/>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93482D1">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0FC366EE">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4B64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6F9B9D0">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51072278">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414" w:type="dxa"/>
            <w:vMerge w:val="continue"/>
            <w:tcBorders>
              <w:left w:val="single" w:color="auto" w:sz="4" w:space="0"/>
              <w:right w:val="single" w:color="auto" w:sz="4" w:space="0"/>
            </w:tcBorders>
            <w:noWrap w:val="0"/>
            <w:vAlign w:val="center"/>
          </w:tcPr>
          <w:p w14:paraId="14C1F14D">
            <w:pPr>
              <w:keepNext w:val="0"/>
              <w:keepLines w:val="0"/>
              <w:widowControl w:val="0"/>
              <w:suppressLineNumbers w:val="0"/>
              <w:spacing w:before="0" w:beforeAutospacing="0" w:after="0" w:afterAutospacing="0" w:line="360" w:lineRule="exact"/>
              <w:ind w:left="0" w:right="0" w:firstLine="420"/>
              <w:jc w:val="center"/>
              <w:rPr>
                <w:rFonts w:hint="eastAsia" w:hAnsi="宋体" w:cs="宋体"/>
                <w:color w:val="auto"/>
                <w:sz w:val="21"/>
                <w:szCs w:val="21"/>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2C1D8AB">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4A631DFB">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5969B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75E5A385">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54BC4901">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c>
          <w:tcPr>
            <w:tcW w:w="414" w:type="dxa"/>
            <w:vMerge w:val="continue"/>
            <w:tcBorders>
              <w:left w:val="single" w:color="auto" w:sz="4" w:space="0"/>
              <w:right w:val="single" w:color="auto" w:sz="4" w:space="0"/>
            </w:tcBorders>
            <w:noWrap w:val="0"/>
            <w:vAlign w:val="center"/>
          </w:tcPr>
          <w:p w14:paraId="614ABC76">
            <w:pPr>
              <w:keepNext w:val="0"/>
              <w:keepLines w:val="0"/>
              <w:widowControl w:val="0"/>
              <w:suppressLineNumbers w:val="0"/>
              <w:spacing w:before="0" w:beforeAutospacing="0" w:after="0" w:afterAutospacing="0" w:line="360" w:lineRule="exact"/>
              <w:ind w:left="0" w:right="0" w:firstLine="420"/>
              <w:jc w:val="center"/>
              <w:rPr>
                <w:rFonts w:hint="eastAsia" w:hAnsi="宋体" w:cs="宋体"/>
                <w:color w:val="auto"/>
                <w:sz w:val="21"/>
                <w:szCs w:val="21"/>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60945E21">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904B761">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4B254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right w:val="single" w:color="auto" w:sz="4" w:space="0"/>
            </w:tcBorders>
            <w:noWrap w:val="0"/>
            <w:vAlign w:val="center"/>
          </w:tcPr>
          <w:p w14:paraId="5856D728">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经营范围</w:t>
            </w:r>
          </w:p>
        </w:tc>
        <w:tc>
          <w:tcPr>
            <w:tcW w:w="6840" w:type="dxa"/>
            <w:gridSpan w:val="8"/>
            <w:tcBorders>
              <w:top w:val="single" w:color="auto" w:sz="4" w:space="0"/>
              <w:left w:val="single" w:color="auto" w:sz="4" w:space="0"/>
              <w:right w:val="single" w:color="auto" w:sz="4" w:space="0"/>
            </w:tcBorders>
            <w:noWrap w:val="0"/>
            <w:vAlign w:val="center"/>
          </w:tcPr>
          <w:p w14:paraId="134C49CF">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71820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right w:val="single" w:color="auto" w:sz="4" w:space="0"/>
            </w:tcBorders>
            <w:noWrap w:val="0"/>
            <w:vAlign w:val="center"/>
          </w:tcPr>
          <w:p w14:paraId="756E92A2">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noWrap w:val="0"/>
            <w:vAlign w:val="center"/>
          </w:tcPr>
          <w:p w14:paraId="1FC73B28">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r w14:paraId="02F6E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8DA4F3C">
            <w:pPr>
              <w:keepNext w:val="0"/>
              <w:keepLines w:val="0"/>
              <w:widowControl w:val="0"/>
              <w:suppressLineNumbers w:val="0"/>
              <w:topLinePunct/>
              <w:spacing w:before="0" w:beforeAutospacing="0" w:after="0" w:afterAutospacing="0" w:line="360" w:lineRule="exact"/>
              <w:ind w:left="0" w:right="0" w:firstLine="0" w:firstLineChars="0"/>
              <w:jc w:val="center"/>
              <w:rPr>
                <w:rFonts w:hint="eastAsia" w:hAnsi="宋体" w:cs="宋体"/>
                <w:color w:val="auto"/>
                <w:sz w:val="21"/>
                <w:szCs w:val="21"/>
              </w:rPr>
            </w:pPr>
            <w:r>
              <w:rPr>
                <w:rFonts w:hint="eastAsia" w:hAnsi="宋体" w:cs="宋体"/>
                <w:color w:val="auto"/>
                <w:sz w:val="21"/>
                <w:szCs w:val="21"/>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35BB2426">
            <w:pPr>
              <w:keepNext w:val="0"/>
              <w:keepLines w:val="0"/>
              <w:widowControl w:val="0"/>
              <w:suppressLineNumbers w:val="0"/>
              <w:topLinePunct/>
              <w:spacing w:before="0" w:beforeAutospacing="0" w:after="0" w:afterAutospacing="0" w:line="360" w:lineRule="exact"/>
              <w:ind w:left="0" w:right="0" w:firstLine="420"/>
              <w:jc w:val="center"/>
              <w:rPr>
                <w:rFonts w:hint="eastAsia" w:hAnsi="宋体" w:cs="宋体"/>
                <w:color w:val="auto"/>
                <w:sz w:val="21"/>
                <w:szCs w:val="21"/>
              </w:rPr>
            </w:pPr>
          </w:p>
        </w:tc>
      </w:tr>
    </w:tbl>
    <w:p w14:paraId="25891841">
      <w:pPr>
        <w:ind w:firstLine="480"/>
        <w:rPr>
          <w:rFonts w:hint="eastAsia" w:hAnsi="宋体" w:cs="宋体"/>
          <w:color w:val="auto"/>
          <w:szCs w:val="24"/>
        </w:rPr>
      </w:pPr>
      <w:r>
        <w:rPr>
          <w:rFonts w:hint="eastAsia" w:hAnsi="宋体" w:cs="宋体"/>
          <w:color w:val="auto"/>
        </w:rPr>
        <w:t>注：投标人应根据资格评审标准的要求在本表后附相关证明材料。</w:t>
      </w:r>
    </w:p>
    <w:p w14:paraId="3BBE5A25">
      <w:pPr>
        <w:spacing w:line="240" w:lineRule="auto"/>
        <w:ind w:firstLine="0" w:firstLineChars="0"/>
        <w:jc w:val="left"/>
        <w:rPr>
          <w:color w:val="auto"/>
          <w:sz w:val="21"/>
          <w:szCs w:val="21"/>
        </w:rPr>
      </w:pPr>
      <w:r>
        <w:rPr>
          <w:color w:val="auto"/>
          <w:sz w:val="21"/>
          <w:szCs w:val="21"/>
        </w:rPr>
        <w:br w:type="page"/>
      </w:r>
    </w:p>
    <w:p w14:paraId="1E4FA06F">
      <w:pPr>
        <w:pStyle w:val="82"/>
        <w:rPr>
          <w:color w:val="auto"/>
        </w:rPr>
      </w:pPr>
    </w:p>
    <w:p w14:paraId="595F8A29">
      <w:pPr>
        <w:pStyle w:val="5"/>
        <w:keepNext w:val="0"/>
        <w:keepLines w:val="0"/>
        <w:ind w:firstLine="0" w:firstLineChars="0"/>
        <w:jc w:val="center"/>
        <w:rPr>
          <w:rFonts w:hint="eastAsia" w:hAnsi="宋体" w:cs="宋体"/>
          <w:color w:val="auto"/>
        </w:rPr>
      </w:pPr>
      <w:bookmarkStart w:id="444" w:name="_Toc32726"/>
      <w:bookmarkStart w:id="445" w:name="_Toc16028"/>
      <w:r>
        <w:rPr>
          <w:rFonts w:hint="eastAsia" w:hAnsi="宋体" w:cs="宋体"/>
          <w:color w:val="auto"/>
        </w:rPr>
        <w:t>（二）拟派项目负责人资料</w:t>
      </w:r>
      <w:bookmarkEnd w:id="444"/>
      <w:bookmarkEnd w:id="445"/>
    </w:p>
    <w:p w14:paraId="71278CB9">
      <w:pPr>
        <w:ind w:firstLine="480"/>
        <w:rPr>
          <w:rFonts w:hAnsi="宋体"/>
          <w:color w:val="auto"/>
          <w:kern w:val="44"/>
          <w:szCs w:val="21"/>
        </w:rPr>
      </w:pPr>
      <w:r>
        <w:rPr>
          <w:rFonts w:hint="eastAsia" w:hAnsi="宋体" w:cs="宋体"/>
          <w:bCs/>
          <w:color w:val="auto"/>
          <w:szCs w:val="21"/>
        </w:rPr>
        <w:t>注：</w:t>
      </w:r>
    </w:p>
    <w:p w14:paraId="4AA003BF">
      <w:pPr>
        <w:ind w:firstLine="480"/>
        <w:rPr>
          <w:rFonts w:hint="eastAsia" w:hAnsi="宋体" w:cs="宋体"/>
          <w:bCs/>
          <w:color w:val="auto"/>
          <w:szCs w:val="21"/>
        </w:rPr>
      </w:pPr>
      <w:r>
        <w:rPr>
          <w:rFonts w:hint="eastAsia" w:hAnsi="宋体" w:cs="宋体"/>
          <w:bCs/>
          <w:color w:val="auto"/>
          <w:szCs w:val="21"/>
        </w:rPr>
        <w:t>1.投标人应按照招标公告“投标人资格要求”提供相关证明材料。</w:t>
      </w:r>
    </w:p>
    <w:p w14:paraId="02652C46">
      <w:pPr>
        <w:ind w:firstLine="480"/>
        <w:rPr>
          <w:rFonts w:hint="eastAsia" w:hAnsi="宋体" w:cs="宋体"/>
          <w:bCs/>
          <w:color w:val="auto"/>
          <w:szCs w:val="21"/>
        </w:rPr>
      </w:pPr>
      <w:r>
        <w:rPr>
          <w:rFonts w:hint="eastAsia" w:hAnsi="宋体" w:cs="宋体"/>
          <w:bCs/>
          <w:color w:val="auto"/>
          <w:szCs w:val="21"/>
        </w:rPr>
        <w:t>2.须提供近6个月</w:t>
      </w:r>
      <w:r>
        <w:rPr>
          <w:rFonts w:hint="eastAsia" w:hAnsi="宋体" w:cs="宋体"/>
          <w:color w:val="auto"/>
          <w:sz w:val="21"/>
          <w:szCs w:val="21"/>
          <w:highlight w:val="none"/>
          <w:lang w:val="en-US" w:eastAsia="zh-CN"/>
        </w:rPr>
        <w:t>（2025年3-8月）</w:t>
      </w:r>
      <w:r>
        <w:rPr>
          <w:rFonts w:hint="eastAsia" w:hAnsi="宋体" w:cs="宋体"/>
          <w:bCs/>
          <w:color w:val="auto"/>
          <w:szCs w:val="21"/>
        </w:rPr>
        <w:t>在本单位参保的社会保险证明文件。</w:t>
      </w:r>
    </w:p>
    <w:p w14:paraId="0988109F">
      <w:pPr>
        <w:ind w:firstLine="480"/>
        <w:rPr>
          <w:rFonts w:hint="eastAsia" w:hAnsi="宋体" w:cs="宋体"/>
          <w:color w:val="auto"/>
        </w:rPr>
      </w:pPr>
    </w:p>
    <w:p w14:paraId="6CF1B208">
      <w:pPr>
        <w:spacing w:line="240" w:lineRule="auto"/>
        <w:ind w:firstLine="0" w:firstLineChars="0"/>
        <w:jc w:val="left"/>
        <w:rPr>
          <w:color w:val="auto"/>
          <w:sz w:val="21"/>
          <w:szCs w:val="21"/>
        </w:rPr>
      </w:pPr>
      <w:r>
        <w:rPr>
          <w:color w:val="auto"/>
          <w:sz w:val="21"/>
          <w:szCs w:val="21"/>
        </w:rPr>
        <w:br w:type="page"/>
      </w:r>
    </w:p>
    <w:p w14:paraId="0501E25B">
      <w:pPr>
        <w:pStyle w:val="82"/>
        <w:rPr>
          <w:rFonts w:ascii="宋体"/>
          <w:color w:val="auto"/>
          <w:sz w:val="21"/>
          <w:szCs w:val="21"/>
        </w:rPr>
      </w:pPr>
    </w:p>
    <w:p w14:paraId="15FC0CA7">
      <w:pPr>
        <w:pStyle w:val="82"/>
        <w:rPr>
          <w:rFonts w:ascii="宋体"/>
          <w:color w:val="auto"/>
          <w:sz w:val="21"/>
          <w:szCs w:val="21"/>
        </w:rPr>
      </w:pPr>
    </w:p>
    <w:p w14:paraId="18E9A60C">
      <w:pPr>
        <w:pStyle w:val="5"/>
        <w:keepNext w:val="0"/>
        <w:keepLines w:val="0"/>
        <w:ind w:firstLine="482"/>
        <w:rPr>
          <w:rFonts w:hint="eastAsia" w:hAnsi="宋体" w:cs="宋体"/>
          <w:color w:val="auto"/>
        </w:rPr>
      </w:pPr>
      <w:bookmarkStart w:id="446" w:name="_Toc25319"/>
      <w:bookmarkStart w:id="447" w:name="_Toc25716"/>
      <w:r>
        <w:rPr>
          <w:rFonts w:hint="eastAsia" w:hAnsi="宋体" w:cs="宋体"/>
          <w:color w:val="auto"/>
        </w:rPr>
        <w:t>（</w:t>
      </w:r>
      <w:r>
        <w:rPr>
          <w:rFonts w:hint="eastAsia" w:hAnsi="宋体" w:cs="宋体"/>
          <w:color w:val="auto"/>
          <w:lang w:eastAsia="zh-CN"/>
        </w:rPr>
        <w:t>三</w:t>
      </w:r>
      <w:r>
        <w:rPr>
          <w:rFonts w:hint="eastAsia" w:hAnsi="宋体" w:cs="宋体"/>
          <w:color w:val="auto"/>
        </w:rPr>
        <w:t>）“投标人声明”（格式见招标公告附件一）。</w:t>
      </w:r>
      <w:bookmarkEnd w:id="446"/>
      <w:bookmarkEnd w:id="447"/>
    </w:p>
    <w:p w14:paraId="752A6562">
      <w:pPr>
        <w:ind w:firstLine="480"/>
        <w:rPr>
          <w:rFonts w:hint="eastAsia" w:hAnsi="宋体" w:cs="宋体"/>
          <w:color w:val="auto"/>
          <w:szCs w:val="32"/>
        </w:rPr>
      </w:pPr>
    </w:p>
    <w:p w14:paraId="471D9412">
      <w:pPr>
        <w:pStyle w:val="5"/>
        <w:keepNext w:val="0"/>
        <w:keepLines w:val="0"/>
        <w:ind w:firstLine="482"/>
        <w:rPr>
          <w:rFonts w:hint="eastAsia" w:hAnsi="宋体" w:cs="宋体"/>
          <w:color w:val="auto"/>
        </w:rPr>
      </w:pPr>
      <w:bookmarkStart w:id="448" w:name="_Toc25914"/>
      <w:bookmarkStart w:id="449" w:name="_Toc2843"/>
      <w:r>
        <w:rPr>
          <w:rFonts w:hint="eastAsia" w:hAnsi="宋体" w:cs="宋体"/>
          <w:color w:val="auto"/>
        </w:rPr>
        <w:t>（</w:t>
      </w:r>
      <w:r>
        <w:rPr>
          <w:rFonts w:hint="eastAsia" w:hAnsi="宋体" w:cs="宋体"/>
          <w:color w:val="auto"/>
          <w:lang w:eastAsia="zh-CN"/>
        </w:rPr>
        <w:t>四</w:t>
      </w:r>
      <w:r>
        <w:rPr>
          <w:rFonts w:hint="eastAsia" w:hAnsi="宋体" w:cs="宋体"/>
          <w:color w:val="auto"/>
        </w:rPr>
        <w:t>）投标人在广州交易集团有限公司（广州公共资源交易中心）办理企业信息登记的网页截图。</w:t>
      </w:r>
      <w:bookmarkEnd w:id="448"/>
      <w:bookmarkEnd w:id="449"/>
    </w:p>
    <w:p w14:paraId="32D489AF">
      <w:pPr>
        <w:ind w:firstLine="480"/>
        <w:rPr>
          <w:rFonts w:hint="eastAsia" w:hAnsi="宋体" w:cs="宋体"/>
          <w:color w:val="auto"/>
          <w:szCs w:val="32"/>
        </w:rPr>
      </w:pPr>
    </w:p>
    <w:p w14:paraId="1A0016E3">
      <w:pPr>
        <w:pStyle w:val="5"/>
        <w:keepNext w:val="0"/>
        <w:keepLines w:val="0"/>
        <w:ind w:firstLine="482"/>
        <w:rPr>
          <w:rFonts w:hint="eastAsia" w:hAnsi="宋体" w:cs="宋体"/>
          <w:color w:val="auto"/>
        </w:rPr>
      </w:pPr>
      <w:bookmarkStart w:id="450" w:name="_Toc20055"/>
      <w:bookmarkStart w:id="451" w:name="_Toc11924"/>
      <w:r>
        <w:rPr>
          <w:rFonts w:hint="eastAsia" w:hAnsi="宋体" w:cs="宋体"/>
          <w:color w:val="auto"/>
        </w:rPr>
        <w:t>（</w:t>
      </w:r>
      <w:r>
        <w:rPr>
          <w:rFonts w:hint="eastAsia" w:hAnsi="宋体" w:cs="宋体"/>
          <w:color w:val="auto"/>
          <w:lang w:eastAsia="zh-CN"/>
        </w:rPr>
        <w:t>五</w:t>
      </w:r>
      <w:r>
        <w:rPr>
          <w:rFonts w:hint="eastAsia" w:hAnsi="宋体" w:cs="宋体"/>
          <w:color w:val="auto"/>
        </w:rPr>
        <w:t>）其他资料</w:t>
      </w:r>
      <w:r>
        <w:rPr>
          <w:rFonts w:hint="eastAsia" w:hAnsi="宋体" w:cs="宋体"/>
          <w:b w:val="0"/>
          <w:bCs w:val="0"/>
          <w:color w:val="auto"/>
        </w:rPr>
        <w:t>（根据资格审查要求提供，格式自拟）。</w:t>
      </w:r>
      <w:bookmarkEnd w:id="450"/>
      <w:bookmarkEnd w:id="451"/>
    </w:p>
    <w:p w14:paraId="0B88F2DA">
      <w:pPr>
        <w:widowControl w:val="0"/>
        <w:spacing w:line="240" w:lineRule="auto"/>
        <w:ind w:firstLine="0" w:firstLineChars="0"/>
        <w:jc w:val="left"/>
        <w:rPr>
          <w:color w:val="auto"/>
          <w:sz w:val="21"/>
          <w:szCs w:val="21"/>
        </w:rPr>
      </w:pPr>
    </w:p>
    <w:p w14:paraId="072DF193">
      <w:pPr>
        <w:spacing w:line="240" w:lineRule="auto"/>
        <w:ind w:firstLine="0" w:firstLineChars="0"/>
        <w:jc w:val="left"/>
        <w:rPr>
          <w:color w:val="auto"/>
          <w:sz w:val="21"/>
          <w:szCs w:val="21"/>
        </w:rPr>
      </w:pPr>
    </w:p>
    <w:p w14:paraId="137A8722">
      <w:pPr>
        <w:spacing w:line="240" w:lineRule="auto"/>
        <w:ind w:firstLine="0" w:firstLineChars="0"/>
        <w:jc w:val="left"/>
        <w:rPr>
          <w:color w:val="auto"/>
          <w:sz w:val="21"/>
          <w:szCs w:val="21"/>
        </w:rPr>
      </w:pPr>
      <w:r>
        <w:rPr>
          <w:color w:val="auto"/>
          <w:sz w:val="21"/>
          <w:szCs w:val="21"/>
        </w:rPr>
        <w:br w:type="page"/>
      </w:r>
    </w:p>
    <w:p w14:paraId="239E38B4">
      <w:pPr>
        <w:spacing w:line="240" w:lineRule="auto"/>
        <w:ind w:firstLine="0" w:firstLineChars="0"/>
        <w:jc w:val="left"/>
        <w:rPr>
          <w:rFonts w:hint="eastAsia" w:hAnsi="宋体" w:cs="宋体"/>
          <w:b/>
          <w:color w:val="auto"/>
          <w:szCs w:val="24"/>
        </w:rPr>
      </w:pPr>
    </w:p>
    <w:p w14:paraId="46FD8DB2">
      <w:pPr>
        <w:pStyle w:val="4"/>
        <w:keepNext w:val="0"/>
        <w:keepLines w:val="0"/>
        <w:widowControl w:val="0"/>
        <w:jc w:val="center"/>
        <w:rPr>
          <w:rFonts w:hint="eastAsia" w:hAnsi="宋体" w:cs="宋体"/>
          <w:bCs w:val="0"/>
          <w:color w:val="auto"/>
          <w:sz w:val="28"/>
          <w:szCs w:val="28"/>
        </w:rPr>
      </w:pPr>
      <w:bookmarkStart w:id="452" w:name="_Toc18865"/>
      <w:bookmarkStart w:id="453" w:name="_Toc32525"/>
      <w:r>
        <w:rPr>
          <w:rFonts w:hint="eastAsia" w:hAnsi="宋体" w:cs="宋体"/>
          <w:bCs w:val="0"/>
          <w:color w:val="auto"/>
          <w:sz w:val="28"/>
          <w:szCs w:val="28"/>
          <w:lang w:eastAsia="zh-CN"/>
        </w:rPr>
        <w:t>六</w:t>
      </w:r>
      <w:r>
        <w:rPr>
          <w:rFonts w:hint="eastAsia" w:hAnsi="宋体" w:cs="宋体"/>
          <w:bCs w:val="0"/>
          <w:color w:val="auto"/>
          <w:sz w:val="28"/>
          <w:szCs w:val="28"/>
        </w:rPr>
        <w:t>、商务部分</w:t>
      </w:r>
      <w:bookmarkEnd w:id="452"/>
      <w:bookmarkEnd w:id="453"/>
    </w:p>
    <w:p w14:paraId="01E745F5">
      <w:pPr>
        <w:ind w:firstLine="480"/>
        <w:jc w:val="center"/>
        <w:rPr>
          <w:rFonts w:hint="eastAsia" w:hAnsi="宋体" w:cs="宋体"/>
          <w:color w:val="auto"/>
          <w:szCs w:val="24"/>
        </w:rPr>
      </w:pPr>
    </w:p>
    <w:p w14:paraId="18C2E3DC">
      <w:pPr>
        <w:ind w:firstLine="0" w:firstLineChars="0"/>
        <w:jc w:val="center"/>
        <w:rPr>
          <w:rFonts w:hint="eastAsia" w:hAnsi="宋体" w:cs="宋体"/>
          <w:b/>
          <w:bCs/>
          <w:color w:val="auto"/>
          <w:szCs w:val="24"/>
        </w:rPr>
      </w:pPr>
      <w:r>
        <w:rPr>
          <w:rFonts w:hint="eastAsia" w:hAnsi="宋体" w:cs="宋体"/>
          <w:b/>
          <w:bCs/>
          <w:color w:val="auto"/>
          <w:szCs w:val="24"/>
        </w:rPr>
        <w:t>拟派本项目的团队人员一览表</w:t>
      </w:r>
    </w:p>
    <w:tbl>
      <w:tblPr>
        <w:tblStyle w:val="3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32"/>
        <w:gridCol w:w="745"/>
        <w:gridCol w:w="743"/>
        <w:gridCol w:w="743"/>
        <w:gridCol w:w="1217"/>
        <w:gridCol w:w="998"/>
        <w:gridCol w:w="1227"/>
        <w:gridCol w:w="1472"/>
      </w:tblGrid>
      <w:tr w14:paraId="4461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59" w:type="dxa"/>
            <w:noWrap w:val="0"/>
            <w:vAlign w:val="center"/>
          </w:tcPr>
          <w:p w14:paraId="1E1D7919">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序号</w:t>
            </w:r>
          </w:p>
        </w:tc>
        <w:tc>
          <w:tcPr>
            <w:tcW w:w="1132" w:type="dxa"/>
            <w:noWrap w:val="0"/>
            <w:vAlign w:val="center"/>
          </w:tcPr>
          <w:p w14:paraId="08DB12D6">
            <w:pPr>
              <w:pStyle w:val="68"/>
              <w:keepNext w:val="0"/>
              <w:keepLines w:val="0"/>
              <w:widowControl w:val="0"/>
              <w:suppressLineNumbers w:val="0"/>
              <w:snapToGrid w:val="0"/>
              <w:spacing w:before="0" w:beforeAutospacing="0" w:after="0" w:afterAutospacing="0" w:line="240" w:lineRule="auto"/>
              <w:ind w:left="0" w:right="0" w:firstLine="0" w:firstLineChars="0"/>
              <w:textAlignment w:val="auto"/>
              <w:rPr>
                <w:rFonts w:hint="eastAsia" w:ascii="宋体" w:hAnsi="宋体" w:cs="宋体"/>
                <w:color w:val="auto"/>
                <w:spacing w:val="0"/>
                <w:kern w:val="2"/>
                <w:sz w:val="24"/>
                <w:szCs w:val="24"/>
              </w:rPr>
            </w:pPr>
            <w:r>
              <w:rPr>
                <w:rFonts w:hint="eastAsia" w:ascii="宋体" w:hAnsi="宋体" w:cs="宋体"/>
                <w:color w:val="auto"/>
                <w:spacing w:val="0"/>
                <w:kern w:val="2"/>
                <w:sz w:val="24"/>
                <w:szCs w:val="24"/>
              </w:rPr>
              <w:t>姓名</w:t>
            </w:r>
          </w:p>
        </w:tc>
        <w:tc>
          <w:tcPr>
            <w:tcW w:w="745" w:type="dxa"/>
            <w:noWrap w:val="0"/>
            <w:vAlign w:val="center"/>
          </w:tcPr>
          <w:p w14:paraId="57095015">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性别</w:t>
            </w:r>
          </w:p>
        </w:tc>
        <w:tc>
          <w:tcPr>
            <w:tcW w:w="743" w:type="dxa"/>
            <w:noWrap w:val="0"/>
            <w:vAlign w:val="center"/>
          </w:tcPr>
          <w:p w14:paraId="514EC50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年龄</w:t>
            </w:r>
          </w:p>
        </w:tc>
        <w:tc>
          <w:tcPr>
            <w:tcW w:w="743" w:type="dxa"/>
            <w:noWrap w:val="0"/>
            <w:vAlign w:val="center"/>
          </w:tcPr>
          <w:p w14:paraId="3BFBA01D">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学历</w:t>
            </w:r>
          </w:p>
        </w:tc>
        <w:tc>
          <w:tcPr>
            <w:tcW w:w="1217" w:type="dxa"/>
            <w:noWrap w:val="0"/>
            <w:vAlign w:val="center"/>
          </w:tcPr>
          <w:p w14:paraId="235881C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职称或执业资格</w:t>
            </w:r>
          </w:p>
        </w:tc>
        <w:tc>
          <w:tcPr>
            <w:tcW w:w="998" w:type="dxa"/>
            <w:noWrap w:val="0"/>
            <w:vAlign w:val="center"/>
          </w:tcPr>
          <w:p w14:paraId="0F5660F0">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专业</w:t>
            </w:r>
          </w:p>
        </w:tc>
        <w:tc>
          <w:tcPr>
            <w:tcW w:w="1227" w:type="dxa"/>
            <w:noWrap w:val="0"/>
            <w:vAlign w:val="center"/>
          </w:tcPr>
          <w:p w14:paraId="5D5CFC0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经验年限</w:t>
            </w:r>
          </w:p>
        </w:tc>
        <w:tc>
          <w:tcPr>
            <w:tcW w:w="1472" w:type="dxa"/>
            <w:noWrap w:val="0"/>
            <w:vAlign w:val="center"/>
          </w:tcPr>
          <w:p w14:paraId="15B8CE33">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hAnsi="宋体" w:cs="宋体"/>
                <w:color w:val="auto"/>
                <w:szCs w:val="24"/>
              </w:rPr>
            </w:pPr>
            <w:r>
              <w:rPr>
                <w:rFonts w:hint="eastAsia" w:hAnsi="宋体" w:cs="宋体"/>
                <w:color w:val="auto"/>
                <w:szCs w:val="24"/>
              </w:rPr>
              <w:t>拟担任职务</w:t>
            </w:r>
          </w:p>
        </w:tc>
      </w:tr>
      <w:tr w14:paraId="718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noWrap w:val="0"/>
            <w:vAlign w:val="center"/>
          </w:tcPr>
          <w:p w14:paraId="5E13B011">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132" w:type="dxa"/>
            <w:noWrap w:val="0"/>
            <w:vAlign w:val="center"/>
          </w:tcPr>
          <w:p w14:paraId="02D5E7CF">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5" w:type="dxa"/>
            <w:noWrap w:val="0"/>
            <w:vAlign w:val="center"/>
          </w:tcPr>
          <w:p w14:paraId="3C437B65">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275C34B5">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27F94F9D">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17" w:type="dxa"/>
            <w:noWrap w:val="0"/>
            <w:vAlign w:val="center"/>
          </w:tcPr>
          <w:p w14:paraId="68B76A5F">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998" w:type="dxa"/>
            <w:noWrap w:val="0"/>
            <w:vAlign w:val="center"/>
          </w:tcPr>
          <w:p w14:paraId="0318A112">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27" w:type="dxa"/>
            <w:noWrap w:val="0"/>
            <w:vAlign w:val="center"/>
          </w:tcPr>
          <w:p w14:paraId="2527D460">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472" w:type="dxa"/>
            <w:noWrap w:val="0"/>
            <w:vAlign w:val="center"/>
          </w:tcPr>
          <w:p w14:paraId="6BC5EDA3">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r>
      <w:tr w14:paraId="55B6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noWrap w:val="0"/>
            <w:vAlign w:val="center"/>
          </w:tcPr>
          <w:p w14:paraId="0971CDDC">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132" w:type="dxa"/>
            <w:noWrap w:val="0"/>
            <w:vAlign w:val="center"/>
          </w:tcPr>
          <w:p w14:paraId="4DABE304">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5" w:type="dxa"/>
            <w:noWrap w:val="0"/>
            <w:vAlign w:val="center"/>
          </w:tcPr>
          <w:p w14:paraId="0D4D27DF">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1A267BE6">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257821BF">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17" w:type="dxa"/>
            <w:noWrap w:val="0"/>
            <w:vAlign w:val="center"/>
          </w:tcPr>
          <w:p w14:paraId="552D9AC7">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998" w:type="dxa"/>
            <w:noWrap w:val="0"/>
            <w:vAlign w:val="center"/>
          </w:tcPr>
          <w:p w14:paraId="49588171">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27" w:type="dxa"/>
            <w:noWrap w:val="0"/>
            <w:vAlign w:val="center"/>
          </w:tcPr>
          <w:p w14:paraId="483C6992">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472" w:type="dxa"/>
            <w:noWrap w:val="0"/>
            <w:vAlign w:val="center"/>
          </w:tcPr>
          <w:p w14:paraId="1583433C">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r>
      <w:tr w14:paraId="6815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noWrap w:val="0"/>
            <w:vAlign w:val="center"/>
          </w:tcPr>
          <w:p w14:paraId="563A66FD">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132" w:type="dxa"/>
            <w:noWrap w:val="0"/>
            <w:vAlign w:val="center"/>
          </w:tcPr>
          <w:p w14:paraId="2CA3AAA4">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5" w:type="dxa"/>
            <w:noWrap w:val="0"/>
            <w:vAlign w:val="center"/>
          </w:tcPr>
          <w:p w14:paraId="7366050C">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316AC1A1">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30EE9FBC">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17" w:type="dxa"/>
            <w:noWrap w:val="0"/>
            <w:vAlign w:val="center"/>
          </w:tcPr>
          <w:p w14:paraId="21EBB790">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998" w:type="dxa"/>
            <w:noWrap w:val="0"/>
            <w:vAlign w:val="center"/>
          </w:tcPr>
          <w:p w14:paraId="6820E1C1">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27" w:type="dxa"/>
            <w:noWrap w:val="0"/>
            <w:vAlign w:val="center"/>
          </w:tcPr>
          <w:p w14:paraId="0FBD1D8C">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472" w:type="dxa"/>
            <w:noWrap w:val="0"/>
            <w:vAlign w:val="center"/>
          </w:tcPr>
          <w:p w14:paraId="6B18CF7C">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r>
      <w:tr w14:paraId="62DA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noWrap w:val="0"/>
            <w:vAlign w:val="center"/>
          </w:tcPr>
          <w:p w14:paraId="27F108C0">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132" w:type="dxa"/>
            <w:noWrap w:val="0"/>
            <w:vAlign w:val="center"/>
          </w:tcPr>
          <w:p w14:paraId="17B0E9FA">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5" w:type="dxa"/>
            <w:noWrap w:val="0"/>
            <w:vAlign w:val="center"/>
          </w:tcPr>
          <w:p w14:paraId="06B1AA8B">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71AF2CA2">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0914CA85">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17" w:type="dxa"/>
            <w:noWrap w:val="0"/>
            <w:vAlign w:val="center"/>
          </w:tcPr>
          <w:p w14:paraId="7BFFFF00">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998" w:type="dxa"/>
            <w:noWrap w:val="0"/>
            <w:vAlign w:val="center"/>
          </w:tcPr>
          <w:p w14:paraId="63094BDD">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27" w:type="dxa"/>
            <w:noWrap w:val="0"/>
            <w:vAlign w:val="center"/>
          </w:tcPr>
          <w:p w14:paraId="2AD964BA">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472" w:type="dxa"/>
            <w:noWrap w:val="0"/>
            <w:vAlign w:val="center"/>
          </w:tcPr>
          <w:p w14:paraId="1018066C">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r>
      <w:tr w14:paraId="6897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noWrap w:val="0"/>
            <w:vAlign w:val="center"/>
          </w:tcPr>
          <w:p w14:paraId="16A29683">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132" w:type="dxa"/>
            <w:noWrap w:val="0"/>
            <w:vAlign w:val="center"/>
          </w:tcPr>
          <w:p w14:paraId="79917613">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5" w:type="dxa"/>
            <w:noWrap w:val="0"/>
            <w:vAlign w:val="center"/>
          </w:tcPr>
          <w:p w14:paraId="5824CC9B">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5D9BD17B">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03B9B4B6">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17" w:type="dxa"/>
            <w:noWrap w:val="0"/>
            <w:vAlign w:val="center"/>
          </w:tcPr>
          <w:p w14:paraId="32CFD365">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998" w:type="dxa"/>
            <w:noWrap w:val="0"/>
            <w:vAlign w:val="center"/>
          </w:tcPr>
          <w:p w14:paraId="0CD5FC33">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27" w:type="dxa"/>
            <w:noWrap w:val="0"/>
            <w:vAlign w:val="center"/>
          </w:tcPr>
          <w:p w14:paraId="0FC512A6">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472" w:type="dxa"/>
            <w:noWrap w:val="0"/>
            <w:vAlign w:val="center"/>
          </w:tcPr>
          <w:p w14:paraId="5DCD0383">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r>
      <w:tr w14:paraId="17D2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noWrap w:val="0"/>
            <w:vAlign w:val="center"/>
          </w:tcPr>
          <w:p w14:paraId="06F07F38">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132" w:type="dxa"/>
            <w:noWrap w:val="0"/>
            <w:vAlign w:val="center"/>
          </w:tcPr>
          <w:p w14:paraId="1FECCBDF">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5" w:type="dxa"/>
            <w:noWrap w:val="0"/>
            <w:vAlign w:val="center"/>
          </w:tcPr>
          <w:p w14:paraId="1AE9A28D">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23B36AF6">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743" w:type="dxa"/>
            <w:noWrap w:val="0"/>
            <w:vAlign w:val="center"/>
          </w:tcPr>
          <w:p w14:paraId="2FD3BA9A">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17" w:type="dxa"/>
            <w:noWrap w:val="0"/>
            <w:vAlign w:val="center"/>
          </w:tcPr>
          <w:p w14:paraId="7AF7282B">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998" w:type="dxa"/>
            <w:noWrap w:val="0"/>
            <w:vAlign w:val="center"/>
          </w:tcPr>
          <w:p w14:paraId="438846B6">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227" w:type="dxa"/>
            <w:noWrap w:val="0"/>
            <w:vAlign w:val="center"/>
          </w:tcPr>
          <w:p w14:paraId="5B691E1C">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c>
          <w:tcPr>
            <w:tcW w:w="1472" w:type="dxa"/>
            <w:noWrap w:val="0"/>
            <w:vAlign w:val="center"/>
          </w:tcPr>
          <w:p w14:paraId="7BD88437">
            <w:pPr>
              <w:keepNext w:val="0"/>
              <w:keepLines w:val="0"/>
              <w:widowControl/>
              <w:suppressLineNumbers w:val="0"/>
              <w:spacing w:before="0" w:beforeAutospacing="0" w:after="0" w:afterAutospacing="0"/>
              <w:ind w:left="0" w:right="0" w:firstLine="0" w:firstLineChars="0"/>
              <w:jc w:val="center"/>
              <w:rPr>
                <w:rFonts w:hint="eastAsia" w:hAnsi="宋体" w:cs="宋体"/>
                <w:color w:val="auto"/>
                <w:szCs w:val="24"/>
              </w:rPr>
            </w:pPr>
          </w:p>
        </w:tc>
      </w:tr>
    </w:tbl>
    <w:p w14:paraId="5E7BD769">
      <w:pPr>
        <w:spacing w:line="340" w:lineRule="exact"/>
        <w:ind w:left="482" w:hanging="402" w:firstLineChars="0"/>
        <w:rPr>
          <w:rFonts w:hint="eastAsia" w:hAnsi="宋体" w:cs="宋体"/>
          <w:color w:val="auto"/>
          <w:sz w:val="21"/>
          <w:szCs w:val="21"/>
        </w:rPr>
      </w:pPr>
      <w:r>
        <w:rPr>
          <w:rFonts w:hint="eastAsia" w:hAnsi="宋体" w:cs="宋体"/>
          <w:color w:val="auto"/>
          <w:sz w:val="21"/>
          <w:szCs w:val="21"/>
        </w:rPr>
        <w:t>注：</w:t>
      </w:r>
    </w:p>
    <w:p w14:paraId="2F638C45">
      <w:pPr>
        <w:widowControl w:val="0"/>
        <w:spacing w:line="340" w:lineRule="exact"/>
        <w:ind w:left="0" w:firstLine="420" w:firstLineChars="200"/>
        <w:rPr>
          <w:color w:val="auto"/>
          <w:sz w:val="21"/>
          <w:szCs w:val="21"/>
        </w:rPr>
      </w:pPr>
      <w:r>
        <w:rPr>
          <w:rFonts w:hint="eastAsia"/>
          <w:color w:val="auto"/>
          <w:sz w:val="21"/>
          <w:szCs w:val="21"/>
        </w:rPr>
        <w:t>1、按第五章委托人要求《造价咨询服务人员配备要求表》及相关评审的备注提供人员证明文件。</w:t>
      </w:r>
    </w:p>
    <w:p w14:paraId="1DBDA130">
      <w:pPr>
        <w:widowControl w:val="0"/>
        <w:numPr>
          <w:ilvl w:val="0"/>
          <w:numId w:val="0"/>
        </w:numPr>
        <w:spacing w:line="340" w:lineRule="exact"/>
        <w:ind w:left="0" w:firstLine="420" w:firstLineChars="200"/>
        <w:rPr>
          <w:rFonts w:hint="eastAsia" w:hAnsi="宋体" w:eastAsia="宋体" w:cs="宋体"/>
          <w:color w:val="auto"/>
          <w:sz w:val="21"/>
          <w:szCs w:val="21"/>
          <w:lang w:eastAsia="zh-CN"/>
        </w:rPr>
      </w:pPr>
      <w:r>
        <w:rPr>
          <w:rFonts w:hint="eastAsia"/>
          <w:color w:val="auto"/>
          <w:sz w:val="21"/>
          <w:szCs w:val="21"/>
          <w:lang w:val="en-US" w:eastAsia="zh-CN"/>
        </w:rPr>
        <w:t>2、</w:t>
      </w:r>
      <w:r>
        <w:rPr>
          <w:rFonts w:hint="eastAsia"/>
          <w:color w:val="auto"/>
          <w:sz w:val="21"/>
          <w:szCs w:val="21"/>
        </w:rPr>
        <w:t>上述项目人员必须为投标单位法人企业正式员工，应附身份证、职称证（如有）、资格证（如有）、注册证（如有）及近6个月</w:t>
      </w:r>
      <w:r>
        <w:rPr>
          <w:rFonts w:hint="eastAsia" w:hAnsi="宋体" w:cs="宋体"/>
          <w:color w:val="auto"/>
          <w:sz w:val="21"/>
          <w:szCs w:val="21"/>
          <w:highlight w:val="none"/>
          <w:lang w:val="en-US" w:eastAsia="zh-CN"/>
        </w:rPr>
        <w:t>（2025年3-8月）</w:t>
      </w:r>
      <w:r>
        <w:rPr>
          <w:rFonts w:hint="eastAsia"/>
          <w:color w:val="auto"/>
          <w:sz w:val="21"/>
          <w:szCs w:val="21"/>
        </w:rPr>
        <w:t>在本单位参保的社会保险证明文件</w:t>
      </w:r>
      <w:r>
        <w:rPr>
          <w:rFonts w:hint="eastAsia" w:hAnsi="宋体" w:cs="宋体"/>
          <w:color w:val="auto"/>
          <w:sz w:val="21"/>
          <w:szCs w:val="21"/>
          <w:lang w:eastAsia="zh-CN"/>
        </w:rPr>
        <w:t>。</w:t>
      </w:r>
    </w:p>
    <w:p w14:paraId="0362FBAE">
      <w:pPr>
        <w:widowControl w:val="0"/>
        <w:spacing w:line="340" w:lineRule="exact"/>
        <w:ind w:left="0" w:firstLine="420" w:firstLineChars="200"/>
        <w:rPr>
          <w:rFonts w:hint="eastAsia"/>
          <w:color w:val="auto"/>
          <w:sz w:val="21"/>
          <w:szCs w:val="21"/>
        </w:rPr>
      </w:pPr>
      <w:r>
        <w:rPr>
          <w:color w:val="auto"/>
          <w:sz w:val="21"/>
          <w:szCs w:val="21"/>
        </w:rPr>
        <w:t>3</w:t>
      </w:r>
      <w:r>
        <w:rPr>
          <w:rFonts w:hint="eastAsia"/>
          <w:color w:val="auto"/>
          <w:sz w:val="21"/>
          <w:szCs w:val="21"/>
        </w:rPr>
        <w:t>、香港专业人士参与投标的，香港专业人士的备案业务范围依据《广东省住房和城乡建设厅关于印发香港工程建设咨询企业和专业人士在粤港澳大湾区内地城市开业执业试点管理暂行办法的通知》（粤建规范[2020]1号）确定。</w:t>
      </w:r>
    </w:p>
    <w:p w14:paraId="79F887BE">
      <w:pPr>
        <w:widowControl w:val="0"/>
        <w:spacing w:line="340" w:lineRule="exact"/>
        <w:ind w:left="0" w:firstLine="420" w:firstLineChars="200"/>
        <w:rPr>
          <w:color w:val="auto"/>
          <w:sz w:val="21"/>
          <w:szCs w:val="21"/>
        </w:rPr>
      </w:pPr>
      <w:r>
        <w:rPr>
          <w:rFonts w:hint="eastAsia"/>
          <w:color w:val="auto"/>
          <w:sz w:val="21"/>
          <w:szCs w:val="21"/>
        </w:rPr>
        <w:t>4、投标人可适当调整该表格式，但不得减少信息内容。</w:t>
      </w:r>
    </w:p>
    <w:p w14:paraId="648421BA">
      <w:pPr>
        <w:ind w:firstLine="480"/>
        <w:rPr>
          <w:rFonts w:hint="eastAsia" w:hAnsi="宋体" w:cs="宋体"/>
          <w:color w:val="auto"/>
        </w:rPr>
      </w:pPr>
    </w:p>
    <w:p w14:paraId="6F21DFB0">
      <w:pPr>
        <w:pStyle w:val="82"/>
        <w:rPr>
          <w:rFonts w:hint="eastAsia"/>
          <w:color w:val="auto"/>
        </w:rPr>
      </w:pPr>
    </w:p>
    <w:p w14:paraId="43788E7E">
      <w:pPr>
        <w:ind w:firstLine="480"/>
        <w:rPr>
          <w:rFonts w:hint="eastAsia" w:hAnsi="宋体" w:cs="宋体"/>
          <w:color w:val="auto"/>
        </w:rPr>
      </w:pPr>
      <w:r>
        <w:rPr>
          <w:rFonts w:hint="eastAsia" w:hAnsi="宋体" w:cs="宋体"/>
          <w:color w:val="auto"/>
        </w:rPr>
        <w:t>投标人（盖单位公章）：</w:t>
      </w:r>
      <w:r>
        <w:rPr>
          <w:rFonts w:hint="eastAsia" w:hAnsi="宋体" w:cs="宋体"/>
          <w:color w:val="auto"/>
          <w:u w:val="single"/>
        </w:rPr>
        <w:t xml:space="preserve">                              </w:t>
      </w:r>
    </w:p>
    <w:p w14:paraId="0A94555F">
      <w:pPr>
        <w:ind w:firstLine="480"/>
        <w:rPr>
          <w:rFonts w:hint="eastAsia" w:hAnsi="宋体" w:cs="宋体"/>
          <w:color w:val="auto"/>
        </w:rPr>
      </w:pPr>
      <w:r>
        <w:rPr>
          <w:rFonts w:hint="eastAsia" w:hAnsi="宋体" w:cs="宋体"/>
          <w:color w:val="auto"/>
        </w:rPr>
        <w:t>法定代表人或其委托代理人（签字或盖章或签章）：</w:t>
      </w:r>
      <w:r>
        <w:rPr>
          <w:rFonts w:hint="eastAsia" w:hAnsi="宋体" w:cs="宋体"/>
          <w:color w:val="auto"/>
          <w:u w:val="single"/>
        </w:rPr>
        <w:t xml:space="preserve">                    </w:t>
      </w:r>
    </w:p>
    <w:p w14:paraId="6E3FAE87">
      <w:pPr>
        <w:pStyle w:val="35"/>
        <w:spacing w:after="0"/>
        <w:ind w:firstLine="480" w:firstLineChars="200"/>
        <w:rPr>
          <w:rFonts w:hint="eastAsia" w:hAnsi="宋体" w:cs="宋体"/>
          <w:color w:val="auto"/>
          <w:szCs w:val="24"/>
        </w:rPr>
      </w:pPr>
      <w:r>
        <w:rPr>
          <w:rFonts w:hint="eastAsia" w:hAnsi="宋体" w:cs="宋体"/>
          <w:color w:val="auto"/>
          <w:szCs w:val="24"/>
        </w:rPr>
        <w:t>日期：_______年_______月______日</w:t>
      </w:r>
    </w:p>
    <w:p w14:paraId="193024BB">
      <w:pPr>
        <w:pStyle w:val="19"/>
        <w:ind w:firstLine="0" w:firstLineChars="0"/>
        <w:rPr>
          <w:rFonts w:hint="eastAsia" w:hAnsi="宋体" w:eastAsia="宋体" w:cs="宋体"/>
          <w:b/>
          <w:color w:val="auto"/>
          <w:sz w:val="21"/>
          <w:szCs w:val="21"/>
        </w:rPr>
      </w:pPr>
      <w:r>
        <w:rPr>
          <w:rFonts w:hint="eastAsia" w:hAnsi="宋体" w:cs="宋体"/>
          <w:color w:val="auto"/>
          <w:sz w:val="21"/>
          <w:szCs w:val="21"/>
        </w:rPr>
        <w:br w:type="page"/>
      </w:r>
    </w:p>
    <w:p w14:paraId="083D7F4E">
      <w:pPr>
        <w:ind w:firstLine="0" w:firstLineChars="0"/>
        <w:jc w:val="center"/>
        <w:rPr>
          <w:rFonts w:hint="eastAsia" w:ascii="宋体" w:hAnsi="宋体" w:cs="宋体"/>
          <w:b/>
          <w:bCs/>
          <w:color w:val="auto"/>
          <w:szCs w:val="24"/>
        </w:rPr>
      </w:pPr>
      <w:r>
        <w:rPr>
          <w:rFonts w:hint="eastAsia" w:ascii="宋体" w:hAnsi="宋体" w:cs="宋体"/>
          <w:b/>
          <w:bCs/>
          <w:color w:val="auto"/>
          <w:szCs w:val="24"/>
        </w:rPr>
        <w:t>拟任项目负责人简历表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50"/>
        <w:gridCol w:w="811"/>
        <w:gridCol w:w="994"/>
        <w:gridCol w:w="565"/>
        <w:gridCol w:w="1978"/>
        <w:gridCol w:w="2252"/>
      </w:tblGrid>
      <w:tr w14:paraId="7DDA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87" w:type="dxa"/>
            <w:noWrap w:val="0"/>
            <w:vAlign w:val="center"/>
          </w:tcPr>
          <w:p w14:paraId="054C9AF1">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姓名</w:t>
            </w:r>
          </w:p>
        </w:tc>
        <w:tc>
          <w:tcPr>
            <w:tcW w:w="1250" w:type="dxa"/>
            <w:noWrap w:val="0"/>
            <w:vAlign w:val="center"/>
          </w:tcPr>
          <w:p w14:paraId="4C21357E">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811" w:type="dxa"/>
            <w:noWrap w:val="0"/>
            <w:vAlign w:val="center"/>
          </w:tcPr>
          <w:p w14:paraId="0AA32714">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年龄</w:t>
            </w:r>
          </w:p>
        </w:tc>
        <w:tc>
          <w:tcPr>
            <w:tcW w:w="994" w:type="dxa"/>
            <w:noWrap w:val="0"/>
            <w:vAlign w:val="center"/>
          </w:tcPr>
          <w:p w14:paraId="2CA30DF5">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2543" w:type="dxa"/>
            <w:gridSpan w:val="2"/>
            <w:noWrap w:val="0"/>
            <w:vAlign w:val="center"/>
          </w:tcPr>
          <w:p w14:paraId="4D0286D1">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执业资格证书（或上岗证书）名称</w:t>
            </w:r>
          </w:p>
        </w:tc>
        <w:tc>
          <w:tcPr>
            <w:tcW w:w="2252" w:type="dxa"/>
            <w:noWrap w:val="0"/>
            <w:vAlign w:val="center"/>
          </w:tcPr>
          <w:p w14:paraId="5E9D7E09">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r>
      <w:tr w14:paraId="5FD4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87" w:type="dxa"/>
            <w:noWrap w:val="0"/>
            <w:vAlign w:val="center"/>
          </w:tcPr>
          <w:p w14:paraId="23CD6628">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职称</w:t>
            </w:r>
          </w:p>
        </w:tc>
        <w:tc>
          <w:tcPr>
            <w:tcW w:w="1250" w:type="dxa"/>
            <w:noWrap w:val="0"/>
            <w:vAlign w:val="center"/>
          </w:tcPr>
          <w:p w14:paraId="77BBCB86">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811" w:type="dxa"/>
            <w:noWrap w:val="0"/>
            <w:vAlign w:val="center"/>
          </w:tcPr>
          <w:p w14:paraId="7F7A5330">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学历</w:t>
            </w:r>
          </w:p>
        </w:tc>
        <w:tc>
          <w:tcPr>
            <w:tcW w:w="994" w:type="dxa"/>
            <w:noWrap w:val="0"/>
            <w:vAlign w:val="center"/>
          </w:tcPr>
          <w:p w14:paraId="1C637676">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2543" w:type="dxa"/>
            <w:gridSpan w:val="2"/>
            <w:noWrap w:val="0"/>
            <w:vAlign w:val="center"/>
          </w:tcPr>
          <w:p w14:paraId="3A0551DF">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拟在本项目任职</w:t>
            </w:r>
          </w:p>
        </w:tc>
        <w:tc>
          <w:tcPr>
            <w:tcW w:w="2252" w:type="dxa"/>
            <w:noWrap w:val="0"/>
            <w:vAlign w:val="center"/>
          </w:tcPr>
          <w:p w14:paraId="6AE1EB4E">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r>
      <w:tr w14:paraId="40B5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87" w:type="dxa"/>
            <w:noWrap w:val="0"/>
            <w:vAlign w:val="center"/>
          </w:tcPr>
          <w:p w14:paraId="75D66B47">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工作年限</w:t>
            </w:r>
          </w:p>
        </w:tc>
        <w:tc>
          <w:tcPr>
            <w:tcW w:w="3055" w:type="dxa"/>
            <w:gridSpan w:val="3"/>
            <w:noWrap w:val="0"/>
            <w:vAlign w:val="center"/>
          </w:tcPr>
          <w:p w14:paraId="4469244B">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2543" w:type="dxa"/>
            <w:gridSpan w:val="2"/>
            <w:noWrap w:val="0"/>
            <w:vAlign w:val="center"/>
          </w:tcPr>
          <w:p w14:paraId="067FC82B">
            <w:pPr>
              <w:keepNext w:val="0"/>
              <w:keepLines w:val="0"/>
              <w:widowControl w:val="0"/>
              <w:suppressLineNumbers w:val="0"/>
              <w:spacing w:before="0" w:beforeAutospacing="0" w:after="0" w:afterAutospacing="0" w:line="400" w:lineRule="exact"/>
              <w:ind w:left="-72" w:leftChars="-30" w:right="-72" w:rightChars="-30" w:firstLine="0" w:firstLineChars="0"/>
              <w:jc w:val="center"/>
              <w:rPr>
                <w:rFonts w:hint="eastAsia" w:hAnsi="宋体" w:eastAsia="宋体" w:cs="宋体"/>
                <w:color w:val="auto"/>
                <w:sz w:val="24"/>
                <w:szCs w:val="24"/>
              </w:rPr>
            </w:pPr>
            <w:r>
              <w:rPr>
                <w:rFonts w:hint="eastAsia" w:hAnsi="宋体" w:eastAsia="宋体" w:cs="宋体"/>
                <w:color w:val="auto"/>
                <w:sz w:val="24"/>
                <w:szCs w:val="24"/>
              </w:rPr>
              <w:t>从事造价咨询工作年限</w:t>
            </w:r>
          </w:p>
        </w:tc>
        <w:tc>
          <w:tcPr>
            <w:tcW w:w="2252" w:type="dxa"/>
            <w:noWrap w:val="0"/>
            <w:vAlign w:val="center"/>
          </w:tcPr>
          <w:p w14:paraId="0999A7FF">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r>
      <w:tr w14:paraId="47E4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87" w:type="dxa"/>
            <w:noWrap w:val="0"/>
            <w:vAlign w:val="center"/>
          </w:tcPr>
          <w:p w14:paraId="498EE8C3">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毕业学校</w:t>
            </w:r>
          </w:p>
        </w:tc>
        <w:tc>
          <w:tcPr>
            <w:tcW w:w="7850" w:type="dxa"/>
            <w:gridSpan w:val="6"/>
            <w:noWrap w:val="0"/>
            <w:vAlign w:val="center"/>
          </w:tcPr>
          <w:p w14:paraId="60C973FF">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r>
      <w:tr w14:paraId="157D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137" w:type="dxa"/>
            <w:gridSpan w:val="7"/>
            <w:noWrap w:val="0"/>
            <w:vAlign w:val="center"/>
          </w:tcPr>
          <w:p w14:paraId="7CD5D4D4">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主要工作经历</w:t>
            </w:r>
          </w:p>
        </w:tc>
      </w:tr>
      <w:tr w14:paraId="78B8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87" w:type="dxa"/>
            <w:noWrap w:val="0"/>
            <w:vAlign w:val="center"/>
          </w:tcPr>
          <w:p w14:paraId="2467C1B0">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时间</w:t>
            </w:r>
          </w:p>
        </w:tc>
        <w:tc>
          <w:tcPr>
            <w:tcW w:w="3620" w:type="dxa"/>
            <w:gridSpan w:val="4"/>
            <w:noWrap w:val="0"/>
            <w:vAlign w:val="center"/>
          </w:tcPr>
          <w:p w14:paraId="7EF21D15">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参加过的类似项目</w:t>
            </w:r>
          </w:p>
        </w:tc>
        <w:tc>
          <w:tcPr>
            <w:tcW w:w="1978" w:type="dxa"/>
            <w:noWrap w:val="0"/>
            <w:vAlign w:val="center"/>
          </w:tcPr>
          <w:p w14:paraId="37CA7D9A">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担任职务</w:t>
            </w:r>
          </w:p>
        </w:tc>
        <w:tc>
          <w:tcPr>
            <w:tcW w:w="2252" w:type="dxa"/>
            <w:noWrap w:val="0"/>
            <w:vAlign w:val="center"/>
          </w:tcPr>
          <w:p w14:paraId="0EA3DE91">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r>
              <w:rPr>
                <w:rFonts w:hint="eastAsia" w:hAnsi="宋体" w:eastAsia="宋体" w:cs="宋体"/>
                <w:color w:val="auto"/>
                <w:sz w:val="24"/>
                <w:szCs w:val="24"/>
              </w:rPr>
              <w:t>委托人及联系电话</w:t>
            </w:r>
          </w:p>
        </w:tc>
      </w:tr>
      <w:tr w14:paraId="0F11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87" w:type="dxa"/>
            <w:noWrap w:val="0"/>
            <w:vAlign w:val="center"/>
          </w:tcPr>
          <w:p w14:paraId="6530A7BC">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3620" w:type="dxa"/>
            <w:gridSpan w:val="4"/>
            <w:noWrap w:val="0"/>
            <w:vAlign w:val="center"/>
          </w:tcPr>
          <w:p w14:paraId="14A0BB3F">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1978" w:type="dxa"/>
            <w:noWrap w:val="0"/>
            <w:vAlign w:val="center"/>
          </w:tcPr>
          <w:p w14:paraId="6D304462">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2252" w:type="dxa"/>
            <w:noWrap w:val="0"/>
            <w:vAlign w:val="center"/>
          </w:tcPr>
          <w:p w14:paraId="3A16E236">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r>
      <w:tr w14:paraId="5186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87" w:type="dxa"/>
            <w:noWrap w:val="0"/>
            <w:vAlign w:val="center"/>
          </w:tcPr>
          <w:p w14:paraId="454D45F8">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3620" w:type="dxa"/>
            <w:gridSpan w:val="4"/>
            <w:noWrap w:val="0"/>
            <w:vAlign w:val="center"/>
          </w:tcPr>
          <w:p w14:paraId="0BD23DC0">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1978" w:type="dxa"/>
            <w:noWrap w:val="0"/>
            <w:vAlign w:val="center"/>
          </w:tcPr>
          <w:p w14:paraId="11E02F80">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c>
          <w:tcPr>
            <w:tcW w:w="2252" w:type="dxa"/>
            <w:noWrap w:val="0"/>
            <w:vAlign w:val="center"/>
          </w:tcPr>
          <w:p w14:paraId="4D124B99">
            <w:pPr>
              <w:keepNext w:val="0"/>
              <w:keepLines w:val="0"/>
              <w:widowControl w:val="0"/>
              <w:suppressLineNumbers w:val="0"/>
              <w:spacing w:before="0" w:beforeAutospacing="0" w:after="0" w:afterAutospacing="0" w:line="400" w:lineRule="exact"/>
              <w:ind w:left="0" w:right="0" w:firstLine="0" w:firstLineChars="0"/>
              <w:jc w:val="center"/>
              <w:rPr>
                <w:rFonts w:hint="eastAsia" w:hAnsi="宋体" w:eastAsia="宋体" w:cs="宋体"/>
                <w:color w:val="auto"/>
                <w:sz w:val="24"/>
                <w:szCs w:val="24"/>
              </w:rPr>
            </w:pPr>
          </w:p>
        </w:tc>
      </w:tr>
    </w:tbl>
    <w:p w14:paraId="28EE6148">
      <w:pPr>
        <w:widowControl w:val="0"/>
        <w:spacing w:line="240" w:lineRule="exact"/>
        <w:ind w:firstLine="480"/>
        <w:rPr>
          <w:rFonts w:hint="eastAsia" w:hAnsi="宋体"/>
          <w:color w:val="auto"/>
          <w:szCs w:val="21"/>
        </w:rPr>
      </w:pPr>
    </w:p>
    <w:p w14:paraId="5D302E81">
      <w:pPr>
        <w:ind w:firstLine="480"/>
        <w:rPr>
          <w:rFonts w:hAnsi="宋体"/>
          <w:color w:val="auto"/>
          <w:szCs w:val="21"/>
        </w:rPr>
      </w:pPr>
      <w:r>
        <w:rPr>
          <w:rFonts w:hint="eastAsia" w:hAnsi="宋体"/>
          <w:color w:val="auto"/>
          <w:szCs w:val="21"/>
        </w:rPr>
        <w:t>备注：</w:t>
      </w:r>
    </w:p>
    <w:p w14:paraId="762ACFD1">
      <w:pPr>
        <w:ind w:firstLine="480"/>
        <w:rPr>
          <w:rFonts w:hAnsi="宋体"/>
          <w:color w:val="auto"/>
          <w:kern w:val="44"/>
          <w:szCs w:val="21"/>
        </w:rPr>
      </w:pPr>
      <w:r>
        <w:rPr>
          <w:rFonts w:hint="eastAsia" w:hAnsi="宋体"/>
          <w:color w:val="auto"/>
          <w:kern w:val="44"/>
          <w:szCs w:val="21"/>
        </w:rPr>
        <w:t>1、以上人员资历证明材料为满足基本要求的相关证明资料</w:t>
      </w:r>
      <w:r>
        <w:rPr>
          <w:rFonts w:hint="eastAsia" w:hAnsi="宋体" w:cs="宋体"/>
          <w:color w:val="auto"/>
          <w:szCs w:val="21"/>
        </w:rPr>
        <w:t>原件清晰彩色扫描</w:t>
      </w:r>
      <w:r>
        <w:rPr>
          <w:rFonts w:hAnsi="宋体" w:cs="宋体"/>
          <w:color w:val="auto"/>
          <w:szCs w:val="21"/>
        </w:rPr>
        <w:t>件</w:t>
      </w:r>
      <w:r>
        <w:rPr>
          <w:rFonts w:hint="eastAsia" w:hAnsi="宋体"/>
          <w:color w:val="auto"/>
          <w:kern w:val="44"/>
          <w:szCs w:val="21"/>
        </w:rPr>
        <w:t>，包括但不限于：职称证书、注册造价工程师注册证、执业资格证书、学历证及近6个月</w:t>
      </w:r>
      <w:r>
        <w:rPr>
          <w:rFonts w:hint="eastAsia" w:hAnsi="宋体" w:cs="宋体"/>
          <w:color w:val="auto"/>
          <w:sz w:val="21"/>
          <w:szCs w:val="21"/>
          <w:highlight w:val="none"/>
          <w:lang w:val="en-US" w:eastAsia="zh-CN"/>
        </w:rPr>
        <w:t>（2025年3-8月）</w:t>
      </w:r>
      <w:r>
        <w:rPr>
          <w:rFonts w:hint="eastAsia" w:hAnsi="宋体"/>
          <w:color w:val="auto"/>
          <w:kern w:val="44"/>
          <w:szCs w:val="21"/>
        </w:rPr>
        <w:t>在本单位参保的社会保险证明文件等。</w:t>
      </w:r>
    </w:p>
    <w:p w14:paraId="1E8DF375">
      <w:pPr>
        <w:ind w:firstLine="480"/>
        <w:rPr>
          <w:rFonts w:hint="eastAsia" w:hAnsi="宋体"/>
          <w:color w:val="auto"/>
          <w:szCs w:val="21"/>
        </w:rPr>
      </w:pPr>
      <w:r>
        <w:rPr>
          <w:rFonts w:hint="eastAsia" w:hAnsi="宋体"/>
          <w:color w:val="auto"/>
          <w:szCs w:val="21"/>
        </w:rPr>
        <w:t>2、</w:t>
      </w:r>
      <w:r>
        <w:rPr>
          <w:rFonts w:hint="eastAsia" w:hAnsi="宋体" w:cs="宋体"/>
          <w:color w:val="auto"/>
          <w:szCs w:val="21"/>
        </w:rPr>
        <w:t>所提供资料内容须满足评审要求</w:t>
      </w:r>
      <w:r>
        <w:rPr>
          <w:rFonts w:hint="eastAsia" w:hAnsi="宋体" w:cs="宋体"/>
          <w:color w:val="auto"/>
        </w:rPr>
        <w:t>。</w:t>
      </w:r>
    </w:p>
    <w:p w14:paraId="17F39711">
      <w:pPr>
        <w:ind w:firstLine="480"/>
        <w:jc w:val="left"/>
        <w:rPr>
          <w:rFonts w:hAnsi="宋体"/>
          <w:color w:val="auto"/>
          <w:szCs w:val="21"/>
        </w:rPr>
      </w:pPr>
    </w:p>
    <w:p w14:paraId="09FD4F6C">
      <w:pPr>
        <w:pStyle w:val="36"/>
        <w:ind w:left="480" w:firstLine="400"/>
        <w:rPr>
          <w:color w:val="auto"/>
        </w:rPr>
      </w:pPr>
    </w:p>
    <w:p w14:paraId="6139C0EA">
      <w:pPr>
        <w:tabs>
          <w:tab w:val="left" w:pos="8364"/>
        </w:tabs>
        <w:snapToGrid w:val="0"/>
        <w:ind w:right="-57" w:firstLine="480"/>
        <w:jc w:val="left"/>
        <w:rPr>
          <w:rFonts w:hAnsi="宋体"/>
          <w:bCs/>
          <w:color w:val="auto"/>
          <w:szCs w:val="24"/>
        </w:rPr>
      </w:pPr>
      <w:r>
        <w:rPr>
          <w:rFonts w:hint="eastAsia" w:hAnsi="宋体"/>
          <w:bCs/>
          <w:color w:val="auto"/>
          <w:szCs w:val="24"/>
        </w:rPr>
        <w:t>投标人名称：</w:t>
      </w:r>
    </w:p>
    <w:p w14:paraId="187E3AF8">
      <w:pPr>
        <w:tabs>
          <w:tab w:val="left" w:pos="8364"/>
        </w:tabs>
        <w:snapToGrid w:val="0"/>
        <w:ind w:right="-57" w:firstLine="480"/>
        <w:jc w:val="left"/>
        <w:rPr>
          <w:rFonts w:hAnsi="宋体"/>
          <w:bCs/>
          <w:color w:val="auto"/>
          <w:szCs w:val="24"/>
        </w:rPr>
      </w:pPr>
      <w:r>
        <w:rPr>
          <w:rFonts w:hint="eastAsia" w:hAnsi="宋体"/>
          <w:bCs/>
          <w:color w:val="auto"/>
          <w:szCs w:val="24"/>
        </w:rPr>
        <w:t>（盖单位公章）</w:t>
      </w:r>
    </w:p>
    <w:p w14:paraId="202B2283">
      <w:pPr>
        <w:tabs>
          <w:tab w:val="left" w:pos="8364"/>
        </w:tabs>
        <w:snapToGrid w:val="0"/>
        <w:ind w:right="-58" w:firstLine="480"/>
        <w:rPr>
          <w:rFonts w:hint="eastAsia" w:hAnsi="宋体"/>
          <w:bCs/>
          <w:color w:val="auto"/>
          <w:szCs w:val="24"/>
        </w:rPr>
      </w:pPr>
      <w:r>
        <w:rPr>
          <w:rFonts w:hAnsi="宋体"/>
          <w:bCs/>
          <w:color w:val="auto"/>
          <w:szCs w:val="24"/>
        </w:rPr>
        <w:t>法定代表人或</w:t>
      </w:r>
      <w:r>
        <w:rPr>
          <w:rFonts w:hint="eastAsia" w:hAnsi="宋体"/>
          <w:bCs/>
          <w:color w:val="auto"/>
          <w:szCs w:val="24"/>
        </w:rPr>
        <w:t>其</w:t>
      </w:r>
      <w:r>
        <w:rPr>
          <w:rFonts w:hAnsi="宋体"/>
          <w:bCs/>
          <w:color w:val="auto"/>
          <w:szCs w:val="24"/>
        </w:rPr>
        <w:t>授权代表(</w:t>
      </w:r>
      <w:r>
        <w:rPr>
          <w:rFonts w:hint="eastAsia" w:hAnsi="宋体"/>
          <w:color w:val="auto"/>
          <w:szCs w:val="24"/>
        </w:rPr>
        <w:t>签字或盖章</w:t>
      </w:r>
      <w:r>
        <w:rPr>
          <w:rFonts w:hint="eastAsia" w:hAnsi="宋体"/>
          <w:bCs/>
          <w:color w:val="auto"/>
          <w:szCs w:val="24"/>
        </w:rPr>
        <w:t>)：</w:t>
      </w:r>
    </w:p>
    <w:p w14:paraId="1E09D6F7">
      <w:pPr>
        <w:tabs>
          <w:tab w:val="left" w:pos="8364"/>
        </w:tabs>
        <w:snapToGrid w:val="0"/>
        <w:ind w:right="-58" w:firstLine="480"/>
        <w:jc w:val="left"/>
        <w:rPr>
          <w:rFonts w:hAnsi="宋体"/>
          <w:bCs/>
          <w:color w:val="auto"/>
          <w:szCs w:val="24"/>
        </w:rPr>
      </w:pPr>
      <w:r>
        <w:rPr>
          <w:rFonts w:hint="eastAsia" w:hAnsi="宋体"/>
          <w:bCs/>
          <w:color w:val="auto"/>
          <w:szCs w:val="24"/>
        </w:rPr>
        <w:t>日</w:t>
      </w:r>
      <w:r>
        <w:rPr>
          <w:rFonts w:hAnsi="宋体"/>
          <w:bCs/>
          <w:color w:val="auto"/>
          <w:szCs w:val="24"/>
        </w:rPr>
        <w:t xml:space="preserve">    </w:t>
      </w:r>
      <w:r>
        <w:rPr>
          <w:rFonts w:hint="eastAsia" w:hAnsi="宋体"/>
          <w:bCs/>
          <w:color w:val="auto"/>
          <w:szCs w:val="24"/>
        </w:rPr>
        <w:t>期：</w:t>
      </w:r>
      <w:r>
        <w:rPr>
          <w:rFonts w:hAnsi="宋体"/>
          <w:bCs/>
          <w:color w:val="auto"/>
          <w:szCs w:val="24"/>
        </w:rPr>
        <w:t xml:space="preserve"> </w:t>
      </w:r>
      <w:r>
        <w:rPr>
          <w:rFonts w:hAnsi="宋体"/>
          <w:bCs/>
          <w:color w:val="auto"/>
          <w:szCs w:val="24"/>
          <w:u w:val="single"/>
        </w:rPr>
        <w:t xml:space="preserve">     </w:t>
      </w:r>
      <w:r>
        <w:rPr>
          <w:rFonts w:hint="eastAsia" w:hAnsi="宋体"/>
          <w:bCs/>
          <w:color w:val="auto"/>
          <w:szCs w:val="24"/>
        </w:rPr>
        <w:t>年</w:t>
      </w:r>
      <w:r>
        <w:rPr>
          <w:rFonts w:hAnsi="宋体"/>
          <w:bCs/>
          <w:color w:val="auto"/>
          <w:szCs w:val="24"/>
          <w:u w:val="single"/>
        </w:rPr>
        <w:t xml:space="preserve">   </w:t>
      </w:r>
      <w:r>
        <w:rPr>
          <w:rFonts w:hint="eastAsia" w:hAnsi="宋体"/>
          <w:bCs/>
          <w:color w:val="auto"/>
          <w:szCs w:val="24"/>
        </w:rPr>
        <w:t>月</w:t>
      </w:r>
      <w:r>
        <w:rPr>
          <w:rFonts w:hAnsi="宋体"/>
          <w:bCs/>
          <w:color w:val="auto"/>
          <w:szCs w:val="24"/>
          <w:u w:val="single"/>
        </w:rPr>
        <w:t xml:space="preserve">    </w:t>
      </w:r>
      <w:r>
        <w:rPr>
          <w:rFonts w:hint="eastAsia" w:hAnsi="宋体"/>
          <w:bCs/>
          <w:color w:val="auto"/>
          <w:szCs w:val="24"/>
        </w:rPr>
        <w:t>日</w:t>
      </w:r>
    </w:p>
    <w:p w14:paraId="3274D122">
      <w:pPr>
        <w:pStyle w:val="75"/>
        <w:ind w:firstLine="0" w:firstLineChars="0"/>
        <w:rPr>
          <w:rFonts w:hint="eastAsia" w:ascii="宋体" w:hAnsi="宋体" w:cs="宋体"/>
          <w:color w:val="auto"/>
          <w:kern w:val="0"/>
          <w:sz w:val="24"/>
          <w:szCs w:val="24"/>
        </w:rPr>
      </w:pPr>
      <w:r>
        <w:rPr>
          <w:rFonts w:hint="eastAsia" w:ascii="宋体" w:hAnsi="宋体" w:cs="宋体"/>
          <w:b/>
          <w:color w:val="auto"/>
          <w:sz w:val="24"/>
          <w:szCs w:val="24"/>
        </w:rPr>
        <w:br w:type="page"/>
      </w:r>
    </w:p>
    <w:p w14:paraId="362B1D4E">
      <w:pPr>
        <w:pStyle w:val="75"/>
        <w:ind w:firstLine="480"/>
        <w:rPr>
          <w:rFonts w:hint="eastAsia" w:ascii="宋体" w:hAnsi="宋体" w:cs="宋体"/>
          <w:color w:val="auto"/>
          <w:kern w:val="0"/>
          <w:sz w:val="24"/>
          <w:szCs w:val="24"/>
        </w:rPr>
      </w:pPr>
    </w:p>
    <w:p w14:paraId="350CEF6F">
      <w:pPr>
        <w:pStyle w:val="75"/>
        <w:ind w:firstLine="480"/>
        <w:rPr>
          <w:rFonts w:hint="eastAsia" w:ascii="宋体" w:hAnsi="宋体" w:cs="宋体"/>
          <w:color w:val="auto"/>
          <w:kern w:val="0"/>
          <w:sz w:val="24"/>
          <w:szCs w:val="24"/>
        </w:rPr>
      </w:pPr>
    </w:p>
    <w:p w14:paraId="6FC5ADE6">
      <w:pPr>
        <w:ind w:firstLine="0" w:firstLineChars="0"/>
        <w:jc w:val="center"/>
        <w:rPr>
          <w:rFonts w:hint="eastAsia" w:hAnsi="宋体" w:cs="宋体"/>
          <w:b/>
          <w:bCs/>
          <w:color w:val="auto"/>
          <w:szCs w:val="24"/>
        </w:rPr>
      </w:pPr>
      <w:r>
        <w:rPr>
          <w:rFonts w:hint="eastAsia" w:hAnsi="宋体" w:cs="宋体"/>
          <w:b/>
          <w:bCs/>
          <w:color w:val="auto"/>
          <w:szCs w:val="24"/>
          <w:highlight w:val="none"/>
        </w:rPr>
        <w:t>20</w:t>
      </w:r>
      <w:r>
        <w:rPr>
          <w:rFonts w:hint="eastAsia" w:hAnsi="宋体" w:cs="宋体"/>
          <w:b/>
          <w:bCs/>
          <w:color w:val="auto"/>
          <w:szCs w:val="24"/>
          <w:highlight w:val="none"/>
          <w:lang w:val="en-US" w:eastAsia="zh-CN"/>
        </w:rPr>
        <w:t>20</w:t>
      </w:r>
      <w:r>
        <w:rPr>
          <w:rFonts w:hint="eastAsia" w:hAnsi="宋体" w:cs="宋体"/>
          <w:b/>
          <w:bCs/>
          <w:color w:val="auto"/>
          <w:szCs w:val="24"/>
          <w:highlight w:val="none"/>
        </w:rPr>
        <w:t>年1月1日</w:t>
      </w:r>
      <w:r>
        <w:rPr>
          <w:rFonts w:hint="eastAsia" w:hAnsi="宋体" w:cs="宋体"/>
          <w:b/>
          <w:bCs/>
          <w:color w:val="auto"/>
          <w:szCs w:val="24"/>
        </w:rPr>
        <w:t>至今类似项目业绩表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805"/>
        <w:gridCol w:w="1205"/>
        <w:gridCol w:w="1604"/>
        <w:gridCol w:w="1604"/>
        <w:gridCol w:w="1205"/>
        <w:gridCol w:w="910"/>
      </w:tblGrid>
      <w:tr w14:paraId="52D7D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65" w:type="dxa"/>
            <w:tcBorders>
              <w:top w:val="single" w:color="auto" w:sz="6" w:space="0"/>
              <w:left w:val="single" w:color="auto" w:sz="6" w:space="0"/>
              <w:bottom w:val="single" w:color="auto" w:sz="6" w:space="0"/>
              <w:right w:val="single" w:color="auto" w:sz="6" w:space="0"/>
            </w:tcBorders>
            <w:noWrap w:val="0"/>
            <w:vAlign w:val="center"/>
          </w:tcPr>
          <w:p w14:paraId="13AC2378">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序号</w:t>
            </w:r>
          </w:p>
        </w:tc>
        <w:tc>
          <w:tcPr>
            <w:tcW w:w="1805" w:type="dxa"/>
            <w:tcBorders>
              <w:top w:val="single" w:color="auto" w:sz="6" w:space="0"/>
              <w:left w:val="single" w:color="auto" w:sz="6" w:space="0"/>
              <w:bottom w:val="single" w:color="auto" w:sz="6" w:space="0"/>
              <w:right w:val="single" w:color="auto" w:sz="6" w:space="0"/>
            </w:tcBorders>
            <w:noWrap w:val="0"/>
            <w:vAlign w:val="center"/>
          </w:tcPr>
          <w:p w14:paraId="1A766122">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项目名称</w:t>
            </w:r>
          </w:p>
        </w:tc>
        <w:tc>
          <w:tcPr>
            <w:tcW w:w="1205" w:type="dxa"/>
            <w:tcBorders>
              <w:top w:val="single" w:color="auto" w:sz="6" w:space="0"/>
              <w:left w:val="single" w:color="auto" w:sz="6" w:space="0"/>
              <w:bottom w:val="single" w:color="auto" w:sz="6" w:space="0"/>
              <w:right w:val="single" w:color="auto" w:sz="6" w:space="0"/>
            </w:tcBorders>
            <w:noWrap w:val="0"/>
            <w:vAlign w:val="center"/>
          </w:tcPr>
          <w:p w14:paraId="42DCF175">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委托单位</w:t>
            </w:r>
          </w:p>
        </w:tc>
        <w:tc>
          <w:tcPr>
            <w:tcW w:w="1604" w:type="dxa"/>
            <w:tcBorders>
              <w:top w:val="single" w:color="auto" w:sz="6" w:space="0"/>
              <w:left w:val="single" w:color="auto" w:sz="6" w:space="0"/>
              <w:bottom w:val="single" w:color="auto" w:sz="6" w:space="0"/>
              <w:right w:val="single" w:color="auto" w:sz="6" w:space="0"/>
            </w:tcBorders>
            <w:noWrap w:val="0"/>
            <w:vAlign w:val="center"/>
          </w:tcPr>
          <w:p w14:paraId="4432C45C">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委托单位联系人电话</w:t>
            </w:r>
          </w:p>
        </w:tc>
        <w:tc>
          <w:tcPr>
            <w:tcW w:w="1604" w:type="dxa"/>
            <w:tcBorders>
              <w:top w:val="single" w:color="auto" w:sz="6" w:space="0"/>
              <w:left w:val="single" w:color="auto" w:sz="6" w:space="0"/>
              <w:bottom w:val="single" w:color="auto" w:sz="6" w:space="0"/>
              <w:right w:val="single" w:color="auto" w:sz="6" w:space="0"/>
            </w:tcBorders>
            <w:noWrap w:val="0"/>
            <w:vAlign w:val="center"/>
          </w:tcPr>
          <w:p w14:paraId="6F1257CF">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eastAsia" w:hAnsi="宋体" w:cs="宋体"/>
                <w:color w:val="auto"/>
                <w:sz w:val="21"/>
                <w:szCs w:val="21"/>
              </w:rPr>
              <w:t>工程造价</w:t>
            </w:r>
          </w:p>
        </w:tc>
        <w:tc>
          <w:tcPr>
            <w:tcW w:w="1205" w:type="dxa"/>
            <w:tcBorders>
              <w:top w:val="single" w:color="auto" w:sz="6" w:space="0"/>
              <w:left w:val="single" w:color="auto" w:sz="6" w:space="0"/>
              <w:bottom w:val="single" w:color="auto" w:sz="6" w:space="0"/>
              <w:right w:val="single" w:color="auto" w:sz="6" w:space="0"/>
            </w:tcBorders>
            <w:noWrap w:val="0"/>
            <w:vAlign w:val="center"/>
          </w:tcPr>
          <w:p w14:paraId="621E3061">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Cs/>
                <w:color w:val="auto"/>
                <w:sz w:val="21"/>
                <w:szCs w:val="21"/>
              </w:rPr>
            </w:pPr>
            <w:r>
              <w:rPr>
                <w:rFonts w:hint="eastAsia" w:hAnsi="宋体" w:cs="宋体"/>
                <w:color w:val="auto"/>
                <w:sz w:val="21"/>
                <w:szCs w:val="21"/>
              </w:rPr>
              <w:t>造价服务类型</w:t>
            </w:r>
          </w:p>
        </w:tc>
        <w:tc>
          <w:tcPr>
            <w:tcW w:w="910" w:type="dxa"/>
            <w:tcBorders>
              <w:top w:val="single" w:color="auto" w:sz="6" w:space="0"/>
              <w:left w:val="single" w:color="auto" w:sz="6" w:space="0"/>
              <w:bottom w:val="single" w:color="auto" w:sz="6" w:space="0"/>
              <w:right w:val="single" w:color="auto" w:sz="6" w:space="0"/>
            </w:tcBorders>
            <w:noWrap w:val="0"/>
            <w:vAlign w:val="center"/>
          </w:tcPr>
          <w:p w14:paraId="41CD192D">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备注</w:t>
            </w:r>
          </w:p>
        </w:tc>
      </w:tr>
      <w:tr w14:paraId="6AFB7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65" w:type="dxa"/>
            <w:tcBorders>
              <w:top w:val="single" w:color="auto" w:sz="6" w:space="0"/>
              <w:left w:val="single" w:color="auto" w:sz="6" w:space="0"/>
              <w:bottom w:val="single" w:color="auto" w:sz="6" w:space="0"/>
              <w:right w:val="single" w:color="auto" w:sz="6" w:space="0"/>
            </w:tcBorders>
            <w:noWrap w:val="0"/>
            <w:vAlign w:val="center"/>
          </w:tcPr>
          <w:p w14:paraId="4CB83380">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eastAsia" w:hAnsi="宋体" w:cs="宋体"/>
                <w:color w:val="auto"/>
                <w:sz w:val="21"/>
                <w:szCs w:val="21"/>
              </w:rPr>
              <w:t>1</w:t>
            </w:r>
          </w:p>
        </w:tc>
        <w:tc>
          <w:tcPr>
            <w:tcW w:w="1805" w:type="dxa"/>
            <w:tcBorders>
              <w:top w:val="single" w:color="auto" w:sz="6" w:space="0"/>
              <w:left w:val="single" w:color="auto" w:sz="6" w:space="0"/>
              <w:bottom w:val="single" w:color="auto" w:sz="6" w:space="0"/>
              <w:right w:val="single" w:color="auto" w:sz="6" w:space="0"/>
            </w:tcBorders>
            <w:noWrap w:val="0"/>
            <w:vAlign w:val="center"/>
          </w:tcPr>
          <w:p w14:paraId="73556E98">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205" w:type="dxa"/>
            <w:tcBorders>
              <w:top w:val="single" w:color="auto" w:sz="6" w:space="0"/>
              <w:left w:val="single" w:color="auto" w:sz="6" w:space="0"/>
              <w:bottom w:val="single" w:color="auto" w:sz="6" w:space="0"/>
              <w:right w:val="single" w:color="auto" w:sz="6" w:space="0"/>
            </w:tcBorders>
            <w:noWrap w:val="0"/>
            <w:vAlign w:val="center"/>
          </w:tcPr>
          <w:p w14:paraId="2F2073F7">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2B06D17D">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3DED30EB">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205" w:type="dxa"/>
            <w:tcBorders>
              <w:top w:val="single" w:color="auto" w:sz="6" w:space="0"/>
              <w:left w:val="single" w:color="auto" w:sz="6" w:space="0"/>
              <w:bottom w:val="single" w:color="auto" w:sz="6" w:space="0"/>
              <w:right w:val="single" w:color="auto" w:sz="6" w:space="0"/>
            </w:tcBorders>
            <w:noWrap w:val="0"/>
            <w:vAlign w:val="center"/>
          </w:tcPr>
          <w:p w14:paraId="12043913">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14:paraId="012502B3">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7DAB0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65" w:type="dxa"/>
            <w:tcBorders>
              <w:top w:val="single" w:color="auto" w:sz="6" w:space="0"/>
              <w:left w:val="single" w:color="auto" w:sz="6" w:space="0"/>
              <w:bottom w:val="single" w:color="auto" w:sz="6" w:space="0"/>
              <w:right w:val="single" w:color="auto" w:sz="6" w:space="0"/>
            </w:tcBorders>
            <w:noWrap w:val="0"/>
            <w:vAlign w:val="center"/>
          </w:tcPr>
          <w:p w14:paraId="3550F5D0">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eastAsia" w:hAnsi="宋体" w:cs="宋体"/>
                <w:color w:val="auto"/>
                <w:sz w:val="21"/>
                <w:szCs w:val="21"/>
              </w:rPr>
              <w:t>2</w:t>
            </w:r>
          </w:p>
        </w:tc>
        <w:tc>
          <w:tcPr>
            <w:tcW w:w="1805" w:type="dxa"/>
            <w:tcBorders>
              <w:top w:val="single" w:color="auto" w:sz="6" w:space="0"/>
              <w:left w:val="single" w:color="auto" w:sz="6" w:space="0"/>
              <w:bottom w:val="single" w:color="auto" w:sz="6" w:space="0"/>
              <w:right w:val="single" w:color="auto" w:sz="6" w:space="0"/>
            </w:tcBorders>
            <w:noWrap w:val="0"/>
            <w:vAlign w:val="center"/>
          </w:tcPr>
          <w:p w14:paraId="66047F90">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205" w:type="dxa"/>
            <w:tcBorders>
              <w:top w:val="single" w:color="auto" w:sz="6" w:space="0"/>
              <w:left w:val="single" w:color="auto" w:sz="6" w:space="0"/>
              <w:bottom w:val="single" w:color="auto" w:sz="6" w:space="0"/>
              <w:right w:val="single" w:color="auto" w:sz="6" w:space="0"/>
            </w:tcBorders>
            <w:noWrap w:val="0"/>
            <w:vAlign w:val="center"/>
          </w:tcPr>
          <w:p w14:paraId="5A863E2F">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74F5F0A2">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14B22A9F">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205" w:type="dxa"/>
            <w:tcBorders>
              <w:top w:val="single" w:color="auto" w:sz="6" w:space="0"/>
              <w:left w:val="single" w:color="auto" w:sz="6" w:space="0"/>
              <w:bottom w:val="single" w:color="auto" w:sz="6" w:space="0"/>
              <w:right w:val="single" w:color="auto" w:sz="6" w:space="0"/>
            </w:tcBorders>
            <w:noWrap w:val="0"/>
            <w:vAlign w:val="center"/>
          </w:tcPr>
          <w:p w14:paraId="726192B2">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14:paraId="7C80FBE0">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229C4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865" w:type="dxa"/>
            <w:tcBorders>
              <w:top w:val="single" w:color="auto" w:sz="6" w:space="0"/>
              <w:left w:val="single" w:color="auto" w:sz="6" w:space="0"/>
              <w:bottom w:val="single" w:color="auto" w:sz="6" w:space="0"/>
              <w:right w:val="single" w:color="auto" w:sz="6" w:space="0"/>
            </w:tcBorders>
            <w:noWrap w:val="0"/>
            <w:vAlign w:val="center"/>
          </w:tcPr>
          <w:p w14:paraId="12D941FB">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eastAsia" w:hAnsi="宋体" w:cs="宋体"/>
                <w:color w:val="auto"/>
                <w:sz w:val="21"/>
                <w:szCs w:val="21"/>
              </w:rPr>
              <w:t>3</w:t>
            </w:r>
          </w:p>
        </w:tc>
        <w:tc>
          <w:tcPr>
            <w:tcW w:w="1805" w:type="dxa"/>
            <w:tcBorders>
              <w:top w:val="single" w:color="auto" w:sz="6" w:space="0"/>
              <w:left w:val="single" w:color="auto" w:sz="6" w:space="0"/>
              <w:bottom w:val="single" w:color="auto" w:sz="6" w:space="0"/>
              <w:right w:val="single" w:color="auto" w:sz="6" w:space="0"/>
            </w:tcBorders>
            <w:noWrap w:val="0"/>
            <w:vAlign w:val="center"/>
          </w:tcPr>
          <w:p w14:paraId="4823E3A4">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205" w:type="dxa"/>
            <w:tcBorders>
              <w:top w:val="single" w:color="auto" w:sz="6" w:space="0"/>
              <w:left w:val="single" w:color="auto" w:sz="6" w:space="0"/>
              <w:bottom w:val="single" w:color="auto" w:sz="6" w:space="0"/>
              <w:right w:val="single" w:color="auto" w:sz="6" w:space="0"/>
            </w:tcBorders>
            <w:noWrap w:val="0"/>
            <w:vAlign w:val="center"/>
          </w:tcPr>
          <w:p w14:paraId="1F935B72">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06D8E918">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2D892B26">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205" w:type="dxa"/>
            <w:tcBorders>
              <w:top w:val="single" w:color="auto" w:sz="6" w:space="0"/>
              <w:left w:val="single" w:color="auto" w:sz="6" w:space="0"/>
              <w:bottom w:val="single" w:color="auto" w:sz="6" w:space="0"/>
              <w:right w:val="single" w:color="auto" w:sz="6" w:space="0"/>
            </w:tcBorders>
            <w:noWrap w:val="0"/>
            <w:vAlign w:val="center"/>
          </w:tcPr>
          <w:p w14:paraId="7FEF6BFB">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14:paraId="6C99F8B4">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r>
      <w:tr w14:paraId="1512C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5" w:type="dxa"/>
            <w:tcBorders>
              <w:top w:val="single" w:color="auto" w:sz="6" w:space="0"/>
              <w:left w:val="single" w:color="auto" w:sz="6" w:space="0"/>
              <w:bottom w:val="single" w:color="auto" w:sz="6" w:space="0"/>
              <w:right w:val="single" w:color="auto" w:sz="6" w:space="0"/>
            </w:tcBorders>
            <w:noWrap w:val="0"/>
            <w:vAlign w:val="center"/>
          </w:tcPr>
          <w:p w14:paraId="0744F291">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r>
              <w:rPr>
                <w:rFonts w:hint="eastAsia" w:hAnsi="宋体" w:cs="宋体"/>
                <w:color w:val="auto"/>
                <w:sz w:val="21"/>
                <w:szCs w:val="21"/>
              </w:rPr>
              <w:t>…</w:t>
            </w:r>
          </w:p>
        </w:tc>
        <w:tc>
          <w:tcPr>
            <w:tcW w:w="1805" w:type="dxa"/>
            <w:tcBorders>
              <w:top w:val="single" w:color="auto" w:sz="6" w:space="0"/>
              <w:left w:val="single" w:color="auto" w:sz="6" w:space="0"/>
              <w:bottom w:val="single" w:color="auto" w:sz="6" w:space="0"/>
              <w:right w:val="single" w:color="auto" w:sz="6" w:space="0"/>
            </w:tcBorders>
            <w:noWrap w:val="0"/>
            <w:vAlign w:val="center"/>
          </w:tcPr>
          <w:p w14:paraId="3A67032D">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205" w:type="dxa"/>
            <w:tcBorders>
              <w:top w:val="single" w:color="auto" w:sz="6" w:space="0"/>
              <w:left w:val="single" w:color="auto" w:sz="6" w:space="0"/>
              <w:bottom w:val="single" w:color="auto" w:sz="6" w:space="0"/>
              <w:right w:val="single" w:color="auto" w:sz="6" w:space="0"/>
            </w:tcBorders>
            <w:noWrap w:val="0"/>
            <w:vAlign w:val="center"/>
          </w:tcPr>
          <w:p w14:paraId="033161DE">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151369A6">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087D8B58">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1205" w:type="dxa"/>
            <w:tcBorders>
              <w:top w:val="single" w:color="auto" w:sz="6" w:space="0"/>
              <w:left w:val="single" w:color="auto" w:sz="6" w:space="0"/>
              <w:bottom w:val="single" w:color="auto" w:sz="6" w:space="0"/>
              <w:right w:val="single" w:color="auto" w:sz="6" w:space="0"/>
            </w:tcBorders>
            <w:noWrap w:val="0"/>
            <w:vAlign w:val="center"/>
          </w:tcPr>
          <w:p w14:paraId="1DF3F079">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14:paraId="23808156">
            <w:pPr>
              <w:keepNext w:val="0"/>
              <w:keepLines w:val="0"/>
              <w:widowControl/>
              <w:suppressLineNumbers w:val="0"/>
              <w:spacing w:before="0" w:beforeAutospacing="0" w:after="0" w:afterAutospacing="0" w:line="240" w:lineRule="auto"/>
              <w:ind w:left="0" w:right="0" w:firstLine="0" w:firstLineChars="0"/>
              <w:jc w:val="center"/>
              <w:rPr>
                <w:rFonts w:hint="eastAsia" w:hAnsi="宋体" w:cs="宋体"/>
                <w:color w:val="auto"/>
                <w:sz w:val="21"/>
                <w:szCs w:val="21"/>
              </w:rPr>
            </w:pPr>
          </w:p>
        </w:tc>
      </w:tr>
    </w:tbl>
    <w:p w14:paraId="1025305D">
      <w:pPr>
        <w:tabs>
          <w:tab w:val="left" w:pos="1050"/>
          <w:tab w:val="left" w:pos="1838"/>
        </w:tabs>
        <w:ind w:firstLine="480"/>
        <w:rPr>
          <w:rFonts w:hint="eastAsia" w:hAnsi="宋体" w:cs="宋体"/>
          <w:color w:val="auto"/>
        </w:rPr>
      </w:pPr>
      <w:r>
        <w:rPr>
          <w:rFonts w:hint="eastAsia" w:hAnsi="宋体" w:cs="宋体"/>
          <w:color w:val="auto"/>
        </w:rPr>
        <w:t>注：投标人应根据《综合评分表》的要求在本表后附相关证明材料。</w:t>
      </w:r>
      <w:r>
        <w:rPr>
          <w:rFonts w:hint="eastAsia" w:hAnsi="宋体" w:cs="宋体"/>
          <w:color w:val="auto"/>
          <w:szCs w:val="21"/>
        </w:rPr>
        <w:t>所提供资料内容须满足评审要求。</w:t>
      </w:r>
    </w:p>
    <w:p w14:paraId="3BAE5DF6">
      <w:pPr>
        <w:ind w:left="3840" w:leftChars="1600" w:firstLine="960" w:firstLineChars="400"/>
        <w:rPr>
          <w:rFonts w:hint="eastAsia" w:hAnsi="宋体" w:cs="宋体"/>
          <w:color w:val="auto"/>
        </w:rPr>
      </w:pPr>
    </w:p>
    <w:p w14:paraId="5D1A453E">
      <w:pPr>
        <w:ind w:firstLine="480"/>
        <w:rPr>
          <w:rFonts w:hint="eastAsia" w:hAnsi="宋体" w:cs="宋体"/>
          <w:color w:val="auto"/>
        </w:rPr>
      </w:pPr>
    </w:p>
    <w:p w14:paraId="15FF77B6">
      <w:pPr>
        <w:ind w:firstLine="480"/>
        <w:rPr>
          <w:rFonts w:hint="eastAsia" w:hAnsi="宋体" w:cs="宋体"/>
          <w:color w:val="auto"/>
        </w:rPr>
      </w:pPr>
      <w:r>
        <w:rPr>
          <w:rFonts w:hint="eastAsia" w:hAnsi="宋体" w:cs="宋体"/>
          <w:color w:val="auto"/>
        </w:rPr>
        <w:t>投标人（盖单位公章）：</w:t>
      </w:r>
      <w:r>
        <w:rPr>
          <w:rFonts w:hint="eastAsia" w:hAnsi="宋体" w:cs="宋体"/>
          <w:color w:val="auto"/>
          <w:u w:val="single"/>
        </w:rPr>
        <w:t xml:space="preserve">                              </w:t>
      </w:r>
    </w:p>
    <w:p w14:paraId="3F92C555">
      <w:pPr>
        <w:ind w:firstLine="480"/>
        <w:rPr>
          <w:rFonts w:hint="eastAsia" w:hAnsi="宋体" w:cs="宋体"/>
          <w:color w:val="auto"/>
        </w:rPr>
      </w:pPr>
      <w:r>
        <w:rPr>
          <w:rFonts w:hint="eastAsia" w:hAnsi="宋体" w:cs="宋体"/>
          <w:color w:val="auto"/>
        </w:rPr>
        <w:t>法定代表人或其委托代理人（签字或盖章或签章）：</w:t>
      </w:r>
      <w:r>
        <w:rPr>
          <w:rFonts w:hint="eastAsia" w:hAnsi="宋体" w:cs="宋体"/>
          <w:color w:val="auto"/>
          <w:u w:val="single"/>
        </w:rPr>
        <w:t xml:space="preserve">                    </w:t>
      </w:r>
    </w:p>
    <w:p w14:paraId="567837F5">
      <w:pPr>
        <w:pStyle w:val="35"/>
        <w:spacing w:after="0"/>
        <w:ind w:firstLine="480" w:firstLineChars="200"/>
        <w:rPr>
          <w:rFonts w:hint="eastAsia" w:hAnsi="宋体" w:cs="宋体"/>
          <w:color w:val="auto"/>
          <w:szCs w:val="24"/>
        </w:rPr>
      </w:pPr>
      <w:r>
        <w:rPr>
          <w:rFonts w:hint="eastAsia" w:hAnsi="宋体" w:cs="宋体"/>
          <w:color w:val="auto"/>
          <w:szCs w:val="24"/>
        </w:rPr>
        <w:t>日期：_______年_______月______日</w:t>
      </w:r>
    </w:p>
    <w:p w14:paraId="14D79294">
      <w:pPr>
        <w:ind w:left="3840" w:leftChars="1600" w:firstLine="960" w:firstLineChars="400"/>
        <w:rPr>
          <w:rFonts w:hint="eastAsia" w:hAnsi="宋体" w:cs="宋体"/>
          <w:color w:val="auto"/>
        </w:rPr>
      </w:pPr>
    </w:p>
    <w:p w14:paraId="530A5F62">
      <w:pPr>
        <w:pStyle w:val="35"/>
        <w:widowControl w:val="0"/>
        <w:spacing w:after="0"/>
        <w:ind w:firstLine="0" w:firstLineChars="0"/>
        <w:rPr>
          <w:rFonts w:hint="eastAsia" w:hAnsi="宋体" w:cs="宋体"/>
          <w:color w:val="auto"/>
          <w:szCs w:val="24"/>
        </w:rPr>
      </w:pPr>
      <w:r>
        <w:rPr>
          <w:rFonts w:hint="eastAsia" w:hAnsi="宋体" w:cs="宋体"/>
          <w:b/>
          <w:color w:val="auto"/>
          <w:szCs w:val="24"/>
        </w:rPr>
        <w:br w:type="page"/>
      </w:r>
    </w:p>
    <w:p w14:paraId="144338A2">
      <w:pPr>
        <w:pStyle w:val="82"/>
        <w:rPr>
          <w:color w:val="auto"/>
        </w:rPr>
      </w:pPr>
    </w:p>
    <w:p w14:paraId="01EE93C1">
      <w:pPr>
        <w:pStyle w:val="4"/>
        <w:keepNext w:val="0"/>
        <w:keepLines w:val="0"/>
        <w:widowControl w:val="0"/>
        <w:jc w:val="center"/>
        <w:rPr>
          <w:rFonts w:hint="eastAsia" w:hAnsi="宋体" w:cs="宋体"/>
          <w:bCs w:val="0"/>
          <w:color w:val="auto"/>
          <w:sz w:val="28"/>
          <w:szCs w:val="28"/>
        </w:rPr>
      </w:pPr>
      <w:bookmarkStart w:id="454" w:name="_Toc18605"/>
      <w:bookmarkStart w:id="455" w:name="_Toc6502"/>
      <w:r>
        <w:rPr>
          <w:rFonts w:hint="eastAsia" w:hAnsi="宋体" w:cs="宋体"/>
          <w:bCs w:val="0"/>
          <w:color w:val="auto"/>
          <w:sz w:val="28"/>
          <w:szCs w:val="28"/>
          <w:lang w:eastAsia="zh-CN"/>
        </w:rPr>
        <w:t>七</w:t>
      </w:r>
      <w:r>
        <w:rPr>
          <w:rFonts w:hint="eastAsia" w:hAnsi="宋体" w:cs="宋体"/>
          <w:bCs w:val="0"/>
          <w:color w:val="auto"/>
          <w:sz w:val="28"/>
          <w:szCs w:val="28"/>
        </w:rPr>
        <w:t>、技术部分</w:t>
      </w:r>
      <w:bookmarkEnd w:id="454"/>
      <w:bookmarkEnd w:id="455"/>
    </w:p>
    <w:p w14:paraId="3063F02A">
      <w:pPr>
        <w:ind w:firstLine="480"/>
        <w:rPr>
          <w:rFonts w:hint="eastAsia"/>
          <w:color w:val="auto"/>
        </w:rPr>
      </w:pPr>
    </w:p>
    <w:p w14:paraId="2FC06F18">
      <w:pPr>
        <w:widowControl w:val="0"/>
        <w:ind w:firstLine="0" w:firstLineChars="0"/>
        <w:jc w:val="center"/>
        <w:rPr>
          <w:rFonts w:hint="eastAsia" w:eastAsia="仿宋"/>
          <w:bCs/>
          <w:color w:val="auto"/>
          <w:szCs w:val="24"/>
        </w:rPr>
      </w:pPr>
      <w:bookmarkStart w:id="456" w:name="_Toc12229_WPSOffice_Level1"/>
      <w:bookmarkStart w:id="457" w:name="_Toc21854_WPSOffice_Level1"/>
      <w:bookmarkStart w:id="458" w:name="_Toc25423_WPSOffice_Level1"/>
      <w:bookmarkStart w:id="459" w:name="_Toc6654_WPSOffice_Level1"/>
      <w:r>
        <w:rPr>
          <w:rFonts w:hint="eastAsia" w:hAnsi="宋体" w:cs="宋体"/>
          <w:bCs/>
          <w:color w:val="auto"/>
          <w:szCs w:val="24"/>
        </w:rPr>
        <w:t>由投标人根据《综合评分表》自行编制</w:t>
      </w:r>
      <w:bookmarkEnd w:id="456"/>
      <w:bookmarkEnd w:id="457"/>
      <w:bookmarkEnd w:id="458"/>
      <w:bookmarkEnd w:id="459"/>
      <w:r>
        <w:rPr>
          <w:rFonts w:hint="eastAsia" w:hAnsi="宋体" w:cs="宋体"/>
          <w:bCs/>
          <w:color w:val="auto"/>
          <w:szCs w:val="24"/>
        </w:rPr>
        <w:t>，</w:t>
      </w:r>
      <w:r>
        <w:rPr>
          <w:rFonts w:hint="eastAsia" w:hAnsi="宋体" w:cs="宋体"/>
          <w:bCs/>
          <w:color w:val="auto"/>
        </w:rPr>
        <w:t>格式自定</w:t>
      </w:r>
      <w:r>
        <w:rPr>
          <w:rFonts w:hint="eastAsia" w:hAnsi="宋体" w:cs="宋体"/>
          <w:bCs/>
          <w:color w:val="auto"/>
          <w:szCs w:val="24"/>
        </w:rPr>
        <w:t>。</w:t>
      </w:r>
    </w:p>
    <w:p w14:paraId="2921E050">
      <w:pPr>
        <w:ind w:firstLine="602"/>
        <w:jc w:val="left"/>
        <w:rPr>
          <w:rFonts w:hint="eastAsia" w:hAnsi="宋体" w:cs="宋体"/>
          <w:b/>
          <w:color w:val="auto"/>
          <w:sz w:val="30"/>
          <w:szCs w:val="30"/>
        </w:rPr>
      </w:pPr>
    </w:p>
    <w:p w14:paraId="751FD2BC">
      <w:pPr>
        <w:pStyle w:val="35"/>
        <w:widowControl w:val="0"/>
        <w:spacing w:after="0"/>
        <w:ind w:firstLine="0" w:firstLineChars="0"/>
        <w:rPr>
          <w:rFonts w:hint="eastAsia" w:hAnsi="宋体" w:cs="宋体"/>
          <w:color w:val="auto"/>
          <w:szCs w:val="24"/>
        </w:rPr>
      </w:pPr>
      <w:r>
        <w:rPr>
          <w:rFonts w:hint="eastAsia"/>
          <w:color w:val="auto"/>
        </w:rPr>
        <w:br w:type="page"/>
      </w:r>
    </w:p>
    <w:p w14:paraId="5126312B">
      <w:pPr>
        <w:pStyle w:val="82"/>
        <w:rPr>
          <w:color w:val="auto"/>
        </w:rPr>
      </w:pPr>
    </w:p>
    <w:p w14:paraId="39302905">
      <w:pPr>
        <w:pStyle w:val="4"/>
        <w:keepNext w:val="0"/>
        <w:keepLines w:val="0"/>
        <w:widowControl w:val="0"/>
        <w:jc w:val="center"/>
        <w:rPr>
          <w:rFonts w:hint="eastAsia" w:hAnsi="宋体" w:cs="宋体"/>
          <w:bCs w:val="0"/>
          <w:color w:val="auto"/>
          <w:sz w:val="28"/>
          <w:szCs w:val="28"/>
        </w:rPr>
      </w:pPr>
      <w:bookmarkStart w:id="460" w:name="_Toc12736"/>
      <w:bookmarkStart w:id="461" w:name="_Toc5193"/>
      <w:r>
        <w:rPr>
          <w:rFonts w:hint="eastAsia" w:hAnsi="宋体" w:cs="宋体"/>
          <w:bCs w:val="0"/>
          <w:color w:val="auto"/>
          <w:sz w:val="28"/>
          <w:szCs w:val="28"/>
          <w:lang w:eastAsia="zh-CN"/>
        </w:rPr>
        <w:t>八</w:t>
      </w:r>
      <w:r>
        <w:rPr>
          <w:rFonts w:hint="eastAsia" w:hAnsi="宋体" w:cs="宋体"/>
          <w:bCs w:val="0"/>
          <w:color w:val="auto"/>
          <w:sz w:val="28"/>
          <w:szCs w:val="28"/>
        </w:rPr>
        <w:t>、物资投入及配置</w:t>
      </w:r>
      <w:bookmarkEnd w:id="460"/>
      <w:bookmarkEnd w:id="461"/>
    </w:p>
    <w:p w14:paraId="4222C3D6">
      <w:pPr>
        <w:ind w:firstLine="480"/>
        <w:rPr>
          <w:rFonts w:hint="eastAsia"/>
          <w:color w:val="auto"/>
        </w:rPr>
      </w:pPr>
    </w:p>
    <w:p w14:paraId="367D1A6D">
      <w:pPr>
        <w:pStyle w:val="35"/>
        <w:widowControl w:val="0"/>
        <w:spacing w:after="0"/>
        <w:ind w:firstLine="0" w:firstLineChars="0"/>
        <w:rPr>
          <w:rFonts w:hint="eastAsia" w:hAnsi="宋体" w:cs="宋体"/>
          <w:color w:val="auto"/>
          <w:szCs w:val="24"/>
        </w:rPr>
      </w:pPr>
      <w:r>
        <w:rPr>
          <w:rFonts w:hint="eastAsia" w:hAnsi="宋体" w:cs="宋体"/>
          <w:color w:val="auto"/>
          <w:szCs w:val="24"/>
        </w:rPr>
        <w:t>（内容包括：本项目配备的专业造价管理、计价软件以及办公设备投入，物资调配计划等；具体内容由投标人自行编写）</w:t>
      </w:r>
    </w:p>
    <w:p w14:paraId="1F083B28">
      <w:pPr>
        <w:pStyle w:val="82"/>
        <w:rPr>
          <w:color w:val="auto"/>
        </w:rPr>
      </w:pPr>
    </w:p>
    <w:p w14:paraId="4E53EFC8">
      <w:pPr>
        <w:pStyle w:val="82"/>
        <w:rPr>
          <w:color w:val="auto"/>
        </w:rPr>
      </w:pPr>
    </w:p>
    <w:p w14:paraId="23A0BC52">
      <w:pPr>
        <w:pStyle w:val="35"/>
        <w:widowControl w:val="0"/>
        <w:spacing w:after="0"/>
        <w:ind w:firstLine="0" w:firstLineChars="0"/>
        <w:rPr>
          <w:rFonts w:hint="eastAsia" w:hAnsi="宋体" w:cs="宋体"/>
          <w:color w:val="auto"/>
          <w:szCs w:val="24"/>
        </w:rPr>
      </w:pPr>
      <w:r>
        <w:rPr>
          <w:color w:val="auto"/>
        </w:rPr>
        <w:br w:type="page"/>
      </w:r>
    </w:p>
    <w:p w14:paraId="05CF5797">
      <w:pPr>
        <w:pStyle w:val="82"/>
        <w:rPr>
          <w:color w:val="auto"/>
        </w:rPr>
      </w:pPr>
    </w:p>
    <w:p w14:paraId="505CF2D8">
      <w:pPr>
        <w:pStyle w:val="4"/>
        <w:keepNext w:val="0"/>
        <w:keepLines w:val="0"/>
        <w:widowControl w:val="0"/>
        <w:jc w:val="center"/>
        <w:rPr>
          <w:rFonts w:hint="eastAsia" w:hAnsi="宋体" w:cs="宋体"/>
          <w:bCs w:val="0"/>
          <w:color w:val="auto"/>
          <w:sz w:val="28"/>
          <w:szCs w:val="28"/>
        </w:rPr>
      </w:pPr>
      <w:bookmarkStart w:id="462" w:name="_Toc18234"/>
      <w:bookmarkStart w:id="463" w:name="_Toc21101"/>
      <w:r>
        <w:rPr>
          <w:rFonts w:hint="eastAsia" w:hAnsi="宋体" w:cs="宋体"/>
          <w:bCs w:val="0"/>
          <w:color w:val="auto"/>
          <w:sz w:val="28"/>
          <w:szCs w:val="28"/>
          <w:lang w:eastAsia="zh-CN"/>
        </w:rPr>
        <w:t>九</w:t>
      </w:r>
      <w:r>
        <w:rPr>
          <w:rFonts w:hint="eastAsia" w:hAnsi="宋体" w:cs="宋体"/>
          <w:bCs w:val="0"/>
          <w:color w:val="auto"/>
          <w:sz w:val="28"/>
          <w:szCs w:val="28"/>
        </w:rPr>
        <w:t>、服务质量保证与承诺</w:t>
      </w:r>
      <w:bookmarkEnd w:id="462"/>
      <w:bookmarkEnd w:id="463"/>
    </w:p>
    <w:p w14:paraId="27D629B0">
      <w:pPr>
        <w:ind w:firstLine="480"/>
        <w:rPr>
          <w:rFonts w:hint="eastAsia"/>
          <w:color w:val="auto"/>
        </w:rPr>
      </w:pPr>
    </w:p>
    <w:p w14:paraId="0EDB813C">
      <w:pPr>
        <w:pStyle w:val="35"/>
        <w:widowControl w:val="0"/>
        <w:spacing w:after="0"/>
        <w:ind w:firstLine="0" w:firstLineChars="0"/>
        <w:rPr>
          <w:rFonts w:hint="eastAsia" w:hAnsi="宋体" w:cs="宋体"/>
          <w:color w:val="auto"/>
          <w:szCs w:val="24"/>
        </w:rPr>
      </w:pPr>
      <w:r>
        <w:rPr>
          <w:rFonts w:hint="eastAsia" w:hAnsi="宋体" w:cs="宋体"/>
          <w:color w:val="auto"/>
          <w:szCs w:val="24"/>
          <w:lang w:val="en-GB"/>
        </w:rPr>
        <w:t>（内容包括：服务内容、响应时间及违约责任的具体承诺等；具体内容由投标人自行编写）</w:t>
      </w:r>
    </w:p>
    <w:p w14:paraId="67EC112E">
      <w:pPr>
        <w:pStyle w:val="82"/>
        <w:rPr>
          <w:color w:val="auto"/>
        </w:rPr>
      </w:pPr>
    </w:p>
    <w:p w14:paraId="766CD4CA">
      <w:pPr>
        <w:pStyle w:val="82"/>
        <w:rPr>
          <w:color w:val="auto"/>
        </w:rPr>
      </w:pPr>
    </w:p>
    <w:p w14:paraId="6AC207A2">
      <w:pPr>
        <w:pStyle w:val="82"/>
        <w:rPr>
          <w:color w:val="auto"/>
        </w:rPr>
      </w:pPr>
    </w:p>
    <w:p w14:paraId="0F756C31">
      <w:pPr>
        <w:pStyle w:val="82"/>
        <w:rPr>
          <w:color w:val="auto"/>
        </w:rPr>
      </w:pPr>
    </w:p>
    <w:p w14:paraId="7496B30F">
      <w:pPr>
        <w:ind w:firstLine="480"/>
        <w:rPr>
          <w:rFonts w:hint="eastAsia" w:hAnsi="宋体" w:cs="宋体"/>
          <w:color w:val="auto"/>
        </w:rPr>
      </w:pPr>
    </w:p>
    <w:p w14:paraId="379284B9">
      <w:pPr>
        <w:pStyle w:val="36"/>
        <w:ind w:left="480" w:firstLine="480"/>
        <w:rPr>
          <w:rFonts w:hint="eastAsia" w:ascii="宋体" w:hAnsi="宋体" w:cs="宋体"/>
          <w:color w:val="auto"/>
          <w:sz w:val="24"/>
        </w:rPr>
      </w:pPr>
    </w:p>
    <w:p w14:paraId="57E3D4F7">
      <w:pPr>
        <w:pStyle w:val="36"/>
        <w:ind w:left="480" w:firstLine="480"/>
        <w:rPr>
          <w:rFonts w:hint="eastAsia" w:ascii="宋体" w:hAnsi="宋体" w:cs="宋体"/>
          <w:color w:val="auto"/>
          <w:sz w:val="24"/>
        </w:rPr>
      </w:pPr>
    </w:p>
    <w:p w14:paraId="04E55995">
      <w:pPr>
        <w:pStyle w:val="36"/>
        <w:ind w:left="480" w:firstLine="480"/>
        <w:rPr>
          <w:rFonts w:hint="eastAsia" w:ascii="宋体" w:hAnsi="宋体" w:cs="宋体"/>
          <w:color w:val="auto"/>
          <w:sz w:val="24"/>
        </w:rPr>
      </w:pPr>
    </w:p>
    <w:p w14:paraId="54321180">
      <w:pPr>
        <w:pStyle w:val="36"/>
        <w:ind w:left="480" w:firstLine="480"/>
        <w:rPr>
          <w:rFonts w:hint="eastAsia" w:ascii="宋体" w:hAnsi="宋体" w:cs="宋体"/>
          <w:color w:val="auto"/>
          <w:sz w:val="24"/>
        </w:rPr>
      </w:pPr>
    </w:p>
    <w:p w14:paraId="204E92AC">
      <w:pPr>
        <w:ind w:firstLine="480"/>
        <w:rPr>
          <w:rFonts w:hint="eastAsia" w:hAnsi="宋体" w:cs="宋体"/>
          <w:color w:val="auto"/>
        </w:rPr>
      </w:pPr>
      <w:r>
        <w:rPr>
          <w:rFonts w:hint="eastAsia" w:hAnsi="宋体" w:cs="宋体"/>
          <w:color w:val="auto"/>
        </w:rPr>
        <w:t>投标人（盖单位公章）：</w:t>
      </w:r>
      <w:r>
        <w:rPr>
          <w:rFonts w:hint="eastAsia" w:hAnsi="宋体" w:cs="宋体"/>
          <w:color w:val="auto"/>
          <w:u w:val="single"/>
        </w:rPr>
        <w:t xml:space="preserve">                              </w:t>
      </w:r>
    </w:p>
    <w:p w14:paraId="3F73D6F7">
      <w:pPr>
        <w:ind w:firstLine="480"/>
        <w:rPr>
          <w:rFonts w:hint="eastAsia" w:hAnsi="宋体" w:cs="宋体"/>
          <w:color w:val="auto"/>
        </w:rPr>
      </w:pPr>
      <w:r>
        <w:rPr>
          <w:rFonts w:hint="eastAsia" w:hAnsi="宋体" w:cs="宋体"/>
          <w:color w:val="auto"/>
        </w:rPr>
        <w:t>法定代表人或其委托代理人（签字或盖章或签章）：</w:t>
      </w:r>
      <w:r>
        <w:rPr>
          <w:rFonts w:hint="eastAsia" w:hAnsi="宋体" w:cs="宋体"/>
          <w:color w:val="auto"/>
          <w:u w:val="single"/>
        </w:rPr>
        <w:t xml:space="preserve">                    </w:t>
      </w:r>
    </w:p>
    <w:p w14:paraId="3C2923EF">
      <w:pPr>
        <w:pStyle w:val="35"/>
        <w:spacing w:after="0"/>
        <w:ind w:firstLine="480" w:firstLineChars="200"/>
        <w:rPr>
          <w:rFonts w:hint="eastAsia" w:hAnsi="宋体" w:cs="宋体"/>
          <w:color w:val="auto"/>
          <w:szCs w:val="24"/>
        </w:rPr>
      </w:pPr>
      <w:r>
        <w:rPr>
          <w:rFonts w:hint="eastAsia" w:hAnsi="宋体" w:cs="宋体"/>
          <w:color w:val="auto"/>
          <w:szCs w:val="24"/>
        </w:rPr>
        <w:t>日期：_______年_______月______日</w:t>
      </w:r>
    </w:p>
    <w:p w14:paraId="68698902">
      <w:pPr>
        <w:pStyle w:val="82"/>
        <w:rPr>
          <w:color w:val="auto"/>
        </w:rPr>
      </w:pPr>
    </w:p>
    <w:p w14:paraId="1E77D4C2">
      <w:pPr>
        <w:pStyle w:val="82"/>
        <w:rPr>
          <w:color w:val="auto"/>
        </w:rPr>
      </w:pPr>
      <w:r>
        <w:rPr>
          <w:color w:val="auto"/>
        </w:rPr>
        <w:br w:type="page"/>
      </w:r>
    </w:p>
    <w:p w14:paraId="7D994486">
      <w:pPr>
        <w:pStyle w:val="82"/>
        <w:rPr>
          <w:color w:val="auto"/>
        </w:rPr>
      </w:pPr>
    </w:p>
    <w:p w14:paraId="6E3ECF3F">
      <w:pPr>
        <w:pStyle w:val="4"/>
        <w:keepNext w:val="0"/>
        <w:keepLines w:val="0"/>
        <w:widowControl w:val="0"/>
        <w:jc w:val="center"/>
        <w:rPr>
          <w:rFonts w:hint="eastAsia" w:hAnsi="宋体" w:eastAsia="宋体" w:cs="宋体"/>
          <w:bCs w:val="0"/>
          <w:color w:val="auto"/>
          <w:sz w:val="28"/>
          <w:szCs w:val="28"/>
          <w:lang w:eastAsia="zh-CN"/>
        </w:rPr>
      </w:pPr>
      <w:bookmarkStart w:id="464" w:name="_Toc5963"/>
      <w:bookmarkStart w:id="465" w:name="_Toc4967"/>
      <w:bookmarkStart w:id="466" w:name="auto_fouce_60"/>
      <w:bookmarkStart w:id="467" w:name="auto_fouce_61"/>
      <w:r>
        <w:rPr>
          <w:rFonts w:hint="eastAsia" w:hAnsi="宋体" w:cs="宋体"/>
          <w:bCs w:val="0"/>
          <w:color w:val="auto"/>
          <w:sz w:val="28"/>
          <w:szCs w:val="28"/>
        </w:rPr>
        <w:t>十、合同条款的响应一览表</w:t>
      </w:r>
      <w:bookmarkEnd w:id="464"/>
      <w:bookmarkEnd w:id="465"/>
    </w:p>
    <w:bookmarkEnd w:id="466"/>
    <w:bookmarkEnd w:id="467"/>
    <w:p w14:paraId="08EF5200">
      <w:pPr>
        <w:rPr>
          <w:rFonts w:hint="eastAsia"/>
          <w:color w:val="auto"/>
          <w:lang w:eastAsia="zh-CN"/>
        </w:rPr>
      </w:pPr>
    </w:p>
    <w:p w14:paraId="3D4DE6FF">
      <w:pPr>
        <w:pStyle w:val="82"/>
        <w:rPr>
          <w:color w:val="auto"/>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560"/>
        <w:gridCol w:w="2391"/>
      </w:tblGrid>
      <w:tr w14:paraId="3E33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jc w:val="center"/>
        </w:trPr>
        <w:tc>
          <w:tcPr>
            <w:tcW w:w="1800" w:type="dxa"/>
            <w:noWrap w:val="0"/>
            <w:vAlign w:val="center"/>
          </w:tcPr>
          <w:p w14:paraId="38B25557">
            <w:pPr>
              <w:keepNext w:val="0"/>
              <w:keepLines w:val="0"/>
              <w:widowControl/>
              <w:suppressLineNumbers w:val="0"/>
              <w:spacing w:before="0" w:beforeAutospacing="0" w:after="0" w:afterAutospacing="0" w:line="200" w:lineRule="atLeast"/>
              <w:ind w:left="0" w:right="0" w:firstLine="0" w:firstLineChars="0"/>
              <w:jc w:val="center"/>
              <w:rPr>
                <w:rFonts w:hint="default" w:hAnsi="宋体" w:cs="Times New Roman"/>
                <w:b/>
                <w:color w:val="auto"/>
                <w:szCs w:val="24"/>
              </w:rPr>
            </w:pPr>
            <w:r>
              <w:rPr>
                <w:rFonts w:hint="eastAsia" w:hAnsi="宋体" w:cs="Times New Roman"/>
                <w:b/>
                <w:color w:val="auto"/>
                <w:szCs w:val="24"/>
              </w:rPr>
              <w:t>合同条款号</w:t>
            </w:r>
          </w:p>
        </w:tc>
        <w:tc>
          <w:tcPr>
            <w:tcW w:w="3420" w:type="dxa"/>
            <w:noWrap w:val="0"/>
            <w:vAlign w:val="center"/>
          </w:tcPr>
          <w:p w14:paraId="5E9541F6">
            <w:pPr>
              <w:keepNext w:val="0"/>
              <w:keepLines w:val="0"/>
              <w:widowControl/>
              <w:suppressLineNumbers w:val="0"/>
              <w:spacing w:before="0" w:beforeAutospacing="0" w:after="0" w:afterAutospacing="0" w:line="200" w:lineRule="atLeast"/>
              <w:ind w:left="0" w:right="0" w:firstLine="0" w:firstLineChars="0"/>
              <w:jc w:val="center"/>
              <w:rPr>
                <w:rFonts w:hint="default" w:hAnsi="宋体" w:cs="Times New Roman"/>
                <w:b/>
                <w:color w:val="auto"/>
                <w:szCs w:val="24"/>
              </w:rPr>
            </w:pPr>
            <w:r>
              <w:rPr>
                <w:rFonts w:hint="eastAsia" w:hAnsi="宋体" w:cs="Times New Roman"/>
                <w:b/>
                <w:color w:val="auto"/>
                <w:szCs w:val="24"/>
              </w:rPr>
              <w:t>响应内容</w:t>
            </w:r>
          </w:p>
        </w:tc>
        <w:tc>
          <w:tcPr>
            <w:tcW w:w="1560" w:type="dxa"/>
            <w:noWrap w:val="0"/>
            <w:vAlign w:val="center"/>
          </w:tcPr>
          <w:p w14:paraId="0EC4B2A6">
            <w:pPr>
              <w:keepNext w:val="0"/>
              <w:keepLines w:val="0"/>
              <w:widowControl/>
              <w:suppressLineNumbers w:val="0"/>
              <w:spacing w:before="0" w:beforeAutospacing="0" w:after="0" w:afterAutospacing="0" w:line="200" w:lineRule="atLeast"/>
              <w:ind w:left="0" w:right="0" w:firstLine="0" w:firstLineChars="0"/>
              <w:jc w:val="center"/>
              <w:rPr>
                <w:rFonts w:hint="default" w:hAnsi="宋体" w:cs="Times New Roman"/>
                <w:b/>
                <w:color w:val="auto"/>
                <w:szCs w:val="24"/>
              </w:rPr>
            </w:pPr>
            <w:r>
              <w:rPr>
                <w:rFonts w:hint="eastAsia" w:hAnsi="宋体" w:cs="Times New Roman"/>
                <w:b/>
                <w:color w:val="auto"/>
                <w:szCs w:val="24"/>
              </w:rPr>
              <w:t>响应情况</w:t>
            </w:r>
          </w:p>
        </w:tc>
        <w:tc>
          <w:tcPr>
            <w:tcW w:w="2391" w:type="dxa"/>
            <w:noWrap w:val="0"/>
            <w:vAlign w:val="center"/>
          </w:tcPr>
          <w:p w14:paraId="4F601A54">
            <w:pPr>
              <w:keepNext w:val="0"/>
              <w:keepLines w:val="0"/>
              <w:widowControl/>
              <w:suppressLineNumbers w:val="0"/>
              <w:spacing w:before="0" w:beforeAutospacing="0" w:after="0" w:afterAutospacing="0" w:line="200" w:lineRule="atLeast"/>
              <w:ind w:left="0" w:right="0" w:firstLine="0" w:firstLineChars="0"/>
              <w:jc w:val="center"/>
              <w:rPr>
                <w:rFonts w:hint="default" w:hAnsi="宋体" w:cs="Times New Roman"/>
                <w:b/>
                <w:color w:val="auto"/>
                <w:szCs w:val="24"/>
              </w:rPr>
            </w:pPr>
            <w:r>
              <w:rPr>
                <w:rFonts w:hint="eastAsia" w:hAnsi="宋体" w:cs="Times New Roman"/>
                <w:b/>
                <w:color w:val="auto"/>
                <w:szCs w:val="24"/>
              </w:rPr>
              <w:t>偏离说明</w:t>
            </w:r>
          </w:p>
        </w:tc>
      </w:tr>
      <w:tr w14:paraId="08AD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noWrap w:val="0"/>
            <w:vAlign w:val="center"/>
          </w:tcPr>
          <w:p w14:paraId="0F1E624A">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3420" w:type="dxa"/>
            <w:noWrap w:val="0"/>
            <w:vAlign w:val="center"/>
          </w:tcPr>
          <w:p w14:paraId="3F63FDB7">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1560" w:type="dxa"/>
            <w:noWrap w:val="0"/>
            <w:vAlign w:val="center"/>
          </w:tcPr>
          <w:p w14:paraId="29FA1B42">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2391" w:type="dxa"/>
            <w:noWrap w:val="0"/>
            <w:vAlign w:val="center"/>
          </w:tcPr>
          <w:p w14:paraId="0F875A6C">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r>
      <w:tr w14:paraId="52B4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noWrap w:val="0"/>
            <w:vAlign w:val="center"/>
          </w:tcPr>
          <w:p w14:paraId="7536584B">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3420" w:type="dxa"/>
            <w:noWrap w:val="0"/>
            <w:vAlign w:val="center"/>
          </w:tcPr>
          <w:p w14:paraId="1981E075">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1560" w:type="dxa"/>
            <w:noWrap w:val="0"/>
            <w:vAlign w:val="center"/>
          </w:tcPr>
          <w:p w14:paraId="1A57073E">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2391" w:type="dxa"/>
            <w:noWrap w:val="0"/>
            <w:vAlign w:val="center"/>
          </w:tcPr>
          <w:p w14:paraId="4D8CD0DB">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r>
      <w:tr w14:paraId="24A7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noWrap w:val="0"/>
            <w:vAlign w:val="center"/>
          </w:tcPr>
          <w:p w14:paraId="39B3392E">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3420" w:type="dxa"/>
            <w:noWrap w:val="0"/>
            <w:vAlign w:val="center"/>
          </w:tcPr>
          <w:p w14:paraId="1A9C150F">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1560" w:type="dxa"/>
            <w:noWrap w:val="0"/>
            <w:vAlign w:val="center"/>
          </w:tcPr>
          <w:p w14:paraId="427486A5">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2391" w:type="dxa"/>
            <w:noWrap w:val="0"/>
            <w:vAlign w:val="center"/>
          </w:tcPr>
          <w:p w14:paraId="0D6B55FC">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r>
      <w:tr w14:paraId="0AA8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noWrap w:val="0"/>
            <w:vAlign w:val="center"/>
          </w:tcPr>
          <w:p w14:paraId="4A6EE0BE">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3420" w:type="dxa"/>
            <w:noWrap w:val="0"/>
            <w:vAlign w:val="center"/>
          </w:tcPr>
          <w:p w14:paraId="4D6A9822">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1560" w:type="dxa"/>
            <w:noWrap w:val="0"/>
            <w:vAlign w:val="center"/>
          </w:tcPr>
          <w:p w14:paraId="3BFCC2FF">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2391" w:type="dxa"/>
            <w:noWrap w:val="0"/>
            <w:vAlign w:val="center"/>
          </w:tcPr>
          <w:p w14:paraId="72632C01">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r>
      <w:tr w14:paraId="62FC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noWrap w:val="0"/>
            <w:vAlign w:val="center"/>
          </w:tcPr>
          <w:p w14:paraId="0B9B8055">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3420" w:type="dxa"/>
            <w:noWrap w:val="0"/>
            <w:vAlign w:val="center"/>
          </w:tcPr>
          <w:p w14:paraId="7FFB701D">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1560" w:type="dxa"/>
            <w:noWrap w:val="0"/>
            <w:vAlign w:val="center"/>
          </w:tcPr>
          <w:p w14:paraId="2199F14C">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c>
          <w:tcPr>
            <w:tcW w:w="2391" w:type="dxa"/>
            <w:noWrap w:val="0"/>
            <w:vAlign w:val="center"/>
          </w:tcPr>
          <w:p w14:paraId="0EA7C89E">
            <w:pPr>
              <w:keepNext w:val="0"/>
              <w:keepLines w:val="0"/>
              <w:widowControl/>
              <w:suppressLineNumbers w:val="0"/>
              <w:spacing w:before="0" w:beforeAutospacing="0" w:after="0" w:afterAutospacing="0" w:line="200" w:lineRule="atLeast"/>
              <w:ind w:left="0" w:right="196" w:firstLine="0" w:firstLineChars="0"/>
              <w:jc w:val="center"/>
              <w:rPr>
                <w:rFonts w:hint="default" w:hAnsi="宋体" w:cs="Times New Roman"/>
                <w:color w:val="auto"/>
                <w:szCs w:val="24"/>
              </w:rPr>
            </w:pPr>
          </w:p>
        </w:tc>
      </w:tr>
    </w:tbl>
    <w:p w14:paraId="00619CB9">
      <w:pPr>
        <w:pStyle w:val="82"/>
        <w:rPr>
          <w:color w:val="auto"/>
        </w:rPr>
      </w:pPr>
    </w:p>
    <w:p w14:paraId="3971B29C">
      <w:pPr>
        <w:pStyle w:val="82"/>
        <w:spacing w:line="360" w:lineRule="auto"/>
        <w:ind w:left="0" w:leftChars="0" w:firstLine="0" w:firstLineChars="0"/>
        <w:jc w:val="both"/>
        <w:rPr>
          <w:rFonts w:hint="eastAsia" w:ascii="宋体" w:hAnsi="宋体" w:cs="宋体"/>
          <w:color w:val="auto"/>
        </w:rPr>
      </w:pPr>
      <w:r>
        <w:rPr>
          <w:rFonts w:hint="eastAsia" w:ascii="宋体" w:hAnsi="宋体" w:cs="宋体"/>
          <w:color w:val="auto"/>
        </w:rPr>
        <w:t>说明：1、投标人对有偏离的条目在上表“偏离说明”列中说明具体偏离内容。</w:t>
      </w:r>
    </w:p>
    <w:p w14:paraId="6E50C2AF">
      <w:pPr>
        <w:pStyle w:val="82"/>
        <w:spacing w:line="360" w:lineRule="auto"/>
        <w:ind w:left="1058" w:leftChars="300" w:hanging="338" w:hangingChars="141"/>
        <w:jc w:val="both"/>
        <w:rPr>
          <w:rFonts w:hint="eastAsia" w:ascii="宋体" w:hAnsi="宋体" w:cs="宋体"/>
          <w:color w:val="auto"/>
        </w:rPr>
      </w:pPr>
      <w:r>
        <w:rPr>
          <w:rFonts w:hint="eastAsia" w:ascii="宋体" w:hAnsi="宋体" w:cs="宋体"/>
          <w:color w:val="auto"/>
          <w:lang w:val="en-US" w:eastAsia="zh-CN"/>
        </w:rPr>
        <w:t>2</w:t>
      </w:r>
      <w:r>
        <w:rPr>
          <w:rFonts w:hint="eastAsia" w:ascii="宋体" w:hAnsi="宋体" w:cs="宋体"/>
          <w:color w:val="auto"/>
        </w:rPr>
        <w:t>、投标人对合同条款完全响应的仅需在“响应情况”列中注明“完全响应本项目合同条款”，其余内容留空。</w:t>
      </w:r>
    </w:p>
    <w:p w14:paraId="2613BC07">
      <w:pPr>
        <w:pStyle w:val="82"/>
        <w:spacing w:line="360" w:lineRule="auto"/>
        <w:jc w:val="both"/>
        <w:rPr>
          <w:rFonts w:hint="eastAsia" w:ascii="宋体" w:hAnsi="宋体" w:cs="宋体"/>
          <w:color w:val="auto"/>
        </w:rPr>
      </w:pPr>
    </w:p>
    <w:p w14:paraId="6EF331B1">
      <w:pPr>
        <w:pStyle w:val="82"/>
        <w:rPr>
          <w:color w:val="auto"/>
        </w:rPr>
      </w:pPr>
    </w:p>
    <w:p w14:paraId="1CBE44A4">
      <w:pPr>
        <w:pStyle w:val="82"/>
        <w:rPr>
          <w:color w:val="auto"/>
        </w:rPr>
      </w:pPr>
    </w:p>
    <w:p w14:paraId="410971A4">
      <w:pPr>
        <w:widowControl w:val="0"/>
        <w:ind w:firstLine="480"/>
        <w:rPr>
          <w:rFonts w:hint="eastAsia" w:hAnsi="宋体" w:cs="宋体"/>
          <w:color w:val="auto"/>
        </w:rPr>
      </w:pPr>
      <w:r>
        <w:rPr>
          <w:rFonts w:hint="eastAsia" w:hAnsi="宋体" w:cs="宋体"/>
          <w:color w:val="auto"/>
        </w:rPr>
        <w:t>投标人（盖单位公章）：</w:t>
      </w:r>
      <w:r>
        <w:rPr>
          <w:rFonts w:hint="eastAsia" w:hAnsi="宋体" w:cs="宋体"/>
          <w:color w:val="auto"/>
          <w:u w:val="single"/>
        </w:rPr>
        <w:t xml:space="preserve">                              </w:t>
      </w:r>
    </w:p>
    <w:p w14:paraId="14AFCB82">
      <w:pPr>
        <w:widowControl w:val="0"/>
        <w:ind w:firstLine="480"/>
        <w:rPr>
          <w:rFonts w:hint="eastAsia" w:hAnsi="宋体" w:cs="宋体"/>
          <w:color w:val="auto"/>
        </w:rPr>
      </w:pPr>
      <w:r>
        <w:rPr>
          <w:rFonts w:hint="eastAsia" w:hAnsi="宋体" w:cs="宋体"/>
          <w:color w:val="auto"/>
        </w:rPr>
        <w:t>法定代表人或其委托代理人（签字或盖章或签章）：</w:t>
      </w:r>
      <w:r>
        <w:rPr>
          <w:rFonts w:hint="eastAsia" w:hAnsi="宋体" w:cs="宋体"/>
          <w:color w:val="auto"/>
          <w:u w:val="single"/>
        </w:rPr>
        <w:t xml:space="preserve">                    </w:t>
      </w:r>
    </w:p>
    <w:p w14:paraId="6DCBF95A">
      <w:pPr>
        <w:pStyle w:val="35"/>
        <w:widowControl w:val="0"/>
        <w:spacing w:after="0"/>
        <w:ind w:firstLine="480" w:firstLineChars="200"/>
        <w:rPr>
          <w:rFonts w:hint="eastAsia" w:hAnsi="宋体" w:cs="宋体"/>
          <w:color w:val="auto"/>
          <w:szCs w:val="24"/>
        </w:rPr>
      </w:pPr>
      <w:r>
        <w:rPr>
          <w:rFonts w:hint="eastAsia" w:hAnsi="宋体" w:cs="宋体"/>
          <w:color w:val="auto"/>
          <w:szCs w:val="24"/>
        </w:rPr>
        <w:t>日期：_______年_______月______日</w:t>
      </w:r>
    </w:p>
    <w:p w14:paraId="0E8ED9A7">
      <w:pPr>
        <w:widowControl w:val="0"/>
        <w:autoSpaceDE w:val="0"/>
        <w:autoSpaceDN w:val="0"/>
        <w:ind w:firstLine="480"/>
        <w:textAlignment w:val="bottom"/>
        <w:rPr>
          <w:rFonts w:hAnsi="宋体"/>
          <w:bCs/>
          <w:color w:val="auto"/>
          <w:szCs w:val="24"/>
        </w:rPr>
      </w:pPr>
      <w:r>
        <w:rPr>
          <w:rFonts w:hint="eastAsia" w:hAnsi="宋体"/>
          <w:bCs/>
          <w:color w:val="auto"/>
          <w:szCs w:val="24"/>
        </w:rPr>
        <w:t>投标人地址：</w:t>
      </w:r>
      <w:r>
        <w:rPr>
          <w:rFonts w:hAnsi="宋体"/>
          <w:bCs/>
          <w:color w:val="auto"/>
          <w:szCs w:val="24"/>
          <w:u w:val="single"/>
        </w:rPr>
        <w:t xml:space="preserve">           </w:t>
      </w:r>
      <w:r>
        <w:rPr>
          <w:rFonts w:hAnsi="宋体"/>
          <w:bCs/>
          <w:color w:val="auto"/>
          <w:szCs w:val="24"/>
        </w:rPr>
        <w:t xml:space="preserve">  </w:t>
      </w:r>
    </w:p>
    <w:p w14:paraId="14CF1B40">
      <w:pPr>
        <w:widowControl w:val="0"/>
        <w:autoSpaceDE w:val="0"/>
        <w:autoSpaceDN w:val="0"/>
        <w:ind w:firstLine="480"/>
        <w:textAlignment w:val="bottom"/>
        <w:rPr>
          <w:rFonts w:hAnsi="宋体"/>
          <w:bCs/>
          <w:color w:val="auto"/>
          <w:szCs w:val="24"/>
          <w:u w:val="single"/>
        </w:rPr>
      </w:pPr>
      <w:r>
        <w:rPr>
          <w:rFonts w:hint="eastAsia" w:hAnsi="宋体"/>
          <w:bCs/>
          <w:color w:val="auto"/>
          <w:szCs w:val="24"/>
        </w:rPr>
        <w:t>传真</w:t>
      </w:r>
      <w:r>
        <w:rPr>
          <w:rFonts w:hAnsi="宋体"/>
          <w:bCs/>
          <w:color w:val="auto"/>
          <w:szCs w:val="24"/>
        </w:rPr>
        <w:t xml:space="preserve"> </w:t>
      </w:r>
      <w:r>
        <w:rPr>
          <w:rFonts w:hint="eastAsia" w:hAnsi="宋体"/>
          <w:bCs/>
          <w:color w:val="auto"/>
          <w:szCs w:val="24"/>
        </w:rPr>
        <w:t>：</w:t>
      </w:r>
      <w:r>
        <w:rPr>
          <w:rFonts w:hAnsi="宋体"/>
          <w:bCs/>
          <w:color w:val="auto"/>
          <w:szCs w:val="24"/>
          <w:u w:val="single"/>
        </w:rPr>
        <w:t xml:space="preserve">               </w:t>
      </w:r>
      <w:r>
        <w:rPr>
          <w:rFonts w:hAnsi="宋体"/>
          <w:bCs/>
          <w:color w:val="auto"/>
          <w:szCs w:val="24"/>
          <w:u w:val="single"/>
        </w:rPr>
        <w:tab/>
      </w:r>
      <w:r>
        <w:rPr>
          <w:rFonts w:hAnsi="宋体"/>
          <w:bCs/>
          <w:color w:val="auto"/>
          <w:szCs w:val="24"/>
        </w:rPr>
        <w:tab/>
      </w:r>
      <w:r>
        <w:rPr>
          <w:rFonts w:hint="eastAsia" w:hAnsi="宋体"/>
          <w:bCs/>
          <w:color w:val="auto"/>
          <w:szCs w:val="24"/>
        </w:rPr>
        <w:t>电话：</w:t>
      </w:r>
      <w:r>
        <w:rPr>
          <w:rFonts w:hAnsi="宋体"/>
          <w:bCs/>
          <w:color w:val="auto"/>
          <w:szCs w:val="24"/>
          <w:u w:val="single"/>
        </w:rPr>
        <w:t xml:space="preserve">             </w:t>
      </w:r>
    </w:p>
    <w:p w14:paraId="00A0B9AD">
      <w:pPr>
        <w:pStyle w:val="82"/>
        <w:rPr>
          <w:color w:val="auto"/>
        </w:rPr>
      </w:pPr>
    </w:p>
    <w:p w14:paraId="679392A3">
      <w:pPr>
        <w:pStyle w:val="82"/>
        <w:rPr>
          <w:color w:val="auto"/>
        </w:rPr>
      </w:pPr>
      <w:r>
        <w:rPr>
          <w:color w:val="auto"/>
        </w:rPr>
        <w:br w:type="page"/>
      </w:r>
    </w:p>
    <w:p w14:paraId="198FC5B4">
      <w:pPr>
        <w:pStyle w:val="82"/>
        <w:rPr>
          <w:color w:val="auto"/>
        </w:rPr>
      </w:pPr>
    </w:p>
    <w:p w14:paraId="7E768912">
      <w:pPr>
        <w:pStyle w:val="4"/>
        <w:keepNext w:val="0"/>
        <w:keepLines w:val="0"/>
        <w:widowControl w:val="0"/>
        <w:jc w:val="center"/>
        <w:rPr>
          <w:rFonts w:hint="eastAsia" w:hAnsi="宋体" w:cs="宋体"/>
          <w:bCs w:val="0"/>
          <w:color w:val="auto"/>
          <w:sz w:val="28"/>
          <w:szCs w:val="28"/>
        </w:rPr>
      </w:pPr>
      <w:bookmarkStart w:id="468" w:name="_Toc11747"/>
      <w:bookmarkStart w:id="469" w:name="_Toc1767"/>
      <w:r>
        <w:rPr>
          <w:rFonts w:hint="eastAsia" w:hAnsi="宋体" w:cs="宋体"/>
          <w:bCs w:val="0"/>
          <w:color w:val="auto"/>
          <w:sz w:val="28"/>
          <w:szCs w:val="28"/>
        </w:rPr>
        <w:t>十</w:t>
      </w:r>
      <w:r>
        <w:rPr>
          <w:rFonts w:hint="eastAsia" w:hAnsi="宋体" w:cs="宋体"/>
          <w:bCs w:val="0"/>
          <w:color w:val="auto"/>
          <w:sz w:val="28"/>
          <w:szCs w:val="28"/>
          <w:lang w:eastAsia="zh-CN"/>
        </w:rPr>
        <w:t>一</w:t>
      </w:r>
      <w:r>
        <w:rPr>
          <w:rFonts w:hint="eastAsia" w:hAnsi="宋体" w:cs="宋体"/>
          <w:bCs w:val="0"/>
          <w:color w:val="auto"/>
          <w:sz w:val="28"/>
          <w:szCs w:val="28"/>
        </w:rPr>
        <w:t>、资料档案归档管理承诺书</w:t>
      </w:r>
      <w:bookmarkEnd w:id="468"/>
      <w:bookmarkEnd w:id="469"/>
    </w:p>
    <w:p w14:paraId="5DCC759A">
      <w:pPr>
        <w:ind w:firstLine="480"/>
        <w:rPr>
          <w:rFonts w:hint="eastAsia"/>
          <w:color w:val="auto"/>
        </w:rPr>
      </w:pPr>
    </w:p>
    <w:p w14:paraId="233F9299">
      <w:pPr>
        <w:ind w:firstLine="0" w:firstLineChars="0"/>
        <w:jc w:val="left"/>
        <w:rPr>
          <w:rFonts w:hint="eastAsia" w:hAnsi="宋体" w:eastAsia="宋体"/>
          <w:b/>
          <w:color w:val="auto"/>
          <w:szCs w:val="24"/>
          <w:u w:val="single"/>
          <w:lang w:eastAsia="zh-CN"/>
        </w:rPr>
      </w:pPr>
      <w:r>
        <w:rPr>
          <w:rFonts w:hint="eastAsia" w:hAnsi="宋体"/>
          <w:color w:val="auto"/>
          <w:szCs w:val="24"/>
        </w:rPr>
        <w:t>致：</w:t>
      </w:r>
      <w:r>
        <w:rPr>
          <w:rFonts w:hint="eastAsia" w:hAnsi="宋体"/>
          <w:b/>
          <w:color w:val="auto"/>
          <w:szCs w:val="24"/>
          <w:u w:val="single"/>
          <w:lang w:eastAsia="zh-CN"/>
        </w:rPr>
        <w:t>广东省财经职业技术学校</w:t>
      </w:r>
    </w:p>
    <w:p w14:paraId="30E42B76">
      <w:pPr>
        <w:ind w:firstLine="480"/>
        <w:jc w:val="left"/>
        <w:rPr>
          <w:rFonts w:hAnsi="宋体"/>
          <w:color w:val="auto"/>
          <w:szCs w:val="24"/>
        </w:rPr>
      </w:pPr>
      <w:r>
        <w:rPr>
          <w:rFonts w:hint="eastAsia" w:hAnsi="宋体"/>
          <w:color w:val="auto"/>
          <w:szCs w:val="24"/>
        </w:rPr>
        <w:t>我司自愿参与</w:t>
      </w:r>
      <w:r>
        <w:rPr>
          <w:rFonts w:hint="eastAsia" w:hAnsi="宋体"/>
          <w:color w:val="auto"/>
          <w:szCs w:val="24"/>
          <w:u w:val="single"/>
        </w:rPr>
        <w:t xml:space="preserve">     （项目名称）       </w:t>
      </w:r>
      <w:r>
        <w:rPr>
          <w:rFonts w:hint="eastAsia" w:hAnsi="宋体"/>
          <w:color w:val="auto"/>
          <w:szCs w:val="24"/>
        </w:rPr>
        <w:t>造价咨询服务项目投标。我公司承诺：一旦我司中标，我司将严格遵守及执行招标人的各项资料档案归档管理制度，建立并管理工程造价咨询服务的相关档案，保证项目资料的完整，不得遗失、损坏项目资料，保存过程审核资料及支持文件等，并按招标人的要求按期做好已完项目的相关资料移交和归档工作；</w:t>
      </w:r>
    </w:p>
    <w:p w14:paraId="765F50F5">
      <w:pPr>
        <w:ind w:firstLine="480"/>
        <w:jc w:val="left"/>
        <w:rPr>
          <w:rFonts w:hint="eastAsia" w:hAnsi="宋体" w:eastAsia="宋体"/>
          <w:color w:val="auto"/>
          <w:szCs w:val="24"/>
          <w:lang w:eastAsia="zh-CN"/>
        </w:rPr>
      </w:pPr>
      <w:bookmarkStart w:id="470" w:name="auto_fouce_62"/>
      <w:r>
        <w:rPr>
          <w:rFonts w:hint="eastAsia" w:hAnsi="宋体"/>
          <w:color w:val="auto"/>
          <w:szCs w:val="24"/>
        </w:rPr>
        <w:t>如果由于我司原因造成资料遗漏或丢失</w:t>
      </w:r>
      <w:r>
        <w:rPr>
          <w:rFonts w:hint="eastAsia" w:hAnsi="宋体"/>
          <w:color w:val="auto"/>
          <w:szCs w:val="24"/>
          <w:lang w:eastAsia="zh-CN"/>
        </w:rPr>
        <w:t>（以招标人书面认定为准）</w:t>
      </w:r>
      <w:r>
        <w:rPr>
          <w:rFonts w:hint="eastAsia" w:hAnsi="宋体"/>
          <w:color w:val="auto"/>
          <w:szCs w:val="24"/>
        </w:rPr>
        <w:t>，我司将在15个工作日内自行补齐，否则我司无条件接受招标人对我司的以下处罚：</w:t>
      </w:r>
      <w:r>
        <w:rPr>
          <w:rFonts w:hint="eastAsia" w:hAnsi="宋体"/>
          <w:color w:val="auto"/>
          <w:szCs w:val="24"/>
          <w:lang w:eastAsia="zh-CN"/>
        </w:rPr>
        <w:t>电子档案须采用符合归档格式，并同步进行纸质资料数字化处理，电子与纸质档案一致归档、备查。</w:t>
      </w:r>
      <w:bookmarkEnd w:id="470"/>
    </w:p>
    <w:p w14:paraId="010FEFDC">
      <w:pPr>
        <w:ind w:firstLine="480"/>
        <w:jc w:val="left"/>
        <w:rPr>
          <w:rFonts w:hAnsi="宋体"/>
          <w:color w:val="auto"/>
          <w:szCs w:val="24"/>
        </w:rPr>
      </w:pPr>
      <w:r>
        <w:rPr>
          <w:rFonts w:hint="eastAsia" w:hAnsi="宋体"/>
          <w:color w:val="auto"/>
          <w:szCs w:val="24"/>
        </w:rPr>
        <w:t>1、遗漏或丢失资料5000元/份；</w:t>
      </w:r>
    </w:p>
    <w:p w14:paraId="394B2E3C">
      <w:pPr>
        <w:ind w:firstLine="480"/>
        <w:jc w:val="left"/>
        <w:rPr>
          <w:rFonts w:hAnsi="宋体"/>
          <w:color w:val="auto"/>
          <w:szCs w:val="24"/>
        </w:rPr>
      </w:pPr>
      <w:r>
        <w:rPr>
          <w:rFonts w:hint="eastAsia" w:hAnsi="宋体"/>
          <w:color w:val="auto"/>
          <w:szCs w:val="24"/>
        </w:rPr>
        <w:t>2、除接受上述处罚外，还计入考核管理；</w:t>
      </w:r>
    </w:p>
    <w:p w14:paraId="5ACFBCFB">
      <w:pPr>
        <w:ind w:firstLine="480"/>
        <w:jc w:val="left"/>
        <w:rPr>
          <w:rFonts w:hAnsi="宋体"/>
          <w:color w:val="auto"/>
          <w:szCs w:val="24"/>
        </w:rPr>
      </w:pPr>
      <w:r>
        <w:rPr>
          <w:rFonts w:hint="eastAsia" w:hAnsi="宋体"/>
          <w:color w:val="auto"/>
          <w:szCs w:val="24"/>
        </w:rPr>
        <w:t>3、若累计遗漏或丢失资料达3次或以上的，甲方有权与其解除合同。</w:t>
      </w:r>
    </w:p>
    <w:p w14:paraId="0C5AD690">
      <w:pPr>
        <w:ind w:firstLine="480"/>
        <w:jc w:val="left"/>
        <w:rPr>
          <w:rFonts w:hAnsi="宋体"/>
          <w:color w:val="auto"/>
          <w:szCs w:val="24"/>
        </w:rPr>
      </w:pPr>
      <w:r>
        <w:rPr>
          <w:rFonts w:hint="eastAsia" w:hAnsi="宋体"/>
          <w:color w:val="auto"/>
          <w:szCs w:val="24"/>
        </w:rPr>
        <w:t>特此承诺。</w:t>
      </w:r>
    </w:p>
    <w:p w14:paraId="0EF9922E">
      <w:pPr>
        <w:ind w:firstLine="480"/>
        <w:jc w:val="left"/>
        <w:rPr>
          <w:rFonts w:hAnsi="宋体"/>
          <w:color w:val="auto"/>
          <w:szCs w:val="24"/>
        </w:rPr>
      </w:pPr>
    </w:p>
    <w:p w14:paraId="1A20CCC3">
      <w:pPr>
        <w:ind w:firstLine="480"/>
        <w:jc w:val="left"/>
        <w:rPr>
          <w:rFonts w:hAnsi="宋体"/>
          <w:color w:val="auto"/>
          <w:szCs w:val="24"/>
        </w:rPr>
      </w:pPr>
    </w:p>
    <w:p w14:paraId="51EE4F5C">
      <w:pPr>
        <w:ind w:firstLine="480"/>
        <w:rPr>
          <w:rFonts w:hint="eastAsia" w:hAnsi="宋体" w:cs="宋体"/>
          <w:color w:val="auto"/>
        </w:rPr>
      </w:pPr>
      <w:r>
        <w:rPr>
          <w:rFonts w:hint="eastAsia" w:hAnsi="宋体" w:cs="宋体"/>
          <w:color w:val="auto"/>
        </w:rPr>
        <w:t>承诺单位（盖单位公章）：</w:t>
      </w:r>
      <w:r>
        <w:rPr>
          <w:rFonts w:hint="eastAsia" w:hAnsi="宋体" w:cs="宋体"/>
          <w:color w:val="auto"/>
          <w:u w:val="single"/>
        </w:rPr>
        <w:t xml:space="preserve">                              </w:t>
      </w:r>
    </w:p>
    <w:p w14:paraId="44FB1426">
      <w:pPr>
        <w:ind w:firstLine="480"/>
        <w:rPr>
          <w:rFonts w:hint="eastAsia" w:hAnsi="宋体" w:cs="宋体"/>
          <w:color w:val="auto"/>
        </w:rPr>
      </w:pPr>
      <w:r>
        <w:rPr>
          <w:rFonts w:hint="eastAsia" w:hAnsi="宋体" w:cs="宋体"/>
          <w:color w:val="auto"/>
        </w:rPr>
        <w:t>法定代表人或其委托代理人（签字或盖章或签章）：</w:t>
      </w:r>
      <w:r>
        <w:rPr>
          <w:rFonts w:hint="eastAsia" w:hAnsi="宋体" w:cs="宋体"/>
          <w:color w:val="auto"/>
          <w:u w:val="single"/>
        </w:rPr>
        <w:t xml:space="preserve">                    </w:t>
      </w:r>
    </w:p>
    <w:p w14:paraId="600045C3">
      <w:pPr>
        <w:pStyle w:val="35"/>
        <w:spacing w:after="0"/>
        <w:ind w:firstLine="480" w:firstLineChars="200"/>
        <w:rPr>
          <w:rFonts w:hint="eastAsia" w:hAnsi="宋体" w:cs="宋体"/>
          <w:color w:val="auto"/>
          <w:szCs w:val="24"/>
        </w:rPr>
      </w:pPr>
      <w:r>
        <w:rPr>
          <w:rFonts w:hint="eastAsia" w:hAnsi="宋体" w:cs="宋体"/>
          <w:color w:val="auto"/>
          <w:szCs w:val="24"/>
        </w:rPr>
        <w:t>日期：_______年_______月______日</w:t>
      </w:r>
    </w:p>
    <w:p w14:paraId="6380C90B">
      <w:pPr>
        <w:ind w:firstLine="602"/>
        <w:jc w:val="left"/>
        <w:rPr>
          <w:rFonts w:hint="eastAsia" w:hAnsi="宋体" w:cs="宋体"/>
          <w:b/>
          <w:color w:val="auto"/>
          <w:sz w:val="30"/>
          <w:szCs w:val="30"/>
        </w:rPr>
      </w:pPr>
    </w:p>
    <w:p w14:paraId="32DD5FC3">
      <w:pPr>
        <w:pStyle w:val="35"/>
        <w:spacing w:after="0"/>
        <w:ind w:firstLine="480" w:firstLineChars="200"/>
        <w:rPr>
          <w:rFonts w:hint="eastAsia" w:hAnsi="宋体" w:cs="宋体"/>
          <w:color w:val="auto"/>
          <w:szCs w:val="24"/>
        </w:rPr>
      </w:pPr>
      <w:r>
        <w:rPr>
          <w:rFonts w:hint="eastAsia"/>
          <w:color w:val="auto"/>
        </w:rPr>
        <w:br w:type="page"/>
      </w:r>
    </w:p>
    <w:p w14:paraId="663A0FD1">
      <w:pPr>
        <w:pStyle w:val="82"/>
        <w:rPr>
          <w:color w:val="auto"/>
        </w:rPr>
      </w:pPr>
    </w:p>
    <w:p w14:paraId="013FCDDD">
      <w:pPr>
        <w:pStyle w:val="10"/>
        <w:rPr>
          <w:rFonts w:hint="eastAsia" w:hAnsi="Times New Roman" w:eastAsia="宋体"/>
          <w:color w:val="auto"/>
          <w:sz w:val="24"/>
          <w:u w:val="single"/>
          <w:lang w:val="en-US" w:eastAsia="zh-CN"/>
        </w:rPr>
      </w:pPr>
      <w:r>
        <w:rPr>
          <w:rFonts w:hint="eastAsia" w:hAnsi="宋体" w:cs="宋体"/>
          <w:bCs w:val="0"/>
          <w:color w:val="auto"/>
          <w:sz w:val="28"/>
          <w:szCs w:val="28"/>
        </w:rPr>
        <w:t>十</w:t>
      </w:r>
      <w:r>
        <w:rPr>
          <w:rFonts w:hint="eastAsia" w:hAnsi="宋体" w:cs="宋体"/>
          <w:bCs w:val="0"/>
          <w:color w:val="auto"/>
          <w:sz w:val="28"/>
          <w:szCs w:val="28"/>
          <w:lang w:eastAsia="zh-CN"/>
        </w:rPr>
        <w:t>二、</w:t>
      </w:r>
      <w:r>
        <w:rPr>
          <w:rFonts w:hint="eastAsia" w:hAnsi="Times New Roman"/>
          <w:color w:val="auto"/>
          <w:sz w:val="24"/>
          <w:u w:val="single"/>
        </w:rPr>
        <w:t>投标人须提供近三年无围标串标行政处罚的书面承诺</w:t>
      </w:r>
      <w:r>
        <w:rPr>
          <w:rFonts w:hint="eastAsia" w:hAnsi="Times New Roman"/>
          <w:color w:val="auto"/>
          <w:sz w:val="24"/>
          <w:u w:val="single"/>
          <w:lang w:eastAsia="zh-CN"/>
        </w:rPr>
        <w:t>；</w:t>
      </w:r>
    </w:p>
    <w:p w14:paraId="0A6965EE">
      <w:pPr>
        <w:pStyle w:val="4"/>
        <w:keepNext w:val="0"/>
        <w:keepLines w:val="0"/>
        <w:widowControl w:val="0"/>
        <w:jc w:val="both"/>
        <w:rPr>
          <w:rFonts w:hint="eastAsia" w:hAnsi="宋体" w:cs="宋体"/>
          <w:bCs w:val="0"/>
          <w:color w:val="auto"/>
          <w:sz w:val="28"/>
          <w:szCs w:val="28"/>
        </w:rPr>
      </w:pPr>
      <w:bookmarkStart w:id="471" w:name="_Toc20841"/>
      <w:bookmarkStart w:id="472" w:name="_Toc27344"/>
    </w:p>
    <w:p w14:paraId="7C660F95">
      <w:pPr>
        <w:ind w:firstLine="0" w:firstLineChars="0"/>
        <w:jc w:val="left"/>
        <w:rPr>
          <w:rFonts w:hint="eastAsia" w:hAnsi="宋体" w:eastAsia="宋体"/>
          <w:b/>
          <w:color w:val="auto"/>
          <w:szCs w:val="24"/>
          <w:u w:val="single"/>
          <w:lang w:eastAsia="zh-CN"/>
        </w:rPr>
      </w:pPr>
      <w:r>
        <w:rPr>
          <w:rFonts w:hint="eastAsia" w:hAnsi="宋体"/>
          <w:color w:val="auto"/>
          <w:szCs w:val="24"/>
        </w:rPr>
        <w:t>致：</w:t>
      </w:r>
      <w:r>
        <w:rPr>
          <w:rFonts w:hint="eastAsia" w:hAnsi="宋体"/>
          <w:b/>
          <w:color w:val="auto"/>
          <w:szCs w:val="24"/>
          <w:u w:val="single"/>
          <w:lang w:eastAsia="zh-CN"/>
        </w:rPr>
        <w:t>广东省财经职业技术学校</w:t>
      </w:r>
    </w:p>
    <w:p w14:paraId="4B662276">
      <w:pPr>
        <w:ind w:firstLine="480"/>
        <w:jc w:val="left"/>
        <w:rPr>
          <w:rFonts w:hAnsi="宋体"/>
          <w:color w:val="auto"/>
          <w:szCs w:val="24"/>
        </w:rPr>
      </w:pPr>
      <w:r>
        <w:rPr>
          <w:rFonts w:hint="eastAsia" w:hAnsi="宋体"/>
          <w:color w:val="auto"/>
          <w:szCs w:val="24"/>
        </w:rPr>
        <w:t>我司自愿参与</w:t>
      </w:r>
      <w:r>
        <w:rPr>
          <w:rFonts w:hint="eastAsia" w:hAnsi="宋体"/>
          <w:color w:val="auto"/>
          <w:szCs w:val="24"/>
          <w:u w:val="single"/>
        </w:rPr>
        <w:t>广东省财经职业技术学校新校区建设项目全过程造价咨询服务</w:t>
      </w:r>
      <w:r>
        <w:rPr>
          <w:rFonts w:hint="eastAsia" w:hAnsi="宋体"/>
          <w:color w:val="auto"/>
          <w:szCs w:val="24"/>
        </w:rPr>
        <w:t>投标。我公司承诺</w:t>
      </w:r>
      <w:r>
        <w:rPr>
          <w:rFonts w:hint="eastAsia" w:hAnsi="Times New Roman"/>
          <w:color w:val="auto"/>
          <w:sz w:val="24"/>
          <w:u w:val="single"/>
        </w:rPr>
        <w:t>近三年无围标串标行政处罚</w:t>
      </w:r>
      <w:r>
        <w:rPr>
          <w:rFonts w:hint="eastAsia" w:hAnsi="Times New Roman"/>
          <w:color w:val="auto"/>
          <w:sz w:val="24"/>
          <w:u w:val="single"/>
          <w:lang w:eastAsia="zh-CN"/>
        </w:rPr>
        <w:t>；</w:t>
      </w:r>
      <w:r>
        <w:rPr>
          <w:rFonts w:hint="eastAsia" w:hAnsi="宋体"/>
          <w:color w:val="auto"/>
          <w:szCs w:val="24"/>
          <w:lang w:eastAsia="zh-CN"/>
        </w:rPr>
        <w:t>我</w:t>
      </w:r>
      <w:r>
        <w:rPr>
          <w:rFonts w:hint="eastAsia" w:hAnsi="宋体"/>
          <w:color w:val="auto"/>
          <w:szCs w:val="24"/>
        </w:rPr>
        <w:t>司对失信行为产生的一切后果已知悉。</w:t>
      </w:r>
      <w:r>
        <w:rPr>
          <w:rFonts w:hint="eastAsia" w:hAnsi="宋体"/>
          <w:color w:val="auto"/>
          <w:szCs w:val="24"/>
          <w:lang w:eastAsia="zh-CN"/>
        </w:rPr>
        <w:t>若</w:t>
      </w:r>
      <w:r>
        <w:rPr>
          <w:rFonts w:hint="eastAsia" w:hAnsi="宋体"/>
          <w:color w:val="auto"/>
          <w:szCs w:val="24"/>
        </w:rPr>
        <w:t>本</w:t>
      </w:r>
      <w:r>
        <w:rPr>
          <w:rFonts w:hint="eastAsia" w:hAnsi="宋体"/>
          <w:color w:val="auto"/>
          <w:szCs w:val="24"/>
          <w:lang w:eastAsia="zh-CN"/>
        </w:rPr>
        <w:t>承诺函</w:t>
      </w:r>
      <w:r>
        <w:rPr>
          <w:rFonts w:hint="eastAsia" w:hAnsi="宋体"/>
          <w:color w:val="auto"/>
          <w:szCs w:val="24"/>
        </w:rPr>
        <w:t>与事实不符，属于弄虚作假骗取中标</w:t>
      </w:r>
      <w:r>
        <w:rPr>
          <w:rFonts w:hint="eastAsia" w:hAnsi="宋体"/>
          <w:color w:val="auto"/>
          <w:szCs w:val="24"/>
          <w:lang w:eastAsia="zh-CN"/>
        </w:rPr>
        <w:t>的，</w:t>
      </w:r>
      <w:r>
        <w:rPr>
          <w:rFonts w:hint="eastAsia" w:hAnsi="宋体"/>
          <w:color w:val="auto"/>
          <w:szCs w:val="24"/>
        </w:rPr>
        <w:t>招标人有权取消</w:t>
      </w:r>
      <w:r>
        <w:rPr>
          <w:rFonts w:hint="eastAsia" w:hAnsi="宋体"/>
          <w:color w:val="auto"/>
          <w:szCs w:val="24"/>
          <w:lang w:eastAsia="zh-CN"/>
        </w:rPr>
        <w:t>我司</w:t>
      </w:r>
      <w:r>
        <w:rPr>
          <w:rFonts w:hint="eastAsia" w:hAnsi="宋体"/>
          <w:color w:val="auto"/>
          <w:szCs w:val="24"/>
        </w:rPr>
        <w:t>中标资格或解除合同，并要求赔偿因此造成的全部损失。</w:t>
      </w:r>
    </w:p>
    <w:p w14:paraId="78700C30">
      <w:pPr>
        <w:ind w:firstLine="480"/>
        <w:jc w:val="left"/>
        <w:rPr>
          <w:rFonts w:hAnsi="宋体"/>
          <w:color w:val="auto"/>
          <w:szCs w:val="24"/>
        </w:rPr>
      </w:pPr>
      <w:r>
        <w:rPr>
          <w:rFonts w:hint="eastAsia" w:hAnsi="宋体"/>
          <w:color w:val="auto"/>
          <w:szCs w:val="24"/>
        </w:rPr>
        <w:t>特此承诺。</w:t>
      </w:r>
    </w:p>
    <w:p w14:paraId="5C868029">
      <w:pPr>
        <w:ind w:firstLine="480"/>
        <w:jc w:val="left"/>
        <w:rPr>
          <w:rFonts w:hAnsi="宋体"/>
          <w:color w:val="auto"/>
          <w:szCs w:val="24"/>
        </w:rPr>
      </w:pPr>
    </w:p>
    <w:p w14:paraId="1E29E4EA">
      <w:pPr>
        <w:ind w:firstLine="480"/>
        <w:jc w:val="left"/>
        <w:rPr>
          <w:rFonts w:hAnsi="宋体"/>
          <w:color w:val="auto"/>
          <w:szCs w:val="24"/>
        </w:rPr>
      </w:pPr>
    </w:p>
    <w:p w14:paraId="27ED79AA">
      <w:pPr>
        <w:ind w:firstLine="480"/>
        <w:rPr>
          <w:rFonts w:hint="eastAsia" w:hAnsi="宋体" w:cs="宋体"/>
          <w:color w:val="auto"/>
        </w:rPr>
      </w:pPr>
      <w:r>
        <w:rPr>
          <w:rFonts w:hint="eastAsia" w:hAnsi="宋体" w:cs="宋体"/>
          <w:color w:val="auto"/>
        </w:rPr>
        <w:t>承诺单位（盖单位公章）：</w:t>
      </w:r>
      <w:r>
        <w:rPr>
          <w:rFonts w:hint="eastAsia" w:hAnsi="宋体" w:cs="宋体"/>
          <w:color w:val="auto"/>
          <w:u w:val="single"/>
        </w:rPr>
        <w:t xml:space="preserve">                              </w:t>
      </w:r>
    </w:p>
    <w:p w14:paraId="2F4CC727">
      <w:pPr>
        <w:ind w:firstLine="480"/>
        <w:rPr>
          <w:rFonts w:hint="eastAsia" w:hAnsi="宋体" w:cs="宋体"/>
          <w:color w:val="auto"/>
        </w:rPr>
      </w:pPr>
      <w:r>
        <w:rPr>
          <w:rFonts w:hint="eastAsia" w:hAnsi="宋体" w:cs="宋体"/>
          <w:color w:val="auto"/>
        </w:rPr>
        <w:t>法定代表人或其委托代理人（签字或盖章或签章）：</w:t>
      </w:r>
      <w:r>
        <w:rPr>
          <w:rFonts w:hint="eastAsia" w:hAnsi="宋体" w:cs="宋体"/>
          <w:color w:val="auto"/>
          <w:u w:val="single"/>
        </w:rPr>
        <w:t xml:space="preserve">                    </w:t>
      </w:r>
    </w:p>
    <w:p w14:paraId="4C9C45BB">
      <w:pPr>
        <w:pStyle w:val="35"/>
        <w:spacing w:after="0"/>
        <w:ind w:firstLine="480" w:firstLineChars="200"/>
        <w:rPr>
          <w:rFonts w:hint="eastAsia" w:hAnsi="宋体" w:cs="宋体"/>
          <w:color w:val="auto"/>
          <w:szCs w:val="24"/>
        </w:rPr>
      </w:pPr>
      <w:r>
        <w:rPr>
          <w:rFonts w:hint="eastAsia" w:hAnsi="宋体" w:cs="宋体"/>
          <w:color w:val="auto"/>
          <w:szCs w:val="24"/>
        </w:rPr>
        <w:t>日期：_______年_______月______日</w:t>
      </w:r>
    </w:p>
    <w:p w14:paraId="4826A028">
      <w:pPr>
        <w:ind w:firstLine="602"/>
        <w:jc w:val="left"/>
        <w:rPr>
          <w:rFonts w:hint="eastAsia" w:hAnsi="宋体" w:cs="宋体"/>
          <w:b/>
          <w:color w:val="auto"/>
          <w:sz w:val="30"/>
          <w:szCs w:val="30"/>
        </w:rPr>
      </w:pPr>
    </w:p>
    <w:p w14:paraId="35584C77">
      <w:pPr>
        <w:pStyle w:val="4"/>
        <w:keepNext w:val="0"/>
        <w:keepLines w:val="0"/>
        <w:widowControl w:val="0"/>
        <w:jc w:val="center"/>
        <w:rPr>
          <w:rFonts w:hint="eastAsia" w:hAnsi="宋体" w:cs="宋体"/>
          <w:b w:val="0"/>
          <w:bCs/>
          <w:color w:val="auto"/>
          <w:sz w:val="28"/>
          <w:szCs w:val="28"/>
        </w:rPr>
      </w:pPr>
    </w:p>
    <w:p w14:paraId="6B8FDFF1">
      <w:pPr>
        <w:pStyle w:val="4"/>
        <w:keepNext w:val="0"/>
        <w:keepLines w:val="0"/>
        <w:widowControl w:val="0"/>
        <w:jc w:val="center"/>
        <w:rPr>
          <w:rFonts w:hint="eastAsia" w:hAnsi="宋体" w:cs="宋体"/>
          <w:bCs w:val="0"/>
          <w:color w:val="auto"/>
          <w:sz w:val="28"/>
          <w:szCs w:val="28"/>
        </w:rPr>
      </w:pPr>
    </w:p>
    <w:p w14:paraId="49092D16">
      <w:pPr>
        <w:pStyle w:val="4"/>
        <w:keepNext w:val="0"/>
        <w:keepLines w:val="0"/>
        <w:widowControl w:val="0"/>
        <w:jc w:val="center"/>
        <w:rPr>
          <w:rFonts w:hint="eastAsia" w:hAnsi="宋体" w:cs="宋体"/>
          <w:bCs w:val="0"/>
          <w:color w:val="auto"/>
          <w:sz w:val="28"/>
          <w:szCs w:val="28"/>
        </w:rPr>
      </w:pPr>
    </w:p>
    <w:p w14:paraId="2598A65F">
      <w:pPr>
        <w:pStyle w:val="4"/>
        <w:keepNext w:val="0"/>
        <w:keepLines w:val="0"/>
        <w:widowControl w:val="0"/>
        <w:jc w:val="center"/>
        <w:rPr>
          <w:rFonts w:hint="eastAsia" w:hAnsi="宋体" w:cs="宋体"/>
          <w:bCs w:val="0"/>
          <w:color w:val="auto"/>
          <w:sz w:val="28"/>
          <w:szCs w:val="28"/>
        </w:rPr>
      </w:pPr>
    </w:p>
    <w:p w14:paraId="24893397">
      <w:pPr>
        <w:pStyle w:val="4"/>
        <w:keepNext w:val="0"/>
        <w:keepLines w:val="0"/>
        <w:widowControl w:val="0"/>
        <w:jc w:val="center"/>
        <w:rPr>
          <w:rFonts w:hint="eastAsia" w:hAnsi="宋体" w:cs="宋体"/>
          <w:bCs w:val="0"/>
          <w:color w:val="auto"/>
          <w:sz w:val="28"/>
          <w:szCs w:val="28"/>
        </w:rPr>
      </w:pPr>
    </w:p>
    <w:p w14:paraId="2594553F">
      <w:pPr>
        <w:pStyle w:val="4"/>
        <w:keepNext w:val="0"/>
        <w:keepLines w:val="0"/>
        <w:widowControl w:val="0"/>
        <w:jc w:val="center"/>
        <w:rPr>
          <w:rFonts w:hint="eastAsia" w:hAnsi="宋体" w:cs="宋体"/>
          <w:bCs w:val="0"/>
          <w:color w:val="auto"/>
          <w:sz w:val="28"/>
          <w:szCs w:val="28"/>
        </w:rPr>
      </w:pPr>
    </w:p>
    <w:p w14:paraId="67CEFC19">
      <w:pPr>
        <w:pStyle w:val="4"/>
        <w:keepNext w:val="0"/>
        <w:keepLines w:val="0"/>
        <w:widowControl w:val="0"/>
        <w:jc w:val="center"/>
        <w:rPr>
          <w:rFonts w:hint="eastAsia" w:hAnsi="宋体" w:cs="宋体"/>
          <w:bCs w:val="0"/>
          <w:color w:val="auto"/>
          <w:sz w:val="28"/>
          <w:szCs w:val="28"/>
        </w:rPr>
      </w:pPr>
    </w:p>
    <w:p w14:paraId="16174FF3">
      <w:pPr>
        <w:pStyle w:val="4"/>
        <w:keepNext w:val="0"/>
        <w:keepLines w:val="0"/>
        <w:widowControl w:val="0"/>
        <w:jc w:val="center"/>
        <w:rPr>
          <w:rFonts w:hint="eastAsia" w:hAnsi="宋体" w:cs="宋体"/>
          <w:bCs w:val="0"/>
          <w:color w:val="auto"/>
          <w:sz w:val="28"/>
          <w:szCs w:val="28"/>
        </w:rPr>
      </w:pPr>
    </w:p>
    <w:p w14:paraId="7FF53342">
      <w:pPr>
        <w:pStyle w:val="4"/>
        <w:keepNext w:val="0"/>
        <w:keepLines w:val="0"/>
        <w:widowControl w:val="0"/>
        <w:jc w:val="center"/>
        <w:rPr>
          <w:rFonts w:hint="eastAsia" w:hAnsi="宋体" w:cs="宋体"/>
          <w:bCs w:val="0"/>
          <w:color w:val="auto"/>
          <w:sz w:val="28"/>
          <w:szCs w:val="28"/>
        </w:rPr>
      </w:pPr>
    </w:p>
    <w:p w14:paraId="6116F944">
      <w:pPr>
        <w:pStyle w:val="4"/>
        <w:keepNext w:val="0"/>
        <w:keepLines w:val="0"/>
        <w:widowControl w:val="0"/>
        <w:jc w:val="center"/>
        <w:rPr>
          <w:rFonts w:hint="eastAsia" w:hAnsi="宋体" w:cs="宋体"/>
          <w:bCs w:val="0"/>
          <w:color w:val="auto"/>
          <w:sz w:val="28"/>
          <w:szCs w:val="28"/>
        </w:rPr>
      </w:pPr>
    </w:p>
    <w:p w14:paraId="48DBED67">
      <w:pPr>
        <w:pStyle w:val="4"/>
        <w:keepNext w:val="0"/>
        <w:keepLines w:val="0"/>
        <w:widowControl w:val="0"/>
        <w:jc w:val="center"/>
        <w:rPr>
          <w:rFonts w:hint="eastAsia" w:hAnsi="宋体" w:cs="宋体"/>
          <w:bCs w:val="0"/>
          <w:color w:val="auto"/>
          <w:sz w:val="28"/>
          <w:szCs w:val="28"/>
        </w:rPr>
      </w:pPr>
    </w:p>
    <w:p w14:paraId="2F91CFEA">
      <w:pPr>
        <w:pStyle w:val="4"/>
        <w:keepNext w:val="0"/>
        <w:keepLines w:val="0"/>
        <w:widowControl w:val="0"/>
        <w:jc w:val="center"/>
        <w:rPr>
          <w:rFonts w:hint="eastAsia" w:hAnsi="宋体" w:cs="宋体"/>
          <w:bCs w:val="0"/>
          <w:color w:val="auto"/>
          <w:sz w:val="28"/>
          <w:szCs w:val="28"/>
        </w:rPr>
      </w:pPr>
    </w:p>
    <w:p w14:paraId="66270785">
      <w:pPr>
        <w:pStyle w:val="4"/>
        <w:keepNext w:val="0"/>
        <w:keepLines w:val="0"/>
        <w:widowControl w:val="0"/>
        <w:jc w:val="center"/>
        <w:rPr>
          <w:rFonts w:hint="eastAsia" w:hAnsi="宋体" w:cs="宋体"/>
          <w:bCs w:val="0"/>
          <w:color w:val="auto"/>
          <w:sz w:val="28"/>
          <w:szCs w:val="28"/>
        </w:rPr>
      </w:pPr>
    </w:p>
    <w:p w14:paraId="2651A5CD">
      <w:pPr>
        <w:pStyle w:val="4"/>
        <w:keepNext w:val="0"/>
        <w:keepLines w:val="0"/>
        <w:widowControl w:val="0"/>
        <w:jc w:val="center"/>
        <w:rPr>
          <w:rFonts w:hint="eastAsia" w:hAnsi="宋体" w:cs="宋体"/>
          <w:bCs w:val="0"/>
          <w:color w:val="auto"/>
          <w:sz w:val="28"/>
          <w:szCs w:val="28"/>
        </w:rPr>
      </w:pPr>
      <w:r>
        <w:rPr>
          <w:rFonts w:hint="eastAsia" w:hAnsi="宋体" w:cs="宋体"/>
          <w:bCs w:val="0"/>
          <w:color w:val="auto"/>
          <w:sz w:val="28"/>
          <w:szCs w:val="28"/>
        </w:rPr>
        <w:t>十</w:t>
      </w:r>
      <w:r>
        <w:rPr>
          <w:rFonts w:hint="eastAsia" w:hAnsi="宋体" w:cs="宋体"/>
          <w:bCs w:val="0"/>
          <w:color w:val="auto"/>
          <w:sz w:val="28"/>
          <w:szCs w:val="28"/>
          <w:lang w:eastAsia="zh-CN"/>
        </w:rPr>
        <w:t>三</w:t>
      </w:r>
      <w:r>
        <w:rPr>
          <w:rFonts w:hint="eastAsia" w:hAnsi="宋体" w:cs="宋体"/>
          <w:bCs w:val="0"/>
          <w:color w:val="auto"/>
          <w:sz w:val="28"/>
          <w:szCs w:val="28"/>
        </w:rPr>
        <w:t>、投标人认为有必要的其他资料</w:t>
      </w:r>
      <w:bookmarkEnd w:id="471"/>
      <w:bookmarkEnd w:id="472"/>
    </w:p>
    <w:p w14:paraId="06490239">
      <w:pPr>
        <w:ind w:firstLine="0" w:firstLineChars="0"/>
        <w:rPr>
          <w:color w:val="auto"/>
        </w:rPr>
      </w:pPr>
    </w:p>
    <w:p w14:paraId="0AF4C2A4">
      <w:pPr>
        <w:spacing w:line="9" w:lineRule="exact"/>
        <w:ind w:firstLine="480"/>
        <w:rPr>
          <w:rFonts w:hAnsi="宋体"/>
          <w:color w:val="auto"/>
        </w:rPr>
      </w:pPr>
    </w:p>
    <w:p w14:paraId="788286A7">
      <w:pPr>
        <w:pStyle w:val="35"/>
        <w:ind w:firstLine="1200" w:firstLineChars="500"/>
        <w:rPr>
          <w:rFonts w:hAnsi="宋体" w:cs="宋体"/>
          <w:color w:val="auto"/>
          <w:szCs w:val="22"/>
        </w:rPr>
      </w:pPr>
      <w:r>
        <w:rPr>
          <w:rFonts w:hint="eastAsia" w:hAnsi="宋体" w:cs="宋体"/>
          <w:color w:val="auto"/>
          <w:szCs w:val="22"/>
        </w:rPr>
        <w:t>注：</w:t>
      </w:r>
    </w:p>
    <w:p w14:paraId="541DB59C">
      <w:pPr>
        <w:pStyle w:val="35"/>
        <w:ind w:firstLine="1440" w:firstLineChars="600"/>
        <w:rPr>
          <w:rFonts w:hint="eastAsia" w:hAnsi="宋体" w:cs="宋体"/>
          <w:color w:val="auto"/>
          <w:szCs w:val="22"/>
        </w:rPr>
      </w:pPr>
      <w:r>
        <w:rPr>
          <w:rFonts w:hint="eastAsia" w:hAnsi="宋体" w:cs="宋体"/>
          <w:color w:val="auto"/>
          <w:szCs w:val="22"/>
        </w:rPr>
        <w:t>1、满足招标文件评审要求的资料，</w:t>
      </w:r>
      <w:r>
        <w:rPr>
          <w:rFonts w:hint="eastAsia" w:hAnsi="宋体" w:cs="宋体"/>
          <w:color w:val="auto"/>
        </w:rPr>
        <w:t>格式自定</w:t>
      </w:r>
      <w:r>
        <w:rPr>
          <w:rFonts w:hint="eastAsia" w:hAnsi="宋体" w:cs="宋体"/>
          <w:color w:val="auto"/>
          <w:szCs w:val="22"/>
        </w:rPr>
        <w:t>。</w:t>
      </w:r>
    </w:p>
    <w:p w14:paraId="680F4936">
      <w:pPr>
        <w:pStyle w:val="35"/>
        <w:ind w:firstLine="1440" w:firstLineChars="600"/>
        <w:rPr>
          <w:rFonts w:hint="eastAsia" w:hAnsi="宋体" w:cs="宋体"/>
          <w:color w:val="auto"/>
          <w:szCs w:val="22"/>
        </w:rPr>
      </w:pPr>
      <w:r>
        <w:rPr>
          <w:rFonts w:hint="eastAsia" w:hAnsi="宋体" w:cs="宋体"/>
          <w:color w:val="auto"/>
          <w:szCs w:val="22"/>
        </w:rPr>
        <w:t>2、投标人认为需要提供的其他资料，</w:t>
      </w:r>
      <w:r>
        <w:rPr>
          <w:rFonts w:hint="eastAsia" w:hAnsi="宋体" w:cs="宋体"/>
          <w:color w:val="auto"/>
        </w:rPr>
        <w:t>格式自定</w:t>
      </w:r>
      <w:r>
        <w:rPr>
          <w:rFonts w:hint="eastAsia" w:hAnsi="宋体" w:cs="宋体"/>
          <w:color w:val="auto"/>
          <w:szCs w:val="22"/>
        </w:rPr>
        <w:t>。</w:t>
      </w:r>
    </w:p>
    <w:p w14:paraId="1B64E572">
      <w:pPr>
        <w:pStyle w:val="35"/>
        <w:ind w:firstLine="0" w:firstLineChars="0"/>
        <w:rPr>
          <w:rFonts w:hint="eastAsia" w:hAnsi="宋体" w:cs="宋体"/>
          <w:color w:val="auto"/>
          <w:szCs w:val="22"/>
        </w:rPr>
      </w:pPr>
    </w:p>
    <w:sectPr>
      <w:pgSz w:w="11905" w:h="16838"/>
      <w:pgMar w:top="1361" w:right="1587" w:bottom="1361" w:left="1587" w:header="567" w:footer="90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華康簡楷">
    <w:altName w:val="宋体"/>
    <w:panose1 w:val="00000000000000000000"/>
    <w:charset w:val="00"/>
    <w:family w:val="auto"/>
    <w:pitch w:val="default"/>
    <w:sig w:usb0="00000000" w:usb1="00000000" w:usb2="00000010" w:usb3="00000000" w:csb0="00100001"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6188">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845C">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8F25">
    <w:pPr>
      <w:pStyle w:val="23"/>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5D52">
    <w:pPr>
      <w:pStyle w:val="2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B4FBFB">
                          <w:pPr>
                            <w:pStyle w:val="23"/>
                            <w:ind w:firstLine="360"/>
                          </w:pPr>
                          <w:r>
                            <w:fldChar w:fldCharType="begin"/>
                          </w:r>
                          <w:r>
                            <w:instrText xml:space="preserve"> PAGE  \* MERGEFORMAT </w:instrText>
                          </w:r>
                          <w:r>
                            <w:fldChar w:fldCharType="separate"/>
                          </w:r>
                          <w:r>
                            <w:t>0</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mqJdwBAADBAwAADgAAAGRycy9lMm9Eb2MueG1srVPNjtMwEL4j8Q6W&#10;7zTZaIW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ecOWHpws/fv51//Dr//Mqq&#10;66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ldmqJdwBAADBAwAADgAAAAAAAAAB&#10;ACAAAAAeAQAAZHJzL2Uyb0RvYy54bWxQSwUGAAAAAAYABgBZAQAAbAUAAAAA&#10;">
              <v:fill on="f" focussize="0,0"/>
              <v:stroke on="f"/>
              <v:imagedata o:title=""/>
              <o:lock v:ext="edit" aspectratio="f"/>
              <v:textbox inset="0mm,0mm,0mm,0mm" style="mso-fit-shape-to-text:t;">
                <w:txbxContent>
                  <w:p w14:paraId="06B4FBFB">
                    <w:pPr>
                      <w:pStyle w:val="23"/>
                      <w:ind w:firstLine="36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0635">
    <w:pPr>
      <w:pStyle w:val="23"/>
      <w:ind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405E3D">
                          <w:pPr>
                            <w:pStyle w:val="23"/>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1GYdwBAADBAwAADgAAAGRycy9lMm9Eb2MueG1srVPNjtMwEL4j8Q6W&#10;7zTZI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DlnTli68POP7+efv8+/vrHl&#10;i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6G1GYdwBAADBAwAADgAAAAAAAAAB&#10;ACAAAAAeAQAAZHJzL2Uyb0RvYy54bWxQSwUGAAAAAAYABgBZAQAAbAUAAAAA&#10;">
              <v:fill on="f" focussize="0,0"/>
              <v:stroke on="f"/>
              <v:imagedata o:title=""/>
              <o:lock v:ext="edit" aspectratio="f"/>
              <v:textbox inset="0mm,0mm,0mm,0mm" style="mso-fit-shape-to-text:t;">
                <w:txbxContent>
                  <w:p w14:paraId="5C405E3D">
                    <w:pPr>
                      <w:pStyle w:val="2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8453">
    <w:pPr>
      <w:pStyle w:val="23"/>
      <w:ind w:firstLine="0" w:firstLineChars="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4529D0">
                          <w:pPr>
                            <w:pStyle w:val="23"/>
                            <w:ind w:firstLine="360"/>
                          </w:pPr>
                          <w:r>
                            <w:fldChar w:fldCharType="begin"/>
                          </w:r>
                          <w:r>
                            <w:instrText xml:space="preserve"> PAGE  \* MERGEFORMAT </w:instrText>
                          </w:r>
                          <w:r>
                            <w:fldChar w:fldCharType="separate"/>
                          </w:r>
                          <w:r>
                            <w:t>97</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VaL2/dwBAADBAwAADgAAAAAAAAAB&#10;ACAAAAAeAQAAZHJzL2Uyb0RvYy54bWxQSwUGAAAAAAYABgBZAQAAbAUAAAAA&#10;">
              <v:fill on="f" focussize="0,0"/>
              <v:stroke on="f"/>
              <v:imagedata o:title=""/>
              <o:lock v:ext="edit" aspectratio="f"/>
              <v:textbox inset="0mm,0mm,0mm,0mm" style="mso-fit-shape-to-text:t;">
                <w:txbxContent>
                  <w:p w14:paraId="644529D0">
                    <w:pPr>
                      <w:pStyle w:val="23"/>
                      <w:ind w:firstLine="36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4B07">
    <w:pPr>
      <w:pStyle w:val="24"/>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7B51">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AA0B">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92AA">
    <w:pPr>
      <w:pStyle w:val="2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4CD5">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1287"/>
        </w:tabs>
        <w:ind w:left="1287" w:hanging="720"/>
      </w:pPr>
    </w:lvl>
    <w:lvl w:ilvl="3" w:tentative="0">
      <w:start w:val="1"/>
      <w:numFmt w:val="decimal"/>
      <w:pStyle w:val="6"/>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0"/>
  <w:hyphenationZone w:val="360"/>
  <w:drawingGridHorizontalSpacing w:val="120"/>
  <w:displayHorizontalDrawingGridEvery w:val="2"/>
  <w:displayVerticalDrawingGridEvery w:val="1"/>
  <w:noPunctuationKerning w:val="1"/>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WZkNWMzODMyNDk1NmUzOWViMzVhM2E5MTk5ZTgifQ=="/>
  </w:docVars>
  <w:rsids>
    <w:rsidRoot w:val="00172A27"/>
    <w:rsid w:val="00000C6D"/>
    <w:rsid w:val="00002825"/>
    <w:rsid w:val="00002D33"/>
    <w:rsid w:val="000030DD"/>
    <w:rsid w:val="000047AD"/>
    <w:rsid w:val="00005EB2"/>
    <w:rsid w:val="000077F6"/>
    <w:rsid w:val="0001007D"/>
    <w:rsid w:val="000121C4"/>
    <w:rsid w:val="0001395F"/>
    <w:rsid w:val="00013F72"/>
    <w:rsid w:val="00014FAB"/>
    <w:rsid w:val="000157F6"/>
    <w:rsid w:val="000171FB"/>
    <w:rsid w:val="00017A1E"/>
    <w:rsid w:val="00022F47"/>
    <w:rsid w:val="000245F5"/>
    <w:rsid w:val="00025E48"/>
    <w:rsid w:val="00030C41"/>
    <w:rsid w:val="000338E6"/>
    <w:rsid w:val="00034E80"/>
    <w:rsid w:val="000376E3"/>
    <w:rsid w:val="00037A81"/>
    <w:rsid w:val="00037C76"/>
    <w:rsid w:val="00037C9E"/>
    <w:rsid w:val="00040435"/>
    <w:rsid w:val="00040E7F"/>
    <w:rsid w:val="000415DD"/>
    <w:rsid w:val="000416FE"/>
    <w:rsid w:val="00041E98"/>
    <w:rsid w:val="00042972"/>
    <w:rsid w:val="000434F4"/>
    <w:rsid w:val="00043B07"/>
    <w:rsid w:val="00043ED8"/>
    <w:rsid w:val="000444E6"/>
    <w:rsid w:val="000464F5"/>
    <w:rsid w:val="00047876"/>
    <w:rsid w:val="00047A40"/>
    <w:rsid w:val="00050AF2"/>
    <w:rsid w:val="00051D9F"/>
    <w:rsid w:val="000521D7"/>
    <w:rsid w:val="0005295E"/>
    <w:rsid w:val="00052988"/>
    <w:rsid w:val="000529AE"/>
    <w:rsid w:val="000536B8"/>
    <w:rsid w:val="0005524E"/>
    <w:rsid w:val="000552D1"/>
    <w:rsid w:val="000619DE"/>
    <w:rsid w:val="00063553"/>
    <w:rsid w:val="00065716"/>
    <w:rsid w:val="00066412"/>
    <w:rsid w:val="000668EB"/>
    <w:rsid w:val="00070409"/>
    <w:rsid w:val="0007134A"/>
    <w:rsid w:val="00072339"/>
    <w:rsid w:val="00073180"/>
    <w:rsid w:val="0007464F"/>
    <w:rsid w:val="000750B7"/>
    <w:rsid w:val="00077AC9"/>
    <w:rsid w:val="00077CAA"/>
    <w:rsid w:val="00080ACC"/>
    <w:rsid w:val="00080C53"/>
    <w:rsid w:val="00084FF2"/>
    <w:rsid w:val="00086E31"/>
    <w:rsid w:val="000878C4"/>
    <w:rsid w:val="0009086C"/>
    <w:rsid w:val="00092687"/>
    <w:rsid w:val="00092F48"/>
    <w:rsid w:val="000944C7"/>
    <w:rsid w:val="00094B3F"/>
    <w:rsid w:val="000A1A6F"/>
    <w:rsid w:val="000A2602"/>
    <w:rsid w:val="000A4026"/>
    <w:rsid w:val="000A449B"/>
    <w:rsid w:val="000A647D"/>
    <w:rsid w:val="000A72FB"/>
    <w:rsid w:val="000A752F"/>
    <w:rsid w:val="000B1235"/>
    <w:rsid w:val="000B1888"/>
    <w:rsid w:val="000B1E86"/>
    <w:rsid w:val="000B2DF1"/>
    <w:rsid w:val="000B3670"/>
    <w:rsid w:val="000B4499"/>
    <w:rsid w:val="000B4CE8"/>
    <w:rsid w:val="000B56D2"/>
    <w:rsid w:val="000B5E61"/>
    <w:rsid w:val="000B673B"/>
    <w:rsid w:val="000B7C70"/>
    <w:rsid w:val="000C13E9"/>
    <w:rsid w:val="000C15DE"/>
    <w:rsid w:val="000C2316"/>
    <w:rsid w:val="000C3FAA"/>
    <w:rsid w:val="000C466D"/>
    <w:rsid w:val="000C5C53"/>
    <w:rsid w:val="000C618B"/>
    <w:rsid w:val="000C6DD5"/>
    <w:rsid w:val="000C7639"/>
    <w:rsid w:val="000C78DB"/>
    <w:rsid w:val="000D02C0"/>
    <w:rsid w:val="000D06CE"/>
    <w:rsid w:val="000D3806"/>
    <w:rsid w:val="000D3AA9"/>
    <w:rsid w:val="000D6730"/>
    <w:rsid w:val="000D79BA"/>
    <w:rsid w:val="000E03E2"/>
    <w:rsid w:val="000E0E71"/>
    <w:rsid w:val="000E16B3"/>
    <w:rsid w:val="000E2643"/>
    <w:rsid w:val="000E4594"/>
    <w:rsid w:val="000E4873"/>
    <w:rsid w:val="000E5685"/>
    <w:rsid w:val="000E6F44"/>
    <w:rsid w:val="000E746A"/>
    <w:rsid w:val="000F045B"/>
    <w:rsid w:val="000F1505"/>
    <w:rsid w:val="000F151D"/>
    <w:rsid w:val="000F2EBA"/>
    <w:rsid w:val="000F3DC0"/>
    <w:rsid w:val="000F7D47"/>
    <w:rsid w:val="00103024"/>
    <w:rsid w:val="001035D5"/>
    <w:rsid w:val="00104356"/>
    <w:rsid w:val="0010752E"/>
    <w:rsid w:val="0011017E"/>
    <w:rsid w:val="00111EAC"/>
    <w:rsid w:val="00112679"/>
    <w:rsid w:val="0011279C"/>
    <w:rsid w:val="0011317E"/>
    <w:rsid w:val="00115055"/>
    <w:rsid w:val="00117771"/>
    <w:rsid w:val="0012009A"/>
    <w:rsid w:val="001234F4"/>
    <w:rsid w:val="00123619"/>
    <w:rsid w:val="0012381A"/>
    <w:rsid w:val="00123AB1"/>
    <w:rsid w:val="0012459F"/>
    <w:rsid w:val="00125700"/>
    <w:rsid w:val="00127289"/>
    <w:rsid w:val="001273B2"/>
    <w:rsid w:val="00130007"/>
    <w:rsid w:val="00131C43"/>
    <w:rsid w:val="00133C5D"/>
    <w:rsid w:val="00134923"/>
    <w:rsid w:val="00135A17"/>
    <w:rsid w:val="00140988"/>
    <w:rsid w:val="001416A9"/>
    <w:rsid w:val="00143ECA"/>
    <w:rsid w:val="00145068"/>
    <w:rsid w:val="001463F5"/>
    <w:rsid w:val="001466F5"/>
    <w:rsid w:val="00146DE2"/>
    <w:rsid w:val="00150EEC"/>
    <w:rsid w:val="00152225"/>
    <w:rsid w:val="00152890"/>
    <w:rsid w:val="00152A55"/>
    <w:rsid w:val="00153CDB"/>
    <w:rsid w:val="00153FB7"/>
    <w:rsid w:val="001549DC"/>
    <w:rsid w:val="00155221"/>
    <w:rsid w:val="00155E66"/>
    <w:rsid w:val="00155E93"/>
    <w:rsid w:val="00156AC9"/>
    <w:rsid w:val="001576E9"/>
    <w:rsid w:val="00157A9E"/>
    <w:rsid w:val="00157E34"/>
    <w:rsid w:val="001603D9"/>
    <w:rsid w:val="00160CFE"/>
    <w:rsid w:val="00161C0A"/>
    <w:rsid w:val="00161D5F"/>
    <w:rsid w:val="001642C8"/>
    <w:rsid w:val="001644C0"/>
    <w:rsid w:val="00165028"/>
    <w:rsid w:val="00167BC2"/>
    <w:rsid w:val="00171B1E"/>
    <w:rsid w:val="00171F5A"/>
    <w:rsid w:val="00172DDD"/>
    <w:rsid w:val="001743F3"/>
    <w:rsid w:val="00174AC6"/>
    <w:rsid w:val="00175059"/>
    <w:rsid w:val="0017582F"/>
    <w:rsid w:val="00175CB4"/>
    <w:rsid w:val="0017602B"/>
    <w:rsid w:val="00176494"/>
    <w:rsid w:val="00180DF9"/>
    <w:rsid w:val="00181613"/>
    <w:rsid w:val="00181764"/>
    <w:rsid w:val="00182EDC"/>
    <w:rsid w:val="00183ADC"/>
    <w:rsid w:val="00184617"/>
    <w:rsid w:val="00184E0E"/>
    <w:rsid w:val="001857F4"/>
    <w:rsid w:val="001859FF"/>
    <w:rsid w:val="001877B6"/>
    <w:rsid w:val="00187C90"/>
    <w:rsid w:val="001923FF"/>
    <w:rsid w:val="00192F55"/>
    <w:rsid w:val="001968C1"/>
    <w:rsid w:val="00196D0E"/>
    <w:rsid w:val="00197C5C"/>
    <w:rsid w:val="00197E61"/>
    <w:rsid w:val="00197F9C"/>
    <w:rsid w:val="001A0AAA"/>
    <w:rsid w:val="001A1A0C"/>
    <w:rsid w:val="001A1A4D"/>
    <w:rsid w:val="001A1ECC"/>
    <w:rsid w:val="001A1FD7"/>
    <w:rsid w:val="001A2880"/>
    <w:rsid w:val="001A310B"/>
    <w:rsid w:val="001A44DA"/>
    <w:rsid w:val="001A50DB"/>
    <w:rsid w:val="001A58B6"/>
    <w:rsid w:val="001A6333"/>
    <w:rsid w:val="001A6E35"/>
    <w:rsid w:val="001B1649"/>
    <w:rsid w:val="001B248B"/>
    <w:rsid w:val="001B3A2E"/>
    <w:rsid w:val="001B3C15"/>
    <w:rsid w:val="001B3F3F"/>
    <w:rsid w:val="001B41D0"/>
    <w:rsid w:val="001B4742"/>
    <w:rsid w:val="001B53B0"/>
    <w:rsid w:val="001B5C43"/>
    <w:rsid w:val="001B7F46"/>
    <w:rsid w:val="001C092F"/>
    <w:rsid w:val="001C09AA"/>
    <w:rsid w:val="001C18F4"/>
    <w:rsid w:val="001C1B89"/>
    <w:rsid w:val="001C2BF5"/>
    <w:rsid w:val="001C3DC8"/>
    <w:rsid w:val="001C4462"/>
    <w:rsid w:val="001C452C"/>
    <w:rsid w:val="001C4961"/>
    <w:rsid w:val="001C53A0"/>
    <w:rsid w:val="001C5E9B"/>
    <w:rsid w:val="001C7056"/>
    <w:rsid w:val="001D1131"/>
    <w:rsid w:val="001D1EE7"/>
    <w:rsid w:val="001D3F32"/>
    <w:rsid w:val="001D51C9"/>
    <w:rsid w:val="001D606E"/>
    <w:rsid w:val="001D6F1D"/>
    <w:rsid w:val="001D72F7"/>
    <w:rsid w:val="001E0472"/>
    <w:rsid w:val="001E0701"/>
    <w:rsid w:val="001E09B4"/>
    <w:rsid w:val="001E0DF9"/>
    <w:rsid w:val="001E0F3A"/>
    <w:rsid w:val="001E19CC"/>
    <w:rsid w:val="001E2D49"/>
    <w:rsid w:val="001E3E72"/>
    <w:rsid w:val="001E53B5"/>
    <w:rsid w:val="001E7B97"/>
    <w:rsid w:val="001E7C50"/>
    <w:rsid w:val="001F0006"/>
    <w:rsid w:val="001F064A"/>
    <w:rsid w:val="001F1006"/>
    <w:rsid w:val="001F3427"/>
    <w:rsid w:val="001F50AF"/>
    <w:rsid w:val="001F7D6A"/>
    <w:rsid w:val="002003AE"/>
    <w:rsid w:val="0020066C"/>
    <w:rsid w:val="002050F4"/>
    <w:rsid w:val="0020522B"/>
    <w:rsid w:val="00206492"/>
    <w:rsid w:val="0020775F"/>
    <w:rsid w:val="00210776"/>
    <w:rsid w:val="00211C81"/>
    <w:rsid w:val="002122FB"/>
    <w:rsid w:val="002125F9"/>
    <w:rsid w:val="00213AFA"/>
    <w:rsid w:val="00213B9C"/>
    <w:rsid w:val="00213FF2"/>
    <w:rsid w:val="0021411A"/>
    <w:rsid w:val="00214C09"/>
    <w:rsid w:val="00214D2A"/>
    <w:rsid w:val="00214EFE"/>
    <w:rsid w:val="00217043"/>
    <w:rsid w:val="00217089"/>
    <w:rsid w:val="00220167"/>
    <w:rsid w:val="00221497"/>
    <w:rsid w:val="002217F2"/>
    <w:rsid w:val="00221C1F"/>
    <w:rsid w:val="00222024"/>
    <w:rsid w:val="00230977"/>
    <w:rsid w:val="00230C66"/>
    <w:rsid w:val="002317C9"/>
    <w:rsid w:val="00233A68"/>
    <w:rsid w:val="00234528"/>
    <w:rsid w:val="002355DC"/>
    <w:rsid w:val="00235BAA"/>
    <w:rsid w:val="00236454"/>
    <w:rsid w:val="00236AF2"/>
    <w:rsid w:val="00237E74"/>
    <w:rsid w:val="00240042"/>
    <w:rsid w:val="00240945"/>
    <w:rsid w:val="0024423E"/>
    <w:rsid w:val="00244867"/>
    <w:rsid w:val="00244A4D"/>
    <w:rsid w:val="002461C2"/>
    <w:rsid w:val="002461DA"/>
    <w:rsid w:val="002470ED"/>
    <w:rsid w:val="0024746E"/>
    <w:rsid w:val="002531C4"/>
    <w:rsid w:val="002535DB"/>
    <w:rsid w:val="00253DA4"/>
    <w:rsid w:val="002544C3"/>
    <w:rsid w:val="00255032"/>
    <w:rsid w:val="0025569D"/>
    <w:rsid w:val="002561EA"/>
    <w:rsid w:val="002566F3"/>
    <w:rsid w:val="00257824"/>
    <w:rsid w:val="0026018C"/>
    <w:rsid w:val="00260CDD"/>
    <w:rsid w:val="00262956"/>
    <w:rsid w:val="00265133"/>
    <w:rsid w:val="0026655D"/>
    <w:rsid w:val="00267AAF"/>
    <w:rsid w:val="0027204C"/>
    <w:rsid w:val="0027210B"/>
    <w:rsid w:val="00272DAF"/>
    <w:rsid w:val="0027391B"/>
    <w:rsid w:val="00280ACC"/>
    <w:rsid w:val="0028164F"/>
    <w:rsid w:val="00282228"/>
    <w:rsid w:val="0028247E"/>
    <w:rsid w:val="00283E3C"/>
    <w:rsid w:val="00285019"/>
    <w:rsid w:val="00285833"/>
    <w:rsid w:val="00285EAA"/>
    <w:rsid w:val="0028651E"/>
    <w:rsid w:val="00291279"/>
    <w:rsid w:val="00291C39"/>
    <w:rsid w:val="0029276D"/>
    <w:rsid w:val="002935A7"/>
    <w:rsid w:val="002942B7"/>
    <w:rsid w:val="00294DB6"/>
    <w:rsid w:val="002952E7"/>
    <w:rsid w:val="00296CC5"/>
    <w:rsid w:val="0029708E"/>
    <w:rsid w:val="0029724E"/>
    <w:rsid w:val="002A2AA8"/>
    <w:rsid w:val="002A3425"/>
    <w:rsid w:val="002A3C7D"/>
    <w:rsid w:val="002A4465"/>
    <w:rsid w:val="002A51A5"/>
    <w:rsid w:val="002A585D"/>
    <w:rsid w:val="002A5A86"/>
    <w:rsid w:val="002A6CB4"/>
    <w:rsid w:val="002A795C"/>
    <w:rsid w:val="002B072F"/>
    <w:rsid w:val="002B12F1"/>
    <w:rsid w:val="002B1B04"/>
    <w:rsid w:val="002B52A4"/>
    <w:rsid w:val="002B6366"/>
    <w:rsid w:val="002B6765"/>
    <w:rsid w:val="002B6FD2"/>
    <w:rsid w:val="002B75C2"/>
    <w:rsid w:val="002B7C1E"/>
    <w:rsid w:val="002C059D"/>
    <w:rsid w:val="002C2B73"/>
    <w:rsid w:val="002C2DB6"/>
    <w:rsid w:val="002C3AEC"/>
    <w:rsid w:val="002C4B8C"/>
    <w:rsid w:val="002C5883"/>
    <w:rsid w:val="002C5E0C"/>
    <w:rsid w:val="002C5F57"/>
    <w:rsid w:val="002C71DB"/>
    <w:rsid w:val="002D02AD"/>
    <w:rsid w:val="002D03A4"/>
    <w:rsid w:val="002D26AB"/>
    <w:rsid w:val="002D2BF9"/>
    <w:rsid w:val="002D56EC"/>
    <w:rsid w:val="002D737B"/>
    <w:rsid w:val="002E1638"/>
    <w:rsid w:val="002E1BE1"/>
    <w:rsid w:val="002E1C05"/>
    <w:rsid w:val="002E5C8C"/>
    <w:rsid w:val="002E743B"/>
    <w:rsid w:val="002E7862"/>
    <w:rsid w:val="002F077F"/>
    <w:rsid w:val="002F084B"/>
    <w:rsid w:val="002F0A74"/>
    <w:rsid w:val="002F17B6"/>
    <w:rsid w:val="002F37CF"/>
    <w:rsid w:val="002F3F7B"/>
    <w:rsid w:val="002F42DF"/>
    <w:rsid w:val="002F463A"/>
    <w:rsid w:val="002F52B0"/>
    <w:rsid w:val="002F52EC"/>
    <w:rsid w:val="002F5910"/>
    <w:rsid w:val="002F643F"/>
    <w:rsid w:val="002F77D1"/>
    <w:rsid w:val="00301602"/>
    <w:rsid w:val="00301B18"/>
    <w:rsid w:val="003020FF"/>
    <w:rsid w:val="0030424D"/>
    <w:rsid w:val="00305051"/>
    <w:rsid w:val="003052C5"/>
    <w:rsid w:val="003059D4"/>
    <w:rsid w:val="00306072"/>
    <w:rsid w:val="00306314"/>
    <w:rsid w:val="003067F3"/>
    <w:rsid w:val="0030796A"/>
    <w:rsid w:val="00311446"/>
    <w:rsid w:val="003130A7"/>
    <w:rsid w:val="003137A3"/>
    <w:rsid w:val="00313F6C"/>
    <w:rsid w:val="00314C01"/>
    <w:rsid w:val="003204A0"/>
    <w:rsid w:val="00320C80"/>
    <w:rsid w:val="00324175"/>
    <w:rsid w:val="003241C5"/>
    <w:rsid w:val="00326854"/>
    <w:rsid w:val="00326ABB"/>
    <w:rsid w:val="00326CDD"/>
    <w:rsid w:val="00330C86"/>
    <w:rsid w:val="00332C73"/>
    <w:rsid w:val="00332E8F"/>
    <w:rsid w:val="003348F5"/>
    <w:rsid w:val="003368C4"/>
    <w:rsid w:val="00336B07"/>
    <w:rsid w:val="00337D71"/>
    <w:rsid w:val="00337E87"/>
    <w:rsid w:val="00340B6C"/>
    <w:rsid w:val="00342E75"/>
    <w:rsid w:val="00343A01"/>
    <w:rsid w:val="00344C00"/>
    <w:rsid w:val="003452C4"/>
    <w:rsid w:val="003457B8"/>
    <w:rsid w:val="003459B6"/>
    <w:rsid w:val="00346D36"/>
    <w:rsid w:val="0034796E"/>
    <w:rsid w:val="00347BCD"/>
    <w:rsid w:val="00347D0E"/>
    <w:rsid w:val="003519FC"/>
    <w:rsid w:val="00352515"/>
    <w:rsid w:val="003539F9"/>
    <w:rsid w:val="00353A19"/>
    <w:rsid w:val="003549A6"/>
    <w:rsid w:val="00354D78"/>
    <w:rsid w:val="0036051F"/>
    <w:rsid w:val="00365EF5"/>
    <w:rsid w:val="0036679A"/>
    <w:rsid w:val="00372474"/>
    <w:rsid w:val="0037391B"/>
    <w:rsid w:val="00374CC1"/>
    <w:rsid w:val="0037545B"/>
    <w:rsid w:val="00375F76"/>
    <w:rsid w:val="00377181"/>
    <w:rsid w:val="00377697"/>
    <w:rsid w:val="003805E4"/>
    <w:rsid w:val="003815E5"/>
    <w:rsid w:val="00382728"/>
    <w:rsid w:val="00382F16"/>
    <w:rsid w:val="003833FC"/>
    <w:rsid w:val="00385651"/>
    <w:rsid w:val="00385AFE"/>
    <w:rsid w:val="00385BDB"/>
    <w:rsid w:val="00385D3D"/>
    <w:rsid w:val="00385EED"/>
    <w:rsid w:val="00387728"/>
    <w:rsid w:val="00390FAA"/>
    <w:rsid w:val="003913FD"/>
    <w:rsid w:val="00391D0E"/>
    <w:rsid w:val="003929A5"/>
    <w:rsid w:val="00394259"/>
    <w:rsid w:val="0039731B"/>
    <w:rsid w:val="003A0A67"/>
    <w:rsid w:val="003A1208"/>
    <w:rsid w:val="003A1C8A"/>
    <w:rsid w:val="003A2372"/>
    <w:rsid w:val="003A629E"/>
    <w:rsid w:val="003A64A6"/>
    <w:rsid w:val="003A771C"/>
    <w:rsid w:val="003A77F9"/>
    <w:rsid w:val="003A787E"/>
    <w:rsid w:val="003B0B3E"/>
    <w:rsid w:val="003B10E4"/>
    <w:rsid w:val="003B1755"/>
    <w:rsid w:val="003B1B70"/>
    <w:rsid w:val="003B1E03"/>
    <w:rsid w:val="003B2AD8"/>
    <w:rsid w:val="003B2C9F"/>
    <w:rsid w:val="003B3642"/>
    <w:rsid w:val="003B364B"/>
    <w:rsid w:val="003B4EC0"/>
    <w:rsid w:val="003B50DE"/>
    <w:rsid w:val="003B7675"/>
    <w:rsid w:val="003B76F6"/>
    <w:rsid w:val="003B7C22"/>
    <w:rsid w:val="003B7C77"/>
    <w:rsid w:val="003C0EDF"/>
    <w:rsid w:val="003C2EFE"/>
    <w:rsid w:val="003C3735"/>
    <w:rsid w:val="003C466C"/>
    <w:rsid w:val="003C5CCD"/>
    <w:rsid w:val="003D0087"/>
    <w:rsid w:val="003D2C66"/>
    <w:rsid w:val="003D2D47"/>
    <w:rsid w:val="003D381B"/>
    <w:rsid w:val="003D41B0"/>
    <w:rsid w:val="003D5A1D"/>
    <w:rsid w:val="003E0009"/>
    <w:rsid w:val="003E01A6"/>
    <w:rsid w:val="003E0D1B"/>
    <w:rsid w:val="003E1916"/>
    <w:rsid w:val="003E2257"/>
    <w:rsid w:val="003E2A58"/>
    <w:rsid w:val="003E385E"/>
    <w:rsid w:val="003E41D6"/>
    <w:rsid w:val="003E42C9"/>
    <w:rsid w:val="003E472D"/>
    <w:rsid w:val="003E48D2"/>
    <w:rsid w:val="003E55C2"/>
    <w:rsid w:val="003E6CB1"/>
    <w:rsid w:val="003E7006"/>
    <w:rsid w:val="003E7272"/>
    <w:rsid w:val="003E7960"/>
    <w:rsid w:val="003F03BE"/>
    <w:rsid w:val="003F2C0C"/>
    <w:rsid w:val="003F310E"/>
    <w:rsid w:val="003F43F5"/>
    <w:rsid w:val="003F4914"/>
    <w:rsid w:val="003F50AF"/>
    <w:rsid w:val="003F5FCA"/>
    <w:rsid w:val="003F6E16"/>
    <w:rsid w:val="003F782B"/>
    <w:rsid w:val="00400EAB"/>
    <w:rsid w:val="00401E75"/>
    <w:rsid w:val="004026F5"/>
    <w:rsid w:val="004034FE"/>
    <w:rsid w:val="00403DA0"/>
    <w:rsid w:val="00404354"/>
    <w:rsid w:val="004052B7"/>
    <w:rsid w:val="00405B13"/>
    <w:rsid w:val="00407E6C"/>
    <w:rsid w:val="00410608"/>
    <w:rsid w:val="00410EED"/>
    <w:rsid w:val="00412299"/>
    <w:rsid w:val="00413A06"/>
    <w:rsid w:val="00415F70"/>
    <w:rsid w:val="00416F1F"/>
    <w:rsid w:val="004179CE"/>
    <w:rsid w:val="00417CCD"/>
    <w:rsid w:val="00417DAD"/>
    <w:rsid w:val="00422B79"/>
    <w:rsid w:val="00423746"/>
    <w:rsid w:val="00423AB2"/>
    <w:rsid w:val="00423EC6"/>
    <w:rsid w:val="00424A41"/>
    <w:rsid w:val="00426036"/>
    <w:rsid w:val="0043021E"/>
    <w:rsid w:val="00431747"/>
    <w:rsid w:val="0043505D"/>
    <w:rsid w:val="0043681A"/>
    <w:rsid w:val="00437330"/>
    <w:rsid w:val="00440017"/>
    <w:rsid w:val="0044140F"/>
    <w:rsid w:val="00443694"/>
    <w:rsid w:val="004438A1"/>
    <w:rsid w:val="00443BBD"/>
    <w:rsid w:val="00444037"/>
    <w:rsid w:val="00445E62"/>
    <w:rsid w:val="004460E6"/>
    <w:rsid w:val="00453BB4"/>
    <w:rsid w:val="004543ED"/>
    <w:rsid w:val="0045557D"/>
    <w:rsid w:val="00457DA3"/>
    <w:rsid w:val="00460348"/>
    <w:rsid w:val="004609F1"/>
    <w:rsid w:val="004611FA"/>
    <w:rsid w:val="0046153A"/>
    <w:rsid w:val="0046200B"/>
    <w:rsid w:val="004621FA"/>
    <w:rsid w:val="00462A50"/>
    <w:rsid w:val="0046310D"/>
    <w:rsid w:val="00463618"/>
    <w:rsid w:val="00463A1A"/>
    <w:rsid w:val="0046461C"/>
    <w:rsid w:val="00464D2E"/>
    <w:rsid w:val="0046791C"/>
    <w:rsid w:val="0047059A"/>
    <w:rsid w:val="00470B31"/>
    <w:rsid w:val="00474556"/>
    <w:rsid w:val="00475540"/>
    <w:rsid w:val="00475F9C"/>
    <w:rsid w:val="004763BF"/>
    <w:rsid w:val="004772D9"/>
    <w:rsid w:val="00482EA1"/>
    <w:rsid w:val="00483F9E"/>
    <w:rsid w:val="0049294A"/>
    <w:rsid w:val="00493197"/>
    <w:rsid w:val="00495877"/>
    <w:rsid w:val="0049762D"/>
    <w:rsid w:val="004A0021"/>
    <w:rsid w:val="004A1E74"/>
    <w:rsid w:val="004A2E8A"/>
    <w:rsid w:val="004A4091"/>
    <w:rsid w:val="004A544D"/>
    <w:rsid w:val="004A5BEE"/>
    <w:rsid w:val="004A6C3A"/>
    <w:rsid w:val="004A7F21"/>
    <w:rsid w:val="004B03EA"/>
    <w:rsid w:val="004B0B49"/>
    <w:rsid w:val="004B19C8"/>
    <w:rsid w:val="004B327B"/>
    <w:rsid w:val="004B360B"/>
    <w:rsid w:val="004B4217"/>
    <w:rsid w:val="004B4CE6"/>
    <w:rsid w:val="004B5192"/>
    <w:rsid w:val="004B6261"/>
    <w:rsid w:val="004B62D5"/>
    <w:rsid w:val="004B64C0"/>
    <w:rsid w:val="004C0794"/>
    <w:rsid w:val="004C1BF3"/>
    <w:rsid w:val="004C26E8"/>
    <w:rsid w:val="004C3ABF"/>
    <w:rsid w:val="004C4728"/>
    <w:rsid w:val="004C5C8B"/>
    <w:rsid w:val="004C616D"/>
    <w:rsid w:val="004D0487"/>
    <w:rsid w:val="004D16AC"/>
    <w:rsid w:val="004D2852"/>
    <w:rsid w:val="004D2AB3"/>
    <w:rsid w:val="004D3270"/>
    <w:rsid w:val="004D5343"/>
    <w:rsid w:val="004D6CE8"/>
    <w:rsid w:val="004E30B4"/>
    <w:rsid w:val="004E48F4"/>
    <w:rsid w:val="004E4BAA"/>
    <w:rsid w:val="004E52BA"/>
    <w:rsid w:val="004E5E9D"/>
    <w:rsid w:val="004E6512"/>
    <w:rsid w:val="004E6759"/>
    <w:rsid w:val="004E6DD4"/>
    <w:rsid w:val="004E71F7"/>
    <w:rsid w:val="004F0CC9"/>
    <w:rsid w:val="004F16B8"/>
    <w:rsid w:val="004F1A4F"/>
    <w:rsid w:val="004F3B5C"/>
    <w:rsid w:val="004F4C0B"/>
    <w:rsid w:val="004F4EF9"/>
    <w:rsid w:val="004F6153"/>
    <w:rsid w:val="00501641"/>
    <w:rsid w:val="00503E31"/>
    <w:rsid w:val="0050456B"/>
    <w:rsid w:val="005049FE"/>
    <w:rsid w:val="00504A10"/>
    <w:rsid w:val="0050598B"/>
    <w:rsid w:val="00511169"/>
    <w:rsid w:val="005133E3"/>
    <w:rsid w:val="0051420A"/>
    <w:rsid w:val="00514978"/>
    <w:rsid w:val="005153F2"/>
    <w:rsid w:val="00515682"/>
    <w:rsid w:val="005165F9"/>
    <w:rsid w:val="00517BC2"/>
    <w:rsid w:val="0052084F"/>
    <w:rsid w:val="00523615"/>
    <w:rsid w:val="005239C3"/>
    <w:rsid w:val="0052522C"/>
    <w:rsid w:val="00526DA9"/>
    <w:rsid w:val="005273F5"/>
    <w:rsid w:val="00527DDE"/>
    <w:rsid w:val="00531BDC"/>
    <w:rsid w:val="00531E7B"/>
    <w:rsid w:val="005322B1"/>
    <w:rsid w:val="0053236F"/>
    <w:rsid w:val="00533516"/>
    <w:rsid w:val="005336C8"/>
    <w:rsid w:val="005339A4"/>
    <w:rsid w:val="005339BA"/>
    <w:rsid w:val="0053418C"/>
    <w:rsid w:val="005352FE"/>
    <w:rsid w:val="00535A9D"/>
    <w:rsid w:val="00536C8A"/>
    <w:rsid w:val="00537094"/>
    <w:rsid w:val="00540CC5"/>
    <w:rsid w:val="00541DD2"/>
    <w:rsid w:val="00542361"/>
    <w:rsid w:val="00542F11"/>
    <w:rsid w:val="00550079"/>
    <w:rsid w:val="005539EE"/>
    <w:rsid w:val="00554AA6"/>
    <w:rsid w:val="00555267"/>
    <w:rsid w:val="005554BB"/>
    <w:rsid w:val="00556584"/>
    <w:rsid w:val="00556FB9"/>
    <w:rsid w:val="00557ADF"/>
    <w:rsid w:val="005606F2"/>
    <w:rsid w:val="005609FF"/>
    <w:rsid w:val="0056171C"/>
    <w:rsid w:val="005629D0"/>
    <w:rsid w:val="0056348D"/>
    <w:rsid w:val="00564A6C"/>
    <w:rsid w:val="0056576F"/>
    <w:rsid w:val="00566B14"/>
    <w:rsid w:val="005734ED"/>
    <w:rsid w:val="00574030"/>
    <w:rsid w:val="00574302"/>
    <w:rsid w:val="00575F9E"/>
    <w:rsid w:val="00577BC7"/>
    <w:rsid w:val="00580C99"/>
    <w:rsid w:val="00582C57"/>
    <w:rsid w:val="005832ED"/>
    <w:rsid w:val="0058388A"/>
    <w:rsid w:val="005858FC"/>
    <w:rsid w:val="005860F0"/>
    <w:rsid w:val="00586FD5"/>
    <w:rsid w:val="005902FA"/>
    <w:rsid w:val="00590EA8"/>
    <w:rsid w:val="00590F60"/>
    <w:rsid w:val="00590FF7"/>
    <w:rsid w:val="005917F1"/>
    <w:rsid w:val="00591948"/>
    <w:rsid w:val="005926F9"/>
    <w:rsid w:val="005939E9"/>
    <w:rsid w:val="00593CB8"/>
    <w:rsid w:val="00594B1D"/>
    <w:rsid w:val="00594D78"/>
    <w:rsid w:val="0059521C"/>
    <w:rsid w:val="0059563D"/>
    <w:rsid w:val="00595EDF"/>
    <w:rsid w:val="0059771A"/>
    <w:rsid w:val="005A0519"/>
    <w:rsid w:val="005A19DF"/>
    <w:rsid w:val="005A3237"/>
    <w:rsid w:val="005A3F6F"/>
    <w:rsid w:val="005A6079"/>
    <w:rsid w:val="005A7CAC"/>
    <w:rsid w:val="005B0D59"/>
    <w:rsid w:val="005B25D0"/>
    <w:rsid w:val="005B3CF9"/>
    <w:rsid w:val="005B43BA"/>
    <w:rsid w:val="005B43C6"/>
    <w:rsid w:val="005B5832"/>
    <w:rsid w:val="005B5A80"/>
    <w:rsid w:val="005C08C4"/>
    <w:rsid w:val="005C0B97"/>
    <w:rsid w:val="005C1335"/>
    <w:rsid w:val="005C1F33"/>
    <w:rsid w:val="005C327C"/>
    <w:rsid w:val="005C3812"/>
    <w:rsid w:val="005C6D14"/>
    <w:rsid w:val="005C7667"/>
    <w:rsid w:val="005D08B4"/>
    <w:rsid w:val="005D2193"/>
    <w:rsid w:val="005D31EE"/>
    <w:rsid w:val="005D503C"/>
    <w:rsid w:val="005D5DDC"/>
    <w:rsid w:val="005D6C86"/>
    <w:rsid w:val="005E00F6"/>
    <w:rsid w:val="005E0518"/>
    <w:rsid w:val="005E0B57"/>
    <w:rsid w:val="005E1393"/>
    <w:rsid w:val="005E158E"/>
    <w:rsid w:val="005E5EAA"/>
    <w:rsid w:val="005E6BD8"/>
    <w:rsid w:val="005E7A5B"/>
    <w:rsid w:val="005F0DCC"/>
    <w:rsid w:val="005F151E"/>
    <w:rsid w:val="005F2557"/>
    <w:rsid w:val="005F2EBE"/>
    <w:rsid w:val="005F3A2E"/>
    <w:rsid w:val="005F4737"/>
    <w:rsid w:val="005F60A3"/>
    <w:rsid w:val="005F625B"/>
    <w:rsid w:val="005F6987"/>
    <w:rsid w:val="00600EAE"/>
    <w:rsid w:val="00601F60"/>
    <w:rsid w:val="00602BAD"/>
    <w:rsid w:val="0060593D"/>
    <w:rsid w:val="006060C3"/>
    <w:rsid w:val="00606CA6"/>
    <w:rsid w:val="00611064"/>
    <w:rsid w:val="006114AA"/>
    <w:rsid w:val="00611785"/>
    <w:rsid w:val="00612C42"/>
    <w:rsid w:val="0061303D"/>
    <w:rsid w:val="006148C9"/>
    <w:rsid w:val="00614AB0"/>
    <w:rsid w:val="00614B40"/>
    <w:rsid w:val="006150A1"/>
    <w:rsid w:val="00616707"/>
    <w:rsid w:val="00617410"/>
    <w:rsid w:val="00617AE7"/>
    <w:rsid w:val="00617DAC"/>
    <w:rsid w:val="00617DB7"/>
    <w:rsid w:val="0062144D"/>
    <w:rsid w:val="00622123"/>
    <w:rsid w:val="00622BB9"/>
    <w:rsid w:val="00624403"/>
    <w:rsid w:val="0062533C"/>
    <w:rsid w:val="00625993"/>
    <w:rsid w:val="00625FEA"/>
    <w:rsid w:val="00626A9F"/>
    <w:rsid w:val="0062757D"/>
    <w:rsid w:val="00627E37"/>
    <w:rsid w:val="0063022F"/>
    <w:rsid w:val="006305CF"/>
    <w:rsid w:val="00630846"/>
    <w:rsid w:val="00631C9E"/>
    <w:rsid w:val="00632DB7"/>
    <w:rsid w:val="00632FA3"/>
    <w:rsid w:val="0063352D"/>
    <w:rsid w:val="0063398E"/>
    <w:rsid w:val="00634237"/>
    <w:rsid w:val="006378E0"/>
    <w:rsid w:val="006408C8"/>
    <w:rsid w:val="006436EA"/>
    <w:rsid w:val="00644171"/>
    <w:rsid w:val="00645CD7"/>
    <w:rsid w:val="0064748F"/>
    <w:rsid w:val="00650966"/>
    <w:rsid w:val="00650B8E"/>
    <w:rsid w:val="0065280A"/>
    <w:rsid w:val="00652F0F"/>
    <w:rsid w:val="006531D7"/>
    <w:rsid w:val="006541CA"/>
    <w:rsid w:val="006576CC"/>
    <w:rsid w:val="00660694"/>
    <w:rsid w:val="00661927"/>
    <w:rsid w:val="006653DC"/>
    <w:rsid w:val="00667889"/>
    <w:rsid w:val="00667B37"/>
    <w:rsid w:val="006718AA"/>
    <w:rsid w:val="00672400"/>
    <w:rsid w:val="00674613"/>
    <w:rsid w:val="00675E75"/>
    <w:rsid w:val="0067720E"/>
    <w:rsid w:val="0067789B"/>
    <w:rsid w:val="00677D63"/>
    <w:rsid w:val="00680181"/>
    <w:rsid w:val="00680F05"/>
    <w:rsid w:val="00681133"/>
    <w:rsid w:val="0068151B"/>
    <w:rsid w:val="00684F63"/>
    <w:rsid w:val="00686208"/>
    <w:rsid w:val="00692CB3"/>
    <w:rsid w:val="0069374E"/>
    <w:rsid w:val="00694166"/>
    <w:rsid w:val="00694944"/>
    <w:rsid w:val="00694F99"/>
    <w:rsid w:val="006A04A4"/>
    <w:rsid w:val="006A08E0"/>
    <w:rsid w:val="006A17F9"/>
    <w:rsid w:val="006A1B1D"/>
    <w:rsid w:val="006A1CE1"/>
    <w:rsid w:val="006A383C"/>
    <w:rsid w:val="006A53F8"/>
    <w:rsid w:val="006A5B23"/>
    <w:rsid w:val="006A5C04"/>
    <w:rsid w:val="006A61D1"/>
    <w:rsid w:val="006A6C16"/>
    <w:rsid w:val="006A710A"/>
    <w:rsid w:val="006A7375"/>
    <w:rsid w:val="006A784C"/>
    <w:rsid w:val="006A78CB"/>
    <w:rsid w:val="006B06BA"/>
    <w:rsid w:val="006B286C"/>
    <w:rsid w:val="006B2A65"/>
    <w:rsid w:val="006B4BE5"/>
    <w:rsid w:val="006B5F54"/>
    <w:rsid w:val="006B79CF"/>
    <w:rsid w:val="006B7E9F"/>
    <w:rsid w:val="006C048F"/>
    <w:rsid w:val="006C0A09"/>
    <w:rsid w:val="006C0E4A"/>
    <w:rsid w:val="006C2266"/>
    <w:rsid w:val="006C2321"/>
    <w:rsid w:val="006C2369"/>
    <w:rsid w:val="006C4052"/>
    <w:rsid w:val="006C4F64"/>
    <w:rsid w:val="006C6467"/>
    <w:rsid w:val="006C6788"/>
    <w:rsid w:val="006C6B72"/>
    <w:rsid w:val="006C7339"/>
    <w:rsid w:val="006D09E1"/>
    <w:rsid w:val="006D0F3E"/>
    <w:rsid w:val="006D11D9"/>
    <w:rsid w:val="006D1B96"/>
    <w:rsid w:val="006D308E"/>
    <w:rsid w:val="006D339D"/>
    <w:rsid w:val="006D3CB2"/>
    <w:rsid w:val="006D3DCF"/>
    <w:rsid w:val="006D412E"/>
    <w:rsid w:val="006D4485"/>
    <w:rsid w:val="006D4917"/>
    <w:rsid w:val="006D56AA"/>
    <w:rsid w:val="006D59AB"/>
    <w:rsid w:val="006D64E9"/>
    <w:rsid w:val="006D6ABF"/>
    <w:rsid w:val="006E14AD"/>
    <w:rsid w:val="006E152C"/>
    <w:rsid w:val="006E3226"/>
    <w:rsid w:val="006E32BF"/>
    <w:rsid w:val="006E366C"/>
    <w:rsid w:val="006E4B91"/>
    <w:rsid w:val="006E589F"/>
    <w:rsid w:val="006E6101"/>
    <w:rsid w:val="006E7DBE"/>
    <w:rsid w:val="006F109D"/>
    <w:rsid w:val="006F12C5"/>
    <w:rsid w:val="006F13F4"/>
    <w:rsid w:val="006F1FED"/>
    <w:rsid w:val="006F2D72"/>
    <w:rsid w:val="006F2E5E"/>
    <w:rsid w:val="006F3443"/>
    <w:rsid w:val="006F35A4"/>
    <w:rsid w:val="006F41C1"/>
    <w:rsid w:val="006F5036"/>
    <w:rsid w:val="006F51AB"/>
    <w:rsid w:val="006F553E"/>
    <w:rsid w:val="006F5CD3"/>
    <w:rsid w:val="006F6501"/>
    <w:rsid w:val="0070098C"/>
    <w:rsid w:val="00701265"/>
    <w:rsid w:val="00701A4B"/>
    <w:rsid w:val="00701CCF"/>
    <w:rsid w:val="00701D2C"/>
    <w:rsid w:val="00702395"/>
    <w:rsid w:val="00702783"/>
    <w:rsid w:val="00702962"/>
    <w:rsid w:val="00705983"/>
    <w:rsid w:val="00705BD4"/>
    <w:rsid w:val="00706006"/>
    <w:rsid w:val="00706B1A"/>
    <w:rsid w:val="0071017F"/>
    <w:rsid w:val="007105FA"/>
    <w:rsid w:val="00711F45"/>
    <w:rsid w:val="007122B8"/>
    <w:rsid w:val="0071386C"/>
    <w:rsid w:val="00714E29"/>
    <w:rsid w:val="00715954"/>
    <w:rsid w:val="00715ABC"/>
    <w:rsid w:val="007202F5"/>
    <w:rsid w:val="00720925"/>
    <w:rsid w:val="00720F70"/>
    <w:rsid w:val="007218A5"/>
    <w:rsid w:val="00721B21"/>
    <w:rsid w:val="00723F5B"/>
    <w:rsid w:val="007247E6"/>
    <w:rsid w:val="00724A0E"/>
    <w:rsid w:val="00725F1A"/>
    <w:rsid w:val="00726965"/>
    <w:rsid w:val="0073220E"/>
    <w:rsid w:val="00732B3B"/>
    <w:rsid w:val="0073342E"/>
    <w:rsid w:val="0073491F"/>
    <w:rsid w:val="00736046"/>
    <w:rsid w:val="00741026"/>
    <w:rsid w:val="00741A11"/>
    <w:rsid w:val="007426FE"/>
    <w:rsid w:val="00745778"/>
    <w:rsid w:val="007464C5"/>
    <w:rsid w:val="00747229"/>
    <w:rsid w:val="00747888"/>
    <w:rsid w:val="007513D3"/>
    <w:rsid w:val="0075199C"/>
    <w:rsid w:val="00755A11"/>
    <w:rsid w:val="0075601C"/>
    <w:rsid w:val="00757F20"/>
    <w:rsid w:val="00760C45"/>
    <w:rsid w:val="0076318D"/>
    <w:rsid w:val="00764217"/>
    <w:rsid w:val="0076464C"/>
    <w:rsid w:val="00764754"/>
    <w:rsid w:val="00764D5B"/>
    <w:rsid w:val="007657B0"/>
    <w:rsid w:val="00767AF3"/>
    <w:rsid w:val="00770202"/>
    <w:rsid w:val="00771265"/>
    <w:rsid w:val="00771676"/>
    <w:rsid w:val="007720C5"/>
    <w:rsid w:val="00774400"/>
    <w:rsid w:val="00774C00"/>
    <w:rsid w:val="007754F8"/>
    <w:rsid w:val="007763C4"/>
    <w:rsid w:val="00780713"/>
    <w:rsid w:val="00781BB6"/>
    <w:rsid w:val="007826A5"/>
    <w:rsid w:val="007836BD"/>
    <w:rsid w:val="007838AE"/>
    <w:rsid w:val="00783D1B"/>
    <w:rsid w:val="00785608"/>
    <w:rsid w:val="0078706E"/>
    <w:rsid w:val="00790357"/>
    <w:rsid w:val="007905D5"/>
    <w:rsid w:val="0079118D"/>
    <w:rsid w:val="0079323B"/>
    <w:rsid w:val="00793F7B"/>
    <w:rsid w:val="007951C8"/>
    <w:rsid w:val="00795DA6"/>
    <w:rsid w:val="00795DD5"/>
    <w:rsid w:val="007A31BB"/>
    <w:rsid w:val="007A41F9"/>
    <w:rsid w:val="007A481B"/>
    <w:rsid w:val="007A48B3"/>
    <w:rsid w:val="007A4AC3"/>
    <w:rsid w:val="007A4F9B"/>
    <w:rsid w:val="007A56C8"/>
    <w:rsid w:val="007A685F"/>
    <w:rsid w:val="007A7605"/>
    <w:rsid w:val="007B26FE"/>
    <w:rsid w:val="007B2D7F"/>
    <w:rsid w:val="007B3D8E"/>
    <w:rsid w:val="007B402F"/>
    <w:rsid w:val="007B5743"/>
    <w:rsid w:val="007B6C18"/>
    <w:rsid w:val="007C1A8F"/>
    <w:rsid w:val="007C3072"/>
    <w:rsid w:val="007C3358"/>
    <w:rsid w:val="007C3985"/>
    <w:rsid w:val="007C666C"/>
    <w:rsid w:val="007D0A2B"/>
    <w:rsid w:val="007D1EAC"/>
    <w:rsid w:val="007D28B5"/>
    <w:rsid w:val="007D2AB3"/>
    <w:rsid w:val="007D2F4F"/>
    <w:rsid w:val="007D3F04"/>
    <w:rsid w:val="007D6570"/>
    <w:rsid w:val="007D716C"/>
    <w:rsid w:val="007D7318"/>
    <w:rsid w:val="007D7D34"/>
    <w:rsid w:val="007E00A1"/>
    <w:rsid w:val="007E0264"/>
    <w:rsid w:val="007E02EE"/>
    <w:rsid w:val="007E0722"/>
    <w:rsid w:val="007E0C42"/>
    <w:rsid w:val="007E1296"/>
    <w:rsid w:val="007E146A"/>
    <w:rsid w:val="007E167B"/>
    <w:rsid w:val="007E1F1D"/>
    <w:rsid w:val="007E3B80"/>
    <w:rsid w:val="007E3F58"/>
    <w:rsid w:val="007E4DA3"/>
    <w:rsid w:val="007E64ED"/>
    <w:rsid w:val="007E6CEA"/>
    <w:rsid w:val="007F01C6"/>
    <w:rsid w:val="007F21FE"/>
    <w:rsid w:val="007F3256"/>
    <w:rsid w:val="007F38E7"/>
    <w:rsid w:val="007F4359"/>
    <w:rsid w:val="007F5024"/>
    <w:rsid w:val="007F5051"/>
    <w:rsid w:val="00801DC6"/>
    <w:rsid w:val="00802567"/>
    <w:rsid w:val="00802B82"/>
    <w:rsid w:val="00802DA4"/>
    <w:rsid w:val="008033B8"/>
    <w:rsid w:val="00804094"/>
    <w:rsid w:val="00804BE7"/>
    <w:rsid w:val="00805A33"/>
    <w:rsid w:val="0080649C"/>
    <w:rsid w:val="00810939"/>
    <w:rsid w:val="00811117"/>
    <w:rsid w:val="008118B2"/>
    <w:rsid w:val="008124EC"/>
    <w:rsid w:val="008131D1"/>
    <w:rsid w:val="00813EB8"/>
    <w:rsid w:val="00816426"/>
    <w:rsid w:val="0081794E"/>
    <w:rsid w:val="00817C77"/>
    <w:rsid w:val="00817FDE"/>
    <w:rsid w:val="008234D8"/>
    <w:rsid w:val="00823883"/>
    <w:rsid w:val="00824370"/>
    <w:rsid w:val="00824B90"/>
    <w:rsid w:val="00824C03"/>
    <w:rsid w:val="00826527"/>
    <w:rsid w:val="0082704D"/>
    <w:rsid w:val="008275B4"/>
    <w:rsid w:val="00830F71"/>
    <w:rsid w:val="008312D3"/>
    <w:rsid w:val="00832CF5"/>
    <w:rsid w:val="00834304"/>
    <w:rsid w:val="008358BF"/>
    <w:rsid w:val="008358E3"/>
    <w:rsid w:val="008365FD"/>
    <w:rsid w:val="00837288"/>
    <w:rsid w:val="0083783E"/>
    <w:rsid w:val="00843584"/>
    <w:rsid w:val="008440BF"/>
    <w:rsid w:val="00847DA8"/>
    <w:rsid w:val="008523A0"/>
    <w:rsid w:val="008524B6"/>
    <w:rsid w:val="00852608"/>
    <w:rsid w:val="008527D6"/>
    <w:rsid w:val="0085397A"/>
    <w:rsid w:val="00854352"/>
    <w:rsid w:val="008567EA"/>
    <w:rsid w:val="00857371"/>
    <w:rsid w:val="0086044D"/>
    <w:rsid w:val="008604B5"/>
    <w:rsid w:val="008608DD"/>
    <w:rsid w:val="00860CCB"/>
    <w:rsid w:val="0086262A"/>
    <w:rsid w:val="00862F64"/>
    <w:rsid w:val="00864214"/>
    <w:rsid w:val="00864794"/>
    <w:rsid w:val="00865926"/>
    <w:rsid w:val="00865BF2"/>
    <w:rsid w:val="00872854"/>
    <w:rsid w:val="00873130"/>
    <w:rsid w:val="00873B8E"/>
    <w:rsid w:val="008741CA"/>
    <w:rsid w:val="00875754"/>
    <w:rsid w:val="00880779"/>
    <w:rsid w:val="0088089D"/>
    <w:rsid w:val="00880D5F"/>
    <w:rsid w:val="00881080"/>
    <w:rsid w:val="00884B92"/>
    <w:rsid w:val="00885D64"/>
    <w:rsid w:val="00886DF0"/>
    <w:rsid w:val="0088721F"/>
    <w:rsid w:val="00887C75"/>
    <w:rsid w:val="00890B2B"/>
    <w:rsid w:val="00890C77"/>
    <w:rsid w:val="00891734"/>
    <w:rsid w:val="00892B26"/>
    <w:rsid w:val="00896734"/>
    <w:rsid w:val="008A21EE"/>
    <w:rsid w:val="008A2C9B"/>
    <w:rsid w:val="008A3136"/>
    <w:rsid w:val="008A462E"/>
    <w:rsid w:val="008A5D57"/>
    <w:rsid w:val="008A64B8"/>
    <w:rsid w:val="008A700D"/>
    <w:rsid w:val="008A74C9"/>
    <w:rsid w:val="008A78C2"/>
    <w:rsid w:val="008B3117"/>
    <w:rsid w:val="008B359F"/>
    <w:rsid w:val="008B5BA5"/>
    <w:rsid w:val="008B6A3A"/>
    <w:rsid w:val="008B775D"/>
    <w:rsid w:val="008C1480"/>
    <w:rsid w:val="008C2A02"/>
    <w:rsid w:val="008C4292"/>
    <w:rsid w:val="008C53E8"/>
    <w:rsid w:val="008C5CB6"/>
    <w:rsid w:val="008D1812"/>
    <w:rsid w:val="008D40C4"/>
    <w:rsid w:val="008D42B9"/>
    <w:rsid w:val="008D587F"/>
    <w:rsid w:val="008D6BFC"/>
    <w:rsid w:val="008D7AAE"/>
    <w:rsid w:val="008E0121"/>
    <w:rsid w:val="008E2AA1"/>
    <w:rsid w:val="008E359C"/>
    <w:rsid w:val="008E3A7D"/>
    <w:rsid w:val="008E61A8"/>
    <w:rsid w:val="008E6B69"/>
    <w:rsid w:val="008E6D95"/>
    <w:rsid w:val="008E7225"/>
    <w:rsid w:val="008E7708"/>
    <w:rsid w:val="008F2014"/>
    <w:rsid w:val="008F3487"/>
    <w:rsid w:val="008F39A1"/>
    <w:rsid w:val="008F3A3E"/>
    <w:rsid w:val="008F3A7D"/>
    <w:rsid w:val="008F4F15"/>
    <w:rsid w:val="008F57D4"/>
    <w:rsid w:val="008F639B"/>
    <w:rsid w:val="0090178E"/>
    <w:rsid w:val="009020A6"/>
    <w:rsid w:val="00902658"/>
    <w:rsid w:val="009028D8"/>
    <w:rsid w:val="009033A7"/>
    <w:rsid w:val="009036C2"/>
    <w:rsid w:val="00905425"/>
    <w:rsid w:val="009055A1"/>
    <w:rsid w:val="00906D1B"/>
    <w:rsid w:val="00907417"/>
    <w:rsid w:val="00911911"/>
    <w:rsid w:val="00912048"/>
    <w:rsid w:val="00912BD8"/>
    <w:rsid w:val="00912C98"/>
    <w:rsid w:val="009137B5"/>
    <w:rsid w:val="00915B61"/>
    <w:rsid w:val="00916F49"/>
    <w:rsid w:val="009171D8"/>
    <w:rsid w:val="009173A5"/>
    <w:rsid w:val="009201E3"/>
    <w:rsid w:val="0092200B"/>
    <w:rsid w:val="009236F4"/>
    <w:rsid w:val="0092707B"/>
    <w:rsid w:val="009307C1"/>
    <w:rsid w:val="00931533"/>
    <w:rsid w:val="0093336F"/>
    <w:rsid w:val="00933EB7"/>
    <w:rsid w:val="009341D8"/>
    <w:rsid w:val="009345F9"/>
    <w:rsid w:val="0093552D"/>
    <w:rsid w:val="009362B1"/>
    <w:rsid w:val="00936CD6"/>
    <w:rsid w:val="00936FCE"/>
    <w:rsid w:val="009404F2"/>
    <w:rsid w:val="00940950"/>
    <w:rsid w:val="00940A5F"/>
    <w:rsid w:val="0094173D"/>
    <w:rsid w:val="009419CB"/>
    <w:rsid w:val="00943353"/>
    <w:rsid w:val="009445E1"/>
    <w:rsid w:val="00944841"/>
    <w:rsid w:val="00944C60"/>
    <w:rsid w:val="00944E5C"/>
    <w:rsid w:val="00946566"/>
    <w:rsid w:val="0095049C"/>
    <w:rsid w:val="00955C85"/>
    <w:rsid w:val="00956615"/>
    <w:rsid w:val="00957E24"/>
    <w:rsid w:val="00960F36"/>
    <w:rsid w:val="00961E04"/>
    <w:rsid w:val="00965183"/>
    <w:rsid w:val="00965224"/>
    <w:rsid w:val="00967D45"/>
    <w:rsid w:val="00970844"/>
    <w:rsid w:val="00970F52"/>
    <w:rsid w:val="009718B3"/>
    <w:rsid w:val="009729B9"/>
    <w:rsid w:val="0097579E"/>
    <w:rsid w:val="0097584F"/>
    <w:rsid w:val="00975928"/>
    <w:rsid w:val="0097593C"/>
    <w:rsid w:val="009768FB"/>
    <w:rsid w:val="00976B89"/>
    <w:rsid w:val="00980699"/>
    <w:rsid w:val="00981507"/>
    <w:rsid w:val="009819DB"/>
    <w:rsid w:val="00982312"/>
    <w:rsid w:val="00982A6B"/>
    <w:rsid w:val="00983BA9"/>
    <w:rsid w:val="00987001"/>
    <w:rsid w:val="00987EA9"/>
    <w:rsid w:val="00990695"/>
    <w:rsid w:val="009912F7"/>
    <w:rsid w:val="00991C53"/>
    <w:rsid w:val="0099491F"/>
    <w:rsid w:val="00997AFC"/>
    <w:rsid w:val="009A3989"/>
    <w:rsid w:val="009A6F8E"/>
    <w:rsid w:val="009A799B"/>
    <w:rsid w:val="009A7B41"/>
    <w:rsid w:val="009B008E"/>
    <w:rsid w:val="009B1331"/>
    <w:rsid w:val="009B271C"/>
    <w:rsid w:val="009B3E3E"/>
    <w:rsid w:val="009B6653"/>
    <w:rsid w:val="009B736C"/>
    <w:rsid w:val="009B77F7"/>
    <w:rsid w:val="009C0738"/>
    <w:rsid w:val="009C1A6E"/>
    <w:rsid w:val="009C1BD6"/>
    <w:rsid w:val="009C47C6"/>
    <w:rsid w:val="009C7754"/>
    <w:rsid w:val="009D10EC"/>
    <w:rsid w:val="009D344D"/>
    <w:rsid w:val="009D3841"/>
    <w:rsid w:val="009D490F"/>
    <w:rsid w:val="009D7847"/>
    <w:rsid w:val="009D7B1F"/>
    <w:rsid w:val="009E0DD3"/>
    <w:rsid w:val="009E254E"/>
    <w:rsid w:val="009E3C6B"/>
    <w:rsid w:val="009E43A8"/>
    <w:rsid w:val="009E5AC7"/>
    <w:rsid w:val="009E6358"/>
    <w:rsid w:val="009E7009"/>
    <w:rsid w:val="009E71AB"/>
    <w:rsid w:val="009E7FF0"/>
    <w:rsid w:val="009F02DC"/>
    <w:rsid w:val="009F0ED7"/>
    <w:rsid w:val="009F176F"/>
    <w:rsid w:val="009F29EB"/>
    <w:rsid w:val="009F562F"/>
    <w:rsid w:val="009F5A53"/>
    <w:rsid w:val="009F60DE"/>
    <w:rsid w:val="009F620F"/>
    <w:rsid w:val="009F6ABF"/>
    <w:rsid w:val="009F6C6F"/>
    <w:rsid w:val="009F6E2D"/>
    <w:rsid w:val="009F7185"/>
    <w:rsid w:val="00A0033A"/>
    <w:rsid w:val="00A0037F"/>
    <w:rsid w:val="00A004A3"/>
    <w:rsid w:val="00A00CCC"/>
    <w:rsid w:val="00A01401"/>
    <w:rsid w:val="00A0532B"/>
    <w:rsid w:val="00A058F6"/>
    <w:rsid w:val="00A05A7B"/>
    <w:rsid w:val="00A05B6B"/>
    <w:rsid w:val="00A07444"/>
    <w:rsid w:val="00A07FFC"/>
    <w:rsid w:val="00A13CE5"/>
    <w:rsid w:val="00A14619"/>
    <w:rsid w:val="00A146C4"/>
    <w:rsid w:val="00A147F8"/>
    <w:rsid w:val="00A14B4F"/>
    <w:rsid w:val="00A15831"/>
    <w:rsid w:val="00A15984"/>
    <w:rsid w:val="00A15C1E"/>
    <w:rsid w:val="00A1751E"/>
    <w:rsid w:val="00A21064"/>
    <w:rsid w:val="00A21B60"/>
    <w:rsid w:val="00A22EE9"/>
    <w:rsid w:val="00A2312D"/>
    <w:rsid w:val="00A2503E"/>
    <w:rsid w:val="00A26320"/>
    <w:rsid w:val="00A3120A"/>
    <w:rsid w:val="00A33452"/>
    <w:rsid w:val="00A3461C"/>
    <w:rsid w:val="00A3675B"/>
    <w:rsid w:val="00A36894"/>
    <w:rsid w:val="00A36CC8"/>
    <w:rsid w:val="00A41975"/>
    <w:rsid w:val="00A41B19"/>
    <w:rsid w:val="00A43F30"/>
    <w:rsid w:val="00A43FF1"/>
    <w:rsid w:val="00A458BA"/>
    <w:rsid w:val="00A50AB5"/>
    <w:rsid w:val="00A516FD"/>
    <w:rsid w:val="00A52EC5"/>
    <w:rsid w:val="00A54825"/>
    <w:rsid w:val="00A550F0"/>
    <w:rsid w:val="00A55CEE"/>
    <w:rsid w:val="00A56817"/>
    <w:rsid w:val="00A56E58"/>
    <w:rsid w:val="00A57130"/>
    <w:rsid w:val="00A57293"/>
    <w:rsid w:val="00A601AF"/>
    <w:rsid w:val="00A6147C"/>
    <w:rsid w:val="00A61B80"/>
    <w:rsid w:val="00A62D2B"/>
    <w:rsid w:val="00A62E4B"/>
    <w:rsid w:val="00A6409D"/>
    <w:rsid w:val="00A64170"/>
    <w:rsid w:val="00A6497F"/>
    <w:rsid w:val="00A673CE"/>
    <w:rsid w:val="00A70956"/>
    <w:rsid w:val="00A70F25"/>
    <w:rsid w:val="00A71EE4"/>
    <w:rsid w:val="00A7204D"/>
    <w:rsid w:val="00A72467"/>
    <w:rsid w:val="00A724AF"/>
    <w:rsid w:val="00A72A8C"/>
    <w:rsid w:val="00A72A9F"/>
    <w:rsid w:val="00A7537A"/>
    <w:rsid w:val="00A77FDD"/>
    <w:rsid w:val="00A80870"/>
    <w:rsid w:val="00A80ACE"/>
    <w:rsid w:val="00A812DA"/>
    <w:rsid w:val="00A82E83"/>
    <w:rsid w:val="00A82F4D"/>
    <w:rsid w:val="00A842CB"/>
    <w:rsid w:val="00A84D22"/>
    <w:rsid w:val="00A84ED8"/>
    <w:rsid w:val="00A856E3"/>
    <w:rsid w:val="00A85899"/>
    <w:rsid w:val="00A869A6"/>
    <w:rsid w:val="00A86D24"/>
    <w:rsid w:val="00A87262"/>
    <w:rsid w:val="00A87AF9"/>
    <w:rsid w:val="00A90DBF"/>
    <w:rsid w:val="00A920CF"/>
    <w:rsid w:val="00A92C84"/>
    <w:rsid w:val="00A93520"/>
    <w:rsid w:val="00A9749F"/>
    <w:rsid w:val="00AA1DA9"/>
    <w:rsid w:val="00AA1E43"/>
    <w:rsid w:val="00AA1EE9"/>
    <w:rsid w:val="00AA2762"/>
    <w:rsid w:val="00AA2CDD"/>
    <w:rsid w:val="00AA3DED"/>
    <w:rsid w:val="00AA465A"/>
    <w:rsid w:val="00AA56EB"/>
    <w:rsid w:val="00AA5DBA"/>
    <w:rsid w:val="00AA651A"/>
    <w:rsid w:val="00AA7901"/>
    <w:rsid w:val="00AA7C35"/>
    <w:rsid w:val="00AB0760"/>
    <w:rsid w:val="00AB0A99"/>
    <w:rsid w:val="00AB13B2"/>
    <w:rsid w:val="00AB1E96"/>
    <w:rsid w:val="00AB2E86"/>
    <w:rsid w:val="00AC0BD9"/>
    <w:rsid w:val="00AC136B"/>
    <w:rsid w:val="00AC3308"/>
    <w:rsid w:val="00AC377B"/>
    <w:rsid w:val="00AC4359"/>
    <w:rsid w:val="00AC4DC8"/>
    <w:rsid w:val="00AC4EDD"/>
    <w:rsid w:val="00AC661F"/>
    <w:rsid w:val="00AC6CAD"/>
    <w:rsid w:val="00AC760F"/>
    <w:rsid w:val="00AD1AE7"/>
    <w:rsid w:val="00AD2C13"/>
    <w:rsid w:val="00AD3236"/>
    <w:rsid w:val="00AD399E"/>
    <w:rsid w:val="00AD6299"/>
    <w:rsid w:val="00AD73C5"/>
    <w:rsid w:val="00AD76AE"/>
    <w:rsid w:val="00AE051E"/>
    <w:rsid w:val="00AE1858"/>
    <w:rsid w:val="00AE2915"/>
    <w:rsid w:val="00AE3CF3"/>
    <w:rsid w:val="00AE435A"/>
    <w:rsid w:val="00AE5A3D"/>
    <w:rsid w:val="00AE5CDF"/>
    <w:rsid w:val="00AE6DAE"/>
    <w:rsid w:val="00AE7329"/>
    <w:rsid w:val="00AF1F91"/>
    <w:rsid w:val="00AF2D38"/>
    <w:rsid w:val="00AF3AA8"/>
    <w:rsid w:val="00AF3FA5"/>
    <w:rsid w:val="00AF4C0D"/>
    <w:rsid w:val="00AF6CFE"/>
    <w:rsid w:val="00AF6FF0"/>
    <w:rsid w:val="00B00777"/>
    <w:rsid w:val="00B011B4"/>
    <w:rsid w:val="00B02A93"/>
    <w:rsid w:val="00B04347"/>
    <w:rsid w:val="00B04C2D"/>
    <w:rsid w:val="00B11602"/>
    <w:rsid w:val="00B11CB9"/>
    <w:rsid w:val="00B129EE"/>
    <w:rsid w:val="00B132B7"/>
    <w:rsid w:val="00B153F3"/>
    <w:rsid w:val="00B15802"/>
    <w:rsid w:val="00B160D2"/>
    <w:rsid w:val="00B17878"/>
    <w:rsid w:val="00B209F8"/>
    <w:rsid w:val="00B20C02"/>
    <w:rsid w:val="00B21A28"/>
    <w:rsid w:val="00B22B28"/>
    <w:rsid w:val="00B23597"/>
    <w:rsid w:val="00B23C2B"/>
    <w:rsid w:val="00B26543"/>
    <w:rsid w:val="00B27724"/>
    <w:rsid w:val="00B30350"/>
    <w:rsid w:val="00B30640"/>
    <w:rsid w:val="00B30962"/>
    <w:rsid w:val="00B30C04"/>
    <w:rsid w:val="00B313BE"/>
    <w:rsid w:val="00B3326B"/>
    <w:rsid w:val="00B33D7A"/>
    <w:rsid w:val="00B33E09"/>
    <w:rsid w:val="00B35080"/>
    <w:rsid w:val="00B350BE"/>
    <w:rsid w:val="00B35211"/>
    <w:rsid w:val="00B3586C"/>
    <w:rsid w:val="00B3625F"/>
    <w:rsid w:val="00B37616"/>
    <w:rsid w:val="00B4014C"/>
    <w:rsid w:val="00B405E2"/>
    <w:rsid w:val="00B40696"/>
    <w:rsid w:val="00B44019"/>
    <w:rsid w:val="00B4645B"/>
    <w:rsid w:val="00B46970"/>
    <w:rsid w:val="00B47950"/>
    <w:rsid w:val="00B5043C"/>
    <w:rsid w:val="00B5084D"/>
    <w:rsid w:val="00B52870"/>
    <w:rsid w:val="00B52FA3"/>
    <w:rsid w:val="00B52FDF"/>
    <w:rsid w:val="00B5349F"/>
    <w:rsid w:val="00B53539"/>
    <w:rsid w:val="00B5372B"/>
    <w:rsid w:val="00B53FF5"/>
    <w:rsid w:val="00B5470A"/>
    <w:rsid w:val="00B55CE5"/>
    <w:rsid w:val="00B567A2"/>
    <w:rsid w:val="00B618E4"/>
    <w:rsid w:val="00B66B33"/>
    <w:rsid w:val="00B66F86"/>
    <w:rsid w:val="00B6730D"/>
    <w:rsid w:val="00B709BD"/>
    <w:rsid w:val="00B72B8F"/>
    <w:rsid w:val="00B7585B"/>
    <w:rsid w:val="00B75E8E"/>
    <w:rsid w:val="00B763EC"/>
    <w:rsid w:val="00B76897"/>
    <w:rsid w:val="00B76FEE"/>
    <w:rsid w:val="00B804AC"/>
    <w:rsid w:val="00B8085F"/>
    <w:rsid w:val="00B82E21"/>
    <w:rsid w:val="00B8325D"/>
    <w:rsid w:val="00B8332A"/>
    <w:rsid w:val="00B83599"/>
    <w:rsid w:val="00B83D4C"/>
    <w:rsid w:val="00B8563C"/>
    <w:rsid w:val="00B8755A"/>
    <w:rsid w:val="00B90F21"/>
    <w:rsid w:val="00B910D6"/>
    <w:rsid w:val="00B917E7"/>
    <w:rsid w:val="00B92EBD"/>
    <w:rsid w:val="00B95098"/>
    <w:rsid w:val="00B97002"/>
    <w:rsid w:val="00BA0A3B"/>
    <w:rsid w:val="00BA1339"/>
    <w:rsid w:val="00BA30F3"/>
    <w:rsid w:val="00BA3774"/>
    <w:rsid w:val="00BA6642"/>
    <w:rsid w:val="00BA6C60"/>
    <w:rsid w:val="00BA6E57"/>
    <w:rsid w:val="00BB018B"/>
    <w:rsid w:val="00BB2C30"/>
    <w:rsid w:val="00BB3057"/>
    <w:rsid w:val="00BB357D"/>
    <w:rsid w:val="00BB638C"/>
    <w:rsid w:val="00BB708F"/>
    <w:rsid w:val="00BB75E1"/>
    <w:rsid w:val="00BB7AD7"/>
    <w:rsid w:val="00BC131E"/>
    <w:rsid w:val="00BC1B29"/>
    <w:rsid w:val="00BC392D"/>
    <w:rsid w:val="00BC5AA0"/>
    <w:rsid w:val="00BD3C10"/>
    <w:rsid w:val="00BD3D7F"/>
    <w:rsid w:val="00BD4E3F"/>
    <w:rsid w:val="00BD7647"/>
    <w:rsid w:val="00BD7960"/>
    <w:rsid w:val="00BD7D8C"/>
    <w:rsid w:val="00BE1C45"/>
    <w:rsid w:val="00BE32D1"/>
    <w:rsid w:val="00BE40E9"/>
    <w:rsid w:val="00BE4B3E"/>
    <w:rsid w:val="00BE4BDA"/>
    <w:rsid w:val="00BE4F51"/>
    <w:rsid w:val="00BE5A25"/>
    <w:rsid w:val="00BE614B"/>
    <w:rsid w:val="00BE6D08"/>
    <w:rsid w:val="00BE6E46"/>
    <w:rsid w:val="00BF1246"/>
    <w:rsid w:val="00BF4699"/>
    <w:rsid w:val="00BF4A1A"/>
    <w:rsid w:val="00BF5984"/>
    <w:rsid w:val="00BF70F7"/>
    <w:rsid w:val="00C0004E"/>
    <w:rsid w:val="00C01DC8"/>
    <w:rsid w:val="00C02A75"/>
    <w:rsid w:val="00C03B98"/>
    <w:rsid w:val="00C05CB2"/>
    <w:rsid w:val="00C067B2"/>
    <w:rsid w:val="00C06B54"/>
    <w:rsid w:val="00C07821"/>
    <w:rsid w:val="00C12311"/>
    <w:rsid w:val="00C12BE7"/>
    <w:rsid w:val="00C1643C"/>
    <w:rsid w:val="00C165EB"/>
    <w:rsid w:val="00C16B4E"/>
    <w:rsid w:val="00C16F3D"/>
    <w:rsid w:val="00C20AFE"/>
    <w:rsid w:val="00C21E9F"/>
    <w:rsid w:val="00C243D7"/>
    <w:rsid w:val="00C24719"/>
    <w:rsid w:val="00C27FF4"/>
    <w:rsid w:val="00C327A4"/>
    <w:rsid w:val="00C32DFA"/>
    <w:rsid w:val="00C34A86"/>
    <w:rsid w:val="00C361B9"/>
    <w:rsid w:val="00C36FAF"/>
    <w:rsid w:val="00C375F0"/>
    <w:rsid w:val="00C40669"/>
    <w:rsid w:val="00C4088C"/>
    <w:rsid w:val="00C41C94"/>
    <w:rsid w:val="00C4261A"/>
    <w:rsid w:val="00C4271B"/>
    <w:rsid w:val="00C438D5"/>
    <w:rsid w:val="00C454AE"/>
    <w:rsid w:val="00C46057"/>
    <w:rsid w:val="00C47275"/>
    <w:rsid w:val="00C51496"/>
    <w:rsid w:val="00C559F6"/>
    <w:rsid w:val="00C55C9E"/>
    <w:rsid w:val="00C573D9"/>
    <w:rsid w:val="00C57E8A"/>
    <w:rsid w:val="00C6044C"/>
    <w:rsid w:val="00C60D30"/>
    <w:rsid w:val="00C6108A"/>
    <w:rsid w:val="00C618C9"/>
    <w:rsid w:val="00C6230F"/>
    <w:rsid w:val="00C6448D"/>
    <w:rsid w:val="00C65FCF"/>
    <w:rsid w:val="00C6693E"/>
    <w:rsid w:val="00C6715D"/>
    <w:rsid w:val="00C70D41"/>
    <w:rsid w:val="00C74FA7"/>
    <w:rsid w:val="00C757D0"/>
    <w:rsid w:val="00C75E63"/>
    <w:rsid w:val="00C771F3"/>
    <w:rsid w:val="00C775F9"/>
    <w:rsid w:val="00C77B02"/>
    <w:rsid w:val="00C77E7E"/>
    <w:rsid w:val="00C8047B"/>
    <w:rsid w:val="00C80D25"/>
    <w:rsid w:val="00C81E95"/>
    <w:rsid w:val="00C826F8"/>
    <w:rsid w:val="00C836AC"/>
    <w:rsid w:val="00C841F6"/>
    <w:rsid w:val="00C85C70"/>
    <w:rsid w:val="00C862F9"/>
    <w:rsid w:val="00C87047"/>
    <w:rsid w:val="00C8763D"/>
    <w:rsid w:val="00C90988"/>
    <w:rsid w:val="00C909E3"/>
    <w:rsid w:val="00C9162A"/>
    <w:rsid w:val="00C92E4B"/>
    <w:rsid w:val="00C97D28"/>
    <w:rsid w:val="00C97D73"/>
    <w:rsid w:val="00C97EAC"/>
    <w:rsid w:val="00CA21F1"/>
    <w:rsid w:val="00CA2D07"/>
    <w:rsid w:val="00CA3365"/>
    <w:rsid w:val="00CA3CA3"/>
    <w:rsid w:val="00CA50F2"/>
    <w:rsid w:val="00CA5A4C"/>
    <w:rsid w:val="00CA5E3A"/>
    <w:rsid w:val="00CA5EFD"/>
    <w:rsid w:val="00CA70D3"/>
    <w:rsid w:val="00CA7674"/>
    <w:rsid w:val="00CB078F"/>
    <w:rsid w:val="00CB150C"/>
    <w:rsid w:val="00CB15BB"/>
    <w:rsid w:val="00CB17A2"/>
    <w:rsid w:val="00CB1BEE"/>
    <w:rsid w:val="00CB2670"/>
    <w:rsid w:val="00CB2AC1"/>
    <w:rsid w:val="00CB6E91"/>
    <w:rsid w:val="00CB7EA7"/>
    <w:rsid w:val="00CC1639"/>
    <w:rsid w:val="00CC3908"/>
    <w:rsid w:val="00CC40FE"/>
    <w:rsid w:val="00CC5843"/>
    <w:rsid w:val="00CC7845"/>
    <w:rsid w:val="00CD24ED"/>
    <w:rsid w:val="00CD3156"/>
    <w:rsid w:val="00CD34D2"/>
    <w:rsid w:val="00CD47B8"/>
    <w:rsid w:val="00CD5169"/>
    <w:rsid w:val="00CD551A"/>
    <w:rsid w:val="00CD7C16"/>
    <w:rsid w:val="00CE0FDC"/>
    <w:rsid w:val="00CE216B"/>
    <w:rsid w:val="00CE35D4"/>
    <w:rsid w:val="00CE3979"/>
    <w:rsid w:val="00CE482E"/>
    <w:rsid w:val="00CE6A77"/>
    <w:rsid w:val="00CE6E7E"/>
    <w:rsid w:val="00CE6FA2"/>
    <w:rsid w:val="00CF0489"/>
    <w:rsid w:val="00CF2438"/>
    <w:rsid w:val="00CF3DAE"/>
    <w:rsid w:val="00CF41C5"/>
    <w:rsid w:val="00CF43C5"/>
    <w:rsid w:val="00CF4742"/>
    <w:rsid w:val="00CF7216"/>
    <w:rsid w:val="00CF7642"/>
    <w:rsid w:val="00D00961"/>
    <w:rsid w:val="00D00C94"/>
    <w:rsid w:val="00D01441"/>
    <w:rsid w:val="00D0394E"/>
    <w:rsid w:val="00D03D3A"/>
    <w:rsid w:val="00D03DE5"/>
    <w:rsid w:val="00D05315"/>
    <w:rsid w:val="00D05C69"/>
    <w:rsid w:val="00D05E48"/>
    <w:rsid w:val="00D06161"/>
    <w:rsid w:val="00D0620F"/>
    <w:rsid w:val="00D06D54"/>
    <w:rsid w:val="00D072FA"/>
    <w:rsid w:val="00D11C77"/>
    <w:rsid w:val="00D12F40"/>
    <w:rsid w:val="00D13BF3"/>
    <w:rsid w:val="00D142B0"/>
    <w:rsid w:val="00D14CAD"/>
    <w:rsid w:val="00D179A8"/>
    <w:rsid w:val="00D206AF"/>
    <w:rsid w:val="00D225D6"/>
    <w:rsid w:val="00D23FC8"/>
    <w:rsid w:val="00D26863"/>
    <w:rsid w:val="00D26BE0"/>
    <w:rsid w:val="00D27339"/>
    <w:rsid w:val="00D27BA8"/>
    <w:rsid w:val="00D30177"/>
    <w:rsid w:val="00D301C2"/>
    <w:rsid w:val="00D319A3"/>
    <w:rsid w:val="00D34209"/>
    <w:rsid w:val="00D34907"/>
    <w:rsid w:val="00D35539"/>
    <w:rsid w:val="00D35AA8"/>
    <w:rsid w:val="00D35F7D"/>
    <w:rsid w:val="00D36146"/>
    <w:rsid w:val="00D36AFE"/>
    <w:rsid w:val="00D36B0E"/>
    <w:rsid w:val="00D3716D"/>
    <w:rsid w:val="00D4173C"/>
    <w:rsid w:val="00D42C29"/>
    <w:rsid w:val="00D44470"/>
    <w:rsid w:val="00D444EC"/>
    <w:rsid w:val="00D44521"/>
    <w:rsid w:val="00D44FFE"/>
    <w:rsid w:val="00D4697A"/>
    <w:rsid w:val="00D470DF"/>
    <w:rsid w:val="00D478C0"/>
    <w:rsid w:val="00D50FA5"/>
    <w:rsid w:val="00D523DD"/>
    <w:rsid w:val="00D52E65"/>
    <w:rsid w:val="00D54AA2"/>
    <w:rsid w:val="00D54E27"/>
    <w:rsid w:val="00D566AD"/>
    <w:rsid w:val="00D56D88"/>
    <w:rsid w:val="00D61A20"/>
    <w:rsid w:val="00D62282"/>
    <w:rsid w:val="00D64295"/>
    <w:rsid w:val="00D64681"/>
    <w:rsid w:val="00D667FA"/>
    <w:rsid w:val="00D67E52"/>
    <w:rsid w:val="00D70A04"/>
    <w:rsid w:val="00D70E23"/>
    <w:rsid w:val="00D71B59"/>
    <w:rsid w:val="00D7323E"/>
    <w:rsid w:val="00D74869"/>
    <w:rsid w:val="00D75F4E"/>
    <w:rsid w:val="00D77081"/>
    <w:rsid w:val="00D77917"/>
    <w:rsid w:val="00D8083D"/>
    <w:rsid w:val="00D80C01"/>
    <w:rsid w:val="00D81589"/>
    <w:rsid w:val="00D83810"/>
    <w:rsid w:val="00D83CF6"/>
    <w:rsid w:val="00D84F50"/>
    <w:rsid w:val="00D85677"/>
    <w:rsid w:val="00D858B6"/>
    <w:rsid w:val="00D8612E"/>
    <w:rsid w:val="00D86882"/>
    <w:rsid w:val="00D86D18"/>
    <w:rsid w:val="00D92ECA"/>
    <w:rsid w:val="00D934D8"/>
    <w:rsid w:val="00D93718"/>
    <w:rsid w:val="00D94139"/>
    <w:rsid w:val="00DA07A4"/>
    <w:rsid w:val="00DB24B7"/>
    <w:rsid w:val="00DB2910"/>
    <w:rsid w:val="00DB2CA7"/>
    <w:rsid w:val="00DB3602"/>
    <w:rsid w:val="00DB3DBE"/>
    <w:rsid w:val="00DB48DB"/>
    <w:rsid w:val="00DB511E"/>
    <w:rsid w:val="00DB5268"/>
    <w:rsid w:val="00DB605A"/>
    <w:rsid w:val="00DB69B9"/>
    <w:rsid w:val="00DB6B18"/>
    <w:rsid w:val="00DB785C"/>
    <w:rsid w:val="00DC077F"/>
    <w:rsid w:val="00DC0C2C"/>
    <w:rsid w:val="00DC17F6"/>
    <w:rsid w:val="00DC1A96"/>
    <w:rsid w:val="00DC236A"/>
    <w:rsid w:val="00DC3600"/>
    <w:rsid w:val="00DC42B2"/>
    <w:rsid w:val="00DC5E9E"/>
    <w:rsid w:val="00DC643E"/>
    <w:rsid w:val="00DC76C8"/>
    <w:rsid w:val="00DC7910"/>
    <w:rsid w:val="00DC7E9B"/>
    <w:rsid w:val="00DD00B9"/>
    <w:rsid w:val="00DD174E"/>
    <w:rsid w:val="00DD2377"/>
    <w:rsid w:val="00DD35B8"/>
    <w:rsid w:val="00DD37F4"/>
    <w:rsid w:val="00DD3C5C"/>
    <w:rsid w:val="00DD4D89"/>
    <w:rsid w:val="00DD5F1F"/>
    <w:rsid w:val="00DD6D3F"/>
    <w:rsid w:val="00DD78F2"/>
    <w:rsid w:val="00DE2243"/>
    <w:rsid w:val="00DE2FDC"/>
    <w:rsid w:val="00DE302A"/>
    <w:rsid w:val="00DE332B"/>
    <w:rsid w:val="00DE4526"/>
    <w:rsid w:val="00DE5B2E"/>
    <w:rsid w:val="00DE78BD"/>
    <w:rsid w:val="00DE7EE7"/>
    <w:rsid w:val="00DF181B"/>
    <w:rsid w:val="00DF1E57"/>
    <w:rsid w:val="00DF50E3"/>
    <w:rsid w:val="00DF5863"/>
    <w:rsid w:val="00DF6713"/>
    <w:rsid w:val="00DF6A4E"/>
    <w:rsid w:val="00DF78C0"/>
    <w:rsid w:val="00E002BB"/>
    <w:rsid w:val="00E017DC"/>
    <w:rsid w:val="00E01979"/>
    <w:rsid w:val="00E02E99"/>
    <w:rsid w:val="00E031EE"/>
    <w:rsid w:val="00E0530C"/>
    <w:rsid w:val="00E063E7"/>
    <w:rsid w:val="00E06AF3"/>
    <w:rsid w:val="00E111EB"/>
    <w:rsid w:val="00E11908"/>
    <w:rsid w:val="00E12E63"/>
    <w:rsid w:val="00E14527"/>
    <w:rsid w:val="00E15545"/>
    <w:rsid w:val="00E164C7"/>
    <w:rsid w:val="00E16869"/>
    <w:rsid w:val="00E20FAC"/>
    <w:rsid w:val="00E21FAF"/>
    <w:rsid w:val="00E220AA"/>
    <w:rsid w:val="00E240AF"/>
    <w:rsid w:val="00E24622"/>
    <w:rsid w:val="00E24B0A"/>
    <w:rsid w:val="00E25691"/>
    <w:rsid w:val="00E2569F"/>
    <w:rsid w:val="00E277F1"/>
    <w:rsid w:val="00E27B35"/>
    <w:rsid w:val="00E3103F"/>
    <w:rsid w:val="00E31CA1"/>
    <w:rsid w:val="00E333B2"/>
    <w:rsid w:val="00E369D2"/>
    <w:rsid w:val="00E37DA6"/>
    <w:rsid w:val="00E41092"/>
    <w:rsid w:val="00E41DEA"/>
    <w:rsid w:val="00E42373"/>
    <w:rsid w:val="00E42942"/>
    <w:rsid w:val="00E4297A"/>
    <w:rsid w:val="00E434CF"/>
    <w:rsid w:val="00E44017"/>
    <w:rsid w:val="00E444DA"/>
    <w:rsid w:val="00E4480B"/>
    <w:rsid w:val="00E44955"/>
    <w:rsid w:val="00E475AC"/>
    <w:rsid w:val="00E50D7B"/>
    <w:rsid w:val="00E542DA"/>
    <w:rsid w:val="00E551E8"/>
    <w:rsid w:val="00E566F6"/>
    <w:rsid w:val="00E568DA"/>
    <w:rsid w:val="00E571DC"/>
    <w:rsid w:val="00E575EC"/>
    <w:rsid w:val="00E57674"/>
    <w:rsid w:val="00E57936"/>
    <w:rsid w:val="00E57AE2"/>
    <w:rsid w:val="00E62FE7"/>
    <w:rsid w:val="00E63572"/>
    <w:rsid w:val="00E65B42"/>
    <w:rsid w:val="00E665A1"/>
    <w:rsid w:val="00E677A5"/>
    <w:rsid w:val="00E677B2"/>
    <w:rsid w:val="00E67B17"/>
    <w:rsid w:val="00E71814"/>
    <w:rsid w:val="00E71F82"/>
    <w:rsid w:val="00E72EDC"/>
    <w:rsid w:val="00E74909"/>
    <w:rsid w:val="00E749F8"/>
    <w:rsid w:val="00E7509C"/>
    <w:rsid w:val="00E75C2D"/>
    <w:rsid w:val="00E7736D"/>
    <w:rsid w:val="00E80D10"/>
    <w:rsid w:val="00E81321"/>
    <w:rsid w:val="00E81C92"/>
    <w:rsid w:val="00E82704"/>
    <w:rsid w:val="00E837DC"/>
    <w:rsid w:val="00E86991"/>
    <w:rsid w:val="00E87E9F"/>
    <w:rsid w:val="00E901C3"/>
    <w:rsid w:val="00E9169E"/>
    <w:rsid w:val="00E925A2"/>
    <w:rsid w:val="00E92896"/>
    <w:rsid w:val="00E92F7F"/>
    <w:rsid w:val="00E931AE"/>
    <w:rsid w:val="00E9660C"/>
    <w:rsid w:val="00E976FC"/>
    <w:rsid w:val="00E97FE1"/>
    <w:rsid w:val="00EA0105"/>
    <w:rsid w:val="00EA040C"/>
    <w:rsid w:val="00EA15CD"/>
    <w:rsid w:val="00EA185F"/>
    <w:rsid w:val="00EA2D9B"/>
    <w:rsid w:val="00EA30B3"/>
    <w:rsid w:val="00EA631A"/>
    <w:rsid w:val="00EA64DF"/>
    <w:rsid w:val="00EA7318"/>
    <w:rsid w:val="00EA73CD"/>
    <w:rsid w:val="00EB0BA9"/>
    <w:rsid w:val="00EB0C2D"/>
    <w:rsid w:val="00EB22DA"/>
    <w:rsid w:val="00EB46E8"/>
    <w:rsid w:val="00EB49DE"/>
    <w:rsid w:val="00EB6238"/>
    <w:rsid w:val="00EB67AD"/>
    <w:rsid w:val="00EB787B"/>
    <w:rsid w:val="00EC13DD"/>
    <w:rsid w:val="00EC2343"/>
    <w:rsid w:val="00EC264B"/>
    <w:rsid w:val="00EC3446"/>
    <w:rsid w:val="00EC48D0"/>
    <w:rsid w:val="00EC52C0"/>
    <w:rsid w:val="00EC6708"/>
    <w:rsid w:val="00EC6FBB"/>
    <w:rsid w:val="00ED08A3"/>
    <w:rsid w:val="00ED1DC5"/>
    <w:rsid w:val="00ED3FF0"/>
    <w:rsid w:val="00ED4AE1"/>
    <w:rsid w:val="00ED4BFC"/>
    <w:rsid w:val="00ED6F04"/>
    <w:rsid w:val="00ED7BCF"/>
    <w:rsid w:val="00EE2BE7"/>
    <w:rsid w:val="00EE3E8C"/>
    <w:rsid w:val="00EE44B8"/>
    <w:rsid w:val="00EE5458"/>
    <w:rsid w:val="00EE5A1E"/>
    <w:rsid w:val="00EE650A"/>
    <w:rsid w:val="00EE679D"/>
    <w:rsid w:val="00EF073E"/>
    <w:rsid w:val="00EF26B9"/>
    <w:rsid w:val="00EF2725"/>
    <w:rsid w:val="00EF2B3A"/>
    <w:rsid w:val="00EF2C14"/>
    <w:rsid w:val="00EF3867"/>
    <w:rsid w:val="00EF3E42"/>
    <w:rsid w:val="00EF61F6"/>
    <w:rsid w:val="00EF713C"/>
    <w:rsid w:val="00EF7E17"/>
    <w:rsid w:val="00F05217"/>
    <w:rsid w:val="00F058C8"/>
    <w:rsid w:val="00F0654C"/>
    <w:rsid w:val="00F06881"/>
    <w:rsid w:val="00F06A2C"/>
    <w:rsid w:val="00F10832"/>
    <w:rsid w:val="00F126F7"/>
    <w:rsid w:val="00F15981"/>
    <w:rsid w:val="00F1610E"/>
    <w:rsid w:val="00F21BF3"/>
    <w:rsid w:val="00F22388"/>
    <w:rsid w:val="00F27610"/>
    <w:rsid w:val="00F27D4E"/>
    <w:rsid w:val="00F309DD"/>
    <w:rsid w:val="00F31C2D"/>
    <w:rsid w:val="00F3350D"/>
    <w:rsid w:val="00F33A8F"/>
    <w:rsid w:val="00F33BAA"/>
    <w:rsid w:val="00F33D14"/>
    <w:rsid w:val="00F3467A"/>
    <w:rsid w:val="00F34FF2"/>
    <w:rsid w:val="00F353EC"/>
    <w:rsid w:val="00F35F4F"/>
    <w:rsid w:val="00F36023"/>
    <w:rsid w:val="00F372C4"/>
    <w:rsid w:val="00F40C28"/>
    <w:rsid w:val="00F413FC"/>
    <w:rsid w:val="00F44B43"/>
    <w:rsid w:val="00F46F9E"/>
    <w:rsid w:val="00F47250"/>
    <w:rsid w:val="00F477F6"/>
    <w:rsid w:val="00F4790D"/>
    <w:rsid w:val="00F501DD"/>
    <w:rsid w:val="00F50C1A"/>
    <w:rsid w:val="00F51431"/>
    <w:rsid w:val="00F532FF"/>
    <w:rsid w:val="00F53E15"/>
    <w:rsid w:val="00F541AB"/>
    <w:rsid w:val="00F55075"/>
    <w:rsid w:val="00F55849"/>
    <w:rsid w:val="00F5738B"/>
    <w:rsid w:val="00F57FDE"/>
    <w:rsid w:val="00F6006E"/>
    <w:rsid w:val="00F61EAD"/>
    <w:rsid w:val="00F62F6F"/>
    <w:rsid w:val="00F63087"/>
    <w:rsid w:val="00F64834"/>
    <w:rsid w:val="00F65019"/>
    <w:rsid w:val="00F65B85"/>
    <w:rsid w:val="00F66137"/>
    <w:rsid w:val="00F66CCF"/>
    <w:rsid w:val="00F67468"/>
    <w:rsid w:val="00F71366"/>
    <w:rsid w:val="00F7280A"/>
    <w:rsid w:val="00F7722F"/>
    <w:rsid w:val="00F77420"/>
    <w:rsid w:val="00F8099B"/>
    <w:rsid w:val="00F8479D"/>
    <w:rsid w:val="00F849D0"/>
    <w:rsid w:val="00F84B17"/>
    <w:rsid w:val="00F85888"/>
    <w:rsid w:val="00F85E3D"/>
    <w:rsid w:val="00F9118B"/>
    <w:rsid w:val="00F917F2"/>
    <w:rsid w:val="00F91887"/>
    <w:rsid w:val="00F92464"/>
    <w:rsid w:val="00F92ABC"/>
    <w:rsid w:val="00F92C66"/>
    <w:rsid w:val="00F92F0F"/>
    <w:rsid w:val="00F947D9"/>
    <w:rsid w:val="00F95310"/>
    <w:rsid w:val="00F96EA0"/>
    <w:rsid w:val="00F9776E"/>
    <w:rsid w:val="00FA0A09"/>
    <w:rsid w:val="00FA0A6F"/>
    <w:rsid w:val="00FA0C96"/>
    <w:rsid w:val="00FA3EB1"/>
    <w:rsid w:val="00FA4DF5"/>
    <w:rsid w:val="00FA57EB"/>
    <w:rsid w:val="00FB09E0"/>
    <w:rsid w:val="00FB0B5D"/>
    <w:rsid w:val="00FB12DA"/>
    <w:rsid w:val="00FB2C20"/>
    <w:rsid w:val="00FB37F3"/>
    <w:rsid w:val="00FB4E88"/>
    <w:rsid w:val="00FB5BAC"/>
    <w:rsid w:val="00FB764A"/>
    <w:rsid w:val="00FC27F5"/>
    <w:rsid w:val="00FC429C"/>
    <w:rsid w:val="00FC43CE"/>
    <w:rsid w:val="00FC455F"/>
    <w:rsid w:val="00FC4698"/>
    <w:rsid w:val="00FC4CD4"/>
    <w:rsid w:val="00FD0D69"/>
    <w:rsid w:val="00FD0F3B"/>
    <w:rsid w:val="00FD14FC"/>
    <w:rsid w:val="00FD411A"/>
    <w:rsid w:val="00FD573F"/>
    <w:rsid w:val="00FD63E9"/>
    <w:rsid w:val="00FD669D"/>
    <w:rsid w:val="00FD7165"/>
    <w:rsid w:val="00FD7339"/>
    <w:rsid w:val="00FE0081"/>
    <w:rsid w:val="00FE2079"/>
    <w:rsid w:val="00FE37B3"/>
    <w:rsid w:val="00FE3E50"/>
    <w:rsid w:val="00FE6E16"/>
    <w:rsid w:val="00FE7757"/>
    <w:rsid w:val="00FF0F0A"/>
    <w:rsid w:val="00FF0F83"/>
    <w:rsid w:val="00FF137D"/>
    <w:rsid w:val="00FF1EE5"/>
    <w:rsid w:val="00FF2230"/>
    <w:rsid w:val="00FF3673"/>
    <w:rsid w:val="00FF4CDA"/>
    <w:rsid w:val="00FF56BA"/>
    <w:rsid w:val="00FF623A"/>
    <w:rsid w:val="00FF6BDF"/>
    <w:rsid w:val="00FF6EFD"/>
    <w:rsid w:val="00FF6FF3"/>
    <w:rsid w:val="00FF71E6"/>
    <w:rsid w:val="00FF7A19"/>
    <w:rsid w:val="010410F2"/>
    <w:rsid w:val="0149604F"/>
    <w:rsid w:val="014A1AA0"/>
    <w:rsid w:val="0167611C"/>
    <w:rsid w:val="01681B15"/>
    <w:rsid w:val="01746C6F"/>
    <w:rsid w:val="0176477C"/>
    <w:rsid w:val="017F092B"/>
    <w:rsid w:val="018C7688"/>
    <w:rsid w:val="01983467"/>
    <w:rsid w:val="01A8509F"/>
    <w:rsid w:val="01C75048"/>
    <w:rsid w:val="02055EE7"/>
    <w:rsid w:val="02113A50"/>
    <w:rsid w:val="022A458C"/>
    <w:rsid w:val="024810CF"/>
    <w:rsid w:val="027369F6"/>
    <w:rsid w:val="02901801"/>
    <w:rsid w:val="02AE56F2"/>
    <w:rsid w:val="02B16677"/>
    <w:rsid w:val="02B77668"/>
    <w:rsid w:val="0354599C"/>
    <w:rsid w:val="035E74F0"/>
    <w:rsid w:val="03631BBD"/>
    <w:rsid w:val="036F4CBD"/>
    <w:rsid w:val="03A94D28"/>
    <w:rsid w:val="03C749F7"/>
    <w:rsid w:val="04075DD6"/>
    <w:rsid w:val="04095695"/>
    <w:rsid w:val="043D1681"/>
    <w:rsid w:val="04684C7E"/>
    <w:rsid w:val="04806B11"/>
    <w:rsid w:val="04915EC8"/>
    <w:rsid w:val="04CC1B70"/>
    <w:rsid w:val="04E1293F"/>
    <w:rsid w:val="04E245FE"/>
    <w:rsid w:val="05046363"/>
    <w:rsid w:val="05343814"/>
    <w:rsid w:val="053871E8"/>
    <w:rsid w:val="054F4F24"/>
    <w:rsid w:val="0564169D"/>
    <w:rsid w:val="0573113D"/>
    <w:rsid w:val="057A18C8"/>
    <w:rsid w:val="057B7952"/>
    <w:rsid w:val="059535F7"/>
    <w:rsid w:val="05AA6DB9"/>
    <w:rsid w:val="065C1D76"/>
    <w:rsid w:val="06852C78"/>
    <w:rsid w:val="068A14F9"/>
    <w:rsid w:val="06907F8C"/>
    <w:rsid w:val="069A1775"/>
    <w:rsid w:val="06B80B17"/>
    <w:rsid w:val="06C64033"/>
    <w:rsid w:val="06E21BA1"/>
    <w:rsid w:val="06EC34E9"/>
    <w:rsid w:val="072A3973"/>
    <w:rsid w:val="07377639"/>
    <w:rsid w:val="07393214"/>
    <w:rsid w:val="076D5696"/>
    <w:rsid w:val="07876191"/>
    <w:rsid w:val="07C00AD7"/>
    <w:rsid w:val="080130FA"/>
    <w:rsid w:val="081933BA"/>
    <w:rsid w:val="081D2B96"/>
    <w:rsid w:val="082434C9"/>
    <w:rsid w:val="082A01E7"/>
    <w:rsid w:val="08390E80"/>
    <w:rsid w:val="083F3A9B"/>
    <w:rsid w:val="083F5BF6"/>
    <w:rsid w:val="084B599D"/>
    <w:rsid w:val="08892802"/>
    <w:rsid w:val="08940C2E"/>
    <w:rsid w:val="0898366B"/>
    <w:rsid w:val="08E428D1"/>
    <w:rsid w:val="08E972F0"/>
    <w:rsid w:val="091A0D36"/>
    <w:rsid w:val="09260EA7"/>
    <w:rsid w:val="092B6191"/>
    <w:rsid w:val="0950306B"/>
    <w:rsid w:val="09643BC2"/>
    <w:rsid w:val="098B2B38"/>
    <w:rsid w:val="09C912B2"/>
    <w:rsid w:val="09DF1ACD"/>
    <w:rsid w:val="09EB63C4"/>
    <w:rsid w:val="0A0B6B8C"/>
    <w:rsid w:val="0A216E2D"/>
    <w:rsid w:val="0A2615C2"/>
    <w:rsid w:val="0A416FA7"/>
    <w:rsid w:val="0A637EBB"/>
    <w:rsid w:val="0A8A7249"/>
    <w:rsid w:val="0A9628BA"/>
    <w:rsid w:val="0AA7351F"/>
    <w:rsid w:val="0AC43707"/>
    <w:rsid w:val="0AC463FA"/>
    <w:rsid w:val="0ACF7105"/>
    <w:rsid w:val="0AFB186D"/>
    <w:rsid w:val="0B0C6D8A"/>
    <w:rsid w:val="0B1A5F0B"/>
    <w:rsid w:val="0B2075EA"/>
    <w:rsid w:val="0B4401EF"/>
    <w:rsid w:val="0B6563DC"/>
    <w:rsid w:val="0B6B2B9D"/>
    <w:rsid w:val="0B844E71"/>
    <w:rsid w:val="0BB862DF"/>
    <w:rsid w:val="0BDC5958"/>
    <w:rsid w:val="0C4046B8"/>
    <w:rsid w:val="0C68751F"/>
    <w:rsid w:val="0C88685D"/>
    <w:rsid w:val="0CB273DB"/>
    <w:rsid w:val="0CCB4880"/>
    <w:rsid w:val="0CE54110"/>
    <w:rsid w:val="0D3A7549"/>
    <w:rsid w:val="0D420BE6"/>
    <w:rsid w:val="0D5B25EB"/>
    <w:rsid w:val="0D6004C4"/>
    <w:rsid w:val="0D6748D4"/>
    <w:rsid w:val="0D7A2E11"/>
    <w:rsid w:val="0D805BB2"/>
    <w:rsid w:val="0D822D9A"/>
    <w:rsid w:val="0D894688"/>
    <w:rsid w:val="0DA32C6D"/>
    <w:rsid w:val="0DA4473C"/>
    <w:rsid w:val="0DCA0D53"/>
    <w:rsid w:val="0E1907CC"/>
    <w:rsid w:val="0E2E59E6"/>
    <w:rsid w:val="0E325663"/>
    <w:rsid w:val="0E582961"/>
    <w:rsid w:val="0E5C0377"/>
    <w:rsid w:val="0ED4557C"/>
    <w:rsid w:val="0ED6004B"/>
    <w:rsid w:val="0EE05863"/>
    <w:rsid w:val="0EE1756D"/>
    <w:rsid w:val="0EFF7BCF"/>
    <w:rsid w:val="0F0B3890"/>
    <w:rsid w:val="0F23447F"/>
    <w:rsid w:val="0F281E9E"/>
    <w:rsid w:val="10020310"/>
    <w:rsid w:val="10053F70"/>
    <w:rsid w:val="1014022A"/>
    <w:rsid w:val="104D064D"/>
    <w:rsid w:val="10526D8A"/>
    <w:rsid w:val="10533F2F"/>
    <w:rsid w:val="105E3139"/>
    <w:rsid w:val="106C1C39"/>
    <w:rsid w:val="10B91D3E"/>
    <w:rsid w:val="10E111A2"/>
    <w:rsid w:val="10EE172A"/>
    <w:rsid w:val="110E66DE"/>
    <w:rsid w:val="113305E4"/>
    <w:rsid w:val="11540A7F"/>
    <w:rsid w:val="11663318"/>
    <w:rsid w:val="1181267C"/>
    <w:rsid w:val="11BC0264"/>
    <w:rsid w:val="11C6030D"/>
    <w:rsid w:val="12437AFC"/>
    <w:rsid w:val="127127C4"/>
    <w:rsid w:val="12904334"/>
    <w:rsid w:val="13343633"/>
    <w:rsid w:val="134E296B"/>
    <w:rsid w:val="13573AC8"/>
    <w:rsid w:val="138618E6"/>
    <w:rsid w:val="13C90583"/>
    <w:rsid w:val="13E902FB"/>
    <w:rsid w:val="13EE5859"/>
    <w:rsid w:val="13F7165C"/>
    <w:rsid w:val="140A7151"/>
    <w:rsid w:val="14172805"/>
    <w:rsid w:val="14640782"/>
    <w:rsid w:val="14671F28"/>
    <w:rsid w:val="14846AB8"/>
    <w:rsid w:val="14AD36C6"/>
    <w:rsid w:val="14F60A06"/>
    <w:rsid w:val="14F965FA"/>
    <w:rsid w:val="1512710C"/>
    <w:rsid w:val="151C035A"/>
    <w:rsid w:val="152033EE"/>
    <w:rsid w:val="15256020"/>
    <w:rsid w:val="15256F10"/>
    <w:rsid w:val="15295D85"/>
    <w:rsid w:val="153964B2"/>
    <w:rsid w:val="154A2F37"/>
    <w:rsid w:val="154B265A"/>
    <w:rsid w:val="15742B2D"/>
    <w:rsid w:val="1588048C"/>
    <w:rsid w:val="15CF6FA1"/>
    <w:rsid w:val="161447D3"/>
    <w:rsid w:val="162D06C6"/>
    <w:rsid w:val="163544EE"/>
    <w:rsid w:val="164C4127"/>
    <w:rsid w:val="16B95123"/>
    <w:rsid w:val="16D16448"/>
    <w:rsid w:val="16D41873"/>
    <w:rsid w:val="171741DC"/>
    <w:rsid w:val="17356021"/>
    <w:rsid w:val="1757718B"/>
    <w:rsid w:val="17895756"/>
    <w:rsid w:val="17E2372C"/>
    <w:rsid w:val="17F81F8A"/>
    <w:rsid w:val="183F27EC"/>
    <w:rsid w:val="18410FEF"/>
    <w:rsid w:val="185F6D12"/>
    <w:rsid w:val="18825ECF"/>
    <w:rsid w:val="18F04513"/>
    <w:rsid w:val="18F451F8"/>
    <w:rsid w:val="18F939A7"/>
    <w:rsid w:val="1907279C"/>
    <w:rsid w:val="19091420"/>
    <w:rsid w:val="191A4A7A"/>
    <w:rsid w:val="191C163C"/>
    <w:rsid w:val="19266006"/>
    <w:rsid w:val="19326A64"/>
    <w:rsid w:val="197A6026"/>
    <w:rsid w:val="19995A4E"/>
    <w:rsid w:val="19BE201B"/>
    <w:rsid w:val="19E22955"/>
    <w:rsid w:val="1A2024D1"/>
    <w:rsid w:val="1A2D0E5D"/>
    <w:rsid w:val="1A3762B3"/>
    <w:rsid w:val="1A394855"/>
    <w:rsid w:val="1A6A524D"/>
    <w:rsid w:val="1AAF289D"/>
    <w:rsid w:val="1ADE7787"/>
    <w:rsid w:val="1AED5F02"/>
    <w:rsid w:val="1B540D00"/>
    <w:rsid w:val="1B737891"/>
    <w:rsid w:val="1B7F55F5"/>
    <w:rsid w:val="1BB069C3"/>
    <w:rsid w:val="1BB63F64"/>
    <w:rsid w:val="1BCC6673"/>
    <w:rsid w:val="1C031DC3"/>
    <w:rsid w:val="1C454471"/>
    <w:rsid w:val="1C4A1FE8"/>
    <w:rsid w:val="1C592E11"/>
    <w:rsid w:val="1C5A0892"/>
    <w:rsid w:val="1C626FE7"/>
    <w:rsid w:val="1C774078"/>
    <w:rsid w:val="1C865ABB"/>
    <w:rsid w:val="1C895534"/>
    <w:rsid w:val="1CD057BE"/>
    <w:rsid w:val="1D3207FD"/>
    <w:rsid w:val="1D6A14B0"/>
    <w:rsid w:val="1D954468"/>
    <w:rsid w:val="1DA01529"/>
    <w:rsid w:val="1DF5D530"/>
    <w:rsid w:val="1DF62603"/>
    <w:rsid w:val="1E1971DA"/>
    <w:rsid w:val="1E4176F3"/>
    <w:rsid w:val="1E7DFD2A"/>
    <w:rsid w:val="1E8759F2"/>
    <w:rsid w:val="1E8D6CE4"/>
    <w:rsid w:val="1E932723"/>
    <w:rsid w:val="1EBC3B88"/>
    <w:rsid w:val="1EDB4ECD"/>
    <w:rsid w:val="1EF02DBA"/>
    <w:rsid w:val="1EFB3E0E"/>
    <w:rsid w:val="1F0D1F94"/>
    <w:rsid w:val="1F2D3AE7"/>
    <w:rsid w:val="1F4D0785"/>
    <w:rsid w:val="1F5F64C4"/>
    <w:rsid w:val="1F760C3E"/>
    <w:rsid w:val="1FA1347F"/>
    <w:rsid w:val="1FCA29FB"/>
    <w:rsid w:val="1FE27A49"/>
    <w:rsid w:val="1FF98587"/>
    <w:rsid w:val="20152464"/>
    <w:rsid w:val="201B0446"/>
    <w:rsid w:val="20505B41"/>
    <w:rsid w:val="205351BC"/>
    <w:rsid w:val="205E77A8"/>
    <w:rsid w:val="20621659"/>
    <w:rsid w:val="209F229E"/>
    <w:rsid w:val="20A36F9B"/>
    <w:rsid w:val="20F1099E"/>
    <w:rsid w:val="21061118"/>
    <w:rsid w:val="210A3B3F"/>
    <w:rsid w:val="211C515D"/>
    <w:rsid w:val="211D47A9"/>
    <w:rsid w:val="213D7573"/>
    <w:rsid w:val="21576B7C"/>
    <w:rsid w:val="21615F5B"/>
    <w:rsid w:val="21637E1A"/>
    <w:rsid w:val="21673B38"/>
    <w:rsid w:val="21A85BED"/>
    <w:rsid w:val="21AB16E7"/>
    <w:rsid w:val="22462569"/>
    <w:rsid w:val="22494CA2"/>
    <w:rsid w:val="228D0920"/>
    <w:rsid w:val="22B11711"/>
    <w:rsid w:val="22D51EF2"/>
    <w:rsid w:val="22D84302"/>
    <w:rsid w:val="22E420AC"/>
    <w:rsid w:val="232C324B"/>
    <w:rsid w:val="233C0255"/>
    <w:rsid w:val="234841E2"/>
    <w:rsid w:val="23506488"/>
    <w:rsid w:val="240771A2"/>
    <w:rsid w:val="24106374"/>
    <w:rsid w:val="24111A9A"/>
    <w:rsid w:val="246F59D4"/>
    <w:rsid w:val="24BB5271"/>
    <w:rsid w:val="24CB06D9"/>
    <w:rsid w:val="253C6212"/>
    <w:rsid w:val="25513DC9"/>
    <w:rsid w:val="255C0FE1"/>
    <w:rsid w:val="255F5639"/>
    <w:rsid w:val="2567E66F"/>
    <w:rsid w:val="258F76C9"/>
    <w:rsid w:val="25997514"/>
    <w:rsid w:val="259B5CC1"/>
    <w:rsid w:val="25BA6534"/>
    <w:rsid w:val="25C36F49"/>
    <w:rsid w:val="25CC2725"/>
    <w:rsid w:val="25F349B4"/>
    <w:rsid w:val="2615523A"/>
    <w:rsid w:val="26233C33"/>
    <w:rsid w:val="26634DA3"/>
    <w:rsid w:val="26724BE7"/>
    <w:rsid w:val="268C36E3"/>
    <w:rsid w:val="269C5DE6"/>
    <w:rsid w:val="26E1022F"/>
    <w:rsid w:val="26F336F5"/>
    <w:rsid w:val="2753038A"/>
    <w:rsid w:val="275C7AE4"/>
    <w:rsid w:val="27646C5D"/>
    <w:rsid w:val="27910406"/>
    <w:rsid w:val="27A53C7C"/>
    <w:rsid w:val="27B42C13"/>
    <w:rsid w:val="27BF0734"/>
    <w:rsid w:val="27C45666"/>
    <w:rsid w:val="27DB1304"/>
    <w:rsid w:val="27ED5660"/>
    <w:rsid w:val="280B2944"/>
    <w:rsid w:val="28146327"/>
    <w:rsid w:val="28632CD8"/>
    <w:rsid w:val="28A95BFB"/>
    <w:rsid w:val="28B975DD"/>
    <w:rsid w:val="28D23B9F"/>
    <w:rsid w:val="28E57B3D"/>
    <w:rsid w:val="28F95257"/>
    <w:rsid w:val="290109FB"/>
    <w:rsid w:val="290B15AA"/>
    <w:rsid w:val="29186961"/>
    <w:rsid w:val="293C35A3"/>
    <w:rsid w:val="29632562"/>
    <w:rsid w:val="29D55DA7"/>
    <w:rsid w:val="29FC4A18"/>
    <w:rsid w:val="2A2B739C"/>
    <w:rsid w:val="2A331E1E"/>
    <w:rsid w:val="2A363DFD"/>
    <w:rsid w:val="2A3702B5"/>
    <w:rsid w:val="2AA270FE"/>
    <w:rsid w:val="2AB01296"/>
    <w:rsid w:val="2AF878CB"/>
    <w:rsid w:val="2AFA300F"/>
    <w:rsid w:val="2B0F6781"/>
    <w:rsid w:val="2B2565AF"/>
    <w:rsid w:val="2B593A95"/>
    <w:rsid w:val="2B864776"/>
    <w:rsid w:val="2B8C5C18"/>
    <w:rsid w:val="2B9056B8"/>
    <w:rsid w:val="2BA85C33"/>
    <w:rsid w:val="2C725A22"/>
    <w:rsid w:val="2C8B208E"/>
    <w:rsid w:val="2C9F3919"/>
    <w:rsid w:val="2CEF3EF0"/>
    <w:rsid w:val="2D3D2B42"/>
    <w:rsid w:val="2D506314"/>
    <w:rsid w:val="2D8A374F"/>
    <w:rsid w:val="2D9B52C5"/>
    <w:rsid w:val="2DB94B82"/>
    <w:rsid w:val="2DBB3DD7"/>
    <w:rsid w:val="2DD76C40"/>
    <w:rsid w:val="2DE009F0"/>
    <w:rsid w:val="2DF74D6F"/>
    <w:rsid w:val="2E1C1933"/>
    <w:rsid w:val="2E1E50F4"/>
    <w:rsid w:val="2E4E18AB"/>
    <w:rsid w:val="2E91317D"/>
    <w:rsid w:val="2EAC540B"/>
    <w:rsid w:val="2EB975F5"/>
    <w:rsid w:val="2EC5227F"/>
    <w:rsid w:val="2F30376B"/>
    <w:rsid w:val="2F521654"/>
    <w:rsid w:val="2F5D269A"/>
    <w:rsid w:val="2F9026CB"/>
    <w:rsid w:val="2FC51CEF"/>
    <w:rsid w:val="2FC9068E"/>
    <w:rsid w:val="2FEA25EF"/>
    <w:rsid w:val="302F778D"/>
    <w:rsid w:val="309D06CD"/>
    <w:rsid w:val="30A1480E"/>
    <w:rsid w:val="30AC287F"/>
    <w:rsid w:val="30AE03DF"/>
    <w:rsid w:val="30C50715"/>
    <w:rsid w:val="30E01EE5"/>
    <w:rsid w:val="31026D0C"/>
    <w:rsid w:val="315018DF"/>
    <w:rsid w:val="3150352A"/>
    <w:rsid w:val="31910ACA"/>
    <w:rsid w:val="31DB7E81"/>
    <w:rsid w:val="32193C0B"/>
    <w:rsid w:val="321A45A4"/>
    <w:rsid w:val="329A6E6D"/>
    <w:rsid w:val="32D34C50"/>
    <w:rsid w:val="32E122F5"/>
    <w:rsid w:val="33170742"/>
    <w:rsid w:val="332F3270"/>
    <w:rsid w:val="33683C0A"/>
    <w:rsid w:val="33AF0973"/>
    <w:rsid w:val="33C00502"/>
    <w:rsid w:val="33C82B98"/>
    <w:rsid w:val="33F35B58"/>
    <w:rsid w:val="33F90B8A"/>
    <w:rsid w:val="34180984"/>
    <w:rsid w:val="341D0AB2"/>
    <w:rsid w:val="343D35D0"/>
    <w:rsid w:val="345E4CE1"/>
    <w:rsid w:val="34A44703"/>
    <w:rsid w:val="34B8182C"/>
    <w:rsid w:val="34C72360"/>
    <w:rsid w:val="34CA0060"/>
    <w:rsid w:val="350A7012"/>
    <w:rsid w:val="352A6335"/>
    <w:rsid w:val="354579AB"/>
    <w:rsid w:val="35776F65"/>
    <w:rsid w:val="35795D9D"/>
    <w:rsid w:val="35850068"/>
    <w:rsid w:val="358641D3"/>
    <w:rsid w:val="35965BE4"/>
    <w:rsid w:val="35B50330"/>
    <w:rsid w:val="35C81B9C"/>
    <w:rsid w:val="35CB1B1C"/>
    <w:rsid w:val="362C6CA9"/>
    <w:rsid w:val="363E0EA9"/>
    <w:rsid w:val="36632B73"/>
    <w:rsid w:val="36720B63"/>
    <w:rsid w:val="36927024"/>
    <w:rsid w:val="369A4628"/>
    <w:rsid w:val="36ED68E2"/>
    <w:rsid w:val="372A485A"/>
    <w:rsid w:val="37364772"/>
    <w:rsid w:val="37626EB4"/>
    <w:rsid w:val="3767786E"/>
    <w:rsid w:val="376A52CE"/>
    <w:rsid w:val="377E781D"/>
    <w:rsid w:val="3783265A"/>
    <w:rsid w:val="378934A0"/>
    <w:rsid w:val="3792328E"/>
    <w:rsid w:val="37AF2DBE"/>
    <w:rsid w:val="37DE29C6"/>
    <w:rsid w:val="37F5689B"/>
    <w:rsid w:val="38161611"/>
    <w:rsid w:val="382359C7"/>
    <w:rsid w:val="384B25B8"/>
    <w:rsid w:val="38524E74"/>
    <w:rsid w:val="387B0C73"/>
    <w:rsid w:val="38B34278"/>
    <w:rsid w:val="390A4620"/>
    <w:rsid w:val="3914724D"/>
    <w:rsid w:val="3927191F"/>
    <w:rsid w:val="39527019"/>
    <w:rsid w:val="398559B4"/>
    <w:rsid w:val="39875C71"/>
    <w:rsid w:val="39D2536B"/>
    <w:rsid w:val="39FB0870"/>
    <w:rsid w:val="39FB44E5"/>
    <w:rsid w:val="3A024312"/>
    <w:rsid w:val="3A0860C4"/>
    <w:rsid w:val="3A8A558F"/>
    <w:rsid w:val="3A9E4CFF"/>
    <w:rsid w:val="3AC36CE2"/>
    <w:rsid w:val="3AC40769"/>
    <w:rsid w:val="3AE06E55"/>
    <w:rsid w:val="3AE30D66"/>
    <w:rsid w:val="3AE913D5"/>
    <w:rsid w:val="3AEB64D0"/>
    <w:rsid w:val="3B181A0D"/>
    <w:rsid w:val="3B4128EB"/>
    <w:rsid w:val="3B4E7CB6"/>
    <w:rsid w:val="3B5F48D5"/>
    <w:rsid w:val="3B6E6367"/>
    <w:rsid w:val="3BBE7541"/>
    <w:rsid w:val="3BE330C7"/>
    <w:rsid w:val="3BEB1E5C"/>
    <w:rsid w:val="3C134F1C"/>
    <w:rsid w:val="3C236B80"/>
    <w:rsid w:val="3C75173D"/>
    <w:rsid w:val="3C885F88"/>
    <w:rsid w:val="3CC408D9"/>
    <w:rsid w:val="3CE533DA"/>
    <w:rsid w:val="3CE75508"/>
    <w:rsid w:val="3D1C2FB4"/>
    <w:rsid w:val="3D1D6B33"/>
    <w:rsid w:val="3D231EB9"/>
    <w:rsid w:val="3D742FBD"/>
    <w:rsid w:val="3E1533E8"/>
    <w:rsid w:val="3E78348C"/>
    <w:rsid w:val="3E8827BE"/>
    <w:rsid w:val="3E882B60"/>
    <w:rsid w:val="3E9052B0"/>
    <w:rsid w:val="3EA469BF"/>
    <w:rsid w:val="3EB20BB5"/>
    <w:rsid w:val="3EC10315"/>
    <w:rsid w:val="3F375FF5"/>
    <w:rsid w:val="3F5756CC"/>
    <w:rsid w:val="3F653A30"/>
    <w:rsid w:val="3F707167"/>
    <w:rsid w:val="3F878567"/>
    <w:rsid w:val="3F9343AD"/>
    <w:rsid w:val="3FCD2BEA"/>
    <w:rsid w:val="3FCF6320"/>
    <w:rsid w:val="3FD95212"/>
    <w:rsid w:val="3FFD4EDF"/>
    <w:rsid w:val="40271FB7"/>
    <w:rsid w:val="40442507"/>
    <w:rsid w:val="405D6D46"/>
    <w:rsid w:val="408812A1"/>
    <w:rsid w:val="40BC163E"/>
    <w:rsid w:val="40D31462"/>
    <w:rsid w:val="40EE3CAC"/>
    <w:rsid w:val="413E7616"/>
    <w:rsid w:val="41460C0D"/>
    <w:rsid w:val="414B7FF4"/>
    <w:rsid w:val="417B0177"/>
    <w:rsid w:val="419C735C"/>
    <w:rsid w:val="41D032FB"/>
    <w:rsid w:val="42066C42"/>
    <w:rsid w:val="421A7806"/>
    <w:rsid w:val="4264097F"/>
    <w:rsid w:val="42795923"/>
    <w:rsid w:val="428E6C45"/>
    <w:rsid w:val="428F4B8E"/>
    <w:rsid w:val="4290269A"/>
    <w:rsid w:val="42A13E6D"/>
    <w:rsid w:val="42CA382E"/>
    <w:rsid w:val="43142CFA"/>
    <w:rsid w:val="4338384A"/>
    <w:rsid w:val="433A3186"/>
    <w:rsid w:val="43AD4526"/>
    <w:rsid w:val="43BE0430"/>
    <w:rsid w:val="43C3279D"/>
    <w:rsid w:val="43DF0701"/>
    <w:rsid w:val="43F860E9"/>
    <w:rsid w:val="441879DC"/>
    <w:rsid w:val="447943E7"/>
    <w:rsid w:val="44AC3301"/>
    <w:rsid w:val="44D24046"/>
    <w:rsid w:val="44DB5385"/>
    <w:rsid w:val="44F81CC7"/>
    <w:rsid w:val="450B43E9"/>
    <w:rsid w:val="45406F90"/>
    <w:rsid w:val="45585B47"/>
    <w:rsid w:val="45671C11"/>
    <w:rsid w:val="45786E49"/>
    <w:rsid w:val="45995E2E"/>
    <w:rsid w:val="45A07FC1"/>
    <w:rsid w:val="45A17B83"/>
    <w:rsid w:val="45C30C36"/>
    <w:rsid w:val="45CF454C"/>
    <w:rsid w:val="45FE5C0D"/>
    <w:rsid w:val="460D2370"/>
    <w:rsid w:val="46380BBC"/>
    <w:rsid w:val="46610A04"/>
    <w:rsid w:val="46724D80"/>
    <w:rsid w:val="46812515"/>
    <w:rsid w:val="46891A6A"/>
    <w:rsid w:val="46972D1D"/>
    <w:rsid w:val="470667BA"/>
    <w:rsid w:val="472A37D9"/>
    <w:rsid w:val="472B39D5"/>
    <w:rsid w:val="47446ABD"/>
    <w:rsid w:val="47451895"/>
    <w:rsid w:val="4767041D"/>
    <w:rsid w:val="476C180E"/>
    <w:rsid w:val="47BE1A05"/>
    <w:rsid w:val="48501030"/>
    <w:rsid w:val="48652583"/>
    <w:rsid w:val="486F7E36"/>
    <w:rsid w:val="487115CE"/>
    <w:rsid w:val="48A74FB5"/>
    <w:rsid w:val="48BA774A"/>
    <w:rsid w:val="48D14821"/>
    <w:rsid w:val="48EC1568"/>
    <w:rsid w:val="49014440"/>
    <w:rsid w:val="490D6A3A"/>
    <w:rsid w:val="493703C9"/>
    <w:rsid w:val="495150E9"/>
    <w:rsid w:val="495367D8"/>
    <w:rsid w:val="498724AA"/>
    <w:rsid w:val="49A35A2F"/>
    <w:rsid w:val="49AA5C70"/>
    <w:rsid w:val="49B26CB3"/>
    <w:rsid w:val="49C0615A"/>
    <w:rsid w:val="49CC038B"/>
    <w:rsid w:val="49DD7471"/>
    <w:rsid w:val="49FA026B"/>
    <w:rsid w:val="4A0A7E7D"/>
    <w:rsid w:val="4A0E2502"/>
    <w:rsid w:val="4A6D183E"/>
    <w:rsid w:val="4A773E8E"/>
    <w:rsid w:val="4A8A7B5A"/>
    <w:rsid w:val="4A947219"/>
    <w:rsid w:val="4AE54E1A"/>
    <w:rsid w:val="4B0819FA"/>
    <w:rsid w:val="4B225211"/>
    <w:rsid w:val="4B246FF2"/>
    <w:rsid w:val="4B551D55"/>
    <w:rsid w:val="4B8F6422"/>
    <w:rsid w:val="4BA350DE"/>
    <w:rsid w:val="4BC13369"/>
    <w:rsid w:val="4BD2464C"/>
    <w:rsid w:val="4BE4192E"/>
    <w:rsid w:val="4BE92DC9"/>
    <w:rsid w:val="4BF06172"/>
    <w:rsid w:val="4BF9F70F"/>
    <w:rsid w:val="4C0F4192"/>
    <w:rsid w:val="4C0F59E0"/>
    <w:rsid w:val="4C3C612D"/>
    <w:rsid w:val="4C675DE6"/>
    <w:rsid w:val="4CA07649"/>
    <w:rsid w:val="4CC90232"/>
    <w:rsid w:val="4CD11A03"/>
    <w:rsid w:val="4D2337C0"/>
    <w:rsid w:val="4D2B0365"/>
    <w:rsid w:val="4D336867"/>
    <w:rsid w:val="4D660448"/>
    <w:rsid w:val="4DF84276"/>
    <w:rsid w:val="4E243270"/>
    <w:rsid w:val="4E4C3C07"/>
    <w:rsid w:val="4E9F50B2"/>
    <w:rsid w:val="4EAD5D39"/>
    <w:rsid w:val="4EC72A0E"/>
    <w:rsid w:val="4ED700F3"/>
    <w:rsid w:val="4EED7286"/>
    <w:rsid w:val="4F0E2C4E"/>
    <w:rsid w:val="4F2A4406"/>
    <w:rsid w:val="4F593305"/>
    <w:rsid w:val="4F87124A"/>
    <w:rsid w:val="503079BB"/>
    <w:rsid w:val="50452A86"/>
    <w:rsid w:val="50600B4F"/>
    <w:rsid w:val="50861C2B"/>
    <w:rsid w:val="50A624B4"/>
    <w:rsid w:val="50B9276A"/>
    <w:rsid w:val="51084972"/>
    <w:rsid w:val="512C637C"/>
    <w:rsid w:val="513F033B"/>
    <w:rsid w:val="518F4A13"/>
    <w:rsid w:val="51953546"/>
    <w:rsid w:val="51A178B3"/>
    <w:rsid w:val="51A95061"/>
    <w:rsid w:val="51AD394D"/>
    <w:rsid w:val="51D87CE5"/>
    <w:rsid w:val="51DD3D83"/>
    <w:rsid w:val="51FC418E"/>
    <w:rsid w:val="52095A20"/>
    <w:rsid w:val="52D974C5"/>
    <w:rsid w:val="52FE1EC6"/>
    <w:rsid w:val="530658FC"/>
    <w:rsid w:val="530873EF"/>
    <w:rsid w:val="532E6A44"/>
    <w:rsid w:val="53365AC0"/>
    <w:rsid w:val="53522144"/>
    <w:rsid w:val="53B373CC"/>
    <w:rsid w:val="53BD1BF0"/>
    <w:rsid w:val="53EE4570"/>
    <w:rsid w:val="53EF7EA2"/>
    <w:rsid w:val="53F641CF"/>
    <w:rsid w:val="53F67036"/>
    <w:rsid w:val="53F8359B"/>
    <w:rsid w:val="541D4285"/>
    <w:rsid w:val="54393285"/>
    <w:rsid w:val="544959DD"/>
    <w:rsid w:val="54840CDB"/>
    <w:rsid w:val="54D93B3C"/>
    <w:rsid w:val="55195971"/>
    <w:rsid w:val="55314F6D"/>
    <w:rsid w:val="5597610D"/>
    <w:rsid w:val="55BD6AFE"/>
    <w:rsid w:val="55E15937"/>
    <w:rsid w:val="55FA6A14"/>
    <w:rsid w:val="56195A0B"/>
    <w:rsid w:val="56292842"/>
    <w:rsid w:val="5635356D"/>
    <w:rsid w:val="56A36EE6"/>
    <w:rsid w:val="56D279DA"/>
    <w:rsid w:val="56F50266"/>
    <w:rsid w:val="56FF9894"/>
    <w:rsid w:val="572172AD"/>
    <w:rsid w:val="57526648"/>
    <w:rsid w:val="57621CFC"/>
    <w:rsid w:val="579A5E62"/>
    <w:rsid w:val="57AD2915"/>
    <w:rsid w:val="587F1809"/>
    <w:rsid w:val="58BE496C"/>
    <w:rsid w:val="58BF19BD"/>
    <w:rsid w:val="59052625"/>
    <w:rsid w:val="5916227A"/>
    <w:rsid w:val="594E6604"/>
    <w:rsid w:val="59693CA1"/>
    <w:rsid w:val="598456E5"/>
    <w:rsid w:val="59A84BE0"/>
    <w:rsid w:val="59A94BF3"/>
    <w:rsid w:val="59CC2669"/>
    <w:rsid w:val="5A022F5D"/>
    <w:rsid w:val="5A133C6E"/>
    <w:rsid w:val="5A231076"/>
    <w:rsid w:val="5A904F9C"/>
    <w:rsid w:val="5A9E1CBA"/>
    <w:rsid w:val="5ADF33B1"/>
    <w:rsid w:val="5AEC0089"/>
    <w:rsid w:val="5B0A2163"/>
    <w:rsid w:val="5B21042A"/>
    <w:rsid w:val="5B2335F4"/>
    <w:rsid w:val="5B334C03"/>
    <w:rsid w:val="5B3823B7"/>
    <w:rsid w:val="5B3D71C4"/>
    <w:rsid w:val="5B5D4F22"/>
    <w:rsid w:val="5BB45AC8"/>
    <w:rsid w:val="5BB82040"/>
    <w:rsid w:val="5C0629AA"/>
    <w:rsid w:val="5C0704E3"/>
    <w:rsid w:val="5C617A21"/>
    <w:rsid w:val="5C6F7C33"/>
    <w:rsid w:val="5C7F17EA"/>
    <w:rsid w:val="5C8B4225"/>
    <w:rsid w:val="5CBC70CA"/>
    <w:rsid w:val="5CE03E68"/>
    <w:rsid w:val="5D131D45"/>
    <w:rsid w:val="5D4444D3"/>
    <w:rsid w:val="5D4A5DCB"/>
    <w:rsid w:val="5D8D9386"/>
    <w:rsid w:val="5D961B76"/>
    <w:rsid w:val="5D9F7A3B"/>
    <w:rsid w:val="5D9F7F59"/>
    <w:rsid w:val="5DA77719"/>
    <w:rsid w:val="5DBD1131"/>
    <w:rsid w:val="5E2645FC"/>
    <w:rsid w:val="5E3A1A80"/>
    <w:rsid w:val="5E4F61F7"/>
    <w:rsid w:val="5EC90F8E"/>
    <w:rsid w:val="5EEC63AA"/>
    <w:rsid w:val="5EFFB2CC"/>
    <w:rsid w:val="5F4B4EC7"/>
    <w:rsid w:val="5F57CAFC"/>
    <w:rsid w:val="5F681ADC"/>
    <w:rsid w:val="5F796DF2"/>
    <w:rsid w:val="5FA1329D"/>
    <w:rsid w:val="5FBA11DC"/>
    <w:rsid w:val="5FBBC8DC"/>
    <w:rsid w:val="5FD146B7"/>
    <w:rsid w:val="5FD87D5A"/>
    <w:rsid w:val="601A2C89"/>
    <w:rsid w:val="603F4DA6"/>
    <w:rsid w:val="60615C9C"/>
    <w:rsid w:val="60BC334B"/>
    <w:rsid w:val="60C40F0C"/>
    <w:rsid w:val="611E54F4"/>
    <w:rsid w:val="613146C9"/>
    <w:rsid w:val="6143039D"/>
    <w:rsid w:val="616E1D62"/>
    <w:rsid w:val="619F5167"/>
    <w:rsid w:val="61C060CD"/>
    <w:rsid w:val="61E2472C"/>
    <w:rsid w:val="621562E5"/>
    <w:rsid w:val="621B4F7F"/>
    <w:rsid w:val="62237435"/>
    <w:rsid w:val="622C6B50"/>
    <w:rsid w:val="62351E24"/>
    <w:rsid w:val="625842A9"/>
    <w:rsid w:val="625A3C18"/>
    <w:rsid w:val="62770920"/>
    <w:rsid w:val="62B20985"/>
    <w:rsid w:val="62BA4707"/>
    <w:rsid w:val="62CF2A5C"/>
    <w:rsid w:val="62E9428D"/>
    <w:rsid w:val="62F754A5"/>
    <w:rsid w:val="632524D1"/>
    <w:rsid w:val="63323263"/>
    <w:rsid w:val="639A7B74"/>
    <w:rsid w:val="63AB50B9"/>
    <w:rsid w:val="63B65E18"/>
    <w:rsid w:val="63E737B5"/>
    <w:rsid w:val="63F13E4E"/>
    <w:rsid w:val="64047BC5"/>
    <w:rsid w:val="640C2DEE"/>
    <w:rsid w:val="6423378D"/>
    <w:rsid w:val="642E2F7D"/>
    <w:rsid w:val="643731D5"/>
    <w:rsid w:val="64560399"/>
    <w:rsid w:val="64750536"/>
    <w:rsid w:val="64811E7B"/>
    <w:rsid w:val="649615B8"/>
    <w:rsid w:val="64A1456B"/>
    <w:rsid w:val="64AC5D92"/>
    <w:rsid w:val="64B6570F"/>
    <w:rsid w:val="64B72EBA"/>
    <w:rsid w:val="64B97474"/>
    <w:rsid w:val="64EF6A60"/>
    <w:rsid w:val="64FB4240"/>
    <w:rsid w:val="65186248"/>
    <w:rsid w:val="65322407"/>
    <w:rsid w:val="653B3120"/>
    <w:rsid w:val="654F05C2"/>
    <w:rsid w:val="659C6DFB"/>
    <w:rsid w:val="65B21D8B"/>
    <w:rsid w:val="65B662D0"/>
    <w:rsid w:val="65BC44E4"/>
    <w:rsid w:val="65C0062F"/>
    <w:rsid w:val="65DD0AAC"/>
    <w:rsid w:val="65E825DA"/>
    <w:rsid w:val="65F43FEF"/>
    <w:rsid w:val="6604104A"/>
    <w:rsid w:val="665242EE"/>
    <w:rsid w:val="66717BB2"/>
    <w:rsid w:val="66751F24"/>
    <w:rsid w:val="66C00CDD"/>
    <w:rsid w:val="66D223BE"/>
    <w:rsid w:val="66F15384"/>
    <w:rsid w:val="66F91A08"/>
    <w:rsid w:val="66FB3536"/>
    <w:rsid w:val="67067C0D"/>
    <w:rsid w:val="67205C28"/>
    <w:rsid w:val="67246176"/>
    <w:rsid w:val="672700C8"/>
    <w:rsid w:val="673169CB"/>
    <w:rsid w:val="675074A5"/>
    <w:rsid w:val="67551878"/>
    <w:rsid w:val="679B05D3"/>
    <w:rsid w:val="67A92E73"/>
    <w:rsid w:val="67D8074E"/>
    <w:rsid w:val="67ED41D4"/>
    <w:rsid w:val="67F65073"/>
    <w:rsid w:val="682137E4"/>
    <w:rsid w:val="684761CB"/>
    <w:rsid w:val="684A0649"/>
    <w:rsid w:val="68670155"/>
    <w:rsid w:val="68685A3C"/>
    <w:rsid w:val="68784779"/>
    <w:rsid w:val="688C66C6"/>
    <w:rsid w:val="68AA0747"/>
    <w:rsid w:val="68AD66CB"/>
    <w:rsid w:val="68BF4A41"/>
    <w:rsid w:val="68C47737"/>
    <w:rsid w:val="68D243C3"/>
    <w:rsid w:val="68F74922"/>
    <w:rsid w:val="691722BE"/>
    <w:rsid w:val="6925165B"/>
    <w:rsid w:val="69414352"/>
    <w:rsid w:val="6942689E"/>
    <w:rsid w:val="697E5E37"/>
    <w:rsid w:val="699529C5"/>
    <w:rsid w:val="69AC4F69"/>
    <w:rsid w:val="69AE7764"/>
    <w:rsid w:val="69BA1483"/>
    <w:rsid w:val="69CB5582"/>
    <w:rsid w:val="69D87B77"/>
    <w:rsid w:val="6A10120A"/>
    <w:rsid w:val="6A2E27F3"/>
    <w:rsid w:val="6A444AB0"/>
    <w:rsid w:val="6A560AFE"/>
    <w:rsid w:val="6AA602DB"/>
    <w:rsid w:val="6AAB4BE8"/>
    <w:rsid w:val="6AB4565A"/>
    <w:rsid w:val="6AC1662F"/>
    <w:rsid w:val="6AC21CE8"/>
    <w:rsid w:val="6AC326FD"/>
    <w:rsid w:val="6AD75287"/>
    <w:rsid w:val="6AD7691B"/>
    <w:rsid w:val="6AF864C4"/>
    <w:rsid w:val="6AFD77E4"/>
    <w:rsid w:val="6B3D1851"/>
    <w:rsid w:val="6B4A718F"/>
    <w:rsid w:val="6B8425F1"/>
    <w:rsid w:val="6B874779"/>
    <w:rsid w:val="6B8D405B"/>
    <w:rsid w:val="6BBB0661"/>
    <w:rsid w:val="6BD32B8E"/>
    <w:rsid w:val="6BD46A7E"/>
    <w:rsid w:val="6C0B0E44"/>
    <w:rsid w:val="6C221695"/>
    <w:rsid w:val="6C571FD5"/>
    <w:rsid w:val="6C641A47"/>
    <w:rsid w:val="6C8E6D3B"/>
    <w:rsid w:val="6C9624C2"/>
    <w:rsid w:val="6D213FE0"/>
    <w:rsid w:val="6D3E58B8"/>
    <w:rsid w:val="6D53357A"/>
    <w:rsid w:val="6D5D7C5E"/>
    <w:rsid w:val="6D932351"/>
    <w:rsid w:val="6DE23FBF"/>
    <w:rsid w:val="6DEA72F0"/>
    <w:rsid w:val="6E3F0027"/>
    <w:rsid w:val="6E652297"/>
    <w:rsid w:val="6E9F3D3E"/>
    <w:rsid w:val="6EF968FC"/>
    <w:rsid w:val="6EFB05F8"/>
    <w:rsid w:val="6F2D1B71"/>
    <w:rsid w:val="6F3E62A5"/>
    <w:rsid w:val="6F5E158F"/>
    <w:rsid w:val="6F65190B"/>
    <w:rsid w:val="6F7B0B91"/>
    <w:rsid w:val="6FA35A99"/>
    <w:rsid w:val="6FAD6AD4"/>
    <w:rsid w:val="6FB85436"/>
    <w:rsid w:val="6FBA7172"/>
    <w:rsid w:val="6FCC297B"/>
    <w:rsid w:val="6FCE2BA6"/>
    <w:rsid w:val="704A1453"/>
    <w:rsid w:val="70802A70"/>
    <w:rsid w:val="709139EA"/>
    <w:rsid w:val="70B21B4B"/>
    <w:rsid w:val="70BA323E"/>
    <w:rsid w:val="70F95792"/>
    <w:rsid w:val="7104581E"/>
    <w:rsid w:val="710714CA"/>
    <w:rsid w:val="712D1349"/>
    <w:rsid w:val="71593192"/>
    <w:rsid w:val="71790D40"/>
    <w:rsid w:val="71994DB5"/>
    <w:rsid w:val="71B5786E"/>
    <w:rsid w:val="71BC75BD"/>
    <w:rsid w:val="71C76C8A"/>
    <w:rsid w:val="71FA0DD0"/>
    <w:rsid w:val="72022A32"/>
    <w:rsid w:val="722231C3"/>
    <w:rsid w:val="727F2464"/>
    <w:rsid w:val="728C3603"/>
    <w:rsid w:val="72AC7571"/>
    <w:rsid w:val="72DD4E02"/>
    <w:rsid w:val="72F01FDB"/>
    <w:rsid w:val="730C0765"/>
    <w:rsid w:val="734435F5"/>
    <w:rsid w:val="73997733"/>
    <w:rsid w:val="73DD21B3"/>
    <w:rsid w:val="740D0CF9"/>
    <w:rsid w:val="741B2D52"/>
    <w:rsid w:val="743E4EF1"/>
    <w:rsid w:val="74470426"/>
    <w:rsid w:val="744F0504"/>
    <w:rsid w:val="746A3800"/>
    <w:rsid w:val="74B56237"/>
    <w:rsid w:val="74BA5CC7"/>
    <w:rsid w:val="74CE240D"/>
    <w:rsid w:val="74DB6AD8"/>
    <w:rsid w:val="752238A8"/>
    <w:rsid w:val="754752F4"/>
    <w:rsid w:val="75584B24"/>
    <w:rsid w:val="756141F5"/>
    <w:rsid w:val="758D4DA7"/>
    <w:rsid w:val="75BA175D"/>
    <w:rsid w:val="75BD1B4B"/>
    <w:rsid w:val="75C771FC"/>
    <w:rsid w:val="75F53C5E"/>
    <w:rsid w:val="761C2D5F"/>
    <w:rsid w:val="762B1E57"/>
    <w:rsid w:val="76813D31"/>
    <w:rsid w:val="768C141A"/>
    <w:rsid w:val="769243BD"/>
    <w:rsid w:val="76AE2456"/>
    <w:rsid w:val="76CD0052"/>
    <w:rsid w:val="76FE4A2C"/>
    <w:rsid w:val="770C5B6C"/>
    <w:rsid w:val="770D6B8D"/>
    <w:rsid w:val="77246BA9"/>
    <w:rsid w:val="773737B0"/>
    <w:rsid w:val="773C2054"/>
    <w:rsid w:val="776E3615"/>
    <w:rsid w:val="777F79AC"/>
    <w:rsid w:val="777FD210"/>
    <w:rsid w:val="778C63AF"/>
    <w:rsid w:val="778C6535"/>
    <w:rsid w:val="77B32DE0"/>
    <w:rsid w:val="77BFACCE"/>
    <w:rsid w:val="77DA3A32"/>
    <w:rsid w:val="77DB3BCD"/>
    <w:rsid w:val="77FE53E9"/>
    <w:rsid w:val="782C3718"/>
    <w:rsid w:val="783D01E0"/>
    <w:rsid w:val="78807EDF"/>
    <w:rsid w:val="78885318"/>
    <w:rsid w:val="78991483"/>
    <w:rsid w:val="78E30197"/>
    <w:rsid w:val="78E36B1E"/>
    <w:rsid w:val="79584860"/>
    <w:rsid w:val="796837B1"/>
    <w:rsid w:val="797F4415"/>
    <w:rsid w:val="79855467"/>
    <w:rsid w:val="79BD3849"/>
    <w:rsid w:val="79C0468E"/>
    <w:rsid w:val="79D85057"/>
    <w:rsid w:val="79E42E2B"/>
    <w:rsid w:val="7A57503B"/>
    <w:rsid w:val="7A9475F1"/>
    <w:rsid w:val="7ACC7702"/>
    <w:rsid w:val="7ADF33A5"/>
    <w:rsid w:val="7AEFBF38"/>
    <w:rsid w:val="7AF80CD4"/>
    <w:rsid w:val="7B0F387E"/>
    <w:rsid w:val="7B297232"/>
    <w:rsid w:val="7B323AD6"/>
    <w:rsid w:val="7B603538"/>
    <w:rsid w:val="7B6F7D69"/>
    <w:rsid w:val="7B883F11"/>
    <w:rsid w:val="7B8922D4"/>
    <w:rsid w:val="7BBF076C"/>
    <w:rsid w:val="7BC22E5A"/>
    <w:rsid w:val="7BF00E78"/>
    <w:rsid w:val="7BFB8B60"/>
    <w:rsid w:val="7BFE6F4D"/>
    <w:rsid w:val="7C9F2E07"/>
    <w:rsid w:val="7CA939E9"/>
    <w:rsid w:val="7CEB4CD4"/>
    <w:rsid w:val="7CF702B0"/>
    <w:rsid w:val="7CF7C956"/>
    <w:rsid w:val="7D5F1137"/>
    <w:rsid w:val="7D6C36F2"/>
    <w:rsid w:val="7D700263"/>
    <w:rsid w:val="7D9405F3"/>
    <w:rsid w:val="7DF93E8B"/>
    <w:rsid w:val="7DFA250C"/>
    <w:rsid w:val="7E1F5A45"/>
    <w:rsid w:val="7E237BA6"/>
    <w:rsid w:val="7E356441"/>
    <w:rsid w:val="7E6F365D"/>
    <w:rsid w:val="7EC96020"/>
    <w:rsid w:val="7ED21A01"/>
    <w:rsid w:val="7EE00B5D"/>
    <w:rsid w:val="7F090A4C"/>
    <w:rsid w:val="7F141322"/>
    <w:rsid w:val="7F306C45"/>
    <w:rsid w:val="7F557F18"/>
    <w:rsid w:val="7F746A40"/>
    <w:rsid w:val="7F7D9AD0"/>
    <w:rsid w:val="7F8F6731"/>
    <w:rsid w:val="7FDE001C"/>
    <w:rsid w:val="7FDE2045"/>
    <w:rsid w:val="7FF33536"/>
    <w:rsid w:val="93FFB7F9"/>
    <w:rsid w:val="97F59FF5"/>
    <w:rsid w:val="99BBCB90"/>
    <w:rsid w:val="9DDFBAEE"/>
    <w:rsid w:val="9FFF0DD8"/>
    <w:rsid w:val="A2DFFBB3"/>
    <w:rsid w:val="AD761CDC"/>
    <w:rsid w:val="ADEF34DE"/>
    <w:rsid w:val="BFEF2D16"/>
    <w:rsid w:val="CAE11532"/>
    <w:rsid w:val="CCBFC1B5"/>
    <w:rsid w:val="CF864B73"/>
    <w:rsid w:val="CFE9D18E"/>
    <w:rsid w:val="CFF7EF5A"/>
    <w:rsid w:val="DAB7177B"/>
    <w:rsid w:val="DBFFAB8D"/>
    <w:rsid w:val="DC6BCFD3"/>
    <w:rsid w:val="DFDB513C"/>
    <w:rsid w:val="DFFB12D3"/>
    <w:rsid w:val="E7E7B3F8"/>
    <w:rsid w:val="EF2D2E36"/>
    <w:rsid w:val="F66DA97A"/>
    <w:rsid w:val="F7EF645F"/>
    <w:rsid w:val="FADD0D17"/>
    <w:rsid w:val="FBF9E8D2"/>
    <w:rsid w:val="FDBF6123"/>
    <w:rsid w:val="FDFF99DC"/>
    <w:rsid w:val="FE59F6BD"/>
    <w:rsid w:val="FEBB13CB"/>
    <w:rsid w:val="FEDE356C"/>
    <w:rsid w:val="FF5DBFA9"/>
    <w:rsid w:val="FFBF84FD"/>
    <w:rsid w:val="FFF21265"/>
    <w:rsid w:val="FFFB3901"/>
    <w:rsid w:val="FFFE25A4"/>
    <w:rsid w:val="FFFEA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9" w:semiHidden="0" w:name="heading 4"/>
    <w:lsdException w:qFormat="1" w:uiPriority="1" w:name="heading 5"/>
    <w:lsdException w:qFormat="1" w:unhideWhenUsed="0" w:uiPriority="9" w:semiHidden="0" w:name="heading 6"/>
    <w:lsdException w:qFormat="1" w:unhideWhenUsed="0" w:uiPriority="1" w:semiHidden="0"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1" w:name="footnote text"/>
    <w:lsdException w:qFormat="1"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qFormat="1" w:unhideWhenUsed="0" w:uiPriority="0" w:semiHidden="0" w:name="envelope return"/>
    <w:lsdException w:uiPriority="1" w:name="footnote reference"/>
    <w:lsdException w:qFormat="1" w:uiPriority="99" w:semiHidden="0" w:name="annotation reference"/>
    <w:lsdException w:uiPriority="1" w:name="line number"/>
    <w:lsdException w:qFormat="1" w:unhideWhenUsed="0" w:uiPriority="99"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99" w:semiHidden="0" w:name="Title"/>
    <w:lsdException w:uiPriority="1" w:name="Closing"/>
    <w:lsdException w:uiPriority="1" w:name="Signature"/>
    <w:lsdException w:qFormat="1" w:uiPriority="1" w:semiHidden="0" w:name="Default Paragraph Font"/>
    <w:lsdException w:qFormat="1" w:uiPriority="99"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99" w:semiHidden="0" w:name="Subtitle"/>
    <w:lsdException w:uiPriority="1" w:name="Salutation"/>
    <w:lsdException w:uiPriority="1" w:name="Date"/>
    <w:lsdException w:qFormat="1" w:uiPriority="99"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1" w:semiHidden="0" w:name="Emphasis"/>
    <w:lsdException w:qFormat="1" w:uiPriority="99" w:semiHidden="0" w:name="Document Map"/>
    <w:lsdException w:qFormat="1" w:unhideWhenUsed="0" w:uiPriority="99" w:semiHidden="0" w:name="Plain Text"/>
    <w:lsdException w:uiPriority="1" w:name="E-mail Signature"/>
    <w:lsdException w:qFormat="1"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宋体" w:hAnsi="Times New Roman" w:eastAsia="宋体" w:cs="Times New Roman"/>
      <w:sz w:val="24"/>
      <w:lang w:val="en-US" w:eastAsia="zh-CN" w:bidi="ar-SA"/>
    </w:rPr>
  </w:style>
  <w:style w:type="paragraph" w:styleId="3">
    <w:name w:val="heading 1"/>
    <w:basedOn w:val="1"/>
    <w:next w:val="1"/>
    <w:link w:val="45"/>
    <w:qFormat/>
    <w:uiPriority w:val="0"/>
    <w:pPr>
      <w:keepNext/>
      <w:keepLines/>
      <w:outlineLvl w:val="0"/>
    </w:pPr>
    <w:rPr>
      <w:rFonts w:ascii="Times New Roman" w:hAnsi="Times New Roman"/>
      <w:b/>
      <w:kern w:val="44"/>
      <w:sz w:val="44"/>
      <w:szCs w:val="20"/>
    </w:rPr>
  </w:style>
  <w:style w:type="paragraph" w:styleId="4">
    <w:name w:val="heading 2"/>
    <w:basedOn w:val="1"/>
    <w:next w:val="1"/>
    <w:link w:val="46"/>
    <w:qFormat/>
    <w:uiPriority w:val="9"/>
    <w:pPr>
      <w:keepNext/>
      <w:keepLines/>
      <w:ind w:firstLine="0" w:firstLineChars="0"/>
      <w:outlineLvl w:val="1"/>
    </w:pPr>
    <w:rPr>
      <w:rFonts w:hAnsi="Cambria"/>
      <w:b/>
      <w:bCs/>
      <w:szCs w:val="32"/>
    </w:rPr>
  </w:style>
  <w:style w:type="paragraph" w:styleId="5">
    <w:name w:val="heading 3"/>
    <w:basedOn w:val="1"/>
    <w:next w:val="1"/>
    <w:link w:val="47"/>
    <w:qFormat/>
    <w:uiPriority w:val="0"/>
    <w:pPr>
      <w:keepNext/>
      <w:keepLines/>
      <w:widowControl w:val="0"/>
      <w:jc w:val="left"/>
      <w:outlineLvl w:val="2"/>
    </w:pPr>
    <w:rPr>
      <w:rFonts w:hAnsi="Calibri"/>
      <w:b/>
      <w:bCs/>
      <w:szCs w:val="32"/>
    </w:rPr>
  </w:style>
  <w:style w:type="paragraph" w:styleId="6">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paragraph" w:styleId="7">
    <w:name w:val="heading 6"/>
    <w:basedOn w:val="1"/>
    <w:next w:val="1"/>
    <w:link w:val="48"/>
    <w:qFormat/>
    <w:uiPriority w:val="9"/>
    <w:pPr>
      <w:keepNext/>
      <w:keepLines/>
      <w:spacing w:before="240" w:after="64" w:line="320" w:lineRule="auto"/>
      <w:outlineLvl w:val="5"/>
    </w:pPr>
    <w:rPr>
      <w:rFonts w:ascii="Cambria" w:hAnsi="Cambria"/>
      <w:b/>
      <w:bCs/>
      <w:szCs w:val="24"/>
    </w:rPr>
  </w:style>
  <w:style w:type="paragraph" w:styleId="8">
    <w:name w:val="heading 7"/>
    <w:basedOn w:val="1"/>
    <w:next w:val="1"/>
    <w:link w:val="49"/>
    <w:qFormat/>
    <w:uiPriority w:val="1"/>
    <w:pPr>
      <w:keepNext/>
      <w:keepLines/>
      <w:spacing w:before="240" w:after="64" w:line="320" w:lineRule="auto"/>
      <w:outlineLvl w:val="6"/>
    </w:pPr>
    <w:rPr>
      <w:b/>
      <w:bCs/>
      <w:szCs w:val="24"/>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9">
    <w:name w:val="toc 7"/>
    <w:basedOn w:val="1"/>
    <w:next w:val="1"/>
    <w:unhideWhenUsed/>
    <w:qFormat/>
    <w:uiPriority w:val="39"/>
    <w:pPr>
      <w:widowControl w:val="0"/>
      <w:ind w:left="2520" w:leftChars="1200"/>
      <w:jc w:val="both"/>
    </w:pPr>
    <w:rPr>
      <w:rFonts w:ascii="Calibri" w:hAnsi="Calibri" w:eastAsia="宋体" w:cs="Times New Roman"/>
      <w:kern w:val="2"/>
      <w:sz w:val="21"/>
      <w:szCs w:val="22"/>
    </w:rPr>
  </w:style>
  <w:style w:type="paragraph" w:styleId="10">
    <w:name w:val="Normal Indent"/>
    <w:basedOn w:val="1"/>
    <w:qFormat/>
    <w:uiPriority w:val="99"/>
    <w:pPr>
      <w:widowControl w:val="0"/>
      <w:ind w:firstLine="420"/>
      <w:jc w:val="both"/>
    </w:pPr>
    <w:rPr>
      <w:rFonts w:ascii="宋体" w:hAnsi="Calibri"/>
      <w:sz w:val="34"/>
    </w:rPr>
  </w:style>
  <w:style w:type="paragraph" w:styleId="11">
    <w:name w:val="Document Map"/>
    <w:basedOn w:val="1"/>
    <w:link w:val="50"/>
    <w:unhideWhenUsed/>
    <w:qFormat/>
    <w:uiPriority w:val="99"/>
    <w:rPr>
      <w:sz w:val="18"/>
      <w:szCs w:val="18"/>
    </w:rPr>
  </w:style>
  <w:style w:type="paragraph" w:styleId="12">
    <w:name w:val="annotation text"/>
    <w:basedOn w:val="1"/>
    <w:link w:val="51"/>
    <w:unhideWhenUsed/>
    <w:qFormat/>
    <w:uiPriority w:val="99"/>
    <w:pPr>
      <w:jc w:val="left"/>
    </w:pPr>
  </w:style>
  <w:style w:type="paragraph" w:styleId="13">
    <w:name w:val="Body Text 3"/>
    <w:basedOn w:val="1"/>
    <w:qFormat/>
    <w:uiPriority w:val="0"/>
    <w:rPr>
      <w:rFonts w:ascii="宋体"/>
      <w:kern w:val="0"/>
      <w:sz w:val="24"/>
      <w:szCs w:val="20"/>
    </w:rPr>
  </w:style>
  <w:style w:type="paragraph" w:styleId="14">
    <w:name w:val="Body Text"/>
    <w:basedOn w:val="1"/>
    <w:next w:val="1"/>
    <w:link w:val="52"/>
    <w:unhideWhenUsed/>
    <w:qFormat/>
    <w:uiPriority w:val="99"/>
    <w:pPr>
      <w:spacing w:after="120"/>
    </w:pPr>
  </w:style>
  <w:style w:type="paragraph" w:styleId="15">
    <w:name w:val="Body Text Indent"/>
    <w:basedOn w:val="1"/>
    <w:next w:val="16"/>
    <w:qFormat/>
    <w:uiPriority w:val="0"/>
    <w:pPr>
      <w:spacing w:after="120"/>
      <w:ind w:left="420" w:leftChars="200"/>
    </w:pPr>
  </w:style>
  <w:style w:type="paragraph" w:styleId="16">
    <w:name w:val="envelope return"/>
    <w:basedOn w:val="1"/>
    <w:qFormat/>
    <w:uiPriority w:val="0"/>
    <w:pPr>
      <w:snapToGrid w:val="0"/>
    </w:pPr>
    <w:rPr>
      <w:rFonts w:ascii="Arial" w:hAnsi="Arial"/>
    </w:rPr>
  </w:style>
  <w:style w:type="paragraph" w:styleId="17">
    <w:name w:val="toc 5"/>
    <w:basedOn w:val="1"/>
    <w:next w:val="1"/>
    <w:unhideWhenUsed/>
    <w:qFormat/>
    <w:uiPriority w:val="39"/>
    <w:pPr>
      <w:widowControl w:val="0"/>
      <w:ind w:left="1680" w:leftChars="800"/>
      <w:jc w:val="both"/>
    </w:pPr>
    <w:rPr>
      <w:rFonts w:ascii="Calibri" w:hAnsi="Calibri" w:eastAsia="宋体" w:cs="Times New Roman"/>
      <w:kern w:val="2"/>
      <w:sz w:val="21"/>
      <w:szCs w:val="22"/>
    </w:rPr>
  </w:style>
  <w:style w:type="paragraph" w:styleId="18">
    <w:name w:val="toc 3"/>
    <w:basedOn w:val="1"/>
    <w:next w:val="1"/>
    <w:qFormat/>
    <w:uiPriority w:val="39"/>
    <w:pPr>
      <w:ind w:left="400" w:leftChars="400"/>
    </w:pPr>
  </w:style>
  <w:style w:type="paragraph" w:styleId="19">
    <w:name w:val="Plain Text"/>
    <w:basedOn w:val="1"/>
    <w:link w:val="53"/>
    <w:qFormat/>
    <w:uiPriority w:val="99"/>
    <w:rPr>
      <w:rFonts w:hAnsi="Courier New" w:eastAsia="楷体_GB2312"/>
      <w:sz w:val="20"/>
    </w:rPr>
  </w:style>
  <w:style w:type="paragraph" w:styleId="20">
    <w:name w:val="toc 8"/>
    <w:basedOn w:val="1"/>
    <w:next w:val="1"/>
    <w:unhideWhenUsed/>
    <w:qFormat/>
    <w:uiPriority w:val="39"/>
    <w:pPr>
      <w:widowControl w:val="0"/>
      <w:ind w:left="2940" w:leftChars="1400"/>
      <w:jc w:val="both"/>
    </w:pPr>
    <w:rPr>
      <w:rFonts w:ascii="Calibri" w:hAnsi="Calibri" w:eastAsia="宋体" w:cs="Times New Roman"/>
      <w:kern w:val="2"/>
      <w:sz w:val="21"/>
      <w:szCs w:val="22"/>
    </w:rPr>
  </w:style>
  <w:style w:type="paragraph" w:styleId="21">
    <w:name w:val="Body Text Indent 2"/>
    <w:basedOn w:val="1"/>
    <w:link w:val="54"/>
    <w:unhideWhenUsed/>
    <w:qFormat/>
    <w:uiPriority w:val="99"/>
    <w:pPr>
      <w:spacing w:after="120" w:line="480" w:lineRule="auto"/>
      <w:ind w:left="420" w:leftChars="200"/>
    </w:pPr>
  </w:style>
  <w:style w:type="paragraph" w:styleId="22">
    <w:name w:val="Balloon Text"/>
    <w:basedOn w:val="1"/>
    <w:link w:val="55"/>
    <w:unhideWhenUsed/>
    <w:qFormat/>
    <w:uiPriority w:val="99"/>
    <w:rPr>
      <w:rFonts w:ascii="Times New Roman"/>
      <w:sz w:val="18"/>
      <w:szCs w:val="18"/>
    </w:rPr>
  </w:style>
  <w:style w:type="paragraph" w:styleId="23">
    <w:name w:val="footer"/>
    <w:basedOn w:val="1"/>
    <w:link w:val="56"/>
    <w:unhideWhenUsed/>
    <w:qFormat/>
    <w:uiPriority w:val="99"/>
    <w:pPr>
      <w:tabs>
        <w:tab w:val="center" w:pos="4153"/>
        <w:tab w:val="right" w:pos="8306"/>
      </w:tabs>
      <w:snapToGrid w:val="0"/>
      <w:jc w:val="left"/>
    </w:pPr>
    <w:rPr>
      <w:rFonts w:ascii="Times New Roman"/>
      <w:sz w:val="18"/>
    </w:rPr>
  </w:style>
  <w:style w:type="paragraph" w:styleId="2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toc 1"/>
    <w:basedOn w:val="1"/>
    <w:next w:val="1"/>
    <w:qFormat/>
    <w:uiPriority w:val="39"/>
  </w:style>
  <w:style w:type="paragraph" w:styleId="26">
    <w:name w:val="toc 4"/>
    <w:basedOn w:val="1"/>
    <w:next w:val="1"/>
    <w:unhideWhenUsed/>
    <w:qFormat/>
    <w:uiPriority w:val="39"/>
    <w:pPr>
      <w:widowControl w:val="0"/>
      <w:ind w:left="1260" w:leftChars="600"/>
      <w:jc w:val="both"/>
    </w:pPr>
    <w:rPr>
      <w:rFonts w:ascii="Calibri" w:hAnsi="Calibri" w:eastAsia="宋体" w:cs="Times New Roman"/>
      <w:kern w:val="2"/>
      <w:sz w:val="21"/>
      <w:szCs w:val="22"/>
    </w:rPr>
  </w:style>
  <w:style w:type="paragraph" w:styleId="27">
    <w:name w:val="Subtitle"/>
    <w:basedOn w:val="1"/>
    <w:next w:val="1"/>
    <w:link w:val="57"/>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28">
    <w:name w:val="toc 6"/>
    <w:basedOn w:val="1"/>
    <w:next w:val="1"/>
    <w:unhideWhenUsed/>
    <w:qFormat/>
    <w:uiPriority w:val="39"/>
    <w:pPr>
      <w:widowControl w:val="0"/>
      <w:ind w:left="2100" w:leftChars="1000"/>
      <w:jc w:val="both"/>
    </w:pPr>
    <w:rPr>
      <w:rFonts w:ascii="Calibri" w:hAnsi="Calibri" w:eastAsia="宋体" w:cs="Times New Roman"/>
      <w:kern w:val="2"/>
      <w:sz w:val="21"/>
      <w:szCs w:val="22"/>
    </w:rPr>
  </w:style>
  <w:style w:type="paragraph" w:styleId="29">
    <w:name w:val="Body Text Indent 3"/>
    <w:basedOn w:val="1"/>
    <w:qFormat/>
    <w:uiPriority w:val="0"/>
    <w:pPr>
      <w:spacing w:after="120"/>
      <w:ind w:left="420" w:leftChars="200"/>
    </w:pPr>
    <w:rPr>
      <w:kern w:val="0"/>
      <w:sz w:val="16"/>
      <w:szCs w:val="16"/>
    </w:rPr>
  </w:style>
  <w:style w:type="paragraph" w:styleId="30">
    <w:name w:val="toc 9"/>
    <w:basedOn w:val="1"/>
    <w:next w:val="1"/>
    <w:unhideWhenUsed/>
    <w:qFormat/>
    <w:uiPriority w:val="39"/>
    <w:pPr>
      <w:widowControl w:val="0"/>
      <w:ind w:left="3360" w:leftChars="1600"/>
      <w:jc w:val="both"/>
    </w:pPr>
    <w:rPr>
      <w:rFonts w:ascii="Calibri" w:hAnsi="Calibri" w:eastAsia="宋体" w:cs="Times New Roman"/>
      <w:kern w:val="2"/>
      <w:sz w:val="21"/>
      <w:szCs w:val="22"/>
    </w:rPr>
  </w:style>
  <w:style w:type="paragraph" w:styleId="31">
    <w:name w:val="Body Text 2"/>
    <w:basedOn w:val="1"/>
    <w:qFormat/>
    <w:uiPriority w:val="0"/>
    <w:rPr>
      <w:rFonts w:ascii="Calibri"/>
      <w:kern w:val="2"/>
      <w:sz w:val="44"/>
      <w:szCs w:val="24"/>
    </w:rPr>
  </w:style>
  <w:style w:type="paragraph" w:styleId="32">
    <w:name w:val="Normal (Web)"/>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33">
    <w:name w:val="Title"/>
    <w:basedOn w:val="1"/>
    <w:next w:val="1"/>
    <w:link w:val="58"/>
    <w:qFormat/>
    <w:uiPriority w:val="99"/>
    <w:pPr>
      <w:widowControl/>
      <w:spacing w:before="60" w:after="60"/>
      <w:jc w:val="center"/>
      <w:outlineLvl w:val="0"/>
    </w:pPr>
    <w:rPr>
      <w:rFonts w:ascii="Cambria" w:hAnsi="Cambria" w:cs="Cambria"/>
      <w:b/>
      <w:bCs/>
      <w:kern w:val="0"/>
      <w:sz w:val="32"/>
      <w:szCs w:val="32"/>
    </w:rPr>
  </w:style>
  <w:style w:type="paragraph" w:styleId="34">
    <w:name w:val="annotation subject"/>
    <w:basedOn w:val="12"/>
    <w:next w:val="12"/>
    <w:link w:val="59"/>
    <w:unhideWhenUsed/>
    <w:qFormat/>
    <w:uiPriority w:val="99"/>
    <w:rPr>
      <w:b/>
      <w:bCs/>
    </w:rPr>
  </w:style>
  <w:style w:type="paragraph" w:styleId="35">
    <w:name w:val="Body Text First Indent"/>
    <w:basedOn w:val="14"/>
    <w:link w:val="60"/>
    <w:unhideWhenUsed/>
    <w:qFormat/>
    <w:uiPriority w:val="99"/>
    <w:pPr>
      <w:ind w:firstLine="420" w:firstLineChars="100"/>
    </w:pPr>
  </w:style>
  <w:style w:type="paragraph" w:styleId="36">
    <w:name w:val="Body Text First Indent 2"/>
    <w:basedOn w:val="15"/>
    <w:link w:val="61"/>
    <w:qFormat/>
    <w:uiPriority w:val="0"/>
    <w:pPr>
      <w:spacing w:after="120"/>
      <w:ind w:left="420" w:leftChars="200" w:firstLine="420"/>
    </w:pPr>
    <w:rPr>
      <w:rFonts w:ascii="Calibri"/>
      <w:kern w:val="0"/>
      <w:sz w:val="20"/>
      <w:szCs w:val="24"/>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99"/>
  </w:style>
  <w:style w:type="character" w:styleId="42">
    <w:name w:val="FollowedHyperlink"/>
    <w:unhideWhenUsed/>
    <w:qFormat/>
    <w:uiPriority w:val="99"/>
    <w:rPr>
      <w:color w:val="000000"/>
      <w:u w:val="none"/>
    </w:rPr>
  </w:style>
  <w:style w:type="character" w:styleId="43">
    <w:name w:val="Hyperlink"/>
    <w:qFormat/>
    <w:uiPriority w:val="99"/>
    <w:rPr>
      <w:color w:val="5886E0"/>
      <w:u w:val="none"/>
    </w:rPr>
  </w:style>
  <w:style w:type="character" w:styleId="44">
    <w:name w:val="annotation reference"/>
    <w:unhideWhenUsed/>
    <w:qFormat/>
    <w:uiPriority w:val="99"/>
    <w:rPr>
      <w:sz w:val="21"/>
      <w:szCs w:val="21"/>
    </w:rPr>
  </w:style>
  <w:style w:type="character" w:customStyle="1" w:styleId="45">
    <w:name w:val="标题 1 Char"/>
    <w:link w:val="3"/>
    <w:qFormat/>
    <w:uiPriority w:val="0"/>
    <w:rPr>
      <w:rFonts w:ascii="Times New Roman" w:hAnsi="Times New Roman"/>
      <w:b/>
      <w:kern w:val="44"/>
      <w:sz w:val="44"/>
      <w:szCs w:val="20"/>
    </w:rPr>
  </w:style>
  <w:style w:type="character" w:customStyle="1" w:styleId="46">
    <w:name w:val="标题 2 Char"/>
    <w:link w:val="4"/>
    <w:qFormat/>
    <w:uiPriority w:val="9"/>
    <w:rPr>
      <w:rFonts w:ascii="宋体" w:hAnsi="Cambria"/>
      <w:b/>
      <w:bCs/>
      <w:sz w:val="24"/>
      <w:szCs w:val="32"/>
    </w:rPr>
  </w:style>
  <w:style w:type="character" w:customStyle="1" w:styleId="47">
    <w:name w:val="标题 3 Char"/>
    <w:link w:val="5"/>
    <w:qFormat/>
    <w:uiPriority w:val="0"/>
    <w:rPr>
      <w:rFonts w:ascii="宋体" w:hAnsi="Calibri"/>
      <w:b/>
      <w:bCs/>
      <w:sz w:val="24"/>
      <w:szCs w:val="32"/>
    </w:rPr>
  </w:style>
  <w:style w:type="character" w:customStyle="1" w:styleId="48">
    <w:name w:val="标题 6 Char"/>
    <w:link w:val="7"/>
    <w:semiHidden/>
    <w:qFormat/>
    <w:uiPriority w:val="9"/>
    <w:rPr>
      <w:rFonts w:ascii="Cambria" w:hAnsi="Cambria" w:eastAsia="宋体" w:cs="Times New Roman"/>
      <w:b/>
      <w:bCs/>
      <w:sz w:val="24"/>
      <w:szCs w:val="24"/>
    </w:rPr>
  </w:style>
  <w:style w:type="character" w:customStyle="1" w:styleId="49">
    <w:name w:val="标题 7 Char"/>
    <w:link w:val="8"/>
    <w:qFormat/>
    <w:uiPriority w:val="0"/>
    <w:rPr>
      <w:rFonts w:ascii="宋体"/>
      <w:b/>
      <w:bCs/>
      <w:sz w:val="24"/>
      <w:szCs w:val="24"/>
    </w:rPr>
  </w:style>
  <w:style w:type="character" w:customStyle="1" w:styleId="50">
    <w:name w:val="文档结构图 Char"/>
    <w:link w:val="11"/>
    <w:semiHidden/>
    <w:qFormat/>
    <w:uiPriority w:val="99"/>
    <w:rPr>
      <w:rFonts w:ascii="宋体"/>
      <w:sz w:val="18"/>
      <w:szCs w:val="18"/>
    </w:rPr>
  </w:style>
  <w:style w:type="character" w:customStyle="1" w:styleId="51">
    <w:name w:val="批注文字 Char"/>
    <w:link w:val="12"/>
    <w:qFormat/>
    <w:uiPriority w:val="99"/>
  </w:style>
  <w:style w:type="character" w:customStyle="1" w:styleId="52">
    <w:name w:val="正文文本 Char"/>
    <w:link w:val="14"/>
    <w:semiHidden/>
    <w:qFormat/>
    <w:uiPriority w:val="99"/>
  </w:style>
  <w:style w:type="character" w:customStyle="1" w:styleId="53">
    <w:name w:val="纯文本 Char"/>
    <w:link w:val="19"/>
    <w:qFormat/>
    <w:uiPriority w:val="99"/>
    <w:rPr>
      <w:rFonts w:ascii="宋体" w:hAnsi="Courier New" w:eastAsia="楷体_GB2312"/>
    </w:rPr>
  </w:style>
  <w:style w:type="character" w:customStyle="1" w:styleId="54">
    <w:name w:val="正文文本缩进 2 Char"/>
    <w:link w:val="21"/>
    <w:semiHidden/>
    <w:qFormat/>
    <w:uiPriority w:val="99"/>
  </w:style>
  <w:style w:type="character" w:customStyle="1" w:styleId="55">
    <w:name w:val="批注框文本 Char"/>
    <w:link w:val="22"/>
    <w:semiHidden/>
    <w:qFormat/>
    <w:uiPriority w:val="99"/>
    <w:rPr>
      <w:sz w:val="18"/>
      <w:szCs w:val="18"/>
    </w:rPr>
  </w:style>
  <w:style w:type="character" w:customStyle="1" w:styleId="56">
    <w:name w:val="页脚 Char"/>
    <w:link w:val="23"/>
    <w:qFormat/>
    <w:uiPriority w:val="99"/>
    <w:rPr>
      <w:sz w:val="18"/>
    </w:rPr>
  </w:style>
  <w:style w:type="character" w:customStyle="1" w:styleId="57">
    <w:name w:val="副标题 Char"/>
    <w:link w:val="27"/>
    <w:qFormat/>
    <w:locked/>
    <w:uiPriority w:val="99"/>
    <w:rPr>
      <w:rFonts w:ascii="Calibri Light" w:hAnsi="Calibri Light" w:cs="Calibri Light"/>
      <w:b/>
      <w:bCs/>
      <w:kern w:val="28"/>
      <w:sz w:val="32"/>
      <w:szCs w:val="32"/>
    </w:rPr>
  </w:style>
  <w:style w:type="character" w:customStyle="1" w:styleId="58">
    <w:name w:val="标题 Char"/>
    <w:link w:val="33"/>
    <w:qFormat/>
    <w:locked/>
    <w:uiPriority w:val="99"/>
    <w:rPr>
      <w:rFonts w:ascii="Cambria" w:hAnsi="Cambria" w:cs="Cambria"/>
      <w:b/>
      <w:bCs/>
      <w:kern w:val="0"/>
      <w:sz w:val="32"/>
      <w:szCs w:val="32"/>
    </w:rPr>
  </w:style>
  <w:style w:type="character" w:customStyle="1" w:styleId="59">
    <w:name w:val="批注主题 Char"/>
    <w:link w:val="34"/>
    <w:qFormat/>
    <w:uiPriority w:val="0"/>
  </w:style>
  <w:style w:type="character" w:customStyle="1" w:styleId="60">
    <w:name w:val="正文首行缩进 Char"/>
    <w:link w:val="35"/>
    <w:semiHidden/>
    <w:qFormat/>
    <w:uiPriority w:val="99"/>
  </w:style>
  <w:style w:type="character" w:customStyle="1" w:styleId="61">
    <w:name w:val="正文首行缩进 2 Char"/>
    <w:link w:val="36"/>
    <w:qFormat/>
    <w:uiPriority w:val="0"/>
    <w:rPr>
      <w:rFonts w:ascii="Calibri"/>
      <w:szCs w:val="24"/>
    </w:rPr>
  </w:style>
  <w:style w:type="character" w:customStyle="1" w:styleId="62">
    <w:name w:val="15"/>
    <w:qFormat/>
    <w:uiPriority w:val="99"/>
    <w:rPr>
      <w:rFonts w:ascii="Times New Roman" w:hAnsi="Times New Roman" w:cs="Times New Roman"/>
      <w:color w:val="auto"/>
      <w:u w:val="none"/>
    </w:rPr>
  </w:style>
  <w:style w:type="character" w:customStyle="1" w:styleId="63">
    <w:name w:val="hover42"/>
    <w:qFormat/>
    <w:uiPriority w:val="0"/>
  </w:style>
  <w:style w:type="character" w:customStyle="1" w:styleId="64">
    <w:name w:val="hover40"/>
    <w:qFormat/>
    <w:uiPriority w:val="0"/>
  </w:style>
  <w:style w:type="character" w:customStyle="1" w:styleId="65">
    <w:name w:val="times"/>
    <w:qFormat/>
    <w:uiPriority w:val="0"/>
    <w:rPr>
      <w:color w:val="CDCDCD"/>
      <w:bdr w:val="single" w:color="CDCDCD" w:sz="6" w:space="0"/>
      <w:shd w:val="clear" w:color="auto" w:fill="EFEFEF"/>
    </w:rPr>
  </w:style>
  <w:style w:type="character" w:customStyle="1" w:styleId="66">
    <w:name w:val="times1"/>
    <w:qFormat/>
    <w:uiPriority w:val="0"/>
    <w:rPr>
      <w:color w:val="3399FF"/>
      <w:bdr w:val="single" w:color="D1EDF8" w:sz="6" w:space="0"/>
      <w:shd w:val="clear" w:color="auto" w:fill="EAF9FF"/>
    </w:rPr>
  </w:style>
  <w:style w:type="character" w:customStyle="1" w:styleId="67">
    <w:name w:val="纯文本 字符"/>
    <w:qFormat/>
    <w:uiPriority w:val="99"/>
    <w:rPr>
      <w:rFonts w:ascii="宋体" w:hAnsi="Courier New" w:eastAsia="楷体_GB2312"/>
    </w:rPr>
  </w:style>
  <w:style w:type="paragraph" w:customStyle="1" w:styleId="68">
    <w:name w:val="图"/>
    <w:basedOn w:val="1"/>
    <w:qFormat/>
    <w:uiPriority w:val="99"/>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69">
    <w:name w:val="樣式1"/>
    <w:basedOn w:val="1"/>
    <w:qFormat/>
    <w:uiPriority w:val="0"/>
    <w:pPr>
      <w:snapToGrid w:val="0"/>
      <w:spacing w:line="360" w:lineRule="atLeast"/>
    </w:pPr>
    <w:rPr>
      <w:rFonts w:eastAsia="華康簡楷"/>
      <w:sz w:val="26"/>
      <w:szCs w:val="20"/>
      <w:lang w:eastAsia="zh-TW"/>
    </w:rPr>
  </w:style>
  <w:style w:type="paragraph" w:customStyle="1" w:styleId="70">
    <w:name w:val="正文首行缩进 21"/>
    <w:basedOn w:val="71"/>
    <w:qFormat/>
    <w:uiPriority w:val="0"/>
    <w:pPr>
      <w:spacing w:line="500" w:lineRule="exact"/>
      <w:ind w:firstLine="420" w:firstLineChars="200"/>
    </w:pPr>
    <w:rPr>
      <w:szCs w:val="22"/>
    </w:rPr>
  </w:style>
  <w:style w:type="paragraph" w:customStyle="1" w:styleId="71">
    <w:name w:val="正文文本缩进1"/>
    <w:basedOn w:val="1"/>
    <w:qFormat/>
    <w:uiPriority w:val="0"/>
    <w:pPr>
      <w:spacing w:line="500" w:lineRule="exact"/>
      <w:ind w:firstLine="880" w:firstLineChars="200"/>
    </w:pPr>
    <w:rPr>
      <w:rFonts w:ascii="Times New Roman" w:hAnsi="Times New Roman" w:eastAsia="宋体" w:cs="Times New Roman"/>
    </w:rPr>
  </w:style>
  <w:style w:type="paragraph" w:customStyle="1" w:styleId="72">
    <w:name w:val="正文文本 New"/>
    <w:basedOn w:val="1"/>
    <w:qFormat/>
    <w:uiPriority w:val="0"/>
    <w:pPr>
      <w:jc w:val="center"/>
    </w:pPr>
    <w:rPr>
      <w:rFonts w:ascii="Times New Roman" w:hAnsi="Times New Roman"/>
      <w:b/>
      <w:bCs/>
      <w:sz w:val="36"/>
      <w:szCs w:val="20"/>
    </w:rPr>
  </w:style>
  <w:style w:type="paragraph" w:customStyle="1" w:styleId="73">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7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_Style 3"/>
    <w:basedOn w:val="1"/>
    <w:unhideWhenUsed/>
    <w:qFormat/>
    <w:uiPriority w:val="0"/>
    <w:pPr>
      <w:widowControl w:val="0"/>
      <w:spacing w:line="240" w:lineRule="auto"/>
      <w:ind w:firstLine="420"/>
    </w:pPr>
    <w:rPr>
      <w:rFonts w:ascii="Times New Roman"/>
      <w:kern w:val="2"/>
      <w:sz w:val="20"/>
      <w:szCs w:val="22"/>
    </w:rPr>
  </w:style>
  <w:style w:type="paragraph" w:customStyle="1" w:styleId="76">
    <w:name w:val="_Style 75"/>
    <w:basedOn w:val="3"/>
    <w:next w:val="1"/>
    <w:qFormat/>
    <w:uiPriority w:val="39"/>
    <w:pPr>
      <w:spacing w:before="480" w:after="0" w:line="276" w:lineRule="auto"/>
      <w:outlineLvl w:val="9"/>
    </w:pPr>
    <w:rPr>
      <w:rFonts w:ascii="Cambria" w:hAnsi="Cambria" w:eastAsia="宋体" w:cs="Times New Roman"/>
      <w:bCs/>
      <w:color w:val="365F91"/>
      <w:kern w:val="0"/>
      <w:sz w:val="28"/>
      <w:szCs w:val="28"/>
    </w:rPr>
  </w:style>
  <w:style w:type="paragraph" w:customStyle="1" w:styleId="77">
    <w:name w:val="_Style 4"/>
    <w:basedOn w:val="3"/>
    <w:next w:val="1"/>
    <w:qFormat/>
    <w:uiPriority w:val="99"/>
    <w:pPr>
      <w:widowControl w:val="0"/>
      <w:numPr>
        <w:ilvl w:val="0"/>
        <w:numId w:val="0"/>
      </w:numPr>
      <w:spacing w:line="576" w:lineRule="auto"/>
      <w:jc w:val="both"/>
      <w:outlineLvl w:val="9"/>
    </w:pPr>
    <w:rPr>
      <w:rFonts w:ascii="Calibri" w:hAnsi="Calibri" w:cs="Calibri"/>
      <w:bCs/>
      <w:kern w:val="44"/>
      <w:sz w:val="44"/>
      <w:szCs w:val="44"/>
    </w:rPr>
  </w:style>
  <w:style w:type="paragraph" w:customStyle="1" w:styleId="78">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79">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公文正文"/>
    <w:qFormat/>
    <w:uiPriority w:val="0"/>
    <w:pPr>
      <w:widowControl w:val="0"/>
      <w:spacing w:line="360" w:lineRule="auto"/>
      <w:ind w:firstLine="629" w:firstLineChars="200"/>
      <w:jc w:val="both"/>
    </w:pPr>
    <w:rPr>
      <w:rFonts w:ascii="仿宋_GB2312" w:hAnsi="Calisto MT" w:eastAsia="仿宋_GB2312" w:cs="Times New Roman"/>
      <w:color w:val="000000"/>
      <w:sz w:val="32"/>
      <w:lang w:val="en-US" w:eastAsia="zh-CN" w:bidi="ar-SA"/>
    </w:rPr>
  </w:style>
  <w:style w:type="paragraph" w:customStyle="1" w:styleId="81">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8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3">
    <w:name w:val="List Paragraph"/>
    <w:basedOn w:val="1"/>
    <w:qFormat/>
    <w:uiPriority w:val="34"/>
    <w:pPr>
      <w:ind w:firstLine="420" w:firstLineChars="200"/>
    </w:pPr>
  </w:style>
  <w:style w:type="paragraph" w:customStyle="1" w:styleId="84">
    <w:name w:val="正文缩进 New"/>
    <w:basedOn w:val="73"/>
    <w:qFormat/>
    <w:uiPriority w:val="0"/>
    <w:pPr>
      <w:ind w:firstLine="420"/>
    </w:pPr>
    <w:rPr>
      <w:rFonts w:ascii="Times New Roman" w:hAnsi="Times New Roman" w:cs="Times New Roman"/>
      <w:snapToGrid/>
      <w:kern w:val="2"/>
      <w:szCs w:val="20"/>
    </w:rPr>
  </w:style>
  <w:style w:type="paragraph" w:customStyle="1" w:styleId="85">
    <w:name w:val="表格文字1"/>
    <w:basedOn w:val="1"/>
    <w:qFormat/>
    <w:uiPriority w:val="0"/>
    <w:pPr>
      <w:widowControl w:val="0"/>
      <w:adjustRightInd w:val="0"/>
      <w:snapToGrid w:val="0"/>
      <w:jc w:val="both"/>
    </w:pPr>
    <w:rPr>
      <w:rFonts w:ascii="宋体" w:hAnsi="Calibri" w:eastAsia="仿宋_GB2312"/>
      <w:sz w:val="34"/>
    </w:rPr>
  </w:style>
  <w:style w:type="paragraph" w:customStyle="1" w:styleId="86">
    <w:name w:val="_Style 85"/>
    <w:unhideWhenUsed/>
    <w:qFormat/>
    <w:uiPriority w:val="99"/>
    <w:pPr>
      <w:spacing w:line="360" w:lineRule="auto"/>
      <w:ind w:firstLine="200" w:firstLineChars="200"/>
      <w:jc w:val="both"/>
    </w:pPr>
    <w:rPr>
      <w:rFonts w:ascii="Times New Roman" w:hAnsi="Times New Roman" w:eastAsia="宋体" w:cs="Times New Roman"/>
      <w:lang w:val="en-US" w:eastAsia="zh-CN" w:bidi="ar-SA"/>
    </w:rPr>
  </w:style>
  <w:style w:type="paragraph" w:customStyle="1" w:styleId="87">
    <w:name w:val="p0"/>
    <w:basedOn w:val="1"/>
    <w:qFormat/>
    <w:uiPriority w:val="99"/>
    <w:pPr>
      <w:widowControl/>
    </w:pPr>
    <w:rPr>
      <w:rFonts w:ascii="Times New Roman" w:hAnsi="Times New Roman" w:cs="Times New Roman"/>
      <w:kern w:val="0"/>
    </w:rPr>
  </w:style>
  <w:style w:type="paragraph" w:customStyle="1" w:styleId="88">
    <w:name w:val="Table Paragraph"/>
    <w:basedOn w:val="1"/>
    <w:qFormat/>
    <w:uiPriority w:val="99"/>
    <w:pPr>
      <w:widowControl w:val="0"/>
    </w:pPr>
    <w:rPr>
      <w:rFonts w:ascii="宋体" w:hAnsi="宋体" w:cs="宋体"/>
      <w:sz w:val="22"/>
      <w:szCs w:val="22"/>
      <w:lang w:eastAsia="en-US"/>
    </w:rPr>
  </w:style>
  <w:style w:type="paragraph" w:customStyle="1" w:styleId="8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文本 New New New"/>
    <w:basedOn w:val="1"/>
    <w:qFormat/>
    <w:uiPriority w:val="0"/>
    <w:pPr>
      <w:jc w:val="center"/>
    </w:pPr>
    <w:rPr>
      <w:rFonts w:ascii="Times New Roman" w:hAnsi="Times New Roman"/>
      <w:b/>
      <w:bCs/>
      <w:sz w:val="36"/>
      <w:szCs w:val="20"/>
    </w:rPr>
  </w:style>
  <w:style w:type="paragraph" w:customStyle="1" w:styleId="91">
    <w:name w:val="Normal Indent_0"/>
    <w:basedOn w:val="1"/>
    <w:qFormat/>
    <w:uiPriority w:val="0"/>
    <w:pPr>
      <w:ind w:firstLine="420"/>
    </w:pPr>
  </w:style>
  <w:style w:type="paragraph" w:customStyle="1" w:styleId="92">
    <w:name w:val="表格文字中"/>
    <w:basedOn w:val="1"/>
    <w:qFormat/>
    <w:uiPriority w:val="0"/>
    <w:pPr>
      <w:widowControl w:val="0"/>
      <w:adjustRightInd w:val="0"/>
      <w:snapToGrid w:val="0"/>
      <w:ind w:left="22" w:leftChars="8"/>
      <w:jc w:val="center"/>
    </w:pPr>
    <w:rPr>
      <w:rFonts w:ascii="宋体" w:hAnsi="Calibri"/>
      <w:sz w:val="34"/>
    </w:rPr>
  </w:style>
  <w:style w:type="paragraph" w:customStyle="1" w:styleId="93">
    <w:name w:val="BodyText"/>
    <w:basedOn w:val="1"/>
    <w:qFormat/>
    <w:uiPriority w:val="0"/>
    <w:pPr>
      <w:spacing w:after="120"/>
    </w:pPr>
    <w:rPr>
      <w:rFonts w:ascii="Times New Roman" w:hAnsi="Times New Roman"/>
      <w:sz w:val="20"/>
      <w:szCs w:val="20"/>
    </w:rPr>
  </w:style>
  <w:style w:type="paragraph" w:customStyle="1" w:styleId="94">
    <w:name w:val="表注1"/>
    <w:basedOn w:val="1"/>
    <w:qFormat/>
    <w:uiPriority w:val="0"/>
    <w:pPr>
      <w:widowControl w:val="0"/>
      <w:adjustRightInd w:val="0"/>
      <w:snapToGrid w:val="0"/>
      <w:spacing w:line="300" w:lineRule="auto"/>
      <w:ind w:left="350" w:hanging="350" w:hangingChars="350"/>
      <w:jc w:val="both"/>
    </w:pPr>
    <w:rPr>
      <w:rFonts w:ascii="宋体" w:hAnsi="Calibri" w:eastAsia="仿宋_GB2312"/>
      <w:bCs/>
      <w:color w:val="000000"/>
      <w:sz w:val="34"/>
    </w:rPr>
  </w:style>
  <w:style w:type="character" w:customStyle="1" w:styleId="95">
    <w:name w:val="UserStyle_12"/>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16177</Words>
  <Characters>17214</Characters>
  <Lines>378</Lines>
  <Paragraphs>106</Paragraphs>
  <TotalTime>120</TotalTime>
  <ScaleCrop>false</ScaleCrop>
  <LinksUpToDate>false</LinksUpToDate>
  <CharactersWithSpaces>17730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2022-05-14T16:30:00Z</dcterms:created>
  <dc:creator>SDFG</dc:creator>
  <cp:lastModifiedBy>易</cp:lastModifiedBy>
  <cp:lastPrinted>2025-08-20T15:20:00Z</cp:lastPrinted>
  <dcterms:modified xsi:type="dcterms:W3CDTF">2025-08-21T02:29:12Z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E4633AB9404EC1BAEAA0A568F7275D05_43</vt:lpwstr>
  </property>
  <property fmtid="{D5CDD505-2E9C-101B-9397-08002B2CF9AE}" pid="3" name="KSOProductBuildVer">
    <vt:lpwstr>2052-12.1.0.21915</vt:lpwstr>
  </property>
  <property fmtid="{D5CDD505-2E9C-101B-9397-08002B2CF9AE}" pid="4" name="KSOTemplateDocerSaveRecord">
    <vt:lpwstr>eyJoZGlkIjoiYmU5OTNmZjU0ZmUxNWQ3MjQwOGYxZDUzOTc5NDgyMjEiLCJ1c2VySWQiOiIyMDEzODcxNjEifQ==</vt:lpwstr>
  </property>
</Properties>
</file>