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09D5D">
      <w:pPr>
        <w:jc w:val="left"/>
      </w:pPr>
    </w:p>
    <w:p w14:paraId="75D84AD8">
      <w:pPr>
        <w:autoSpaceDE w:val="0"/>
        <w:autoSpaceDN w:val="0"/>
        <w:adjustRightInd w:val="0"/>
        <w:spacing w:line="360" w:lineRule="auto"/>
        <w:jc w:val="center"/>
        <w:rPr>
          <w:b/>
          <w:sz w:val="44"/>
          <w:szCs w:val="44"/>
        </w:rPr>
      </w:pPr>
      <w:r>
        <w:rPr>
          <w:rFonts w:hint="eastAsia"/>
          <w:b/>
          <w:sz w:val="44"/>
          <w:szCs w:val="44"/>
        </w:rPr>
        <w:t>金融城东区车陂村集体物业复建项目</w:t>
      </w:r>
    </w:p>
    <w:p w14:paraId="2C905200">
      <w:pPr>
        <w:autoSpaceDE w:val="0"/>
        <w:autoSpaceDN w:val="0"/>
        <w:adjustRightInd w:val="0"/>
        <w:spacing w:line="360" w:lineRule="auto"/>
        <w:jc w:val="center"/>
        <w:rPr>
          <w:b/>
          <w:sz w:val="44"/>
          <w:szCs w:val="44"/>
        </w:rPr>
      </w:pPr>
      <w:r>
        <w:rPr>
          <w:rFonts w:hint="eastAsia"/>
          <w:b/>
          <w:sz w:val="44"/>
          <w:szCs w:val="44"/>
        </w:rPr>
        <w:t>施工总承包</w:t>
      </w:r>
    </w:p>
    <w:p w14:paraId="4EC91D71">
      <w:pPr>
        <w:autoSpaceDE w:val="0"/>
        <w:autoSpaceDN w:val="0"/>
        <w:adjustRightInd w:val="0"/>
        <w:spacing w:line="360" w:lineRule="auto"/>
        <w:jc w:val="center"/>
        <w:rPr>
          <w:b/>
          <w:sz w:val="44"/>
          <w:szCs w:val="44"/>
        </w:rPr>
      </w:pPr>
    </w:p>
    <w:p w14:paraId="59E59839">
      <w:pPr>
        <w:spacing w:line="360" w:lineRule="auto"/>
      </w:pPr>
    </w:p>
    <w:p w14:paraId="2CAEA8C3">
      <w:pPr>
        <w:spacing w:line="360" w:lineRule="auto"/>
        <w:jc w:val="right"/>
      </w:pPr>
    </w:p>
    <w:p w14:paraId="1AB2EC2E">
      <w:pPr>
        <w:pStyle w:val="2"/>
        <w:spacing w:line="360" w:lineRule="auto"/>
      </w:pPr>
    </w:p>
    <w:p w14:paraId="29F4E9D5">
      <w:pPr>
        <w:spacing w:line="360" w:lineRule="auto"/>
        <w:rPr>
          <w:sz w:val="28"/>
        </w:rPr>
      </w:pPr>
    </w:p>
    <w:p w14:paraId="1FB00DF2">
      <w:pPr>
        <w:spacing w:line="360" w:lineRule="auto"/>
        <w:jc w:val="center"/>
        <w:rPr>
          <w:rFonts w:eastAsia="黑体"/>
          <w:sz w:val="84"/>
          <w:szCs w:val="84"/>
        </w:rPr>
      </w:pPr>
      <w:r>
        <w:rPr>
          <w:rFonts w:eastAsia="黑体"/>
          <w:sz w:val="84"/>
          <w:szCs w:val="84"/>
        </w:rPr>
        <w:t>招</w:t>
      </w:r>
      <w:r>
        <w:rPr>
          <w:rFonts w:hint="eastAsia" w:eastAsia="黑体"/>
          <w:sz w:val="84"/>
          <w:szCs w:val="84"/>
        </w:rPr>
        <w:t xml:space="preserve"> </w:t>
      </w:r>
      <w:r>
        <w:rPr>
          <w:rFonts w:eastAsia="黑体"/>
          <w:sz w:val="84"/>
          <w:szCs w:val="84"/>
        </w:rPr>
        <w:t>标</w:t>
      </w:r>
      <w:r>
        <w:rPr>
          <w:rFonts w:hint="eastAsia" w:eastAsia="黑体"/>
          <w:sz w:val="84"/>
          <w:szCs w:val="84"/>
        </w:rPr>
        <w:t xml:space="preserve"> 公 告</w:t>
      </w:r>
    </w:p>
    <w:p w14:paraId="542FCF8C">
      <w:pPr>
        <w:spacing w:line="360" w:lineRule="auto"/>
      </w:pPr>
    </w:p>
    <w:p w14:paraId="0A94E379">
      <w:pPr>
        <w:spacing w:line="360" w:lineRule="auto"/>
      </w:pPr>
    </w:p>
    <w:p w14:paraId="316EE664">
      <w:pPr>
        <w:spacing w:line="360" w:lineRule="auto"/>
      </w:pPr>
    </w:p>
    <w:p w14:paraId="14AFA3D6">
      <w:pPr>
        <w:spacing w:line="360" w:lineRule="auto"/>
      </w:pPr>
    </w:p>
    <w:p w14:paraId="6863BB5C">
      <w:pPr>
        <w:spacing w:line="360" w:lineRule="auto"/>
      </w:pPr>
    </w:p>
    <w:p w14:paraId="2EA91C0C">
      <w:pPr>
        <w:spacing w:line="360" w:lineRule="auto"/>
      </w:pPr>
    </w:p>
    <w:p w14:paraId="34441A11">
      <w:pPr>
        <w:spacing w:line="360" w:lineRule="auto"/>
      </w:pPr>
    </w:p>
    <w:p w14:paraId="2D42F908">
      <w:pPr>
        <w:spacing w:line="360" w:lineRule="auto"/>
        <w:ind w:firstLine="1057" w:firstLineChars="329"/>
        <w:rPr>
          <w:rFonts w:ascii="宋体" w:hAnsi="宋体"/>
          <w:b/>
          <w:sz w:val="32"/>
          <w:szCs w:val="32"/>
        </w:rPr>
      </w:pPr>
      <w:r>
        <w:rPr>
          <w:rFonts w:hint="eastAsia" w:ascii="宋体" w:hAnsi="宋体"/>
          <w:b/>
          <w:sz w:val="32"/>
          <w:szCs w:val="32"/>
        </w:rPr>
        <w:t>招 标  单 位：广州市天河区车陂街车陂股份合作经济联社</w:t>
      </w:r>
    </w:p>
    <w:p w14:paraId="3BBF9E50">
      <w:pPr>
        <w:spacing w:line="360" w:lineRule="auto"/>
        <w:ind w:firstLine="1057" w:firstLineChars="329"/>
        <w:rPr>
          <w:rFonts w:ascii="宋体" w:hAnsi="宋体"/>
          <w:b/>
          <w:sz w:val="32"/>
          <w:szCs w:val="32"/>
        </w:rPr>
      </w:pPr>
      <w:r>
        <w:rPr>
          <w:rFonts w:hint="eastAsia" w:ascii="宋体" w:hAnsi="宋体"/>
          <w:b/>
          <w:sz w:val="32"/>
          <w:szCs w:val="32"/>
        </w:rPr>
        <w:t>招标代理单位：广东省建筑工程监理有限公司</w:t>
      </w:r>
    </w:p>
    <w:p w14:paraId="6C410B85">
      <w:pPr>
        <w:spacing w:line="360" w:lineRule="auto"/>
        <w:ind w:firstLine="1057" w:firstLineChars="329"/>
        <w:rPr>
          <w:rFonts w:ascii="宋体" w:hAnsi="宋体"/>
          <w:b/>
          <w:sz w:val="32"/>
          <w:szCs w:val="32"/>
        </w:rPr>
      </w:pPr>
      <w:r>
        <w:rPr>
          <w:rFonts w:hint="eastAsia" w:ascii="宋体" w:hAnsi="宋体"/>
          <w:b/>
          <w:sz w:val="32"/>
          <w:szCs w:val="32"/>
        </w:rPr>
        <w:t>日        期：2025年</w:t>
      </w:r>
      <w:r>
        <w:rPr>
          <w:rFonts w:hint="eastAsia" w:ascii="宋体" w:hAnsi="宋体"/>
          <w:b/>
          <w:sz w:val="32"/>
          <w:szCs w:val="32"/>
          <w:lang w:val="en-US" w:eastAsia="zh-CN"/>
        </w:rPr>
        <w:t>8</w:t>
      </w:r>
      <w:bookmarkStart w:id="1" w:name="_GoBack"/>
      <w:bookmarkEnd w:id="1"/>
      <w:r>
        <w:rPr>
          <w:rFonts w:hint="eastAsia" w:ascii="宋体" w:hAnsi="宋体"/>
          <w:b/>
          <w:sz w:val="32"/>
          <w:szCs w:val="32"/>
        </w:rPr>
        <w:t>月</w:t>
      </w:r>
    </w:p>
    <w:p w14:paraId="3094180F">
      <w:pPr>
        <w:pStyle w:val="12"/>
        <w:spacing w:line="360" w:lineRule="auto"/>
        <w:jc w:val="center"/>
        <w:rPr>
          <w:b/>
          <w:bCs/>
          <w:sz w:val="36"/>
          <w:szCs w:val="36"/>
        </w:rPr>
      </w:pPr>
      <w:r>
        <w:rPr>
          <w:rFonts w:hint="eastAsia"/>
          <w:b/>
          <w:sz w:val="32"/>
          <w:szCs w:val="32"/>
        </w:rPr>
        <w:br w:type="page"/>
      </w:r>
      <w:r>
        <w:rPr>
          <w:rFonts w:hint="eastAsia"/>
          <w:b/>
          <w:bCs/>
          <w:sz w:val="36"/>
          <w:szCs w:val="36"/>
        </w:rPr>
        <w:t>金融城东区车陂村集体物业复建项目施工总承包</w:t>
      </w:r>
    </w:p>
    <w:p w14:paraId="2B118978">
      <w:pPr>
        <w:pStyle w:val="12"/>
        <w:spacing w:line="360" w:lineRule="auto"/>
        <w:jc w:val="center"/>
        <w:rPr>
          <w:b/>
          <w:bCs/>
          <w:sz w:val="36"/>
          <w:szCs w:val="36"/>
        </w:rPr>
      </w:pPr>
      <w:r>
        <w:rPr>
          <w:rFonts w:hint="eastAsia"/>
          <w:b/>
          <w:bCs/>
          <w:sz w:val="36"/>
          <w:szCs w:val="36"/>
          <w:u w:val="none"/>
        </w:rPr>
        <w:t>招标公告</w:t>
      </w:r>
    </w:p>
    <w:p w14:paraId="00A117C9">
      <w:pPr>
        <w:spacing w:line="360" w:lineRule="auto"/>
        <w:ind w:left="120" w:leftChars="57" w:firstLine="417" w:firstLineChars="174"/>
        <w:rPr>
          <w:rFonts w:ascii="宋体" w:hAnsi="宋体" w:cs="宋体"/>
          <w:bCs/>
          <w:sz w:val="24"/>
          <w:szCs w:val="24"/>
          <w:u w:val="single"/>
        </w:rPr>
      </w:pPr>
      <w:r>
        <w:rPr>
          <w:sz w:val="24"/>
        </w:rPr>
        <w:t xml:space="preserve">  </w:t>
      </w:r>
      <w:r>
        <w:rPr>
          <w:rFonts w:hint="eastAsia" w:ascii="宋体" w:hAnsi="宋体"/>
          <w:sz w:val="24"/>
        </w:rPr>
        <w:t>根据</w:t>
      </w:r>
      <w:r>
        <w:rPr>
          <w:rFonts w:hint="eastAsia" w:ascii="宋体" w:hAnsi="宋体"/>
          <w:sz w:val="24"/>
          <w:u w:val="single"/>
        </w:rPr>
        <w:t>广东省企业投资项目备案证（2112-440106-04-01-707742）</w:t>
      </w:r>
      <w:r>
        <w:rPr>
          <w:rFonts w:hint="eastAsia" w:ascii="宋体" w:hAnsi="宋体"/>
          <w:sz w:val="24"/>
        </w:rPr>
        <w:t>批准，并且技术资料满足施工需要，</w:t>
      </w:r>
      <w:r>
        <w:rPr>
          <w:rFonts w:hint="eastAsia" w:ascii="宋体" w:hAnsi="宋体" w:cs="宋体"/>
          <w:sz w:val="24"/>
          <w:szCs w:val="24"/>
          <w:u w:val="single"/>
        </w:rPr>
        <w:t>广州市天河区车陂街车陂股份合作经济联社</w:t>
      </w:r>
      <w:r>
        <w:rPr>
          <w:rFonts w:hint="eastAsia" w:ascii="宋体" w:hAnsi="宋体"/>
          <w:sz w:val="24"/>
        </w:rPr>
        <w:t>现对</w:t>
      </w:r>
      <w:r>
        <w:rPr>
          <w:rFonts w:hint="eastAsia" w:ascii="宋体" w:hAnsi="宋体" w:cs="宋体"/>
          <w:bCs/>
          <w:sz w:val="24"/>
          <w:szCs w:val="24"/>
          <w:u w:val="single"/>
        </w:rPr>
        <w:t xml:space="preserve">金融城东区车陂村集体物业复建项目施工总承包 </w:t>
      </w:r>
      <w:r>
        <w:rPr>
          <w:rFonts w:hint="eastAsia" w:ascii="宋体" w:hAnsi="宋体"/>
          <w:sz w:val="24"/>
        </w:rPr>
        <w:t>进行公开招标，选定承包人。</w:t>
      </w:r>
    </w:p>
    <w:p w14:paraId="454D8617">
      <w:pPr>
        <w:tabs>
          <w:tab w:val="center" w:pos="4415"/>
        </w:tabs>
        <w:spacing w:line="360" w:lineRule="auto"/>
        <w:ind w:left="2218" w:leftChars="256" w:hanging="1680" w:hangingChars="700"/>
        <w:rPr>
          <w:rFonts w:ascii="宋体" w:hAnsi="宋体" w:cs="宋体"/>
          <w:bCs/>
          <w:sz w:val="24"/>
          <w:szCs w:val="24"/>
          <w:u w:val="single"/>
        </w:rPr>
      </w:pPr>
      <w:r>
        <w:rPr>
          <w:rFonts w:hint="eastAsia" w:ascii="宋体" w:hAnsi="宋体"/>
          <w:sz w:val="24"/>
        </w:rPr>
        <w:t>一、工程名称：</w:t>
      </w:r>
      <w:r>
        <w:rPr>
          <w:rFonts w:hint="eastAsia" w:ascii="宋体" w:hAnsi="宋体" w:cs="宋体"/>
          <w:bCs/>
          <w:sz w:val="24"/>
          <w:szCs w:val="24"/>
          <w:u w:val="single"/>
        </w:rPr>
        <w:t>金融城东区车陂村集体物业复建项目施工总承包</w:t>
      </w:r>
    </w:p>
    <w:p w14:paraId="05132E4B">
      <w:pPr>
        <w:tabs>
          <w:tab w:val="center" w:pos="4415"/>
        </w:tabs>
        <w:spacing w:line="360" w:lineRule="auto"/>
        <w:ind w:firstLine="537" w:firstLineChars="224"/>
        <w:rPr>
          <w:rFonts w:ascii="宋体" w:hAnsi="宋体" w:cs="宋体"/>
          <w:sz w:val="24"/>
          <w:szCs w:val="24"/>
        </w:rPr>
      </w:pPr>
      <w:r>
        <w:rPr>
          <w:rFonts w:hint="eastAsia" w:ascii="宋体" w:hAnsi="宋体"/>
          <w:sz w:val="24"/>
        </w:rPr>
        <w:t>二、</w:t>
      </w:r>
      <w:r>
        <w:rPr>
          <w:rFonts w:hint="eastAsia" w:ascii="宋体" w:hAnsi="宋体" w:cs="宋体"/>
          <w:sz w:val="24"/>
          <w:szCs w:val="24"/>
        </w:rPr>
        <w:t>招标单位：广州市天河区车陂街车陂股份合作经济联社</w:t>
      </w:r>
    </w:p>
    <w:p w14:paraId="1CA55760">
      <w:pPr>
        <w:spacing w:line="360" w:lineRule="auto"/>
        <w:ind w:firstLine="960" w:firstLineChars="400"/>
        <w:rPr>
          <w:rFonts w:ascii="宋体" w:hAnsi="宋体"/>
          <w:sz w:val="24"/>
          <w:szCs w:val="24"/>
          <w:u w:val="single"/>
        </w:rPr>
      </w:pPr>
      <w:r>
        <w:rPr>
          <w:rFonts w:hint="eastAsia" w:ascii="宋体" w:hAnsi="宋体" w:cs="宋体"/>
          <w:sz w:val="24"/>
          <w:szCs w:val="24"/>
        </w:rPr>
        <w:t>联系人：</w:t>
      </w:r>
      <w:r>
        <w:rPr>
          <w:rFonts w:hint="eastAsia" w:ascii="宋体" w:hAnsi="宋体"/>
          <w:sz w:val="24"/>
          <w:szCs w:val="24"/>
          <w:u w:val="single"/>
        </w:rPr>
        <w:t>苏先生</w:t>
      </w:r>
      <w:r>
        <w:rPr>
          <w:rFonts w:hint="eastAsia" w:ascii="宋体" w:hAnsi="宋体"/>
          <w:sz w:val="24"/>
          <w:szCs w:val="24"/>
        </w:rPr>
        <w:t xml:space="preserve">   联系电话：</w:t>
      </w:r>
      <w:r>
        <w:rPr>
          <w:rFonts w:hint="eastAsia" w:ascii="宋体" w:hAnsi="宋体"/>
          <w:sz w:val="24"/>
          <w:szCs w:val="24"/>
          <w:u w:val="single"/>
        </w:rPr>
        <w:t>020-82161155</w:t>
      </w:r>
    </w:p>
    <w:p w14:paraId="3A41A04E">
      <w:pPr>
        <w:spacing w:line="360" w:lineRule="auto"/>
        <w:ind w:firstLine="1017" w:firstLineChars="424"/>
        <w:rPr>
          <w:rFonts w:ascii="宋体" w:hAnsi="宋体" w:cs="宋体"/>
          <w:sz w:val="24"/>
          <w:u w:val="single"/>
        </w:rPr>
      </w:pPr>
      <w:r>
        <w:rPr>
          <w:rFonts w:hint="eastAsia" w:ascii="宋体" w:hAnsi="宋体"/>
          <w:sz w:val="24"/>
          <w:szCs w:val="24"/>
        </w:rPr>
        <w:t>联系地址：</w:t>
      </w:r>
      <w:r>
        <w:rPr>
          <w:rFonts w:hint="eastAsia" w:ascii="宋体" w:hAnsi="宋体"/>
          <w:sz w:val="24"/>
          <w:szCs w:val="24"/>
          <w:u w:val="single"/>
        </w:rPr>
        <w:t>广州市天河区车陂美东街28号</w:t>
      </w:r>
      <w:r>
        <w:rPr>
          <w:rFonts w:hint="eastAsia" w:ascii="宋体" w:hAnsi="宋体" w:cs="宋体"/>
          <w:color w:val="000000"/>
          <w:sz w:val="24"/>
          <w:u w:val="single"/>
        </w:rPr>
        <w:t xml:space="preserve"> </w:t>
      </w:r>
    </w:p>
    <w:p w14:paraId="5284702D">
      <w:pPr>
        <w:spacing w:line="360" w:lineRule="auto"/>
        <w:ind w:left="420" w:leftChars="200" w:firstLine="537" w:firstLineChars="224"/>
        <w:rPr>
          <w:rFonts w:ascii="宋体"/>
          <w:sz w:val="24"/>
          <w:u w:val="single"/>
        </w:rPr>
      </w:pPr>
      <w:r>
        <w:rPr>
          <w:rFonts w:hint="eastAsia" w:ascii="宋体" w:hAnsi="宋体"/>
          <w:sz w:val="24"/>
        </w:rPr>
        <w:t>招标代理机构：广东省建筑工程监理有限公司</w:t>
      </w:r>
    </w:p>
    <w:p w14:paraId="61E8ADFA">
      <w:pPr>
        <w:spacing w:line="360" w:lineRule="auto"/>
        <w:ind w:firstLine="537" w:firstLineChars="224"/>
        <w:rPr>
          <w:rFonts w:ascii="宋体" w:hAnsi="宋体" w:cs="宋体"/>
          <w:sz w:val="24"/>
          <w:szCs w:val="24"/>
          <w:u w:val="single"/>
        </w:rPr>
      </w:pPr>
      <w:r>
        <w:rPr>
          <w:rFonts w:ascii="宋体" w:hAnsi="宋体"/>
          <w:sz w:val="24"/>
        </w:rPr>
        <w:t xml:space="preserve">    </w:t>
      </w:r>
      <w:r>
        <w:rPr>
          <w:rFonts w:hint="eastAsia" w:ascii="宋体" w:hAnsi="宋体"/>
          <w:sz w:val="24"/>
        </w:rPr>
        <w:t>联系人：赖工、黄工</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联系电话：020-86673560</w:t>
      </w:r>
    </w:p>
    <w:p w14:paraId="59164CDC">
      <w:pPr>
        <w:spacing w:line="360" w:lineRule="auto"/>
        <w:ind w:firstLine="537" w:firstLineChars="224"/>
      </w:pPr>
      <w:r>
        <w:rPr>
          <w:rFonts w:hint="eastAsia" w:ascii="宋体" w:hAnsi="宋体" w:cs="宋体"/>
          <w:sz w:val="24"/>
          <w:szCs w:val="24"/>
        </w:rPr>
        <w:t xml:space="preserve">    联系地址：</w:t>
      </w:r>
      <w:r>
        <w:rPr>
          <w:rFonts w:hint="eastAsia" w:ascii="宋体" w:hAnsi="宋体" w:cs="宋体"/>
          <w:sz w:val="24"/>
          <w:u w:val="single"/>
        </w:rPr>
        <w:t>广东省广州市荔湾区流花路85号</w:t>
      </w:r>
    </w:p>
    <w:p w14:paraId="0BFEC39C">
      <w:pPr>
        <w:spacing w:line="360" w:lineRule="auto"/>
        <w:ind w:firstLine="960" w:firstLineChars="400"/>
        <w:rPr>
          <w:rFonts w:ascii="宋体" w:hAnsi="宋体"/>
          <w:sz w:val="24"/>
          <w:szCs w:val="24"/>
        </w:rPr>
      </w:pPr>
      <w:r>
        <w:rPr>
          <w:rFonts w:hint="eastAsia" w:ascii="宋体" w:hAnsi="宋体"/>
          <w:sz w:val="24"/>
        </w:rPr>
        <w:t>招标监督机构：</w:t>
      </w:r>
      <w:r>
        <w:rPr>
          <w:rFonts w:hint="eastAsia" w:ascii="宋体" w:hAnsi="宋体"/>
          <w:sz w:val="24"/>
          <w:szCs w:val="24"/>
          <w:u w:val="single"/>
        </w:rPr>
        <w:t>广州市车陂经济发展有限公司</w:t>
      </w:r>
    </w:p>
    <w:p w14:paraId="1D180C63">
      <w:pPr>
        <w:spacing w:line="360" w:lineRule="auto"/>
        <w:ind w:firstLine="960" w:firstLineChars="400"/>
        <w:rPr>
          <w:rFonts w:ascii="宋体" w:hAnsi="宋体"/>
          <w:sz w:val="24"/>
          <w:szCs w:val="24"/>
          <w:u w:val="single"/>
        </w:rPr>
      </w:pPr>
      <w:r>
        <w:rPr>
          <w:rFonts w:hint="eastAsia" w:ascii="宋体" w:hAnsi="宋体"/>
          <w:sz w:val="24"/>
          <w:szCs w:val="24"/>
        </w:rPr>
        <w:t>监管电话：</w:t>
      </w:r>
      <w:r>
        <w:rPr>
          <w:rFonts w:hint="eastAsia" w:ascii="宋体" w:hAnsi="宋体"/>
          <w:sz w:val="24"/>
          <w:szCs w:val="24"/>
          <w:u w:val="single"/>
        </w:rPr>
        <w:t>020-82161155</w:t>
      </w:r>
    </w:p>
    <w:p w14:paraId="40CE90D1">
      <w:pPr>
        <w:spacing w:line="360" w:lineRule="auto"/>
        <w:ind w:firstLine="1015" w:firstLineChars="423"/>
        <w:rPr>
          <w:rFonts w:ascii="宋体" w:hAnsi="宋体"/>
          <w:sz w:val="24"/>
        </w:rPr>
      </w:pPr>
      <w:r>
        <w:rPr>
          <w:rFonts w:hint="eastAsia" w:ascii="宋体" w:hAnsi="宋体"/>
          <w:sz w:val="24"/>
          <w:szCs w:val="24"/>
        </w:rPr>
        <w:t>联系地址：</w:t>
      </w:r>
      <w:r>
        <w:rPr>
          <w:rFonts w:hint="eastAsia" w:ascii="宋体" w:hAnsi="宋体"/>
          <w:sz w:val="24"/>
          <w:szCs w:val="24"/>
          <w:u w:val="single"/>
        </w:rPr>
        <w:t>广州市天河区车陂美东街28号</w:t>
      </w:r>
    </w:p>
    <w:p w14:paraId="56A77FAB">
      <w:pPr>
        <w:spacing w:line="360" w:lineRule="auto"/>
        <w:ind w:firstLine="537" w:firstLineChars="224"/>
        <w:rPr>
          <w:rFonts w:ascii="宋体" w:hAnsi="宋体" w:cs="宋体"/>
          <w:bCs/>
          <w:sz w:val="24"/>
          <w:u w:val="single"/>
        </w:rPr>
      </w:pPr>
      <w:r>
        <w:rPr>
          <w:rFonts w:hint="eastAsia" w:ascii="宋体" w:hAnsi="宋体"/>
          <w:sz w:val="24"/>
        </w:rPr>
        <w:t>三、建设地点：广州市天河区车陂街道广州市天河区车陂街道黄埔大道东以南、车陂新涌口西路以东、珠江以北。</w:t>
      </w:r>
    </w:p>
    <w:p w14:paraId="06BA3D20">
      <w:pPr>
        <w:spacing w:line="360" w:lineRule="auto"/>
        <w:ind w:firstLine="480" w:firstLineChars="200"/>
        <w:rPr>
          <w:rFonts w:ascii="宋体" w:hAnsi="宋体"/>
          <w:sz w:val="24"/>
          <w:highlight w:val="none"/>
        </w:rPr>
      </w:pPr>
      <w:r>
        <w:rPr>
          <w:rFonts w:hint="eastAsia" w:ascii="宋体" w:hAnsi="宋体"/>
          <w:sz w:val="24"/>
        </w:rPr>
        <w:t>四、项目概况：</w:t>
      </w:r>
      <w:r>
        <w:rPr>
          <w:rFonts w:hint="eastAsia" w:ascii="宋体" w:hAnsi="宋体"/>
          <w:sz w:val="24"/>
          <w:highlight w:val="none"/>
        </w:rPr>
        <w:t>本项目总建筑面积28</w:t>
      </w:r>
      <w:r>
        <w:rPr>
          <w:rFonts w:ascii="宋体" w:hAnsi="宋体"/>
          <w:sz w:val="24"/>
          <w:highlight w:val="none"/>
        </w:rPr>
        <w:t>4350.1</w:t>
      </w:r>
      <w:r>
        <w:rPr>
          <w:rFonts w:hint="eastAsia" w:ascii="宋体" w:hAnsi="宋体"/>
          <w:sz w:val="24"/>
          <w:highlight w:val="none"/>
        </w:rPr>
        <w:t>平方米。工程估算总投资金额：2</w:t>
      </w:r>
      <w:r>
        <w:rPr>
          <w:rFonts w:ascii="宋体" w:hAnsi="宋体"/>
          <w:sz w:val="24"/>
          <w:highlight w:val="none"/>
        </w:rPr>
        <w:t>29</w:t>
      </w:r>
      <w:r>
        <w:rPr>
          <w:rFonts w:hint="eastAsia" w:ascii="宋体" w:hAnsi="宋体"/>
          <w:sz w:val="24"/>
          <w:highlight w:val="none"/>
        </w:rPr>
        <w:t>,9</w:t>
      </w:r>
      <w:r>
        <w:rPr>
          <w:rFonts w:ascii="宋体" w:hAnsi="宋体"/>
          <w:sz w:val="24"/>
          <w:highlight w:val="none"/>
        </w:rPr>
        <w:t>99</w:t>
      </w:r>
      <w:r>
        <w:rPr>
          <w:rFonts w:hint="eastAsia" w:ascii="宋体" w:hAnsi="宋体"/>
          <w:sz w:val="24"/>
          <w:highlight w:val="none"/>
        </w:rPr>
        <w:t>.</w:t>
      </w:r>
      <w:r>
        <w:rPr>
          <w:rFonts w:ascii="宋体" w:hAnsi="宋体"/>
          <w:sz w:val="24"/>
          <w:highlight w:val="none"/>
        </w:rPr>
        <w:t>30</w:t>
      </w:r>
      <w:r>
        <w:rPr>
          <w:rFonts w:hint="eastAsia" w:ascii="宋体" w:hAnsi="宋体"/>
          <w:sz w:val="24"/>
          <w:highlight w:val="none"/>
        </w:rPr>
        <w:t>万元。</w:t>
      </w:r>
    </w:p>
    <w:p w14:paraId="706A6B27">
      <w:pPr>
        <w:spacing w:line="360" w:lineRule="auto"/>
        <w:ind w:firstLine="537" w:firstLineChars="224"/>
        <w:rPr>
          <w:rFonts w:ascii="宋体" w:hAnsi="宋体"/>
          <w:sz w:val="24"/>
        </w:rPr>
      </w:pPr>
      <w:r>
        <w:rPr>
          <w:rFonts w:hint="eastAsia" w:ascii="宋体" w:hAnsi="宋体"/>
          <w:sz w:val="24"/>
        </w:rPr>
        <w:t>五、标段划分及各标段招标内容、规模和最高投标限价：</w:t>
      </w:r>
    </w:p>
    <w:p w14:paraId="7DE8A9E7">
      <w:pPr>
        <w:spacing w:line="360" w:lineRule="auto"/>
        <w:ind w:firstLine="537" w:firstLineChars="224"/>
        <w:rPr>
          <w:rFonts w:ascii="宋体" w:hAnsi="宋体"/>
          <w:sz w:val="24"/>
          <w:szCs w:val="24"/>
        </w:rPr>
      </w:pPr>
      <w:r>
        <w:rPr>
          <w:rFonts w:hint="eastAsia" w:ascii="宋体" w:hAnsi="宋体"/>
          <w:sz w:val="24"/>
          <w:szCs w:val="24"/>
        </w:rPr>
        <w:t>1、本工程划分为</w:t>
      </w:r>
      <w:r>
        <w:rPr>
          <w:rFonts w:hint="eastAsia" w:ascii="宋体" w:hAnsi="宋体"/>
          <w:sz w:val="24"/>
          <w:szCs w:val="24"/>
          <w:u w:val="single"/>
        </w:rPr>
        <w:t>1</w:t>
      </w:r>
      <w:r>
        <w:rPr>
          <w:rFonts w:hint="eastAsia" w:ascii="宋体" w:hAnsi="宋体"/>
          <w:sz w:val="24"/>
          <w:szCs w:val="24"/>
        </w:rPr>
        <w:t>个标段。</w:t>
      </w:r>
    </w:p>
    <w:p w14:paraId="761745D3">
      <w:pPr>
        <w:spacing w:line="360" w:lineRule="auto"/>
        <w:ind w:firstLine="480" w:firstLineChars="200"/>
        <w:rPr>
          <w:rFonts w:ascii="宋体" w:hAnsi="宋体"/>
          <w:sz w:val="24"/>
          <w:szCs w:val="24"/>
        </w:rPr>
      </w:pPr>
      <w:r>
        <w:rPr>
          <w:rFonts w:hint="eastAsia" w:ascii="宋体" w:hAnsi="宋体"/>
          <w:sz w:val="24"/>
          <w:szCs w:val="24"/>
        </w:rPr>
        <w:t>2、招标内容、规模：</w:t>
      </w:r>
    </w:p>
    <w:p w14:paraId="48528D55">
      <w:pPr>
        <w:pStyle w:val="9"/>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本项目总建筑面积28</w:t>
      </w:r>
      <w:r>
        <w:rPr>
          <w:rFonts w:ascii="宋体" w:hAnsi="宋体"/>
          <w:sz w:val="24"/>
          <w:szCs w:val="24"/>
          <w:highlight w:val="none"/>
          <w:u w:val="single"/>
        </w:rPr>
        <w:t>435</w:t>
      </w:r>
      <w:r>
        <w:rPr>
          <w:rFonts w:hint="eastAsia" w:ascii="宋体" w:hAnsi="宋体"/>
          <w:sz w:val="24"/>
          <w:szCs w:val="24"/>
          <w:highlight w:val="none"/>
          <w:u w:val="single"/>
        </w:rPr>
        <w:t>0.10平方米，其中：</w:t>
      </w:r>
    </w:p>
    <w:p w14:paraId="619DE99E">
      <w:pPr>
        <w:pStyle w:val="9"/>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地块一建筑面积约65841.10㎡，地下车库建筑面积18120㎡，地上建筑面积47721.10㎡(其中商业建筑面积4360㎡，办公建筑面积36492.10㎡，公服5360㎡，不计容骑楼架空1509㎡）；办公塔楼总高119.80m，屋面高度111.80m；</w:t>
      </w:r>
    </w:p>
    <w:p w14:paraId="5C9EDF9A">
      <w:pPr>
        <w:pStyle w:val="9"/>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地块二建筑面积约66677㎡，地下建筑面积14602㎡（其中地下商业建筑面积2000㎡，地下车库建筑面积12602㎡），地上建筑面积地上52075㎡（其中精品酒店建筑面积20000㎡，星级酒店建筑面积15000㎡，餐饮建筑面积13111㎡，不计容骑楼架空3964㎡）；酒店塔楼总高140.00m，屋面高度134.40m；商业裙房高24m；</w:t>
      </w:r>
    </w:p>
    <w:p w14:paraId="483BCD60">
      <w:pPr>
        <w:pStyle w:val="9"/>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地块三建筑面积约70372㎡，地下建筑面积23654㎡（其中地下商业建筑面积8900㎡，地下车库建筑面积14754㎡），地上建筑面积46718㎡；</w:t>
      </w:r>
    </w:p>
    <w:p w14:paraId="2D32483B">
      <w:pPr>
        <w:pStyle w:val="9"/>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地块四建筑面积约81460㎡，地下建筑面积23580㎡，地上建筑面积57880㎡；</w:t>
      </w:r>
    </w:p>
    <w:p w14:paraId="5A6169BB">
      <w:pPr>
        <w:pStyle w:val="9"/>
        <w:spacing w:line="360" w:lineRule="auto"/>
        <w:ind w:firstLine="480" w:firstLineChars="200"/>
        <w:rPr>
          <w:rFonts w:ascii="宋体" w:hAnsi="宋体" w:cs="宋体"/>
          <w:sz w:val="24"/>
          <w:highlight w:val="none"/>
          <w:u w:val="single"/>
        </w:rPr>
      </w:pPr>
      <w:r>
        <w:rPr>
          <w:rFonts w:hint="eastAsia" w:ascii="宋体" w:hAnsi="宋体"/>
          <w:sz w:val="24"/>
          <w:szCs w:val="24"/>
          <w:highlight w:val="none"/>
          <w:u w:val="single"/>
        </w:rPr>
        <w:t>具体内容以招标人提供的有关资料为准。</w:t>
      </w:r>
    </w:p>
    <w:p w14:paraId="4B3D7007">
      <w:pPr>
        <w:rPr>
          <w:rFonts w:ascii="宋体" w:hAnsi="宋体"/>
          <w:sz w:val="24"/>
          <w:szCs w:val="24"/>
        </w:rPr>
      </w:pPr>
      <w:r>
        <w:rPr>
          <w:rFonts w:hint="eastAsia" w:ascii="宋体" w:hAnsi="宋体"/>
          <w:sz w:val="24"/>
          <w:szCs w:val="24"/>
        </w:rPr>
        <w:t>工程承包范围：</w:t>
      </w:r>
    </w:p>
    <w:p w14:paraId="5931920E">
      <w:pPr>
        <w:pStyle w:val="9"/>
        <w:spacing w:line="360" w:lineRule="auto"/>
        <w:ind w:firstLine="480" w:firstLineChars="200"/>
        <w:rPr>
          <w:rFonts w:hint="eastAsia" w:ascii="宋体" w:hAnsi="宋体"/>
          <w:sz w:val="24"/>
          <w:szCs w:val="24"/>
          <w:u w:val="single"/>
        </w:rPr>
      </w:pPr>
      <w:r>
        <w:rPr>
          <w:rFonts w:hint="eastAsia" w:ascii="宋体" w:hAnsi="宋体" w:cs="宋体"/>
          <w:bCs/>
          <w:color w:val="000000"/>
          <w:sz w:val="24"/>
          <w:szCs w:val="24"/>
        </w:rPr>
        <w:t>负责本项目规划用地红线范围内的施工工作，包括不限于以下工作：基坑支护及土石方工程（含余泥渣土消纳费）、基础土方挖运及回填（含余泥渣土消纳费）、地基基础工程、主体结构工程、二次结构及砌筑工程、钢结构制作及安装工程、防雷工程、外墙饰面工程、所有门窗工程、幕墙工程施工（包含门窗和幕墙施工图深化设计）、屋面工程、人防工程（含人防检测及面积测绘，费用包含在合同价款中，不另外计取）、防水工程、室内外装修工程、室外工程、标识工程、污水处理工程、园林景观工程（含海绵城市施工及第三方验收检测，费用包含在合同价款中，不另外计取）、地坪漆、车位划线、交通标志标识等；人防土建、设备安装工程（平时）、电梯工程（含深化设计）、给排水工程（含自来水检测）、电气工程、消防工程（含第三方检测，费用包含在合同价款中，不另外计取）、空调工程、智能化工程、柴油发电机组及环保工程施工验收（含深化设计）、永久用水工程、泛光照明工程、燃气工程、</w:t>
      </w:r>
      <w:r>
        <w:rPr>
          <w:rFonts w:hint="eastAsia"/>
          <w:color w:val="000000"/>
          <w:sz w:val="24"/>
          <w:szCs w:val="24"/>
        </w:rPr>
        <w:t>驻地网工程（含通管办图纸审查及验收）、信号覆盖工程（含通管办图纸审查及验收）、</w:t>
      </w:r>
      <w:r>
        <w:rPr>
          <w:rFonts w:hint="eastAsia" w:ascii="宋体" w:hAnsi="宋体" w:cs="宋体"/>
          <w:bCs/>
          <w:color w:val="000000"/>
          <w:sz w:val="24"/>
          <w:szCs w:val="24"/>
        </w:rPr>
        <w:t>汽车充电桩、擦窗机、厨房排油烟、光伏发电等，上述提及的深化设计费用包含在合同价款中，不另外计取。</w:t>
      </w:r>
    </w:p>
    <w:p w14:paraId="73DC4E21">
      <w:pPr>
        <w:pStyle w:val="9"/>
        <w:spacing w:line="360" w:lineRule="auto"/>
        <w:ind w:firstLine="480" w:firstLineChars="200"/>
        <w:rPr>
          <w:rFonts w:ascii="宋体" w:hAnsi="宋体"/>
          <w:sz w:val="24"/>
          <w:szCs w:val="24"/>
          <w:highlight w:val="yellow"/>
          <w:u w:val="single"/>
        </w:rPr>
      </w:pPr>
      <w:r>
        <w:rPr>
          <w:rFonts w:hint="eastAsia" w:ascii="宋体" w:hAnsi="宋体"/>
          <w:sz w:val="24"/>
          <w:szCs w:val="24"/>
          <w:u w:val="single"/>
        </w:rPr>
        <w:t>按发包人提供的招标文件、招标答疑文件，完成本工程的全部施工任务及其他相关工作。具体内容以招标人提供的有关资料为准。</w:t>
      </w:r>
    </w:p>
    <w:p w14:paraId="58931B05">
      <w:pPr>
        <w:spacing w:line="360" w:lineRule="auto"/>
        <w:ind w:firstLine="537" w:firstLineChars="224"/>
        <w:rPr>
          <w:rFonts w:ascii="宋体" w:hAnsi="宋体"/>
          <w:sz w:val="24"/>
          <w:szCs w:val="24"/>
          <w:highlight w:val="none"/>
        </w:rPr>
      </w:pPr>
      <w:r>
        <w:rPr>
          <w:rFonts w:hint="eastAsia" w:ascii="宋体" w:hAnsi="宋体"/>
          <w:sz w:val="24"/>
          <w:szCs w:val="24"/>
        </w:rPr>
        <w:t>3、最高投标限价：</w:t>
      </w:r>
      <w:r>
        <w:rPr>
          <w:rFonts w:hint="eastAsia" w:ascii="宋体" w:hAnsi="宋体"/>
          <w:sz w:val="24"/>
          <w:highlight w:val="none"/>
          <w:u w:val="single"/>
        </w:rPr>
        <w:t>人民币194,</w:t>
      </w:r>
      <w:r>
        <w:rPr>
          <w:rFonts w:ascii="宋体" w:hAnsi="宋体"/>
          <w:sz w:val="24"/>
          <w:highlight w:val="none"/>
          <w:u w:val="single"/>
        </w:rPr>
        <w:t>392.15</w:t>
      </w:r>
      <w:r>
        <w:rPr>
          <w:rFonts w:hint="eastAsia" w:ascii="宋体" w:hAnsi="宋体"/>
          <w:sz w:val="24"/>
          <w:highlight w:val="none"/>
          <w:u w:val="single"/>
        </w:rPr>
        <w:t>万元。</w:t>
      </w:r>
    </w:p>
    <w:p w14:paraId="75040E0F">
      <w:pPr>
        <w:spacing w:line="360" w:lineRule="auto"/>
        <w:ind w:firstLine="537" w:firstLineChars="224"/>
        <w:rPr>
          <w:rFonts w:ascii="宋体" w:hAnsi="宋体"/>
          <w:sz w:val="24"/>
        </w:rPr>
      </w:pPr>
      <w:r>
        <w:rPr>
          <w:rFonts w:hint="eastAsia" w:ascii="宋体" w:hAnsi="宋体"/>
          <w:sz w:val="24"/>
        </w:rPr>
        <w:t>六、资金来源：</w:t>
      </w:r>
      <w:r>
        <w:rPr>
          <w:rFonts w:hint="eastAsia" w:ascii="宋体" w:hAnsi="宋体"/>
          <w:sz w:val="24"/>
          <w:u w:val="single"/>
        </w:rPr>
        <w:t>自筹资金</w:t>
      </w:r>
    </w:p>
    <w:p w14:paraId="665EB5EE">
      <w:pPr>
        <w:spacing w:line="360" w:lineRule="auto"/>
        <w:ind w:firstLine="537" w:firstLineChars="224"/>
        <w:rPr>
          <w:rFonts w:ascii="宋体" w:hAnsi="宋体"/>
          <w:sz w:val="24"/>
        </w:rPr>
      </w:pPr>
      <w:r>
        <w:rPr>
          <w:rFonts w:hint="eastAsia" w:ascii="宋体" w:hAnsi="宋体"/>
          <w:sz w:val="24"/>
        </w:rPr>
        <w:t>七、公告发布</w:t>
      </w:r>
      <w:r>
        <w:rPr>
          <w:rFonts w:hint="eastAsia" w:ascii="宋体" w:hAnsi="宋体"/>
          <w:color w:val="000000"/>
          <w:sz w:val="24"/>
        </w:rPr>
        <w:t>日期</w:t>
      </w:r>
      <w:r>
        <w:rPr>
          <w:rFonts w:hint="eastAsia" w:ascii="宋体" w:hAnsi="宋体"/>
          <w:sz w:val="24"/>
        </w:rPr>
        <w:t>、递交投标文件时间与开标时间：</w:t>
      </w:r>
    </w:p>
    <w:p w14:paraId="7F6EB7CB">
      <w:pPr>
        <w:snapToGrid w:val="0"/>
        <w:spacing w:line="360" w:lineRule="auto"/>
        <w:ind w:left="210" w:leftChars="100" w:firstLine="240" w:firstLineChars="100"/>
        <w:rPr>
          <w:rFonts w:ascii="宋体" w:hAnsi="宋体"/>
          <w:sz w:val="24"/>
        </w:rPr>
      </w:pPr>
      <w:r>
        <w:rPr>
          <w:rFonts w:hint="eastAsia" w:ascii="宋体" w:hAnsi="宋体" w:cs="宋体"/>
          <w:sz w:val="24"/>
          <w:szCs w:val="24"/>
        </w:rPr>
        <w:t>1.</w:t>
      </w:r>
      <w:r>
        <w:rPr>
          <w:rFonts w:hint="eastAsia" w:ascii="宋体" w:hAnsi="宋体"/>
          <w:sz w:val="24"/>
        </w:rPr>
        <w:t>公告发布</w:t>
      </w:r>
      <w:r>
        <w:rPr>
          <w:rFonts w:hint="eastAsia" w:ascii="宋体" w:hAnsi="宋体"/>
          <w:color w:val="000000"/>
          <w:sz w:val="24"/>
        </w:rPr>
        <w:t>日期</w:t>
      </w:r>
      <w:r>
        <w:rPr>
          <w:rFonts w:hint="eastAsia" w:ascii="宋体" w:hAnsi="宋体"/>
          <w:sz w:val="24"/>
        </w:rPr>
        <w:t>（含本日）：</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2087D58">
      <w:pPr>
        <w:snapToGrid w:val="0"/>
        <w:spacing w:line="360" w:lineRule="auto"/>
        <w:ind w:left="435"/>
        <w:rPr>
          <w:rFonts w:ascii="宋体" w:cs="宋体"/>
          <w:kern w:val="0"/>
          <w:sz w:val="24"/>
          <w:szCs w:val="24"/>
        </w:rPr>
      </w:pPr>
      <w:r>
        <w:rPr>
          <w:rFonts w:hint="eastAsia" w:ascii="宋体" w:hAnsi="宋体"/>
          <w:sz w:val="24"/>
        </w:rPr>
        <w:t>凡有意参加投标者，请登录</w:t>
      </w:r>
      <w:r>
        <w:rPr>
          <w:rFonts w:ascii="宋体" w:hAnsi="宋体"/>
          <w:bCs/>
          <w:kern w:val="0"/>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网站下载电子招标文件。</w:t>
      </w:r>
    </w:p>
    <w:p w14:paraId="3349EC17">
      <w:pPr>
        <w:widowControl/>
        <w:shd w:val="clear" w:color="auto" w:fill="FFFFFF"/>
        <w:snapToGrid w:val="0"/>
        <w:spacing w:line="360" w:lineRule="auto"/>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注：发布招标公告的时间为招标公告发出之日起至投标截止时间止。</w:t>
      </w:r>
    </w:p>
    <w:p w14:paraId="47D9A65B">
      <w:pPr>
        <w:widowControl/>
        <w:shd w:val="clear" w:color="auto" w:fill="FFFFFF"/>
        <w:snapToGrid w:val="0"/>
        <w:spacing w:line="360" w:lineRule="auto"/>
        <w:ind w:left="809" w:leftChars="214" w:hanging="360" w:hangingChars="150"/>
        <w:jc w:val="left"/>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3D9ECE12">
      <w:pPr>
        <w:widowControl/>
        <w:shd w:val="clear" w:color="auto" w:fill="FFFFFF"/>
        <w:snapToGrid w:val="0"/>
        <w:spacing w:line="360"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6D3D3208">
      <w:pPr>
        <w:widowControl/>
        <w:shd w:val="clear" w:color="auto" w:fill="FFFFFF"/>
        <w:snapToGrid w:val="0"/>
        <w:spacing w:line="36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2152ADAA">
      <w:pPr>
        <w:widowControl/>
        <w:shd w:val="clear" w:color="auto" w:fill="FFFFFF"/>
        <w:snapToGrid w:val="0"/>
        <w:spacing w:line="360" w:lineRule="auto"/>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7CB43453">
      <w:pPr>
        <w:snapToGrid w:val="0"/>
        <w:spacing w:line="360" w:lineRule="auto"/>
        <w:ind w:firstLine="480" w:firstLineChars="200"/>
        <w:rPr>
          <w:rFonts w:ascii="宋体" w:hAnsi="宋体"/>
          <w:bCs/>
          <w:kern w:val="0"/>
          <w:sz w:val="24"/>
          <w:szCs w:val="24"/>
          <w:u w:val="single"/>
        </w:rPr>
      </w:pPr>
      <w:r>
        <w:rPr>
          <w:rFonts w:hint="eastAsia" w:ascii="宋体" w:hAnsi="宋体" w:cs="宋体"/>
          <w:sz w:val="24"/>
          <w:szCs w:val="24"/>
        </w:rPr>
        <w:t>5．</w:t>
      </w:r>
      <w:r>
        <w:rPr>
          <w:rFonts w:hint="eastAsia" w:ascii="宋体" w:hAnsi="宋体"/>
          <w:bCs/>
          <w:sz w:val="24"/>
        </w:rPr>
        <w:t>投标人通过</w:t>
      </w:r>
      <w:r>
        <w:rPr>
          <w:rFonts w:ascii="宋体" w:hAnsi="宋体"/>
          <w:bCs/>
          <w:kern w:val="0"/>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ascii="宋体" w:hAnsi="宋体"/>
          <w:bCs/>
          <w:kern w:val="0"/>
          <w:sz w:val="24"/>
          <w:szCs w:val="24"/>
          <w:u w:val="single"/>
        </w:rPr>
        <w:t>广州交易集团有限公司（广州公共资源交易中心）</w:t>
      </w:r>
      <w:r>
        <w:rPr>
          <w:rFonts w:hint="eastAsia" w:ascii="宋体" w:hAnsi="宋体"/>
          <w:sz w:val="24"/>
          <w:szCs w:val="24"/>
        </w:rPr>
        <w:t>交易平台</w:t>
      </w:r>
      <w:r>
        <w:rPr>
          <w:rFonts w:hint="eastAsia" w:ascii="宋体" w:hAnsi="宋体" w:cs="仿宋_GB2312"/>
          <w:sz w:val="24"/>
          <w:szCs w:val="24"/>
        </w:rPr>
        <w:t>网站办理网上投标登记手续。按照交易平台关于全流程电子化项目的相关指南进行操作。详见：</w:t>
      </w:r>
      <w:r>
        <w:rPr>
          <w:rFonts w:ascii="宋体" w:hAnsi="宋体"/>
          <w:bCs/>
          <w:kern w:val="0"/>
          <w:sz w:val="24"/>
          <w:szCs w:val="24"/>
          <w:u w:val="single"/>
        </w:rPr>
        <w:t>广州交易集团有限公司（广州公共资源交易中心）</w:t>
      </w:r>
      <w:r>
        <w:rPr>
          <w:rFonts w:hint="eastAsia" w:ascii="宋体" w:hAnsi="宋体"/>
          <w:bCs/>
          <w:kern w:val="0"/>
          <w:sz w:val="24"/>
          <w:szCs w:val="24"/>
          <w:u w:val="single"/>
        </w:rPr>
        <w:t>网站。</w:t>
      </w:r>
    </w:p>
    <w:p w14:paraId="5BCFC80A">
      <w:pPr>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6、在投标登记时，投标人应按要求在</w:t>
      </w:r>
      <w:r>
        <w:rPr>
          <w:rFonts w:hint="eastAsia" w:ascii="宋体" w:hAnsi="宋体" w:cs="仿宋_GB2312"/>
          <w:sz w:val="24"/>
          <w:szCs w:val="24"/>
          <w:u w:val="single"/>
        </w:rPr>
        <w:t>广州交易集团有限公司（广州公共资源交易中心）</w:t>
      </w:r>
      <w:r>
        <w:rPr>
          <w:rFonts w:hint="eastAsia" w:ascii="宋体" w:hAnsi="宋体" w:cs="仿宋_GB2312"/>
          <w:sz w:val="24"/>
          <w:szCs w:val="24"/>
        </w:rPr>
        <w:t>交易系统中填写《施工项目管理团队人员信息表》（详见附件二），表中的项目管理团队人员信息作为投标文件的一部分，将由</w:t>
      </w:r>
      <w:r>
        <w:rPr>
          <w:rFonts w:hint="eastAsia" w:ascii="宋体" w:hAnsi="宋体" w:cs="仿宋_GB2312"/>
          <w:sz w:val="24"/>
          <w:szCs w:val="24"/>
          <w:u w:val="single"/>
        </w:rPr>
        <w:t>广州交易集团有限公司（广州公共资源交易中心）</w:t>
      </w:r>
      <w:r>
        <w:rPr>
          <w:rFonts w:hint="eastAsia" w:ascii="宋体" w:hAnsi="宋体" w:cs="仿宋_GB2312"/>
          <w:sz w:val="24"/>
          <w:szCs w:val="24"/>
        </w:rPr>
        <w:t xml:space="preserve">交易系统提取后供各相关单位在中标人履约时进行比对、查核。 </w:t>
      </w:r>
    </w:p>
    <w:p w14:paraId="445A453C">
      <w:pPr>
        <w:widowControl/>
        <w:shd w:val="clear" w:color="auto" w:fill="FFFFFF"/>
        <w:snapToGrid w:val="0"/>
        <w:spacing w:line="360" w:lineRule="auto"/>
        <w:jc w:val="left"/>
        <w:rPr>
          <w:rFonts w:ascii="宋体" w:cs="宋体"/>
          <w:kern w:val="0"/>
          <w:sz w:val="24"/>
          <w:szCs w:val="24"/>
        </w:rPr>
      </w:pPr>
      <w:r>
        <w:rPr>
          <w:rFonts w:ascii="宋体" w:hAnsi="宋体" w:cs="宋体"/>
          <w:sz w:val="24"/>
          <w:szCs w:val="24"/>
        </w:rPr>
        <w:t xml:space="preserve">    </w:t>
      </w:r>
      <w:r>
        <w:rPr>
          <w:rFonts w:hint="eastAsia" w:ascii="宋体" w:hAnsi="宋体" w:cs="宋体"/>
          <w:kern w:val="0"/>
          <w:sz w:val="24"/>
          <w:szCs w:val="24"/>
        </w:rPr>
        <w:t>八、招标文件获取方式：</w:t>
      </w:r>
    </w:p>
    <w:p w14:paraId="1FE726C7">
      <w:pPr>
        <w:widowControl/>
        <w:shd w:val="clear" w:color="auto" w:fill="FFFFFF"/>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bCs/>
          <w:kern w:val="0"/>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ascii="宋体" w:hAnsi="宋体"/>
          <w:bCs/>
          <w:kern w:val="0"/>
          <w:sz w:val="24"/>
          <w:szCs w:val="24"/>
          <w:u w:val="single"/>
        </w:rPr>
        <w:t>广州交易集团有限公司（广州公共资源交易中心）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bCs/>
          <w:kern w:val="0"/>
          <w:sz w:val="24"/>
          <w:szCs w:val="24"/>
          <w:u w:val="single"/>
        </w:rPr>
        <w:t>广州交易集团有限公司（广州公共资源交易中心）</w:t>
      </w:r>
      <w:r>
        <w:rPr>
          <w:rFonts w:hint="eastAsia" w:ascii="宋体" w:hAnsi="宋体"/>
          <w:sz w:val="24"/>
          <w:szCs w:val="24"/>
        </w:rPr>
        <w:t>交易平台</w:t>
      </w:r>
      <w:r>
        <w:rPr>
          <w:rFonts w:hint="eastAsia" w:ascii="宋体" w:hAnsi="宋体" w:cs="宋体"/>
          <w:kern w:val="0"/>
          <w:sz w:val="24"/>
          <w:szCs w:val="24"/>
        </w:rPr>
        <w:t>网站下载。</w:t>
      </w:r>
    </w:p>
    <w:p w14:paraId="5EB49933">
      <w:pPr>
        <w:spacing w:line="360" w:lineRule="auto"/>
        <w:ind w:firstLine="537" w:firstLineChars="224"/>
        <w:rPr>
          <w:rFonts w:ascii="宋体"/>
          <w:sz w:val="24"/>
        </w:rPr>
      </w:pPr>
      <w:r>
        <w:rPr>
          <w:rFonts w:hint="eastAsia" w:ascii="宋体" w:hAnsi="宋体"/>
          <w:sz w:val="24"/>
        </w:rPr>
        <w:t>九、投标人合格条件：</w:t>
      </w:r>
    </w:p>
    <w:p w14:paraId="65287835">
      <w:pPr>
        <w:spacing w:line="36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14:paraId="6A3F92A8">
      <w:pPr>
        <w:spacing w:line="360"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14:paraId="18127F08">
      <w:pPr>
        <w:spacing w:line="360" w:lineRule="auto"/>
        <w:ind w:firstLine="537" w:firstLineChars="224"/>
        <w:rPr>
          <w:rFonts w:ascii="宋体" w:hAnsi="宋体"/>
          <w:sz w:val="24"/>
        </w:rPr>
      </w:pPr>
      <w:r>
        <w:rPr>
          <w:rFonts w:ascii="宋体" w:hAnsi="宋体"/>
          <w:sz w:val="24"/>
        </w:rPr>
        <w:t>3</w:t>
      </w:r>
      <w:r>
        <w:rPr>
          <w:rFonts w:hint="eastAsia" w:ascii="宋体" w:hAnsi="宋体"/>
          <w:sz w:val="24"/>
        </w:rPr>
        <w:t>．投标人均持有建设行政主管部门颁发的有效期</w:t>
      </w:r>
      <w:r>
        <w:rPr>
          <w:rFonts w:ascii="宋体" w:hAnsi="宋体"/>
          <w:sz w:val="24"/>
        </w:rPr>
        <w:t>内</w:t>
      </w:r>
      <w:r>
        <w:rPr>
          <w:rFonts w:hint="eastAsia" w:ascii="宋体" w:hAnsi="宋体"/>
          <w:sz w:val="24"/>
        </w:rPr>
        <w:t>的企业资质证书及安全生产许可证。</w:t>
      </w:r>
    </w:p>
    <w:p w14:paraId="6A086391">
      <w:pPr>
        <w:pStyle w:val="25"/>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．投标人具备以下资质：</w:t>
      </w:r>
    </w:p>
    <w:p w14:paraId="771E4F6E">
      <w:pPr>
        <w:pStyle w:val="25"/>
        <w:ind w:firstLine="539"/>
        <w:rPr>
          <w:rFonts w:ascii="宋体" w:hAnsi="宋体" w:eastAsia="宋体"/>
          <w:color w:val="auto"/>
          <w:sz w:val="24"/>
          <w:szCs w:val="24"/>
          <w:u w:val="single"/>
        </w:rPr>
      </w:pPr>
      <w:r>
        <w:rPr>
          <w:rFonts w:hint="eastAsia" w:ascii="宋体" w:hAnsi="宋体" w:eastAsia="宋体"/>
          <w:color w:val="auto"/>
          <w:sz w:val="24"/>
          <w:szCs w:val="24"/>
        </w:rPr>
        <w:t>投标人具有承接本工程所需的</w:t>
      </w:r>
      <w:r>
        <w:rPr>
          <w:rFonts w:hint="eastAsia" w:ascii="宋体" w:hAnsi="宋体" w:eastAsia="宋体"/>
          <w:color w:val="auto"/>
          <w:sz w:val="24"/>
          <w:szCs w:val="24"/>
          <w:u w:val="single"/>
        </w:rPr>
        <w:t>建筑工程施工总承包壹级或以上资质。</w:t>
      </w:r>
    </w:p>
    <w:p w14:paraId="71E3E0CF">
      <w:pPr>
        <w:pStyle w:val="25"/>
        <w:ind w:firstLine="539"/>
        <w:rPr>
          <w:rFonts w:ascii="宋体" w:hAnsi="宋体" w:eastAsia="宋体"/>
          <w:color w:val="auto"/>
          <w:sz w:val="24"/>
          <w:szCs w:val="24"/>
        </w:rPr>
      </w:pPr>
      <w:r>
        <w:rPr>
          <w:rFonts w:hint="eastAsia" w:ascii="宋体" w:hAnsi="宋体" w:eastAsia="宋体"/>
          <w:color w:val="auto"/>
          <w:sz w:val="24"/>
          <w:szCs w:val="24"/>
        </w:rPr>
        <w:t>投标人拟担任本工程项目负责人的人员为：</w:t>
      </w:r>
      <w:r>
        <w:rPr>
          <w:rFonts w:hint="eastAsia" w:ascii="宋体" w:hAnsi="宋体" w:eastAsia="宋体" w:cs="宋体"/>
          <w:color w:val="auto"/>
          <w:sz w:val="24"/>
          <w:szCs w:val="24"/>
          <w:u w:val="single"/>
        </w:rPr>
        <w:t>建筑工程</w:t>
      </w:r>
      <w:r>
        <w:rPr>
          <w:rFonts w:hint="eastAsia" w:ascii="宋体" w:hAnsi="宋体" w:eastAsia="宋体"/>
          <w:color w:val="auto"/>
          <w:sz w:val="24"/>
          <w:szCs w:val="24"/>
        </w:rPr>
        <w:t>专业</w:t>
      </w:r>
      <w:r>
        <w:rPr>
          <w:rFonts w:hint="eastAsia" w:ascii="宋体" w:hAnsi="宋体" w:eastAsia="宋体"/>
          <w:color w:val="auto"/>
          <w:sz w:val="24"/>
          <w:szCs w:val="24"/>
          <w:u w:val="single"/>
        </w:rPr>
        <w:t>壹级</w:t>
      </w:r>
      <w:r>
        <w:rPr>
          <w:rFonts w:hint="eastAsia" w:ascii="宋体" w:hAnsi="宋体" w:eastAsia="宋体"/>
          <w:color w:val="auto"/>
          <w:sz w:val="24"/>
          <w:szCs w:val="24"/>
        </w:rPr>
        <w:t>的注册建造师。</w:t>
      </w:r>
    </w:p>
    <w:p w14:paraId="7E6D028C">
      <w:pPr>
        <w:shd w:val="clear" w:color="auto" w:fill="FFFFFF"/>
        <w:snapToGrid w:val="0"/>
        <w:spacing w:line="360" w:lineRule="auto"/>
        <w:ind w:firstLine="480" w:firstLineChars="200"/>
        <w:jc w:val="left"/>
        <w:rPr>
          <w:rFonts w:ascii="宋体" w:hAnsi="宋体"/>
          <w:kern w:val="0"/>
          <w:sz w:val="24"/>
        </w:rPr>
      </w:pPr>
      <w:r>
        <w:rPr>
          <w:rFonts w:hint="eastAsia" w:ascii="宋体" w:hAnsi="宋体"/>
          <w:kern w:val="0"/>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1A895230">
      <w:pPr>
        <w:shd w:val="clear" w:color="auto" w:fill="FFFFFF"/>
        <w:snapToGrid w:val="0"/>
        <w:spacing w:line="360" w:lineRule="auto"/>
        <w:ind w:firstLine="480" w:firstLineChars="200"/>
        <w:jc w:val="left"/>
        <w:rPr>
          <w:rFonts w:ascii="宋体" w:hAnsi="宋体"/>
          <w:kern w:val="0"/>
          <w:sz w:val="24"/>
        </w:rPr>
      </w:pPr>
      <w:r>
        <w:rPr>
          <w:rFonts w:hint="eastAsia" w:ascii="宋体" w:hAnsi="宋体"/>
          <w:kern w:val="0"/>
          <w:sz w:val="24"/>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65B751DC">
      <w:pPr>
        <w:shd w:val="clear" w:color="auto" w:fill="FFFFFF"/>
        <w:snapToGrid w:val="0"/>
        <w:spacing w:line="360" w:lineRule="auto"/>
        <w:ind w:firstLine="480" w:firstLineChars="200"/>
        <w:jc w:val="left"/>
        <w:rPr>
          <w:rFonts w:ascii="宋体" w:hAnsi="宋体"/>
          <w:strike/>
          <w:kern w:val="0"/>
          <w:sz w:val="24"/>
        </w:rPr>
      </w:pPr>
      <w:r>
        <w:rPr>
          <w:rFonts w:hint="eastAsia" w:ascii="宋体" w:hAnsi="宋体"/>
          <w:kern w:val="0"/>
          <w:sz w:val="24"/>
        </w:rPr>
        <w:t>②根据《住房和城乡建设部办公厅关于全面实行一级建造师电子注册证书的通知》（建办市〔2021〕40号），自2022年1月1日起，一级建造师统一使用电子证书，纸质证书作废。</w:t>
      </w:r>
    </w:p>
    <w:p w14:paraId="77F29106">
      <w:pPr>
        <w:shd w:val="clear" w:color="auto" w:fill="FFFFFF"/>
        <w:snapToGrid w:val="0"/>
        <w:spacing w:line="360" w:lineRule="auto"/>
        <w:ind w:firstLine="480" w:firstLineChars="200"/>
        <w:jc w:val="left"/>
        <w:rPr>
          <w:rFonts w:ascii="宋体" w:hAnsi="宋体"/>
          <w:kern w:val="0"/>
          <w:sz w:val="24"/>
        </w:rPr>
      </w:pPr>
      <w:r>
        <w:rPr>
          <w:rFonts w:hint="eastAsia" w:ascii="宋体" w:hAnsi="宋体"/>
          <w:kern w:val="0"/>
          <w:sz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1D20527">
      <w:pPr>
        <w:shd w:val="clear" w:color="auto" w:fill="FFFFFF"/>
        <w:snapToGrid w:val="0"/>
        <w:spacing w:line="360" w:lineRule="auto"/>
        <w:ind w:firstLine="480" w:firstLineChars="200"/>
        <w:jc w:val="left"/>
        <w:rPr>
          <w:rFonts w:ascii="宋体" w:hAnsi="宋体"/>
          <w:kern w:val="0"/>
          <w:sz w:val="24"/>
        </w:rPr>
      </w:pPr>
      <w:r>
        <w:rPr>
          <w:rFonts w:hint="eastAsia" w:ascii="宋体" w:hAnsi="宋体"/>
          <w:kern w:val="0"/>
          <w:sz w:val="24"/>
        </w:rPr>
        <w:t>③项目负责人在任职期间不得担任专职安全员，项目专职安全员在任职期间也不得担任项目负责人，项目负责人和专职安全员不为同一人。</w:t>
      </w:r>
    </w:p>
    <w:p w14:paraId="29F17E1F">
      <w:pPr>
        <w:pStyle w:val="25"/>
        <w:numPr>
          <w:ilvl w:val="0"/>
          <w:numId w:val="1"/>
        </w:numPr>
        <w:ind w:firstLine="480" w:firstLineChars="200"/>
        <w:rPr>
          <w:rFonts w:ascii="宋体" w:hAnsi="宋体" w:eastAsia="宋体"/>
          <w:color w:val="auto"/>
          <w:sz w:val="24"/>
          <w:szCs w:val="24"/>
        </w:rPr>
      </w:pPr>
      <w:r>
        <w:rPr>
          <w:rFonts w:hint="eastAsia" w:ascii="宋体" w:hAnsi="宋体" w:eastAsia="宋体"/>
          <w:color w:val="auto"/>
          <w:sz w:val="24"/>
          <w:szCs w:val="24"/>
        </w:rPr>
        <w:t>项目负责人持有在有效期内的安全生产考核合格证（B类）或建筑施工企业项目负责人安全生产考核合格证书。</w:t>
      </w:r>
    </w:p>
    <w:p w14:paraId="36104011">
      <w:pPr>
        <w:pStyle w:val="25"/>
        <w:ind w:firstLine="480" w:firstLineChars="200"/>
        <w:rPr>
          <w:rFonts w:ascii="宋体" w:hAnsi="宋体" w:eastAsia="宋体"/>
          <w:color w:val="auto"/>
          <w:sz w:val="24"/>
          <w:szCs w:val="24"/>
          <w:u w:val="single"/>
        </w:rPr>
      </w:pPr>
      <w:r>
        <w:rPr>
          <w:rFonts w:hint="eastAsia" w:ascii="宋体" w:hAnsi="宋体" w:eastAsia="宋体"/>
          <w:color w:val="auto"/>
          <w:sz w:val="24"/>
          <w:szCs w:val="24"/>
        </w:rPr>
        <w:t>6．投标人拟担任本工程技术负责人的资格要求为：</w:t>
      </w:r>
      <w:r>
        <w:rPr>
          <w:rFonts w:hint="eastAsia" w:ascii="宋体" w:hAnsi="宋体" w:eastAsia="宋体"/>
          <w:color w:val="auto"/>
          <w:sz w:val="24"/>
          <w:szCs w:val="24"/>
          <w:u w:val="single"/>
        </w:rPr>
        <w:t>建筑工程相关专业高级（或以上）技术职称。</w:t>
      </w:r>
    </w:p>
    <w:p w14:paraId="3F3BBF0C">
      <w:pPr>
        <w:spacing w:line="360" w:lineRule="auto"/>
        <w:ind w:firstLine="537" w:firstLineChars="224"/>
        <w:rPr>
          <w:rFonts w:ascii="宋体" w:hAnsi="宋体"/>
          <w:sz w:val="24"/>
          <w:szCs w:val="24"/>
        </w:rPr>
      </w:pPr>
      <w:r>
        <w:rPr>
          <w:rFonts w:hint="eastAsia" w:ascii="宋体" w:hAnsi="宋体"/>
          <w:kern w:val="0"/>
          <w:sz w:val="24"/>
        </w:rPr>
        <w:t>7．专职安全员须具有在有效期内的安全生产考核合格证（C类）或建筑施工企业专职安全生产管理人员安全生产考核合格证书（C3）</w:t>
      </w:r>
      <w:r>
        <w:rPr>
          <w:rFonts w:hint="eastAsia" w:ascii="宋体" w:hAnsi="宋体"/>
          <w:sz w:val="24"/>
          <w:szCs w:val="24"/>
        </w:rPr>
        <w:t>。</w:t>
      </w:r>
    </w:p>
    <w:p w14:paraId="783E7715">
      <w:pPr>
        <w:spacing w:line="360" w:lineRule="auto"/>
        <w:ind w:firstLine="537" w:firstLineChars="224"/>
        <w:rPr>
          <w:rFonts w:ascii="宋体"/>
          <w:sz w:val="24"/>
        </w:rPr>
      </w:pPr>
      <w:r>
        <w:rPr>
          <w:rFonts w:hint="eastAsia" w:ascii="宋体" w:hAnsi="宋体"/>
          <w:sz w:val="24"/>
        </w:rPr>
        <w:t>8</w:t>
      </w:r>
      <w:r>
        <w:rPr>
          <w:rFonts w:hint="eastAsia" w:ascii="宋体" w:hAnsi="宋体"/>
          <w:kern w:val="0"/>
          <w:sz w:val="24"/>
        </w:rPr>
        <w:t>．</w:t>
      </w:r>
      <w:r>
        <w:rPr>
          <w:rFonts w:hint="eastAsia" w:ascii="宋体" w:hAnsi="宋体"/>
          <w:sz w:val="24"/>
        </w:rPr>
        <w:t>投标人已按照附件一的内容签署盖章的投标人声明。</w:t>
      </w:r>
    </w:p>
    <w:p w14:paraId="7590DBB1">
      <w:pPr>
        <w:spacing w:line="360" w:lineRule="auto"/>
        <w:ind w:firstLine="537" w:firstLineChars="224"/>
        <w:rPr>
          <w:rFonts w:ascii="宋体"/>
          <w:sz w:val="24"/>
          <w:szCs w:val="24"/>
        </w:rPr>
      </w:pPr>
      <w:r>
        <w:rPr>
          <w:rFonts w:hint="eastAsia" w:ascii="宋体" w:hAnsi="宋体"/>
          <w:sz w:val="24"/>
        </w:rPr>
        <w:t>9．关于联合体投标：</w:t>
      </w:r>
      <w:r>
        <w:rPr>
          <w:rFonts w:hint="eastAsia" w:ascii="宋体" w:hAnsi="宋体" w:cs="宋体"/>
          <w:kern w:val="0"/>
          <w:sz w:val="24"/>
          <w:szCs w:val="24"/>
          <w:u w:val="single"/>
        </w:rPr>
        <w:t>本项目不接受联合体投标</w:t>
      </w:r>
      <w:r>
        <w:rPr>
          <w:rFonts w:hint="eastAsia" w:ascii="宋体" w:hAnsi="宋体"/>
          <w:sz w:val="24"/>
          <w:szCs w:val="24"/>
        </w:rPr>
        <w:t>。</w:t>
      </w:r>
    </w:p>
    <w:p w14:paraId="4066E96E">
      <w:pPr>
        <w:spacing w:line="360" w:lineRule="auto"/>
        <w:ind w:firstLine="537" w:firstLineChars="224"/>
        <w:rPr>
          <w:rFonts w:ascii="宋体" w:hAnsi="宋体"/>
          <w:sz w:val="24"/>
        </w:rPr>
      </w:pPr>
      <w:r>
        <w:rPr>
          <w:rFonts w:hint="eastAsia" w:ascii="宋体" w:hAnsi="宋体"/>
          <w:sz w:val="24"/>
        </w:rPr>
        <w:t>10．资格审查前，</w:t>
      </w:r>
      <w:r>
        <w:rPr>
          <w:rFonts w:hint="eastAsia" w:ascii="宋体" w:hAnsi="宋体"/>
          <w:sz w:val="24"/>
          <w:szCs w:val="24"/>
        </w:rPr>
        <w:t>投标人须在广州市住房和城乡建设局建立企业信用档案及拟担任本工程项目负责人、专职安全员须是本企业信用档案中的在册人员。企业信用档案取自投标截止时间投标人在信用管理平台内的信息，</w:t>
      </w:r>
      <w:r>
        <w:rPr>
          <w:rFonts w:hint="eastAsia" w:ascii="宋体" w:hAnsi="宋体"/>
          <w:sz w:val="24"/>
        </w:rPr>
        <w:t>投标人</w:t>
      </w:r>
      <w:r>
        <w:rPr>
          <w:rFonts w:hint="eastAsia" w:ascii="宋体" w:hAnsi="宋体"/>
          <w:sz w:val="24"/>
          <w:szCs w:val="24"/>
        </w:rPr>
        <w:t>无需提交相关资料，若招标人延长递交投标文件截止时间的，信用档案信息的评审时点也相应延长。</w:t>
      </w:r>
      <w:r>
        <w:rPr>
          <w:rFonts w:hint="eastAsia" w:ascii="宋体" w:hAnsi="宋体" w:cs="宋体"/>
          <w:sz w:val="24"/>
        </w:rPr>
        <w:t>（信用档案办理详见《广州市住建行业信用管理平台施工企业信息录入指引》http://zfcj.gz.gov.cn/zwgk/zsdwxxgkzl/gzsjzyglfwzx/bszy/content/post_8484886.html）</w:t>
      </w:r>
      <w:r>
        <w:rPr>
          <w:rFonts w:hint="eastAsia" w:ascii="宋体" w:hAnsi="宋体"/>
          <w:sz w:val="24"/>
        </w:rPr>
        <w:t>。</w:t>
      </w:r>
    </w:p>
    <w:p w14:paraId="32EAC711">
      <w:pPr>
        <w:spacing w:line="360" w:lineRule="auto"/>
        <w:ind w:firstLine="537" w:firstLineChars="224"/>
        <w:rPr>
          <w:rFonts w:ascii="宋体" w:hAnsi="宋体"/>
          <w:sz w:val="24"/>
          <w:szCs w:val="24"/>
        </w:rPr>
      </w:pPr>
      <w:r>
        <w:rPr>
          <w:rFonts w:hint="eastAsia" w:ascii="宋体" w:hAnsi="宋体"/>
          <w:sz w:val="24"/>
        </w:rPr>
        <w:t>11</w:t>
      </w:r>
      <w:r>
        <w:rPr>
          <w:rFonts w:hint="eastAsia" w:ascii="宋体" w:hAnsi="宋体"/>
          <w:kern w:val="0"/>
          <w:sz w:val="24"/>
        </w:rPr>
        <w:t>．</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sz w:val="24"/>
          <w:szCs w:val="24"/>
          <w:u w:val="single"/>
        </w:rPr>
        <w:t>相关投标均无效</w:t>
      </w:r>
      <w:r>
        <w:rPr>
          <w:rFonts w:hint="eastAsia" w:ascii="宋体" w:hAnsi="宋体"/>
          <w:sz w:val="24"/>
          <w:szCs w:val="24"/>
        </w:rPr>
        <w:t>。</w:t>
      </w:r>
    </w:p>
    <w:p w14:paraId="09E8436B">
      <w:pPr>
        <w:spacing w:line="360" w:lineRule="auto"/>
        <w:ind w:firstLine="537" w:firstLineChars="224"/>
        <w:rPr>
          <w:rFonts w:ascii="宋体" w:hAnsi="宋体"/>
          <w:sz w:val="24"/>
          <w:szCs w:val="24"/>
        </w:rPr>
      </w:pPr>
      <w:r>
        <w:rPr>
          <w:rFonts w:hint="eastAsia" w:ascii="宋体" w:hAnsi="宋体"/>
          <w:sz w:val="24"/>
          <w:szCs w:val="24"/>
        </w:rPr>
        <w:t>12</w:t>
      </w:r>
      <w:r>
        <w:rPr>
          <w:rFonts w:hint="eastAsia" w:ascii="宋体" w:hAnsi="宋体"/>
          <w:kern w:val="0"/>
          <w:sz w:val="24"/>
        </w:rPr>
        <w:t>．</w:t>
      </w:r>
      <w:r>
        <w:rPr>
          <w:rFonts w:hint="eastAsia" w:ascii="宋体" w:hAnsi="宋体" w:cs="宋体"/>
          <w:sz w:val="24"/>
          <w:szCs w:val="24"/>
        </w:rPr>
        <w:t>投标人</w:t>
      </w:r>
      <w:r>
        <w:rPr>
          <w:rFonts w:hint="eastAsia" w:ascii="宋体" w:hAnsi="宋体"/>
          <w:sz w:val="24"/>
          <w:szCs w:val="24"/>
        </w:rPr>
        <w:t>未被列入拖欠农民工工资失信联合惩戒对象名单（投标人无需提供资料，按投标截止时间广州交易集团有限公司（广州公共资源交易中心）交易系统比对的结果进行评审）。</w:t>
      </w:r>
    </w:p>
    <w:p w14:paraId="731AB7E3">
      <w:pPr>
        <w:spacing w:line="360" w:lineRule="auto"/>
        <w:ind w:firstLine="537" w:firstLineChars="224"/>
        <w:rPr>
          <w:rFonts w:ascii="宋体" w:hAnsi="宋体"/>
          <w:sz w:val="24"/>
        </w:rPr>
      </w:pPr>
      <w:r>
        <w:rPr>
          <w:rFonts w:hint="eastAsia" w:ascii="宋体" w:hAnsi="宋体"/>
          <w:sz w:val="24"/>
          <w:szCs w:val="24"/>
        </w:rPr>
        <w:t>注：</w:t>
      </w:r>
      <w:r>
        <w:rPr>
          <w:rFonts w:hint="eastAsia" w:ascii="宋体" w:hAnsi="宋体"/>
          <w:sz w:val="24"/>
        </w:rPr>
        <w:t>未在招标公告第九条单列的资审合格条件，不作为资审不合格的依据。</w:t>
      </w:r>
    </w:p>
    <w:p w14:paraId="7ED18299">
      <w:pPr>
        <w:snapToGrid w:val="0"/>
        <w:spacing w:line="360" w:lineRule="auto"/>
        <w:ind w:firstLine="480" w:firstLineChars="200"/>
        <w:rPr>
          <w:rFonts w:ascii="宋体" w:cs="宋体"/>
          <w:sz w:val="24"/>
          <w:szCs w:val="24"/>
        </w:rPr>
      </w:pPr>
      <w:r>
        <w:rPr>
          <w:rFonts w:hint="eastAsia" w:ascii="宋体" w:hAnsi="宋体" w:cs="宋体"/>
          <w:sz w:val="24"/>
          <w:szCs w:val="24"/>
        </w:rPr>
        <w:t>十、资格审查方式：</w:t>
      </w:r>
    </w:p>
    <w:p w14:paraId="707658DD">
      <w:pPr>
        <w:widowControl/>
        <w:snapToGrid w:val="0"/>
        <w:spacing w:line="360"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14:paraId="400EEDA1">
      <w:pPr>
        <w:snapToGrid w:val="0"/>
        <w:spacing w:line="360" w:lineRule="auto"/>
        <w:ind w:firstLine="482"/>
        <w:rPr>
          <w:rFonts w:ascii="宋体" w:hAnsi="宋体"/>
          <w:bCs/>
          <w:sz w:val="24"/>
        </w:rPr>
      </w:pPr>
      <w:r>
        <w:rPr>
          <w:rFonts w:hint="eastAsia" w:ascii="宋体" w:hAnsi="宋体"/>
          <w:sz w:val="24"/>
        </w:rPr>
        <w:t>十一、资格审查结果将在</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14:paraId="19C4216A">
      <w:pPr>
        <w:snapToGrid w:val="0"/>
        <w:spacing w:line="360" w:lineRule="auto"/>
        <w:ind w:firstLine="482"/>
        <w:rPr>
          <w:rFonts w:ascii="宋体" w:hAnsi="宋体"/>
          <w:sz w:val="24"/>
        </w:rPr>
      </w:pPr>
      <w:r>
        <w:rPr>
          <w:rFonts w:hint="eastAsia" w:ascii="宋体" w:hAnsi="宋体"/>
          <w:sz w:val="24"/>
        </w:rPr>
        <w:t>十二、满足资格审查合格条件的投标人不足3名或通过有效性审查的投标人不足3名时为招标失败。招标人分析招标失败原因，修正招标方案，报有关管理部门核准后，重新组织招标。</w:t>
      </w:r>
    </w:p>
    <w:p w14:paraId="70DEEEF4">
      <w:pPr>
        <w:snapToGrid w:val="0"/>
        <w:spacing w:line="360" w:lineRule="auto"/>
        <w:ind w:firstLine="482"/>
        <w:rPr>
          <w:rFonts w:ascii="宋体" w:hAns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CAD47AD">
      <w:pPr>
        <w:snapToGrid w:val="0"/>
        <w:spacing w:line="360" w:lineRule="auto"/>
        <w:ind w:firstLine="482"/>
        <w:rPr>
          <w:rFonts w:ascii="宋体" w:hAnsi="宋体"/>
          <w:sz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C26804F">
      <w:pPr>
        <w:snapToGrid w:val="0"/>
        <w:spacing w:line="360" w:lineRule="auto"/>
        <w:ind w:firstLine="480" w:firstLineChars="200"/>
        <w:rPr>
          <w:rFonts w:ascii="宋体" w:hAnsi="宋体"/>
          <w:sz w:val="24"/>
        </w:rPr>
      </w:pPr>
      <w:r>
        <w:rPr>
          <w:rFonts w:hint="eastAsia" w:ascii="宋体" w:hAnsi="宋体"/>
          <w:sz w:val="24"/>
        </w:rPr>
        <w:t>十五、潜在投标人或利害关系人对本招标公告及招标文件有异议的，应当在投标截止时间10日前向招标人书面提出。</w:t>
      </w:r>
    </w:p>
    <w:p w14:paraId="653FEAF0">
      <w:pPr>
        <w:tabs>
          <w:tab w:val="center" w:pos="4415"/>
        </w:tabs>
        <w:spacing w:line="360" w:lineRule="auto"/>
        <w:ind w:firstLine="1015" w:firstLineChars="423"/>
        <w:rPr>
          <w:rFonts w:ascii="宋体" w:hAnsi="宋体" w:cs="宋体"/>
          <w:sz w:val="24"/>
          <w:szCs w:val="24"/>
        </w:rPr>
      </w:pPr>
      <w:r>
        <w:rPr>
          <w:rFonts w:hint="eastAsia" w:ascii="宋体" w:hAnsi="宋体"/>
          <w:sz w:val="24"/>
        </w:rPr>
        <w:t>异议受理部门：</w:t>
      </w:r>
      <w:r>
        <w:rPr>
          <w:rFonts w:hint="eastAsia" w:ascii="宋体" w:hAnsi="宋体"/>
          <w:sz w:val="24"/>
          <w:szCs w:val="24"/>
          <w:u w:val="single"/>
        </w:rPr>
        <w:t>广州市天河区车陂街车陂股份合作经济联社</w:t>
      </w:r>
    </w:p>
    <w:p w14:paraId="74D39565">
      <w:pPr>
        <w:tabs>
          <w:tab w:val="center" w:pos="4415"/>
        </w:tabs>
        <w:spacing w:line="360" w:lineRule="auto"/>
        <w:ind w:firstLine="1015" w:firstLineChars="423"/>
        <w:rPr>
          <w:rFonts w:ascii="宋体" w:hAnsi="宋体" w:cs="宋体"/>
          <w:sz w:val="24"/>
          <w:u w:val="single"/>
        </w:rPr>
      </w:pPr>
      <w:r>
        <w:rPr>
          <w:rFonts w:hint="eastAsia" w:ascii="宋体" w:hAnsi="宋体" w:cs="宋体"/>
          <w:sz w:val="24"/>
          <w:szCs w:val="24"/>
        </w:rPr>
        <w:t>联系人：</w:t>
      </w:r>
      <w:r>
        <w:rPr>
          <w:rFonts w:hint="eastAsia" w:ascii="宋体" w:hAnsi="宋体"/>
          <w:sz w:val="24"/>
          <w:szCs w:val="24"/>
          <w:u w:val="single"/>
        </w:rPr>
        <w:t>苏</w:t>
      </w:r>
      <w:r>
        <w:rPr>
          <w:rFonts w:hint="eastAsia" w:ascii="宋体" w:hAnsi="宋体" w:cs="宋体"/>
          <w:sz w:val="24"/>
          <w:szCs w:val="24"/>
          <w:u w:val="single"/>
        </w:rPr>
        <w:t>先生</w:t>
      </w:r>
      <w:r>
        <w:rPr>
          <w:rFonts w:ascii="宋体" w:hAnsi="宋体" w:cs="宋体"/>
          <w:sz w:val="24"/>
          <w:szCs w:val="24"/>
        </w:rPr>
        <w:t xml:space="preserve">         </w:t>
      </w:r>
      <w:r>
        <w:rPr>
          <w:rFonts w:hint="eastAsia" w:ascii="宋体" w:hAnsi="宋体" w:cs="宋体"/>
          <w:sz w:val="24"/>
          <w:szCs w:val="24"/>
        </w:rPr>
        <w:t>联系电话：</w:t>
      </w:r>
      <w:r>
        <w:rPr>
          <w:rFonts w:hint="eastAsia" w:ascii="宋体" w:hAnsi="宋体"/>
          <w:sz w:val="24"/>
          <w:szCs w:val="24"/>
          <w:u w:val="single"/>
        </w:rPr>
        <w:t>020-82161155</w:t>
      </w:r>
    </w:p>
    <w:p w14:paraId="6CB9200A">
      <w:pPr>
        <w:spacing w:line="360" w:lineRule="auto"/>
        <w:ind w:firstLine="1017" w:firstLineChars="424"/>
        <w:rPr>
          <w:rFonts w:ascii="宋体" w:hAnsi="宋体"/>
          <w:sz w:val="24"/>
          <w:u w:val="single"/>
        </w:rPr>
      </w:pPr>
      <w:r>
        <w:rPr>
          <w:rFonts w:hint="eastAsia" w:ascii="宋体" w:hAnsi="宋体" w:cs="宋体"/>
          <w:sz w:val="24"/>
        </w:rPr>
        <w:t>联系地址：</w:t>
      </w:r>
      <w:r>
        <w:rPr>
          <w:rFonts w:hint="eastAsia" w:ascii="宋体" w:hAnsi="宋体"/>
          <w:sz w:val="24"/>
          <w:szCs w:val="24"/>
          <w:u w:val="single"/>
        </w:rPr>
        <w:t>广州市天河区车陂美东街28号</w:t>
      </w:r>
      <w:r>
        <w:rPr>
          <w:rFonts w:hint="eastAsia" w:ascii="宋体" w:hAnsi="宋体" w:cs="宋体"/>
          <w:color w:val="000000"/>
          <w:sz w:val="24"/>
          <w:u w:val="single"/>
        </w:rPr>
        <w:t xml:space="preserve"> </w:t>
      </w:r>
    </w:p>
    <w:p w14:paraId="57A71F70">
      <w:pPr>
        <w:snapToGrid w:val="0"/>
        <w:spacing w:line="360" w:lineRule="auto"/>
        <w:ind w:firstLine="480" w:firstLineChars="200"/>
        <w:rPr>
          <w:rFonts w:ascii="宋体" w:hAnsi="宋体"/>
          <w:sz w:val="24"/>
        </w:rPr>
      </w:pPr>
      <w:r>
        <w:rPr>
          <w:rFonts w:hint="eastAsia" w:ascii="宋体" w:hAnsi="宋体"/>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DFCAC66">
      <w:pPr>
        <w:snapToGrid w:val="0"/>
        <w:spacing w:line="360" w:lineRule="auto"/>
        <w:ind w:firstLine="482"/>
        <w:rPr>
          <w:rFonts w:ascii="宋体" w:hAnsi="宋体"/>
          <w:sz w:val="24"/>
        </w:rPr>
      </w:pPr>
      <w:r>
        <w:rPr>
          <w:rFonts w:hint="eastAsia" w:ascii="宋体" w:hAnsi="宋体"/>
          <w:sz w:val="24"/>
        </w:rPr>
        <w:t>十六、本公告在广州交易集团有限公司（广州公共资源交易中心）网站（网址：http://www.gzggzy.cn）、广东省招标投标监管网（网址：http://zbtb.gd.gov.cn）、中国招标投标公共服务平台（网址：http://www.cebpubservice.com）发布，本公告的修改、补充，在广州交易集团有限公司（广州公共资源交易中心）网站发布。</w:t>
      </w:r>
    </w:p>
    <w:p w14:paraId="48AD19CC">
      <w:pPr>
        <w:snapToGrid w:val="0"/>
        <w:spacing w:line="360" w:lineRule="auto"/>
        <w:ind w:firstLine="482"/>
        <w:rPr>
          <w:rFonts w:ascii="宋体" w:hAns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14:paraId="66887769">
      <w:pPr>
        <w:snapToGrid w:val="0"/>
        <w:spacing w:line="360" w:lineRule="auto"/>
        <w:ind w:firstLine="482"/>
        <w:rPr>
          <w:rFonts w:ascii="宋体" w:hAnsi="宋体"/>
          <w:sz w:val="24"/>
        </w:rPr>
      </w:pPr>
      <w:r>
        <w:rPr>
          <w:rFonts w:hint="eastAsia" w:ascii="宋体" w:hAnsi="宋体"/>
          <w:sz w:val="24"/>
        </w:rPr>
        <w:t>十八、招标公告网上发布时，同时发布招标文件、最高投标限价。招标公告发布之日起计算编制投标文件时间，编制投标文件的时间不得少于20天。</w:t>
      </w:r>
    </w:p>
    <w:p w14:paraId="5DA12718">
      <w:pPr>
        <w:snapToGrid w:val="0"/>
        <w:spacing w:line="360" w:lineRule="auto"/>
        <w:ind w:firstLine="482"/>
        <w:rPr>
          <w:rFonts w:ascii="宋体" w:hAnsi="宋体"/>
          <w:sz w:val="24"/>
        </w:rPr>
      </w:pPr>
      <w:r>
        <w:rPr>
          <w:rFonts w:hint="eastAsia" w:ascii="宋体" w:hAnsi="宋体"/>
          <w:sz w:val="24"/>
        </w:rPr>
        <w:t>十九、 《投诉处理决定书》和《行政处理决定书》在广州市住房和城乡建设局网站上公布的，视为送达其他与决定书有关的当事人。</w:t>
      </w:r>
    </w:p>
    <w:p w14:paraId="1688B63C">
      <w:pPr>
        <w:snapToGrid w:val="0"/>
        <w:spacing w:line="360" w:lineRule="auto"/>
        <w:ind w:firstLine="482"/>
        <w:rPr>
          <w:rFonts w:ascii="宋体" w:hAnsi="宋体"/>
          <w:sz w:val="24"/>
        </w:rPr>
      </w:pPr>
      <w:r>
        <w:rPr>
          <w:rFonts w:hint="eastAsia" w:ascii="宋体" w:hAnsi="宋体"/>
          <w:sz w:val="24"/>
        </w:rPr>
        <w:t>特别提示：投标人在本项目招标人的工程项目中存在下列行为的，将被拒绝一年内参与招标人后续工程投标。（注：拒绝投标时限由招标人视严重程度确定，最低三个月起，自招标人发出通知之日起计）：</w:t>
      </w:r>
    </w:p>
    <w:p w14:paraId="30F67134">
      <w:pPr>
        <w:snapToGrid w:val="0"/>
        <w:spacing w:line="360" w:lineRule="auto"/>
        <w:ind w:firstLine="482"/>
        <w:rPr>
          <w:rFonts w:ascii="宋体" w:hAnsi="宋体"/>
          <w:sz w:val="24"/>
        </w:rPr>
      </w:pPr>
      <w:r>
        <w:rPr>
          <w:rFonts w:hint="eastAsia" w:ascii="宋体" w:hAnsi="宋体"/>
          <w:sz w:val="24"/>
        </w:rPr>
        <w:t>1.将中标工程转包或者违法分包的;</w:t>
      </w:r>
    </w:p>
    <w:p w14:paraId="78DDFD58">
      <w:pPr>
        <w:snapToGrid w:val="0"/>
        <w:spacing w:line="360" w:lineRule="auto"/>
        <w:ind w:firstLine="482"/>
        <w:rPr>
          <w:rFonts w:ascii="宋体" w:hAnsi="宋体"/>
          <w:sz w:val="24"/>
        </w:rPr>
      </w:pPr>
      <w:r>
        <w:rPr>
          <w:rFonts w:hint="eastAsia" w:ascii="宋体" w:hAnsi="宋体"/>
          <w:sz w:val="24"/>
        </w:rPr>
        <w:t>2.在中标工程中不执行质量、安全生产相关规定的，造成质量或安全事故的；</w:t>
      </w:r>
    </w:p>
    <w:p w14:paraId="308A7B7A">
      <w:pPr>
        <w:snapToGrid w:val="0"/>
        <w:spacing w:line="360" w:lineRule="auto"/>
        <w:ind w:firstLine="482"/>
        <w:rPr>
          <w:rFonts w:ascii="宋体" w:hAnsi="宋体"/>
          <w:sz w:val="24"/>
        </w:rPr>
      </w:pPr>
      <w:r>
        <w:rPr>
          <w:rFonts w:hint="eastAsia" w:ascii="宋体" w:hAnsi="宋体"/>
          <w:sz w:val="24"/>
        </w:rPr>
        <w:t>3.存在围标或串标情形的;</w:t>
      </w:r>
    </w:p>
    <w:p w14:paraId="1F34BDB9">
      <w:pPr>
        <w:snapToGrid w:val="0"/>
        <w:spacing w:line="360" w:lineRule="auto"/>
        <w:ind w:firstLine="482"/>
        <w:rPr>
          <w:rFonts w:ascii="宋体" w:hAnsi="宋体"/>
          <w:sz w:val="24"/>
        </w:rPr>
      </w:pPr>
      <w:r>
        <w:rPr>
          <w:rFonts w:hint="eastAsia" w:ascii="宋体" w:hAnsi="宋体"/>
          <w:sz w:val="24"/>
        </w:rPr>
        <w:t>4.在投标文件中提供虚假材料的;</w:t>
      </w:r>
    </w:p>
    <w:p w14:paraId="6F9AB4DD">
      <w:pPr>
        <w:snapToGrid w:val="0"/>
        <w:spacing w:line="360" w:lineRule="auto"/>
        <w:ind w:firstLine="482"/>
        <w:rPr>
          <w:rFonts w:ascii="宋体" w:hAnsi="宋体"/>
          <w:sz w:val="24"/>
        </w:rPr>
      </w:pPr>
      <w:r>
        <w:rPr>
          <w:rFonts w:hint="eastAsia" w:ascii="宋体" w:hAnsi="宋体"/>
          <w:sz w:val="24"/>
        </w:rPr>
        <w:t>5.存在行贿情形的;</w:t>
      </w:r>
    </w:p>
    <w:p w14:paraId="34273374">
      <w:pPr>
        <w:snapToGrid w:val="0"/>
        <w:spacing w:line="360" w:lineRule="auto"/>
        <w:ind w:firstLine="482"/>
        <w:rPr>
          <w:rFonts w:ascii="宋体" w:hAnsi="宋体"/>
          <w:sz w:val="24"/>
        </w:rPr>
      </w:pPr>
      <w:r>
        <w:rPr>
          <w:rFonts w:hint="eastAsia" w:ascii="宋体" w:hAnsi="宋体"/>
          <w:sz w:val="24"/>
        </w:rPr>
        <w:t>6.拖欠农民工工资的；</w:t>
      </w:r>
    </w:p>
    <w:p w14:paraId="588331B7">
      <w:pPr>
        <w:snapToGrid w:val="0"/>
        <w:spacing w:line="360" w:lineRule="auto"/>
        <w:ind w:firstLine="482"/>
        <w:rPr>
          <w:rFonts w:ascii="宋体" w:hAnsi="宋体"/>
          <w:sz w:val="24"/>
        </w:rPr>
      </w:pPr>
      <w:r>
        <w:rPr>
          <w:rFonts w:hint="eastAsia" w:ascii="宋体" w:hAnsi="宋体"/>
          <w:sz w:val="24"/>
        </w:rPr>
        <w:t>7.未按照国家、省、市有关建筑施工实名制管理和工人工资支付分账管理的规定执行，被行政监管部门处罚的；</w:t>
      </w:r>
    </w:p>
    <w:p w14:paraId="6D32387F">
      <w:pPr>
        <w:snapToGrid w:val="0"/>
        <w:spacing w:line="360" w:lineRule="auto"/>
        <w:ind w:firstLine="482"/>
        <w:rPr>
          <w:rFonts w:ascii="宋体" w:hAnsi="宋体"/>
          <w:sz w:val="24"/>
        </w:rPr>
      </w:pPr>
      <w:r>
        <w:rPr>
          <w:rFonts w:hint="eastAsia" w:ascii="宋体" w:hAnsi="宋体"/>
          <w:sz w:val="24"/>
        </w:rPr>
        <w:t>8.中标人在项目实施过程中选取的专业分包单位或劳务企业或劳务班组长与投标时不一致的（如有）。</w:t>
      </w:r>
    </w:p>
    <w:p w14:paraId="2806CF4C">
      <w:pPr>
        <w:spacing w:line="360" w:lineRule="auto"/>
        <w:ind w:firstLine="420"/>
        <w:jc w:val="right"/>
        <w:rPr>
          <w:rFonts w:ascii="宋体" w:hAnsi="宋体" w:cs="宋体"/>
          <w:sz w:val="24"/>
          <w:szCs w:val="24"/>
        </w:rPr>
      </w:pPr>
    </w:p>
    <w:p w14:paraId="36EEF0B6">
      <w:pPr>
        <w:tabs>
          <w:tab w:val="center" w:pos="4415"/>
        </w:tabs>
        <w:spacing w:line="360" w:lineRule="auto"/>
        <w:ind w:firstLine="1015" w:firstLineChars="423"/>
        <w:jc w:val="right"/>
        <w:rPr>
          <w:rFonts w:ascii="宋体" w:hAnsi="宋体" w:cs="宋体"/>
          <w:sz w:val="24"/>
          <w:szCs w:val="24"/>
        </w:rPr>
      </w:pPr>
      <w:r>
        <w:rPr>
          <w:rFonts w:hint="eastAsia" w:ascii="宋体" w:hAnsi="宋体" w:cs="宋体"/>
          <w:sz w:val="24"/>
          <w:szCs w:val="24"/>
        </w:rPr>
        <w:t>招 标 人：广州市天河区车陂街车陂股份合作经济联社</w:t>
      </w:r>
    </w:p>
    <w:p w14:paraId="24FD89FC">
      <w:pPr>
        <w:tabs>
          <w:tab w:val="center" w:pos="4415"/>
        </w:tabs>
        <w:spacing w:line="360" w:lineRule="auto"/>
        <w:ind w:firstLine="1015" w:firstLineChars="423"/>
        <w:jc w:val="right"/>
        <w:rPr>
          <w:rFonts w:ascii="宋体" w:hAnsi="宋体" w:cs="宋体"/>
          <w:sz w:val="24"/>
          <w:szCs w:val="24"/>
        </w:rPr>
      </w:pPr>
      <w:r>
        <w:rPr>
          <w:rFonts w:hint="eastAsia" w:ascii="宋体" w:hAnsi="宋体" w:cs="宋体"/>
          <w:sz w:val="24"/>
          <w:szCs w:val="24"/>
        </w:rPr>
        <w:t xml:space="preserve">                  </w:t>
      </w:r>
    </w:p>
    <w:p w14:paraId="07843CFD">
      <w:pPr>
        <w:tabs>
          <w:tab w:val="left" w:pos="3060"/>
        </w:tabs>
        <w:spacing w:line="360" w:lineRule="auto"/>
        <w:ind w:right="27" w:firstLine="540" w:firstLineChars="225"/>
        <w:jc w:val="right"/>
        <w:rPr>
          <w:rFonts w:ascii="宋体" w:hAnsi="宋体" w:cs="宋体"/>
          <w:sz w:val="24"/>
          <w:szCs w:val="24"/>
        </w:rPr>
      </w:pPr>
      <w:r>
        <w:rPr>
          <w:rFonts w:hint="eastAsia" w:ascii="宋体" w:hAnsi="宋体" w:cs="宋体"/>
          <w:sz w:val="24"/>
          <w:szCs w:val="24"/>
        </w:rPr>
        <w:t xml:space="preserve">招标代理机构：广东省建筑工程监理有限公司                    </w:t>
      </w:r>
    </w:p>
    <w:p w14:paraId="5A60B8D7">
      <w:pPr>
        <w:wordWrap w:val="0"/>
        <w:spacing w:line="360" w:lineRule="auto"/>
        <w:ind w:right="480"/>
        <w:jc w:val="right"/>
        <w:rPr>
          <w:rFonts w:ascii="宋体" w:hAnsi="宋体" w:cs="宋体"/>
          <w:sz w:val="24"/>
          <w:szCs w:val="24"/>
        </w:rPr>
      </w:pPr>
      <w:r>
        <w:rPr>
          <w:rFonts w:hint="eastAsia" w:ascii="宋体" w:hAnsi="宋体" w:cs="宋体"/>
          <w:kern w:val="0"/>
          <w:sz w:val="24"/>
          <w:szCs w:val="24"/>
        </w:rPr>
        <w:t>2025</w:t>
      </w:r>
      <w:r>
        <w:rPr>
          <w:rFonts w:hint="eastAsia" w:ascii="宋体" w:hAnsi="宋体" w:cs="宋体"/>
          <w:sz w:val="24"/>
          <w:szCs w:val="24"/>
        </w:rPr>
        <w:t>年  月  日</w:t>
      </w:r>
    </w:p>
    <w:p w14:paraId="195446EA">
      <w:pPr>
        <w:spacing w:line="36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720" w:num="1"/>
          <w:docGrid w:type="lines" w:linePitch="312" w:charSpace="0"/>
        </w:sectPr>
      </w:pPr>
    </w:p>
    <w:p w14:paraId="47685B1E">
      <w:pPr>
        <w:spacing w:line="360" w:lineRule="auto"/>
        <w:rPr>
          <w:b/>
          <w:sz w:val="44"/>
        </w:rPr>
      </w:pPr>
      <w:r>
        <w:rPr>
          <w:rFonts w:hint="eastAsia" w:ascii="宋体" w:hAnsi="宋体"/>
          <w:sz w:val="24"/>
        </w:rPr>
        <w:t>附件一：</w:t>
      </w:r>
    </w:p>
    <w:p w14:paraId="55753453">
      <w:pPr>
        <w:spacing w:line="360" w:lineRule="auto"/>
        <w:jc w:val="center"/>
        <w:rPr>
          <w:b/>
          <w:sz w:val="44"/>
          <w:szCs w:val="44"/>
        </w:rPr>
      </w:pPr>
      <w:r>
        <w:rPr>
          <w:rFonts w:hint="eastAsia"/>
          <w:b/>
          <w:kern w:val="0"/>
          <w:sz w:val="44"/>
          <w:szCs w:val="44"/>
        </w:rPr>
        <w:t>投标人</w:t>
      </w:r>
      <w:r>
        <w:rPr>
          <w:rFonts w:hint="eastAsia"/>
          <w:b/>
          <w:sz w:val="44"/>
          <w:szCs w:val="44"/>
        </w:rPr>
        <w:t>声明</w:t>
      </w:r>
    </w:p>
    <w:p w14:paraId="0624DEE4">
      <w:pPr>
        <w:spacing w:line="360" w:lineRule="auto"/>
        <w:jc w:val="center"/>
        <w:rPr>
          <w:b/>
          <w:sz w:val="44"/>
          <w:szCs w:val="44"/>
        </w:rPr>
      </w:pPr>
    </w:p>
    <w:p w14:paraId="14815CF8">
      <w:pPr>
        <w:pStyle w:val="25"/>
        <w:ind w:firstLine="0"/>
        <w:rPr>
          <w:rFonts w:ascii="宋体" w:hAnsi="宋体" w:eastAsia="宋体" w:cs="宋体"/>
          <w:color w:val="auto"/>
          <w:sz w:val="21"/>
          <w:szCs w:val="21"/>
        </w:rPr>
      </w:pPr>
      <w:r>
        <w:rPr>
          <w:rFonts w:hint="eastAsia" w:ascii="宋体" w:hAnsi="宋体" w:eastAsia="宋体" w:cs="宋体"/>
          <w:color w:val="auto"/>
          <w:sz w:val="21"/>
          <w:szCs w:val="21"/>
        </w:rPr>
        <w:t>招投标监管单位及招标人：</w:t>
      </w:r>
    </w:p>
    <w:p w14:paraId="7ACC5F82">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本公司就参加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投标工作，作出郑重声明：</w:t>
      </w:r>
    </w:p>
    <w:p w14:paraId="63DB10D3">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14:paraId="0E153384">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97F9582">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三、本公司不存在下列情形之一：</w:t>
      </w:r>
    </w:p>
    <w:p w14:paraId="65D6D933">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（1）为招标人不具有独立法人资格的附属机构（单位）；</w:t>
      </w:r>
    </w:p>
    <w:p w14:paraId="760558C1">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（2）为本标段前期准备提供设计或咨询服务或者与本项目设计人或提供咨询服务的机构存在附属关系的；</w:t>
      </w:r>
    </w:p>
    <w:p w14:paraId="57CDFCEF">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（3）为本标段监理人或者与本标段监理人存在隶属关系或者其他利害关系；</w:t>
      </w:r>
    </w:p>
    <w:p w14:paraId="67E261EE">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（4）为本标段的代建人；</w:t>
      </w:r>
    </w:p>
    <w:p w14:paraId="0812DE84">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（5）为本标段提供招标代理服务的；</w:t>
      </w:r>
    </w:p>
    <w:p w14:paraId="3074B302">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（6）与本标段的监理人或代建人或招标代理机构同为一个法定代表人的；</w:t>
      </w:r>
    </w:p>
    <w:p w14:paraId="7C8F4854">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（7）与本标段的监理人或代建人或招标代理机构互相控股或参股的；</w:t>
      </w:r>
    </w:p>
    <w:p w14:paraId="4EDD860D">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（8）与本标段的监理人或代建人或招标代理机构相互任职或工作的；</w:t>
      </w:r>
    </w:p>
    <w:p w14:paraId="1C77EC3A">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（9）与本标段的检测机构有隶属关系或者其他利害关系；</w:t>
      </w:r>
    </w:p>
    <w:p w14:paraId="5036DE13">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（10）与招标人存在利害关系且可能影响招标公正性；  </w:t>
      </w:r>
    </w:p>
    <w:p w14:paraId="2CAA28C2">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14700F6B">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（12）被责令停产停业、暂扣或者吊销许可证、暂扣或者吊销执照的（本项事实应当以根据《中华人民共和国行政处罚法》依法作出并已经生效的行政处罚决定为认定依据。）；</w:t>
      </w:r>
    </w:p>
    <w:p w14:paraId="180799D6">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（13）进入清算程序，或被宣布破产，或其他丧失履约能力的情形；</w:t>
      </w:r>
    </w:p>
    <w:p w14:paraId="451C4D64">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04E28CE">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（15）法律法规规定的其他情形。</w:t>
      </w:r>
    </w:p>
    <w:p w14:paraId="1F4467BE">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四、本公司保证：</w:t>
      </w:r>
      <w:r>
        <w:rPr>
          <w:rFonts w:hint="eastAsia" w:ascii="宋体" w:hAnsi="宋体" w:eastAsia="宋体"/>
          <w:color w:val="auto"/>
          <w:sz w:val="21"/>
          <w:szCs w:val="21"/>
        </w:rPr>
        <w:t>本项目拟派的项目负责人没有在其他在建项目中任施工单位项目负责人，本项目拟派的专职安全员没有在其他在建项目中任职</w:t>
      </w:r>
      <w:r>
        <w:rPr>
          <w:rFonts w:hint="eastAsia" w:ascii="宋体" w:hAnsi="宋体" w:eastAsia="宋体" w:cs="宋体"/>
          <w:color w:val="auto"/>
          <w:sz w:val="21"/>
          <w:szCs w:val="21"/>
        </w:rPr>
        <w:t>。</w:t>
      </w:r>
    </w:p>
    <w:p w14:paraId="57B23244">
      <w:pPr>
        <w:spacing w:line="360" w:lineRule="auto"/>
        <w:ind w:firstLine="420" w:firstLineChars="200"/>
        <w:rPr>
          <w:rFonts w:ascii="宋体" w:hAnsi="宋体" w:cs="宋体"/>
          <w:kern w:val="0"/>
          <w:szCs w:val="21"/>
        </w:rPr>
      </w:pPr>
      <w:r>
        <w:rPr>
          <w:rFonts w:hint="eastAsia" w:ascii="宋体" w:hAnsi="宋体" w:cs="宋体"/>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C93AEEF">
      <w:pPr>
        <w:spacing w:line="360" w:lineRule="auto"/>
        <w:ind w:firstLine="420" w:firstLineChars="200"/>
        <w:rPr>
          <w:rFonts w:ascii="宋体" w:hAnsi="宋体" w:cs="宋体"/>
          <w:kern w:val="0"/>
          <w:szCs w:val="21"/>
        </w:rPr>
      </w:pPr>
      <w:r>
        <w:rPr>
          <w:rFonts w:hint="eastAsia" w:ascii="宋体" w:hAnsi="宋体" w:cs="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4EF2E39">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2B24E33C">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八、与本公司单位负责人为同一人或者与本公司存在控股、管理关系的其他单位包括：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。（注：本条由投标人如实填写，如有，应列出全部满足招标公告资质要求的相关单位的名称；如无，则填写“无”。）</w:t>
      </w:r>
    </w:p>
    <w:p w14:paraId="606508CE">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71DA7C73">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D2201CB">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十一、本公司违反上述保证，或本声明陈述与事实不符，</w:t>
      </w:r>
      <w:r>
        <w:rPr>
          <w:rFonts w:hint="eastAsia" w:ascii="宋体" w:hAnsi="宋体" w:eastAsia="宋体"/>
          <w:color w:val="auto"/>
          <w:sz w:val="21"/>
          <w:szCs w:val="21"/>
        </w:rPr>
        <w:t>一经查实将按相关规定进行信用记录。本公司对失信行为产生的一切后果已知悉。其中，本声明陈述与事实不符的，属于弄虚作假骗取中标，将依法接受监管部门的处罚</w:t>
      </w:r>
      <w:r>
        <w:rPr>
          <w:rFonts w:hint="eastAsia" w:ascii="宋体" w:hAnsi="宋体" w:eastAsia="宋体" w:cs="宋体"/>
          <w:color w:val="auto"/>
          <w:sz w:val="21"/>
          <w:szCs w:val="21"/>
        </w:rPr>
        <w:t>。</w:t>
      </w:r>
    </w:p>
    <w:p w14:paraId="2A9D3A13">
      <w:pPr>
        <w:pStyle w:val="25"/>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特此声明</w:t>
      </w:r>
    </w:p>
    <w:p w14:paraId="69F3F756">
      <w:pPr>
        <w:pStyle w:val="25"/>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 xml:space="preserve">                声明企业：</w:t>
      </w:r>
    </w:p>
    <w:p w14:paraId="4989DAFA">
      <w:pPr>
        <w:pStyle w:val="25"/>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14:paraId="4FC6F0F5">
      <w:pPr>
        <w:pStyle w:val="25"/>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14:paraId="66EB6F6F">
      <w:pPr>
        <w:pStyle w:val="25"/>
        <w:spacing w:line="480" w:lineRule="auto"/>
        <w:ind w:right="879" w:firstLine="1890" w:firstLineChars="900"/>
        <w:jc w:val="right"/>
        <w:rPr>
          <w:rFonts w:ascii="宋体" w:hAnsi="宋体" w:cs="宋体"/>
          <w:color w:val="auto"/>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14:paraId="285DE163">
      <w:pPr>
        <w:spacing w:line="360" w:lineRule="auto"/>
        <w:rPr>
          <w:rFonts w:ascii="宋体" w:hAnsi="宋体" w:cs="宋体"/>
          <w:szCs w:val="21"/>
        </w:rPr>
      </w:pPr>
    </w:p>
    <w:p w14:paraId="20342404"/>
    <w:p w14:paraId="597FC4D0">
      <w:pPr>
        <w:spacing w:line="360" w:lineRule="auto"/>
        <w:rPr>
          <w:rFonts w:ascii="宋体" w:hAnsi="宋体" w:cs="宋体"/>
          <w:kern w:val="0"/>
          <w:szCs w:val="21"/>
        </w:rPr>
      </w:pPr>
      <w:r>
        <w:rPr>
          <w:rFonts w:hint="eastAsia" w:ascii="宋体" w:hAnsi="宋体" w:cs="宋体"/>
          <w:szCs w:val="21"/>
        </w:rPr>
        <w:t>注：</w:t>
      </w:r>
      <w:r>
        <w:rPr>
          <w:rFonts w:hint="eastAsia" w:ascii="宋体" w:hAnsi="宋体" w:cs="宋体"/>
          <w:kern w:val="0"/>
          <w:szCs w:val="21"/>
        </w:rPr>
        <w:t>招标人应当要求投标人的项目负责人和技术负责人签字。</w:t>
      </w:r>
    </w:p>
    <w:p w14:paraId="69AE0A73">
      <w:pPr>
        <w:pStyle w:val="25"/>
        <w:ind w:right="879" w:firstLine="5040" w:firstLineChars="2400"/>
        <w:jc w:val="left"/>
        <w:outlineLvl w:val="0"/>
        <w:rPr>
          <w:rFonts w:ascii="宋体" w:hAnsi="宋体" w:eastAsia="宋体"/>
          <w:color w:val="auto"/>
          <w:sz w:val="21"/>
          <w:szCs w:val="21"/>
        </w:rPr>
      </w:pPr>
    </w:p>
    <w:p w14:paraId="192E5EBC">
      <w:pPr>
        <w:pStyle w:val="25"/>
        <w:ind w:right="879" w:firstLine="5040" w:firstLineChars="2400"/>
        <w:jc w:val="left"/>
        <w:outlineLvl w:val="0"/>
        <w:rPr>
          <w:rFonts w:ascii="宋体" w:hAnsi="宋体" w:eastAsia="宋体"/>
          <w:color w:val="auto"/>
          <w:sz w:val="21"/>
          <w:szCs w:val="21"/>
        </w:rPr>
      </w:pPr>
    </w:p>
    <w:p w14:paraId="09504B05">
      <w:pPr>
        <w:pStyle w:val="25"/>
        <w:ind w:right="879" w:firstLine="5040" w:firstLineChars="2400"/>
        <w:jc w:val="left"/>
        <w:outlineLvl w:val="0"/>
        <w:rPr>
          <w:rFonts w:ascii="宋体" w:hAnsi="宋体" w:eastAsia="宋体"/>
          <w:color w:val="auto"/>
          <w:sz w:val="21"/>
          <w:szCs w:val="21"/>
        </w:rPr>
      </w:pPr>
    </w:p>
    <w:p w14:paraId="072F9C74">
      <w:pPr>
        <w:pStyle w:val="25"/>
        <w:ind w:right="879" w:firstLine="5040" w:firstLineChars="2400"/>
        <w:jc w:val="left"/>
        <w:outlineLvl w:val="0"/>
        <w:rPr>
          <w:rFonts w:ascii="宋体" w:hAnsi="宋体" w:eastAsia="宋体"/>
          <w:color w:val="auto"/>
          <w:sz w:val="21"/>
          <w:szCs w:val="21"/>
        </w:rPr>
      </w:pPr>
    </w:p>
    <w:p w14:paraId="564A5294">
      <w:pPr>
        <w:pStyle w:val="25"/>
        <w:ind w:right="879" w:firstLine="5040" w:firstLineChars="2400"/>
        <w:jc w:val="left"/>
        <w:outlineLvl w:val="0"/>
        <w:rPr>
          <w:rFonts w:ascii="宋体" w:hAnsi="宋体" w:eastAsia="宋体"/>
          <w:color w:val="auto"/>
          <w:sz w:val="21"/>
          <w:szCs w:val="21"/>
        </w:rPr>
      </w:pPr>
    </w:p>
    <w:p w14:paraId="0BEE9500">
      <w:pPr>
        <w:pStyle w:val="25"/>
        <w:ind w:right="879" w:firstLine="5040" w:firstLineChars="2400"/>
        <w:jc w:val="left"/>
        <w:outlineLvl w:val="0"/>
        <w:rPr>
          <w:rFonts w:ascii="宋体" w:hAnsi="宋体" w:eastAsia="宋体"/>
          <w:color w:val="auto"/>
          <w:sz w:val="21"/>
          <w:szCs w:val="21"/>
        </w:rPr>
      </w:pPr>
    </w:p>
    <w:p w14:paraId="1B618CD0">
      <w:pPr>
        <w:pStyle w:val="25"/>
        <w:ind w:right="879" w:firstLine="5040" w:firstLineChars="2400"/>
        <w:jc w:val="left"/>
        <w:outlineLvl w:val="0"/>
        <w:rPr>
          <w:rFonts w:ascii="宋体" w:hAnsi="宋体" w:eastAsia="宋体"/>
          <w:color w:val="auto"/>
          <w:sz w:val="21"/>
          <w:szCs w:val="21"/>
        </w:rPr>
      </w:pPr>
    </w:p>
    <w:p w14:paraId="73A2D066">
      <w:pPr>
        <w:pStyle w:val="25"/>
        <w:ind w:right="879" w:firstLine="5040" w:firstLineChars="2400"/>
        <w:jc w:val="left"/>
        <w:outlineLvl w:val="0"/>
        <w:rPr>
          <w:rFonts w:ascii="宋体" w:hAnsi="宋体" w:eastAsia="宋体"/>
          <w:color w:val="auto"/>
          <w:sz w:val="21"/>
          <w:szCs w:val="21"/>
        </w:rPr>
      </w:pPr>
    </w:p>
    <w:p w14:paraId="4995F8EF">
      <w:pPr>
        <w:pStyle w:val="25"/>
        <w:ind w:right="879" w:firstLine="5040" w:firstLineChars="2400"/>
        <w:jc w:val="left"/>
        <w:outlineLvl w:val="0"/>
        <w:rPr>
          <w:rFonts w:ascii="宋体" w:hAnsi="宋体" w:eastAsia="宋体"/>
          <w:color w:val="auto"/>
          <w:sz w:val="21"/>
          <w:szCs w:val="21"/>
        </w:rPr>
      </w:pPr>
    </w:p>
    <w:p w14:paraId="41CD0D87">
      <w:pPr>
        <w:pStyle w:val="25"/>
        <w:ind w:right="879" w:firstLine="5040" w:firstLineChars="2400"/>
        <w:jc w:val="left"/>
        <w:outlineLvl w:val="0"/>
        <w:rPr>
          <w:rFonts w:ascii="宋体" w:hAnsi="宋体" w:eastAsia="宋体"/>
          <w:color w:val="auto"/>
          <w:sz w:val="21"/>
          <w:szCs w:val="21"/>
        </w:rPr>
      </w:pPr>
    </w:p>
    <w:p w14:paraId="7F041574">
      <w:pPr>
        <w:rPr>
          <w:rFonts w:ascii="宋体" w:hAnsi="宋体"/>
          <w:kern w:val="0"/>
          <w:szCs w:val="21"/>
          <w:u w:val="single"/>
        </w:rPr>
      </w:pPr>
    </w:p>
    <w:p w14:paraId="7F5667D6">
      <w:pPr>
        <w:widowControl/>
        <w:jc w:val="left"/>
        <w:rPr>
          <w:rFonts w:ascii="宋体" w:hAnsi="宋体" w:cs="宋体"/>
          <w:b/>
          <w:kern w:val="0"/>
          <w:sz w:val="28"/>
          <w:szCs w:val="28"/>
          <w:lang w:bidi="ar"/>
        </w:rPr>
      </w:pPr>
      <w:r>
        <w:rPr>
          <w:rFonts w:hint="eastAsia" w:ascii="宋体" w:hAnsi="宋体"/>
          <w:sz w:val="24"/>
        </w:rPr>
        <w:t>附件二：</w:t>
      </w:r>
    </w:p>
    <w:p w14:paraId="0855E604">
      <w:pPr>
        <w:jc w:val="center"/>
        <w:rPr>
          <w:rFonts w:ascii="宋体" w:hAnsi="宋体"/>
          <w:b/>
          <w:kern w:val="0"/>
          <w:sz w:val="44"/>
          <w:szCs w:val="44"/>
        </w:rPr>
      </w:pPr>
      <w:r>
        <w:rPr>
          <w:rFonts w:ascii="宋体" w:hAnsi="宋体"/>
          <w:b/>
          <w:kern w:val="0"/>
          <w:sz w:val="44"/>
          <w:szCs w:val="44"/>
        </w:rPr>
        <w:t>施工项目管理团队人员信息表</w:t>
      </w:r>
    </w:p>
    <w:tbl>
      <w:tblPr>
        <w:tblStyle w:val="15"/>
        <w:tblW w:w="8648" w:type="dxa"/>
        <w:jc w:val="center"/>
        <w:tblLayout w:type="fixed"/>
        <w:tblCellMar>
          <w:top w:w="0" w:type="dxa"/>
          <w:left w:w="108" w:type="dxa"/>
          <w:bottom w:w="0" w:type="dxa"/>
          <w:right w:w="108" w:type="dxa"/>
        </w:tblCellMar>
      </w:tblPr>
      <w:tblGrid>
        <w:gridCol w:w="776"/>
        <w:gridCol w:w="1376"/>
        <w:gridCol w:w="2066"/>
        <w:gridCol w:w="1721"/>
        <w:gridCol w:w="2709"/>
      </w:tblGrid>
      <w:tr w14:paraId="189B5A5E">
        <w:tblPrEx>
          <w:tblCellMar>
            <w:top w:w="0" w:type="dxa"/>
            <w:left w:w="108" w:type="dxa"/>
            <w:bottom w:w="0" w:type="dxa"/>
            <w:right w:w="108" w:type="dxa"/>
          </w:tblCellMar>
        </w:tblPrEx>
        <w:trPr>
          <w:trHeight w:val="497" w:hRule="atLeast"/>
          <w:jc w:val="center"/>
        </w:trPr>
        <w:tc>
          <w:tcPr>
            <w:tcW w:w="8648" w:type="dxa"/>
            <w:gridSpan w:val="5"/>
            <w:tcBorders>
              <w:top w:val="nil"/>
              <w:left w:val="nil"/>
              <w:bottom w:val="single" w:color="auto" w:sz="4" w:space="0"/>
              <w:right w:val="nil"/>
            </w:tcBorders>
            <w:vAlign w:val="center"/>
          </w:tcPr>
          <w:p w14:paraId="0FA41647">
            <w:pPr>
              <w:widowControl/>
              <w:jc w:val="center"/>
              <w:rPr>
                <w:rFonts w:ascii="宋体" w:hAnsi="宋体" w:cs="宋体"/>
                <w:b/>
                <w:bCs/>
                <w:kern w:val="0"/>
                <w:szCs w:val="21"/>
              </w:rPr>
            </w:pPr>
            <w:r>
              <w:rPr>
                <w:rFonts w:hint="eastAsia" w:ascii="宋体" w:hAnsi="宋体" w:cs="宋体"/>
                <w:b/>
                <w:bCs/>
                <w:kern w:val="0"/>
                <w:sz w:val="28"/>
                <w:szCs w:val="28"/>
              </w:rPr>
              <w:t>施工项目管理团队人员信息表</w:t>
            </w:r>
          </w:p>
        </w:tc>
      </w:tr>
      <w:tr w14:paraId="38B1DB73">
        <w:tblPrEx>
          <w:tblCellMar>
            <w:top w:w="0" w:type="dxa"/>
            <w:left w:w="108" w:type="dxa"/>
            <w:bottom w:w="0" w:type="dxa"/>
            <w:right w:w="108" w:type="dxa"/>
          </w:tblCellMar>
        </w:tblPrEx>
        <w:trPr>
          <w:trHeight w:val="36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205D561">
            <w:pPr>
              <w:widowControl/>
              <w:jc w:val="center"/>
              <w:rPr>
                <w:rFonts w:ascii="宋体" w:hAnsi="宋体" w:cs="宋体"/>
                <w:b/>
                <w:bCs/>
                <w:kern w:val="0"/>
                <w:szCs w:val="21"/>
              </w:rPr>
            </w:pPr>
            <w:r>
              <w:rPr>
                <w:rFonts w:hint="eastAsia" w:ascii="宋体" w:hAnsi="宋体" w:cs="宋体"/>
                <w:b/>
                <w:bCs/>
                <w:kern w:val="0"/>
                <w:szCs w:val="21"/>
              </w:rPr>
              <w:t>序号</w:t>
            </w:r>
          </w:p>
        </w:tc>
        <w:tc>
          <w:tcPr>
            <w:tcW w:w="1376" w:type="dxa"/>
            <w:tcBorders>
              <w:top w:val="single" w:color="auto" w:sz="4" w:space="0"/>
              <w:left w:val="single" w:color="auto" w:sz="4" w:space="0"/>
              <w:bottom w:val="single" w:color="auto" w:sz="4" w:space="0"/>
              <w:right w:val="single" w:color="auto" w:sz="4" w:space="0"/>
            </w:tcBorders>
            <w:vAlign w:val="center"/>
          </w:tcPr>
          <w:p w14:paraId="6A6AD4D9">
            <w:pPr>
              <w:widowControl/>
              <w:jc w:val="center"/>
              <w:rPr>
                <w:rFonts w:ascii="宋体" w:hAnsi="宋体" w:cs="宋体"/>
                <w:b/>
                <w:bCs/>
                <w:kern w:val="0"/>
                <w:szCs w:val="21"/>
              </w:rPr>
            </w:pPr>
            <w:r>
              <w:rPr>
                <w:rFonts w:hint="eastAsia" w:ascii="宋体" w:hAnsi="宋体" w:cs="宋体"/>
                <w:b/>
                <w:bCs/>
                <w:kern w:val="0"/>
                <w:szCs w:val="21"/>
              </w:rPr>
              <w:t>姓名</w:t>
            </w:r>
          </w:p>
        </w:tc>
        <w:tc>
          <w:tcPr>
            <w:tcW w:w="2066" w:type="dxa"/>
            <w:tcBorders>
              <w:top w:val="single" w:color="auto" w:sz="4" w:space="0"/>
              <w:left w:val="single" w:color="auto" w:sz="4" w:space="0"/>
              <w:bottom w:val="single" w:color="auto" w:sz="4" w:space="0"/>
              <w:right w:val="single" w:color="auto" w:sz="4" w:space="0"/>
            </w:tcBorders>
            <w:vAlign w:val="center"/>
          </w:tcPr>
          <w:p w14:paraId="7EF07671">
            <w:pPr>
              <w:widowControl/>
              <w:jc w:val="center"/>
              <w:rPr>
                <w:rFonts w:ascii="宋体" w:hAnsi="宋体" w:cs="宋体"/>
                <w:b/>
                <w:bCs/>
                <w:kern w:val="0"/>
                <w:szCs w:val="21"/>
              </w:rPr>
            </w:pPr>
            <w:r>
              <w:rPr>
                <w:rFonts w:hint="eastAsia" w:ascii="宋体" w:hAnsi="宋体" w:cs="宋体"/>
                <w:b/>
                <w:bCs/>
                <w:kern w:val="0"/>
                <w:szCs w:val="21"/>
              </w:rPr>
              <w:t>岗位</w:t>
            </w:r>
          </w:p>
        </w:tc>
        <w:tc>
          <w:tcPr>
            <w:tcW w:w="1721" w:type="dxa"/>
            <w:tcBorders>
              <w:top w:val="single" w:color="auto" w:sz="4" w:space="0"/>
              <w:left w:val="single" w:color="auto" w:sz="4" w:space="0"/>
              <w:bottom w:val="single" w:color="auto" w:sz="4" w:space="0"/>
              <w:right w:val="single" w:color="auto" w:sz="4" w:space="0"/>
            </w:tcBorders>
            <w:vAlign w:val="center"/>
          </w:tcPr>
          <w:p w14:paraId="2E1E1ECE">
            <w:pPr>
              <w:widowControl/>
              <w:jc w:val="center"/>
              <w:rPr>
                <w:rFonts w:ascii="宋体" w:hAnsi="宋体" w:cs="宋体"/>
                <w:b/>
                <w:bCs/>
                <w:kern w:val="0"/>
                <w:szCs w:val="21"/>
              </w:rPr>
            </w:pPr>
            <w:r>
              <w:rPr>
                <w:rFonts w:hint="eastAsia" w:ascii="宋体" w:hAnsi="宋体" w:cs="宋体"/>
                <w:b/>
                <w:bCs/>
                <w:kern w:val="0"/>
                <w:szCs w:val="21"/>
              </w:rPr>
              <w:t>职称</w:t>
            </w:r>
          </w:p>
        </w:tc>
        <w:tc>
          <w:tcPr>
            <w:tcW w:w="2709" w:type="dxa"/>
            <w:tcBorders>
              <w:top w:val="single" w:color="auto" w:sz="4" w:space="0"/>
              <w:left w:val="single" w:color="auto" w:sz="4" w:space="0"/>
              <w:bottom w:val="single" w:color="auto" w:sz="4" w:space="0"/>
              <w:right w:val="single" w:color="auto" w:sz="4" w:space="0"/>
            </w:tcBorders>
            <w:vAlign w:val="center"/>
          </w:tcPr>
          <w:p w14:paraId="00900DC8">
            <w:pPr>
              <w:widowControl/>
              <w:jc w:val="center"/>
              <w:rPr>
                <w:rFonts w:ascii="宋体" w:hAnsi="宋体" w:cs="宋体"/>
                <w:b/>
                <w:bCs/>
                <w:kern w:val="0"/>
                <w:szCs w:val="21"/>
              </w:rPr>
            </w:pPr>
            <w:r>
              <w:rPr>
                <w:rFonts w:hint="eastAsia" w:ascii="宋体" w:hAnsi="宋体" w:cs="宋体"/>
                <w:b/>
                <w:bCs/>
                <w:kern w:val="0"/>
                <w:szCs w:val="21"/>
              </w:rPr>
              <w:t>职称证书或资格证书编号</w:t>
            </w:r>
          </w:p>
        </w:tc>
      </w:tr>
      <w:tr w14:paraId="4D0C4ECC">
        <w:tblPrEx>
          <w:tblCellMar>
            <w:top w:w="0" w:type="dxa"/>
            <w:left w:w="108" w:type="dxa"/>
            <w:bottom w:w="0" w:type="dxa"/>
            <w:right w:w="108" w:type="dxa"/>
          </w:tblCellMar>
        </w:tblPrEx>
        <w:trPr>
          <w:trHeight w:val="41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712229A">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2F164F4C">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465734CC">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77DD8522">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118ACBD6">
            <w:pPr>
              <w:widowControl/>
              <w:jc w:val="center"/>
              <w:rPr>
                <w:rFonts w:ascii="宋体" w:hAnsi="宋体" w:cs="宋体"/>
                <w:kern w:val="0"/>
                <w:szCs w:val="21"/>
              </w:rPr>
            </w:pPr>
          </w:p>
        </w:tc>
      </w:tr>
      <w:tr w14:paraId="04085D4B">
        <w:tblPrEx>
          <w:tblCellMar>
            <w:top w:w="0" w:type="dxa"/>
            <w:left w:w="108" w:type="dxa"/>
            <w:bottom w:w="0" w:type="dxa"/>
            <w:right w:w="108" w:type="dxa"/>
          </w:tblCellMar>
        </w:tblPrEx>
        <w:trPr>
          <w:trHeight w:val="38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E641D60">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5CFF75D2">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1928BB5F">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024BCB58">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1A81A4AB">
            <w:pPr>
              <w:widowControl/>
              <w:jc w:val="center"/>
              <w:rPr>
                <w:rFonts w:ascii="宋体" w:hAnsi="宋体" w:cs="宋体"/>
                <w:kern w:val="0"/>
                <w:szCs w:val="21"/>
              </w:rPr>
            </w:pPr>
          </w:p>
        </w:tc>
      </w:tr>
      <w:tr w14:paraId="7E993CF9">
        <w:tblPrEx>
          <w:tblCellMar>
            <w:top w:w="0" w:type="dxa"/>
            <w:left w:w="108" w:type="dxa"/>
            <w:bottom w:w="0" w:type="dxa"/>
            <w:right w:w="108" w:type="dxa"/>
          </w:tblCellMar>
        </w:tblPrEx>
        <w:trPr>
          <w:trHeight w:val="42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6A2B27D">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777547E6">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29D1C201">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2DA685BF">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524FF48D">
            <w:pPr>
              <w:widowControl/>
              <w:jc w:val="center"/>
              <w:rPr>
                <w:rFonts w:ascii="宋体" w:hAnsi="宋体" w:cs="宋体"/>
                <w:kern w:val="0"/>
                <w:szCs w:val="21"/>
              </w:rPr>
            </w:pPr>
          </w:p>
        </w:tc>
      </w:tr>
      <w:tr w14:paraId="79AA942B">
        <w:tblPrEx>
          <w:tblCellMar>
            <w:top w:w="0" w:type="dxa"/>
            <w:left w:w="108" w:type="dxa"/>
            <w:bottom w:w="0" w:type="dxa"/>
            <w:right w:w="108" w:type="dxa"/>
          </w:tblCellMar>
        </w:tblPrEx>
        <w:trPr>
          <w:trHeight w:val="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DC2D072">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3CBED83E">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1CACBB11">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2CE5B4B2">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66842361">
            <w:pPr>
              <w:widowControl/>
              <w:jc w:val="center"/>
              <w:rPr>
                <w:rFonts w:ascii="宋体" w:hAnsi="宋体" w:cs="宋体"/>
                <w:kern w:val="0"/>
                <w:szCs w:val="21"/>
              </w:rPr>
            </w:pPr>
          </w:p>
        </w:tc>
      </w:tr>
      <w:tr w14:paraId="0DD337BC">
        <w:tblPrEx>
          <w:tblCellMar>
            <w:top w:w="0" w:type="dxa"/>
            <w:left w:w="108" w:type="dxa"/>
            <w:bottom w:w="0" w:type="dxa"/>
            <w:right w:w="108" w:type="dxa"/>
          </w:tblCellMar>
        </w:tblPrEx>
        <w:trPr>
          <w:trHeight w:val="39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245D490">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2853872C">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7C3C1816">
            <w:pPr>
              <w:widowControl/>
              <w:jc w:val="center"/>
              <w:textAlignment w:val="center"/>
              <w:rPr>
                <w:rFonts w:ascii="宋体" w:hAnsi="宋体" w:cs="宋体"/>
                <w:kern w:val="0"/>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6025746B">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3EDE388C">
            <w:pPr>
              <w:widowControl/>
              <w:jc w:val="center"/>
              <w:rPr>
                <w:rFonts w:ascii="宋体" w:hAnsi="宋体" w:cs="宋体"/>
                <w:kern w:val="0"/>
                <w:szCs w:val="21"/>
              </w:rPr>
            </w:pPr>
          </w:p>
        </w:tc>
      </w:tr>
      <w:tr w14:paraId="0F592A03">
        <w:tblPrEx>
          <w:tblCellMar>
            <w:top w:w="0" w:type="dxa"/>
            <w:left w:w="108" w:type="dxa"/>
            <w:bottom w:w="0" w:type="dxa"/>
            <w:right w:w="108" w:type="dxa"/>
          </w:tblCellMar>
        </w:tblPrEx>
        <w:trPr>
          <w:trHeight w:val="33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82B43C7">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23F8550E">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6D91B032">
            <w:pPr>
              <w:widowControl/>
              <w:jc w:val="center"/>
              <w:textAlignment w:val="center"/>
              <w:rPr>
                <w:rFonts w:ascii="宋体" w:hAnsi="宋体" w:cs="宋体"/>
                <w:kern w:val="0"/>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7682B26F">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5BB98E43">
            <w:pPr>
              <w:widowControl/>
              <w:jc w:val="center"/>
              <w:rPr>
                <w:rFonts w:ascii="宋体" w:hAnsi="宋体" w:cs="宋体"/>
                <w:kern w:val="0"/>
                <w:szCs w:val="21"/>
              </w:rPr>
            </w:pPr>
          </w:p>
        </w:tc>
      </w:tr>
      <w:tr w14:paraId="793DBF8D">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3772B50">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5C5DB049">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7B733946">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03C0C918">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39668F0A">
            <w:pPr>
              <w:widowControl/>
              <w:jc w:val="center"/>
              <w:rPr>
                <w:rFonts w:ascii="宋体" w:hAnsi="宋体" w:cs="宋体"/>
                <w:kern w:val="0"/>
                <w:szCs w:val="21"/>
              </w:rPr>
            </w:pPr>
          </w:p>
        </w:tc>
      </w:tr>
      <w:tr w14:paraId="26DCF7C9">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B8966AD">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B562F9C">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22054487">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57249192">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37590C52">
            <w:pPr>
              <w:widowControl/>
              <w:jc w:val="center"/>
              <w:rPr>
                <w:rFonts w:ascii="宋体" w:hAnsi="宋体" w:cs="宋体"/>
                <w:kern w:val="0"/>
                <w:szCs w:val="21"/>
              </w:rPr>
            </w:pPr>
          </w:p>
        </w:tc>
      </w:tr>
      <w:tr w14:paraId="1956CC5D">
        <w:tblPrEx>
          <w:tblCellMar>
            <w:top w:w="0" w:type="dxa"/>
            <w:left w:w="108" w:type="dxa"/>
            <w:bottom w:w="0" w:type="dxa"/>
            <w:right w:w="108" w:type="dxa"/>
          </w:tblCellMar>
        </w:tblPrEx>
        <w:trPr>
          <w:trHeight w:val="33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57B253E">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5DD4FCD5">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4CF3A799">
            <w:pPr>
              <w:widowControl/>
              <w:jc w:val="center"/>
              <w:textAlignment w:val="center"/>
              <w:rPr>
                <w:rFonts w:ascii="宋体" w:hAnsi="宋体" w:cs="宋体"/>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0BAC8523">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5719064C">
            <w:pPr>
              <w:widowControl/>
              <w:jc w:val="center"/>
              <w:rPr>
                <w:rFonts w:ascii="宋体" w:hAnsi="宋体" w:cs="宋体"/>
                <w:kern w:val="0"/>
                <w:szCs w:val="21"/>
              </w:rPr>
            </w:pPr>
          </w:p>
        </w:tc>
      </w:tr>
      <w:tr w14:paraId="192DE7FD">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C97D09C">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6461AAFD">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54213C63">
            <w:pPr>
              <w:widowControl/>
              <w:jc w:val="center"/>
              <w:textAlignment w:val="center"/>
              <w:rPr>
                <w:rFonts w:ascii="宋体" w:hAnsi="宋体" w:cs="宋体"/>
                <w:kern w:val="0"/>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0CA87E40">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46048A2F">
            <w:pPr>
              <w:widowControl/>
              <w:jc w:val="center"/>
              <w:rPr>
                <w:rFonts w:ascii="宋体" w:hAnsi="宋体" w:cs="宋体"/>
                <w:kern w:val="0"/>
                <w:szCs w:val="21"/>
              </w:rPr>
            </w:pPr>
          </w:p>
        </w:tc>
      </w:tr>
      <w:tr w14:paraId="09E3E4B0">
        <w:tblPrEx>
          <w:tblCellMar>
            <w:top w:w="0" w:type="dxa"/>
            <w:left w:w="108" w:type="dxa"/>
            <w:bottom w:w="0" w:type="dxa"/>
            <w:right w:w="108" w:type="dxa"/>
          </w:tblCellMar>
        </w:tblPrEx>
        <w:trPr>
          <w:trHeight w:val="37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DE10A90">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64A6B289">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35F1F5B3">
            <w:pPr>
              <w:widowControl/>
              <w:jc w:val="center"/>
              <w:textAlignment w:val="center"/>
              <w:rPr>
                <w:rFonts w:ascii="宋体" w:hAnsi="宋体" w:cs="宋体"/>
                <w:kern w:val="0"/>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1D521528">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38C0666C">
            <w:pPr>
              <w:widowControl/>
              <w:jc w:val="center"/>
              <w:rPr>
                <w:rFonts w:ascii="宋体" w:hAnsi="宋体" w:cs="宋体"/>
                <w:kern w:val="0"/>
                <w:szCs w:val="21"/>
              </w:rPr>
            </w:pPr>
          </w:p>
        </w:tc>
      </w:tr>
      <w:tr w14:paraId="61E22E8D">
        <w:tblPrEx>
          <w:tblCellMar>
            <w:top w:w="0" w:type="dxa"/>
            <w:left w:w="108" w:type="dxa"/>
            <w:bottom w:w="0" w:type="dxa"/>
            <w:right w:w="108" w:type="dxa"/>
          </w:tblCellMar>
        </w:tblPrEx>
        <w:trPr>
          <w:trHeight w:val="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67E6754">
            <w:pPr>
              <w:widowControl/>
              <w:numPr>
                <w:ilvl w:val="0"/>
                <w:numId w:val="2"/>
              </w:numPr>
              <w:jc w:val="center"/>
              <w:rPr>
                <w:rFonts w:ascii="宋体" w:hAnsi="宋体" w:cs="宋体"/>
                <w:kern w:val="0"/>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6036CED7">
            <w:pPr>
              <w:widowControl/>
              <w:jc w:val="center"/>
              <w:rPr>
                <w:rFonts w:ascii="宋体" w:hAnsi="宋体" w:cs="宋体"/>
                <w:kern w:val="0"/>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3BBC9027">
            <w:pPr>
              <w:widowControl/>
              <w:jc w:val="center"/>
              <w:textAlignment w:val="center"/>
              <w:rPr>
                <w:rFonts w:ascii="宋体" w:hAnsi="宋体" w:cs="宋体"/>
                <w:kern w:val="0"/>
                <w:szCs w:val="21"/>
              </w:rPr>
            </w:pPr>
          </w:p>
        </w:tc>
        <w:tc>
          <w:tcPr>
            <w:tcW w:w="1721" w:type="dxa"/>
            <w:tcBorders>
              <w:top w:val="single" w:color="auto" w:sz="4" w:space="0"/>
              <w:left w:val="single" w:color="auto" w:sz="4" w:space="0"/>
              <w:bottom w:val="single" w:color="auto" w:sz="4" w:space="0"/>
              <w:right w:val="single" w:color="auto" w:sz="4" w:space="0"/>
            </w:tcBorders>
            <w:vAlign w:val="center"/>
          </w:tcPr>
          <w:p w14:paraId="345F1ACD">
            <w:pPr>
              <w:widowControl/>
              <w:jc w:val="center"/>
              <w:rPr>
                <w:rFonts w:ascii="宋体" w:hAnsi="宋体" w:cs="宋体"/>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0CFF67D5">
            <w:pPr>
              <w:widowControl/>
              <w:jc w:val="center"/>
              <w:rPr>
                <w:rFonts w:ascii="宋体" w:hAnsi="宋体" w:cs="宋体"/>
                <w:kern w:val="0"/>
                <w:szCs w:val="21"/>
              </w:rPr>
            </w:pPr>
          </w:p>
        </w:tc>
      </w:tr>
      <w:tr w14:paraId="5302C8A0">
        <w:tblPrEx>
          <w:tblCellMar>
            <w:top w:w="0" w:type="dxa"/>
            <w:left w:w="108" w:type="dxa"/>
            <w:bottom w:w="0" w:type="dxa"/>
            <w:right w:w="108" w:type="dxa"/>
          </w:tblCellMar>
        </w:tblPrEx>
        <w:trPr>
          <w:trHeight w:val="37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6455075">
            <w:pPr>
              <w:widowControl/>
              <w:jc w:val="center"/>
              <w:rPr>
                <w:rFonts w:ascii="宋体" w:hAnsi="宋体" w:cs="宋体"/>
                <w:kern w:val="0"/>
                <w:szCs w:val="21"/>
              </w:rPr>
            </w:pPr>
            <w:r>
              <w:rPr>
                <w:rFonts w:hint="eastAsia" w:ascii="宋体" w:hAnsi="宋体" w:cs="宋体"/>
                <w:kern w:val="0"/>
                <w:szCs w:val="21"/>
              </w:rPr>
              <w:t>……</w:t>
            </w:r>
          </w:p>
        </w:tc>
        <w:tc>
          <w:tcPr>
            <w:tcW w:w="1376" w:type="dxa"/>
            <w:tcBorders>
              <w:top w:val="single" w:color="auto" w:sz="4" w:space="0"/>
              <w:left w:val="single" w:color="auto" w:sz="4" w:space="0"/>
              <w:bottom w:val="single" w:color="auto" w:sz="4" w:space="0"/>
              <w:right w:val="single" w:color="auto" w:sz="4" w:space="0"/>
            </w:tcBorders>
            <w:vAlign w:val="center"/>
          </w:tcPr>
          <w:p w14:paraId="657D3A12">
            <w:pPr>
              <w:widowControl/>
              <w:jc w:val="center"/>
              <w:rPr>
                <w:rFonts w:ascii="宋体" w:hAnsi="宋体" w:cs="宋体"/>
                <w:kern w:val="0"/>
                <w:szCs w:val="21"/>
              </w:rPr>
            </w:pPr>
            <w:r>
              <w:rPr>
                <w:rFonts w:hint="eastAsia" w:ascii="宋体" w:hAnsi="宋体" w:cs="宋体"/>
                <w:kern w:val="0"/>
                <w:szCs w:val="21"/>
              </w:rPr>
              <w:t>　</w:t>
            </w:r>
          </w:p>
        </w:tc>
        <w:tc>
          <w:tcPr>
            <w:tcW w:w="2066" w:type="dxa"/>
            <w:tcBorders>
              <w:top w:val="single" w:color="auto" w:sz="4" w:space="0"/>
              <w:left w:val="single" w:color="auto" w:sz="4" w:space="0"/>
              <w:bottom w:val="single" w:color="auto" w:sz="4" w:space="0"/>
              <w:right w:val="single" w:color="auto" w:sz="4" w:space="0"/>
            </w:tcBorders>
            <w:vAlign w:val="center"/>
          </w:tcPr>
          <w:p w14:paraId="0E8AB742">
            <w:pPr>
              <w:widowControl/>
              <w:jc w:val="center"/>
              <w:rPr>
                <w:rFonts w:ascii="宋体" w:hAnsi="宋体" w:cs="宋体"/>
                <w:kern w:val="0"/>
                <w:szCs w:val="21"/>
              </w:rPr>
            </w:pPr>
            <w:r>
              <w:rPr>
                <w:rFonts w:hint="eastAsia" w:ascii="宋体" w:hAnsi="宋体" w:cs="宋体"/>
                <w:kern w:val="0"/>
                <w:szCs w:val="21"/>
              </w:rPr>
              <w:t>　</w:t>
            </w:r>
          </w:p>
        </w:tc>
        <w:tc>
          <w:tcPr>
            <w:tcW w:w="1721" w:type="dxa"/>
            <w:tcBorders>
              <w:top w:val="single" w:color="auto" w:sz="4" w:space="0"/>
              <w:left w:val="single" w:color="auto" w:sz="4" w:space="0"/>
              <w:bottom w:val="single" w:color="auto" w:sz="4" w:space="0"/>
              <w:right w:val="single" w:color="auto" w:sz="4" w:space="0"/>
            </w:tcBorders>
            <w:vAlign w:val="center"/>
          </w:tcPr>
          <w:p w14:paraId="08F34204">
            <w:pPr>
              <w:widowControl/>
              <w:jc w:val="center"/>
              <w:rPr>
                <w:rFonts w:ascii="宋体" w:hAnsi="宋体" w:cs="宋体"/>
                <w:kern w:val="0"/>
                <w:szCs w:val="21"/>
              </w:rPr>
            </w:pPr>
            <w:r>
              <w:rPr>
                <w:rFonts w:hint="eastAsia" w:ascii="宋体" w:hAnsi="宋体" w:cs="宋体"/>
                <w:kern w:val="0"/>
                <w:szCs w:val="21"/>
              </w:rPr>
              <w:t>　</w:t>
            </w:r>
          </w:p>
        </w:tc>
        <w:tc>
          <w:tcPr>
            <w:tcW w:w="2709" w:type="dxa"/>
            <w:tcBorders>
              <w:top w:val="single" w:color="auto" w:sz="4" w:space="0"/>
              <w:left w:val="single" w:color="auto" w:sz="4" w:space="0"/>
              <w:bottom w:val="single" w:color="auto" w:sz="4" w:space="0"/>
              <w:right w:val="single" w:color="auto" w:sz="4" w:space="0"/>
            </w:tcBorders>
            <w:vAlign w:val="center"/>
          </w:tcPr>
          <w:p w14:paraId="768DEA39">
            <w:pPr>
              <w:widowControl/>
              <w:jc w:val="center"/>
              <w:rPr>
                <w:rFonts w:ascii="宋体" w:hAnsi="宋体" w:cs="宋体"/>
                <w:kern w:val="0"/>
                <w:szCs w:val="21"/>
              </w:rPr>
            </w:pPr>
            <w:r>
              <w:rPr>
                <w:rFonts w:hint="eastAsia" w:ascii="宋体" w:hAnsi="宋体" w:cs="宋体"/>
                <w:kern w:val="0"/>
                <w:szCs w:val="21"/>
              </w:rPr>
              <w:t>　</w:t>
            </w:r>
          </w:p>
        </w:tc>
      </w:tr>
      <w:tr w14:paraId="39E29358">
        <w:tblPrEx>
          <w:tblCellMar>
            <w:top w:w="0" w:type="dxa"/>
            <w:left w:w="108" w:type="dxa"/>
            <w:bottom w:w="0" w:type="dxa"/>
            <w:right w:w="108" w:type="dxa"/>
          </w:tblCellMar>
        </w:tblPrEx>
        <w:trPr>
          <w:trHeight w:val="4404" w:hRule="atLeast"/>
          <w:jc w:val="center"/>
        </w:trPr>
        <w:tc>
          <w:tcPr>
            <w:tcW w:w="8648" w:type="dxa"/>
            <w:gridSpan w:val="5"/>
            <w:tcBorders>
              <w:top w:val="single" w:color="auto" w:sz="4" w:space="0"/>
              <w:left w:val="single" w:color="auto" w:sz="4" w:space="0"/>
              <w:bottom w:val="single" w:color="auto" w:sz="4" w:space="0"/>
              <w:right w:val="single" w:color="auto" w:sz="4" w:space="0"/>
            </w:tcBorders>
            <w:vAlign w:val="center"/>
          </w:tcPr>
          <w:p w14:paraId="4EC9DD9B">
            <w:pPr>
              <w:widowControl/>
              <w:jc w:val="left"/>
              <w:rPr>
                <w:rFonts w:ascii="宋体" w:hAnsi="宋体" w:cs="宋体"/>
                <w:sz w:val="20"/>
                <w:szCs w:val="20"/>
              </w:rPr>
            </w:pPr>
            <w:r>
              <w:rPr>
                <w:rFonts w:hint="eastAsia" w:ascii="宋体" w:hAnsi="宋体" w:cs="宋体"/>
                <w:sz w:val="20"/>
                <w:szCs w:val="20"/>
              </w:rPr>
              <w:t>备注：</w:t>
            </w:r>
          </w:p>
          <w:p w14:paraId="36764B08">
            <w:pPr>
              <w:widowControl/>
              <w:jc w:val="left"/>
              <w:rPr>
                <w:rFonts w:ascii="宋体" w:hAnsi="宋体" w:cs="宋体"/>
                <w:sz w:val="20"/>
                <w:szCs w:val="20"/>
              </w:rPr>
            </w:pPr>
            <w:r>
              <w:rPr>
                <w:rFonts w:hint="eastAsia" w:ascii="宋体" w:hAnsi="宋体" w:cs="宋体"/>
                <w:sz w:val="20"/>
                <w:szCs w:val="20"/>
              </w:rPr>
              <w:t>1、“岗位”要求（除项目负责人和专职安全员外）由招标人根据项目管理需要在本表备注中明确提出。以上项目管理团队人员信息将由交易系统提取后供各相关单位在履约时比对、查核。</w:t>
            </w:r>
          </w:p>
          <w:p w14:paraId="2562C4D8">
            <w:pPr>
              <w:widowControl/>
              <w:jc w:val="left"/>
              <w:rPr>
                <w:rFonts w:ascii="宋体" w:hAnsi="宋体" w:cs="宋体"/>
                <w:sz w:val="20"/>
                <w:szCs w:val="20"/>
              </w:rPr>
            </w:pPr>
            <w:r>
              <w:rPr>
                <w:rFonts w:hint="eastAsia" w:ascii="宋体" w:hAnsi="宋体" w:cs="宋体"/>
                <w:sz w:val="20"/>
                <w:szCs w:val="20"/>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374DEA13">
            <w:pPr>
              <w:widowControl/>
              <w:jc w:val="left"/>
              <w:rPr>
                <w:rFonts w:ascii="宋体" w:hAnsi="宋体" w:cs="宋体"/>
                <w:sz w:val="20"/>
                <w:szCs w:val="20"/>
              </w:rPr>
            </w:pPr>
            <w:r>
              <w:rPr>
                <w:rFonts w:hint="eastAsia" w:ascii="宋体" w:hAnsi="宋体" w:cs="宋体"/>
                <w:sz w:val="20"/>
                <w:szCs w:val="20"/>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51CAA970">
            <w:pPr>
              <w:widowControl/>
              <w:jc w:val="left"/>
              <w:rPr>
                <w:rFonts w:ascii="宋体" w:hAnsi="宋体" w:cs="宋体"/>
                <w:szCs w:val="21"/>
              </w:rPr>
            </w:pPr>
            <w:bookmarkStart w:id="0" w:name="_Toc19453"/>
            <w:r>
              <w:rPr>
                <w:rFonts w:hint="eastAsia" w:ascii="宋体" w:hAnsi="宋体" w:cs="宋体"/>
                <w:sz w:val="20"/>
                <w:szCs w:val="20"/>
              </w:rPr>
              <w:t>4、本表中投标人提供的“技术负责人”需满足招标公告要求，其余人员不全或未满足招标文件要求的，中标后须按招标文件的要求补充完善并报发包人审批同意；涉及违约的，还需按合同约定承担相应的违约责任。</w:t>
            </w:r>
            <w:bookmarkEnd w:id="0"/>
          </w:p>
        </w:tc>
      </w:tr>
    </w:tbl>
    <w:p w14:paraId="3DBEF85B">
      <w:pPr>
        <w:spacing w:line="360" w:lineRule="auto"/>
        <w:rPr>
          <w:rFonts w:ascii="宋体" w:hAnsi="宋体" w:cs="宋体"/>
          <w:sz w:val="24"/>
          <w:szCs w:val="24"/>
        </w:rPr>
      </w:pPr>
    </w:p>
    <w:p w14:paraId="3F8B6811">
      <w:pPr>
        <w:pStyle w:val="7"/>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E744A">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12</w:t>
    </w:r>
    <w:r>
      <w:fldChar w:fldCharType="end"/>
    </w:r>
  </w:p>
  <w:p w14:paraId="3995F264">
    <w:pPr>
      <w:pStyle w:val="9"/>
      <w:spacing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ED30">
    <w:pPr>
      <w:pStyle w:val="9"/>
      <w:framePr w:wrap="around" w:vAnchor="text" w:hAnchor="margin" w:xAlign="center" w:y="1"/>
      <w:rPr>
        <w:rStyle w:val="17"/>
      </w:rPr>
    </w:pPr>
    <w:r>
      <w:fldChar w:fldCharType="begin"/>
    </w:r>
    <w:r>
      <w:rPr>
        <w:rStyle w:val="17"/>
      </w:rPr>
      <w:instrText xml:space="preserve">PAGE  </w:instrText>
    </w:r>
    <w:r>
      <w:fldChar w:fldCharType="end"/>
    </w:r>
  </w:p>
  <w:p w14:paraId="774CE26D">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97037"/>
    <w:multiLevelType w:val="multilevel"/>
    <w:tmpl w:val="01A97037"/>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8B7CEA"/>
    <w:multiLevelType w:val="singleLevel"/>
    <w:tmpl w:val="798B7CEA"/>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2NGJlNjI2NzA0MDg5NGQ2MzQ2MWY1NTRjN2MyNDYifQ=="/>
    <w:docVar w:name="KSO_WPS_MARK_KEY" w:val="0e661eda-c756-4a1e-81e8-1dcb1df6f3b3"/>
  </w:docVars>
  <w:rsids>
    <w:rsidRoot w:val="614617C1"/>
    <w:rsid w:val="0008436A"/>
    <w:rsid w:val="000979B4"/>
    <w:rsid w:val="000F7396"/>
    <w:rsid w:val="00105D5D"/>
    <w:rsid w:val="00112308"/>
    <w:rsid w:val="001914B7"/>
    <w:rsid w:val="001D72AD"/>
    <w:rsid w:val="00204517"/>
    <w:rsid w:val="00243CFC"/>
    <w:rsid w:val="002A253D"/>
    <w:rsid w:val="002D1E9A"/>
    <w:rsid w:val="002E049F"/>
    <w:rsid w:val="00326E03"/>
    <w:rsid w:val="003626D4"/>
    <w:rsid w:val="00373584"/>
    <w:rsid w:val="00375A93"/>
    <w:rsid w:val="003914BB"/>
    <w:rsid w:val="003B1A01"/>
    <w:rsid w:val="00426501"/>
    <w:rsid w:val="00426D8A"/>
    <w:rsid w:val="004418BC"/>
    <w:rsid w:val="00446DC8"/>
    <w:rsid w:val="004C0029"/>
    <w:rsid w:val="004C1195"/>
    <w:rsid w:val="004E264F"/>
    <w:rsid w:val="00564142"/>
    <w:rsid w:val="00571FBB"/>
    <w:rsid w:val="00627744"/>
    <w:rsid w:val="0064424C"/>
    <w:rsid w:val="00662ED8"/>
    <w:rsid w:val="00687DA4"/>
    <w:rsid w:val="006A289C"/>
    <w:rsid w:val="006B44A7"/>
    <w:rsid w:val="006C4E9D"/>
    <w:rsid w:val="006F7185"/>
    <w:rsid w:val="00720F1C"/>
    <w:rsid w:val="00723C4B"/>
    <w:rsid w:val="007513B5"/>
    <w:rsid w:val="00774F5E"/>
    <w:rsid w:val="007A4F23"/>
    <w:rsid w:val="00810A74"/>
    <w:rsid w:val="00845D5D"/>
    <w:rsid w:val="00871BD1"/>
    <w:rsid w:val="00890EC4"/>
    <w:rsid w:val="008D5C84"/>
    <w:rsid w:val="0091529F"/>
    <w:rsid w:val="00944C8F"/>
    <w:rsid w:val="00951837"/>
    <w:rsid w:val="0097214D"/>
    <w:rsid w:val="009A264C"/>
    <w:rsid w:val="00A0468F"/>
    <w:rsid w:val="00A56B15"/>
    <w:rsid w:val="00AA515E"/>
    <w:rsid w:val="00AE4EAC"/>
    <w:rsid w:val="00B10141"/>
    <w:rsid w:val="00B12FFD"/>
    <w:rsid w:val="00B2021C"/>
    <w:rsid w:val="00B97C6C"/>
    <w:rsid w:val="00C048F9"/>
    <w:rsid w:val="00C141C3"/>
    <w:rsid w:val="00C31A92"/>
    <w:rsid w:val="00C63D82"/>
    <w:rsid w:val="00CB3F79"/>
    <w:rsid w:val="00CE0145"/>
    <w:rsid w:val="00D53611"/>
    <w:rsid w:val="00D755C2"/>
    <w:rsid w:val="00DB718E"/>
    <w:rsid w:val="00E106A9"/>
    <w:rsid w:val="00E163EA"/>
    <w:rsid w:val="00E417E0"/>
    <w:rsid w:val="00F163B9"/>
    <w:rsid w:val="00F20B97"/>
    <w:rsid w:val="00FD0CE3"/>
    <w:rsid w:val="01037A0A"/>
    <w:rsid w:val="015C07ED"/>
    <w:rsid w:val="01CA4BAF"/>
    <w:rsid w:val="01E35F5B"/>
    <w:rsid w:val="01FE3A38"/>
    <w:rsid w:val="03577094"/>
    <w:rsid w:val="04A15406"/>
    <w:rsid w:val="05797EF0"/>
    <w:rsid w:val="06D956E9"/>
    <w:rsid w:val="088E5388"/>
    <w:rsid w:val="08A94889"/>
    <w:rsid w:val="0ACE7770"/>
    <w:rsid w:val="0D127408"/>
    <w:rsid w:val="0E671DFE"/>
    <w:rsid w:val="0EA2665A"/>
    <w:rsid w:val="14E25E39"/>
    <w:rsid w:val="15175270"/>
    <w:rsid w:val="15F006FF"/>
    <w:rsid w:val="1606156C"/>
    <w:rsid w:val="18CE7D56"/>
    <w:rsid w:val="1C36422E"/>
    <w:rsid w:val="1C663191"/>
    <w:rsid w:val="1C9D13A2"/>
    <w:rsid w:val="1ECF4104"/>
    <w:rsid w:val="1F234F3D"/>
    <w:rsid w:val="202B6799"/>
    <w:rsid w:val="20DD111C"/>
    <w:rsid w:val="213C1E67"/>
    <w:rsid w:val="2319693B"/>
    <w:rsid w:val="231D72ED"/>
    <w:rsid w:val="237815D0"/>
    <w:rsid w:val="237B0B11"/>
    <w:rsid w:val="24017E5B"/>
    <w:rsid w:val="24886D5A"/>
    <w:rsid w:val="2583745E"/>
    <w:rsid w:val="25F9683D"/>
    <w:rsid w:val="28744290"/>
    <w:rsid w:val="2A0E40AA"/>
    <w:rsid w:val="2A2D630C"/>
    <w:rsid w:val="2B3331DD"/>
    <w:rsid w:val="30AB49EB"/>
    <w:rsid w:val="31CC1988"/>
    <w:rsid w:val="31E11999"/>
    <w:rsid w:val="33524DF9"/>
    <w:rsid w:val="33795EFA"/>
    <w:rsid w:val="34FC2693"/>
    <w:rsid w:val="35217A5E"/>
    <w:rsid w:val="368708BE"/>
    <w:rsid w:val="377FDE4B"/>
    <w:rsid w:val="37F37238"/>
    <w:rsid w:val="38822B56"/>
    <w:rsid w:val="3A317203"/>
    <w:rsid w:val="3B916D34"/>
    <w:rsid w:val="3BD86C58"/>
    <w:rsid w:val="3BE65657"/>
    <w:rsid w:val="3D9077EA"/>
    <w:rsid w:val="3DA71B32"/>
    <w:rsid w:val="3DF32424"/>
    <w:rsid w:val="3E5F3E28"/>
    <w:rsid w:val="3F8F587F"/>
    <w:rsid w:val="3FC82E83"/>
    <w:rsid w:val="401249A4"/>
    <w:rsid w:val="40202CD2"/>
    <w:rsid w:val="41FA0B5F"/>
    <w:rsid w:val="4288553F"/>
    <w:rsid w:val="42896ACB"/>
    <w:rsid w:val="450208A7"/>
    <w:rsid w:val="45D00D56"/>
    <w:rsid w:val="45E85799"/>
    <w:rsid w:val="486C32E1"/>
    <w:rsid w:val="4AD2165A"/>
    <w:rsid w:val="4B546E6C"/>
    <w:rsid w:val="4B6D3432"/>
    <w:rsid w:val="4C2065CC"/>
    <w:rsid w:val="4C261319"/>
    <w:rsid w:val="4C8A5C1E"/>
    <w:rsid w:val="4D280422"/>
    <w:rsid w:val="4D451A68"/>
    <w:rsid w:val="4DB210B7"/>
    <w:rsid w:val="4F552BFD"/>
    <w:rsid w:val="50D11631"/>
    <w:rsid w:val="511E6F3F"/>
    <w:rsid w:val="512D2A5C"/>
    <w:rsid w:val="52251E0C"/>
    <w:rsid w:val="523B0FFD"/>
    <w:rsid w:val="52D379E9"/>
    <w:rsid w:val="553539DB"/>
    <w:rsid w:val="55BA485F"/>
    <w:rsid w:val="55BF480E"/>
    <w:rsid w:val="5679034C"/>
    <w:rsid w:val="56E01B30"/>
    <w:rsid w:val="58816720"/>
    <w:rsid w:val="5AED6CB2"/>
    <w:rsid w:val="5C103A3D"/>
    <w:rsid w:val="5D177188"/>
    <w:rsid w:val="5D202353"/>
    <w:rsid w:val="5DFF20DC"/>
    <w:rsid w:val="5E586547"/>
    <w:rsid w:val="5E712472"/>
    <w:rsid w:val="5EF2220F"/>
    <w:rsid w:val="614617C1"/>
    <w:rsid w:val="625D388F"/>
    <w:rsid w:val="64492766"/>
    <w:rsid w:val="67AC7BAF"/>
    <w:rsid w:val="692A0339"/>
    <w:rsid w:val="6AC14DAF"/>
    <w:rsid w:val="6AEC33EB"/>
    <w:rsid w:val="6BA6156F"/>
    <w:rsid w:val="6BDE2C52"/>
    <w:rsid w:val="6C417D7E"/>
    <w:rsid w:val="6C791C04"/>
    <w:rsid w:val="6C917915"/>
    <w:rsid w:val="6D703470"/>
    <w:rsid w:val="6E74466A"/>
    <w:rsid w:val="71B734B4"/>
    <w:rsid w:val="722FF29A"/>
    <w:rsid w:val="72FC67AC"/>
    <w:rsid w:val="75FF1BE4"/>
    <w:rsid w:val="76064DD0"/>
    <w:rsid w:val="79FF7910"/>
    <w:rsid w:val="7BCC4AD2"/>
    <w:rsid w:val="7EAA3F5F"/>
    <w:rsid w:val="7ED58D6E"/>
    <w:rsid w:val="7F2B394A"/>
    <w:rsid w:val="7F8D0E4E"/>
    <w:rsid w:val="7FDE02F1"/>
    <w:rsid w:val="FB37605B"/>
    <w:rsid w:val="FBBFA5CE"/>
    <w:rsid w:val="FCF7CFA1"/>
    <w:rsid w:val="FFBF0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szCs w:val="20"/>
    </w:rPr>
  </w:style>
  <w:style w:type="paragraph" w:styleId="3">
    <w:name w:val="heading 2"/>
    <w:basedOn w:val="1"/>
    <w:next w:val="1"/>
    <w:autoRedefine/>
    <w:qFormat/>
    <w:uiPriority w:val="9"/>
    <w:pPr>
      <w:keepNext/>
      <w:keepLines/>
      <w:spacing w:line="416" w:lineRule="auto"/>
      <w:outlineLvl w:val="1"/>
    </w:pPr>
    <w:rPr>
      <w:rFonts w:ascii="Arial" w:hAnsi="Arial" w:eastAsia="黑体"/>
      <w:bCs/>
      <w:kern w:val="0"/>
      <w:sz w:val="24"/>
      <w:szCs w:val="32"/>
      <w:lang w:val="zh-CN"/>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unhideWhenUsed/>
    <w:qFormat/>
    <w:uiPriority w:val="99"/>
    <w:pPr>
      <w:spacing w:after="120"/>
    </w:pPr>
    <w:rPr>
      <w:rFonts w:ascii="Calibri" w:hAnsi="Calibri"/>
      <w:kern w:val="0"/>
      <w:sz w:val="20"/>
      <w:szCs w:val="20"/>
    </w:rPr>
  </w:style>
  <w:style w:type="paragraph" w:styleId="6">
    <w:name w:val="Body Text Indent"/>
    <w:basedOn w:val="1"/>
    <w:autoRedefine/>
    <w:qFormat/>
    <w:uiPriority w:val="0"/>
    <w:pPr>
      <w:spacing w:after="120"/>
      <w:ind w:left="420" w:leftChars="200"/>
    </w:pPr>
  </w:style>
  <w:style w:type="paragraph" w:styleId="7">
    <w:name w:val="Plain Text"/>
    <w:basedOn w:val="1"/>
    <w:next w:val="1"/>
    <w:qFormat/>
    <w:uiPriority w:val="0"/>
    <w:rPr>
      <w:rFonts w:ascii="宋体" w:hAnsi="Courier New"/>
      <w:szCs w:val="20"/>
    </w:rPr>
  </w:style>
  <w:style w:type="paragraph" w:styleId="8">
    <w:name w:val="Balloon Text"/>
    <w:basedOn w:val="1"/>
    <w:link w:val="21"/>
    <w:autoRedefine/>
    <w:qFormat/>
    <w:uiPriority w:val="0"/>
    <w:rPr>
      <w:sz w:val="18"/>
      <w:szCs w:val="18"/>
    </w:rPr>
  </w:style>
  <w:style w:type="paragraph" w:styleId="9">
    <w:name w:val="footer"/>
    <w:basedOn w:val="1"/>
    <w:autoRedefine/>
    <w:unhideWhenUsed/>
    <w:qFormat/>
    <w:uiPriority w:val="0"/>
    <w:pPr>
      <w:tabs>
        <w:tab w:val="center" w:pos="4153"/>
        <w:tab w:val="right" w:pos="8306"/>
      </w:tabs>
      <w:snapToGrid w:val="0"/>
      <w:jc w:val="left"/>
    </w:pPr>
    <w:rPr>
      <w:kern w:val="0"/>
      <w:sz w:val="18"/>
      <w:szCs w:val="18"/>
    </w:rPr>
  </w:style>
  <w:style w:type="paragraph" w:styleId="10">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before="120" w:after="120"/>
      <w:jc w:val="left"/>
    </w:pPr>
    <w:rPr>
      <w:rFonts w:ascii="Calibri" w:hAnsi="Calibri"/>
      <w:b/>
      <w:bCs/>
      <w:caps/>
      <w:sz w:val="20"/>
      <w:szCs w:val="20"/>
    </w:rPr>
  </w:style>
  <w:style w:type="paragraph" w:styleId="12">
    <w:name w:val="Body Text 2"/>
    <w:basedOn w:val="1"/>
    <w:autoRedefine/>
    <w:qFormat/>
    <w:uiPriority w:val="0"/>
    <w:rPr>
      <w:rFonts w:ascii="宋体" w:hAnsi="宋体"/>
      <w:kern w:val="0"/>
      <w:sz w:val="20"/>
      <w:szCs w:val="24"/>
      <w:u w:val="single"/>
    </w:rPr>
  </w:style>
  <w:style w:type="paragraph" w:styleId="13">
    <w:name w:val="annotation subject"/>
    <w:basedOn w:val="4"/>
    <w:next w:val="4"/>
    <w:link w:val="23"/>
    <w:autoRedefine/>
    <w:qFormat/>
    <w:uiPriority w:val="0"/>
    <w:rPr>
      <w:b/>
      <w:bCs/>
    </w:rPr>
  </w:style>
  <w:style w:type="paragraph" w:styleId="14">
    <w:name w:val="Body Text First Indent 2"/>
    <w:basedOn w:val="6"/>
    <w:qFormat/>
    <w:uiPriority w:val="0"/>
    <w:pPr>
      <w:ind w:firstLine="420" w:firstLineChars="200"/>
    </w:pPr>
  </w:style>
  <w:style w:type="character" w:styleId="17">
    <w:name w:val="page number"/>
    <w:autoRedefine/>
    <w:qFormat/>
    <w:uiPriority w:val="0"/>
    <w:rPr>
      <w:rFonts w:cs="Times New Roman"/>
    </w:rPr>
  </w:style>
  <w:style w:type="character" w:styleId="18">
    <w:name w:val="annotation reference"/>
    <w:qFormat/>
    <w:uiPriority w:val="0"/>
    <w:rPr>
      <w:sz w:val="21"/>
      <w:szCs w:val="21"/>
    </w:rPr>
  </w:style>
  <w:style w:type="paragraph" w:customStyle="1" w:styleId="19">
    <w:name w:val="Normal Indent1"/>
    <w:basedOn w:val="1"/>
    <w:qFormat/>
    <w:uiPriority w:val="0"/>
    <w:pPr>
      <w:ind w:firstLine="420"/>
    </w:pPr>
  </w:style>
  <w:style w:type="character" w:customStyle="1" w:styleId="20">
    <w:name w:val="批注文字 字符"/>
    <w:link w:val="4"/>
    <w:qFormat/>
    <w:uiPriority w:val="0"/>
    <w:rPr>
      <w:kern w:val="2"/>
      <w:sz w:val="21"/>
      <w:szCs w:val="22"/>
    </w:rPr>
  </w:style>
  <w:style w:type="character" w:customStyle="1" w:styleId="21">
    <w:name w:val="批注框文本 字符"/>
    <w:link w:val="8"/>
    <w:qFormat/>
    <w:uiPriority w:val="0"/>
    <w:rPr>
      <w:kern w:val="2"/>
      <w:sz w:val="18"/>
      <w:szCs w:val="18"/>
    </w:rPr>
  </w:style>
  <w:style w:type="character" w:customStyle="1" w:styleId="22">
    <w:name w:val="页眉 字符"/>
    <w:link w:val="10"/>
    <w:qFormat/>
    <w:uiPriority w:val="0"/>
    <w:rPr>
      <w:kern w:val="2"/>
      <w:sz w:val="18"/>
      <w:szCs w:val="18"/>
    </w:rPr>
  </w:style>
  <w:style w:type="character" w:customStyle="1" w:styleId="23">
    <w:name w:val="批注主题 字符"/>
    <w:link w:val="13"/>
    <w:qFormat/>
    <w:uiPriority w:val="0"/>
    <w:rPr>
      <w:b/>
      <w:bCs/>
      <w:kern w:val="2"/>
      <w:sz w:val="21"/>
      <w:szCs w:val="22"/>
    </w:rPr>
  </w:style>
  <w:style w:type="paragraph" w:customStyle="1" w:styleId="24">
    <w:name w:val="_Style 23"/>
    <w:unhideWhenUsed/>
    <w:qFormat/>
    <w:uiPriority w:val="99"/>
    <w:rPr>
      <w:rFonts w:ascii="Times New Roman" w:hAnsi="Times New Roman" w:eastAsia="宋体" w:cs="Times New Roman"/>
      <w:kern w:val="2"/>
      <w:sz w:val="21"/>
      <w:szCs w:val="22"/>
      <w:lang w:val="en-US" w:eastAsia="zh-CN" w:bidi="ar-SA"/>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发文落款"/>
    <w:basedOn w:val="25"/>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7962</Words>
  <Characters>8471</Characters>
  <Lines>63</Lines>
  <Paragraphs>17</Paragraphs>
  <TotalTime>2</TotalTime>
  <ScaleCrop>false</ScaleCrop>
  <LinksUpToDate>false</LinksUpToDate>
  <CharactersWithSpaces>8750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2025-07-14T14:10:00Z</dcterms:created>
  <dc:creator>G</dc:creator>
  <cp:lastModifiedBy>hhh</cp:lastModifiedBy>
  <cp:lastPrinted>2024-09-30T08:16:00Z</cp:lastPrinted>
  <dcterms:modified xsi:type="dcterms:W3CDTF">2025-08-21T03:57:23Z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5CE392C7794F4331827566889864C1FB_13</vt:lpwstr>
  </property>
  <property fmtid="{D5CDD505-2E9C-101B-9397-08002B2CF9AE}" pid="4" name="KSOTemplateDocerSaveRecord">
    <vt:lpwstr>eyJoZGlkIjoiNThmYWM0NzY2ODA5NDc5YjI4ZmNkOTZkYTY0MTcxMzIiLCJ1c2VySWQiOiI0NzkzMzAyNzkifQ==</vt:lpwstr>
  </property>
</Properties>
</file>